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7264B" w14:textId="77777777" w:rsidR="000917E1" w:rsidRDefault="000917E1">
      <w:pPr>
        <w:spacing w:line="360" w:lineRule="auto"/>
        <w:rPr>
          <w:rFonts w:ascii="Times New Roman" w:eastAsia="Times New Roman" w:hAnsi="Times New Roman" w:cs="Times New Roman"/>
        </w:rPr>
      </w:pPr>
    </w:p>
    <w:p w14:paraId="1864D607" w14:textId="77777777" w:rsidR="000917E1" w:rsidRDefault="000917E1">
      <w:pPr>
        <w:spacing w:line="360" w:lineRule="auto"/>
        <w:rPr>
          <w:rFonts w:ascii="Times New Roman" w:eastAsia="Times New Roman" w:hAnsi="Times New Roman" w:cs="Times New Roman"/>
        </w:rPr>
      </w:pPr>
    </w:p>
    <w:p w14:paraId="6F7388A8" w14:textId="77777777" w:rsidR="000917E1" w:rsidRDefault="000917E1">
      <w:pPr>
        <w:spacing w:line="360" w:lineRule="auto"/>
        <w:rPr>
          <w:rFonts w:ascii="Times New Roman" w:eastAsia="Times New Roman" w:hAnsi="Times New Roman" w:cs="Times New Roman"/>
        </w:rPr>
      </w:pPr>
    </w:p>
    <w:p w14:paraId="3E4E8520" w14:textId="77777777" w:rsidR="000917E1" w:rsidRDefault="000917E1">
      <w:pPr>
        <w:spacing w:line="360" w:lineRule="auto"/>
        <w:jc w:val="center"/>
        <w:rPr>
          <w:rFonts w:ascii="Times New Roman" w:eastAsia="Times New Roman" w:hAnsi="Times New Roman" w:cs="Times New Roman"/>
          <w:b/>
          <w:bCs/>
          <w:sz w:val="28"/>
          <w:szCs w:val="28"/>
        </w:rPr>
      </w:pPr>
    </w:p>
    <w:p w14:paraId="6555EC46" w14:textId="77777777" w:rsidR="000917E1" w:rsidRDefault="00000000">
      <w:pPr>
        <w:spacing w:line="48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Using Co-creation to Explore Important Aspects of Peer-mentoring for Undergraduate Students</w:t>
      </w:r>
    </w:p>
    <w:p w14:paraId="70F26858" w14:textId="77777777" w:rsidR="000917E1" w:rsidRDefault="000917E1">
      <w:pPr>
        <w:spacing w:line="480" w:lineRule="auto"/>
        <w:rPr>
          <w:rFonts w:ascii="Times New Roman" w:eastAsia="Times New Roman" w:hAnsi="Times New Roman" w:cs="Times New Roman"/>
        </w:rPr>
      </w:pPr>
    </w:p>
    <w:p w14:paraId="18D373B4" w14:textId="77777777" w:rsidR="00376D69" w:rsidRDefault="00376D69">
      <w:pPr>
        <w:spacing w:line="480" w:lineRule="auto"/>
        <w:rPr>
          <w:rFonts w:ascii="Times New Roman" w:eastAsia="Times New Roman" w:hAnsi="Times New Roman" w:cs="Times New Roman"/>
        </w:rPr>
      </w:pPr>
    </w:p>
    <w:p w14:paraId="42D04F79" w14:textId="77777777" w:rsidR="00376D69" w:rsidRDefault="00376D69">
      <w:pPr>
        <w:spacing w:line="480" w:lineRule="auto"/>
        <w:rPr>
          <w:rFonts w:ascii="Times New Roman" w:eastAsia="Times New Roman" w:hAnsi="Times New Roman" w:cs="Times New Roman"/>
          <w:b/>
          <w:bCs/>
        </w:rPr>
      </w:pPr>
    </w:p>
    <w:p w14:paraId="1E99FCAB" w14:textId="77777777" w:rsidR="000917E1" w:rsidRDefault="00000000">
      <w:pPr>
        <w:spacing w:line="480" w:lineRule="auto"/>
        <w:jc w:val="center"/>
        <w:rPr>
          <w:rFonts w:ascii="Times New Roman" w:eastAsia="Times New Roman" w:hAnsi="Times New Roman" w:cs="Times New Roman"/>
        </w:rPr>
      </w:pPr>
      <w:r>
        <w:rPr>
          <w:rFonts w:ascii="Times New Roman" w:eastAsia="Times New Roman" w:hAnsi="Times New Roman" w:cs="Times New Roman"/>
        </w:rPr>
        <w:t>Word count: 6497</w:t>
      </w:r>
    </w:p>
    <w:p w14:paraId="147EF9F9" w14:textId="77777777" w:rsidR="000917E1" w:rsidRDefault="000917E1">
      <w:pPr>
        <w:spacing w:line="480" w:lineRule="auto"/>
        <w:rPr>
          <w:rFonts w:ascii="Times New Roman" w:eastAsia="Times New Roman" w:hAnsi="Times New Roman" w:cs="Times New Roman"/>
          <w:b/>
          <w:bCs/>
        </w:rPr>
      </w:pPr>
    </w:p>
    <w:p w14:paraId="664894BB" w14:textId="77777777" w:rsidR="000917E1" w:rsidRDefault="000917E1">
      <w:pPr>
        <w:spacing w:line="480" w:lineRule="auto"/>
        <w:rPr>
          <w:rFonts w:ascii="Times New Roman" w:eastAsia="Times New Roman" w:hAnsi="Times New Roman" w:cs="Times New Roman"/>
        </w:rPr>
      </w:pPr>
    </w:p>
    <w:p w14:paraId="097EAA85" w14:textId="77777777" w:rsidR="000917E1" w:rsidRDefault="000917E1">
      <w:pPr>
        <w:spacing w:line="480" w:lineRule="auto"/>
        <w:rPr>
          <w:rFonts w:ascii="Times New Roman" w:eastAsia="Times New Roman" w:hAnsi="Times New Roman" w:cs="Times New Roman"/>
        </w:rPr>
      </w:pPr>
    </w:p>
    <w:p w14:paraId="5B6068F6" w14:textId="77777777" w:rsidR="000917E1" w:rsidRDefault="000917E1">
      <w:pPr>
        <w:spacing w:line="480" w:lineRule="auto"/>
        <w:rPr>
          <w:rFonts w:ascii="Times New Roman" w:eastAsia="Times New Roman" w:hAnsi="Times New Roman" w:cs="Times New Roman"/>
        </w:rPr>
      </w:pPr>
    </w:p>
    <w:p w14:paraId="1CA78B7F" w14:textId="77777777" w:rsidR="000917E1" w:rsidRDefault="000917E1">
      <w:pPr>
        <w:spacing w:line="480" w:lineRule="auto"/>
        <w:rPr>
          <w:rFonts w:ascii="Times New Roman" w:eastAsia="Times New Roman" w:hAnsi="Times New Roman" w:cs="Times New Roman"/>
        </w:rPr>
      </w:pPr>
    </w:p>
    <w:p w14:paraId="2272CB96" w14:textId="77777777" w:rsidR="000917E1" w:rsidRDefault="000917E1">
      <w:pPr>
        <w:spacing w:line="480" w:lineRule="auto"/>
        <w:rPr>
          <w:rFonts w:ascii="Times New Roman" w:eastAsia="Times New Roman" w:hAnsi="Times New Roman" w:cs="Times New Roman"/>
        </w:rPr>
      </w:pPr>
    </w:p>
    <w:p w14:paraId="05E199D7" w14:textId="77777777" w:rsidR="00376D69" w:rsidRDefault="00376D69">
      <w:pPr>
        <w:spacing w:line="480" w:lineRule="auto"/>
        <w:rPr>
          <w:rFonts w:ascii="Times New Roman" w:eastAsia="Times New Roman" w:hAnsi="Times New Roman" w:cs="Times New Roman"/>
        </w:rPr>
      </w:pPr>
    </w:p>
    <w:p w14:paraId="2780212C" w14:textId="77777777" w:rsidR="00376D69" w:rsidRDefault="00376D69">
      <w:pPr>
        <w:spacing w:line="480" w:lineRule="auto"/>
        <w:rPr>
          <w:rFonts w:ascii="Times New Roman" w:eastAsia="Times New Roman" w:hAnsi="Times New Roman" w:cs="Times New Roman"/>
        </w:rPr>
      </w:pPr>
    </w:p>
    <w:p w14:paraId="3201D6C9" w14:textId="77777777" w:rsidR="00376D69" w:rsidRDefault="00376D69">
      <w:pPr>
        <w:spacing w:line="480" w:lineRule="auto"/>
        <w:rPr>
          <w:rFonts w:ascii="Times New Roman" w:eastAsia="Times New Roman" w:hAnsi="Times New Roman" w:cs="Times New Roman"/>
        </w:rPr>
      </w:pPr>
    </w:p>
    <w:p w14:paraId="60B2F5AB" w14:textId="77777777" w:rsidR="00376D69" w:rsidRDefault="00376D69">
      <w:pPr>
        <w:spacing w:line="480" w:lineRule="auto"/>
        <w:rPr>
          <w:rFonts w:ascii="Times New Roman" w:eastAsia="Times New Roman" w:hAnsi="Times New Roman" w:cs="Times New Roman"/>
        </w:rPr>
      </w:pPr>
    </w:p>
    <w:p w14:paraId="276B7EFC" w14:textId="77777777" w:rsidR="00376D69" w:rsidRDefault="00376D69">
      <w:pPr>
        <w:spacing w:line="480" w:lineRule="auto"/>
        <w:rPr>
          <w:rFonts w:ascii="Times New Roman" w:eastAsia="Times New Roman" w:hAnsi="Times New Roman" w:cs="Times New Roman"/>
        </w:rPr>
      </w:pPr>
    </w:p>
    <w:p w14:paraId="3625F98A" w14:textId="77777777" w:rsidR="00376D69" w:rsidRDefault="00376D69">
      <w:pPr>
        <w:spacing w:line="480" w:lineRule="auto"/>
        <w:rPr>
          <w:rFonts w:ascii="Times New Roman" w:eastAsia="Times New Roman" w:hAnsi="Times New Roman" w:cs="Times New Roman"/>
        </w:rPr>
      </w:pPr>
    </w:p>
    <w:p w14:paraId="4568CC32" w14:textId="77777777" w:rsidR="00376D69" w:rsidRDefault="00376D69">
      <w:pPr>
        <w:spacing w:line="480" w:lineRule="auto"/>
        <w:rPr>
          <w:rFonts w:ascii="Times New Roman" w:eastAsia="Times New Roman" w:hAnsi="Times New Roman" w:cs="Times New Roman"/>
        </w:rPr>
      </w:pPr>
    </w:p>
    <w:p w14:paraId="18496905" w14:textId="77777777" w:rsidR="00376D69" w:rsidRDefault="00376D69">
      <w:pPr>
        <w:spacing w:line="480" w:lineRule="auto"/>
        <w:rPr>
          <w:rFonts w:ascii="Times New Roman" w:eastAsia="Times New Roman" w:hAnsi="Times New Roman" w:cs="Times New Roman"/>
        </w:rPr>
      </w:pPr>
    </w:p>
    <w:p w14:paraId="62E8B3B6" w14:textId="77777777" w:rsidR="00376D69" w:rsidRDefault="00376D69">
      <w:pPr>
        <w:spacing w:line="480" w:lineRule="auto"/>
        <w:rPr>
          <w:rFonts w:ascii="Times New Roman" w:eastAsia="Times New Roman" w:hAnsi="Times New Roman" w:cs="Times New Roman"/>
          <w:b/>
          <w:bCs/>
        </w:rPr>
      </w:pPr>
    </w:p>
    <w:p w14:paraId="28F8ED0B" w14:textId="77777777" w:rsidR="000917E1" w:rsidRDefault="000917E1">
      <w:pPr>
        <w:spacing w:line="360" w:lineRule="auto"/>
        <w:jc w:val="center"/>
        <w:rPr>
          <w:rFonts w:ascii="Times New Roman" w:eastAsia="Times New Roman" w:hAnsi="Times New Roman" w:cs="Times New Roman"/>
          <w:b/>
          <w:bCs/>
        </w:rPr>
      </w:pPr>
    </w:p>
    <w:p w14:paraId="70AA97A2" w14:textId="77777777" w:rsidR="000917E1" w:rsidRDefault="00000000">
      <w:pPr>
        <w:spacing w:line="48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Abstract</w:t>
      </w:r>
    </w:p>
    <w:p w14:paraId="5B881D7B" w14:textId="77777777" w:rsidR="000917E1" w:rsidRDefault="000917E1">
      <w:pPr>
        <w:spacing w:line="480" w:lineRule="auto"/>
        <w:jc w:val="center"/>
        <w:rPr>
          <w:rFonts w:ascii="Times New Roman" w:eastAsia="Times New Roman" w:hAnsi="Times New Roman" w:cs="Times New Roman"/>
          <w:b/>
          <w:bCs/>
        </w:rPr>
      </w:pPr>
    </w:p>
    <w:p w14:paraId="0FDFECCD" w14:textId="77777777" w:rsidR="000917E1"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The challenges facing students in Higher Education are increasing. Peer mentoring can be used to support students, promote integration, and reduce drop-out, yet any peer mentoring programme should meet the needs of students without replacing other forms of support. This project used two co-creation workshops to explore undergraduate student (N=9) and staff (N=4) values of academic and pastoral support, to inform the design of future peer mentoring programmes. Thematic analysis was conducted on the audio recordings of the workshops. Themes included issues impacting mentees and mentors, and the mechanics of peer mentoring. These align with past research, however, there was a clear emphasis on the wellbeing of the mentors, showing the</w:t>
      </w:r>
      <w:r>
        <w:t xml:space="preserve"> </w:t>
      </w:r>
      <w:r>
        <w:rPr>
          <w:rFonts w:ascii="Times New Roman" w:eastAsia="Times New Roman" w:hAnsi="Times New Roman" w:cs="Times New Roman"/>
        </w:rPr>
        <w:t xml:space="preserve">importance of providing training and support for peer mentors. Co-creation gives a voice to students and staff and is an innovative way to approach peer mentoring. This method could be used to design future peer mentoring programs. </w:t>
      </w:r>
    </w:p>
    <w:p w14:paraId="1C8C2448" w14:textId="77777777" w:rsidR="000917E1" w:rsidRDefault="000917E1">
      <w:pPr>
        <w:spacing w:line="480" w:lineRule="auto"/>
        <w:rPr>
          <w:rFonts w:ascii="Times New Roman" w:eastAsia="Times New Roman" w:hAnsi="Times New Roman" w:cs="Times New Roman"/>
        </w:rPr>
      </w:pPr>
    </w:p>
    <w:p w14:paraId="47588D49" w14:textId="77777777" w:rsidR="000917E1" w:rsidRDefault="000917E1">
      <w:pPr>
        <w:spacing w:line="480" w:lineRule="auto"/>
        <w:rPr>
          <w:rFonts w:ascii="Times New Roman" w:eastAsia="Times New Roman" w:hAnsi="Times New Roman" w:cs="Times New Roman"/>
        </w:rPr>
      </w:pPr>
    </w:p>
    <w:p w14:paraId="2B310D07" w14:textId="77777777" w:rsidR="000917E1" w:rsidRDefault="00000000">
      <w:pPr>
        <w:spacing w:line="480" w:lineRule="auto"/>
        <w:rPr>
          <w:rFonts w:ascii="Times New Roman" w:eastAsia="Times New Roman" w:hAnsi="Times New Roman" w:cs="Times New Roman"/>
          <w:b/>
          <w:bCs/>
        </w:rPr>
      </w:pPr>
      <w:r>
        <w:rPr>
          <w:rFonts w:ascii="Times New Roman" w:eastAsia="Times New Roman" w:hAnsi="Times New Roman" w:cs="Times New Roman"/>
          <w:b/>
          <w:bCs/>
        </w:rPr>
        <w:t>Keywords</w:t>
      </w:r>
    </w:p>
    <w:p w14:paraId="13CD816A" w14:textId="77777777" w:rsidR="000917E1"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Peer-mentoring, co-creation, transition to university, wellbeing, retention</w:t>
      </w:r>
    </w:p>
    <w:p w14:paraId="4DEA7801" w14:textId="77777777" w:rsidR="000917E1" w:rsidRDefault="000917E1">
      <w:pPr>
        <w:spacing w:line="480" w:lineRule="auto"/>
        <w:rPr>
          <w:rFonts w:ascii="Times New Roman" w:eastAsia="Times New Roman" w:hAnsi="Times New Roman" w:cs="Times New Roman"/>
        </w:rPr>
      </w:pPr>
    </w:p>
    <w:p w14:paraId="370A968E" w14:textId="77777777" w:rsidR="000917E1" w:rsidRDefault="000917E1">
      <w:pPr>
        <w:spacing w:line="480" w:lineRule="auto"/>
        <w:rPr>
          <w:rFonts w:ascii="Times New Roman" w:eastAsia="Times New Roman" w:hAnsi="Times New Roman" w:cs="Times New Roman"/>
        </w:rPr>
      </w:pPr>
    </w:p>
    <w:p w14:paraId="2C3E9769" w14:textId="77777777" w:rsidR="000917E1" w:rsidRDefault="000917E1">
      <w:pPr>
        <w:spacing w:line="480" w:lineRule="auto"/>
        <w:rPr>
          <w:rFonts w:ascii="Times New Roman" w:eastAsia="Times New Roman" w:hAnsi="Times New Roman" w:cs="Times New Roman"/>
        </w:rPr>
      </w:pPr>
    </w:p>
    <w:p w14:paraId="7843581B" w14:textId="77777777" w:rsidR="000917E1" w:rsidRDefault="000917E1">
      <w:pPr>
        <w:spacing w:line="480" w:lineRule="auto"/>
        <w:rPr>
          <w:rFonts w:ascii="Times New Roman" w:eastAsia="Times New Roman" w:hAnsi="Times New Roman" w:cs="Times New Roman"/>
        </w:rPr>
      </w:pPr>
    </w:p>
    <w:p w14:paraId="4A97F028" w14:textId="77777777" w:rsidR="000917E1" w:rsidRDefault="000917E1">
      <w:pPr>
        <w:spacing w:line="480" w:lineRule="auto"/>
        <w:rPr>
          <w:rFonts w:ascii="Times New Roman" w:eastAsia="Times New Roman" w:hAnsi="Times New Roman" w:cs="Times New Roman"/>
        </w:rPr>
      </w:pPr>
    </w:p>
    <w:p w14:paraId="41E4FB2F" w14:textId="77777777" w:rsidR="000917E1" w:rsidRDefault="000917E1">
      <w:pPr>
        <w:spacing w:line="480" w:lineRule="auto"/>
        <w:rPr>
          <w:rFonts w:ascii="Times New Roman" w:eastAsia="Times New Roman" w:hAnsi="Times New Roman" w:cs="Times New Roman"/>
        </w:rPr>
      </w:pPr>
    </w:p>
    <w:p w14:paraId="08850CF3" w14:textId="77777777" w:rsidR="000917E1" w:rsidRDefault="000917E1">
      <w:pPr>
        <w:spacing w:line="480" w:lineRule="auto"/>
        <w:rPr>
          <w:rFonts w:ascii="Times New Roman" w:eastAsia="Times New Roman" w:hAnsi="Times New Roman" w:cs="Times New Roman"/>
        </w:rPr>
      </w:pPr>
    </w:p>
    <w:p w14:paraId="734E75B4" w14:textId="77777777" w:rsidR="000917E1" w:rsidRDefault="000917E1">
      <w:pPr>
        <w:spacing w:line="480" w:lineRule="auto"/>
        <w:rPr>
          <w:rFonts w:ascii="Times New Roman" w:eastAsia="Times New Roman" w:hAnsi="Times New Roman" w:cs="Times New Roman"/>
        </w:rPr>
      </w:pPr>
    </w:p>
    <w:p w14:paraId="240679C5" w14:textId="77777777" w:rsidR="000917E1" w:rsidRDefault="00000000">
      <w:pPr>
        <w:spacing w:line="48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Introduction</w:t>
      </w:r>
    </w:p>
    <w:p w14:paraId="277A4C51" w14:textId="77777777" w:rsidR="000917E1" w:rsidRDefault="000917E1">
      <w:pPr>
        <w:spacing w:line="480" w:lineRule="auto"/>
        <w:jc w:val="center"/>
        <w:rPr>
          <w:rFonts w:ascii="Times New Roman" w:eastAsia="Times New Roman" w:hAnsi="Times New Roman" w:cs="Times New Roman"/>
          <w:b/>
          <w:bCs/>
          <w:color w:val="000000"/>
        </w:rPr>
      </w:pPr>
    </w:p>
    <w:p w14:paraId="19CE796C"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Student retention is arguably one of the biggest challenges facing Higher Education institutions in the UK. In the 2019/2020 academic year, the Higher Education Statistics Agency estimated drop-out rates from UK universities at 5.3% (HESA, 2022) and according to the Student Loans Company, this number has increased (SLC, 2023). This is supported by a survey of over 1000 UK students by the Higher Education Policy Institute (HEPI) that showed one in seven students had considered dropping out of university (Hanna, 2023). The HEPI reported the biggest reason for drop-out was the cost of living, but there are other factors that may influence the decision to withdraw, such as mental wellbeing, with one in six students reporting mental health difficulties (TASO, 2023). </w:t>
      </w:r>
    </w:p>
    <w:p w14:paraId="2114EE57" w14:textId="77777777" w:rsidR="000917E1" w:rsidRDefault="00000000">
      <w:pPr>
        <w:spacing w:line="480" w:lineRule="auto"/>
        <w:ind w:firstLine="720"/>
        <w:rPr>
          <w:rFonts w:ascii="Times New Roman" w:eastAsia="Times New Roman" w:hAnsi="Times New Roman" w:cs="Times New Roman"/>
          <w:color w:val="4472C4"/>
        </w:rPr>
      </w:pPr>
      <w:r>
        <w:rPr>
          <w:rFonts w:ascii="Times New Roman" w:eastAsia="Times New Roman" w:hAnsi="Times New Roman" w:cs="Times New Roman"/>
          <w:color w:val="000000"/>
        </w:rPr>
        <w:t xml:space="preserve">According to Hixenbaugh et al. (2005), key issues affecting withdrawal include a lack of preparedness for higher education, a change in personal circumstances, financial issues, competing pressures from paid work, and a lack of satisfaction with the course or institution. An early review from Tinto (1975) separated the causes of drop-out into external factors, such as finances and part-time work, and internal factors, specifically the level of integration with peers and the congruency between one’s own values and the values of the institution. He argued that greater integration with others and with the university would result in increased commitment to studies and </w:t>
      </w:r>
      <w:r w:rsidRPr="00886505">
        <w:rPr>
          <w:rFonts w:ascii="Times New Roman" w:eastAsia="Times New Roman" w:hAnsi="Times New Roman" w:cs="Times New Roman"/>
          <w:color w:val="000000" w:themeColor="text1"/>
        </w:rPr>
        <w:t xml:space="preserve">reduced drop-out. Such factors impacting withdrawal have also been highlighted by recent work showing the importance of academic and social integration (e.g., Kehm et al., 2019; Lorenzo-Quiles et al., 2023). However, this research also acknowledges other aspects such as a student’s socioeconomic and sociodemographic background, personal characteristics, and the level of support obtained from family.  </w:t>
      </w:r>
    </w:p>
    <w:p w14:paraId="3B084BBC" w14:textId="77777777" w:rsidR="000917E1" w:rsidRPr="00886505" w:rsidRDefault="00000000">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rPr>
        <w:tab/>
        <w:t xml:space="preserve">One way to provide additional support to students and encourage integration is through peer mentoring, a system that ‘pairs one or more students (i.e., mentees) with a more </w:t>
      </w:r>
      <w:r>
        <w:rPr>
          <w:rFonts w:ascii="Times New Roman" w:eastAsia="Times New Roman" w:hAnsi="Times New Roman" w:cs="Times New Roman"/>
          <w:color w:val="000000"/>
        </w:rPr>
        <w:lastRenderedPageBreak/>
        <w:t xml:space="preserve">experienced student (i.e., peer mentor) who provides both practical guidance and social support to the mentees’ (Yomtov et al., 2017, p.26). Jacobi (1991) stated that mentoring provides emotional and psychological support, helps with careers and professional development, and enables role modelling. This was shown by Treston (1999) who conducted a unique evaluation on a long-running peer mentoring programme. She found that the programme resulted in benefits to mentees (bonding with existing students, gaining information and knowledge about their course and the university in general, reduced isolation, and improved IT skills), benefits to mentors (satisfaction gained from helping others, increased subject-knowledge, the ability to practise and further develop skills, and enhanced employability), and benefits to the institution (reduced drop-out and reduced workload for staff). Hixenbaugh et al. (2005) also found benefits of </w:t>
      </w:r>
      <w:r>
        <w:rPr>
          <w:rFonts w:ascii="Times New Roman" w:eastAsia="Times New Roman" w:hAnsi="Times New Roman" w:cs="Times New Roman"/>
        </w:rPr>
        <w:t>e-peer mentoring</w:t>
      </w:r>
      <w:r>
        <w:rPr>
          <w:rFonts w:ascii="Times New Roman" w:eastAsia="Times New Roman" w:hAnsi="Times New Roman" w:cs="Times New Roman"/>
          <w:color w:val="000000"/>
        </w:rPr>
        <w:t xml:space="preserve">, such as engagement with a </w:t>
      </w:r>
      <w:r w:rsidRPr="00886505">
        <w:rPr>
          <w:rFonts w:ascii="Times New Roman" w:eastAsia="Times New Roman" w:hAnsi="Times New Roman" w:cs="Times New Roman"/>
          <w:color w:val="000000" w:themeColor="text1"/>
        </w:rPr>
        <w:t xml:space="preserve">mentor increasing a mentees’ social integration. These early findings are supported by a review from Le et al. (2024), outlining that four key benefits of peer mentoring are improvements to academic performance, wellbeing, retention, and social integration. </w:t>
      </w:r>
    </w:p>
    <w:p w14:paraId="484E33C1" w14:textId="77777777" w:rsidR="000917E1" w:rsidRDefault="00000000">
      <w:pPr>
        <w:spacing w:line="480" w:lineRule="auto"/>
        <w:ind w:firstLine="720"/>
        <w:rPr>
          <w:rFonts w:ascii="Times New Roman" w:eastAsia="Times New Roman" w:hAnsi="Times New Roman" w:cs="Times New Roman"/>
          <w:color w:val="000000"/>
        </w:rPr>
      </w:pPr>
      <w:r w:rsidRPr="00886505">
        <w:rPr>
          <w:rFonts w:ascii="Times New Roman" w:eastAsia="Times New Roman" w:hAnsi="Times New Roman" w:cs="Times New Roman"/>
          <w:color w:val="000000" w:themeColor="text1"/>
        </w:rPr>
        <w:t xml:space="preserve">Studies show that peer mentoring </w:t>
      </w:r>
      <w:r>
        <w:rPr>
          <w:rFonts w:ascii="Times New Roman" w:eastAsia="Times New Roman" w:hAnsi="Times New Roman" w:cs="Times New Roman"/>
          <w:color w:val="000000"/>
        </w:rPr>
        <w:t xml:space="preserve">has the greatest impact in the early stages of a course, when students are making the transition to university (Collings et al., 2016; Page &amp; Hanna, 2008). This also coincides with the point at which students are most likely to drop-out. Matheson et al. (2018) argued that successful transition is closely associated with academic and social integration (Tinto, 1975), and opportunities to support transition and, therefore, foster and encourage integration should be embedded into courses. Lizzio (2006) </w:t>
      </w:r>
      <w:r>
        <w:rPr>
          <w:color w:val="000000"/>
        </w:rPr>
        <w:t xml:space="preserve">     </w:t>
      </w:r>
      <w:r>
        <w:rPr>
          <w:rFonts w:ascii="Times New Roman" w:eastAsia="Times New Roman" w:hAnsi="Times New Roman" w:cs="Times New Roman"/>
          <w:color w:val="000000"/>
        </w:rPr>
        <w:t xml:space="preserve">outlined five key ‘senses’ to successful transition into, </w:t>
      </w:r>
      <w:proofErr w:type="spellStart"/>
      <w:r>
        <w:rPr>
          <w:rFonts w:ascii="Times New Roman" w:eastAsia="Times New Roman" w:hAnsi="Times New Roman" w:cs="Times New Roman"/>
          <w:color w:val="000000"/>
        </w:rPr>
        <w:t>through</w:t>
      </w:r>
      <w:proofErr w:type="spellEnd"/>
      <w:r>
        <w:rPr>
          <w:rFonts w:ascii="Times New Roman" w:eastAsia="Times New Roman" w:hAnsi="Times New Roman" w:cs="Times New Roman"/>
          <w:color w:val="000000"/>
        </w:rPr>
        <w:t>, and out of higher education, one of which is building a sense of connectedness. This is related to a sense of belonging, which is essential for student engagement and academic success (Thomas, 2012). Thomas (2012)</w:t>
      </w:r>
      <w:r>
        <w:rPr>
          <w:color w:val="000000"/>
        </w:rPr>
        <w:t xml:space="preserve"> </w:t>
      </w:r>
      <w:r>
        <w:rPr>
          <w:rFonts w:ascii="Times New Roman" w:eastAsia="Times New Roman" w:hAnsi="Times New Roman" w:cs="Times New Roman"/>
          <w:color w:val="000000"/>
        </w:rPr>
        <w:t xml:space="preserve">argued that one way to develop and encourage belonging is through helpful peer </w:t>
      </w:r>
      <w:r>
        <w:rPr>
          <w:rFonts w:ascii="Times New Roman" w:eastAsia="Times New Roman" w:hAnsi="Times New Roman" w:cs="Times New Roman"/>
          <w:color w:val="000000"/>
        </w:rPr>
        <w:lastRenderedPageBreak/>
        <w:t>relationships, something that can potentially be achieved via peer mentoring. Supporting this, Cornelius et al. (2016) proposed that, depending on the design, a peer mentoring programme has the potential to increase a student’s sense of belonging, improve their transition experience, and increase commitment to and engagement with their studies.</w:t>
      </w:r>
    </w:p>
    <w:p w14:paraId="7B243F63"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Recent reviews highlighting the value of peer mentoring programmes within higher education show that they can aid students in a variety of ways. </w:t>
      </w:r>
      <w:proofErr w:type="spellStart"/>
      <w:r>
        <w:rPr>
          <w:rFonts w:ascii="Times New Roman" w:eastAsia="Times New Roman" w:hAnsi="Times New Roman" w:cs="Times New Roman"/>
          <w:color w:val="000000"/>
        </w:rPr>
        <w:t>Gehreke</w:t>
      </w:r>
      <w:proofErr w:type="spellEnd"/>
      <w:r>
        <w:rPr>
          <w:rFonts w:ascii="Times New Roman" w:eastAsia="Times New Roman" w:hAnsi="Times New Roman" w:cs="Times New Roman"/>
          <w:color w:val="000000"/>
        </w:rPr>
        <w:t xml:space="preserve"> and colleagues (2024) found that peer mentoring has the scope to improve social integration, academic integration, adaptation to university life, employability, soft skills, and emotionality (e.g., reduction in stress, anxiety, and isolation). In turn, these impacts have a positive influence on retention and sense of belonging. </w:t>
      </w:r>
    </w:p>
    <w:p w14:paraId="38A0B5B9"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A peer mentoring</w:t>
      </w:r>
      <w:r>
        <w:rPr>
          <w:color w:val="000000"/>
        </w:rPr>
        <w:t xml:space="preserve"> </w:t>
      </w:r>
      <w:r>
        <w:rPr>
          <w:rFonts w:ascii="Times New Roman" w:eastAsia="Times New Roman" w:hAnsi="Times New Roman" w:cs="Times New Roman"/>
          <w:color w:val="000000"/>
        </w:rPr>
        <w:t>programme can therefore benefit students (both mentees and mentors) and benefit an institution, yet it is important to ensure that any</w:t>
      </w:r>
      <w:r>
        <w:rPr>
          <w:color w:val="000000"/>
        </w:rPr>
        <w:t xml:space="preserve"> </w:t>
      </w:r>
      <w:r>
        <w:rPr>
          <w:rFonts w:ascii="Times New Roman" w:eastAsia="Times New Roman" w:hAnsi="Times New Roman" w:cs="Times New Roman"/>
          <w:color w:val="000000"/>
        </w:rPr>
        <w:t>programme is suited to the requirements of those involved. Page and Hanna (2008) raised the concern that a</w:t>
      </w:r>
      <w:r>
        <w:rPr>
          <w:color w:val="000000"/>
        </w:rPr>
        <w:t xml:space="preserve"> </w:t>
      </w:r>
      <w:r>
        <w:rPr>
          <w:rFonts w:ascii="Times New Roman" w:eastAsia="Times New Roman" w:hAnsi="Times New Roman" w:cs="Times New Roman"/>
          <w:color w:val="000000"/>
        </w:rPr>
        <w:t xml:space="preserve">programme designed and </w:t>
      </w:r>
      <w:r w:rsidRPr="00886505">
        <w:rPr>
          <w:rFonts w:ascii="Times New Roman" w:eastAsia="Times New Roman" w:hAnsi="Times New Roman" w:cs="Times New Roman"/>
          <w:color w:val="000000" w:themeColor="text1"/>
        </w:rPr>
        <w:t xml:space="preserve">imposed by a university (without input from students) may </w:t>
      </w:r>
      <w:r>
        <w:rPr>
          <w:rFonts w:ascii="Times New Roman" w:eastAsia="Times New Roman" w:hAnsi="Times New Roman" w:cs="Times New Roman"/>
          <w:color w:val="000000"/>
        </w:rPr>
        <w:t xml:space="preserve">not be perceived positively by students (potentially because it does not meet their needs). Whilst staff can be compassionate to a student’s situation, signposting relevant information and services, their own experience of being a student is possibly too different and/or too distant to really appreciate and understand what a current student is going through. Indeed, the American Psychological Association (APA) states that one benefit of peer mentoring is having someone to communicate with who has been through the same thing (Williams-Nickelson, 2007). It is therefore crucial that the design of any peer mentoring programme incorporates the views and opinions of students (see also O’Shea et al., 2015). </w:t>
      </w:r>
    </w:p>
    <w:p w14:paraId="08683E52"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aim of the current project was to explore the aspects of peer mentoring that would enable a peer mentoring programme to benefit incoming undergraduate students (mentees) and current undergraduate students (mentors) without replacing or reducing the effectiveness </w:t>
      </w:r>
      <w:r>
        <w:rPr>
          <w:rFonts w:ascii="Times New Roman" w:eastAsia="Times New Roman" w:hAnsi="Times New Roman" w:cs="Times New Roman"/>
          <w:color w:val="000000"/>
        </w:rPr>
        <w:lastRenderedPageBreak/>
        <w:t>of any existing student support offering. To achieve this, undergraduate students and academics from psychology were invited to co-creation workshops in which they worked independently, and as a group, on a series of activities that involved them sharing opinions and ideas about student support in general and peer mentoring more specifically. The benefit of including both staff and students was that students have experience of the learning environment and related challenges that staff do not have, whereas staff know about the support that is already offered within the university, ensuring that any future peer mentoring programme would provide a unique support opportunity.</w:t>
      </w:r>
    </w:p>
    <w:p w14:paraId="222B878A"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Co-creation in the field of higher education is the ‘design of the content, structure and processes of courses and programmes through a dynamic interaction between staff and students’ (Bovill, 2013, p.463). It allows staff and students to work together to design course elements, giving both groups a ‘voice’ in the process and the product. The current project largely followed the work of Galpin et al. (2022) who used a values-led design approach to co-create aspects of their undergraduate curriculum. This approach involves participants engaging in activities such as telling stories and playing games, which encourage participants to share their values and consider how these values might be implemented. Galpin et al. (2022) argued that to provide an opportunity for staff and students to share and reflect on their own values, activities should give scope for individual consideration of viewpoints and group discussion, provide an element of anonymity, and be non-threatening. The present work used the activities selected by Galpin and colleagues to ensure a comfortable and creative environment within the workshops.</w:t>
      </w:r>
    </w:p>
    <w:p w14:paraId="7AFB7200" w14:textId="77777777" w:rsidR="000917E1" w:rsidRDefault="000917E1">
      <w:pPr>
        <w:spacing w:line="480" w:lineRule="auto"/>
        <w:ind w:firstLine="720"/>
        <w:rPr>
          <w:rFonts w:ascii="Times New Roman" w:eastAsia="Times New Roman" w:hAnsi="Times New Roman" w:cs="Times New Roman"/>
          <w:color w:val="000000"/>
        </w:rPr>
      </w:pPr>
    </w:p>
    <w:p w14:paraId="1B516509" w14:textId="77777777" w:rsidR="000917E1" w:rsidRDefault="000917E1">
      <w:pPr>
        <w:spacing w:line="480" w:lineRule="auto"/>
        <w:jc w:val="center"/>
        <w:rPr>
          <w:rFonts w:ascii="Times New Roman" w:eastAsia="Times New Roman" w:hAnsi="Times New Roman" w:cs="Times New Roman"/>
          <w:b/>
          <w:bCs/>
          <w:color w:val="000000"/>
        </w:rPr>
      </w:pPr>
    </w:p>
    <w:p w14:paraId="1C9DC7A3" w14:textId="77777777" w:rsidR="000917E1" w:rsidRDefault="000917E1">
      <w:pPr>
        <w:spacing w:line="480" w:lineRule="auto"/>
        <w:jc w:val="center"/>
        <w:rPr>
          <w:rFonts w:ascii="Times New Roman" w:eastAsia="Times New Roman" w:hAnsi="Times New Roman" w:cs="Times New Roman"/>
          <w:b/>
          <w:bCs/>
          <w:color w:val="000000"/>
        </w:rPr>
      </w:pPr>
    </w:p>
    <w:p w14:paraId="6C0088FC" w14:textId="77777777" w:rsidR="000917E1" w:rsidRDefault="000917E1">
      <w:pPr>
        <w:spacing w:line="480" w:lineRule="auto"/>
        <w:jc w:val="center"/>
        <w:rPr>
          <w:rFonts w:ascii="Times New Roman" w:eastAsia="Times New Roman" w:hAnsi="Times New Roman" w:cs="Times New Roman"/>
          <w:b/>
          <w:bCs/>
          <w:color w:val="000000"/>
        </w:rPr>
      </w:pPr>
    </w:p>
    <w:p w14:paraId="6B942467" w14:textId="77777777" w:rsidR="000917E1" w:rsidRDefault="00000000">
      <w:pPr>
        <w:spacing w:line="48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Materials and Methods</w:t>
      </w:r>
    </w:p>
    <w:p w14:paraId="2D45832C" w14:textId="77777777" w:rsidR="000917E1" w:rsidRDefault="000917E1">
      <w:pPr>
        <w:spacing w:line="480" w:lineRule="auto"/>
        <w:rPr>
          <w:rFonts w:ascii="Times New Roman" w:eastAsia="Times New Roman" w:hAnsi="Times New Roman" w:cs="Times New Roman"/>
          <w:b/>
          <w:bCs/>
          <w:color w:val="000000"/>
        </w:rPr>
      </w:pPr>
    </w:p>
    <w:p w14:paraId="5EC5FD48"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Study Design</w:t>
      </w:r>
    </w:p>
    <w:p w14:paraId="6C92AC3D" w14:textId="38F7E2EA" w:rsidR="000917E1" w:rsidRDefault="00000000">
      <w:pPr>
        <w:spacing w:line="480" w:lineRule="auto"/>
        <w:rPr>
          <w:rFonts w:ascii="Times New Roman" w:eastAsia="Times New Roman" w:hAnsi="Times New Roman" w:cs="Times New Roman"/>
          <w:color w:val="000000"/>
        </w:rPr>
      </w:pPr>
      <w:r w:rsidRPr="00886505">
        <w:rPr>
          <w:rFonts w:ascii="Times New Roman" w:eastAsia="Times New Roman" w:hAnsi="Times New Roman" w:cs="Times New Roman"/>
          <w:color w:val="000000" w:themeColor="text1"/>
        </w:rPr>
        <w:t xml:space="preserve">Using a qualitative activity-based focus group design, two </w:t>
      </w:r>
      <w:r>
        <w:rPr>
          <w:rFonts w:ascii="Times New Roman" w:eastAsia="Times New Roman" w:hAnsi="Times New Roman" w:cs="Times New Roman"/>
          <w:color w:val="000000"/>
        </w:rPr>
        <w:t xml:space="preserve">co-creation workshops were conducted to obtain views and ideas about peer mentoring. Ethical approval was gained from the School of Psychology Ethics Committee at </w:t>
      </w:r>
      <w:r w:rsidR="00376D69">
        <w:rPr>
          <w:rFonts w:ascii="Times New Roman" w:eastAsia="Times New Roman" w:hAnsi="Times New Roman" w:cs="Times New Roman"/>
          <w:color w:val="000000"/>
        </w:rPr>
        <w:t>(</w:t>
      </w:r>
      <w:r w:rsidR="00376D69">
        <w:rPr>
          <w:rFonts w:ascii="Times New Roman" w:eastAsia="Times New Roman" w:hAnsi="Times New Roman" w:cs="Times New Roman"/>
        </w:rPr>
        <w:t>institution to be added after double-blind review</w:t>
      </w:r>
      <w:r w:rsidR="00376D69">
        <w:rPr>
          <w:rFonts w:ascii="Times New Roman" w:eastAsia="Times New Roman" w:hAnsi="Times New Roman" w:cs="Times New Roman"/>
        </w:rPr>
        <w: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highlight w:val="white"/>
        </w:rPr>
        <w:t>PSYJM13241</w:t>
      </w:r>
      <w:r>
        <w:rPr>
          <w:rFonts w:ascii="Times New Roman" w:eastAsia="Times New Roman" w:hAnsi="Times New Roman" w:cs="Times New Roman"/>
          <w:color w:val="000000"/>
        </w:rPr>
        <w:t xml:space="preserve">). </w:t>
      </w:r>
    </w:p>
    <w:p w14:paraId="51E68E61" w14:textId="77777777" w:rsidR="000917E1" w:rsidRDefault="000917E1">
      <w:pPr>
        <w:spacing w:line="480" w:lineRule="auto"/>
        <w:rPr>
          <w:rFonts w:ascii="Times New Roman" w:eastAsia="Times New Roman" w:hAnsi="Times New Roman" w:cs="Times New Roman"/>
          <w:color w:val="000000"/>
        </w:rPr>
      </w:pPr>
    </w:p>
    <w:p w14:paraId="14F10093"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Participants</w:t>
      </w:r>
    </w:p>
    <w:p w14:paraId="7CAFB900"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Students and staff were recruited via online announcements and emails, and thirteen individuals (P1-P13) participated in February and March 2024. There were eight participants (five females, three males) in workshop 1 (five second-years, one </w:t>
      </w:r>
      <w:proofErr w:type="gramStart"/>
      <w:r>
        <w:rPr>
          <w:rFonts w:ascii="Times New Roman" w:eastAsia="Times New Roman" w:hAnsi="Times New Roman" w:cs="Times New Roman"/>
          <w:color w:val="000000"/>
        </w:rPr>
        <w:t>third-year</w:t>
      </w:r>
      <w:proofErr w:type="gramEnd"/>
      <w:r>
        <w:rPr>
          <w:rFonts w:ascii="Times New Roman" w:eastAsia="Times New Roman" w:hAnsi="Times New Roman" w:cs="Times New Roman"/>
          <w:color w:val="000000"/>
        </w:rPr>
        <w:t>, and two senior lecturers) and five participants (four females, one male) in workshop 2 (one first-year, one second-year, one third-year, one professional tutor, and one lecturer). The workshops were open to and were advertised to all undergraduate Psychology students (approximately 500 students) and all academic staff in the School of Psychology (22 academics). Participation therefore involved approximately 2% of students and 18% of staff.</w:t>
      </w:r>
    </w:p>
    <w:p w14:paraId="7C593EA4"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were six students completing a BSc Psychology degree and three students taking Psychology with another discipline (such as Psychology and Criminology). Student participants (seven females and two males) were aged between 20 and 31 years old with a mean age of 22.56 years. Eight had moved away from home for university and one lived at home. Five students were originally from England, the other students had moved to England from countries including Northern Ireland, Poland, Germany, and Indonesia. All were studying full-time. All staff participants (two females and two males) had worked in the department for over five years, three worked full-time and one worked part-time. They were </w:t>
      </w:r>
      <w:r>
        <w:rPr>
          <w:rFonts w:ascii="Times New Roman" w:eastAsia="Times New Roman" w:hAnsi="Times New Roman" w:cs="Times New Roman"/>
          <w:color w:val="000000"/>
        </w:rPr>
        <w:lastRenderedPageBreak/>
        <w:t xml:space="preserve">aged 41-58 years old with a mean age of 52.75 years. Three staff participants were from England, and one was from </w:t>
      </w:r>
      <w:r w:rsidRPr="00886505">
        <w:rPr>
          <w:rFonts w:ascii="Times New Roman" w:eastAsia="Times New Roman" w:hAnsi="Times New Roman" w:cs="Times New Roman"/>
          <w:color w:val="000000" w:themeColor="text1"/>
        </w:rPr>
        <w:t xml:space="preserve">Canada. The student co-authors </w:t>
      </w:r>
      <w:r>
        <w:rPr>
          <w:rFonts w:ascii="Times New Roman" w:eastAsia="Times New Roman" w:hAnsi="Times New Roman" w:cs="Times New Roman"/>
        </w:rPr>
        <w:t>(CA and CK)</w:t>
      </w:r>
      <w:r>
        <w:rPr>
          <w:rFonts w:ascii="Times New Roman" w:eastAsia="Times New Roman" w:hAnsi="Times New Roman" w:cs="Times New Roman"/>
          <w:color w:val="000000"/>
        </w:rPr>
        <w:t xml:space="preserve"> participated in workshop 1. All participants were given a £15 voucher as a thank you for their time.</w:t>
      </w:r>
    </w:p>
    <w:p w14:paraId="06C50D59"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09DB4DF"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Procedure</w:t>
      </w:r>
    </w:p>
    <w:p w14:paraId="4D30A8ED"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workshops took place in-person in a classroom on-campus and were </w:t>
      </w:r>
      <w:r w:rsidRPr="00886505">
        <w:rPr>
          <w:rFonts w:ascii="Times New Roman" w:eastAsia="Times New Roman" w:hAnsi="Times New Roman" w:cs="Times New Roman"/>
          <w:color w:val="000000" w:themeColor="text1"/>
        </w:rPr>
        <w:t xml:space="preserve">facilitated by staff co-authors CT and EB. </w:t>
      </w:r>
      <w:r>
        <w:rPr>
          <w:rFonts w:ascii="Times New Roman" w:eastAsia="Times New Roman" w:hAnsi="Times New Roman" w:cs="Times New Roman"/>
          <w:color w:val="000000"/>
        </w:rPr>
        <w:t>They lasted 3-hours each, including comfort and refreshment breaks. Participants were welcomed to the workshop, introductions were made, and ground rules were established. These included not speaking over each other, allowing everyone to express their views, valuing the opinions of others, and keeping everything discussed in the workshop confidential. The group were then taken through three activities, described below. These activities were suitable because they do not rely on experience or knowledge of higher education or psychology. Consequently, participants in the workshops were equal, and staff were not favoured over students. Audio from the workshops was recorded through Zoom (Zoom Video Communications Inc., 2024) using an Owl (Owl Labs, 2022). This automatically transcribed the conversations.</w:t>
      </w:r>
    </w:p>
    <w:p w14:paraId="5ECD64BC" w14:textId="77777777" w:rsidR="000917E1" w:rsidRDefault="000917E1">
      <w:pPr>
        <w:spacing w:line="480" w:lineRule="auto"/>
        <w:rPr>
          <w:rFonts w:ascii="Times New Roman" w:eastAsia="Times New Roman" w:hAnsi="Times New Roman" w:cs="Times New Roman"/>
          <w:i/>
          <w:iCs/>
          <w:color w:val="000000"/>
        </w:rPr>
      </w:pPr>
    </w:p>
    <w:p w14:paraId="089E7BEF"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The Worst Idea</w:t>
      </w:r>
    </w:p>
    <w:p w14:paraId="43052810"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first activity (see Mattimore, 2012) participants were given 10-minutes to individually think of and write down their perceived worst possible peer mentoring scenario. This could be from the perspective of the mentor, or the mentee. One-by-one, each participant then presented their scenario to the rest of the group and outlined all the negative aspects of it. The group were then challenged to identify any positives from the scenario. </w:t>
      </w:r>
    </w:p>
    <w:p w14:paraId="37DEB60B" w14:textId="77777777" w:rsidR="000917E1" w:rsidRDefault="000917E1">
      <w:pPr>
        <w:spacing w:line="480" w:lineRule="auto"/>
        <w:rPr>
          <w:rFonts w:ascii="Times New Roman" w:eastAsia="Times New Roman" w:hAnsi="Times New Roman" w:cs="Times New Roman"/>
          <w:color w:val="000000"/>
        </w:rPr>
      </w:pPr>
    </w:p>
    <w:p w14:paraId="75FAA1BA" w14:textId="77777777" w:rsidR="000917E1" w:rsidRDefault="000917E1">
      <w:pPr>
        <w:spacing w:line="480" w:lineRule="auto"/>
        <w:rPr>
          <w:rFonts w:ascii="Times New Roman" w:eastAsia="Times New Roman" w:hAnsi="Times New Roman" w:cs="Times New Roman"/>
          <w:color w:val="000000"/>
        </w:rPr>
      </w:pPr>
    </w:p>
    <w:p w14:paraId="5518FA5C"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lastRenderedPageBreak/>
        <w:t>Start, Stop, Continue</w:t>
      </w:r>
    </w:p>
    <w:p w14:paraId="3A498B11"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this activity (see Hoon et al., 2015) participants were given </w:t>
      </w:r>
      <w:proofErr w:type="spellStart"/>
      <w:r>
        <w:rPr>
          <w:rFonts w:ascii="Times New Roman" w:eastAsia="Times New Roman" w:hAnsi="Times New Roman" w:cs="Times New Roman"/>
          <w:color w:val="000000"/>
        </w:rPr>
        <w:t>post-it</w:t>
      </w:r>
      <w:proofErr w:type="spellEnd"/>
      <w:r>
        <w:rPr>
          <w:rFonts w:ascii="Times New Roman" w:eastAsia="Times New Roman" w:hAnsi="Times New Roman" w:cs="Times New Roman"/>
          <w:color w:val="000000"/>
        </w:rPr>
        <w:t xml:space="preserve"> notes and asked to think about the current offering at the University in terms of student support and write down things they wanted to ‘start’, ‘stop’, and ‘continue’ doing. They were asked to write each idea down on a separate note, and after 15-minutes were instructed to take their notes and arrange them together on a large table. The notes were arranged under the headings of ‘start’, ‘stop’, and ‘continue’ and once arranged, participants took time to read the different ideas. The group then worked together to arrange the ideas into themes. To provide examples, one of the themes focused on tutor office hours, another </w:t>
      </w:r>
      <w:proofErr w:type="gramStart"/>
      <w:r>
        <w:rPr>
          <w:rFonts w:ascii="Times New Roman" w:eastAsia="Times New Roman" w:hAnsi="Times New Roman" w:cs="Times New Roman"/>
          <w:color w:val="000000"/>
        </w:rPr>
        <w:t>focused on</w:t>
      </w:r>
      <w:proofErr w:type="gramEnd"/>
      <w:r>
        <w:rPr>
          <w:rFonts w:ascii="Times New Roman" w:eastAsia="Times New Roman" w:hAnsi="Times New Roman" w:cs="Times New Roman"/>
          <w:color w:val="000000"/>
        </w:rPr>
        <w:t xml:space="preserve"> trips and placements.</w:t>
      </w:r>
    </w:p>
    <w:p w14:paraId="3268D761" w14:textId="77777777" w:rsidR="000917E1" w:rsidRDefault="000917E1">
      <w:pPr>
        <w:spacing w:line="480" w:lineRule="auto"/>
        <w:rPr>
          <w:rFonts w:ascii="Times New Roman" w:eastAsia="Times New Roman" w:hAnsi="Times New Roman" w:cs="Times New Roman"/>
          <w:color w:val="000000"/>
        </w:rPr>
      </w:pPr>
    </w:p>
    <w:p w14:paraId="7B1B73A9"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Crazy 8’s</w:t>
      </w:r>
    </w:p>
    <w:p w14:paraId="673108E9"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In the final activity (see Knapp et al., 2016), participants were asked to consider the themes from the previous task and were given 8-minutes to individually develop eight different ideas for a peer mentoring</w:t>
      </w:r>
      <w:r>
        <w:rPr>
          <w:color w:val="000000"/>
        </w:rPr>
        <w:t xml:space="preserve"> </w:t>
      </w:r>
      <w:r>
        <w:rPr>
          <w:rFonts w:ascii="Times New Roman" w:eastAsia="Times New Roman" w:hAnsi="Times New Roman" w:cs="Times New Roman"/>
          <w:color w:val="000000"/>
        </w:rPr>
        <w:t>programme based on these themes. They were then asked to select their favourite idea and spend 20-minutes outlining a proposal. Proposals were then taped anonymously to the walls around the room and participants read each proposal and voted on their favourite idea by placing a mark on the proposal. After all participants had voted, the facilitators identified the proposal with the highest vote, the participant who developed that proposal was asked to describe their idea, and this idea was then discussed by the group.</w:t>
      </w:r>
    </w:p>
    <w:p w14:paraId="5F2FCFD9" w14:textId="77777777" w:rsidR="000917E1" w:rsidRDefault="000917E1">
      <w:pPr>
        <w:spacing w:line="480" w:lineRule="auto"/>
        <w:rPr>
          <w:rFonts w:ascii="Times New Roman" w:eastAsia="Times New Roman" w:hAnsi="Times New Roman" w:cs="Times New Roman"/>
          <w:color w:val="000000"/>
        </w:rPr>
      </w:pPr>
    </w:p>
    <w:p w14:paraId="4845A5AD"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Data Analysis</w:t>
      </w:r>
    </w:p>
    <w:p w14:paraId="32F1C2A1"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Data from both workshops were analysed (by EB) using thematic analysis. The six steps of Braun and Clarke's (2006) guidelines were followed. After checking the Zoom-generated transcripts for accuracy, time was spent becoming familiar with the data. Codes were generated for all data, and from these codes, initial themes were identified. These themes </w:t>
      </w:r>
      <w:r>
        <w:rPr>
          <w:rFonts w:ascii="Times New Roman" w:eastAsia="Times New Roman" w:hAnsi="Times New Roman" w:cs="Times New Roman"/>
          <w:color w:val="000000"/>
        </w:rPr>
        <w:lastRenderedPageBreak/>
        <w:t xml:space="preserve">were then reviewed collectively (by all co-authors), ensuring that they were accurate in relation to the narratives provided by participants and to ensure consistency across researchers. Final themes and subthemes were then agreed by the research team by identifying themes that were common across both workshops and considering any overlap. These final themes were then named and reported.  </w:t>
      </w:r>
    </w:p>
    <w:p w14:paraId="7FC459B9" w14:textId="77777777" w:rsidR="000917E1" w:rsidRDefault="000917E1">
      <w:pPr>
        <w:spacing w:line="480" w:lineRule="auto"/>
        <w:rPr>
          <w:rFonts w:ascii="Times New Roman" w:eastAsia="Times New Roman" w:hAnsi="Times New Roman" w:cs="Times New Roman"/>
          <w:color w:val="000000"/>
        </w:rPr>
      </w:pPr>
    </w:p>
    <w:p w14:paraId="2AB31A1A" w14:textId="77777777" w:rsidR="000917E1" w:rsidRDefault="000917E1">
      <w:pPr>
        <w:spacing w:line="480" w:lineRule="auto"/>
        <w:rPr>
          <w:rFonts w:ascii="Times New Roman" w:eastAsia="Times New Roman" w:hAnsi="Times New Roman" w:cs="Times New Roman"/>
          <w:color w:val="000000"/>
        </w:rPr>
      </w:pPr>
    </w:p>
    <w:p w14:paraId="33FD0FB8" w14:textId="77777777" w:rsidR="000917E1" w:rsidRDefault="00000000">
      <w:pPr>
        <w:spacing w:line="48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Results</w:t>
      </w:r>
    </w:p>
    <w:p w14:paraId="0E50C922" w14:textId="77777777" w:rsidR="000917E1" w:rsidRDefault="000917E1">
      <w:pPr>
        <w:spacing w:line="480" w:lineRule="auto"/>
        <w:rPr>
          <w:rFonts w:ascii="Times New Roman" w:eastAsia="Times New Roman" w:hAnsi="Times New Roman" w:cs="Times New Roman"/>
          <w:b/>
          <w:bCs/>
          <w:color w:val="000000"/>
        </w:rPr>
      </w:pPr>
    </w:p>
    <w:p w14:paraId="4C40D52C"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Thematic analysis yielded three overarching themes: </w:t>
      </w:r>
      <w:r>
        <w:rPr>
          <w:rFonts w:ascii="Times New Roman" w:eastAsia="Times New Roman" w:hAnsi="Times New Roman" w:cs="Times New Roman"/>
          <w:i/>
          <w:iCs/>
          <w:color w:val="000000"/>
        </w:rPr>
        <w:t>Issues impacting mentor</w:t>
      </w:r>
      <w:r>
        <w:rPr>
          <w:rFonts w:ascii="Times New Roman" w:eastAsia="Times New Roman" w:hAnsi="Times New Roman" w:cs="Times New Roman"/>
          <w:color w:val="000000"/>
        </w:rPr>
        <w:t xml:space="preserve">s, including subthemes of a) importance of boundaries, b) mentor responsibilities, and c) equal status interactions, </w:t>
      </w:r>
      <w:r>
        <w:rPr>
          <w:rFonts w:ascii="Times New Roman" w:eastAsia="Times New Roman" w:hAnsi="Times New Roman" w:cs="Times New Roman"/>
          <w:i/>
          <w:iCs/>
          <w:color w:val="000000"/>
        </w:rPr>
        <w:t>Issues impacting mentees</w:t>
      </w:r>
      <w:r>
        <w:rPr>
          <w:rFonts w:ascii="Times New Roman" w:eastAsia="Times New Roman" w:hAnsi="Times New Roman" w:cs="Times New Roman"/>
          <w:color w:val="000000"/>
        </w:rPr>
        <w:t xml:space="preserve">, with subthemes of a) mentee expectations, b) communications, and c) equal status interactions, and </w:t>
      </w:r>
      <w:r>
        <w:rPr>
          <w:rFonts w:ascii="Times New Roman" w:eastAsia="Times New Roman" w:hAnsi="Times New Roman" w:cs="Times New Roman"/>
          <w:i/>
          <w:iCs/>
          <w:color w:val="000000"/>
        </w:rPr>
        <w:t>Mechanics of the peer mentoring system</w:t>
      </w:r>
      <w:r>
        <w:rPr>
          <w:rFonts w:ascii="Times New Roman" w:eastAsia="Times New Roman" w:hAnsi="Times New Roman" w:cs="Times New Roman"/>
          <w:color w:val="000000"/>
        </w:rPr>
        <w:t>, including subthemes of a) development and implementation of a peer mentoring programme, b) academic versus pastoral mentoring, and c) the need for a mentor space. See table 1 for themes, subthemes, and example quotes supporting each theme.</w:t>
      </w:r>
    </w:p>
    <w:p w14:paraId="6E3EDF2F" w14:textId="77777777" w:rsidR="000917E1" w:rsidRDefault="000917E1">
      <w:pPr>
        <w:spacing w:line="480" w:lineRule="auto"/>
        <w:rPr>
          <w:rFonts w:ascii="Times New Roman" w:eastAsia="Times New Roman" w:hAnsi="Times New Roman" w:cs="Times New Roman"/>
          <w:b/>
          <w:bCs/>
          <w:color w:val="000000"/>
        </w:rPr>
      </w:pPr>
    </w:p>
    <w:p w14:paraId="7D0504FB"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Issues Impacting Mentors</w:t>
      </w:r>
    </w:p>
    <w:p w14:paraId="449D1B94"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Importance of Boundaries</w:t>
      </w:r>
    </w:p>
    <w:p w14:paraId="5A37C31F"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Participants discussed the impact that being a peer mentor may have on students taking up this role and were clear that mentors should establish boundaries. One participant stated that they would be concerned that a lack of boundaries ‘could lead mentors into a situation where they’re not quite sure how to deal with the </w:t>
      </w:r>
      <w:proofErr w:type="gramStart"/>
      <w:r>
        <w:rPr>
          <w:rFonts w:ascii="Times New Roman" w:eastAsia="Times New Roman" w:hAnsi="Times New Roman" w:cs="Times New Roman"/>
          <w:color w:val="000000"/>
        </w:rPr>
        <w:t>emotions</w:t>
      </w:r>
      <w:proofErr w:type="gramEnd"/>
      <w:r>
        <w:rPr>
          <w:rFonts w:ascii="Times New Roman" w:eastAsia="Times New Roman" w:hAnsi="Times New Roman" w:cs="Times New Roman"/>
          <w:color w:val="000000"/>
        </w:rPr>
        <w:t xml:space="preserve"> they’re experiencing’ (P12). </w:t>
      </w:r>
    </w:p>
    <w:p w14:paraId="28456B9B" w14:textId="77777777" w:rsidR="000917E1" w:rsidRDefault="000917E1">
      <w:pPr>
        <w:spacing w:line="480" w:lineRule="auto"/>
        <w:rPr>
          <w:rFonts w:ascii="Times New Roman" w:eastAsia="Times New Roman" w:hAnsi="Times New Roman" w:cs="Times New Roman"/>
          <w:color w:val="000000"/>
        </w:rPr>
      </w:pPr>
    </w:p>
    <w:p w14:paraId="0A3DF001" w14:textId="77777777" w:rsidR="000917E1" w:rsidRDefault="000917E1">
      <w:pPr>
        <w:spacing w:line="480" w:lineRule="auto"/>
        <w:rPr>
          <w:rFonts w:ascii="Times New Roman" w:eastAsia="Times New Roman" w:hAnsi="Times New Roman" w:cs="Times New Roman"/>
          <w:color w:val="000000"/>
        </w:rPr>
      </w:pPr>
    </w:p>
    <w:p w14:paraId="052D0FEA"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lastRenderedPageBreak/>
        <w:t>Mentor Responsibilities</w:t>
      </w:r>
    </w:p>
    <w:p w14:paraId="2CC8244E"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issue of boundaries led to a discussion of the need for support and training for mentors to manage the risk of getting ‘very quickly out of their depth and perhaps respond[</w:t>
      </w:r>
      <w:proofErr w:type="spellStart"/>
      <w:r>
        <w:rPr>
          <w:rFonts w:ascii="Times New Roman" w:eastAsia="Times New Roman" w:hAnsi="Times New Roman" w:cs="Times New Roman"/>
          <w:color w:val="000000"/>
        </w:rPr>
        <w:t>ing</w:t>
      </w:r>
      <w:proofErr w:type="spellEnd"/>
      <w:r>
        <w:rPr>
          <w:rFonts w:ascii="Times New Roman" w:eastAsia="Times New Roman" w:hAnsi="Times New Roman" w:cs="Times New Roman"/>
          <w:color w:val="000000"/>
        </w:rPr>
        <w:t>] inappropriately’ (P1) when confronted with challenging situations. Training related to ‘knowledge of systems and things… student union or student well-being’ (P13) was also proposed in the context of ensuring that the university provide appropriate training for mentors. Participants discussed the need to recognise the limits of mentor competence and identified that an honest approach by mentors would allow them to be candid about their abilities, safeguarding against taking on too much. The participants encouraged reflective practice in mentors, agreeing that ‘it takes a reflective mentor to be able to take on board’ (P13) areas where they are not as competent.</w:t>
      </w:r>
    </w:p>
    <w:p w14:paraId="152582D4" w14:textId="77777777" w:rsidR="000917E1" w:rsidRDefault="000917E1">
      <w:pPr>
        <w:spacing w:line="480" w:lineRule="auto"/>
        <w:rPr>
          <w:rFonts w:ascii="Times New Roman" w:eastAsia="Times New Roman" w:hAnsi="Times New Roman" w:cs="Times New Roman"/>
          <w:color w:val="000000"/>
        </w:rPr>
      </w:pPr>
    </w:p>
    <w:p w14:paraId="5B18C539"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Equal Status Interactions</w:t>
      </w:r>
    </w:p>
    <w:p w14:paraId="6052FD1D" w14:textId="3133719C"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Participants felt that to ensure an appropriate power balance it should be made clear to all that ‘the mentor is not a tutor’ (P9), and that mentors should acknowledge ‘how far my knowledge goes</w:t>
      </w:r>
      <w:r w:rsidR="00D274D6">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(P11). In this way, any programme should remain focused at the peer level and no students should be placed in a position where they, or others, see themselves as being above other students.</w:t>
      </w:r>
    </w:p>
    <w:p w14:paraId="6AC52078"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 </w:t>
      </w:r>
    </w:p>
    <w:p w14:paraId="277B7AC1"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Issues Impacting Mentees</w:t>
      </w:r>
    </w:p>
    <w:p w14:paraId="47210BF7"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Mentee Expectations </w:t>
      </w:r>
    </w:p>
    <w:p w14:paraId="59D4D201"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Attention was drawn to mentee expectations and the need for mentors to be well-informed and knowledgeable to prevent mentees feeling ‘that they’re not getting any support’ (P5). Participants were clear that mentees should be treated with respect and not judged, and felt that having a choice of mentor would be positive, stating that ‘having a choice over what </w:t>
      </w:r>
      <w:r>
        <w:rPr>
          <w:rFonts w:ascii="Times New Roman" w:eastAsia="Times New Roman" w:hAnsi="Times New Roman" w:cs="Times New Roman"/>
          <w:color w:val="000000"/>
        </w:rPr>
        <w:lastRenderedPageBreak/>
        <w:t xml:space="preserve">somebody’s expertise is and who you go with… As a </w:t>
      </w:r>
      <w:proofErr w:type="gramStart"/>
      <w:r>
        <w:rPr>
          <w:rFonts w:ascii="Times New Roman" w:eastAsia="Times New Roman" w:hAnsi="Times New Roman" w:cs="Times New Roman"/>
          <w:color w:val="000000"/>
        </w:rPr>
        <w:t>mentee</w:t>
      </w:r>
      <w:proofErr w:type="gramEnd"/>
      <w:r>
        <w:rPr>
          <w:rFonts w:ascii="Times New Roman" w:eastAsia="Times New Roman" w:hAnsi="Times New Roman" w:cs="Times New Roman"/>
          <w:color w:val="000000"/>
        </w:rPr>
        <w:t xml:space="preserve"> you’re trusting this person to tell you things or give you advice’ (P2).</w:t>
      </w:r>
    </w:p>
    <w:p w14:paraId="548950F2" w14:textId="77777777" w:rsidR="000917E1" w:rsidRDefault="000917E1">
      <w:pPr>
        <w:spacing w:line="480" w:lineRule="auto"/>
        <w:ind w:firstLine="720"/>
        <w:rPr>
          <w:rFonts w:ascii="Times New Roman" w:eastAsia="Times New Roman" w:hAnsi="Times New Roman" w:cs="Times New Roman"/>
          <w:color w:val="000000"/>
        </w:rPr>
      </w:pPr>
    </w:p>
    <w:p w14:paraId="32F332ED"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Communication</w:t>
      </w:r>
    </w:p>
    <w:p w14:paraId="36F56DDD"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Clear communication was highlighted as an essential component of a peer mentoring programme, with participants agreeing that the ‘level of communication’ (P9) was crucial and that being ‘sent to the correct person’ (P9) would be very important. Inappropriate responses were discussed, including mentors trying to resolve issues rather than signposting mentees to appropriate university services. Mentor over-sharing was seen as a potential threat to a positive mentee experience, with participants considering the negative consequences of ‘the mentor… sharing more about their experience rather than asking you about your experience… rather than asking you how you feel as the mentee’ (P8). </w:t>
      </w:r>
      <w:r>
        <w:rPr>
          <w:rFonts w:ascii="Times New Roman" w:eastAsia="Times New Roman" w:hAnsi="Times New Roman" w:cs="Times New Roman"/>
        </w:rPr>
        <w:t>I</w:t>
      </w:r>
      <w:r>
        <w:rPr>
          <w:rFonts w:ascii="Times New Roman" w:eastAsia="Times New Roman" w:hAnsi="Times New Roman" w:cs="Times New Roman"/>
          <w:color w:val="000000"/>
        </w:rPr>
        <w:t>t was agreed that ‘compassionate responses would make the mentee feel supported’ (P12)</w:t>
      </w:r>
      <w:r>
        <w:rPr>
          <w:color w:val="000000"/>
        </w:rPr>
        <w:t xml:space="preserve"> </w:t>
      </w:r>
      <w:r>
        <w:rPr>
          <w:rFonts w:ascii="Times New Roman" w:eastAsia="Times New Roman" w:hAnsi="Times New Roman" w:cs="Times New Roman"/>
          <w:color w:val="000000"/>
        </w:rPr>
        <w:t xml:space="preserve">whereas an empathic response may be interpreted as the mentor overstepping and making a situation about them. Participants also discussed the benefit of individualised support, where the mentor would need an understanding of the person that they are mentoring, for example, understanding mentees’ ‘external pressures’ (P13) and how these might impact on them. </w:t>
      </w:r>
    </w:p>
    <w:p w14:paraId="008480DE" w14:textId="77777777" w:rsidR="000917E1" w:rsidRDefault="000917E1">
      <w:pPr>
        <w:spacing w:line="480" w:lineRule="auto"/>
        <w:ind w:firstLine="720"/>
        <w:rPr>
          <w:rFonts w:ascii="Times New Roman" w:eastAsia="Times New Roman" w:hAnsi="Times New Roman" w:cs="Times New Roman"/>
          <w:color w:val="000000"/>
        </w:rPr>
      </w:pPr>
    </w:p>
    <w:p w14:paraId="7650865C"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Equal Status Interactions</w:t>
      </w:r>
    </w:p>
    <w:p w14:paraId="0A3F5CBB"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In addition to being critical in relation to mentors, the importance of equal status interactions for the mentee was indicated as essential and participants highlighted concerns over the development of any hierarchy between mentors and mentees. Participants felt that ‘it’s important to remain on the same level with the mentor’ and that any kind of ‘power imbalance’ would be ‘unhelpful’ (P9).</w:t>
      </w:r>
    </w:p>
    <w:p w14:paraId="3BD520C4" w14:textId="77777777" w:rsidR="000917E1" w:rsidRDefault="000917E1">
      <w:pPr>
        <w:spacing w:line="480" w:lineRule="auto"/>
        <w:ind w:firstLine="720"/>
        <w:rPr>
          <w:rFonts w:ascii="Times New Roman" w:eastAsia="Times New Roman" w:hAnsi="Times New Roman" w:cs="Times New Roman"/>
          <w:color w:val="000000"/>
        </w:rPr>
      </w:pPr>
    </w:p>
    <w:p w14:paraId="7A56C6D5"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lastRenderedPageBreak/>
        <w:t>Mechanics of a Peer-Mentoring System</w:t>
      </w:r>
    </w:p>
    <w:p w14:paraId="6E16CC17"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Development and Implementation of a Peer Mentoring System</w:t>
      </w:r>
    </w:p>
    <w:p w14:paraId="7BA09227"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Participants spoke at length about the logistics of developing, implementing, and running a peer mentoring system. A key concern was the possibility for mentees to feel stigmatised by engaging with the system, assuming their engagement may indicate a failure to cope. Participants agreed that all students should be automatically enrolled in a programme as mentees and that they can then opt-out of meetings and events, rather than having to opt-in: ‘if it’s seen as a thing that loads of people go to, especially in first year, you’re probably less likely to opt out’ (P3).</w:t>
      </w:r>
    </w:p>
    <w:p w14:paraId="5A13CF7D"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Methods of communication between mentors and mentees were considered and it was agreed that mentee expectations around communication should be managed so that mentors have the right to disconnect and should not be expected to reply to mentee communications immediately. Group chats were indicated as potentially problematic in terms of blurring these expectations, and the use of online forums and emails was preferred.  </w:t>
      </w:r>
    </w:p>
    <w:p w14:paraId="450BC8D9"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Ethical and professional conduct was also identified as paramount. Participants agreed that ‘lacking professionalism or ethics’ (P12) would be problematic and that, for example, mentors should not be ‘sharing information with other students… [or] telling the mentee off because they are superior’ (P12). It was agreed that the purpose of a programme needs to be clear from the outset and that this should be facilitated by mentors who set boundaries and pay attention to their own status as a student; ‘[the mentors] can’t be this completely altruistic individual that helps everyone… you’ve got to look at your own studies as well’ (P4).</w:t>
      </w:r>
    </w:p>
    <w:p w14:paraId="70250FE2"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was agreement that a mentoring programme should be evaluated by those who use it. One participant stated that, ‘I think it’s part of being a reflective person, reflective learner, evaluating your own processes’ (P13). Others agreed with this and said that ‘I do think mentee feedback would be good’ (P9). </w:t>
      </w:r>
    </w:p>
    <w:p w14:paraId="58DF563F"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lastRenderedPageBreak/>
        <w:t>Academic versus Pastoral Mentoring</w:t>
      </w:r>
    </w:p>
    <w:p w14:paraId="0AFCA68D"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Participants spent time discussing the focus of a peer mentoring programme and whether this should be academic, pastoral, or both. Most held the view that ‘a mix of both would be most helpful’ (P2)</w:t>
      </w:r>
      <w:r>
        <w:rPr>
          <w:color w:val="000000"/>
        </w:rPr>
        <w:t>.</w:t>
      </w:r>
      <w:r>
        <w:rPr>
          <w:rFonts w:ascii="Times New Roman" w:eastAsia="Times New Roman" w:hAnsi="Times New Roman" w:cs="Times New Roman"/>
          <w:color w:val="000000"/>
        </w:rPr>
        <w:t xml:space="preserve"> During the discussion, participants decided that mentors could choose whether they wanted to offer academic or pastoral support, playing to their strengths, and having some control over the support that they offer, resulting in a system that was based on mentor strengths. </w:t>
      </w:r>
    </w:p>
    <w:p w14:paraId="198E25C6" w14:textId="77777777" w:rsidR="000917E1" w:rsidRDefault="000917E1">
      <w:pPr>
        <w:spacing w:line="480" w:lineRule="auto"/>
        <w:rPr>
          <w:rFonts w:ascii="Times New Roman" w:eastAsia="Times New Roman" w:hAnsi="Times New Roman" w:cs="Times New Roman"/>
          <w:color w:val="000000"/>
        </w:rPr>
      </w:pPr>
    </w:p>
    <w:p w14:paraId="7D4BD965" w14:textId="77777777" w:rsidR="000917E1"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Need for a Mentor Space</w:t>
      </w:r>
    </w:p>
    <w:p w14:paraId="61DFE7EF"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final issue discussed was the need for a dedicated mentor space, which would ensure that mentors had ‘visibility right from the start’ (P11). It was felt that this dedicated space would allow mentors to ‘organise themselves… where they can keep resources and stuff like that’ (P12). It was also agreed, however, that having sessions always take place in a formal setting such as a classroom might not be conducive to positive interactions between the mentor and mentee, and having meetings in more informal locations might be beneficial. Concerns of safeguarding were raised here, and it was suggested</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that there may be ‘a few issues with that [informal meetings]</w:t>
      </w:r>
      <w:r>
        <w:rPr>
          <w:color w:val="000000"/>
        </w:rPr>
        <w:t xml:space="preserve"> </w:t>
      </w:r>
      <w:r>
        <w:rPr>
          <w:rFonts w:ascii="Times New Roman" w:eastAsia="Times New Roman" w:hAnsi="Times New Roman" w:cs="Times New Roman"/>
          <w:color w:val="000000"/>
        </w:rPr>
        <w:t>not following the university structure that we have’ (P7). It was clear that a peer mentoring programme would need to allow for safeguarding of all mentors and mentees, take place in university-sanctioned spaces, and protect the well-being of all involved.</w:t>
      </w:r>
    </w:p>
    <w:p w14:paraId="65D1998F" w14:textId="77777777" w:rsidR="000917E1" w:rsidRDefault="000917E1">
      <w:pPr>
        <w:spacing w:line="480" w:lineRule="auto"/>
        <w:rPr>
          <w:rFonts w:ascii="Times New Roman" w:eastAsia="Times New Roman" w:hAnsi="Times New Roman" w:cs="Times New Roman"/>
          <w:b/>
          <w:bCs/>
          <w:color w:val="000000"/>
        </w:rPr>
      </w:pPr>
    </w:p>
    <w:p w14:paraId="34FCE5B5" w14:textId="77777777" w:rsidR="000917E1" w:rsidRDefault="000917E1">
      <w:pPr>
        <w:spacing w:line="480" w:lineRule="auto"/>
        <w:rPr>
          <w:rFonts w:ascii="Times New Roman" w:eastAsia="Times New Roman" w:hAnsi="Times New Roman" w:cs="Times New Roman"/>
          <w:b/>
          <w:bCs/>
          <w:color w:val="000000"/>
        </w:rPr>
      </w:pPr>
    </w:p>
    <w:p w14:paraId="650513AA" w14:textId="77777777" w:rsidR="000917E1" w:rsidRDefault="000917E1">
      <w:pPr>
        <w:spacing w:line="480" w:lineRule="auto"/>
        <w:rPr>
          <w:rFonts w:ascii="Times New Roman" w:eastAsia="Times New Roman" w:hAnsi="Times New Roman" w:cs="Times New Roman"/>
          <w:b/>
          <w:bCs/>
          <w:color w:val="000000"/>
        </w:rPr>
      </w:pPr>
    </w:p>
    <w:p w14:paraId="0ED04278" w14:textId="77777777" w:rsidR="000917E1" w:rsidRDefault="000917E1">
      <w:pPr>
        <w:spacing w:line="480" w:lineRule="auto"/>
        <w:rPr>
          <w:rFonts w:ascii="Times New Roman" w:eastAsia="Times New Roman" w:hAnsi="Times New Roman" w:cs="Times New Roman"/>
          <w:b/>
          <w:bCs/>
          <w:color w:val="000000"/>
        </w:rPr>
      </w:pPr>
    </w:p>
    <w:p w14:paraId="6692A3AC" w14:textId="77777777" w:rsidR="000917E1" w:rsidRDefault="000917E1">
      <w:pPr>
        <w:spacing w:line="480" w:lineRule="auto"/>
        <w:rPr>
          <w:rFonts w:ascii="Times New Roman" w:eastAsia="Times New Roman" w:hAnsi="Times New Roman" w:cs="Times New Roman"/>
          <w:b/>
          <w:bCs/>
          <w:color w:val="000000"/>
        </w:rPr>
      </w:pPr>
    </w:p>
    <w:p w14:paraId="229DF286" w14:textId="77777777" w:rsidR="000917E1" w:rsidRDefault="00000000">
      <w:pPr>
        <w:spacing w:line="48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Discussion</w:t>
      </w:r>
    </w:p>
    <w:p w14:paraId="206DCDE2" w14:textId="77777777" w:rsidR="000917E1" w:rsidRDefault="000917E1">
      <w:pPr>
        <w:spacing w:line="480" w:lineRule="auto"/>
        <w:rPr>
          <w:rFonts w:ascii="Times New Roman" w:eastAsia="Times New Roman" w:hAnsi="Times New Roman" w:cs="Times New Roman"/>
          <w:b/>
          <w:bCs/>
          <w:color w:val="000000"/>
        </w:rPr>
      </w:pPr>
    </w:p>
    <w:p w14:paraId="2F800A5B"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purpose of this study was to explore staff and undergraduate student values relating to pastoral and academic support. This would benefit the design and implementation of peer mentoring programmes used in higher education. In two co-creation workshops, participants completed activities designed to elicit views on existing support, issues surrounding peer mentoring, and best practice in mentoring. The involvement of students as partners (both in designing the programme and conducting the research) ensures students were given a voice in the process (Bovill, 2013) and reduces the risk of imposing a programme that does not meet the needs of the students (Page &amp; Hanna, 2008).</w:t>
      </w:r>
    </w:p>
    <w:p w14:paraId="5E1A01D3" w14:textId="77777777" w:rsidR="000917E1" w:rsidRDefault="00000000">
      <w:pPr>
        <w:spacing w:line="480" w:lineRule="auto"/>
        <w:rPr>
          <w:rFonts w:ascii="Times New Roman" w:eastAsia="Times New Roman" w:hAnsi="Times New Roman" w:cs="Times New Roman"/>
          <w:strike/>
          <w:color w:val="000000"/>
        </w:rPr>
      </w:pPr>
      <w:r>
        <w:rPr>
          <w:rFonts w:ascii="Times New Roman" w:eastAsia="Times New Roman" w:hAnsi="Times New Roman" w:cs="Times New Roman"/>
          <w:color w:val="000000"/>
        </w:rPr>
        <w:tab/>
        <w:t xml:space="preserve">The themes identified from the workshops were issues impacting mentors, issues impacting mentees, and mechanics of a peer mentoring programme. Past research has concentrated on how mentees benefit from peer mentoring (e.g., Leidenfrost et al., 2014; Yomtov et al., 2017) and how mentoring can be designed to provide emotional and professional support (e.g., Jacobi, 1999) and reduce stress (e.g., Hixenbaugh et al., 2005). In the present study, participants had a clear focus on issues impacting mentors and, in support of Seery et al.'s (2021) work, spoke of the need for support and guidance for mentors who may not always have answers for the mentees, may not always know how to best support mentees, and may struggle with the emotional demands of hearing about difficulties faced by their mentees. Seery et al. suggested, however, that this could be considered positively as it may encourage mentors to expand their knowledge. </w:t>
      </w:r>
    </w:p>
    <w:p w14:paraId="26C4E168"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All participants were in favour of training for mentors so that they were well-informed, and they knew how and where to signpost their mentees. The mental health and wellbeing of mentors and mentees was highlighted by students, and all agreed that this should be incorporated into mentor training. In accordance with this was the importance placed on </w:t>
      </w:r>
      <w:r>
        <w:rPr>
          <w:rFonts w:ascii="Times New Roman" w:eastAsia="Times New Roman" w:hAnsi="Times New Roman" w:cs="Times New Roman"/>
          <w:color w:val="000000"/>
        </w:rPr>
        <w:lastRenderedPageBreak/>
        <w:t xml:space="preserve">equity between mentors and mentees. It was felt that mentors have a responsibility to ensure equality and be open and honest with mentees about the limits of their skills and knowledge. Jacobi (1991) made the case that mentors should have more experience, influence, and achievements compared to their mentees, yet the current findings suggest that this should not come at the expense of a power imbalance between mentors and mentees. Indeed, participants consistently identified the need for mentors to recognise the limits of their own competence and act ethically when responding to the needs of mentees.  </w:t>
      </w:r>
    </w:p>
    <w:p w14:paraId="6A081FE1"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A key aspect covered by Jacobi (1991) was that ‘mentoring relationships are reciprocal’ (p513) with mentees and mentors gaining benefits. The focus on equity potentially reflects this as it shows an understanding that both parties have a role and a stake in the relationship. Participants also highlighted the fact that unclear expectations regarding a peer mentoring programme may have a negative impact on mentees as they could feel embarrassed to ask for help about certain matters. This supports a point made by the APA that peer mentoring should involve open communication where mentees can be clear about their requirements and goals (Williams-Nickelson, 2007). </w:t>
      </w:r>
      <w:r>
        <w:rPr>
          <w:rFonts w:ascii="Times New Roman" w:eastAsia="Times New Roman" w:hAnsi="Times New Roman" w:cs="Times New Roman"/>
          <w:color w:val="000000"/>
        </w:rPr>
        <w:tab/>
      </w:r>
    </w:p>
    <w:p w14:paraId="54BBF76B"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Communication was also discussed in relation to mentors sharing their own experiences. While participants suggested that this is valuable in establishing common ground, a key concern was the potential negative impact of mentor over-sharing, where the mentee’s concerns are not recognised (see also O’Shea et al., 2017).</w:t>
      </w:r>
    </w:p>
    <w:p w14:paraId="4A0FA74D"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With regards to the design of a mentoring programme, participants agreed that mentoring should provide both pastoral and academic support. This fits with two of Jacobi’s (1991) three key features of mentoring; emotional support and professional development, however, there was no direct mention of the third feature of role modelling. Participants did, however, discuss the importance of experience and professionalism in relation to their course, proposing that there should be criteria for mentors, such as a specific level of attendance and </w:t>
      </w:r>
      <w:r>
        <w:rPr>
          <w:rFonts w:ascii="Times New Roman" w:eastAsia="Times New Roman" w:hAnsi="Times New Roman" w:cs="Times New Roman"/>
          <w:color w:val="000000"/>
        </w:rPr>
        <w:lastRenderedPageBreak/>
        <w:t xml:space="preserve">attainment. This was considered in relation to mentors being trustworthy and having the correct information, but it could be equally important in terms of mentees using their mentors as a role model. These views arguably reflect the attendance and attainment of those who participated in the workshops. It would be interesting to know whether mentors who had learned from mistakes (i.e., not attending class and/or failing an assignment) could be equally as valuable, and perhaps more powerful, in supporting mentees.    </w:t>
      </w:r>
    </w:p>
    <w:p w14:paraId="5592103C"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In accordance with past studies showing that mentoring is most successful when implemented or accessed early on (e.g., Collings et al., 2015; Hixenbaugh et al., 2005), the consensus was for mentoring to start during induction, where students are engaged in university and subject-specific orientation. Participants also agreed that a peer mentoring programme should be ‘opt-out’, so that all first-year students are given a mentor. Some participants thought it was important for mentees to have a choice of mentor, similar to Page and Hanna (2008) who found that 16% of students preferred to choose their mentor, and </w:t>
      </w:r>
      <w:proofErr w:type="spellStart"/>
      <w:r>
        <w:rPr>
          <w:rFonts w:ascii="Times New Roman" w:eastAsia="Times New Roman" w:hAnsi="Times New Roman" w:cs="Times New Roman"/>
          <w:color w:val="000000"/>
        </w:rPr>
        <w:t>Fladerer</w:t>
      </w:r>
      <w:proofErr w:type="spellEnd"/>
      <w:r>
        <w:rPr>
          <w:rFonts w:ascii="Times New Roman" w:eastAsia="Times New Roman" w:hAnsi="Times New Roman" w:cs="Times New Roman"/>
          <w:color w:val="000000"/>
        </w:rPr>
        <w:t xml:space="preserve"> et al. (2023) who found that allocation of mentors and mentees according to values may be beneficial. Page and Hanna (2008) also found a preference for having a dedicated space for mentoring, and whilst the issue of mentor space was raised in the workshops, the focus was choosing appropriate locations for meetings. It was clear that participants were aware of the importance of mentors and mentees feeling comfortable and also choosing surroundings that maximised relaxation and restoration (e.g., Boyd, 2022; </w:t>
      </w:r>
      <w:proofErr w:type="spellStart"/>
      <w:r>
        <w:rPr>
          <w:rFonts w:ascii="Times New Roman" w:eastAsia="Times New Roman" w:hAnsi="Times New Roman" w:cs="Times New Roman"/>
          <w:color w:val="000000"/>
        </w:rPr>
        <w:t>DeLauer</w:t>
      </w:r>
      <w:proofErr w:type="spellEnd"/>
      <w:r>
        <w:rPr>
          <w:rFonts w:ascii="Times New Roman" w:eastAsia="Times New Roman" w:hAnsi="Times New Roman" w:cs="Times New Roman"/>
          <w:color w:val="000000"/>
        </w:rPr>
        <w:t xml:space="preserve"> et al., 2021) whilst being aware of safeguarding issues. </w:t>
      </w:r>
    </w:p>
    <w:p w14:paraId="5F85B0C7" w14:textId="77777777" w:rsidR="000917E1" w:rsidRDefault="000917E1">
      <w:pPr>
        <w:spacing w:line="480" w:lineRule="auto"/>
        <w:rPr>
          <w:rFonts w:ascii="Times New Roman" w:eastAsia="Times New Roman" w:hAnsi="Times New Roman" w:cs="Times New Roman"/>
          <w:color w:val="000000"/>
        </w:rPr>
      </w:pPr>
    </w:p>
    <w:p w14:paraId="26DB9A1C"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Limitations and Future Directions</w:t>
      </w:r>
    </w:p>
    <w:p w14:paraId="51B3F984"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Although there are examples of previous peer mentoring programmes being designed and evaluated in partnership with students (e.g., O’Shea et al., 2017; Seery et al., 2021), this work was original in utilising values-led co-creation activities (i.e., Galpin et al., 2022) to </w:t>
      </w:r>
      <w:r>
        <w:rPr>
          <w:rFonts w:ascii="Times New Roman" w:eastAsia="Times New Roman" w:hAnsi="Times New Roman" w:cs="Times New Roman"/>
          <w:color w:val="000000"/>
        </w:rPr>
        <w:lastRenderedPageBreak/>
        <w:t>encourage the generation of ideas surrounding peer mentoring. This did, however, involve a significant time commitment for students, and generally there was limited engagement in the project from student participants. This indicates that participation is likely to be from students who want to engage with a peer mentoring programme (i.e., become mentors) and so responses may be biased. It may also predict a lack of engagement with a programme once it is embedded. Mendes and Hammett (2020) argued that students are overloaded with requests for feedback and the time taken to participate takes them away from their studies, consequently the lack of engagement is perhaps expected. However, there is also the argument that participating in the workshops is a worthwhile learning experience that creates a sense of belonging. For example, Thomas (2012) proposed that meaningful interactions between staff and students nurtured belonging.</w:t>
      </w:r>
    </w:p>
    <w:p w14:paraId="00781287"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Although the workshops were open to all psychology staff members and all students enrolled on a psychology undergraduate course at the University, the sample size was still small, representing only 2% of students and 18% of staff. This is similar to the sample of Galpin et al. (2022) who had participation from around 3.7% of their student cohort and 14% of staff across two workshops. It may be argued that if the same workshops were conducted again with different </w:t>
      </w:r>
      <w:r w:rsidRPr="00886505">
        <w:rPr>
          <w:rFonts w:ascii="Times New Roman" w:eastAsia="Times New Roman" w:hAnsi="Times New Roman" w:cs="Times New Roman"/>
          <w:color w:val="000000" w:themeColor="text1"/>
        </w:rPr>
        <w:t>participants (i.e., different socioeconomic backgrounds and/or ethnicities), at a different univ</w:t>
      </w:r>
      <w:r>
        <w:rPr>
          <w:rFonts w:ascii="Times New Roman" w:eastAsia="Times New Roman" w:hAnsi="Times New Roman" w:cs="Times New Roman"/>
          <w:color w:val="000000"/>
        </w:rPr>
        <w:t xml:space="preserve">ersity, studying a different course, the findings may vary. To assess scalability, it would be advantageous to use the present co-creation method to explore the functionality of peer mentoring across different disciplines and institutions. It should also be noted that none of the current participants had any experience of peer mentoring. Future research would benefit from considering views of existing mentors and mentees who would bring lived experiences, enhancing the knowledge surrounding the practical aspects of peer mentoring. </w:t>
      </w:r>
    </w:p>
    <w:p w14:paraId="196B62CB"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Despite the small sample size, the student participants were largely representative of the undergraduate student population in the UK; a larger proportion of females, the majority studying full-time, with inclusion of 44% aged over 21 years, and 44% from EU and non-EU countries (Universities UK, 2023). However, due to the limited number of participants in the co-creation workshops, CA and CK (both undergraduate students at the time of the study) volunteered to participate. Beevers (2021) stated that engaging in staff-student projects as a member of the design team and as a participant in the workshops results in too much knowledge of the project and a bias towards specific viewpoints being brought to the workshops. This may be a factor in the present work. Engaging with students as partners does have many reported benefits and is widely encouraged in curriculum design (i.e., Bovill, 2019; Bovill et al., 2011), but it may be beneficial to ensure students do not have overlapping roles in the process. </w:t>
      </w:r>
    </w:p>
    <w:p w14:paraId="47B9BD7E"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A further issue with using co-creation as a methodology (and of using qualitative methods more generally) is the possible biases of the researchers. For instance, CA originally proposed the implementation of a peer mentoring programme and was identified as the student lead for any programme that was designed based on the workshops. Additionally, a</w:t>
      </w:r>
      <w:r>
        <w:rPr>
          <w:rFonts w:ascii="Times New Roman" w:eastAsia="Times New Roman" w:hAnsi="Times New Roman" w:cs="Times New Roman"/>
          <w:color w:val="000000"/>
          <w:highlight w:val="white"/>
        </w:rPr>
        <w:t xml:space="preserve">s academics, CT and EB have experience of working with students and providing support which might be similar to that required by mentees of their mentors. It is essential that any experiences that could lead to bias during workshop discussions and bias during analysis are bracketed to ensure they do not detrimentally impact the research. </w:t>
      </w:r>
    </w:p>
    <w:p w14:paraId="3BA77582" w14:textId="77777777" w:rsidR="000917E1"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A final limitation is that whilst this work provides a unique method for designing student support mechanisms, the success of any peer mentoring programme cannot be determined until it is evaluated. This is particularly important because again, the students involved in the co-creation workshops had no experience of being a mentee or a mentor, and their expectations may differ from their experiences. For instance, in the present study, </w:t>
      </w:r>
      <w:r>
        <w:rPr>
          <w:rFonts w:ascii="Times New Roman" w:eastAsia="Times New Roman" w:hAnsi="Times New Roman" w:cs="Times New Roman"/>
          <w:color w:val="000000"/>
        </w:rPr>
        <w:lastRenderedPageBreak/>
        <w:t xml:space="preserve">protecting the wellbeing of mentors was viewed in the sense of mentors being overloaded with work and struggling to deal with providing emotional support, yet Seery et al. (2021) found that wellbeing of mentors was negatively impacted by their mentees requiring </w:t>
      </w:r>
      <w:r>
        <w:rPr>
          <w:rFonts w:ascii="Times New Roman" w:eastAsia="Times New Roman" w:hAnsi="Times New Roman" w:cs="Times New Roman"/>
          <w:i/>
          <w:iCs/>
          <w:color w:val="000000"/>
        </w:rPr>
        <w:t>limited</w:t>
      </w:r>
      <w:r>
        <w:rPr>
          <w:rFonts w:ascii="Times New Roman" w:eastAsia="Times New Roman" w:hAnsi="Times New Roman" w:cs="Times New Roman"/>
          <w:color w:val="000000"/>
        </w:rPr>
        <w:t xml:space="preserve"> support, therefore not getting in contact and not needing them. They found a large gap between initial mentor expectations and actual experiences and in addition to evaluating any peer mentoring programme, it would be informative to know how experiences of mentors and mentees aligned with their initial expectations through the use of a post-implementation evaluation. Co-creation tends to be used at a design stage, but given it is a playful, non-threatening method of eliciting viewpoints and values, it could also be helpful at the point of evaluation, and in the ongoing development of a peer mentoring programme.</w:t>
      </w:r>
    </w:p>
    <w:p w14:paraId="2253DF95" w14:textId="77777777" w:rsidR="000917E1" w:rsidRDefault="000917E1">
      <w:pPr>
        <w:spacing w:line="480" w:lineRule="auto"/>
        <w:rPr>
          <w:rFonts w:ascii="Times New Roman" w:eastAsia="Times New Roman" w:hAnsi="Times New Roman" w:cs="Times New Roman"/>
          <w:b/>
          <w:bCs/>
          <w:i/>
          <w:iCs/>
          <w:color w:val="000000"/>
        </w:rPr>
      </w:pPr>
    </w:p>
    <w:p w14:paraId="06B52B6D" w14:textId="77777777" w:rsidR="000917E1" w:rsidRDefault="00000000">
      <w:pPr>
        <w:spacing w:line="480" w:lineRule="auto"/>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Conclusions</w:t>
      </w:r>
    </w:p>
    <w:p w14:paraId="6F4FB555" w14:textId="77777777" w:rsidR="000917E1"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findings from the present study showcase student and staff views of peer mentoring that largely reflect past research showing a clear focus on protecting the wellbeing of mentors and mentees and the importance of training for mentors. Co-creating peer mentoring with students as partners ensures they have a voice in the design of support systems available to them during their studies, and including students in the project team allows them to shape the nature of the work, potentially increasing engagement with, and belonging to the institution. Co-creation is arguably an effective method for developing student support initiatives. </w:t>
      </w:r>
    </w:p>
    <w:p w14:paraId="5FEC7BAF" w14:textId="77777777" w:rsidR="000917E1" w:rsidRDefault="000917E1">
      <w:pPr>
        <w:spacing w:line="480" w:lineRule="auto"/>
        <w:rPr>
          <w:rFonts w:ascii="Times New Roman" w:eastAsia="Times New Roman" w:hAnsi="Times New Roman" w:cs="Times New Roman"/>
          <w:color w:val="000000"/>
        </w:rPr>
      </w:pPr>
    </w:p>
    <w:p w14:paraId="0E51C184" w14:textId="77777777" w:rsidR="000917E1" w:rsidRDefault="000917E1">
      <w:pPr>
        <w:spacing w:line="480" w:lineRule="auto"/>
        <w:rPr>
          <w:rFonts w:ascii="Times New Roman" w:eastAsia="Times New Roman" w:hAnsi="Times New Roman" w:cs="Times New Roman"/>
          <w:color w:val="000000"/>
        </w:rPr>
      </w:pPr>
    </w:p>
    <w:p w14:paraId="7179AFBB" w14:textId="77777777" w:rsidR="000917E1" w:rsidRDefault="000917E1">
      <w:pPr>
        <w:spacing w:line="480" w:lineRule="auto"/>
        <w:rPr>
          <w:rFonts w:ascii="Times New Roman" w:eastAsia="Times New Roman" w:hAnsi="Times New Roman" w:cs="Times New Roman"/>
          <w:color w:val="000000"/>
        </w:rPr>
      </w:pPr>
    </w:p>
    <w:p w14:paraId="64577D69" w14:textId="77777777" w:rsidR="000917E1" w:rsidRDefault="00000000">
      <w:pPr>
        <w:spacing w:line="48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Declaration of interest statement</w:t>
      </w:r>
    </w:p>
    <w:p w14:paraId="0B731551" w14:textId="77777777" w:rsidR="000917E1"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The authors declared no potential conflicts of interest with respect to the research, authorship, and/or publication of this article.</w:t>
      </w:r>
    </w:p>
    <w:p w14:paraId="590574AE" w14:textId="77777777" w:rsidR="000917E1" w:rsidRDefault="000917E1">
      <w:pPr>
        <w:spacing w:line="480" w:lineRule="auto"/>
        <w:rPr>
          <w:rFonts w:ascii="Times New Roman" w:eastAsia="Times New Roman" w:hAnsi="Times New Roman" w:cs="Times New Roman"/>
        </w:rPr>
      </w:pPr>
    </w:p>
    <w:p w14:paraId="415A1027" w14:textId="77777777" w:rsidR="000917E1" w:rsidRDefault="00000000">
      <w:pPr>
        <w:spacing w:line="48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References</w:t>
      </w:r>
    </w:p>
    <w:p w14:paraId="372A72F3" w14:textId="77777777" w:rsidR="000917E1" w:rsidRDefault="000917E1">
      <w:pPr>
        <w:spacing w:line="480" w:lineRule="auto"/>
        <w:jc w:val="center"/>
        <w:rPr>
          <w:rFonts w:ascii="Times New Roman" w:eastAsia="Times New Roman" w:hAnsi="Times New Roman" w:cs="Times New Roman"/>
          <w:b/>
          <w:bCs/>
        </w:rPr>
      </w:pPr>
    </w:p>
    <w:p w14:paraId="72889264"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Beevers, D. (2021). Seeing both sides: a student’s experience of dual roles in a university co-creation project. </w:t>
      </w:r>
      <w:r>
        <w:rPr>
          <w:rFonts w:ascii="Times New Roman" w:eastAsia="Times New Roman" w:hAnsi="Times New Roman" w:cs="Times New Roman"/>
          <w:i/>
          <w:iCs/>
        </w:rPr>
        <w:t>International Journal of Students as Partners, 5</w:t>
      </w:r>
      <w:r>
        <w:rPr>
          <w:rFonts w:ascii="Times New Roman" w:eastAsia="Times New Roman" w:hAnsi="Times New Roman" w:cs="Times New Roman"/>
        </w:rPr>
        <w:t xml:space="preserve">(2), 141-146. </w:t>
      </w:r>
      <w:hyperlink r:id="rId8">
        <w:r>
          <w:rPr>
            <w:rFonts w:ascii="Times New Roman" w:eastAsia="Times New Roman" w:hAnsi="Times New Roman" w:cs="Times New Roman"/>
            <w:color w:val="0563C1"/>
            <w:u w:val="single"/>
          </w:rPr>
          <w:t>https://doi.org/10.15173/ijsap.v5i2.4448</w:t>
        </w:r>
      </w:hyperlink>
      <w:r>
        <w:rPr>
          <w:rFonts w:ascii="Times New Roman" w:eastAsia="Times New Roman" w:hAnsi="Times New Roman" w:cs="Times New Roman"/>
        </w:rPr>
        <w:t xml:space="preserve"> </w:t>
      </w:r>
    </w:p>
    <w:p w14:paraId="7C64F66B"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Bovill, C. (2019). Student-staff partnerships in learning and teaching: An overview of current practice and discourse. </w:t>
      </w:r>
      <w:r>
        <w:rPr>
          <w:rFonts w:ascii="Times New Roman" w:eastAsia="Times New Roman" w:hAnsi="Times New Roman" w:cs="Times New Roman"/>
          <w:i/>
          <w:iCs/>
        </w:rPr>
        <w:t>Journal of Geography in Higher Education, 43</w:t>
      </w:r>
      <w:r>
        <w:rPr>
          <w:rFonts w:ascii="Times New Roman" w:eastAsia="Times New Roman" w:hAnsi="Times New Roman" w:cs="Times New Roman"/>
        </w:rPr>
        <w:t xml:space="preserve">(4), 385-398. </w:t>
      </w:r>
      <w:hyperlink r:id="rId9">
        <w:r>
          <w:rPr>
            <w:rFonts w:ascii="Times New Roman" w:eastAsia="Times New Roman" w:hAnsi="Times New Roman" w:cs="Times New Roman"/>
            <w:color w:val="0563C1"/>
            <w:u w:val="single"/>
          </w:rPr>
          <w:t>https://doi.org/10.1080/0.098265.2019.1660628</w:t>
        </w:r>
      </w:hyperlink>
      <w:r>
        <w:rPr>
          <w:rFonts w:ascii="Times New Roman" w:eastAsia="Times New Roman" w:hAnsi="Times New Roman" w:cs="Times New Roman"/>
        </w:rPr>
        <w:t xml:space="preserve"> </w:t>
      </w:r>
    </w:p>
    <w:p w14:paraId="484E5CE2"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Bovill, C. (2013). Students and staff co-creating curricula: An example of good practice in higher education. In E. Dunne &amp; D. Owen (Eds.), </w:t>
      </w:r>
      <w:r>
        <w:rPr>
          <w:rFonts w:ascii="Times New Roman" w:eastAsia="Times New Roman" w:hAnsi="Times New Roman" w:cs="Times New Roman"/>
          <w:i/>
          <w:iCs/>
        </w:rPr>
        <w:t xml:space="preserve">The student engagement handbook: Practice in higher education </w:t>
      </w:r>
      <w:r>
        <w:rPr>
          <w:rFonts w:ascii="Times New Roman" w:eastAsia="Times New Roman" w:hAnsi="Times New Roman" w:cs="Times New Roman"/>
        </w:rPr>
        <w:t>(pp. 461-475). Emerald Group Publishing Limited.</w:t>
      </w:r>
    </w:p>
    <w:p w14:paraId="014E273E"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Bovill, C., Cook-Sather, A., &amp; Felten, P. (2011). Students as co-creators of teaching approaches, course design, and curricula: Implications for academic developers. </w:t>
      </w:r>
      <w:r>
        <w:rPr>
          <w:rFonts w:ascii="Times New Roman" w:eastAsia="Times New Roman" w:hAnsi="Times New Roman" w:cs="Times New Roman"/>
          <w:i/>
          <w:iCs/>
        </w:rPr>
        <w:t>International Journal for Academic Development, 16</w:t>
      </w:r>
      <w:r>
        <w:rPr>
          <w:rFonts w:ascii="Times New Roman" w:eastAsia="Times New Roman" w:hAnsi="Times New Roman" w:cs="Times New Roman"/>
        </w:rPr>
        <w:t>(2), 133-145.</w:t>
      </w:r>
    </w:p>
    <w:p w14:paraId="2E442089"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Boyd, F. (2022). Between the library and lectures: How can nature be integrated into university infrastructure to improve students’ mental health. </w:t>
      </w:r>
      <w:r>
        <w:rPr>
          <w:rFonts w:ascii="Times New Roman" w:eastAsia="Times New Roman" w:hAnsi="Times New Roman" w:cs="Times New Roman"/>
          <w:i/>
          <w:iCs/>
        </w:rPr>
        <w:t xml:space="preserve">Frontiers in Psychology, 13, </w:t>
      </w:r>
      <w:r>
        <w:rPr>
          <w:rFonts w:ascii="Times New Roman" w:eastAsia="Times New Roman" w:hAnsi="Times New Roman" w:cs="Times New Roman"/>
        </w:rPr>
        <w:t xml:space="preserve">865442. </w:t>
      </w:r>
      <w:hyperlink r:id="rId10">
        <w:r>
          <w:rPr>
            <w:rFonts w:ascii="Times New Roman" w:eastAsia="Times New Roman" w:hAnsi="Times New Roman" w:cs="Times New Roman"/>
            <w:color w:val="0563C1"/>
            <w:u w:val="single"/>
          </w:rPr>
          <w:t>https://doi.org/10.3389/fpsyg.2022.865422</w:t>
        </w:r>
      </w:hyperlink>
      <w:r>
        <w:rPr>
          <w:rFonts w:ascii="Times New Roman" w:eastAsia="Times New Roman" w:hAnsi="Times New Roman" w:cs="Times New Roman"/>
        </w:rPr>
        <w:t xml:space="preserve">  </w:t>
      </w:r>
    </w:p>
    <w:p w14:paraId="06A0E54A"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Braun, V., &amp; Clarke, V. (2006). Using thematic analysis in psychology. </w:t>
      </w:r>
      <w:r>
        <w:rPr>
          <w:rFonts w:ascii="Times New Roman" w:eastAsia="Times New Roman" w:hAnsi="Times New Roman" w:cs="Times New Roman"/>
          <w:i/>
          <w:iCs/>
        </w:rPr>
        <w:t>Qualitative Research in Psychology, 3</w:t>
      </w:r>
      <w:r>
        <w:rPr>
          <w:rFonts w:ascii="Times New Roman" w:eastAsia="Times New Roman" w:hAnsi="Times New Roman" w:cs="Times New Roman"/>
        </w:rPr>
        <w:t xml:space="preserve">(2), 77-101. </w:t>
      </w:r>
      <w:hyperlink r:id="rId11">
        <w:r>
          <w:rPr>
            <w:rFonts w:ascii="Times New Roman" w:eastAsia="Times New Roman" w:hAnsi="Times New Roman" w:cs="Times New Roman"/>
            <w:color w:val="0563C1"/>
            <w:u w:val="single"/>
          </w:rPr>
          <w:t>https://doi.org/10.1191/1478088706qp063oa</w:t>
        </w:r>
      </w:hyperlink>
      <w:r>
        <w:rPr>
          <w:rFonts w:ascii="Times New Roman" w:eastAsia="Times New Roman" w:hAnsi="Times New Roman" w:cs="Times New Roman"/>
        </w:rPr>
        <w:t xml:space="preserve"> </w:t>
      </w:r>
    </w:p>
    <w:p w14:paraId="65890BBA"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Collings, R., Swanson, V., &amp; Watkins, R. (2016). Peer mentoring during the transition to university: assessing the usage of a formal scheme within the UK. </w:t>
      </w:r>
      <w:r>
        <w:rPr>
          <w:rFonts w:ascii="Times New Roman" w:eastAsia="Times New Roman" w:hAnsi="Times New Roman" w:cs="Times New Roman"/>
          <w:i/>
          <w:iCs/>
        </w:rPr>
        <w:t>Studies in Higher Education, 41</w:t>
      </w:r>
      <w:r>
        <w:rPr>
          <w:rFonts w:ascii="Times New Roman" w:eastAsia="Times New Roman" w:hAnsi="Times New Roman" w:cs="Times New Roman"/>
        </w:rPr>
        <w:t xml:space="preserve">(11), 1995-2010. </w:t>
      </w:r>
      <w:hyperlink r:id="rId12">
        <w:r>
          <w:rPr>
            <w:rFonts w:ascii="Times New Roman" w:eastAsia="Times New Roman" w:hAnsi="Times New Roman" w:cs="Times New Roman"/>
            <w:color w:val="0563C1"/>
            <w:u w:val="single"/>
          </w:rPr>
          <w:t>https://doi.org/10.1080/03075079.2015.1007939</w:t>
        </w:r>
      </w:hyperlink>
      <w:r>
        <w:rPr>
          <w:rFonts w:ascii="Times New Roman" w:eastAsia="Times New Roman" w:hAnsi="Times New Roman" w:cs="Times New Roman"/>
        </w:rPr>
        <w:t xml:space="preserve"> </w:t>
      </w:r>
    </w:p>
    <w:p w14:paraId="5593DDD6"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Cornelius, V., Wood, L., &amp; Lai, J. (2016). Implementation and evaluation of a formal academic-peer-mentoring programme in higher education. </w:t>
      </w:r>
      <w:r>
        <w:rPr>
          <w:rFonts w:ascii="Times New Roman" w:eastAsia="Times New Roman" w:hAnsi="Times New Roman" w:cs="Times New Roman"/>
          <w:i/>
          <w:iCs/>
        </w:rPr>
        <w:t>Active Learning in Higher Education, 17</w:t>
      </w:r>
      <w:r>
        <w:rPr>
          <w:rFonts w:ascii="Times New Roman" w:eastAsia="Times New Roman" w:hAnsi="Times New Roman" w:cs="Times New Roman"/>
        </w:rPr>
        <w:t xml:space="preserve">(3), 193-205. </w:t>
      </w:r>
      <w:hyperlink r:id="rId13">
        <w:r>
          <w:rPr>
            <w:rFonts w:ascii="Times New Roman" w:eastAsia="Times New Roman" w:hAnsi="Times New Roman" w:cs="Times New Roman"/>
            <w:color w:val="0563C1"/>
            <w:u w:val="single"/>
          </w:rPr>
          <w:t>https://doi.org/10.1177/1469787416654796</w:t>
        </w:r>
      </w:hyperlink>
      <w:r>
        <w:rPr>
          <w:rFonts w:ascii="Times New Roman" w:eastAsia="Times New Roman" w:hAnsi="Times New Roman" w:cs="Times New Roman"/>
        </w:rPr>
        <w:t xml:space="preserve"> </w:t>
      </w:r>
    </w:p>
    <w:p w14:paraId="24B23542"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lastRenderedPageBreak/>
        <w:t xml:space="preserve">DeLauer, V., McGill-O-Rourke, A., Hayes, T., Haluch, A., Gordon, C., Crane, J., Kossakowski, D., Dillon, C., Thibeault, N., &amp; Schofield, D. (2021). The impact of natural environments and biophilic design as supportive and nurturing spaces on a residential college campus. </w:t>
      </w:r>
      <w:r>
        <w:rPr>
          <w:rFonts w:ascii="Times New Roman" w:eastAsia="Times New Roman" w:hAnsi="Times New Roman" w:cs="Times New Roman"/>
          <w:i/>
          <w:iCs/>
        </w:rPr>
        <w:t>Cogent Social Sciences, 8</w:t>
      </w:r>
      <w:r>
        <w:rPr>
          <w:rFonts w:ascii="Times New Roman" w:eastAsia="Times New Roman" w:hAnsi="Times New Roman" w:cs="Times New Roman"/>
        </w:rPr>
        <w:t xml:space="preserve">(1), 1-19. </w:t>
      </w:r>
      <w:hyperlink r:id="rId14">
        <w:r>
          <w:rPr>
            <w:rFonts w:ascii="Times New Roman" w:eastAsia="Times New Roman" w:hAnsi="Times New Roman" w:cs="Times New Roman"/>
            <w:color w:val="0563C1"/>
            <w:u w:val="single"/>
          </w:rPr>
          <w:t>https://doi.org/10.1080/23311886.2021.2000570</w:t>
        </w:r>
      </w:hyperlink>
      <w:r>
        <w:rPr>
          <w:rFonts w:ascii="Times New Roman" w:eastAsia="Times New Roman" w:hAnsi="Times New Roman" w:cs="Times New Roman"/>
        </w:rPr>
        <w:t xml:space="preserve"> </w:t>
      </w:r>
    </w:p>
    <w:p w14:paraId="63B1E8A3"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Eppley, K., (2006) Review essay: defying insider-outsider categorization: one researcher's fluid and complicated positioning on the insider-outsider continuum. </w:t>
      </w:r>
      <w:r>
        <w:rPr>
          <w:rFonts w:ascii="Times New Roman" w:eastAsia="Times New Roman" w:hAnsi="Times New Roman" w:cs="Times New Roman"/>
          <w:i/>
          <w:iCs/>
        </w:rPr>
        <w:t>Forum, Qualitative Social Research</w:t>
      </w:r>
      <w:r>
        <w:rPr>
          <w:rFonts w:ascii="Times New Roman" w:eastAsia="Times New Roman" w:hAnsi="Times New Roman" w:cs="Times New Roman"/>
        </w:rPr>
        <w:t>,</w:t>
      </w:r>
      <w:r>
        <w:rPr>
          <w:rFonts w:ascii="Times New Roman" w:eastAsia="Times New Roman" w:hAnsi="Times New Roman" w:cs="Times New Roman"/>
          <w:i/>
          <w:iCs/>
        </w:rPr>
        <w:t xml:space="preserve"> 7</w:t>
      </w:r>
      <w:r>
        <w:rPr>
          <w:rFonts w:ascii="Times New Roman" w:eastAsia="Times New Roman" w:hAnsi="Times New Roman" w:cs="Times New Roman"/>
        </w:rPr>
        <w:t xml:space="preserve">(3). </w:t>
      </w:r>
      <w:hyperlink r:id="rId15">
        <w:r>
          <w:rPr>
            <w:rFonts w:ascii="Times New Roman" w:eastAsia="Times New Roman" w:hAnsi="Times New Roman" w:cs="Times New Roman"/>
            <w:color w:val="1155CC"/>
            <w:u w:val="single"/>
          </w:rPr>
          <w:t>https://doi.org/10.17169/fqs-7.3.150</w:t>
        </w:r>
      </w:hyperlink>
      <w:r>
        <w:rPr>
          <w:rFonts w:ascii="Times New Roman" w:eastAsia="Times New Roman" w:hAnsi="Times New Roman" w:cs="Times New Roman"/>
        </w:rPr>
        <w:t>.</w:t>
      </w:r>
    </w:p>
    <w:p w14:paraId="3B368FE1" w14:textId="77777777" w:rsidR="000917E1" w:rsidRDefault="00000000">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Fladerer</w:t>
      </w:r>
      <w:proofErr w:type="spellEnd"/>
      <w:r>
        <w:rPr>
          <w:rFonts w:ascii="Times New Roman" w:eastAsia="Times New Roman" w:hAnsi="Times New Roman" w:cs="Times New Roman"/>
        </w:rPr>
        <w:t xml:space="preserve">, M. P., Drozdzewski, S., Hauser, A., </w:t>
      </w:r>
      <w:proofErr w:type="spellStart"/>
      <w:r>
        <w:rPr>
          <w:rFonts w:ascii="Times New Roman" w:eastAsia="Times New Roman" w:hAnsi="Times New Roman" w:cs="Times New Roman"/>
        </w:rPr>
        <w:t>Lermer</w:t>
      </w:r>
      <w:proofErr w:type="spellEnd"/>
      <w:r>
        <w:rPr>
          <w:rFonts w:ascii="Times New Roman" w:eastAsia="Times New Roman" w:hAnsi="Times New Roman" w:cs="Times New Roman"/>
        </w:rPr>
        <w:t xml:space="preserve">, E., </w:t>
      </w:r>
      <w:proofErr w:type="spellStart"/>
      <w:r>
        <w:rPr>
          <w:rFonts w:ascii="Times New Roman" w:eastAsia="Times New Roman" w:hAnsi="Times New Roman" w:cs="Times New Roman"/>
        </w:rPr>
        <w:t>Kuonath</w:t>
      </w:r>
      <w:proofErr w:type="spellEnd"/>
      <w:r>
        <w:rPr>
          <w:rFonts w:ascii="Times New Roman" w:eastAsia="Times New Roman" w:hAnsi="Times New Roman" w:cs="Times New Roman"/>
        </w:rPr>
        <w:t xml:space="preserve">, A., &amp; Frey, D. (2023). Matching by value congruence for high-quality mentoring: evidence from a student peer mentoring program. </w:t>
      </w:r>
      <w:r>
        <w:rPr>
          <w:rFonts w:ascii="Times New Roman" w:eastAsia="Times New Roman" w:hAnsi="Times New Roman" w:cs="Times New Roman"/>
          <w:i/>
          <w:iCs/>
        </w:rPr>
        <w:t>Studies in Higher Education, 48</w:t>
      </w:r>
      <w:r>
        <w:rPr>
          <w:rFonts w:ascii="Times New Roman" w:eastAsia="Times New Roman" w:hAnsi="Times New Roman" w:cs="Times New Roman"/>
        </w:rPr>
        <w:t xml:space="preserve">(12), 1937-1951. </w:t>
      </w:r>
      <w:hyperlink r:id="rId16">
        <w:r>
          <w:rPr>
            <w:rFonts w:ascii="Times New Roman" w:eastAsia="Times New Roman" w:hAnsi="Times New Roman" w:cs="Times New Roman"/>
            <w:color w:val="0563C1"/>
            <w:u w:val="single"/>
          </w:rPr>
          <w:t>https://doi.org/10.1080/03075079.2023.2217441</w:t>
        </w:r>
      </w:hyperlink>
      <w:r>
        <w:rPr>
          <w:rFonts w:ascii="Times New Roman" w:eastAsia="Times New Roman" w:hAnsi="Times New Roman" w:cs="Times New Roman"/>
        </w:rPr>
        <w:t xml:space="preserve"> </w:t>
      </w:r>
    </w:p>
    <w:p w14:paraId="373A7C56"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Galpin, A., Beevers, D., Cassidy, S., Short, B., </w:t>
      </w:r>
      <w:proofErr w:type="spellStart"/>
      <w:r>
        <w:rPr>
          <w:rFonts w:ascii="Times New Roman" w:eastAsia="Times New Roman" w:hAnsi="Times New Roman" w:cs="Times New Roman"/>
        </w:rPr>
        <w:t>Panagiotidi</w:t>
      </w:r>
      <w:proofErr w:type="spellEnd"/>
      <w:r>
        <w:rPr>
          <w:rFonts w:ascii="Times New Roman" w:eastAsia="Times New Roman" w:hAnsi="Times New Roman" w:cs="Times New Roman"/>
        </w:rPr>
        <w:t xml:space="preserve">, M., Bendall, R. C. A., Quigley, E., &amp; Thompson, C. (2022). Values-led curriculum co-creation: A curriculum re-innovation case study. </w:t>
      </w:r>
      <w:r>
        <w:rPr>
          <w:rFonts w:ascii="Times New Roman" w:eastAsia="Times New Roman" w:hAnsi="Times New Roman" w:cs="Times New Roman"/>
          <w:i/>
          <w:iCs/>
        </w:rPr>
        <w:t>The Curriculum Journal, 33,</w:t>
      </w:r>
      <w:r>
        <w:rPr>
          <w:rFonts w:ascii="Times New Roman" w:eastAsia="Times New Roman" w:hAnsi="Times New Roman" w:cs="Times New Roman"/>
        </w:rPr>
        <w:t xml:space="preserve"> 553-569. </w:t>
      </w:r>
      <w:hyperlink r:id="rId17">
        <w:r>
          <w:rPr>
            <w:rFonts w:ascii="Times New Roman" w:eastAsia="Times New Roman" w:hAnsi="Times New Roman" w:cs="Times New Roman"/>
            <w:color w:val="0563C1"/>
            <w:u w:val="single"/>
          </w:rPr>
          <w:t>https://doi.org/10.1002/curj.154</w:t>
        </w:r>
      </w:hyperlink>
      <w:r>
        <w:rPr>
          <w:rFonts w:ascii="Times New Roman" w:eastAsia="Times New Roman" w:hAnsi="Times New Roman" w:cs="Times New Roman"/>
        </w:rPr>
        <w:t xml:space="preserve"> </w:t>
      </w:r>
    </w:p>
    <w:p w14:paraId="59C0C1A9"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Gehreke, L., Schilling, H., &amp; Kauffeld, S. (2024). Effectiveness of peer mentoring in the study entry phase: A systematic review. </w:t>
      </w:r>
      <w:r>
        <w:rPr>
          <w:rFonts w:ascii="Times New Roman" w:eastAsia="Times New Roman" w:hAnsi="Times New Roman" w:cs="Times New Roman"/>
          <w:i/>
          <w:iCs/>
        </w:rPr>
        <w:t xml:space="preserve">Review of Education, 12, </w:t>
      </w:r>
      <w:r>
        <w:rPr>
          <w:rFonts w:ascii="Times New Roman" w:eastAsia="Times New Roman" w:hAnsi="Times New Roman" w:cs="Times New Roman"/>
        </w:rPr>
        <w:t xml:space="preserve">e3462. </w:t>
      </w:r>
      <w:hyperlink r:id="rId18">
        <w:r>
          <w:rPr>
            <w:rFonts w:ascii="Times New Roman" w:eastAsia="Times New Roman" w:hAnsi="Times New Roman" w:cs="Times New Roman"/>
            <w:color w:val="0563C1"/>
            <w:u w:val="single"/>
          </w:rPr>
          <w:t>https://doi.org/10.1002/rev3.3462</w:t>
        </w:r>
      </w:hyperlink>
      <w:r>
        <w:rPr>
          <w:rFonts w:ascii="Times New Roman" w:eastAsia="Times New Roman" w:hAnsi="Times New Roman" w:cs="Times New Roman"/>
        </w:rPr>
        <w:t xml:space="preserve"> </w:t>
      </w:r>
    </w:p>
    <w:p w14:paraId="52D2691A"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Hanna, L. (2023). Seven in ten students consider dropping out – How can universities fix this gloomy statistic? </w:t>
      </w:r>
      <w:r>
        <w:rPr>
          <w:rFonts w:ascii="Times New Roman" w:eastAsia="Times New Roman" w:hAnsi="Times New Roman" w:cs="Times New Roman"/>
          <w:i/>
          <w:iCs/>
        </w:rPr>
        <w:t>HEPI</w:t>
      </w:r>
      <w:r>
        <w:rPr>
          <w:rFonts w:ascii="Times New Roman" w:eastAsia="Times New Roman" w:hAnsi="Times New Roman" w:cs="Times New Roman"/>
        </w:rPr>
        <w:t xml:space="preserve">. </w:t>
      </w:r>
      <w:hyperlink r:id="rId19">
        <w:r>
          <w:rPr>
            <w:rFonts w:ascii="Times New Roman" w:eastAsia="Times New Roman" w:hAnsi="Times New Roman" w:cs="Times New Roman"/>
            <w:color w:val="0563C1"/>
            <w:u w:val="single"/>
          </w:rPr>
          <w:t>https://www.hepi.ac.uk/2023/03/02/%EF%BF%BCseven-in-ten-students-consider-dropping-out-how-can-universities-fix-this-gloomy-statistic/</w:t>
        </w:r>
      </w:hyperlink>
      <w:r>
        <w:rPr>
          <w:rFonts w:ascii="Times New Roman" w:eastAsia="Times New Roman" w:hAnsi="Times New Roman" w:cs="Times New Roman"/>
        </w:rPr>
        <w:t xml:space="preserve"> </w:t>
      </w:r>
    </w:p>
    <w:p w14:paraId="6D16FC2F"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HESA. (2022). </w:t>
      </w:r>
      <w:r>
        <w:rPr>
          <w:rFonts w:ascii="Times New Roman" w:eastAsia="Times New Roman" w:hAnsi="Times New Roman" w:cs="Times New Roman"/>
          <w:i/>
          <w:iCs/>
        </w:rPr>
        <w:t>UK Performance Indicators: Non-continuation 2020/21.</w:t>
      </w:r>
      <w:r>
        <w:rPr>
          <w:rFonts w:ascii="Times New Roman" w:eastAsia="Times New Roman" w:hAnsi="Times New Roman" w:cs="Times New Roman"/>
        </w:rPr>
        <w:t xml:space="preserve"> </w:t>
      </w:r>
      <w:hyperlink r:id="rId20">
        <w:r>
          <w:rPr>
            <w:rFonts w:ascii="Times New Roman" w:eastAsia="Times New Roman" w:hAnsi="Times New Roman" w:cs="Times New Roman"/>
            <w:color w:val="0563C1"/>
            <w:u w:val="single"/>
          </w:rPr>
          <w:t>https://www.hesa.ac.uk/news/17-03-2022/uk-performance-indicators-non-continuation-202021</w:t>
        </w:r>
      </w:hyperlink>
      <w:r>
        <w:rPr>
          <w:rFonts w:ascii="Times New Roman" w:eastAsia="Times New Roman" w:hAnsi="Times New Roman" w:cs="Times New Roman"/>
        </w:rPr>
        <w:t xml:space="preserve"> </w:t>
      </w:r>
    </w:p>
    <w:p w14:paraId="25D58CF0"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lastRenderedPageBreak/>
        <w:t xml:space="preserve">Hixenbaugh, P., Dewart, H., Drees, D., &amp; Williams, D. (2005). Peer e-mentoring: enhancement of the </w:t>
      </w:r>
      <w:proofErr w:type="gramStart"/>
      <w:r>
        <w:rPr>
          <w:rFonts w:ascii="Times New Roman" w:eastAsia="Times New Roman" w:hAnsi="Times New Roman" w:cs="Times New Roman"/>
        </w:rPr>
        <w:t>first year</w:t>
      </w:r>
      <w:proofErr w:type="gramEnd"/>
      <w:r>
        <w:rPr>
          <w:rFonts w:ascii="Times New Roman" w:eastAsia="Times New Roman" w:hAnsi="Times New Roman" w:cs="Times New Roman"/>
        </w:rPr>
        <w:t xml:space="preserve"> experience. </w:t>
      </w:r>
      <w:r>
        <w:rPr>
          <w:rFonts w:ascii="Times New Roman" w:eastAsia="Times New Roman" w:hAnsi="Times New Roman" w:cs="Times New Roman"/>
          <w:i/>
          <w:iCs/>
        </w:rPr>
        <w:t>Psychology Learning and Teaching, 5</w:t>
      </w:r>
      <w:r>
        <w:rPr>
          <w:rFonts w:ascii="Times New Roman" w:eastAsia="Times New Roman" w:hAnsi="Times New Roman" w:cs="Times New Roman"/>
        </w:rPr>
        <w:t xml:space="preserve">(1), 8-14. </w:t>
      </w:r>
    </w:p>
    <w:p w14:paraId="0C8CA264"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Hoon, A., Oliver, E., </w:t>
      </w:r>
      <w:proofErr w:type="spellStart"/>
      <w:r>
        <w:rPr>
          <w:rFonts w:ascii="Times New Roman" w:eastAsia="Times New Roman" w:hAnsi="Times New Roman" w:cs="Times New Roman"/>
        </w:rPr>
        <w:t>Szpakowska</w:t>
      </w:r>
      <w:proofErr w:type="spellEnd"/>
      <w:r>
        <w:rPr>
          <w:rFonts w:ascii="Times New Roman" w:eastAsia="Times New Roman" w:hAnsi="Times New Roman" w:cs="Times New Roman"/>
        </w:rPr>
        <w:t xml:space="preserve">, K., &amp; Newton, P. (2015). Use of the ‘Stop, Start, </w:t>
      </w:r>
      <w:proofErr w:type="gramStart"/>
      <w:r>
        <w:rPr>
          <w:rFonts w:ascii="Times New Roman" w:eastAsia="Times New Roman" w:hAnsi="Times New Roman" w:cs="Times New Roman"/>
        </w:rPr>
        <w:t>Continue</w:t>
      </w:r>
      <w:proofErr w:type="gramEnd"/>
      <w:r>
        <w:rPr>
          <w:rFonts w:ascii="Times New Roman" w:eastAsia="Times New Roman" w:hAnsi="Times New Roman" w:cs="Times New Roman"/>
        </w:rPr>
        <w:t xml:space="preserve">’ method is associated with the production of constructive qualitative feedback by students in higher education. </w:t>
      </w:r>
      <w:r>
        <w:rPr>
          <w:rFonts w:ascii="Times New Roman" w:eastAsia="Times New Roman" w:hAnsi="Times New Roman" w:cs="Times New Roman"/>
          <w:i/>
          <w:iCs/>
        </w:rPr>
        <w:t>Assessment &amp; Evaluation in Higher Education, 40</w:t>
      </w:r>
      <w:r>
        <w:rPr>
          <w:rFonts w:ascii="Times New Roman" w:eastAsia="Times New Roman" w:hAnsi="Times New Roman" w:cs="Times New Roman"/>
        </w:rPr>
        <w:t xml:space="preserve">(5), 755-767. </w:t>
      </w:r>
      <w:hyperlink r:id="rId21">
        <w:r>
          <w:rPr>
            <w:rFonts w:ascii="Times New Roman" w:eastAsia="Times New Roman" w:hAnsi="Times New Roman" w:cs="Times New Roman"/>
            <w:color w:val="0563C1"/>
            <w:u w:val="single"/>
          </w:rPr>
          <w:t>https://doi.org/10.1080/02602938.2014.956282</w:t>
        </w:r>
      </w:hyperlink>
      <w:r>
        <w:rPr>
          <w:rFonts w:ascii="Times New Roman" w:eastAsia="Times New Roman" w:hAnsi="Times New Roman" w:cs="Times New Roman"/>
        </w:rPr>
        <w:t xml:space="preserve"> </w:t>
      </w:r>
    </w:p>
    <w:p w14:paraId="0A3E8995" w14:textId="77777777" w:rsidR="000917E1" w:rsidRDefault="00000000">
      <w:pPr>
        <w:spacing w:line="480" w:lineRule="auto"/>
        <w:ind w:left="720" w:hanging="720"/>
        <w:rPr>
          <w:rFonts w:ascii="Times New Roman" w:eastAsia="Times New Roman" w:hAnsi="Times New Roman" w:cs="Times New Roman"/>
        </w:rPr>
      </w:pPr>
      <w:r w:rsidRPr="00886505">
        <w:rPr>
          <w:rFonts w:ascii="Times New Roman" w:eastAsia="Times New Roman" w:hAnsi="Times New Roman" w:cs="Times New Roman"/>
          <w:color w:val="000000" w:themeColor="text1"/>
        </w:rPr>
        <w:t xml:space="preserve">Kehm, B. M., Lrasen, M. R., &amp; </w:t>
      </w:r>
      <w:proofErr w:type="spellStart"/>
      <w:r w:rsidRPr="00886505">
        <w:rPr>
          <w:rFonts w:ascii="Times New Roman" w:eastAsia="Times New Roman" w:hAnsi="Times New Roman" w:cs="Times New Roman"/>
          <w:color w:val="000000" w:themeColor="text1"/>
        </w:rPr>
        <w:t>Sommersel</w:t>
      </w:r>
      <w:proofErr w:type="spellEnd"/>
      <w:r w:rsidRPr="00886505">
        <w:rPr>
          <w:rFonts w:ascii="Times New Roman" w:eastAsia="Times New Roman" w:hAnsi="Times New Roman" w:cs="Times New Roman"/>
          <w:color w:val="000000" w:themeColor="text1"/>
        </w:rPr>
        <w:t xml:space="preserve">, B. (2019). Student dropout from universities in Europe: A review of empirical literature. </w:t>
      </w:r>
      <w:r w:rsidRPr="00886505">
        <w:rPr>
          <w:rFonts w:ascii="Times New Roman" w:eastAsia="Times New Roman" w:hAnsi="Times New Roman" w:cs="Times New Roman"/>
          <w:i/>
          <w:iCs/>
          <w:color w:val="000000" w:themeColor="text1"/>
        </w:rPr>
        <w:t>Hungarian Educational Research Journal, 9</w:t>
      </w:r>
      <w:r w:rsidRPr="00886505">
        <w:rPr>
          <w:rFonts w:ascii="Times New Roman" w:eastAsia="Times New Roman" w:hAnsi="Times New Roman" w:cs="Times New Roman"/>
          <w:color w:val="000000" w:themeColor="text1"/>
        </w:rPr>
        <w:t xml:space="preserve">(2), 147-164. </w:t>
      </w:r>
      <w:hyperlink r:id="rId22">
        <w:r>
          <w:rPr>
            <w:rFonts w:ascii="Times New Roman" w:eastAsia="Times New Roman" w:hAnsi="Times New Roman" w:cs="Times New Roman"/>
            <w:color w:val="0563C1"/>
            <w:u w:val="single"/>
          </w:rPr>
          <w:t>https://doi.org/10.1556/063.9.2019.1.18</w:t>
        </w:r>
      </w:hyperlink>
      <w:r>
        <w:rPr>
          <w:rFonts w:ascii="Times New Roman" w:eastAsia="Times New Roman" w:hAnsi="Times New Roman" w:cs="Times New Roman"/>
        </w:rPr>
        <w:t xml:space="preserve"> </w:t>
      </w:r>
    </w:p>
    <w:p w14:paraId="1C30D5E6"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Lizzio, A. (2006). </w:t>
      </w:r>
      <w:r>
        <w:rPr>
          <w:rFonts w:ascii="Times New Roman" w:eastAsia="Times New Roman" w:hAnsi="Times New Roman" w:cs="Times New Roman"/>
          <w:i/>
          <w:iCs/>
        </w:rPr>
        <w:t>The five senses of success. A conceptual framework for student transition and orientation.</w:t>
      </w:r>
      <w:r>
        <w:rPr>
          <w:rFonts w:ascii="Times New Roman" w:eastAsia="Times New Roman" w:hAnsi="Times New Roman" w:cs="Times New Roman"/>
        </w:rPr>
        <w:t xml:space="preserve"> Griffith University.</w:t>
      </w:r>
    </w:p>
    <w:p w14:paraId="188A97F2" w14:textId="77777777" w:rsidR="000917E1" w:rsidRDefault="00000000">
      <w:pPr>
        <w:spacing w:line="480" w:lineRule="auto"/>
        <w:ind w:left="720" w:hanging="720"/>
        <w:rPr>
          <w:rFonts w:ascii="Times New Roman" w:eastAsia="Times New Roman" w:hAnsi="Times New Roman" w:cs="Times New Roman"/>
        </w:rPr>
      </w:pPr>
      <w:r w:rsidRPr="00886505">
        <w:rPr>
          <w:rFonts w:ascii="Times New Roman" w:eastAsia="Times New Roman" w:hAnsi="Times New Roman" w:cs="Times New Roman"/>
          <w:color w:val="000000" w:themeColor="text1"/>
        </w:rPr>
        <w:t xml:space="preserve">Lorenzo-Quiles, O., Galdón-López, &amp; </w:t>
      </w:r>
      <w:proofErr w:type="spellStart"/>
      <w:r w:rsidRPr="00886505">
        <w:rPr>
          <w:rFonts w:ascii="Times New Roman" w:eastAsia="Times New Roman" w:hAnsi="Times New Roman" w:cs="Times New Roman"/>
          <w:color w:val="000000" w:themeColor="text1"/>
        </w:rPr>
        <w:t>Ludínez-Turón</w:t>
      </w:r>
      <w:proofErr w:type="spellEnd"/>
      <w:r w:rsidRPr="00886505">
        <w:rPr>
          <w:rFonts w:ascii="Times New Roman" w:eastAsia="Times New Roman" w:hAnsi="Times New Roman" w:cs="Times New Roman"/>
          <w:color w:val="000000" w:themeColor="text1"/>
        </w:rPr>
        <w:t xml:space="preserve">, A. (2023). Factors contributing to university dropout: a review. </w:t>
      </w:r>
      <w:r w:rsidRPr="00886505">
        <w:rPr>
          <w:rFonts w:ascii="Times New Roman" w:eastAsia="Times New Roman" w:hAnsi="Times New Roman" w:cs="Times New Roman"/>
          <w:i/>
          <w:iCs/>
          <w:color w:val="000000" w:themeColor="text1"/>
        </w:rPr>
        <w:t xml:space="preserve">Frontiers in Education, 8, </w:t>
      </w:r>
      <w:r w:rsidRPr="00886505">
        <w:rPr>
          <w:rFonts w:ascii="Times New Roman" w:eastAsia="Times New Roman" w:hAnsi="Times New Roman" w:cs="Times New Roman"/>
          <w:color w:val="000000" w:themeColor="text1"/>
        </w:rPr>
        <w:t xml:space="preserve">1159864. </w:t>
      </w:r>
      <w:hyperlink r:id="rId23">
        <w:r>
          <w:rPr>
            <w:rFonts w:ascii="Times New Roman" w:eastAsia="Times New Roman" w:hAnsi="Times New Roman" w:cs="Times New Roman"/>
            <w:color w:val="0563C1"/>
            <w:u w:val="single"/>
          </w:rPr>
          <w:t>https://doi.org/feduc.2023.1159864</w:t>
        </w:r>
      </w:hyperlink>
      <w:r>
        <w:rPr>
          <w:rFonts w:ascii="Times New Roman" w:eastAsia="Times New Roman" w:hAnsi="Times New Roman" w:cs="Times New Roman"/>
        </w:rPr>
        <w:t xml:space="preserve"> </w:t>
      </w:r>
    </w:p>
    <w:p w14:paraId="17F3EC05"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Jacobi, M. (1991). Mentoring and undergraduate academic success: A literature review. </w:t>
      </w:r>
      <w:r>
        <w:rPr>
          <w:rFonts w:ascii="Times New Roman" w:eastAsia="Times New Roman" w:hAnsi="Times New Roman" w:cs="Times New Roman"/>
          <w:i/>
          <w:iCs/>
        </w:rPr>
        <w:t>Review of Educational Research, 61</w:t>
      </w:r>
      <w:r>
        <w:rPr>
          <w:rFonts w:ascii="Times New Roman" w:eastAsia="Times New Roman" w:hAnsi="Times New Roman" w:cs="Times New Roman"/>
        </w:rPr>
        <w:t>(4), 505-532.</w:t>
      </w:r>
    </w:p>
    <w:p w14:paraId="03B22BC6"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Katyal, K.R. &amp; King, M.E., (2014). Non-Chinese researchers conducting research in Chinese cultures: critical reflections. </w:t>
      </w:r>
      <w:r>
        <w:rPr>
          <w:rFonts w:ascii="Times New Roman" w:eastAsia="Times New Roman" w:hAnsi="Times New Roman" w:cs="Times New Roman"/>
          <w:i/>
          <w:iCs/>
        </w:rPr>
        <w:t>International Journal of Research &amp; Method in Education</w:t>
      </w:r>
      <w:r>
        <w:rPr>
          <w:rFonts w:ascii="Times New Roman" w:eastAsia="Times New Roman" w:hAnsi="Times New Roman" w:cs="Times New Roman"/>
        </w:rPr>
        <w:t xml:space="preserve">, </w:t>
      </w:r>
      <w:r>
        <w:rPr>
          <w:rFonts w:ascii="Times New Roman" w:eastAsia="Times New Roman" w:hAnsi="Times New Roman" w:cs="Times New Roman"/>
          <w:i/>
          <w:iCs/>
        </w:rPr>
        <w:t>37</w:t>
      </w:r>
      <w:r>
        <w:rPr>
          <w:rFonts w:ascii="Times New Roman" w:eastAsia="Times New Roman" w:hAnsi="Times New Roman" w:cs="Times New Roman"/>
        </w:rPr>
        <w:t>(1), 44–62.</w:t>
      </w:r>
      <w:hyperlink r:id="rId24">
        <w:r>
          <w:rPr>
            <w:rFonts w:ascii="Times New Roman" w:eastAsia="Times New Roman" w:hAnsi="Times New Roman" w:cs="Times New Roman"/>
            <w:color w:val="1155CC"/>
            <w:u w:val="single"/>
          </w:rPr>
          <w:t xml:space="preserve"> https://doi.org/10.1080/1743727X.2012.736484.</w:t>
        </w:r>
      </w:hyperlink>
    </w:p>
    <w:p w14:paraId="654607FF"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Knapp, J., </w:t>
      </w:r>
      <w:proofErr w:type="spellStart"/>
      <w:r>
        <w:rPr>
          <w:rFonts w:ascii="Times New Roman" w:eastAsia="Times New Roman" w:hAnsi="Times New Roman" w:cs="Times New Roman"/>
        </w:rPr>
        <w:t>Zeratsky</w:t>
      </w:r>
      <w:proofErr w:type="spellEnd"/>
      <w:r>
        <w:rPr>
          <w:rFonts w:ascii="Times New Roman" w:eastAsia="Times New Roman" w:hAnsi="Times New Roman" w:cs="Times New Roman"/>
        </w:rPr>
        <w:t xml:space="preserve">, J., &amp; Kowitz, B. (2016). </w:t>
      </w:r>
      <w:r>
        <w:rPr>
          <w:rFonts w:ascii="Times New Roman" w:eastAsia="Times New Roman" w:hAnsi="Times New Roman" w:cs="Times New Roman"/>
          <w:i/>
          <w:iCs/>
        </w:rPr>
        <w:t xml:space="preserve">Sprint: How to solve big problems and test new ideas in just five days. </w:t>
      </w:r>
      <w:r>
        <w:rPr>
          <w:rFonts w:ascii="Times New Roman" w:eastAsia="Times New Roman" w:hAnsi="Times New Roman" w:cs="Times New Roman"/>
        </w:rPr>
        <w:t>Simon and Schuster.</w:t>
      </w:r>
    </w:p>
    <w:p w14:paraId="4AAD9CE6" w14:textId="77777777" w:rsidR="000917E1" w:rsidRDefault="00000000">
      <w:pPr>
        <w:spacing w:line="480" w:lineRule="auto"/>
        <w:ind w:left="720" w:hanging="720"/>
        <w:rPr>
          <w:rFonts w:ascii="Times New Roman" w:eastAsia="Times New Roman" w:hAnsi="Times New Roman" w:cs="Times New Roman"/>
        </w:rPr>
      </w:pPr>
      <w:r w:rsidRPr="00886505">
        <w:rPr>
          <w:rFonts w:ascii="Times New Roman" w:eastAsia="Times New Roman" w:hAnsi="Times New Roman" w:cs="Times New Roman"/>
          <w:color w:val="000000" w:themeColor="text1"/>
        </w:rPr>
        <w:t xml:space="preserve">Le, H-G., Sok, S., &amp; Heng, K. (2024). The benefits of peer-mentoring in higher education: findings from a systematic review. </w:t>
      </w:r>
      <w:r w:rsidRPr="00886505">
        <w:rPr>
          <w:rFonts w:ascii="Times New Roman" w:eastAsia="Times New Roman" w:hAnsi="Times New Roman" w:cs="Times New Roman"/>
          <w:i/>
          <w:iCs/>
          <w:color w:val="000000" w:themeColor="text1"/>
        </w:rPr>
        <w:t xml:space="preserve">Journal of Learning Development in Higher Education, </w:t>
      </w:r>
      <w:r w:rsidRPr="00886505">
        <w:rPr>
          <w:rFonts w:ascii="Times New Roman" w:eastAsia="Times New Roman" w:hAnsi="Times New Roman" w:cs="Times New Roman"/>
          <w:color w:val="000000" w:themeColor="text1"/>
        </w:rPr>
        <w:t xml:space="preserve">(31). </w:t>
      </w:r>
      <w:hyperlink r:id="rId25">
        <w:r>
          <w:rPr>
            <w:rFonts w:ascii="Times New Roman" w:eastAsia="Times New Roman" w:hAnsi="Times New Roman" w:cs="Times New Roman"/>
            <w:color w:val="0563C1"/>
            <w:u w:val="single"/>
          </w:rPr>
          <w:t>https://doi.org/10.47408/jldhe.vi31.1159</w:t>
        </w:r>
      </w:hyperlink>
      <w:r>
        <w:rPr>
          <w:rFonts w:ascii="Times New Roman" w:eastAsia="Times New Roman" w:hAnsi="Times New Roman" w:cs="Times New Roman"/>
        </w:rPr>
        <w:t xml:space="preserve"> </w:t>
      </w:r>
    </w:p>
    <w:p w14:paraId="0169068A"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lastRenderedPageBreak/>
        <w:t xml:space="preserve">Leidenfrost, B., </w:t>
      </w:r>
      <w:proofErr w:type="spellStart"/>
      <w:r>
        <w:rPr>
          <w:rFonts w:ascii="Times New Roman" w:eastAsia="Times New Roman" w:hAnsi="Times New Roman" w:cs="Times New Roman"/>
        </w:rPr>
        <w:t>Strassnig</w:t>
      </w:r>
      <w:proofErr w:type="spellEnd"/>
      <w:r>
        <w:rPr>
          <w:rFonts w:ascii="Times New Roman" w:eastAsia="Times New Roman" w:hAnsi="Times New Roman" w:cs="Times New Roman"/>
        </w:rPr>
        <w:t xml:space="preserve">, B., Schütz, M., Carbon, C.-C., &amp; Schabmann, A. (2014). The impact of peer mentoring on mentee academic performance: Is any mentoring style better than no mentoring at all? </w:t>
      </w:r>
      <w:r>
        <w:rPr>
          <w:rFonts w:ascii="Times New Roman" w:eastAsia="Times New Roman" w:hAnsi="Times New Roman" w:cs="Times New Roman"/>
          <w:i/>
          <w:iCs/>
        </w:rPr>
        <w:t>International Journal of Teaching and Learning in Higher Education, 26</w:t>
      </w:r>
      <w:r>
        <w:rPr>
          <w:rFonts w:ascii="Times New Roman" w:eastAsia="Times New Roman" w:hAnsi="Times New Roman" w:cs="Times New Roman"/>
        </w:rPr>
        <w:t>(1), 102-111.</w:t>
      </w:r>
    </w:p>
    <w:p w14:paraId="352C8D96"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Matheson, R., Tangney, S., &amp; Sutcliffe, M. (2018). </w:t>
      </w:r>
      <w:r>
        <w:rPr>
          <w:rFonts w:ascii="Times New Roman" w:eastAsia="Times New Roman" w:hAnsi="Times New Roman" w:cs="Times New Roman"/>
          <w:i/>
          <w:iCs/>
        </w:rPr>
        <w:t>Transition in, through and out of higher education. International case studies and best practice.</w:t>
      </w:r>
      <w:r>
        <w:rPr>
          <w:rFonts w:ascii="Times New Roman" w:eastAsia="Times New Roman" w:hAnsi="Times New Roman" w:cs="Times New Roman"/>
        </w:rPr>
        <w:t xml:space="preserve"> Routledge.</w:t>
      </w:r>
    </w:p>
    <w:p w14:paraId="094088D7"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Mattimore, B. W. (2012). </w:t>
      </w:r>
      <w:r>
        <w:rPr>
          <w:rFonts w:ascii="Times New Roman" w:eastAsia="Times New Roman" w:hAnsi="Times New Roman" w:cs="Times New Roman"/>
          <w:i/>
          <w:iCs/>
        </w:rPr>
        <w:t xml:space="preserve">Idea stormers: How to lead and inspire creative breakthroughs. </w:t>
      </w:r>
      <w:r>
        <w:rPr>
          <w:rFonts w:ascii="Times New Roman" w:eastAsia="Times New Roman" w:hAnsi="Times New Roman" w:cs="Times New Roman"/>
        </w:rPr>
        <w:t>John Wiley &amp; Sons.</w:t>
      </w:r>
    </w:p>
    <w:p w14:paraId="0BCE5AD1"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Mendes, A. B., &amp; Hammett, D. (2020). The new tyranny of student participation? Student voice and the paradox of strategic-active student-citizens. </w:t>
      </w:r>
      <w:r>
        <w:rPr>
          <w:rFonts w:ascii="Times New Roman" w:eastAsia="Times New Roman" w:hAnsi="Times New Roman" w:cs="Times New Roman"/>
          <w:i/>
          <w:iCs/>
        </w:rPr>
        <w:t xml:space="preserve">Teaching in Higher Education, </w:t>
      </w:r>
      <w:r>
        <w:rPr>
          <w:rFonts w:ascii="Times New Roman" w:eastAsia="Times New Roman" w:hAnsi="Times New Roman" w:cs="Times New Roman"/>
        </w:rPr>
        <w:t xml:space="preserve">1-16. </w:t>
      </w:r>
      <w:hyperlink r:id="rId26">
        <w:r>
          <w:rPr>
            <w:rFonts w:ascii="Times New Roman" w:eastAsia="Times New Roman" w:hAnsi="Times New Roman" w:cs="Times New Roman"/>
            <w:color w:val="0563C1"/>
            <w:u w:val="single"/>
          </w:rPr>
          <w:t>https://doi.org/10.1080/13562517.2020.1783227</w:t>
        </w:r>
      </w:hyperlink>
      <w:r>
        <w:rPr>
          <w:rFonts w:ascii="Times New Roman" w:eastAsia="Times New Roman" w:hAnsi="Times New Roman" w:cs="Times New Roman"/>
        </w:rPr>
        <w:t xml:space="preserve">   </w:t>
      </w:r>
    </w:p>
    <w:p w14:paraId="067EB053"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O’Shea, S., Bennett, S., &amp; Delahunty, J. (2017). Engaging ‘students as partners’ in the design and development of a peer-mentoring program. </w:t>
      </w:r>
      <w:r>
        <w:rPr>
          <w:rFonts w:ascii="Times New Roman" w:eastAsia="Times New Roman" w:hAnsi="Times New Roman" w:cs="Times New Roman"/>
          <w:i/>
          <w:iCs/>
        </w:rPr>
        <w:t>Student Success, 8</w:t>
      </w:r>
      <w:r>
        <w:rPr>
          <w:rFonts w:ascii="Times New Roman" w:eastAsia="Times New Roman" w:hAnsi="Times New Roman" w:cs="Times New Roman"/>
        </w:rPr>
        <w:t>(2), 113-116.</w:t>
      </w:r>
    </w:p>
    <w:p w14:paraId="453F1850"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O’Shea, S., Chandler, P., &amp; Harwood, V. (2015). Getting students into </w:t>
      </w:r>
      <w:proofErr w:type="spellStart"/>
      <w:r>
        <w:rPr>
          <w:rFonts w:ascii="Times New Roman" w:eastAsia="Times New Roman" w:hAnsi="Times New Roman" w:cs="Times New Roman"/>
        </w:rPr>
        <w:t>uni</w:t>
      </w:r>
      <w:proofErr w:type="spellEnd"/>
      <w:r>
        <w:rPr>
          <w:rFonts w:ascii="Times New Roman" w:eastAsia="Times New Roman" w:hAnsi="Times New Roman" w:cs="Times New Roman"/>
        </w:rPr>
        <w:t xml:space="preserve"> is one thing, but how to keep them there? </w:t>
      </w:r>
      <w:r>
        <w:rPr>
          <w:rFonts w:ascii="Times New Roman" w:eastAsia="Times New Roman" w:hAnsi="Times New Roman" w:cs="Times New Roman"/>
          <w:i/>
          <w:iCs/>
        </w:rPr>
        <w:t xml:space="preserve">The Conversation. </w:t>
      </w:r>
      <w:hyperlink r:id="rId27">
        <w:r>
          <w:rPr>
            <w:rFonts w:ascii="Times New Roman" w:eastAsia="Times New Roman" w:hAnsi="Times New Roman" w:cs="Times New Roman"/>
            <w:color w:val="0563C1"/>
            <w:u w:val="single"/>
          </w:rPr>
          <w:t>https://theconversation.com/getting-students-into-uni-is-one-thing-but-how-to-keep-them-there-47933</w:t>
        </w:r>
      </w:hyperlink>
      <w:r>
        <w:rPr>
          <w:rFonts w:ascii="Times New Roman" w:eastAsia="Times New Roman" w:hAnsi="Times New Roman" w:cs="Times New Roman"/>
          <w:i/>
          <w:iCs/>
        </w:rPr>
        <w:t xml:space="preserve"> </w:t>
      </w:r>
    </w:p>
    <w:p w14:paraId="20948114"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Owl Labs. (2022). </w:t>
      </w:r>
      <w:r>
        <w:rPr>
          <w:rFonts w:ascii="Times New Roman" w:eastAsia="Times New Roman" w:hAnsi="Times New Roman" w:cs="Times New Roman"/>
          <w:i/>
          <w:iCs/>
        </w:rPr>
        <w:t>Meeting Owl 3</w:t>
      </w:r>
      <w:r>
        <w:rPr>
          <w:rFonts w:ascii="Times New Roman" w:eastAsia="Times New Roman" w:hAnsi="Times New Roman" w:cs="Times New Roman"/>
        </w:rPr>
        <w:t xml:space="preserve">. Available from </w:t>
      </w:r>
      <w:hyperlink r:id="rId28">
        <w:r>
          <w:rPr>
            <w:rFonts w:ascii="Times New Roman" w:eastAsia="Times New Roman" w:hAnsi="Times New Roman" w:cs="Times New Roman"/>
            <w:color w:val="0563C1"/>
            <w:u w:val="single"/>
          </w:rPr>
          <w:t>https://owllabs.co.uk/</w:t>
        </w:r>
      </w:hyperlink>
      <w:r>
        <w:rPr>
          <w:rFonts w:ascii="Times New Roman" w:eastAsia="Times New Roman" w:hAnsi="Times New Roman" w:cs="Times New Roman"/>
        </w:rPr>
        <w:t xml:space="preserve"> </w:t>
      </w:r>
    </w:p>
    <w:p w14:paraId="7C28AD7C"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Page, D., &amp; Hanna, D. (2008). Peer mentoring: The students’ perspective. </w:t>
      </w:r>
      <w:r>
        <w:rPr>
          <w:rFonts w:ascii="Times New Roman" w:eastAsia="Times New Roman" w:hAnsi="Times New Roman" w:cs="Times New Roman"/>
          <w:i/>
          <w:iCs/>
        </w:rPr>
        <w:t>Psychology Learning and Teaching, 7</w:t>
      </w:r>
      <w:r>
        <w:rPr>
          <w:rFonts w:ascii="Times New Roman" w:eastAsia="Times New Roman" w:hAnsi="Times New Roman" w:cs="Times New Roman"/>
        </w:rPr>
        <w:t>(2), 34-37.</w:t>
      </w:r>
    </w:p>
    <w:p w14:paraId="3F946A5A"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SLC. (2023). </w:t>
      </w:r>
      <w:r>
        <w:rPr>
          <w:rFonts w:ascii="Times New Roman" w:eastAsia="Times New Roman" w:hAnsi="Times New Roman" w:cs="Times New Roman"/>
          <w:i/>
          <w:iCs/>
        </w:rPr>
        <w:t>Early-in-year student withdrawal notifications: academic year 2018/19 to 2022/23 up to 31/08/2023.</w:t>
      </w:r>
      <w:r>
        <w:rPr>
          <w:rFonts w:ascii="Times New Roman" w:eastAsia="Times New Roman" w:hAnsi="Times New Roman" w:cs="Times New Roman"/>
        </w:rPr>
        <w:t xml:space="preserve"> </w:t>
      </w:r>
      <w:hyperlink r:id="rId29">
        <w:r>
          <w:rPr>
            <w:rFonts w:ascii="Times New Roman" w:eastAsia="Times New Roman" w:hAnsi="Times New Roman" w:cs="Times New Roman"/>
            <w:color w:val="0563C1"/>
            <w:u w:val="single"/>
          </w:rPr>
          <w:t>https://www.gov.uk/government/statistics/early-in-year-student-withdrawal-notifications-academic-year-201819-to-202223-up-to-31082023/early-in-year-student-withdrawal-notifications-academic-year-201819-to-202223-up-to-31082023</w:t>
        </w:r>
      </w:hyperlink>
      <w:r>
        <w:rPr>
          <w:rFonts w:ascii="Times New Roman" w:eastAsia="Times New Roman" w:hAnsi="Times New Roman" w:cs="Times New Roman"/>
        </w:rPr>
        <w:t xml:space="preserve"> </w:t>
      </w:r>
    </w:p>
    <w:p w14:paraId="3BC0E5B9"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lastRenderedPageBreak/>
        <w:t xml:space="preserve">TASO. (2023). Student mental health problems have almost tripled, study finds. </w:t>
      </w:r>
      <w:r>
        <w:rPr>
          <w:rFonts w:ascii="Times New Roman" w:eastAsia="Times New Roman" w:hAnsi="Times New Roman" w:cs="Times New Roman"/>
          <w:i/>
          <w:iCs/>
        </w:rPr>
        <w:t>Transforming Access and Student Outcomes in Higher Education.</w:t>
      </w:r>
      <w:r>
        <w:rPr>
          <w:rFonts w:ascii="Times New Roman" w:eastAsia="Times New Roman" w:hAnsi="Times New Roman" w:cs="Times New Roman"/>
        </w:rPr>
        <w:t xml:space="preserve"> </w:t>
      </w:r>
      <w:hyperlink r:id="rId30">
        <w:r>
          <w:rPr>
            <w:rFonts w:ascii="Times New Roman" w:eastAsia="Times New Roman" w:hAnsi="Times New Roman" w:cs="Times New Roman"/>
            <w:color w:val="0563C1"/>
            <w:u w:val="single"/>
          </w:rPr>
          <w:t>https://taso.org.uk/news-item/student-mental-health-problems-have-almost-tripled-study-finds/</w:t>
        </w:r>
      </w:hyperlink>
      <w:r>
        <w:rPr>
          <w:rFonts w:ascii="Times New Roman" w:eastAsia="Times New Roman" w:hAnsi="Times New Roman" w:cs="Times New Roman"/>
        </w:rPr>
        <w:t xml:space="preserve"> </w:t>
      </w:r>
    </w:p>
    <w:p w14:paraId="7239BAAD"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Thomas, L. (2012). Building student engagement and belonging in Higher Education at time of change. </w:t>
      </w:r>
      <w:r>
        <w:rPr>
          <w:rFonts w:ascii="Times New Roman" w:eastAsia="Times New Roman" w:hAnsi="Times New Roman" w:cs="Times New Roman"/>
          <w:i/>
          <w:iCs/>
        </w:rPr>
        <w:t xml:space="preserve">Paul Hamlyn Foundation, 100, </w:t>
      </w:r>
      <w:r>
        <w:rPr>
          <w:rFonts w:ascii="Times New Roman" w:eastAsia="Times New Roman" w:hAnsi="Times New Roman" w:cs="Times New Roman"/>
        </w:rPr>
        <w:t>1-99.</w:t>
      </w:r>
    </w:p>
    <w:p w14:paraId="2BBB8233"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Tinto, V. (1975). Dropout from Higher Education: A theoretical synthesis of recent research. </w:t>
      </w:r>
      <w:r>
        <w:rPr>
          <w:rFonts w:ascii="Times New Roman" w:eastAsia="Times New Roman" w:hAnsi="Times New Roman" w:cs="Times New Roman"/>
          <w:i/>
          <w:iCs/>
        </w:rPr>
        <w:t>Review of Educational Research, 45</w:t>
      </w:r>
      <w:r>
        <w:rPr>
          <w:rFonts w:ascii="Times New Roman" w:eastAsia="Times New Roman" w:hAnsi="Times New Roman" w:cs="Times New Roman"/>
        </w:rPr>
        <w:t>(1), 89-125.</w:t>
      </w:r>
    </w:p>
    <w:p w14:paraId="537EA209"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Treston, H. (1999). Peer mentoring: Making a difference at difference at James Cook University, Cairns it’s moments like these you need mentors. </w:t>
      </w:r>
      <w:r>
        <w:rPr>
          <w:rFonts w:ascii="Times New Roman" w:eastAsia="Times New Roman" w:hAnsi="Times New Roman" w:cs="Times New Roman"/>
          <w:i/>
          <w:iCs/>
        </w:rPr>
        <w:t>Innovations in Education and Training International, 36</w:t>
      </w:r>
      <w:r>
        <w:rPr>
          <w:rFonts w:ascii="Times New Roman" w:eastAsia="Times New Roman" w:hAnsi="Times New Roman" w:cs="Times New Roman"/>
        </w:rPr>
        <w:t xml:space="preserve">(3), 236-243. </w:t>
      </w:r>
      <w:hyperlink r:id="rId31">
        <w:r>
          <w:rPr>
            <w:rFonts w:ascii="Times New Roman" w:eastAsia="Times New Roman" w:hAnsi="Times New Roman" w:cs="Times New Roman"/>
            <w:color w:val="0563C1"/>
            <w:u w:val="single"/>
          </w:rPr>
          <w:t>https://doi.org/1080/1355800990360309</w:t>
        </w:r>
      </w:hyperlink>
      <w:r>
        <w:rPr>
          <w:rFonts w:ascii="Times New Roman" w:eastAsia="Times New Roman" w:hAnsi="Times New Roman" w:cs="Times New Roman"/>
        </w:rPr>
        <w:t xml:space="preserve"> </w:t>
      </w:r>
    </w:p>
    <w:p w14:paraId="3C1B265C"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Universities UK. (2023). </w:t>
      </w:r>
      <w:r>
        <w:rPr>
          <w:rFonts w:ascii="Times New Roman" w:eastAsia="Times New Roman" w:hAnsi="Times New Roman" w:cs="Times New Roman"/>
          <w:i/>
          <w:iCs/>
        </w:rPr>
        <w:t>Higher education in facts and figures: 2023</w:t>
      </w:r>
      <w:r>
        <w:rPr>
          <w:rFonts w:ascii="Times New Roman" w:eastAsia="Times New Roman" w:hAnsi="Times New Roman" w:cs="Times New Roman"/>
        </w:rPr>
        <w:t xml:space="preserve">. </w:t>
      </w:r>
      <w:hyperlink r:id="rId32">
        <w:r>
          <w:rPr>
            <w:rFonts w:ascii="Times New Roman" w:eastAsia="Times New Roman" w:hAnsi="Times New Roman" w:cs="Times New Roman"/>
            <w:color w:val="0563C1"/>
            <w:u w:val="single"/>
          </w:rPr>
          <w:t>https://www.universitiesuk.ac.uk/what-we-do/policy-and-research/publications/features/higher-education-facts-and-figures-2023/students</w:t>
        </w:r>
      </w:hyperlink>
      <w:r>
        <w:rPr>
          <w:rFonts w:ascii="Times New Roman" w:eastAsia="Times New Roman" w:hAnsi="Times New Roman" w:cs="Times New Roman"/>
        </w:rPr>
        <w:t xml:space="preserve"> </w:t>
      </w:r>
    </w:p>
    <w:p w14:paraId="789B7142" w14:textId="77777777" w:rsidR="000917E1"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Williams-Nickelson, C. (2007). The benefits of peer mentoring. </w:t>
      </w:r>
      <w:r>
        <w:rPr>
          <w:rFonts w:ascii="Times New Roman" w:eastAsia="Times New Roman" w:hAnsi="Times New Roman" w:cs="Times New Roman"/>
          <w:i/>
          <w:iCs/>
        </w:rPr>
        <w:t>APA</w:t>
      </w:r>
      <w:r>
        <w:rPr>
          <w:rFonts w:ascii="Times New Roman" w:eastAsia="Times New Roman" w:hAnsi="Times New Roman" w:cs="Times New Roman"/>
        </w:rPr>
        <w:t xml:space="preserve">. </w:t>
      </w:r>
      <w:hyperlink r:id="rId33">
        <w:r>
          <w:rPr>
            <w:rFonts w:ascii="Times New Roman" w:eastAsia="Times New Roman" w:hAnsi="Times New Roman" w:cs="Times New Roman"/>
            <w:color w:val="0563C1"/>
            <w:u w:val="single"/>
          </w:rPr>
          <w:t>https://www.apa.org/gradpsych/2007/11/matters</w:t>
        </w:r>
      </w:hyperlink>
      <w:r>
        <w:rPr>
          <w:rFonts w:ascii="Times New Roman" w:eastAsia="Times New Roman" w:hAnsi="Times New Roman" w:cs="Times New Roman"/>
        </w:rPr>
        <w:t xml:space="preserve"> </w:t>
      </w:r>
    </w:p>
    <w:p w14:paraId="7E54E902" w14:textId="77777777" w:rsidR="000917E1" w:rsidRDefault="00000000">
      <w:pPr>
        <w:spacing w:line="480" w:lineRule="auto"/>
        <w:ind w:left="720" w:hanging="720"/>
      </w:pPr>
      <w:r>
        <w:rPr>
          <w:rFonts w:ascii="Times New Roman" w:eastAsia="Times New Roman" w:hAnsi="Times New Roman" w:cs="Times New Roman"/>
        </w:rPr>
        <w:t xml:space="preserve">Yomtov, D., Plunkett, S. W., Efrat, R., &amp; Marin, A. G. (2017). Can peer mentors improve first-year experiences of university students? </w:t>
      </w:r>
      <w:r>
        <w:rPr>
          <w:rFonts w:ascii="Times New Roman" w:eastAsia="Times New Roman" w:hAnsi="Times New Roman" w:cs="Times New Roman"/>
          <w:i/>
          <w:iCs/>
        </w:rPr>
        <w:t>Journal of College Retention: Research, Theory &amp; Practice, 19</w:t>
      </w:r>
      <w:r>
        <w:rPr>
          <w:rFonts w:ascii="Times New Roman" w:eastAsia="Times New Roman" w:hAnsi="Times New Roman" w:cs="Times New Roman"/>
        </w:rPr>
        <w:t xml:space="preserve">(1), 25-44. </w:t>
      </w:r>
      <w:hyperlink r:id="rId34">
        <w:r>
          <w:rPr>
            <w:rFonts w:ascii="Times New Roman" w:eastAsia="Times New Roman" w:hAnsi="Times New Roman" w:cs="Times New Roman"/>
            <w:color w:val="0563C1"/>
            <w:u w:val="single"/>
          </w:rPr>
          <w:t>https://doi.org/10.1177/1521025115611398</w:t>
        </w:r>
      </w:hyperlink>
    </w:p>
    <w:p w14:paraId="1A7BF1A2" w14:textId="77777777" w:rsidR="000917E1" w:rsidRDefault="00000000">
      <w:pPr>
        <w:spacing w:line="480" w:lineRule="auto"/>
        <w:ind w:left="720" w:hanging="720"/>
        <w:rPr>
          <w:rFonts w:ascii="Times New Roman" w:eastAsia="Times New Roman" w:hAnsi="Times New Roman" w:cs="Times New Roman"/>
        </w:rPr>
        <w:sectPr w:rsidR="000917E1">
          <w:headerReference w:type="even" r:id="rId35"/>
          <w:headerReference w:type="default" r:id="rId36"/>
          <w:pgSz w:w="11900" w:h="16840"/>
          <w:pgMar w:top="1440" w:right="1440" w:bottom="1440" w:left="1440" w:header="708" w:footer="708" w:gutter="0"/>
          <w:lnNumType w:countBy="1"/>
          <w:pgNumType w:start="1"/>
          <w:cols w:space="720"/>
        </w:sectPr>
      </w:pPr>
      <w:r>
        <w:rPr>
          <w:rFonts w:ascii="Times New Roman" w:eastAsia="Times New Roman" w:hAnsi="Times New Roman" w:cs="Times New Roman"/>
        </w:rPr>
        <w:t xml:space="preserve">Zoom Video Communications Inc. (2024). </w:t>
      </w:r>
      <w:r>
        <w:rPr>
          <w:rFonts w:ascii="Times New Roman" w:eastAsia="Times New Roman" w:hAnsi="Times New Roman" w:cs="Times New Roman"/>
          <w:i/>
          <w:iCs/>
        </w:rPr>
        <w:t xml:space="preserve">Zoom Meetings </w:t>
      </w:r>
      <w:r>
        <w:rPr>
          <w:rFonts w:ascii="Times New Roman" w:eastAsia="Times New Roman" w:hAnsi="Times New Roman" w:cs="Times New Roman"/>
        </w:rPr>
        <w:t xml:space="preserve">(Version 5.14.15). Available from  </w:t>
      </w:r>
      <w:hyperlink r:id="rId37">
        <w:r>
          <w:rPr>
            <w:rFonts w:ascii="Times New Roman" w:eastAsia="Times New Roman" w:hAnsi="Times New Roman" w:cs="Times New Roman"/>
            <w:color w:val="0563C1"/>
            <w:u w:val="single"/>
          </w:rPr>
          <w:t>https://www.zoom.com/</w:t>
        </w:r>
      </w:hyperlink>
      <w:r>
        <w:rPr>
          <w:rFonts w:ascii="Times New Roman" w:eastAsia="Times New Roman" w:hAnsi="Times New Roman" w:cs="Times New Roman"/>
        </w:rPr>
        <w:t xml:space="preserve"> </w:t>
      </w:r>
    </w:p>
    <w:p w14:paraId="1FF189BA" w14:textId="77777777" w:rsidR="000917E1" w:rsidRDefault="00000000">
      <w:pPr>
        <w:spacing w:line="360" w:lineRule="auto"/>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lastRenderedPageBreak/>
        <w:t>Table 1: Analysis of co-creation workshops: themes, subthemes and example comments</w:t>
      </w:r>
    </w:p>
    <w:tbl>
      <w:tblPr>
        <w:tblStyle w:val="af9"/>
        <w:tblW w:w="13950" w:type="dxa"/>
        <w:tblBorders>
          <w:top w:val="nil"/>
          <w:left w:val="nil"/>
          <w:bottom w:val="nil"/>
          <w:right w:val="nil"/>
          <w:insideH w:val="nil"/>
          <w:insideV w:val="nil"/>
        </w:tblBorders>
        <w:tblLayout w:type="fixed"/>
        <w:tblLook w:val="0400" w:firstRow="0" w:lastRow="0" w:firstColumn="0" w:lastColumn="0" w:noHBand="0" w:noVBand="1"/>
      </w:tblPr>
      <w:tblGrid>
        <w:gridCol w:w="1980"/>
        <w:gridCol w:w="2268"/>
        <w:gridCol w:w="9702"/>
      </w:tblGrid>
      <w:tr w:rsidR="000917E1" w14:paraId="2A918216" w14:textId="77777777">
        <w:trPr>
          <w:trHeight w:val="522"/>
        </w:trPr>
        <w:tc>
          <w:tcPr>
            <w:tcW w:w="1980" w:type="dxa"/>
            <w:tcBorders>
              <w:top w:val="single" w:sz="4" w:space="0" w:color="000000"/>
              <w:bottom w:val="single" w:sz="4" w:space="0" w:color="000000"/>
            </w:tcBorders>
            <w:vAlign w:val="center"/>
          </w:tcPr>
          <w:p w14:paraId="103D6F0D" w14:textId="77777777" w:rsidR="000917E1" w:rsidRDefault="0000000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Theme</w:t>
            </w:r>
          </w:p>
        </w:tc>
        <w:tc>
          <w:tcPr>
            <w:tcW w:w="2268" w:type="dxa"/>
            <w:tcBorders>
              <w:top w:val="single" w:sz="4" w:space="0" w:color="000000"/>
              <w:bottom w:val="single" w:sz="4" w:space="0" w:color="000000"/>
            </w:tcBorders>
            <w:vAlign w:val="center"/>
          </w:tcPr>
          <w:p w14:paraId="1FDA0E55" w14:textId="77777777" w:rsidR="000917E1" w:rsidRDefault="0000000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Sub-theme</w:t>
            </w:r>
          </w:p>
        </w:tc>
        <w:tc>
          <w:tcPr>
            <w:tcW w:w="9702" w:type="dxa"/>
            <w:tcBorders>
              <w:top w:val="single" w:sz="4" w:space="0" w:color="000000"/>
              <w:bottom w:val="single" w:sz="4" w:space="0" w:color="000000"/>
            </w:tcBorders>
            <w:vAlign w:val="center"/>
          </w:tcPr>
          <w:p w14:paraId="0B6486BC" w14:textId="77777777" w:rsidR="000917E1" w:rsidRDefault="0000000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Example comments</w:t>
            </w:r>
          </w:p>
        </w:tc>
      </w:tr>
      <w:tr w:rsidR="000917E1" w14:paraId="2E7CD7E8" w14:textId="77777777">
        <w:tc>
          <w:tcPr>
            <w:tcW w:w="1980" w:type="dxa"/>
            <w:tcBorders>
              <w:top w:val="single" w:sz="4" w:space="0" w:color="000000"/>
            </w:tcBorders>
          </w:tcPr>
          <w:p w14:paraId="2B384AC7" w14:textId="77777777" w:rsidR="000917E1" w:rsidRDefault="00000000">
            <w:pPr>
              <w:numPr>
                <w:ilvl w:val="0"/>
                <w:numId w:val="1"/>
              </w:numPr>
              <w:pBdr>
                <w:top w:val="nil"/>
                <w:left w:val="nil"/>
                <w:bottom w:val="nil"/>
                <w:right w:val="nil"/>
                <w:between w:val="nil"/>
              </w:pBdr>
              <w:spacing w:line="276" w:lineRule="auto"/>
              <w:ind w:left="319"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Issues impacting mentors</w:t>
            </w:r>
          </w:p>
        </w:tc>
        <w:tc>
          <w:tcPr>
            <w:tcW w:w="2268" w:type="dxa"/>
            <w:tcBorders>
              <w:top w:val="single" w:sz="4" w:space="0" w:color="000000"/>
            </w:tcBorders>
          </w:tcPr>
          <w:p w14:paraId="29998465"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Importance of boundaries</w:t>
            </w:r>
          </w:p>
        </w:tc>
        <w:tc>
          <w:tcPr>
            <w:tcW w:w="9702" w:type="dxa"/>
            <w:tcBorders>
              <w:top w:val="single" w:sz="4" w:space="0" w:color="000000"/>
            </w:tcBorders>
          </w:tcPr>
          <w:p w14:paraId="0178D0D7" w14:textId="6B1614D3" w:rsidR="000917E1" w:rsidRDefault="00000000">
            <w:pPr>
              <w:spacing w:line="276" w:lineRule="auto"/>
              <w:ind w:left="45" w:hanging="45"/>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[I would be concerned about the] </w:t>
            </w:r>
            <w:r w:rsidR="00EE6B73">
              <w:rPr>
                <w:rFonts w:ascii="Times New Roman" w:eastAsia="Times New Roman" w:hAnsi="Times New Roman" w:cs="Times New Roman"/>
                <w:sz w:val="20"/>
                <w:szCs w:val="20"/>
              </w:rPr>
              <w:t>‘</w:t>
            </w:r>
            <w:r>
              <w:rPr>
                <w:rFonts w:ascii="Times New Roman" w:eastAsia="Times New Roman" w:hAnsi="Times New Roman" w:cs="Times New Roman"/>
                <w:sz w:val="20"/>
                <w:szCs w:val="20"/>
              </w:rPr>
              <w:t>tutor teachers, student people type dynamic… I would sort of worry about how do I manage that? How do I manage this sort of hierarchy?</w:t>
            </w:r>
            <w:r w:rsidR="00EE6B73">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(P1)</w:t>
            </w:r>
          </w:p>
          <w:p w14:paraId="12F079C9" w14:textId="77777777" w:rsidR="000917E1" w:rsidRDefault="000917E1">
            <w:pPr>
              <w:spacing w:line="276" w:lineRule="auto"/>
              <w:ind w:left="45" w:hanging="45"/>
              <w:rPr>
                <w:rFonts w:ascii="Times New Roman" w:eastAsia="Times New Roman" w:hAnsi="Times New Roman" w:cs="Times New Roman"/>
                <w:sz w:val="20"/>
                <w:szCs w:val="20"/>
              </w:rPr>
            </w:pPr>
          </w:p>
        </w:tc>
      </w:tr>
      <w:tr w:rsidR="000917E1" w14:paraId="252633A7" w14:textId="77777777">
        <w:tc>
          <w:tcPr>
            <w:tcW w:w="1980" w:type="dxa"/>
          </w:tcPr>
          <w:p w14:paraId="0673B3FE" w14:textId="77777777" w:rsidR="000917E1" w:rsidRDefault="000917E1">
            <w:pPr>
              <w:spacing w:line="276" w:lineRule="auto"/>
              <w:ind w:left="319" w:hanging="284"/>
              <w:rPr>
                <w:rFonts w:ascii="Times New Roman" w:eastAsia="Times New Roman" w:hAnsi="Times New Roman" w:cs="Times New Roman"/>
                <w:sz w:val="20"/>
                <w:szCs w:val="20"/>
              </w:rPr>
            </w:pPr>
          </w:p>
        </w:tc>
        <w:tc>
          <w:tcPr>
            <w:tcW w:w="2268" w:type="dxa"/>
          </w:tcPr>
          <w:p w14:paraId="1FCCC4CB"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Mentor responsibilities</w:t>
            </w:r>
          </w:p>
        </w:tc>
        <w:tc>
          <w:tcPr>
            <w:tcW w:w="9702" w:type="dxa"/>
          </w:tcPr>
          <w:p w14:paraId="0DA673B5" w14:textId="76BB1715"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what</w:t>
            </w:r>
            <w:proofErr w:type="gramEnd"/>
            <w:r w:rsidR="00000000">
              <w:rPr>
                <w:rFonts w:ascii="Times New Roman" w:eastAsia="Times New Roman" w:hAnsi="Times New Roman" w:cs="Times New Roman"/>
                <w:sz w:val="20"/>
                <w:szCs w:val="20"/>
              </w:rPr>
              <w:t xml:space="preserve"> happens if the mentor’s out of their depth dealing with the really complex mentee issues?</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(P1)</w:t>
            </w:r>
          </w:p>
          <w:p w14:paraId="45B19B51" w14:textId="14B79428"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at</w:t>
            </w:r>
            <w:proofErr w:type="gramEnd"/>
            <w:r w:rsidR="00000000">
              <w:rPr>
                <w:rFonts w:ascii="Times New Roman" w:eastAsia="Times New Roman" w:hAnsi="Times New Roman" w:cs="Times New Roman"/>
                <w:sz w:val="20"/>
                <w:szCs w:val="20"/>
              </w:rPr>
              <w:t xml:space="preserve"> the top end there [need to be] places we can go if we need support</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(P5)</w:t>
            </w:r>
          </w:p>
          <w:p w14:paraId="49A0493B" w14:textId="77777777" w:rsidR="000917E1" w:rsidRDefault="000917E1">
            <w:pPr>
              <w:spacing w:line="276" w:lineRule="auto"/>
              <w:ind w:left="45" w:hanging="45"/>
              <w:rPr>
                <w:rFonts w:ascii="Times New Roman" w:eastAsia="Times New Roman" w:hAnsi="Times New Roman" w:cs="Times New Roman"/>
                <w:sz w:val="20"/>
                <w:szCs w:val="20"/>
              </w:rPr>
            </w:pPr>
          </w:p>
        </w:tc>
      </w:tr>
      <w:tr w:rsidR="000917E1" w14:paraId="15335608" w14:textId="77777777">
        <w:tc>
          <w:tcPr>
            <w:tcW w:w="1980" w:type="dxa"/>
          </w:tcPr>
          <w:p w14:paraId="459851A1" w14:textId="77777777" w:rsidR="000917E1" w:rsidRDefault="000917E1">
            <w:pPr>
              <w:spacing w:line="276" w:lineRule="auto"/>
              <w:ind w:left="319" w:hanging="284"/>
              <w:rPr>
                <w:rFonts w:ascii="Times New Roman" w:eastAsia="Times New Roman" w:hAnsi="Times New Roman" w:cs="Times New Roman"/>
                <w:sz w:val="20"/>
                <w:szCs w:val="20"/>
              </w:rPr>
            </w:pPr>
          </w:p>
        </w:tc>
        <w:tc>
          <w:tcPr>
            <w:tcW w:w="2268" w:type="dxa"/>
          </w:tcPr>
          <w:p w14:paraId="7F805DA8"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Equal status interactions</w:t>
            </w:r>
          </w:p>
        </w:tc>
        <w:tc>
          <w:tcPr>
            <w:tcW w:w="9702" w:type="dxa"/>
          </w:tcPr>
          <w:p w14:paraId="7A9603DE" w14:textId="6D4B4FC1" w:rsidR="000917E1" w:rsidRDefault="00000000">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[mentors cannot] </w:t>
            </w:r>
            <w:r w:rsidR="00EE6B73">
              <w:rPr>
                <w:rFonts w:ascii="Times New Roman" w:eastAsia="Times New Roman" w:hAnsi="Times New Roman" w:cs="Times New Roman"/>
                <w:sz w:val="20"/>
                <w:szCs w:val="20"/>
              </w:rPr>
              <w:t>‘</w:t>
            </w:r>
            <w:r>
              <w:rPr>
                <w:rFonts w:ascii="Times New Roman" w:eastAsia="Times New Roman" w:hAnsi="Times New Roman" w:cs="Times New Roman"/>
                <w:sz w:val="20"/>
                <w:szCs w:val="20"/>
              </w:rPr>
              <w:t>portray [themselves] as an expert</w:t>
            </w:r>
            <w:r w:rsidR="00EE6B73">
              <w:rPr>
                <w:rFonts w:ascii="Times New Roman" w:eastAsia="Times New Roman" w:hAnsi="Times New Roman" w:cs="Times New Roman"/>
                <w:sz w:val="20"/>
                <w:szCs w:val="20"/>
              </w:rPr>
              <w:t>’</w:t>
            </w:r>
            <w:r>
              <w:rPr>
                <w:rFonts w:ascii="Times New Roman" w:eastAsia="Times New Roman" w:hAnsi="Times New Roman" w:cs="Times New Roman"/>
                <w:sz w:val="20"/>
                <w:szCs w:val="20"/>
              </w:rPr>
              <w:t>. (P11)</w:t>
            </w:r>
          </w:p>
          <w:p w14:paraId="681F5601" w14:textId="77777777" w:rsidR="000917E1" w:rsidRDefault="000917E1">
            <w:pPr>
              <w:spacing w:line="276" w:lineRule="auto"/>
              <w:ind w:left="45" w:hanging="45"/>
              <w:rPr>
                <w:rFonts w:ascii="Times New Roman" w:eastAsia="Times New Roman" w:hAnsi="Times New Roman" w:cs="Times New Roman"/>
                <w:sz w:val="20"/>
                <w:szCs w:val="20"/>
              </w:rPr>
            </w:pPr>
          </w:p>
        </w:tc>
      </w:tr>
      <w:tr w:rsidR="000917E1" w14:paraId="08755CA6" w14:textId="77777777">
        <w:tc>
          <w:tcPr>
            <w:tcW w:w="1980" w:type="dxa"/>
          </w:tcPr>
          <w:p w14:paraId="6D78396F" w14:textId="77777777" w:rsidR="000917E1" w:rsidRDefault="00000000">
            <w:pPr>
              <w:numPr>
                <w:ilvl w:val="0"/>
                <w:numId w:val="1"/>
              </w:numPr>
              <w:pBdr>
                <w:top w:val="nil"/>
                <w:left w:val="nil"/>
                <w:bottom w:val="nil"/>
                <w:right w:val="nil"/>
                <w:between w:val="nil"/>
              </w:pBdr>
              <w:spacing w:line="276" w:lineRule="auto"/>
              <w:ind w:left="319"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Issues impacting mentees</w:t>
            </w:r>
          </w:p>
        </w:tc>
        <w:tc>
          <w:tcPr>
            <w:tcW w:w="2268" w:type="dxa"/>
          </w:tcPr>
          <w:p w14:paraId="384050EF"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Mentee expectations</w:t>
            </w:r>
          </w:p>
        </w:tc>
        <w:tc>
          <w:tcPr>
            <w:tcW w:w="9702" w:type="dxa"/>
          </w:tcPr>
          <w:p w14:paraId="166DB32C" w14:textId="1DBDB8FD" w:rsidR="000917E1" w:rsidRDefault="00000000">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 made to feel] </w:t>
            </w:r>
            <w:r w:rsidR="00EE6B73">
              <w:rPr>
                <w:rFonts w:ascii="Times New Roman" w:eastAsia="Times New Roman" w:hAnsi="Times New Roman" w:cs="Times New Roman"/>
                <w:sz w:val="20"/>
                <w:szCs w:val="20"/>
              </w:rPr>
              <w:t>‘</w:t>
            </w:r>
            <w:r>
              <w:rPr>
                <w:rFonts w:ascii="Times New Roman" w:eastAsia="Times New Roman" w:hAnsi="Times New Roman" w:cs="Times New Roman"/>
                <w:sz w:val="20"/>
                <w:szCs w:val="20"/>
              </w:rPr>
              <w:t>too scared or stupid or, like, embarrassed to ask something</w:t>
            </w:r>
            <w:r w:rsidR="00EE6B73">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(P6)</w:t>
            </w:r>
          </w:p>
          <w:p w14:paraId="097F6A5E" w14:textId="139C318F"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as</w:t>
            </w:r>
            <w:proofErr w:type="gramEnd"/>
            <w:r w:rsidR="00000000">
              <w:rPr>
                <w:rFonts w:ascii="Times New Roman" w:eastAsia="Times New Roman" w:hAnsi="Times New Roman" w:cs="Times New Roman"/>
                <w:sz w:val="20"/>
                <w:szCs w:val="20"/>
              </w:rPr>
              <w:t xml:space="preserve"> a mentee, that, er, the worst scenario would be too, like, too high an expectation that I am judged</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(P7)</w:t>
            </w:r>
          </w:p>
          <w:p w14:paraId="78204148" w14:textId="77777777" w:rsidR="000917E1" w:rsidRDefault="000917E1">
            <w:pPr>
              <w:spacing w:line="276" w:lineRule="auto"/>
              <w:ind w:left="45" w:hanging="45"/>
              <w:rPr>
                <w:rFonts w:ascii="Times New Roman" w:eastAsia="Times New Roman" w:hAnsi="Times New Roman" w:cs="Times New Roman"/>
                <w:sz w:val="20"/>
                <w:szCs w:val="20"/>
              </w:rPr>
            </w:pPr>
          </w:p>
        </w:tc>
      </w:tr>
      <w:tr w:rsidR="000917E1" w14:paraId="155FB56E" w14:textId="77777777">
        <w:tc>
          <w:tcPr>
            <w:tcW w:w="1980" w:type="dxa"/>
          </w:tcPr>
          <w:p w14:paraId="196FF897" w14:textId="77777777" w:rsidR="000917E1" w:rsidRDefault="000917E1">
            <w:pPr>
              <w:spacing w:line="276" w:lineRule="auto"/>
              <w:ind w:left="319" w:hanging="284"/>
              <w:rPr>
                <w:rFonts w:ascii="Times New Roman" w:eastAsia="Times New Roman" w:hAnsi="Times New Roman" w:cs="Times New Roman"/>
                <w:sz w:val="20"/>
                <w:szCs w:val="20"/>
              </w:rPr>
            </w:pPr>
          </w:p>
        </w:tc>
        <w:tc>
          <w:tcPr>
            <w:tcW w:w="2268" w:type="dxa"/>
          </w:tcPr>
          <w:p w14:paraId="77A079BE"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Communication</w:t>
            </w:r>
          </w:p>
        </w:tc>
        <w:tc>
          <w:tcPr>
            <w:tcW w:w="9702" w:type="dxa"/>
          </w:tcPr>
          <w:p w14:paraId="626B5366" w14:textId="513E7AF1"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if</w:t>
            </w:r>
            <w:proofErr w:type="gramEnd"/>
            <w:r w:rsidR="00000000">
              <w:rPr>
                <w:rFonts w:ascii="Times New Roman" w:eastAsia="Times New Roman" w:hAnsi="Times New Roman" w:cs="Times New Roman"/>
                <w:sz w:val="20"/>
                <w:szCs w:val="20"/>
              </w:rPr>
              <w:t xml:space="preserve"> it goes too far in that direction you feel your own concerns are not being dealt with at all</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(P2)</w:t>
            </w:r>
          </w:p>
          <w:p w14:paraId="4A6B671E" w14:textId="77777777" w:rsidR="000917E1" w:rsidRDefault="000917E1">
            <w:pPr>
              <w:spacing w:line="276" w:lineRule="auto"/>
              <w:ind w:left="45" w:hanging="45"/>
              <w:rPr>
                <w:rFonts w:ascii="Times New Roman" w:eastAsia="Times New Roman" w:hAnsi="Times New Roman" w:cs="Times New Roman"/>
                <w:sz w:val="20"/>
                <w:szCs w:val="20"/>
              </w:rPr>
            </w:pPr>
          </w:p>
        </w:tc>
      </w:tr>
      <w:tr w:rsidR="000917E1" w14:paraId="7DED0BD8" w14:textId="77777777">
        <w:tc>
          <w:tcPr>
            <w:tcW w:w="1980" w:type="dxa"/>
          </w:tcPr>
          <w:p w14:paraId="13BFF409" w14:textId="77777777" w:rsidR="000917E1" w:rsidRDefault="000917E1">
            <w:pPr>
              <w:spacing w:line="276" w:lineRule="auto"/>
              <w:ind w:left="319" w:hanging="284"/>
              <w:rPr>
                <w:rFonts w:ascii="Times New Roman" w:eastAsia="Times New Roman" w:hAnsi="Times New Roman" w:cs="Times New Roman"/>
                <w:sz w:val="20"/>
                <w:szCs w:val="20"/>
              </w:rPr>
            </w:pPr>
          </w:p>
        </w:tc>
        <w:tc>
          <w:tcPr>
            <w:tcW w:w="2268" w:type="dxa"/>
          </w:tcPr>
          <w:p w14:paraId="4601C427"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Equal status interactions</w:t>
            </w:r>
          </w:p>
        </w:tc>
        <w:tc>
          <w:tcPr>
            <w:tcW w:w="9702" w:type="dxa"/>
          </w:tcPr>
          <w:p w14:paraId="4CCEDF90" w14:textId="672537D2"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if</w:t>
            </w:r>
            <w:proofErr w:type="gramEnd"/>
            <w:r w:rsidR="00000000">
              <w:rPr>
                <w:rFonts w:ascii="Times New Roman" w:eastAsia="Times New Roman" w:hAnsi="Times New Roman" w:cs="Times New Roman"/>
                <w:sz w:val="20"/>
                <w:szCs w:val="20"/>
              </w:rPr>
              <w:t xml:space="preserve"> you’re a mentor, you’re there to help people… if you’re bringing them down not only would you not be helping them academically but wellbeing </w:t>
            </w:r>
            <w:proofErr w:type="gramStart"/>
            <w:r w:rsidR="00000000">
              <w:rPr>
                <w:rFonts w:ascii="Times New Roman" w:eastAsia="Times New Roman" w:hAnsi="Times New Roman" w:cs="Times New Roman"/>
                <w:sz w:val="20"/>
                <w:szCs w:val="20"/>
              </w:rPr>
              <w:t>wise</w:t>
            </w:r>
            <w:proofErr w:type="gramEnd"/>
            <w:r w:rsidR="00000000">
              <w:rPr>
                <w:rFonts w:ascii="Times New Roman" w:eastAsia="Times New Roman" w:hAnsi="Times New Roman" w:cs="Times New Roman"/>
                <w:sz w:val="20"/>
                <w:szCs w:val="20"/>
              </w:rPr>
              <w:t xml:space="preserve"> [they] wouldn’t feel very worthy of themselves</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(P11)</w:t>
            </w:r>
          </w:p>
          <w:p w14:paraId="37637785" w14:textId="77777777" w:rsidR="000917E1" w:rsidRDefault="000917E1">
            <w:pPr>
              <w:spacing w:line="276" w:lineRule="auto"/>
              <w:ind w:left="45" w:hanging="45"/>
              <w:rPr>
                <w:rFonts w:ascii="Times New Roman" w:eastAsia="Times New Roman" w:hAnsi="Times New Roman" w:cs="Times New Roman"/>
                <w:sz w:val="20"/>
                <w:szCs w:val="20"/>
              </w:rPr>
            </w:pPr>
          </w:p>
        </w:tc>
      </w:tr>
      <w:tr w:rsidR="000917E1" w14:paraId="50881278" w14:textId="77777777">
        <w:tc>
          <w:tcPr>
            <w:tcW w:w="1980" w:type="dxa"/>
          </w:tcPr>
          <w:p w14:paraId="09EC5834" w14:textId="77777777" w:rsidR="000917E1" w:rsidRDefault="00000000">
            <w:pPr>
              <w:numPr>
                <w:ilvl w:val="0"/>
                <w:numId w:val="1"/>
              </w:numPr>
              <w:pBdr>
                <w:top w:val="nil"/>
                <w:left w:val="nil"/>
                <w:bottom w:val="nil"/>
                <w:right w:val="nil"/>
                <w:between w:val="nil"/>
              </w:pBdr>
              <w:spacing w:line="276" w:lineRule="auto"/>
              <w:ind w:left="319"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Mechanics of the peer mentoring programme</w:t>
            </w:r>
          </w:p>
        </w:tc>
        <w:tc>
          <w:tcPr>
            <w:tcW w:w="2268" w:type="dxa"/>
          </w:tcPr>
          <w:p w14:paraId="4B008ABF"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Development and implementation of the programme</w:t>
            </w:r>
          </w:p>
        </w:tc>
        <w:tc>
          <w:tcPr>
            <w:tcW w:w="9702" w:type="dxa"/>
          </w:tcPr>
          <w:p w14:paraId="6ED7A2A4" w14:textId="138740E1"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you</w:t>
            </w:r>
            <w:proofErr w:type="gramEnd"/>
            <w:r w:rsidR="00000000">
              <w:rPr>
                <w:rFonts w:ascii="Times New Roman" w:eastAsia="Times New Roman" w:hAnsi="Times New Roman" w:cs="Times New Roman"/>
                <w:sz w:val="20"/>
                <w:szCs w:val="20"/>
              </w:rPr>
              <w:t xml:space="preserve"> make the choice not to go if you feel like you don’t need it</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(P3)</w:t>
            </w:r>
          </w:p>
          <w:p w14:paraId="618764F0" w14:textId="47D21840"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to</w:t>
            </w:r>
            <w:proofErr w:type="gramEnd"/>
            <w:r w:rsidR="00000000">
              <w:rPr>
                <w:rFonts w:ascii="Times New Roman" w:eastAsia="Times New Roman" w:hAnsi="Times New Roman" w:cs="Times New Roman"/>
                <w:sz w:val="20"/>
                <w:szCs w:val="20"/>
              </w:rPr>
              <w:t xml:space="preserve"> not be expected to look at emails outside of core [university] hours. It should be just absolutely accepted that I won’t be available… during lunchtime, and I won’t answer emails at weekends. [In terms of] wellbeing, that’s really important.</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(P7)</w:t>
            </w:r>
          </w:p>
          <w:p w14:paraId="223832AA" w14:textId="096A44F4"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that</w:t>
            </w:r>
            <w:proofErr w:type="gramEnd"/>
            <w:r w:rsidR="00000000">
              <w:rPr>
                <w:rFonts w:ascii="Times New Roman" w:eastAsia="Times New Roman" w:hAnsi="Times New Roman" w:cs="Times New Roman"/>
                <w:sz w:val="20"/>
                <w:szCs w:val="20"/>
              </w:rPr>
              <w:t xml:space="preserve"> code of ethics and that code of professionalism </w:t>
            </w:r>
            <w:proofErr w:type="gramStart"/>
            <w:r w:rsidR="00000000">
              <w:rPr>
                <w:rFonts w:ascii="Times New Roman" w:eastAsia="Times New Roman" w:hAnsi="Times New Roman" w:cs="Times New Roman"/>
                <w:sz w:val="20"/>
                <w:szCs w:val="20"/>
              </w:rPr>
              <w:t>needs</w:t>
            </w:r>
            <w:proofErr w:type="gramEnd"/>
            <w:r w:rsidR="00000000">
              <w:rPr>
                <w:rFonts w:ascii="Times New Roman" w:eastAsia="Times New Roman" w:hAnsi="Times New Roman" w:cs="Times New Roman"/>
                <w:sz w:val="20"/>
                <w:szCs w:val="20"/>
              </w:rPr>
              <w:t xml:space="preserve"> to be considered</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(P12)</w:t>
            </w:r>
          </w:p>
          <w:p w14:paraId="60FC77AD" w14:textId="77777777" w:rsidR="000917E1" w:rsidRDefault="000917E1">
            <w:pPr>
              <w:spacing w:line="276" w:lineRule="auto"/>
              <w:ind w:left="45" w:hanging="45"/>
              <w:rPr>
                <w:rFonts w:ascii="Times New Roman" w:eastAsia="Times New Roman" w:hAnsi="Times New Roman" w:cs="Times New Roman"/>
                <w:sz w:val="20"/>
                <w:szCs w:val="20"/>
              </w:rPr>
            </w:pPr>
          </w:p>
        </w:tc>
      </w:tr>
      <w:tr w:rsidR="000917E1" w14:paraId="72C7F20A" w14:textId="77777777">
        <w:tc>
          <w:tcPr>
            <w:tcW w:w="1980" w:type="dxa"/>
          </w:tcPr>
          <w:p w14:paraId="0F3971A5" w14:textId="77777777" w:rsidR="000917E1" w:rsidRDefault="000917E1">
            <w:pPr>
              <w:spacing w:line="276" w:lineRule="auto"/>
              <w:rPr>
                <w:rFonts w:ascii="Times New Roman" w:eastAsia="Times New Roman" w:hAnsi="Times New Roman" w:cs="Times New Roman"/>
                <w:sz w:val="20"/>
                <w:szCs w:val="20"/>
              </w:rPr>
            </w:pPr>
          </w:p>
        </w:tc>
        <w:tc>
          <w:tcPr>
            <w:tcW w:w="2268" w:type="dxa"/>
          </w:tcPr>
          <w:p w14:paraId="29C97792"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Academic vs. Pastoral mentoring</w:t>
            </w:r>
          </w:p>
        </w:tc>
        <w:tc>
          <w:tcPr>
            <w:tcW w:w="9702" w:type="dxa"/>
          </w:tcPr>
          <w:p w14:paraId="30FCF175" w14:textId="28CC536D"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I think a mix of both would be most helpful. Like, people struggle with different things, don’t they?</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(P2)</w:t>
            </w:r>
          </w:p>
        </w:tc>
      </w:tr>
      <w:tr w:rsidR="000917E1" w14:paraId="1D499C67" w14:textId="77777777">
        <w:tc>
          <w:tcPr>
            <w:tcW w:w="1980" w:type="dxa"/>
            <w:tcBorders>
              <w:bottom w:val="single" w:sz="4" w:space="0" w:color="000000"/>
            </w:tcBorders>
          </w:tcPr>
          <w:p w14:paraId="7B9D4FFB" w14:textId="77777777" w:rsidR="000917E1" w:rsidRDefault="000917E1">
            <w:pPr>
              <w:spacing w:line="276" w:lineRule="auto"/>
              <w:rPr>
                <w:rFonts w:ascii="Times New Roman" w:eastAsia="Times New Roman" w:hAnsi="Times New Roman" w:cs="Times New Roman"/>
                <w:sz w:val="20"/>
                <w:szCs w:val="20"/>
              </w:rPr>
            </w:pPr>
          </w:p>
        </w:tc>
        <w:tc>
          <w:tcPr>
            <w:tcW w:w="2268" w:type="dxa"/>
            <w:tcBorders>
              <w:bottom w:val="single" w:sz="4" w:space="0" w:color="000000"/>
            </w:tcBorders>
          </w:tcPr>
          <w:p w14:paraId="5D12552E" w14:textId="77777777" w:rsidR="000917E1" w:rsidRDefault="00000000">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need for a mentor space</w:t>
            </w:r>
          </w:p>
        </w:tc>
        <w:tc>
          <w:tcPr>
            <w:tcW w:w="9702" w:type="dxa"/>
            <w:tcBorders>
              <w:bottom w:val="single" w:sz="4" w:space="0" w:color="000000"/>
            </w:tcBorders>
          </w:tcPr>
          <w:p w14:paraId="235AAF70" w14:textId="47B0B0EE"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have</w:t>
            </w:r>
            <w:proofErr w:type="gramEnd"/>
            <w:r w:rsidR="00000000">
              <w:rPr>
                <w:rFonts w:ascii="Times New Roman" w:eastAsia="Times New Roman" w:hAnsi="Times New Roman" w:cs="Times New Roman"/>
                <w:sz w:val="20"/>
                <w:szCs w:val="20"/>
              </w:rPr>
              <w:t xml:space="preserve"> spaces where students can go and there’s other students from their course that they can speak to and study with... to bring people together and develop that sense of shared belonging which is really important</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(P13)</w:t>
            </w:r>
          </w:p>
          <w:p w14:paraId="69091A7A" w14:textId="5AD3C004" w:rsidR="000917E1" w:rsidRDefault="00EE6B73">
            <w:pPr>
              <w:spacing w:line="276" w:lineRule="auto"/>
              <w:ind w:left="45" w:hanging="45"/>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sidR="00000000">
              <w:rPr>
                <w:rFonts w:ascii="Times New Roman" w:eastAsia="Times New Roman" w:hAnsi="Times New Roman" w:cs="Times New Roman"/>
                <w:sz w:val="20"/>
                <w:szCs w:val="20"/>
              </w:rPr>
              <w:t>change</w:t>
            </w:r>
            <w:proofErr w:type="gramEnd"/>
            <w:r w:rsidR="00000000">
              <w:rPr>
                <w:rFonts w:ascii="Times New Roman" w:eastAsia="Times New Roman" w:hAnsi="Times New Roman" w:cs="Times New Roman"/>
                <w:sz w:val="20"/>
                <w:szCs w:val="20"/>
              </w:rPr>
              <w:t xml:space="preserve"> of scenery, being in the outdoors, in nature, taking time to relax, changes the perspective</w:t>
            </w:r>
            <w:r>
              <w:rPr>
                <w:rFonts w:ascii="Times New Roman" w:eastAsia="Times New Roman" w:hAnsi="Times New Roman" w:cs="Times New Roman"/>
                <w:sz w:val="20"/>
                <w:szCs w:val="20"/>
              </w:rPr>
              <w:t>’</w:t>
            </w:r>
            <w:r w:rsidR="00000000">
              <w:rPr>
                <w:rFonts w:ascii="Times New Roman" w:eastAsia="Times New Roman" w:hAnsi="Times New Roman" w:cs="Times New Roman"/>
                <w:sz w:val="20"/>
                <w:szCs w:val="20"/>
              </w:rPr>
              <w:t xml:space="preserve"> (P5)</w:t>
            </w:r>
          </w:p>
        </w:tc>
      </w:tr>
    </w:tbl>
    <w:p w14:paraId="2C01EC58" w14:textId="77777777" w:rsidR="000917E1" w:rsidRDefault="000917E1">
      <w:pPr>
        <w:spacing w:line="360" w:lineRule="auto"/>
        <w:rPr>
          <w:rFonts w:ascii="Times New Roman" w:eastAsia="Times New Roman" w:hAnsi="Times New Roman" w:cs="Times New Roman"/>
        </w:rPr>
      </w:pPr>
    </w:p>
    <w:p w14:paraId="60D4A609" w14:textId="77777777" w:rsidR="000917E1" w:rsidRDefault="000917E1">
      <w:pPr>
        <w:spacing w:line="360" w:lineRule="auto"/>
        <w:rPr>
          <w:rFonts w:ascii="Times New Roman" w:eastAsia="Times New Roman" w:hAnsi="Times New Roman" w:cs="Times New Roman"/>
        </w:rPr>
      </w:pPr>
    </w:p>
    <w:sectPr w:rsidR="000917E1">
      <w:headerReference w:type="even" r:id="rId38"/>
      <w:headerReference w:type="default" r:id="rId39"/>
      <w:pgSz w:w="16840" w:h="11900" w:orient="landscape"/>
      <w:pgMar w:top="1440" w:right="1440" w:bottom="1440" w:left="1440" w:header="708" w:footer="708" w:gutter="0"/>
      <w:lnNumType w:countBy="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A4C7B" w14:textId="77777777" w:rsidR="00A111AD" w:rsidRDefault="00A111AD">
      <w:r>
        <w:separator/>
      </w:r>
    </w:p>
  </w:endnote>
  <w:endnote w:type="continuationSeparator" w:id="0">
    <w:p w14:paraId="303DFA80" w14:textId="77777777" w:rsidR="00A111AD" w:rsidRDefault="00A1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5DDA1F12-F663-854A-911B-08565A577295}"/>
    <w:embedBold r:id="rId2" w:fontKey="{53D36CB0-C821-4549-870B-05B55BDABE2F}"/>
  </w:font>
  <w:font w:name="Times New Roman">
    <w:panose1 w:val="02020603050405020304"/>
    <w:charset w:val="00"/>
    <w:family w:val="roman"/>
    <w:pitch w:val="variable"/>
    <w:sig w:usb0="E0002EFF" w:usb1="C000785B" w:usb2="00000009" w:usb3="00000000" w:csb0="000001FF" w:csb1="00000000"/>
    <w:embedRegular r:id="rId3" w:fontKey="{BB87EF30-5678-D046-BC1B-090738038236}"/>
    <w:embedBold r:id="rId4" w:fontKey="{584F4D66-2CA5-C24E-B778-9FC8BCE09991}"/>
    <w:embedItalic r:id="rId5" w:fontKey="{546C64A0-8CBD-5C48-9B87-9D030164E061}"/>
    <w:embedBoldItalic r:id="rId6" w:fontKey="{45AF8C05-07E1-C84A-8E4D-BF146BE8847A}"/>
  </w:font>
  <w:font w:name="Segoe UI">
    <w:panose1 w:val="020B0502040204020203"/>
    <w:charset w:val="00"/>
    <w:family w:val="swiss"/>
    <w:pitch w:val="variable"/>
    <w:sig w:usb0="E4002EFF" w:usb1="C000E47F" w:usb2="00000009" w:usb3="00000000" w:csb0="000001FF" w:csb1="00000000"/>
    <w:embedRegular r:id="rId7" w:fontKey="{2D1CA515-E105-EF4C-9C9F-4B60436A39A1}"/>
  </w:font>
  <w:font w:name="Georgia">
    <w:panose1 w:val="02040502050405020303"/>
    <w:charset w:val="00"/>
    <w:family w:val="roman"/>
    <w:pitch w:val="variable"/>
    <w:sig w:usb0="00000287" w:usb1="00000000" w:usb2="00000000" w:usb3="00000000" w:csb0="0000009F" w:csb1="00000000"/>
    <w:embedItalic r:id="rId8" w:fontKey="{CE8EBC86-4768-E64A-BAB3-2D08E5362742}"/>
  </w:font>
  <w:font w:name="Calibri Light">
    <w:panose1 w:val="020F0302020204030204"/>
    <w:charset w:val="00"/>
    <w:family w:val="swiss"/>
    <w:pitch w:val="variable"/>
    <w:sig w:usb0="E4002EFF" w:usb1="C000247B" w:usb2="00000009" w:usb3="00000000" w:csb0="000001FF" w:csb1="00000000"/>
    <w:embedRegular r:id="rId9" w:fontKey="{5D90F447-D718-354C-8C86-0C7882BED69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DB4EB" w14:textId="77777777" w:rsidR="00A111AD" w:rsidRDefault="00A111AD">
      <w:r>
        <w:separator/>
      </w:r>
    </w:p>
  </w:footnote>
  <w:footnote w:type="continuationSeparator" w:id="0">
    <w:p w14:paraId="750F875E" w14:textId="77777777" w:rsidR="00A111AD" w:rsidRDefault="00A11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87F23" w14:textId="77777777" w:rsidR="000917E1"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18228C0" w14:textId="77777777" w:rsidR="000917E1" w:rsidRDefault="000917E1">
    <w:pPr>
      <w:pBdr>
        <w:top w:val="nil"/>
        <w:left w:val="nil"/>
        <w:bottom w:val="nil"/>
        <w:right w:val="nil"/>
        <w:between w:val="nil"/>
      </w:pBdr>
      <w:tabs>
        <w:tab w:val="center" w:pos="4513"/>
        <w:tab w:val="right" w:pos="9026"/>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52CF" w14:textId="77777777" w:rsidR="000917E1" w:rsidRDefault="00000000">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EE6B73">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0E76B27C" w14:textId="77777777" w:rsidR="000917E1" w:rsidRDefault="000917E1">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CA5D1" w14:textId="77777777" w:rsidR="000917E1"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BA23C3C" w14:textId="77777777" w:rsidR="000917E1" w:rsidRDefault="000917E1">
    <w:pPr>
      <w:pBdr>
        <w:top w:val="nil"/>
        <w:left w:val="nil"/>
        <w:bottom w:val="nil"/>
        <w:right w:val="nil"/>
        <w:between w:val="nil"/>
      </w:pBdr>
      <w:tabs>
        <w:tab w:val="center" w:pos="4513"/>
        <w:tab w:val="right" w:pos="9026"/>
      </w:tabs>
      <w:ind w:right="360"/>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90D7" w14:textId="0562380E" w:rsidR="000917E1" w:rsidRDefault="00000000">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EE6B73">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25908098" w14:textId="77777777" w:rsidR="000917E1" w:rsidRDefault="00000000">
    <w:pPr>
      <w:pBdr>
        <w:top w:val="nil"/>
        <w:left w:val="nil"/>
        <w:bottom w:val="nil"/>
        <w:right w:val="nil"/>
        <w:between w:val="nil"/>
      </w:pBdr>
      <w:tabs>
        <w:tab w:val="center" w:pos="4513"/>
        <w:tab w:val="right" w:pos="9026"/>
      </w:tabs>
      <w:ind w:right="360"/>
      <w:rPr>
        <w:rFonts w:ascii="Times New Roman" w:eastAsia="Times New Roman" w:hAnsi="Times New Roman" w:cs="Times New Roman"/>
        <w:color w:val="000000"/>
      </w:rPr>
    </w:pPr>
    <w:r>
      <w:rPr>
        <w:rFonts w:ascii="Times New Roman" w:eastAsia="Times New Roman" w:hAnsi="Times New Roman" w:cs="Times New Roman"/>
        <w:color w:val="000000"/>
      </w:rPr>
      <w:t>EXPLORING PEER MENTORING USING CO-CREATION</w:t>
    </w:r>
  </w:p>
  <w:p w14:paraId="33A1FDB1" w14:textId="77777777" w:rsidR="000917E1" w:rsidRDefault="000917E1">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410C1"/>
    <w:multiLevelType w:val="multilevel"/>
    <w:tmpl w:val="705C0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21895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7E1"/>
    <w:rsid w:val="00034AB0"/>
    <w:rsid w:val="000917E1"/>
    <w:rsid w:val="00201010"/>
    <w:rsid w:val="00376D69"/>
    <w:rsid w:val="00886505"/>
    <w:rsid w:val="008B4F08"/>
    <w:rsid w:val="00A111AD"/>
    <w:rsid w:val="00D274D6"/>
    <w:rsid w:val="00EE6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D13EC7"/>
  <w15:docId w15:val="{E0A83287-CC70-674A-85D3-A179AAC1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character" w:styleId="Hyperlink">
    <w:name w:val="Hyperlink"/>
    <w:basedOn w:val="DefaultParagraphFont"/>
    <w:uiPriority w:val="99"/>
    <w:unhideWhenUsed/>
    <w:rsid w:val="0079562E"/>
    <w:rPr>
      <w:color w:val="0563C1" w:themeColor="hyperlink"/>
      <w:u w:val="single"/>
    </w:rPr>
  </w:style>
  <w:style w:type="character" w:styleId="UnresolvedMention">
    <w:name w:val="Unresolved Mention"/>
    <w:basedOn w:val="DefaultParagraphFont"/>
    <w:uiPriority w:val="99"/>
    <w:semiHidden/>
    <w:unhideWhenUsed/>
    <w:rsid w:val="0079562E"/>
    <w:rPr>
      <w:color w:val="605E5C"/>
      <w:shd w:val="clear" w:color="auto" w:fill="E1DFDD"/>
    </w:rPr>
  </w:style>
  <w:style w:type="character" w:styleId="CommentReference">
    <w:name w:val="annotation reference"/>
    <w:basedOn w:val="DefaultParagraphFont"/>
    <w:uiPriority w:val="99"/>
    <w:semiHidden/>
    <w:unhideWhenUsed/>
    <w:rsid w:val="002F0952"/>
    <w:rPr>
      <w:sz w:val="16"/>
      <w:szCs w:val="16"/>
    </w:rPr>
  </w:style>
  <w:style w:type="paragraph" w:styleId="CommentText">
    <w:name w:val="annotation text"/>
    <w:basedOn w:val="Normal"/>
    <w:link w:val="CommentTextChar"/>
    <w:uiPriority w:val="99"/>
    <w:semiHidden/>
    <w:unhideWhenUsed/>
    <w:rsid w:val="002F0952"/>
    <w:rPr>
      <w:sz w:val="20"/>
      <w:szCs w:val="20"/>
    </w:rPr>
  </w:style>
  <w:style w:type="character" w:customStyle="1" w:styleId="CommentTextChar">
    <w:name w:val="Comment Text Char"/>
    <w:basedOn w:val="DefaultParagraphFont"/>
    <w:link w:val="CommentText"/>
    <w:uiPriority w:val="99"/>
    <w:semiHidden/>
    <w:rsid w:val="002F0952"/>
    <w:rPr>
      <w:sz w:val="20"/>
      <w:szCs w:val="20"/>
    </w:rPr>
  </w:style>
  <w:style w:type="paragraph" w:styleId="CommentSubject">
    <w:name w:val="annotation subject"/>
    <w:basedOn w:val="CommentText"/>
    <w:next w:val="CommentText"/>
    <w:link w:val="CommentSubjectChar"/>
    <w:uiPriority w:val="99"/>
    <w:semiHidden/>
    <w:unhideWhenUsed/>
    <w:rsid w:val="002F0952"/>
    <w:rPr>
      <w:b/>
      <w:bCs/>
    </w:rPr>
  </w:style>
  <w:style w:type="character" w:customStyle="1" w:styleId="CommentSubjectChar">
    <w:name w:val="Comment Subject Char"/>
    <w:basedOn w:val="CommentTextChar"/>
    <w:link w:val="CommentSubject"/>
    <w:uiPriority w:val="99"/>
    <w:semiHidden/>
    <w:rsid w:val="002F0952"/>
    <w:rPr>
      <w:b/>
      <w:bCs/>
      <w:sz w:val="20"/>
      <w:szCs w:val="20"/>
    </w:rPr>
  </w:style>
  <w:style w:type="table" w:styleId="TableGrid">
    <w:name w:val="Table Grid"/>
    <w:basedOn w:val="TableNormal"/>
    <w:uiPriority w:val="39"/>
    <w:rsid w:val="00695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35E1"/>
    <w:pPr>
      <w:ind w:left="720"/>
      <w:contextualSpacing/>
    </w:pPr>
  </w:style>
  <w:style w:type="character" w:styleId="FollowedHyperlink">
    <w:name w:val="FollowedHyperlink"/>
    <w:basedOn w:val="DefaultParagraphFont"/>
    <w:uiPriority w:val="99"/>
    <w:semiHidden/>
    <w:unhideWhenUsed/>
    <w:rsid w:val="00EB2D37"/>
    <w:rPr>
      <w:color w:val="954F72" w:themeColor="followedHyperlink"/>
      <w:u w:val="single"/>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BalloonText">
    <w:name w:val="Balloon Text"/>
    <w:basedOn w:val="Normal"/>
    <w:link w:val="BalloonTextChar"/>
    <w:uiPriority w:val="99"/>
    <w:semiHidden/>
    <w:unhideWhenUsed/>
    <w:rsid w:val="00B96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09C"/>
    <w:rPr>
      <w:rFonts w:ascii="Segoe UI" w:hAnsi="Segoe UI" w:cs="Segoe UI"/>
      <w:sz w:val="18"/>
      <w:szCs w:val="18"/>
    </w:r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A65CD1"/>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F14AB"/>
    <w:pPr>
      <w:tabs>
        <w:tab w:val="center" w:pos="4513"/>
        <w:tab w:val="right" w:pos="9026"/>
      </w:tabs>
    </w:pPr>
  </w:style>
  <w:style w:type="character" w:customStyle="1" w:styleId="HeaderChar">
    <w:name w:val="Header Char"/>
    <w:basedOn w:val="DefaultParagraphFont"/>
    <w:link w:val="Header"/>
    <w:uiPriority w:val="99"/>
    <w:rsid w:val="004F14AB"/>
  </w:style>
  <w:style w:type="paragraph" w:styleId="Footer">
    <w:name w:val="footer"/>
    <w:basedOn w:val="Normal"/>
    <w:link w:val="FooterChar"/>
    <w:uiPriority w:val="99"/>
    <w:unhideWhenUsed/>
    <w:rsid w:val="004F14AB"/>
    <w:pPr>
      <w:tabs>
        <w:tab w:val="center" w:pos="4513"/>
        <w:tab w:val="right" w:pos="9026"/>
      </w:tabs>
    </w:pPr>
  </w:style>
  <w:style w:type="character" w:customStyle="1" w:styleId="FooterChar">
    <w:name w:val="Footer Char"/>
    <w:basedOn w:val="DefaultParagraphFont"/>
    <w:link w:val="Footer"/>
    <w:uiPriority w:val="99"/>
    <w:rsid w:val="004F14AB"/>
  </w:style>
  <w:style w:type="character" w:styleId="PageNumber">
    <w:name w:val="page number"/>
    <w:basedOn w:val="DefaultParagraphFont"/>
    <w:uiPriority w:val="99"/>
    <w:semiHidden/>
    <w:unhideWhenUsed/>
    <w:rsid w:val="004F14AB"/>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8D7ADE"/>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177/1469787416654796" TargetMode="External"/><Relationship Id="rId18" Type="http://schemas.openxmlformats.org/officeDocument/2006/relationships/hyperlink" Target="https://doi.org/10.1002/rev3.3462" TargetMode="External"/><Relationship Id="rId26" Type="http://schemas.openxmlformats.org/officeDocument/2006/relationships/hyperlink" Target="https://doi.org/10.1080/13562517.2020.1783227" TargetMode="External"/><Relationship Id="rId39" Type="http://schemas.openxmlformats.org/officeDocument/2006/relationships/header" Target="header4.xml"/><Relationship Id="rId21" Type="http://schemas.openxmlformats.org/officeDocument/2006/relationships/hyperlink" Target="https://doi.org/10.1080/02602938.2014.956282" TargetMode="External"/><Relationship Id="rId34" Type="http://schemas.openxmlformats.org/officeDocument/2006/relationships/hyperlink" Target="https://doi.org/10.1177/152102511561139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80/03075079.2023.2217441" TargetMode="External"/><Relationship Id="rId20" Type="http://schemas.openxmlformats.org/officeDocument/2006/relationships/hyperlink" Target="https://www.hesa.ac.uk/news/17-03-2022/uk-performance-indicators-non-continuation-202021" TargetMode="External"/><Relationship Id="rId29" Type="http://schemas.openxmlformats.org/officeDocument/2006/relationships/hyperlink" Target="https://www.gov.uk/government/statistics/early-in-year-student-withdrawal-notifications-academic-year-201819-to-202223-up-to-31082023/early-in-year-student-withdrawal-notifications-academic-year-201819-to-202223-up-to-3108202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91/1478088706qp063oa" TargetMode="External"/><Relationship Id="rId24" Type="http://schemas.openxmlformats.org/officeDocument/2006/relationships/hyperlink" Target="https://doi.org/10.1080/1743727X.2012.736484" TargetMode="External"/><Relationship Id="rId32" Type="http://schemas.openxmlformats.org/officeDocument/2006/relationships/hyperlink" Target="https://www.universitiesuk.ac.uk/what-we-do/policy-and-research/publications/features/higher-education-facts-and-figures-2023/students" TargetMode="External"/><Relationship Id="rId37" Type="http://schemas.openxmlformats.org/officeDocument/2006/relationships/hyperlink" Target="https://www.zoom.com/"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qualitative-research.net/index.php/fqs/article/view/150" TargetMode="External"/><Relationship Id="rId23" Type="http://schemas.openxmlformats.org/officeDocument/2006/relationships/hyperlink" Target="https://doi.org/feduc.2023.1159864" TargetMode="External"/><Relationship Id="rId28" Type="http://schemas.openxmlformats.org/officeDocument/2006/relationships/hyperlink" Target="https://owllabs.co.uk/" TargetMode="External"/><Relationship Id="rId36" Type="http://schemas.openxmlformats.org/officeDocument/2006/relationships/header" Target="header2.xml"/><Relationship Id="rId10" Type="http://schemas.openxmlformats.org/officeDocument/2006/relationships/hyperlink" Target="https://doi.org/10.3389/fpsyg.2022.865422" TargetMode="External"/><Relationship Id="rId19" Type="http://schemas.openxmlformats.org/officeDocument/2006/relationships/hyperlink" Target="https://www.hepi.ac.uk/2023/03/02/%EF%BF%BCseven-in-ten-students-consider-dropping-out-how-can-universities-fix-this-gloomy-statistic/" TargetMode="External"/><Relationship Id="rId31" Type="http://schemas.openxmlformats.org/officeDocument/2006/relationships/hyperlink" Target="https://doi.org/1080/1355800990360309" TargetMode="External"/><Relationship Id="rId4" Type="http://schemas.openxmlformats.org/officeDocument/2006/relationships/settings" Target="settings.xml"/><Relationship Id="rId9" Type="http://schemas.openxmlformats.org/officeDocument/2006/relationships/hyperlink" Target="https://doi.org/10.1080/0.098265.2019.1660628" TargetMode="External"/><Relationship Id="rId14" Type="http://schemas.openxmlformats.org/officeDocument/2006/relationships/hyperlink" Target="https://doi.org/10.1080/23311886.2021.2000570" TargetMode="External"/><Relationship Id="rId22" Type="http://schemas.openxmlformats.org/officeDocument/2006/relationships/hyperlink" Target="https://doi.org/10.1556/063.9.2019.1.18" TargetMode="External"/><Relationship Id="rId27" Type="http://schemas.openxmlformats.org/officeDocument/2006/relationships/hyperlink" Target="https://theconversation.com/getting-students-into-uni-is-one-thing-but-how-to-keep-them-there-47933" TargetMode="External"/><Relationship Id="rId30" Type="http://schemas.openxmlformats.org/officeDocument/2006/relationships/hyperlink" Target="https://taso.org.uk/news-item/student-mental-health-problems-have-almost-tripled-study-finds/" TargetMode="External"/><Relationship Id="rId35" Type="http://schemas.openxmlformats.org/officeDocument/2006/relationships/header" Target="header1.xml"/><Relationship Id="rId8" Type="http://schemas.openxmlformats.org/officeDocument/2006/relationships/hyperlink" Target="https://doi.org/10.15173/ijsap.v5i2.4448" TargetMode="External"/><Relationship Id="rId3" Type="http://schemas.openxmlformats.org/officeDocument/2006/relationships/styles" Target="styles.xml"/><Relationship Id="rId12" Type="http://schemas.openxmlformats.org/officeDocument/2006/relationships/hyperlink" Target="https://doi.org/10.1080/03075079.2015.1007939" TargetMode="External"/><Relationship Id="rId17" Type="http://schemas.openxmlformats.org/officeDocument/2006/relationships/hyperlink" Target="https://doi.org/10.1002/curj.154" TargetMode="External"/><Relationship Id="rId25" Type="http://schemas.openxmlformats.org/officeDocument/2006/relationships/hyperlink" Target="https://doi.org/10.47408/jldhe.vi31.1159" TargetMode="External"/><Relationship Id="rId33" Type="http://schemas.openxmlformats.org/officeDocument/2006/relationships/hyperlink" Target="https://www.apa.org/gradpsych/2007/11/matters" TargetMode="External"/><Relationship Id="rId38"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erkVAl/xCF6CUAbJOczjiqnqyQ==">CgMxLjAyCGguZ2pkZ3hzOAByITFwUERNUTVpRU9ZQ0d3VndnSVlGcjByWlZ3QWRWRS1VYg==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7153</Words>
  <Characters>40774</Characters>
  <Application>Microsoft Office Word</Application>
  <DocSecurity>0</DocSecurity>
  <Lines>339</Lines>
  <Paragraphs>95</Paragraphs>
  <ScaleCrop>false</ScaleCrop>
  <Company/>
  <LinksUpToDate>false</LinksUpToDate>
  <CharactersWithSpaces>47832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Thompson</dc:creator>
  <cp:lastModifiedBy>Catherine Thompson</cp:lastModifiedBy>
  <cp:revision>3</cp:revision>
  <dcterms:created xsi:type="dcterms:W3CDTF">2026-03-21T06:12:00Z</dcterms:created>
  <dcterms:modified xsi:type="dcterms:W3CDTF">2026-03-21T06:13:00Z</dcterms:modified>
</cp:coreProperties>
</file>