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2E95B" w14:textId="77777777" w:rsidR="00312226" w:rsidRDefault="00312226"/>
    <w:p w14:paraId="0552E95C" w14:textId="48E7DD64" w:rsidR="00312226" w:rsidRDefault="00A551ED">
      <w:pPr>
        <w:jc w:val="center"/>
        <w:rPr>
          <w:b/>
          <w:sz w:val="28"/>
          <w:szCs w:val="28"/>
        </w:rPr>
      </w:pPr>
      <w:r>
        <w:rPr>
          <w:b/>
          <w:sz w:val="28"/>
          <w:szCs w:val="28"/>
        </w:rPr>
        <w:t>[</w:t>
      </w:r>
      <w:r w:rsidR="00022A11" w:rsidRPr="00022A11">
        <w:rPr>
          <w:b/>
          <w:sz w:val="28"/>
          <w:szCs w:val="28"/>
        </w:rPr>
        <w:t>Empowering a research-engaged profession</w:t>
      </w:r>
      <w:r>
        <w:rPr>
          <w:b/>
          <w:sz w:val="28"/>
          <w:szCs w:val="28"/>
        </w:rPr>
        <w:t>]</w:t>
      </w:r>
    </w:p>
    <w:p w14:paraId="0552E95D" w14:textId="61F72F5D" w:rsidR="00312226" w:rsidRPr="00C37C1D" w:rsidRDefault="00A551ED">
      <w:pPr>
        <w:jc w:val="center"/>
        <w:rPr>
          <w:b/>
          <w:sz w:val="28"/>
          <w:szCs w:val="28"/>
        </w:rPr>
      </w:pPr>
      <w:r w:rsidRPr="00C37C1D">
        <w:rPr>
          <w:b/>
          <w:sz w:val="28"/>
          <w:szCs w:val="28"/>
        </w:rPr>
        <w:t>[</w:t>
      </w:r>
      <w:r w:rsidR="00842F7F" w:rsidRPr="00C37C1D">
        <w:rPr>
          <w:b/>
          <w:sz w:val="28"/>
          <w:szCs w:val="28"/>
        </w:rPr>
        <w:t>Dr Rachel</w:t>
      </w:r>
      <w:r w:rsidRPr="00C37C1D">
        <w:rPr>
          <w:b/>
          <w:sz w:val="28"/>
          <w:szCs w:val="28"/>
        </w:rPr>
        <w:t xml:space="preserve"> </w:t>
      </w:r>
      <w:r w:rsidR="00842F7F" w:rsidRPr="00C37C1D">
        <w:rPr>
          <w:b/>
          <w:sz w:val="28"/>
          <w:szCs w:val="28"/>
        </w:rPr>
        <w:t>Marsden and Dr Gillian Peiser</w:t>
      </w:r>
      <w:r w:rsidRPr="00C37C1D">
        <w:rPr>
          <w:b/>
          <w:sz w:val="28"/>
          <w:szCs w:val="28"/>
        </w:rPr>
        <w:t>]</w:t>
      </w:r>
    </w:p>
    <w:p w14:paraId="0552E968" w14:textId="0E9418C3" w:rsidR="00312226" w:rsidRDefault="00312226"/>
    <w:p w14:paraId="0552E969" w14:textId="77777777" w:rsidR="00312226" w:rsidRDefault="00A551ED">
      <w:pPr>
        <w:rPr>
          <w:b/>
        </w:rPr>
      </w:pPr>
      <w:r>
        <w:rPr>
          <w:b/>
        </w:rPr>
        <w:t>ABSTRACT:</w:t>
      </w:r>
    </w:p>
    <w:p w14:paraId="3FEB7F73" w14:textId="2877A9B6" w:rsidR="00BC5375" w:rsidRDefault="00BC5375" w:rsidP="00BC5375">
      <w:r>
        <w:t xml:space="preserve">This chapter </w:t>
      </w:r>
      <w:r w:rsidR="002A2B95">
        <w:t>presents</w:t>
      </w:r>
      <w:r>
        <w:t xml:space="preserve"> three examples of practitioner research (PR) in different school contexts in England. </w:t>
      </w:r>
      <w:r w:rsidR="00594AEE" w:rsidRPr="00594AEE">
        <w:t xml:space="preserve">The authors have been playful with the term </w:t>
      </w:r>
      <w:r w:rsidR="00746CEA">
        <w:t>PR</w:t>
      </w:r>
      <w:r w:rsidR="00594AEE" w:rsidRPr="00594AEE">
        <w:t xml:space="preserve"> engagement</w:t>
      </w:r>
      <w:r w:rsidR="00354A61">
        <w:t>, u</w:t>
      </w:r>
      <w:r w:rsidR="00594AEE" w:rsidRPr="00594AEE">
        <w:t>s</w:t>
      </w:r>
      <w:r w:rsidR="00354A61">
        <w:t>ing</w:t>
      </w:r>
      <w:r w:rsidR="00594AEE" w:rsidRPr="00594AEE">
        <w:t xml:space="preserve"> here the term ‘engaging </w:t>
      </w:r>
      <w:r w:rsidR="00594AEE" w:rsidRPr="00594AEE">
        <w:rPr>
          <w:i/>
          <w:iCs/>
        </w:rPr>
        <w:t>with</w:t>
      </w:r>
      <w:r w:rsidR="00594AEE" w:rsidRPr="00594AEE">
        <w:t xml:space="preserve"> research’ </w:t>
      </w:r>
      <w:r w:rsidR="002A2B95">
        <w:t>for</w:t>
      </w:r>
      <w:r w:rsidR="00594AEE" w:rsidRPr="00594AEE">
        <w:t xml:space="preserve"> practitioners</w:t>
      </w:r>
      <w:r w:rsidR="00236A17">
        <w:t xml:space="preserve"> who</w:t>
      </w:r>
      <w:r w:rsidR="00594AEE" w:rsidRPr="00594AEE">
        <w:t xml:space="preserve"> critiqu</w:t>
      </w:r>
      <w:r w:rsidR="007B3A8C">
        <w:t>e</w:t>
      </w:r>
      <w:r w:rsidR="00594AEE" w:rsidRPr="00594AEE">
        <w:t xml:space="preserve"> existing </w:t>
      </w:r>
      <w:r w:rsidR="006F5720">
        <w:t>research</w:t>
      </w:r>
      <w:r w:rsidR="00297EFB">
        <w:t>,</w:t>
      </w:r>
      <w:r w:rsidR="00594AEE" w:rsidRPr="00594AEE">
        <w:t xml:space="preserve"> and ‘engaging </w:t>
      </w:r>
      <w:r w:rsidR="00594AEE" w:rsidRPr="00594AEE">
        <w:rPr>
          <w:i/>
          <w:iCs/>
        </w:rPr>
        <w:t>in</w:t>
      </w:r>
      <w:r w:rsidR="00594AEE" w:rsidRPr="00594AEE">
        <w:t xml:space="preserve"> research’ </w:t>
      </w:r>
      <w:r w:rsidR="002A2B95">
        <w:t>for</w:t>
      </w:r>
      <w:r w:rsidR="00594AEE" w:rsidRPr="00594AEE">
        <w:t xml:space="preserve"> practitioners conduct</w:t>
      </w:r>
      <w:r w:rsidR="006F5720">
        <w:t>ing</w:t>
      </w:r>
      <w:r w:rsidR="00594AEE" w:rsidRPr="00594AEE">
        <w:t xml:space="preserve"> their own researc</w:t>
      </w:r>
      <w:r w:rsidR="00297EFB">
        <w:t>h</w:t>
      </w:r>
      <w:r w:rsidR="00594AEE" w:rsidRPr="00594AEE">
        <w:t>.</w:t>
      </w:r>
      <w:r w:rsidR="005A07F0" w:rsidRPr="005A07F0">
        <w:t xml:space="preserve"> As well as more traditional modes of research engagement, a more inclusive research practice</w:t>
      </w:r>
      <w:r w:rsidR="009B2A1A">
        <w:t xml:space="preserve"> is presented here</w:t>
      </w:r>
      <w:r w:rsidR="005A07F0" w:rsidRPr="005A07F0">
        <w:t>: ‘</w:t>
      </w:r>
      <w:r w:rsidR="005A07F0" w:rsidRPr="005A07F0">
        <w:rPr>
          <w:i/>
          <w:iCs/>
        </w:rPr>
        <w:t>re</w:t>
      </w:r>
      <w:r w:rsidR="005A07F0" w:rsidRPr="005A07F0">
        <w:t>-searching’ one’s own practice through reflective activities (Marsden, 2020).</w:t>
      </w:r>
    </w:p>
    <w:p w14:paraId="0552E96E" w14:textId="77777777" w:rsidR="00312226" w:rsidRDefault="00A551ED">
      <w:pPr>
        <w:rPr>
          <w:b/>
        </w:rPr>
      </w:pPr>
      <w:r>
        <w:rPr>
          <w:b/>
        </w:rPr>
        <w:t xml:space="preserve">KEYWORDS: </w:t>
      </w:r>
    </w:p>
    <w:p w14:paraId="0552E970" w14:textId="43EE5630" w:rsidR="00312226" w:rsidRDefault="0037019A">
      <w:pPr>
        <w:numPr>
          <w:ilvl w:val="0"/>
          <w:numId w:val="1"/>
        </w:numPr>
        <w:pBdr>
          <w:top w:val="nil"/>
          <w:left w:val="nil"/>
          <w:bottom w:val="nil"/>
          <w:right w:val="nil"/>
          <w:between w:val="nil"/>
        </w:pBdr>
        <w:spacing w:after="0"/>
      </w:pPr>
      <w:r>
        <w:t>R</w:t>
      </w:r>
      <w:r w:rsidR="00904A3F">
        <w:t>esearch engagement</w:t>
      </w:r>
    </w:p>
    <w:p w14:paraId="40B0D22D" w14:textId="12080CDF" w:rsidR="00904A3F" w:rsidRDefault="0037019A">
      <w:pPr>
        <w:numPr>
          <w:ilvl w:val="0"/>
          <w:numId w:val="1"/>
        </w:numPr>
        <w:pBdr>
          <w:top w:val="nil"/>
          <w:left w:val="nil"/>
          <w:bottom w:val="nil"/>
          <w:right w:val="nil"/>
          <w:between w:val="nil"/>
        </w:pBdr>
        <w:spacing w:after="0"/>
      </w:pPr>
      <w:r>
        <w:t>R</w:t>
      </w:r>
      <w:r w:rsidR="00904A3F">
        <w:t>eflective practice</w:t>
      </w:r>
    </w:p>
    <w:p w14:paraId="0552E972" w14:textId="778C8FDD" w:rsidR="00312226" w:rsidRDefault="0037019A">
      <w:pPr>
        <w:numPr>
          <w:ilvl w:val="0"/>
          <w:numId w:val="1"/>
        </w:numPr>
        <w:pBdr>
          <w:top w:val="nil"/>
          <w:left w:val="nil"/>
          <w:bottom w:val="nil"/>
          <w:right w:val="nil"/>
          <w:between w:val="nil"/>
        </w:pBdr>
        <w:spacing w:after="0"/>
      </w:pPr>
      <w:r>
        <w:t>C</w:t>
      </w:r>
      <w:r w:rsidR="005C0F8F">
        <w:t>ontinuing professional development</w:t>
      </w:r>
    </w:p>
    <w:p w14:paraId="0552E973" w14:textId="6A73FBFF" w:rsidR="00312226" w:rsidRDefault="0037019A">
      <w:pPr>
        <w:numPr>
          <w:ilvl w:val="0"/>
          <w:numId w:val="1"/>
        </w:numPr>
        <w:pBdr>
          <w:top w:val="nil"/>
          <w:left w:val="nil"/>
          <w:bottom w:val="nil"/>
          <w:right w:val="nil"/>
          <w:between w:val="nil"/>
        </w:pBdr>
        <w:spacing w:after="0"/>
      </w:pPr>
      <w:r>
        <w:t>S</w:t>
      </w:r>
      <w:r w:rsidR="005C0F8F">
        <w:t>enior leadership</w:t>
      </w:r>
    </w:p>
    <w:p w14:paraId="0552E974" w14:textId="46E019B0" w:rsidR="00312226" w:rsidRDefault="0037019A">
      <w:pPr>
        <w:numPr>
          <w:ilvl w:val="0"/>
          <w:numId w:val="1"/>
        </w:numPr>
        <w:pBdr>
          <w:top w:val="nil"/>
          <w:left w:val="nil"/>
          <w:bottom w:val="nil"/>
          <w:right w:val="nil"/>
          <w:between w:val="nil"/>
        </w:pBdr>
        <w:spacing w:after="0"/>
      </w:pPr>
      <w:r>
        <w:t>P</w:t>
      </w:r>
      <w:r w:rsidR="005C0F8F" w:rsidRPr="005C0F8F">
        <w:t>rofessionalism</w:t>
      </w:r>
    </w:p>
    <w:p w14:paraId="0552E975" w14:textId="5FF25511" w:rsidR="00312226" w:rsidRDefault="0037019A">
      <w:pPr>
        <w:numPr>
          <w:ilvl w:val="0"/>
          <w:numId w:val="1"/>
        </w:numPr>
        <w:pBdr>
          <w:top w:val="nil"/>
          <w:left w:val="nil"/>
          <w:bottom w:val="nil"/>
          <w:right w:val="nil"/>
          <w:between w:val="nil"/>
        </w:pBdr>
      </w:pPr>
      <w:r>
        <w:rPr>
          <w:color w:val="000000"/>
        </w:rPr>
        <w:t>Agency</w:t>
      </w:r>
    </w:p>
    <w:p w14:paraId="0552E976" w14:textId="77777777" w:rsidR="00312226" w:rsidRDefault="00A551ED">
      <w:r>
        <w:br w:type="page"/>
      </w:r>
    </w:p>
    <w:p w14:paraId="2273F8CE" w14:textId="77777777" w:rsidR="00D01B76" w:rsidRDefault="00D01B76" w:rsidP="00D01B76">
      <w:pPr>
        <w:pBdr>
          <w:top w:val="nil"/>
          <w:left w:val="nil"/>
          <w:bottom w:val="nil"/>
          <w:right w:val="nil"/>
          <w:between w:val="nil"/>
        </w:pBdr>
        <w:spacing w:after="0"/>
        <w:rPr>
          <w:b/>
          <w:color w:val="000000"/>
        </w:rPr>
      </w:pPr>
      <w:r>
        <w:rPr>
          <w:b/>
        </w:rPr>
        <w:lastRenderedPageBreak/>
        <w:t xml:space="preserve">Introduction </w:t>
      </w:r>
    </w:p>
    <w:p w14:paraId="0FC1CDBB" w14:textId="77777777" w:rsidR="00951BF2" w:rsidRDefault="00951BF2" w:rsidP="00B45798"/>
    <w:p w14:paraId="378E4395" w14:textId="316D0089" w:rsidR="003C2697" w:rsidRDefault="000413CC" w:rsidP="00C0649A">
      <w:r w:rsidRPr="000413CC">
        <w:t xml:space="preserve">Recent policy rhetoric in England has positioned teaching as an ‘evidence-informed </w:t>
      </w:r>
      <w:r w:rsidRPr="000413CC">
        <w:rPr>
          <w:i/>
          <w:iCs/>
        </w:rPr>
        <w:t xml:space="preserve">profession’ </w:t>
      </w:r>
      <w:r w:rsidRPr="000413CC">
        <w:t>(</w:t>
      </w:r>
      <w:r w:rsidR="00C65CA9">
        <w:t>e</w:t>
      </w:r>
      <w:r w:rsidR="009F0813">
        <w:t>mphasis</w:t>
      </w:r>
      <w:r w:rsidR="00C65CA9">
        <w:t xml:space="preserve"> added) (</w:t>
      </w:r>
      <w:r w:rsidRPr="000413CC">
        <w:t>DfE, March 2016, p.37)</w:t>
      </w:r>
      <w:r w:rsidR="00500EE4">
        <w:t>. According to Evetts (2013)</w:t>
      </w:r>
      <w:r w:rsidRPr="000413CC">
        <w:t>, what differentiates a profession from an occupation is the agency to contribute to a shared knowledge base. PR, involving various modes of research engagement, offers possibilities for this grassroots construction of knowledge</w:t>
      </w:r>
      <w:r w:rsidR="00982CBF">
        <w:t xml:space="preserve">, which Carr and Kemmis (1986/ 2002) </w:t>
      </w:r>
      <w:r w:rsidR="00E569F4">
        <w:t>conceptualised</w:t>
      </w:r>
      <w:r w:rsidR="00B10D76">
        <w:t xml:space="preserve"> </w:t>
      </w:r>
      <w:r w:rsidR="00FC72AB">
        <w:t>as</w:t>
      </w:r>
      <w:r w:rsidR="00E569F4">
        <w:t xml:space="preserve"> </w:t>
      </w:r>
      <w:r w:rsidR="00520B58">
        <w:t>educational enlightenment</w:t>
      </w:r>
      <w:r w:rsidRPr="000413CC">
        <w:t>.</w:t>
      </w:r>
      <w:r w:rsidR="00457EE1">
        <w:t xml:space="preserve"> </w:t>
      </w:r>
      <w:r w:rsidR="00DE7CA9" w:rsidRPr="0019330B">
        <w:t>Carr and Kemmis’ (1986/2002)</w:t>
      </w:r>
      <w:r w:rsidR="00DE7CA9">
        <w:t xml:space="preserve"> notion of the </w:t>
      </w:r>
      <w:r w:rsidR="00293AAF">
        <w:t xml:space="preserve">enlightened </w:t>
      </w:r>
      <w:r w:rsidR="00402D0C">
        <w:t>crit</w:t>
      </w:r>
      <w:r w:rsidR="00293AAF">
        <w:t>ical</w:t>
      </w:r>
      <w:r w:rsidR="00DE7CA9">
        <w:t xml:space="preserve"> </w:t>
      </w:r>
      <w:r w:rsidR="00293AAF">
        <w:t>teacher</w:t>
      </w:r>
      <w:r w:rsidR="00811616">
        <w:t xml:space="preserve"> </w:t>
      </w:r>
      <w:r w:rsidR="004722EE">
        <w:t xml:space="preserve">is </w:t>
      </w:r>
      <w:r w:rsidR="00A43C22">
        <w:t xml:space="preserve">of </w:t>
      </w:r>
      <w:r w:rsidR="004722EE">
        <w:t xml:space="preserve">one who may </w:t>
      </w:r>
      <w:r w:rsidR="0093123F">
        <w:t xml:space="preserve">reflect on </w:t>
      </w:r>
      <w:r w:rsidR="00531EEE">
        <w:t xml:space="preserve">existing research, or one’s own practice, </w:t>
      </w:r>
      <w:r w:rsidR="008E3B33">
        <w:t xml:space="preserve">but ideally generate </w:t>
      </w:r>
      <w:r w:rsidR="008C1DEC">
        <w:t>their own findings</w:t>
      </w:r>
      <w:r w:rsidR="008E3B33">
        <w:t xml:space="preserve"> to </w:t>
      </w:r>
      <w:r w:rsidR="00024B3B">
        <w:t>interrogate the knowledge base</w:t>
      </w:r>
      <w:r w:rsidR="000724EC">
        <w:t xml:space="preserve"> generated by external others. </w:t>
      </w:r>
    </w:p>
    <w:p w14:paraId="394A143E" w14:textId="33F5B96E" w:rsidR="0027291A" w:rsidRDefault="0027291A" w:rsidP="0027291A">
      <w:r w:rsidRPr="000413CC">
        <w:t xml:space="preserve">This chapter presents three vignettes </w:t>
      </w:r>
      <w:r w:rsidR="00B17557">
        <w:t xml:space="preserve">of </w:t>
      </w:r>
      <w:r w:rsidR="00AF482B">
        <w:t xml:space="preserve">different forms of </w:t>
      </w:r>
      <w:r w:rsidR="0014202C">
        <w:t>PR</w:t>
      </w:r>
      <w:r w:rsidR="00151AAB">
        <w:t>. They have been</w:t>
      </w:r>
      <w:r w:rsidR="001B01EC">
        <w:t xml:space="preserve"> </w:t>
      </w:r>
      <w:r w:rsidR="008F5250">
        <w:t>constructed from qualitative data from interviews</w:t>
      </w:r>
      <w:r w:rsidR="008F5250">
        <w:rPr>
          <w:color w:val="FF0000"/>
        </w:rPr>
        <w:t xml:space="preserve"> </w:t>
      </w:r>
      <w:r w:rsidR="008F5250">
        <w:t>conducted during Marsden’s (2020) doctoral study, which received the appropriate ethical approval</w:t>
      </w:r>
      <w:r w:rsidR="00FD013E">
        <w:t>. I</w:t>
      </w:r>
      <w:r w:rsidR="00151AAB">
        <w:t xml:space="preserve">t is hoped that </w:t>
      </w:r>
      <w:r w:rsidR="00510B4D">
        <w:t xml:space="preserve">they will </w:t>
      </w:r>
      <w:r w:rsidR="003F5AC7">
        <w:t>provide ideas for senior leaders</w:t>
      </w:r>
      <w:r w:rsidR="00AF482B">
        <w:t xml:space="preserve"> to empower a research-engaged profession</w:t>
      </w:r>
      <w:r w:rsidR="008F5250">
        <w:t xml:space="preserve">. </w:t>
      </w:r>
      <w:r w:rsidR="00030181">
        <w:t xml:space="preserve">Developing </w:t>
      </w:r>
      <w:r w:rsidR="00030181" w:rsidRPr="00D23258">
        <w:t>Goswami &amp; Stillman</w:t>
      </w:r>
      <w:r w:rsidR="00030181">
        <w:t>’s</w:t>
      </w:r>
      <w:r w:rsidR="00030181" w:rsidRPr="00D23258">
        <w:t xml:space="preserve"> </w:t>
      </w:r>
      <w:r w:rsidR="00030181">
        <w:t>(</w:t>
      </w:r>
      <w:r w:rsidR="00030181" w:rsidRPr="00D23258">
        <w:t>1987, p.30)</w:t>
      </w:r>
      <w:r w:rsidR="00030181">
        <w:t xml:space="preserve"> concept of teacher researchers </w:t>
      </w:r>
      <w:r w:rsidR="00030181" w:rsidRPr="00D23258">
        <w:t>‘looking - and looking again’</w:t>
      </w:r>
      <w:r w:rsidR="00030181">
        <w:t>, we postulate that ‘</w:t>
      </w:r>
      <w:r w:rsidR="00030181">
        <w:rPr>
          <w:i/>
          <w:iCs/>
        </w:rPr>
        <w:t>re</w:t>
      </w:r>
      <w:r w:rsidR="00030181">
        <w:t>-searching’ (quite literally, ‘looking again’ at one’s practice) is a good starting point for PR.</w:t>
      </w:r>
    </w:p>
    <w:p w14:paraId="0552E97D" w14:textId="77777777" w:rsidR="00312226" w:rsidRDefault="00312226">
      <w:pPr>
        <w:pBdr>
          <w:top w:val="nil"/>
          <w:left w:val="nil"/>
          <w:bottom w:val="nil"/>
          <w:right w:val="nil"/>
          <w:between w:val="nil"/>
        </w:pBdr>
        <w:spacing w:after="0"/>
        <w:rPr>
          <w:b/>
          <w:color w:val="000000"/>
        </w:rPr>
      </w:pPr>
    </w:p>
    <w:p w14:paraId="18BB6EB5" w14:textId="4171325A" w:rsidR="00901B74" w:rsidRDefault="00901B74" w:rsidP="00FA251D">
      <w:pPr>
        <w:pBdr>
          <w:top w:val="nil"/>
          <w:left w:val="nil"/>
          <w:bottom w:val="nil"/>
          <w:right w:val="nil"/>
          <w:between w:val="nil"/>
        </w:pBdr>
        <w:spacing w:after="0"/>
        <w:rPr>
          <w:b/>
          <w:color w:val="000000"/>
        </w:rPr>
      </w:pPr>
      <w:r>
        <w:rPr>
          <w:b/>
          <w:color w:val="000000"/>
        </w:rPr>
        <w:t xml:space="preserve">Discussion </w:t>
      </w:r>
    </w:p>
    <w:p w14:paraId="47F89B70" w14:textId="41C4C967" w:rsidR="00FA251D" w:rsidRPr="00FA251D" w:rsidRDefault="00FA251D" w:rsidP="00FA251D">
      <w:pPr>
        <w:pBdr>
          <w:top w:val="nil"/>
          <w:left w:val="nil"/>
          <w:bottom w:val="nil"/>
          <w:right w:val="nil"/>
          <w:between w:val="nil"/>
        </w:pBdr>
        <w:spacing w:after="0"/>
        <w:rPr>
          <w:b/>
          <w:color w:val="000000"/>
        </w:rPr>
      </w:pPr>
      <w:r w:rsidRPr="00FA251D">
        <w:rPr>
          <w:b/>
          <w:color w:val="000000"/>
        </w:rPr>
        <w:t xml:space="preserve">Vignettes of PR Engagement </w:t>
      </w:r>
    </w:p>
    <w:p w14:paraId="0552E97E" w14:textId="77777777" w:rsidR="00312226" w:rsidRDefault="00312226">
      <w:pPr>
        <w:pBdr>
          <w:top w:val="nil"/>
          <w:left w:val="nil"/>
          <w:bottom w:val="nil"/>
          <w:right w:val="nil"/>
          <w:between w:val="nil"/>
        </w:pBdr>
        <w:spacing w:after="0"/>
        <w:rPr>
          <w:b/>
          <w:color w:val="000000"/>
        </w:rPr>
      </w:pPr>
    </w:p>
    <w:p w14:paraId="71A6B9EE" w14:textId="77777777" w:rsidR="00FB0234" w:rsidRDefault="00FB0234" w:rsidP="00FB0234">
      <w:r>
        <w:t xml:space="preserve">To preserve anonymity, pseudonyms are used, reminiscent of social media handles (Goodyear et al., 2019), indicating participants’ position in their school. Each practitioner researcher revealed specific aspects of their identity, power, and positionality, with each of these elements influencing the teacher’s research practices in different ways.   </w:t>
      </w:r>
    </w:p>
    <w:p w14:paraId="0552E97F" w14:textId="38D96509" w:rsidR="00312226" w:rsidRPr="004C118C" w:rsidRDefault="00522660">
      <w:pPr>
        <w:pBdr>
          <w:top w:val="nil"/>
          <w:left w:val="nil"/>
          <w:bottom w:val="nil"/>
          <w:right w:val="nil"/>
          <w:between w:val="nil"/>
        </w:pBdr>
        <w:rPr>
          <w:bCs/>
          <w:color w:val="000000"/>
          <w:u w:val="single"/>
        </w:rPr>
      </w:pPr>
      <w:r w:rsidRPr="004C118C">
        <w:rPr>
          <w:bCs/>
          <w:color w:val="000000"/>
          <w:u w:val="single"/>
        </w:rPr>
        <w:t xml:space="preserve">@MrSEND: Identifying as a </w:t>
      </w:r>
      <w:r w:rsidRPr="004C118C">
        <w:rPr>
          <w:bCs/>
          <w:i/>
          <w:iCs/>
          <w:color w:val="000000"/>
          <w:u w:val="single"/>
        </w:rPr>
        <w:t>Re</w:t>
      </w:r>
      <w:r w:rsidRPr="004C118C">
        <w:rPr>
          <w:bCs/>
          <w:color w:val="000000"/>
          <w:u w:val="single"/>
        </w:rPr>
        <w:t>-searcher</w:t>
      </w:r>
    </w:p>
    <w:p w14:paraId="0552E988" w14:textId="77777777" w:rsidR="00312226" w:rsidRPr="004C118C" w:rsidRDefault="00312226">
      <w:pPr>
        <w:pBdr>
          <w:top w:val="nil"/>
          <w:left w:val="nil"/>
          <w:bottom w:val="nil"/>
          <w:right w:val="nil"/>
          <w:between w:val="nil"/>
        </w:pBdr>
        <w:spacing w:after="0"/>
        <w:rPr>
          <w:iCs/>
          <w:color w:val="000000"/>
        </w:rPr>
      </w:pPr>
    </w:p>
    <w:p w14:paraId="48A0214B" w14:textId="1E1A02F4" w:rsidR="00C53D83" w:rsidRPr="00C53D83" w:rsidRDefault="00CA3A62" w:rsidP="00C53D83">
      <w:r>
        <w:t>I</w:t>
      </w:r>
      <w:r w:rsidR="00C53D83" w:rsidRPr="00C53D83">
        <w:t>n a secondary school for young people with special educational needs and disabilities (SEND)</w:t>
      </w:r>
      <w:r w:rsidR="00B60E9D">
        <w:t>, it was</w:t>
      </w:r>
      <w:r w:rsidR="00C53D83" w:rsidRPr="00C53D83">
        <w:t xml:space="preserve"> decided that continuing professional development (CPD) for an academic year would take the form of individual research projects for all teachers and Teaching Assistants (TAs). Each practitioner was to focus upon a particular student and research ways to help that individual. This involved careful reflection and attention to students’ individual education plans (IEPs). In effect, staff were to </w:t>
      </w:r>
      <w:r w:rsidR="00C53D83" w:rsidRPr="0066548D">
        <w:rPr>
          <w:i/>
          <w:iCs/>
        </w:rPr>
        <w:t>re</w:t>
      </w:r>
      <w:r w:rsidR="00C53D83" w:rsidRPr="00C53D83">
        <w:t xml:space="preserve">-search their current practice, i.e. to look again at their craft. This CPD activity took place during dedicated non-teaching time to avoid any extra burden. In this allotted time, staff were to devise certain strategies and then reflect upon their implementation. Colleagues </w:t>
      </w:r>
      <w:r w:rsidR="007118E8">
        <w:t xml:space="preserve">then </w:t>
      </w:r>
      <w:r w:rsidR="00C53D83" w:rsidRPr="00C53D83">
        <w:t xml:space="preserve">disseminated their findings to one another via presentations to learn from each other. </w:t>
      </w:r>
    </w:p>
    <w:p w14:paraId="63D2D20A" w14:textId="396BC964" w:rsidR="00D22A47" w:rsidRPr="00D22A47" w:rsidRDefault="00D22A47" w:rsidP="00D22A47">
      <w:r w:rsidRPr="00D22A47">
        <w:t>A middle leader in the school, @MrSEND, believed that he was empowered to construct a knowledge base that was more relevant to his unique context. This was preferable to basing his practice on someone else’s academic research, which is</w:t>
      </w:r>
      <w:r w:rsidR="00CC6CA8">
        <w:t xml:space="preserve"> arguably</w:t>
      </w:r>
      <w:r w:rsidRPr="00D22A47">
        <w:t xml:space="preserve"> </w:t>
      </w:r>
      <w:r w:rsidR="00E96071">
        <w:t xml:space="preserve">a </w:t>
      </w:r>
      <w:r w:rsidRPr="00D22A47">
        <w:t>more passive</w:t>
      </w:r>
      <w:r w:rsidR="00E96071">
        <w:t xml:space="preserve"> process</w:t>
      </w:r>
      <w:r w:rsidRPr="00D22A47">
        <w:t xml:space="preserve"> (see Godfrey &amp; Brown, 2018). Furthermore, in his view, outputs constructed by teachers were more accessible to busy practitioners, who do not have time to read long academic publications. He was glad that he was not expected to write a research report on his findings, presenting, instead, in a mode more familiar to teachers. </w:t>
      </w:r>
    </w:p>
    <w:p w14:paraId="645AF97A" w14:textId="03855B89" w:rsidR="00D574E5" w:rsidRPr="00D23258" w:rsidRDefault="00D23258" w:rsidP="00D23258">
      <w:r w:rsidRPr="00D23258">
        <w:t xml:space="preserve">One might argue that the nature of research in this school represented typical CPD and did not differ to what teachers do all the time. After all, the Teachers’ Standards in England </w:t>
      </w:r>
      <w:r w:rsidR="0066166B">
        <w:t>mandate</w:t>
      </w:r>
      <w:r w:rsidRPr="00D23258">
        <w:t xml:space="preserve"> that teacher</w:t>
      </w:r>
      <w:r w:rsidR="0066166B">
        <w:t xml:space="preserve">s </w:t>
      </w:r>
      <w:r w:rsidRPr="00D23258">
        <w:lastRenderedPageBreak/>
        <w:t>‘reflect systematically on the effectiveness of lessons and approaches to teaching’ (DfE, 2011, p.11). However, such reflection may be an introspective activity. In contrast, the practitioners in th</w:t>
      </w:r>
      <w:r w:rsidR="00C9395F">
        <w:t>is</w:t>
      </w:r>
      <w:r w:rsidRPr="00D23258">
        <w:t xml:space="preserve"> school were empowered to work collaboratively in developing a shared knowledge base that is useable by others in their unique context. This kind of grassroots CPD is not promoted by the Department for Education’s (</w:t>
      </w:r>
      <w:r w:rsidR="00DC1BC1">
        <w:t xml:space="preserve">July </w:t>
      </w:r>
      <w:r w:rsidRPr="00D23258">
        <w:t xml:space="preserve">2016) Standard for Professional Development, which positions teachers as passive recipients of evidence gathered by external researchers. @MrSEND identified himself as a researcher because, together with his colleagues, he was an active agent in constructing and disseminating knowledge. </w:t>
      </w:r>
      <w:r w:rsidR="006C22F1">
        <w:t xml:space="preserve">These critical reflections are part of what </w:t>
      </w:r>
      <w:r w:rsidR="006C22F1" w:rsidRPr="0023759B">
        <w:t xml:space="preserve">Winch et al. (2013) identified </w:t>
      </w:r>
      <w:r w:rsidR="001E74D6">
        <w:t xml:space="preserve">as </w:t>
      </w:r>
      <w:r w:rsidR="006C22F1" w:rsidRPr="0023759B">
        <w:t>professional knowledge</w:t>
      </w:r>
      <w:r w:rsidR="001E74D6">
        <w:t>,</w:t>
      </w:r>
      <w:r w:rsidR="006C22F1" w:rsidRPr="0023759B">
        <w:t xml:space="preserve"> </w:t>
      </w:r>
      <w:r w:rsidR="001E74D6">
        <w:t>along with</w:t>
      </w:r>
      <w:r w:rsidR="006C22F1" w:rsidRPr="0023759B">
        <w:t xml:space="preserve"> tacit </w:t>
      </w:r>
      <w:r w:rsidR="001E74D6">
        <w:t>and</w:t>
      </w:r>
      <w:r w:rsidR="006C22F1" w:rsidRPr="0023759B">
        <w:t xml:space="preserve"> technical knowledge</w:t>
      </w:r>
      <w:r w:rsidR="006C22F1">
        <w:t xml:space="preserve">. </w:t>
      </w:r>
      <w:r w:rsidRPr="00D23258">
        <w:t>We argue that the hyphenated term ‘</w:t>
      </w:r>
      <w:r w:rsidRPr="00D23258">
        <w:rPr>
          <w:i/>
          <w:iCs/>
        </w:rPr>
        <w:t>re</w:t>
      </w:r>
      <w:r w:rsidRPr="00D23258">
        <w:t xml:space="preserve">-searcher’ more accurately highlights the </w:t>
      </w:r>
      <w:r w:rsidR="00933BAB">
        <w:t xml:space="preserve">active </w:t>
      </w:r>
      <w:r w:rsidRPr="00D23258">
        <w:t>pr</w:t>
      </w:r>
      <w:r w:rsidR="00080ECC">
        <w:t>ocess</w:t>
      </w:r>
      <w:r w:rsidRPr="00D23258">
        <w:t xml:space="preserve"> of</w:t>
      </w:r>
      <w:r w:rsidR="004B701D">
        <w:t xml:space="preserve"> </w:t>
      </w:r>
      <w:r w:rsidR="00141202">
        <w:t xml:space="preserve">searching </w:t>
      </w:r>
      <w:r w:rsidR="000B5A9E">
        <w:t>one’s own practice</w:t>
      </w:r>
      <w:r w:rsidR="003B0066">
        <w:t xml:space="preserve"> to address </w:t>
      </w:r>
      <w:r w:rsidR="00BC1A51">
        <w:t>localised issues</w:t>
      </w:r>
      <w:r w:rsidR="00E16CA3">
        <w:t xml:space="preserve">, </w:t>
      </w:r>
      <w:r w:rsidR="00C85D72">
        <w:t>which</w:t>
      </w:r>
      <w:r w:rsidR="00BD3C7E">
        <w:t xml:space="preserve"> may act as a s</w:t>
      </w:r>
      <w:r w:rsidR="00D574E5" w:rsidRPr="00D574E5">
        <w:t xml:space="preserve">pringboard for future engagement </w:t>
      </w:r>
      <w:r w:rsidR="00D574E5" w:rsidRPr="00BD3C7E">
        <w:rPr>
          <w:i/>
          <w:iCs/>
        </w:rPr>
        <w:t>with</w:t>
      </w:r>
      <w:r w:rsidR="00D574E5" w:rsidRPr="00D574E5">
        <w:t xml:space="preserve"> </w:t>
      </w:r>
      <w:r w:rsidR="00BD3C7E">
        <w:t>research</w:t>
      </w:r>
      <w:r w:rsidR="007E18A9">
        <w:t xml:space="preserve"> more broadly</w:t>
      </w:r>
      <w:r w:rsidR="00D574E5" w:rsidRPr="00D574E5">
        <w:t>.</w:t>
      </w:r>
    </w:p>
    <w:p w14:paraId="000F7F9A" w14:textId="77777777" w:rsidR="00926016" w:rsidRPr="00926016" w:rsidRDefault="00926016" w:rsidP="00926016">
      <w:pPr>
        <w:rPr>
          <w:u w:val="single"/>
        </w:rPr>
      </w:pPr>
      <w:r w:rsidRPr="00926016">
        <w:rPr>
          <w:u w:val="single"/>
        </w:rPr>
        <w:t xml:space="preserve">@MsDeputy: Empowering staff to engage </w:t>
      </w:r>
      <w:r w:rsidRPr="00926016">
        <w:rPr>
          <w:i/>
          <w:iCs/>
          <w:u w:val="single"/>
        </w:rPr>
        <w:t>with</w:t>
      </w:r>
      <w:r w:rsidRPr="00926016">
        <w:rPr>
          <w:u w:val="single"/>
        </w:rPr>
        <w:t xml:space="preserve"> research</w:t>
      </w:r>
    </w:p>
    <w:p w14:paraId="0D5503F5" w14:textId="28A8693C" w:rsidR="00674536" w:rsidRPr="00674536" w:rsidRDefault="00674536" w:rsidP="00674536">
      <w:r w:rsidRPr="00674536">
        <w:t xml:space="preserve">In a primary school that had recently been designated as a Research School (RSN, n.d.), a senior leader, @MsDeputy, organised research seminars for staff within the Academy Trust. @MsDeputy valued the research of academics and </w:t>
      </w:r>
      <w:r w:rsidR="001917DA">
        <w:t>when</w:t>
      </w:r>
      <w:r w:rsidRPr="00674536">
        <w:t xml:space="preserve"> interview</w:t>
      </w:r>
      <w:r w:rsidR="001917DA">
        <w:t>ed</w:t>
      </w:r>
      <w:r w:rsidRPr="00674536">
        <w:t xml:space="preserve">, expressed her pride about her membership of the British Educational Research Association (BERA). She had attended BERA’s annual conference, paid for by the school, so she could network with established researchers </w:t>
      </w:r>
      <w:r w:rsidR="00EA1463">
        <w:t>and</w:t>
      </w:r>
      <w:r w:rsidRPr="00674536">
        <w:t xml:space="preserve"> invite them to present their research findings to the Academy Trust practitioners. The invited speakers were to give presentations in voluntary CPD seminars after school. To persuade researchers to participate, @MsDeputy offered to publicise their future projects to facilitate the recruitment of research participants. @MsDeputy also said she was aware that academics were encouraged to disseminate their findings beyond academia, and the CPD seminars provided them with a platform for doing so. In this way, practitioners were able to access the latest research, making the initiative mutually beneficial.  </w:t>
      </w:r>
    </w:p>
    <w:p w14:paraId="11857DD0" w14:textId="66A35206" w:rsidR="00674536" w:rsidRDefault="00674536" w:rsidP="00674536">
      <w:r w:rsidRPr="00674536">
        <w:t xml:space="preserve">The goal was to empower practitioners to interrogate the research presented by academics, drawing on experiences from their own practice to challenge the findings </w:t>
      </w:r>
      <w:r w:rsidR="00C07EEA">
        <w:t xml:space="preserve">in </w:t>
      </w:r>
      <w:r w:rsidR="00136FA5">
        <w:t>a dialogic way</w:t>
      </w:r>
      <w:r w:rsidR="00007B22">
        <w:t xml:space="preserve"> </w:t>
      </w:r>
      <w:r w:rsidR="00FD7428">
        <w:t>(</w:t>
      </w:r>
      <w:r w:rsidR="00007B22">
        <w:t>Wall and Hall</w:t>
      </w:r>
      <w:r w:rsidR="00FD7428">
        <w:t>, 2017)</w:t>
      </w:r>
      <w:r w:rsidRPr="00674536">
        <w:t xml:space="preserve">. @MsDeputy disclosed, however, that she was disappointed that after a year of half-termly seminars, the intended collaborative exchange of knowledge was still </w:t>
      </w:r>
      <w:r w:rsidR="009B798E">
        <w:t xml:space="preserve">a </w:t>
      </w:r>
      <w:r w:rsidRPr="00674536">
        <w:t xml:space="preserve">‘work in progress’. Delegates at the seminars did not question the researchers, perhaps because they lacked confidence or prior experience of critical engagement with research. Although the researchers were outsiders entering the physical space of the school, perhaps the normative identity of ‘researcher’ was seen to overpower the professional identity of the ‘practitioner’. Therefore, although practitioners were provided with the opportunity to engage critically with research, the power dynamic created by the format meant that this </w:t>
      </w:r>
      <w:r w:rsidR="00B72E1A">
        <w:t>was not fulfilled</w:t>
      </w:r>
      <w:r w:rsidRPr="00674536">
        <w:t xml:space="preserve">. </w:t>
      </w:r>
    </w:p>
    <w:p w14:paraId="493843B1" w14:textId="77777777" w:rsidR="00674536" w:rsidRPr="00674536" w:rsidRDefault="00674536" w:rsidP="00674536">
      <w:r w:rsidRPr="00674536">
        <w:t xml:space="preserve">Nonetheless, practitioners were provided with access to current thinking, which, according to Hordern (2016), is important for a profession. Knowledge from research is often behind a ‘paywall’ or only accessible by enrolling on higher education (HE) courses (Maxwell et al., 2015). In this context, there was, nevertheless, still a cost to this research engagement since the school funded the seminars from their Research Schools Network budget. Whilst not all schools will be able to do this, teachers can connect with their local Research School to partake in opportunities like this, as recommended in a report by the Royal Society and British Academy (2018). Without it being part of the CPD allocation for practitioners, though, voluntary initiatives like this run the risk of excluding those who have other commitments beyond their work. The ideal would be to empower all teachers to engage with research by normalising this as part of dedicated CPD time.  </w:t>
      </w:r>
    </w:p>
    <w:p w14:paraId="7438EABC" w14:textId="77777777" w:rsidR="005D2A34" w:rsidRPr="005D2A34" w:rsidRDefault="005D2A34" w:rsidP="005D2A34">
      <w:pPr>
        <w:rPr>
          <w:u w:val="single"/>
        </w:rPr>
      </w:pPr>
      <w:r w:rsidRPr="005D2A34">
        <w:rPr>
          <w:u w:val="single"/>
        </w:rPr>
        <w:lastRenderedPageBreak/>
        <w:t>@MrIndependent: Positionality as a teacher engaging</w:t>
      </w:r>
      <w:r w:rsidRPr="005D2A34">
        <w:rPr>
          <w:i/>
          <w:iCs/>
          <w:u w:val="single"/>
        </w:rPr>
        <w:t xml:space="preserve"> in</w:t>
      </w:r>
      <w:r w:rsidRPr="005D2A34">
        <w:rPr>
          <w:u w:val="single"/>
        </w:rPr>
        <w:t xml:space="preserve"> research </w:t>
      </w:r>
    </w:p>
    <w:p w14:paraId="53357438" w14:textId="47F55A59" w:rsidR="001D4E10" w:rsidRPr="001D4E10" w:rsidRDefault="006D58D4" w:rsidP="001D4E10">
      <w:r>
        <w:t>I</w:t>
      </w:r>
      <w:r w:rsidR="001D4E10" w:rsidRPr="001D4E10">
        <w:t xml:space="preserve">n a fee-paying school </w:t>
      </w:r>
      <w:r w:rsidR="004D00EE">
        <w:t xml:space="preserve">that partly funded Master’s </w:t>
      </w:r>
      <w:r w:rsidR="00F62757">
        <w:t>courses for staff,</w:t>
      </w:r>
      <w:r w:rsidR="001D4E10" w:rsidRPr="001D4E10">
        <w:t xml:space="preserve"> </w:t>
      </w:r>
      <w:r w:rsidR="00F62757">
        <w:t xml:space="preserve">one middle leader, @MrIndependent, </w:t>
      </w:r>
      <w:r w:rsidR="00E254A2">
        <w:t xml:space="preserve">relished in </w:t>
      </w:r>
      <w:r w:rsidR="001D4E10" w:rsidRPr="001D4E10">
        <w:t>engag</w:t>
      </w:r>
      <w:r w:rsidR="00E254A2">
        <w:t>ing</w:t>
      </w:r>
      <w:r w:rsidR="001D4E10" w:rsidRPr="001D4E10">
        <w:t xml:space="preserve"> in his own research project. @MrIndependent considered himself as a ‘natural academic’ and thought that his aptitude for discovery had motivated him. Reflecting on the matter that one must have the means as well as the inclination, he realised that it was only now, near the end of his career, that he was able to contribute to the fees as he no longer had significant financial or family commitments. He admitted that partaking in a Master’s degree at the later stage of his career meant that he might not be able to embed his findings in his practice. Nevertheless, @MrIndependent found the process of researching to be beneficial, and he thought that he and his pupils benefited from his research engagement in other tangential ways. </w:t>
      </w:r>
    </w:p>
    <w:p w14:paraId="44B86089" w14:textId="5544626A" w:rsidR="001D4E10" w:rsidRDefault="001D4E10" w:rsidP="001D4E10">
      <w:r w:rsidRPr="001D4E10">
        <w:t>@MrIndependent’s identity as a teacher morphed, not only into a researcher, but also a learner. This identity shift afforded him more empathy with his pupils; he re-positioned himself as a role model for his pupils to see the value of life-long learning. In staff meetings also, he felt that he had more ‘clout’, as he was able to point to research to support his contributions</w:t>
      </w:r>
      <w:r w:rsidR="00B5787D">
        <w:t xml:space="preserve"> in what</w:t>
      </w:r>
      <w:r w:rsidRPr="001D4E10">
        <w:t xml:space="preserve"> </w:t>
      </w:r>
      <w:r w:rsidR="001625AE" w:rsidRPr="009A2D7E">
        <w:t>Foreman-Peck and Heilbronn (2018) have argued</w:t>
      </w:r>
      <w:r w:rsidR="00B5787D">
        <w:t xml:space="preserve"> is a democratising function of </w:t>
      </w:r>
      <w:r w:rsidR="00D454B1">
        <w:t>PR</w:t>
      </w:r>
      <w:r w:rsidR="00B5787D">
        <w:t>.</w:t>
      </w:r>
      <w:r w:rsidR="001625AE" w:rsidRPr="009A2D7E">
        <w:t xml:space="preserve"> </w:t>
      </w:r>
      <w:r w:rsidRPr="001D4E10">
        <w:t xml:space="preserve">@MrIndependent, therefore, was empowered by his access to research through his HE course, and re-positioned himself as both a source of authority amongst colleagues, and an empathetic teacher to his students. He repeated the necessity for practitioners to be funded to engage in HE courses like he was. Funding earlier on in one’s career would transform practitioners into practitioner researchers who are able to contribute to the knowledge base that will inform their practice, and that of others. </w:t>
      </w:r>
    </w:p>
    <w:p w14:paraId="705C3997" w14:textId="54C1442E" w:rsidR="001D4E10" w:rsidRPr="001D4E10" w:rsidRDefault="001D4E10" w:rsidP="001D4E10">
      <w:r w:rsidRPr="001D4E10">
        <w:t xml:space="preserve">Enabling teachers to engage in research in this way, however, does not overcome the other barrier that @MrIndpendent had encountered in the early days of his career: time </w:t>
      </w:r>
      <w:r w:rsidR="00AE188F">
        <w:t>constraints</w:t>
      </w:r>
      <w:r w:rsidRPr="001D4E10">
        <w:t xml:space="preserve">. In order for research engagement to </w:t>
      </w:r>
      <w:r w:rsidR="001912D2">
        <w:t xml:space="preserve">have a positive </w:t>
      </w:r>
      <w:r w:rsidRPr="001D4E10">
        <w:t xml:space="preserve">impact </w:t>
      </w:r>
      <w:r w:rsidR="001A6942">
        <w:t xml:space="preserve">on </w:t>
      </w:r>
      <w:r w:rsidRPr="001D4E10">
        <w:t>practitioners earlier in their careers, and to elevate teacher agency and professionalism, research engagement should be integrated into school CPD as a normative practice (Royal Society and British Academy, 2018).</w:t>
      </w:r>
    </w:p>
    <w:p w14:paraId="1601CB63" w14:textId="77777777" w:rsidR="006A7BF8" w:rsidRPr="006A7BF8" w:rsidRDefault="006A7BF8" w:rsidP="006A7BF8">
      <w:pPr>
        <w:rPr>
          <w:b/>
          <w:bCs/>
        </w:rPr>
      </w:pPr>
      <w:r w:rsidRPr="006A7BF8">
        <w:rPr>
          <w:b/>
          <w:bCs/>
        </w:rPr>
        <w:t>Conclusion</w:t>
      </w:r>
    </w:p>
    <w:p w14:paraId="74C0091E" w14:textId="0A52018A" w:rsidR="005030EA" w:rsidRPr="005030EA" w:rsidRDefault="005030EA" w:rsidP="005030EA">
      <w:r w:rsidRPr="005030EA">
        <w:t xml:space="preserve">As these vignettes illustrate, </w:t>
      </w:r>
      <w:r w:rsidR="00245B69">
        <w:t>PR</w:t>
      </w:r>
      <w:r w:rsidRPr="005030EA">
        <w:t xml:space="preserve"> can encompass a range of activities</w:t>
      </w:r>
      <w:r w:rsidR="009F6AA8">
        <w:t xml:space="preserve"> </w:t>
      </w:r>
      <w:r w:rsidR="00104D1F">
        <w:t>that can empower teachers</w:t>
      </w:r>
      <w:r w:rsidR="0067150E">
        <w:t>, as in</w:t>
      </w:r>
      <w:r w:rsidR="00231D9E">
        <w:t xml:space="preserve"> Carr and Kemmis’ (1986/ 2002) </w:t>
      </w:r>
      <w:r w:rsidR="00D60868">
        <w:t xml:space="preserve">conceptual </w:t>
      </w:r>
      <w:r w:rsidR="0067150E">
        <w:t>frame</w:t>
      </w:r>
      <w:r w:rsidR="00D60868">
        <w:t>work</w:t>
      </w:r>
      <w:r w:rsidR="003C465F">
        <w:t xml:space="preserve">. </w:t>
      </w:r>
      <w:r w:rsidR="004878B6">
        <w:t xml:space="preserve">If </w:t>
      </w:r>
      <w:r w:rsidR="00C22317">
        <w:t>PR</w:t>
      </w:r>
      <w:r w:rsidRPr="005030EA">
        <w:t xml:space="preserve"> </w:t>
      </w:r>
      <w:r w:rsidR="004878B6">
        <w:t>is</w:t>
      </w:r>
      <w:r w:rsidRPr="005030EA">
        <w:t xml:space="preserve"> to be </w:t>
      </w:r>
      <w:r w:rsidR="00E87EDE">
        <w:t>enacted</w:t>
      </w:r>
      <w:r w:rsidRPr="005030EA">
        <w:t xml:space="preserve"> in the teaching profession,</w:t>
      </w:r>
      <w:r w:rsidR="00E87EDE">
        <w:t xml:space="preserve"> however,</w:t>
      </w:r>
      <w:r w:rsidRPr="005030EA">
        <w:t xml:space="preserve"> endorsement and prioritisation from school leaders </w:t>
      </w:r>
      <w:r w:rsidR="00E27C5B">
        <w:t xml:space="preserve">is necessary </w:t>
      </w:r>
      <w:r w:rsidR="003C465F" w:rsidRPr="005030EA">
        <w:t>(Brown et al., 2018)</w:t>
      </w:r>
      <w:r w:rsidRPr="005030EA">
        <w:t xml:space="preserve">. We have seen how </w:t>
      </w:r>
      <w:r w:rsidR="00C22317">
        <w:t>PR</w:t>
      </w:r>
      <w:r w:rsidRPr="005030EA">
        <w:t xml:space="preserve"> may be funded from the school’s budget, whether that is to pay for conference attendance, or to partially fund a Master’s degree. These models could be cost-effective, according to Thomas (2017), as an alternative to one-off CPD sessions delivered by a consultant in which practitioners are passive recipients of knowledge. </w:t>
      </w:r>
    </w:p>
    <w:p w14:paraId="062AC1DB" w14:textId="2D948F0E" w:rsidR="005030EA" w:rsidRPr="005030EA" w:rsidRDefault="005030EA" w:rsidP="005030EA">
      <w:r w:rsidRPr="005030EA">
        <w:t>A less costly model of research engagement as CPD has been to build what we identify as ‘</w:t>
      </w:r>
      <w:r w:rsidRPr="00864F4A">
        <w:rPr>
          <w:i/>
          <w:iCs/>
        </w:rPr>
        <w:t>re</w:t>
      </w:r>
      <w:r w:rsidRPr="005030EA">
        <w:t>-search’ into the workload of teachers. The example here empowers reflective practitioners as ‘</w:t>
      </w:r>
      <w:r w:rsidRPr="00864F4A">
        <w:rPr>
          <w:i/>
          <w:iCs/>
        </w:rPr>
        <w:t>re-</w:t>
      </w:r>
      <w:r w:rsidRPr="005030EA">
        <w:t xml:space="preserve">searchers’ who ‘look again’ at their teaching practice more systematically, sharing their self-discoveries </w:t>
      </w:r>
      <w:r w:rsidR="00A77F99">
        <w:t>for</w:t>
      </w:r>
      <w:r w:rsidRPr="005030EA">
        <w:t xml:space="preserve"> others to learn from. </w:t>
      </w:r>
    </w:p>
    <w:p w14:paraId="0552E98D" w14:textId="74E9EAF3" w:rsidR="00312226" w:rsidRDefault="005030EA">
      <w:r w:rsidRPr="005030EA">
        <w:t xml:space="preserve">To summarise, the vignettes have demonstrated how decisions of senior leaders in particular contexts result in variable research practices and outcomes. Whilst there are clearly benefits of different types of </w:t>
      </w:r>
      <w:r w:rsidR="002225A6">
        <w:t>PR</w:t>
      </w:r>
      <w:r w:rsidRPr="005030EA">
        <w:t xml:space="preserve">, it is also important to note the challenges raised by the practitioners here so that future pathways for </w:t>
      </w:r>
      <w:r w:rsidR="002225A6">
        <w:t>PR</w:t>
      </w:r>
      <w:r w:rsidRPr="005030EA">
        <w:t xml:space="preserve"> are successful.</w:t>
      </w:r>
      <w:r w:rsidR="00A551ED">
        <w:br w:type="page"/>
      </w:r>
    </w:p>
    <w:p w14:paraId="096B066C" w14:textId="77777777" w:rsidR="00AF5C63" w:rsidRPr="00AF5C63" w:rsidRDefault="00AF5C63" w:rsidP="00AF5C63">
      <w:r w:rsidRPr="00AF5C63">
        <w:lastRenderedPageBreak/>
        <w:t>Questions:</w:t>
      </w:r>
    </w:p>
    <w:p w14:paraId="69E204CB" w14:textId="37752148" w:rsidR="00AF5C63" w:rsidRPr="00AF5C63" w:rsidRDefault="00AF5C63" w:rsidP="00AF5C63">
      <w:pPr>
        <w:numPr>
          <w:ilvl w:val="0"/>
          <w:numId w:val="3"/>
        </w:numPr>
      </w:pPr>
      <w:r w:rsidRPr="00AF5C63">
        <w:t xml:space="preserve">What does PR </w:t>
      </w:r>
      <w:r w:rsidR="00EA4026">
        <w:t xml:space="preserve">mean </w:t>
      </w:r>
      <w:r w:rsidRPr="00AF5C63">
        <w:t xml:space="preserve">for you? Engaging </w:t>
      </w:r>
      <w:r w:rsidRPr="00AF5C63">
        <w:rPr>
          <w:i/>
          <w:iCs/>
        </w:rPr>
        <w:t>with</w:t>
      </w:r>
      <w:r w:rsidRPr="00AF5C63">
        <w:t xml:space="preserve"> research, or engaging </w:t>
      </w:r>
      <w:r w:rsidRPr="00AF5C63">
        <w:rPr>
          <w:i/>
          <w:iCs/>
        </w:rPr>
        <w:t>in</w:t>
      </w:r>
      <w:r w:rsidRPr="00AF5C63">
        <w:t xml:space="preserve"> your own research?</w:t>
      </w:r>
    </w:p>
    <w:p w14:paraId="1EDEDC5B" w14:textId="77777777" w:rsidR="00AF5C63" w:rsidRPr="00AF5C63" w:rsidRDefault="00AF5C63" w:rsidP="00AF5C63">
      <w:pPr>
        <w:numPr>
          <w:ilvl w:val="0"/>
          <w:numId w:val="3"/>
        </w:numPr>
      </w:pPr>
      <w:r w:rsidRPr="00AF5C63">
        <w:t xml:space="preserve">How might reflective practice be transformed into </w:t>
      </w:r>
      <w:r w:rsidRPr="00AF5C63">
        <w:rPr>
          <w:i/>
          <w:iCs/>
        </w:rPr>
        <w:t>re</w:t>
      </w:r>
      <w:r w:rsidRPr="00AF5C63">
        <w:t xml:space="preserve">-search? </w:t>
      </w:r>
    </w:p>
    <w:p w14:paraId="6F289B2F" w14:textId="77777777" w:rsidR="00AF5C63" w:rsidRPr="005030EA" w:rsidRDefault="00AF5C63"/>
    <w:p w14:paraId="0552E98E" w14:textId="06FA9A7D" w:rsidR="00312226" w:rsidRDefault="00A551ED">
      <w:pPr>
        <w:pBdr>
          <w:top w:val="nil"/>
          <w:left w:val="nil"/>
          <w:bottom w:val="nil"/>
          <w:right w:val="nil"/>
          <w:between w:val="nil"/>
        </w:pBdr>
        <w:spacing w:after="0"/>
        <w:rPr>
          <w:b/>
          <w:color w:val="000000"/>
        </w:rPr>
      </w:pPr>
      <w:r>
        <w:rPr>
          <w:b/>
          <w:color w:val="000000"/>
        </w:rPr>
        <w:t>References:</w:t>
      </w:r>
    </w:p>
    <w:p w14:paraId="0552E98F" w14:textId="77777777" w:rsidR="00312226" w:rsidRDefault="00312226">
      <w:pPr>
        <w:pBdr>
          <w:top w:val="nil"/>
          <w:left w:val="nil"/>
          <w:bottom w:val="nil"/>
          <w:right w:val="nil"/>
          <w:between w:val="nil"/>
        </w:pBdr>
        <w:spacing w:after="0"/>
        <w:rPr>
          <w:b/>
          <w:color w:val="000000"/>
        </w:rPr>
      </w:pPr>
    </w:p>
    <w:p w14:paraId="1B711248" w14:textId="2A036108" w:rsidR="004B0BB2" w:rsidRDefault="004B0BB2" w:rsidP="00F70392">
      <w:bookmarkStart w:id="0" w:name="_Hlk107480402"/>
      <w:r>
        <w:t xml:space="preserve">Brown, C., Zhang, D., Xu, N., &amp; Corbett, S. (2018). Exploring the impact of social relationships on teachers’ use of research: A regression analysis of 389 teachers in England. </w:t>
      </w:r>
      <w:r w:rsidRPr="00F70392">
        <w:rPr>
          <w:i/>
        </w:rPr>
        <w:t>International Journal of Educational Research,</w:t>
      </w:r>
      <w:r>
        <w:t xml:space="preserve"> 89, 36-46. </w:t>
      </w:r>
      <w:hyperlink r:id="rId11" w:history="1">
        <w:r w:rsidR="00331EF0" w:rsidRPr="00201534">
          <w:rPr>
            <w:rStyle w:val="Hyperlink"/>
          </w:rPr>
          <w:t>https://doi.org/10.1016/j.ijer.2018.04.003</w:t>
        </w:r>
      </w:hyperlink>
      <w:r w:rsidR="00331EF0">
        <w:t xml:space="preserve">  </w:t>
      </w:r>
      <w:r>
        <w:t xml:space="preserve">         </w:t>
      </w:r>
    </w:p>
    <w:p w14:paraId="5BD726A7" w14:textId="77777777" w:rsidR="004B0BB2" w:rsidRDefault="004B0BB2" w:rsidP="004B0BB2">
      <w:pPr>
        <w:pStyle w:val="ListParagraph"/>
      </w:pPr>
    </w:p>
    <w:p w14:paraId="67F2ADFB" w14:textId="77777777" w:rsidR="004B0BB2" w:rsidRDefault="004B0BB2" w:rsidP="00F70392">
      <w:r>
        <w:t xml:space="preserve">Carr, W. &amp; Kemmis, S. (2002). </w:t>
      </w:r>
      <w:r w:rsidRPr="00F70392">
        <w:rPr>
          <w:i/>
          <w:iCs/>
        </w:rPr>
        <w:t>Becoming critical: education, knowledge and action research</w:t>
      </w:r>
      <w:r>
        <w:t>. RoutledgeFalmer. (Original work published 1986).</w:t>
      </w:r>
    </w:p>
    <w:p w14:paraId="640963CD" w14:textId="77777777" w:rsidR="004B0BB2" w:rsidRDefault="004B0BB2" w:rsidP="004B0BB2">
      <w:pPr>
        <w:pStyle w:val="ListParagraph"/>
      </w:pPr>
    </w:p>
    <w:bookmarkEnd w:id="0"/>
    <w:p w14:paraId="5746A5B5" w14:textId="77777777" w:rsidR="004B0BB2" w:rsidRDefault="004B0BB2" w:rsidP="00F70392">
      <w:r>
        <w:t xml:space="preserve">Department for Education. (2011). </w:t>
      </w:r>
      <w:r w:rsidRPr="00F70392">
        <w:rPr>
          <w:i/>
          <w:iCs/>
        </w:rPr>
        <w:t xml:space="preserve">Teachers’ standards. </w:t>
      </w:r>
      <w:hyperlink r:id="rId12" w:history="1">
        <w:r>
          <w:rPr>
            <w:rStyle w:val="Hyperlink"/>
          </w:rPr>
          <w:t>https://www.gov.uk/government/publications/teachers-standards</w:t>
        </w:r>
      </w:hyperlink>
      <w:r w:rsidRPr="00F70392">
        <w:rPr>
          <w:i/>
          <w:iCs/>
        </w:rPr>
        <w:t xml:space="preserve"> </w:t>
      </w:r>
    </w:p>
    <w:p w14:paraId="05E10F98" w14:textId="77777777" w:rsidR="00390413" w:rsidRDefault="00390413" w:rsidP="00390413"/>
    <w:p w14:paraId="599373D1" w14:textId="2E0EB922" w:rsidR="00390413" w:rsidRPr="00390413" w:rsidRDefault="00390413" w:rsidP="0085745A">
      <w:r w:rsidRPr="00390413">
        <w:t>Department for Education (March 2016).</w:t>
      </w:r>
      <w:r w:rsidRPr="00390413">
        <w:rPr>
          <w:i/>
          <w:iCs/>
        </w:rPr>
        <w:t xml:space="preserve"> Educational excellence everywhere</w:t>
      </w:r>
      <w:r w:rsidRPr="00390413">
        <w:t xml:space="preserve">. </w:t>
      </w:r>
      <w:hyperlink r:id="rId13" w:tgtFrame="_blank" w:history="1">
        <w:r w:rsidRPr="00390413">
          <w:rPr>
            <w:rStyle w:val="Hyperlink"/>
          </w:rPr>
          <w:t>https://www.gov.uk/government/uploads/system/uploads/attachment_data/file/508447/Educational_Excellence_Everywhere.pdf</w:t>
        </w:r>
      </w:hyperlink>
    </w:p>
    <w:p w14:paraId="4C5002B8" w14:textId="77777777" w:rsidR="004B0BB2" w:rsidRDefault="004B0BB2" w:rsidP="004B0BB2">
      <w:pPr>
        <w:pStyle w:val="ListParagraph"/>
      </w:pPr>
    </w:p>
    <w:p w14:paraId="34853140" w14:textId="2F4AEF1B" w:rsidR="004B0BB2" w:rsidRDefault="004B0BB2" w:rsidP="00F70392">
      <w:pPr>
        <w:rPr>
          <w:i/>
        </w:rPr>
      </w:pPr>
      <w:r>
        <w:t>Department for Education. (</w:t>
      </w:r>
      <w:r w:rsidR="00DC1BC1">
        <w:t xml:space="preserve">July </w:t>
      </w:r>
      <w:r>
        <w:t xml:space="preserve">2016). </w:t>
      </w:r>
      <w:r w:rsidRPr="00F70392">
        <w:rPr>
          <w:i/>
        </w:rPr>
        <w:t xml:space="preserve">Standard for teachers’ professional development. </w:t>
      </w:r>
      <w:hyperlink r:id="rId14" w:history="1">
        <w:r w:rsidRPr="00F70392">
          <w:rPr>
            <w:rStyle w:val="Hyperlink"/>
            <w:iCs/>
          </w:rPr>
          <w:t>https://www.gov.uk/government/publications/standard-for-teachers-professional-development</w:t>
        </w:r>
      </w:hyperlink>
      <w:r w:rsidRPr="00F70392">
        <w:rPr>
          <w:i/>
        </w:rPr>
        <w:t xml:space="preserve"> </w:t>
      </w:r>
    </w:p>
    <w:p w14:paraId="4F600DCD" w14:textId="77777777" w:rsidR="005076F3" w:rsidRPr="004924B6" w:rsidRDefault="005076F3" w:rsidP="00F70392">
      <w:pPr>
        <w:rPr>
          <w:iCs/>
        </w:rPr>
      </w:pPr>
    </w:p>
    <w:p w14:paraId="2939FFFA" w14:textId="10243ACA" w:rsidR="006E6F41" w:rsidRPr="006E6F41" w:rsidRDefault="009353FC" w:rsidP="006E6F41">
      <w:pPr>
        <w:rPr>
          <w:iCs/>
        </w:rPr>
      </w:pPr>
      <w:r w:rsidRPr="009353FC">
        <w:rPr>
          <w:iCs/>
        </w:rPr>
        <w:t xml:space="preserve">Evetts, J. (2013). Professionalism: value and ideology. </w:t>
      </w:r>
      <w:r w:rsidRPr="009353FC">
        <w:rPr>
          <w:i/>
          <w:iCs/>
        </w:rPr>
        <w:t>Current Sociology Review,</w:t>
      </w:r>
      <w:r w:rsidRPr="009353FC">
        <w:rPr>
          <w:iCs/>
        </w:rPr>
        <w:t xml:space="preserve"> 61(5-6), 778-796. </w:t>
      </w:r>
      <w:hyperlink r:id="rId15" w:history="1">
        <w:r w:rsidRPr="009353FC">
          <w:rPr>
            <w:rStyle w:val="Hyperlink"/>
            <w:iCs/>
          </w:rPr>
          <w:t>https://doi.org/10.1177/0011392113479316</w:t>
        </w:r>
      </w:hyperlink>
      <w:r w:rsidRPr="009353FC">
        <w:rPr>
          <w:iCs/>
        </w:rPr>
        <w:t xml:space="preserve">  </w:t>
      </w:r>
    </w:p>
    <w:p w14:paraId="61E910CB" w14:textId="77777777" w:rsidR="006E6F41" w:rsidRDefault="006E6F41" w:rsidP="006E6F41">
      <w:pPr>
        <w:rPr>
          <w:iCs/>
        </w:rPr>
      </w:pPr>
    </w:p>
    <w:p w14:paraId="717D66EF" w14:textId="2DE79395" w:rsidR="006E6F41" w:rsidRDefault="006E6F41" w:rsidP="006E6F41">
      <w:pPr>
        <w:rPr>
          <w:iCs/>
        </w:rPr>
      </w:pPr>
      <w:r w:rsidRPr="006E6F41">
        <w:rPr>
          <w:iCs/>
        </w:rPr>
        <w:t>Foreman-Peck, L. and Heilbronn, R, (2018)</w:t>
      </w:r>
      <w:r>
        <w:rPr>
          <w:iCs/>
        </w:rPr>
        <w:t>.</w:t>
      </w:r>
      <w:r w:rsidRPr="006E6F41">
        <w:rPr>
          <w:iCs/>
        </w:rPr>
        <w:t xml:space="preserve"> Does Action Research Have a Future? A Reply to Higgins. </w:t>
      </w:r>
      <w:r w:rsidRPr="006E6F41">
        <w:rPr>
          <w:i/>
          <w:iCs/>
        </w:rPr>
        <w:t>Journal of Philosophy of Education</w:t>
      </w:r>
      <w:r w:rsidRPr="006E6F41">
        <w:rPr>
          <w:iCs/>
        </w:rPr>
        <w:t xml:space="preserve"> 52,</w:t>
      </w:r>
      <w:r w:rsidR="00E66F9C">
        <w:rPr>
          <w:iCs/>
        </w:rPr>
        <w:t xml:space="preserve"> </w:t>
      </w:r>
      <w:r w:rsidRPr="006E6F41">
        <w:rPr>
          <w:iCs/>
        </w:rPr>
        <w:t xml:space="preserve">126-143. </w:t>
      </w:r>
      <w:hyperlink r:id="rId16" w:history="1">
        <w:r w:rsidR="00D73B17" w:rsidRPr="00201534">
          <w:rPr>
            <w:rStyle w:val="Hyperlink"/>
            <w:iCs/>
          </w:rPr>
          <w:t>https://</w:t>
        </w:r>
        <w:r w:rsidR="00D73B17" w:rsidRPr="006E6F41">
          <w:rPr>
            <w:rStyle w:val="Hyperlink"/>
            <w:iCs/>
          </w:rPr>
          <w:t>doi</w:t>
        </w:r>
        <w:r w:rsidR="00D73B17" w:rsidRPr="00201534">
          <w:rPr>
            <w:rStyle w:val="Hyperlink"/>
            <w:iCs/>
          </w:rPr>
          <w:t>.org/</w:t>
        </w:r>
        <w:r w:rsidR="00D73B17" w:rsidRPr="006E6F41">
          <w:rPr>
            <w:rStyle w:val="Hyperlink"/>
            <w:iCs/>
          </w:rPr>
          <w:t>10.1111/1467-9752.12272</w:t>
        </w:r>
      </w:hyperlink>
      <w:r w:rsidR="00D73B17">
        <w:rPr>
          <w:iCs/>
        </w:rPr>
        <w:t xml:space="preserve"> </w:t>
      </w:r>
      <w:r w:rsidR="00DD2789">
        <w:rPr>
          <w:iCs/>
        </w:rPr>
        <w:t xml:space="preserve"> </w:t>
      </w:r>
      <w:r>
        <w:rPr>
          <w:iCs/>
        </w:rPr>
        <w:t xml:space="preserve"> </w:t>
      </w:r>
      <w:r w:rsidR="00DD2789">
        <w:rPr>
          <w:iCs/>
        </w:rPr>
        <w:t xml:space="preserve"> </w:t>
      </w:r>
    </w:p>
    <w:p w14:paraId="033FB08E" w14:textId="77777777" w:rsidR="006E6F41" w:rsidRPr="006E6F41" w:rsidRDefault="006E6F41" w:rsidP="006E6F41">
      <w:pPr>
        <w:rPr>
          <w:iCs/>
        </w:rPr>
      </w:pPr>
    </w:p>
    <w:p w14:paraId="644871DC" w14:textId="77777777" w:rsidR="004B0BB2" w:rsidRPr="00F70392" w:rsidRDefault="004B0BB2" w:rsidP="00F70392">
      <w:pPr>
        <w:rPr>
          <w:iCs/>
        </w:rPr>
      </w:pPr>
      <w:r w:rsidRPr="00F70392">
        <w:rPr>
          <w:iCs/>
        </w:rPr>
        <w:t xml:space="preserve">Godfrey, D. &amp; Brown, C. (2018). How effective is the research and development ecosystem for England's schools? </w:t>
      </w:r>
      <w:r w:rsidRPr="00F70392">
        <w:rPr>
          <w:i/>
          <w:iCs/>
        </w:rPr>
        <w:t>London Review of Education,</w:t>
      </w:r>
      <w:r w:rsidRPr="00F70392">
        <w:rPr>
          <w:iCs/>
        </w:rPr>
        <w:t xml:space="preserve"> 16(1), 136-151. </w:t>
      </w:r>
      <w:hyperlink r:id="rId17" w:history="1">
        <w:r w:rsidRPr="00F70392">
          <w:rPr>
            <w:rStyle w:val="Hyperlink"/>
            <w:iCs/>
          </w:rPr>
          <w:t>https://doi.org/10.18546/LRE.16.1.12</w:t>
        </w:r>
      </w:hyperlink>
      <w:r w:rsidRPr="00F70392">
        <w:rPr>
          <w:iCs/>
        </w:rPr>
        <w:t xml:space="preserve"> </w:t>
      </w:r>
    </w:p>
    <w:p w14:paraId="4A44E1C2" w14:textId="77777777" w:rsidR="004B0BB2" w:rsidRDefault="004B0BB2" w:rsidP="004B0BB2">
      <w:pPr>
        <w:pStyle w:val="ListParagraph"/>
        <w:rPr>
          <w:iCs/>
        </w:rPr>
      </w:pPr>
    </w:p>
    <w:p w14:paraId="4F95AB57" w14:textId="77777777" w:rsidR="004B0BB2" w:rsidRPr="00F70392" w:rsidRDefault="004B0BB2" w:rsidP="00F70392">
      <w:pPr>
        <w:rPr>
          <w:iCs/>
        </w:rPr>
      </w:pPr>
      <w:r w:rsidRPr="00F70392">
        <w:rPr>
          <w:iCs/>
        </w:rPr>
        <w:t>Goodyear, V. A., Parker, M., &amp; Casey, A. (2019). Social media and teacher professional learning communities. </w:t>
      </w:r>
      <w:r w:rsidRPr="00F70392">
        <w:rPr>
          <w:i/>
          <w:iCs/>
        </w:rPr>
        <w:t>Physical Education and Sport Pedagogy</w:t>
      </w:r>
      <w:r w:rsidRPr="00F70392">
        <w:rPr>
          <w:iCs/>
        </w:rPr>
        <w:t>, </w:t>
      </w:r>
      <w:r w:rsidRPr="00F70392">
        <w:rPr>
          <w:i/>
          <w:iCs/>
        </w:rPr>
        <w:t>24</w:t>
      </w:r>
      <w:r w:rsidRPr="00F70392">
        <w:rPr>
          <w:iCs/>
        </w:rPr>
        <w:t xml:space="preserve">(5), 421–433. </w:t>
      </w:r>
      <w:hyperlink r:id="rId18" w:history="1">
        <w:r w:rsidRPr="00F70392">
          <w:rPr>
            <w:rStyle w:val="Hyperlink"/>
            <w:iCs/>
          </w:rPr>
          <w:t>https://doi.org/10.1080/17408989.2019.1617263</w:t>
        </w:r>
      </w:hyperlink>
    </w:p>
    <w:p w14:paraId="3BDAF69B" w14:textId="77777777" w:rsidR="004B0BB2" w:rsidRDefault="004B0BB2" w:rsidP="004B0BB2">
      <w:pPr>
        <w:pStyle w:val="ListParagraph"/>
        <w:rPr>
          <w:iCs/>
        </w:rPr>
      </w:pPr>
    </w:p>
    <w:p w14:paraId="5A337585" w14:textId="77777777" w:rsidR="004B0BB2" w:rsidRPr="00F70392" w:rsidRDefault="004B0BB2" w:rsidP="00F70392">
      <w:pPr>
        <w:rPr>
          <w:iCs/>
        </w:rPr>
      </w:pPr>
      <w:r w:rsidRPr="00F70392">
        <w:rPr>
          <w:iCs/>
        </w:rPr>
        <w:t xml:space="preserve">Goswami, D. &amp; Stillman, P. (1987). </w:t>
      </w:r>
      <w:r w:rsidRPr="00F70392">
        <w:rPr>
          <w:i/>
        </w:rPr>
        <w:t>Reclaiming the Classroom: teacher research as an agency for change</w:t>
      </w:r>
      <w:r w:rsidRPr="00F70392">
        <w:rPr>
          <w:iCs/>
        </w:rPr>
        <w:t>. Heinemann.</w:t>
      </w:r>
    </w:p>
    <w:p w14:paraId="033047A9" w14:textId="77777777" w:rsidR="004B0BB2" w:rsidRDefault="004B0BB2" w:rsidP="004B0BB2">
      <w:pPr>
        <w:pStyle w:val="ListParagraph"/>
        <w:rPr>
          <w:iCs/>
        </w:rPr>
      </w:pPr>
    </w:p>
    <w:p w14:paraId="6E39D7CA" w14:textId="77777777" w:rsidR="004B0BB2" w:rsidRPr="00F70392" w:rsidRDefault="004B0BB2" w:rsidP="00F70392">
      <w:pPr>
        <w:rPr>
          <w:iCs/>
        </w:rPr>
      </w:pPr>
      <w:r w:rsidRPr="00F70392">
        <w:rPr>
          <w:iCs/>
        </w:rPr>
        <w:t xml:space="preserve">Hordern, J. (2016). Regions and their relations: sustaining authoritative professional knowledge. </w:t>
      </w:r>
      <w:r w:rsidRPr="00F70392">
        <w:rPr>
          <w:i/>
          <w:iCs/>
        </w:rPr>
        <w:t>Journal of Education and Work,</w:t>
      </w:r>
      <w:r w:rsidRPr="00F70392">
        <w:rPr>
          <w:iCs/>
        </w:rPr>
        <w:t xml:space="preserve"> 29(4), 427-449. </w:t>
      </w:r>
      <w:hyperlink r:id="rId19" w:history="1">
        <w:r w:rsidRPr="00F70392">
          <w:rPr>
            <w:rStyle w:val="Hyperlink"/>
            <w:iCs/>
          </w:rPr>
          <w:t>https://doi:10.1080/13639080.2014.958653</w:t>
        </w:r>
      </w:hyperlink>
      <w:r w:rsidRPr="00F70392">
        <w:rPr>
          <w:iCs/>
        </w:rPr>
        <w:t xml:space="preserve">   </w:t>
      </w:r>
    </w:p>
    <w:p w14:paraId="3C183F78" w14:textId="77777777" w:rsidR="004B0BB2" w:rsidRDefault="004B0BB2" w:rsidP="004B0BB2">
      <w:pPr>
        <w:pStyle w:val="ListParagraph"/>
        <w:rPr>
          <w:iCs/>
        </w:rPr>
      </w:pPr>
    </w:p>
    <w:p w14:paraId="0947BC55" w14:textId="77777777" w:rsidR="004B0BB2" w:rsidRDefault="004B0BB2" w:rsidP="00F70392">
      <w:r>
        <w:t>Marsden, R.</w:t>
      </w:r>
      <w:r w:rsidRPr="00F70392">
        <w:rPr>
          <w:rFonts w:ascii="Arial" w:hAnsi="Arial" w:cs="Arial"/>
        </w:rPr>
        <w:t> </w:t>
      </w:r>
      <w:r>
        <w:t>(2020).</w:t>
      </w:r>
      <w:r w:rsidRPr="00F70392">
        <w:rPr>
          <w:rFonts w:ascii="Arial" w:hAnsi="Arial" w:cs="Arial"/>
        </w:rPr>
        <w:t> </w:t>
      </w:r>
      <w:r w:rsidRPr="00F70392">
        <w:rPr>
          <w:i/>
          <w:iCs/>
        </w:rPr>
        <w:t>Understanding research engagement in England’s evidence-informed teaching profession: a ‘3D’ view.</w:t>
      </w:r>
      <w:r w:rsidRPr="00F70392">
        <w:rPr>
          <w:rFonts w:ascii="Arial" w:hAnsi="Arial" w:cs="Arial"/>
        </w:rPr>
        <w:t> </w:t>
      </w:r>
      <w:r>
        <w:t xml:space="preserve">[Doctoral thesis, Liverpool John Moores University]. LJMU Research Online Repository. </w:t>
      </w:r>
      <w:hyperlink r:id="rId20" w:history="1">
        <w:r>
          <w:rPr>
            <w:rStyle w:val="Hyperlink"/>
          </w:rPr>
          <w:t>http://researchonline.ljmu.ac.uk/id/eprint/13836/</w:t>
        </w:r>
      </w:hyperlink>
      <w:r>
        <w:t> </w:t>
      </w:r>
    </w:p>
    <w:p w14:paraId="2010C546" w14:textId="77777777" w:rsidR="004B0BB2" w:rsidRDefault="004B0BB2" w:rsidP="004B0BB2">
      <w:pPr>
        <w:pStyle w:val="ListParagraph"/>
      </w:pPr>
    </w:p>
    <w:p w14:paraId="3E6CD157" w14:textId="77777777" w:rsidR="004B0BB2" w:rsidRDefault="004B0BB2" w:rsidP="00F70392">
      <w:r>
        <w:t xml:space="preserve">Maxwell, B., Greany, T., Aspinwall, K., Handscomb, G., Seleznyov, S. &amp; Simkins, T. (2015). </w:t>
      </w:r>
      <w:r w:rsidRPr="00F70392">
        <w:rPr>
          <w:i/>
        </w:rPr>
        <w:t>Approaches to Research &amp; Development for ‘great pedagogy’ and ‘great CPD’ in teaching school alliances</w:t>
      </w:r>
      <w:r>
        <w:t xml:space="preserve">, National College for Teaching and Leadership. </w:t>
      </w:r>
      <w:hyperlink r:id="rId21" w:history="1">
        <w:r>
          <w:rPr>
            <w:rStyle w:val="Hyperlink"/>
          </w:rPr>
          <w:t>https://assets.publishing.service.gov.uk/media/5a7f4da940f0b6230268eaea/Approaches_to_research_and_development_for_great_pedagogy_and_CPD_in_TSAs.pdf</w:t>
        </w:r>
      </w:hyperlink>
      <w:r>
        <w:t xml:space="preserve"> </w:t>
      </w:r>
    </w:p>
    <w:p w14:paraId="6FA7D84F" w14:textId="77777777" w:rsidR="004B0BB2" w:rsidRDefault="004B0BB2" w:rsidP="004B0BB2">
      <w:pPr>
        <w:pStyle w:val="ListParagraph"/>
      </w:pPr>
    </w:p>
    <w:p w14:paraId="15224982" w14:textId="77777777" w:rsidR="004B0BB2" w:rsidRDefault="004B0BB2" w:rsidP="00F70392">
      <w:r>
        <w:t xml:space="preserve">Research Schools Network. (n.d.). </w:t>
      </w:r>
      <w:r w:rsidRPr="00F70392">
        <w:rPr>
          <w:i/>
          <w:iCs/>
        </w:rPr>
        <w:t>Our aims</w:t>
      </w:r>
      <w:r>
        <w:t xml:space="preserve">. </w:t>
      </w:r>
      <w:hyperlink r:id="rId22" w:history="1">
        <w:r>
          <w:rPr>
            <w:rStyle w:val="Hyperlink"/>
          </w:rPr>
          <w:t>https://researchschool.org.uk/about/our-aims</w:t>
        </w:r>
      </w:hyperlink>
      <w:r>
        <w:t xml:space="preserve"> </w:t>
      </w:r>
    </w:p>
    <w:p w14:paraId="5F6ACEF9" w14:textId="77777777" w:rsidR="004B0BB2" w:rsidRDefault="004B0BB2" w:rsidP="004B0BB2">
      <w:pPr>
        <w:pStyle w:val="ListParagraph"/>
      </w:pPr>
    </w:p>
    <w:p w14:paraId="1F9322FD" w14:textId="77777777" w:rsidR="004B0BB2" w:rsidRDefault="004B0BB2" w:rsidP="00F70392">
      <w:r>
        <w:t xml:space="preserve">Royal Society &amp; British Academy. (2018). </w:t>
      </w:r>
      <w:r w:rsidRPr="00F70392">
        <w:rPr>
          <w:i/>
          <w:iCs/>
        </w:rPr>
        <w:t>Harnessing educational research</w:t>
      </w:r>
      <w:r>
        <w:t xml:space="preserve">. </w:t>
      </w:r>
      <w:hyperlink r:id="rId23" w:history="1">
        <w:r>
          <w:rPr>
            <w:rStyle w:val="Hyperlink"/>
          </w:rPr>
          <w:t>https://royalsociety.org/-/media/policy/projects/rs-ba-educational-research/educational-research-report.pdf</w:t>
        </w:r>
      </w:hyperlink>
      <w:r>
        <w:t xml:space="preserve"> </w:t>
      </w:r>
    </w:p>
    <w:p w14:paraId="6AB21967" w14:textId="77777777" w:rsidR="004B0BB2" w:rsidRDefault="004B0BB2" w:rsidP="004B0BB2">
      <w:pPr>
        <w:pStyle w:val="ListParagraph"/>
      </w:pPr>
    </w:p>
    <w:p w14:paraId="4D8567EC" w14:textId="77777777" w:rsidR="004B0BB2" w:rsidRDefault="004B0BB2" w:rsidP="00F70392">
      <w:r>
        <w:t xml:space="preserve">Thomas, L. (2017). The Masters in Teaching and Learning: Lessons to be learnt and key stakeholder perceptions. </w:t>
      </w:r>
      <w:r w:rsidRPr="00F70392">
        <w:rPr>
          <w:i/>
          <w:iCs/>
        </w:rPr>
        <w:t>Teacher Education Advancement Network Journal,</w:t>
      </w:r>
      <w:r>
        <w:t xml:space="preserve"> 9(1), 45-55. </w:t>
      </w:r>
    </w:p>
    <w:p w14:paraId="31775F72" w14:textId="77777777" w:rsidR="006710BD" w:rsidRDefault="006710BD" w:rsidP="00F70392"/>
    <w:p w14:paraId="3DC9DC98" w14:textId="47C44B64" w:rsidR="00B3123A" w:rsidRDefault="004F6CFC" w:rsidP="00F70392">
      <w:r w:rsidRPr="004F6CFC">
        <w:rPr>
          <w:lang w:val="en-US"/>
        </w:rPr>
        <w:t>Wall, K. and Hall, E. (2017)</w:t>
      </w:r>
      <w:r>
        <w:rPr>
          <w:lang w:val="en-US"/>
        </w:rPr>
        <w:t>.</w:t>
      </w:r>
      <w:r w:rsidRPr="004F6CFC">
        <w:rPr>
          <w:lang w:val="en-US"/>
        </w:rPr>
        <w:t xml:space="preserve"> The teacher in teacher-practitioner research: Three principles in inquiry. In Boyd, P. and Splitz, A. (eds.) </w:t>
      </w:r>
      <w:r w:rsidRPr="004F6CFC">
        <w:rPr>
          <w:i/>
          <w:lang w:val="en-US"/>
        </w:rPr>
        <w:t>Teachers and Teacher Educators Learning Through Inquiry: International Perspective</w:t>
      </w:r>
      <w:r w:rsidRPr="004F6CFC">
        <w:rPr>
          <w:lang w:val="en-US"/>
        </w:rPr>
        <w:t>.</w:t>
      </w:r>
      <w:r>
        <w:rPr>
          <w:lang w:val="en-US"/>
        </w:rPr>
        <w:t xml:space="preserve"> </w:t>
      </w:r>
      <w:hyperlink r:id="rId24" w:history="1">
        <w:r w:rsidRPr="00201534">
          <w:rPr>
            <w:rStyle w:val="Hyperlink"/>
            <w:lang w:val="en-US"/>
          </w:rPr>
          <w:t>https://www.academia.edu/33923746/Teachers_and_Teacher_Educators_Learning_Through_Inquiry_International_Perspectives</w:t>
        </w:r>
      </w:hyperlink>
    </w:p>
    <w:p w14:paraId="50469AB9" w14:textId="77777777" w:rsidR="004F6CFC" w:rsidRDefault="004F6CFC" w:rsidP="00F70392"/>
    <w:p w14:paraId="11F0AAF8" w14:textId="21044646" w:rsidR="004B0BB2" w:rsidRDefault="006E7B32" w:rsidP="006E7B32">
      <w:r w:rsidRPr="006E7B32">
        <w:t>Winch, C., Oancea, A. and Orchard, J. (2013)</w:t>
      </w:r>
      <w:r w:rsidR="006710BD">
        <w:t>.</w:t>
      </w:r>
      <w:r w:rsidRPr="006E7B32">
        <w:t xml:space="preserve"> </w:t>
      </w:r>
      <w:r w:rsidRPr="006710BD">
        <w:rPr>
          <w:i/>
          <w:iCs/>
        </w:rPr>
        <w:t>The contribution of educational research to teachers’ professional learning – philosophical understandings</w:t>
      </w:r>
      <w:r w:rsidRPr="006E7B32">
        <w:t xml:space="preserve">. </w:t>
      </w:r>
      <w:hyperlink r:id="rId25" w:tgtFrame="_blank" w:history="1">
        <w:r w:rsidRPr="006E7B32">
          <w:rPr>
            <w:rStyle w:val="Hyperlink"/>
          </w:rPr>
          <w:t>https://www.bera.ac.uk/wp-content/uploads/2014/02/BERA-Paper-3-Philosophical-reflections.pdf?noredirect=1</w:t>
        </w:r>
      </w:hyperlink>
    </w:p>
    <w:p w14:paraId="0552E991" w14:textId="77777777" w:rsidR="00312226" w:rsidRDefault="00312226">
      <w:pPr>
        <w:pBdr>
          <w:top w:val="nil"/>
          <w:left w:val="nil"/>
          <w:bottom w:val="nil"/>
          <w:right w:val="nil"/>
          <w:between w:val="nil"/>
        </w:pBdr>
        <w:spacing w:after="0"/>
        <w:rPr>
          <w:b/>
          <w:color w:val="000000"/>
        </w:rPr>
      </w:pPr>
    </w:p>
    <w:p w14:paraId="0552E99C" w14:textId="0602CEBC" w:rsidR="00312226" w:rsidRDefault="00312226">
      <w:pPr>
        <w:pBdr>
          <w:top w:val="nil"/>
          <w:left w:val="nil"/>
          <w:bottom w:val="nil"/>
          <w:right w:val="nil"/>
          <w:between w:val="nil"/>
        </w:pBdr>
        <w:rPr>
          <w:i/>
          <w:color w:val="808080"/>
        </w:rPr>
      </w:pPr>
    </w:p>
    <w:sectPr w:rsidR="00312226">
      <w:headerReference w:type="default" r:id="rId26"/>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147AB" w14:textId="77777777" w:rsidR="00E74845" w:rsidRDefault="00E74845">
      <w:pPr>
        <w:spacing w:after="0" w:line="240" w:lineRule="auto"/>
      </w:pPr>
      <w:r>
        <w:separator/>
      </w:r>
    </w:p>
  </w:endnote>
  <w:endnote w:type="continuationSeparator" w:id="0">
    <w:p w14:paraId="4B15EDD8" w14:textId="77777777" w:rsidR="00E74845" w:rsidRDefault="00E74845">
      <w:pPr>
        <w:spacing w:after="0" w:line="240" w:lineRule="auto"/>
      </w:pPr>
      <w:r>
        <w:continuationSeparator/>
      </w:r>
    </w:p>
  </w:endnote>
  <w:endnote w:type="continuationNotice" w:id="1">
    <w:p w14:paraId="2B28284B" w14:textId="77777777" w:rsidR="00E74845" w:rsidRDefault="00E7484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FACC174D-D5D1-4B43-8023-01108832488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44A1402-DE0B-4886-B038-D8824C12E393}"/>
    <w:embedBold r:id="rId3" w:fontKey="{78D5206D-CA0D-441C-AEED-107B20EEC09D}"/>
    <w:embedItalic r:id="rId4" w:fontKey="{22CE9B50-E094-43AA-AE20-6E03001F5C50}"/>
    <w:embedBoldItalic r:id="rId5" w:fontKey="{58468D82-443B-446A-B4B2-79772EC9F79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FDF3840-E92F-4D9C-A8FE-640579ECA362}"/>
    <w:embedItalic r:id="rId7" w:fontKey="{5A58A6DC-A011-4EA8-8007-A549CE23565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A898232C-D1C3-4159-8138-06BABB0C16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47AC6" w14:textId="77777777" w:rsidR="00E74845" w:rsidRDefault="00E74845">
      <w:pPr>
        <w:spacing w:after="0" w:line="240" w:lineRule="auto"/>
      </w:pPr>
      <w:r>
        <w:separator/>
      </w:r>
    </w:p>
  </w:footnote>
  <w:footnote w:type="continuationSeparator" w:id="0">
    <w:p w14:paraId="70963C61" w14:textId="77777777" w:rsidR="00E74845" w:rsidRDefault="00E74845">
      <w:pPr>
        <w:spacing w:after="0" w:line="240" w:lineRule="auto"/>
      </w:pPr>
      <w:r>
        <w:continuationSeparator/>
      </w:r>
    </w:p>
  </w:footnote>
  <w:footnote w:type="continuationNotice" w:id="1">
    <w:p w14:paraId="1DC42CAA" w14:textId="77777777" w:rsidR="00E74845" w:rsidRDefault="00E7484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E9A1" w14:textId="1C6E9C02" w:rsidR="00312226" w:rsidRDefault="00A551ED">
    <w:pPr>
      <w:pBdr>
        <w:top w:val="nil"/>
        <w:left w:val="nil"/>
        <w:bottom w:val="nil"/>
        <w:right w:val="nil"/>
        <w:between w:val="nil"/>
      </w:pBdr>
      <w:tabs>
        <w:tab w:val="center" w:pos="4513"/>
        <w:tab w:val="right" w:pos="9026"/>
      </w:tabs>
      <w:spacing w:after="0" w:line="240" w:lineRule="auto"/>
      <w:rPr>
        <w:color w:val="000000"/>
      </w:rPr>
    </w:pPr>
    <w:r>
      <w:rPr>
        <w:color w:val="000000"/>
      </w:rPr>
      <w:t>RUNNING HEADER: [</w:t>
    </w:r>
    <w:r w:rsidR="00603E9B" w:rsidRPr="00603E9B">
      <w:rPr>
        <w:color w:val="000000"/>
      </w:rPr>
      <w:t>Identity, Power and Positionality</w:t>
    </w:r>
    <w:r>
      <w:rPr>
        <w:color w:val="000000"/>
      </w:rPr>
      <w:t>]</w:t>
    </w:r>
  </w:p>
  <w:p w14:paraId="0552E9A2" w14:textId="77777777" w:rsidR="00312226" w:rsidRDefault="0031222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AA7"/>
    <w:multiLevelType w:val="hybridMultilevel"/>
    <w:tmpl w:val="8126EC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731B2EF7"/>
    <w:multiLevelType w:val="multilevel"/>
    <w:tmpl w:val="06F8D8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8DC5E56"/>
    <w:multiLevelType w:val="multilevel"/>
    <w:tmpl w:val="9EEA24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44970391">
    <w:abstractNumId w:val="2"/>
  </w:num>
  <w:num w:numId="2" w16cid:durableId="1040932360">
    <w:abstractNumId w:val="1"/>
  </w:num>
  <w:num w:numId="3" w16cid:durableId="1585337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26"/>
    <w:rsid w:val="00007B22"/>
    <w:rsid w:val="00011286"/>
    <w:rsid w:val="000114E4"/>
    <w:rsid w:val="00022A11"/>
    <w:rsid w:val="00024B3B"/>
    <w:rsid w:val="00030181"/>
    <w:rsid w:val="000328EE"/>
    <w:rsid w:val="000413CC"/>
    <w:rsid w:val="00063366"/>
    <w:rsid w:val="0006371F"/>
    <w:rsid w:val="00071E23"/>
    <w:rsid w:val="000724EC"/>
    <w:rsid w:val="00080ECC"/>
    <w:rsid w:val="0009479D"/>
    <w:rsid w:val="00096E2D"/>
    <w:rsid w:val="000B1548"/>
    <w:rsid w:val="000B2125"/>
    <w:rsid w:val="000B5A9E"/>
    <w:rsid w:val="000C5CCF"/>
    <w:rsid w:val="000E342F"/>
    <w:rsid w:val="000F173E"/>
    <w:rsid w:val="00104387"/>
    <w:rsid w:val="00104D1F"/>
    <w:rsid w:val="001208E8"/>
    <w:rsid w:val="001216E9"/>
    <w:rsid w:val="00136FA5"/>
    <w:rsid w:val="00141202"/>
    <w:rsid w:val="0014202C"/>
    <w:rsid w:val="00151AAB"/>
    <w:rsid w:val="00152BDF"/>
    <w:rsid w:val="001625AE"/>
    <w:rsid w:val="001912D2"/>
    <w:rsid w:val="001917DA"/>
    <w:rsid w:val="0019330B"/>
    <w:rsid w:val="00196F5C"/>
    <w:rsid w:val="001A6942"/>
    <w:rsid w:val="001B01EC"/>
    <w:rsid w:val="001B149B"/>
    <w:rsid w:val="001B2219"/>
    <w:rsid w:val="001B5B6D"/>
    <w:rsid w:val="001D302C"/>
    <w:rsid w:val="001D383C"/>
    <w:rsid w:val="001D4E10"/>
    <w:rsid w:val="001D6E0E"/>
    <w:rsid w:val="001E74D6"/>
    <w:rsid w:val="001F2219"/>
    <w:rsid w:val="001F76C9"/>
    <w:rsid w:val="002009F8"/>
    <w:rsid w:val="002225A6"/>
    <w:rsid w:val="00223F8B"/>
    <w:rsid w:val="0022683E"/>
    <w:rsid w:val="00231D9E"/>
    <w:rsid w:val="00236A17"/>
    <w:rsid w:val="00236C0B"/>
    <w:rsid w:val="0023759B"/>
    <w:rsid w:val="00242D08"/>
    <w:rsid w:val="00245B69"/>
    <w:rsid w:val="0027291A"/>
    <w:rsid w:val="002830B0"/>
    <w:rsid w:val="00286130"/>
    <w:rsid w:val="00293AAF"/>
    <w:rsid w:val="0029797B"/>
    <w:rsid w:val="00297EFB"/>
    <w:rsid w:val="002A2B95"/>
    <w:rsid w:val="002E6096"/>
    <w:rsid w:val="00312226"/>
    <w:rsid w:val="003156C1"/>
    <w:rsid w:val="00322284"/>
    <w:rsid w:val="00331EF0"/>
    <w:rsid w:val="003510BB"/>
    <w:rsid w:val="00354A61"/>
    <w:rsid w:val="00362B02"/>
    <w:rsid w:val="00363D52"/>
    <w:rsid w:val="0037019A"/>
    <w:rsid w:val="003814F2"/>
    <w:rsid w:val="00390413"/>
    <w:rsid w:val="003B0066"/>
    <w:rsid w:val="003C2697"/>
    <w:rsid w:val="003C465F"/>
    <w:rsid w:val="003C6596"/>
    <w:rsid w:val="003D0487"/>
    <w:rsid w:val="003D7694"/>
    <w:rsid w:val="003D7CAA"/>
    <w:rsid w:val="003E03AA"/>
    <w:rsid w:val="003E58FD"/>
    <w:rsid w:val="003F5AC7"/>
    <w:rsid w:val="00402D0C"/>
    <w:rsid w:val="004153DE"/>
    <w:rsid w:val="00456AEE"/>
    <w:rsid w:val="00457EE1"/>
    <w:rsid w:val="0046094D"/>
    <w:rsid w:val="004722EE"/>
    <w:rsid w:val="00476EC7"/>
    <w:rsid w:val="004878B6"/>
    <w:rsid w:val="004924B6"/>
    <w:rsid w:val="004A4D1A"/>
    <w:rsid w:val="004B0BB2"/>
    <w:rsid w:val="004B60B3"/>
    <w:rsid w:val="004B701D"/>
    <w:rsid w:val="004C118C"/>
    <w:rsid w:val="004C5DEB"/>
    <w:rsid w:val="004D00EE"/>
    <w:rsid w:val="004D5FBF"/>
    <w:rsid w:val="004E4780"/>
    <w:rsid w:val="004F6CFC"/>
    <w:rsid w:val="00500EE4"/>
    <w:rsid w:val="005030EA"/>
    <w:rsid w:val="005076F3"/>
    <w:rsid w:val="00510B4D"/>
    <w:rsid w:val="00513BD1"/>
    <w:rsid w:val="0051669B"/>
    <w:rsid w:val="00520B58"/>
    <w:rsid w:val="00522660"/>
    <w:rsid w:val="00531EEE"/>
    <w:rsid w:val="00533257"/>
    <w:rsid w:val="005372E1"/>
    <w:rsid w:val="00551F3A"/>
    <w:rsid w:val="005663E9"/>
    <w:rsid w:val="00570A1E"/>
    <w:rsid w:val="00572FED"/>
    <w:rsid w:val="00594AEE"/>
    <w:rsid w:val="005A07F0"/>
    <w:rsid w:val="005B4EE6"/>
    <w:rsid w:val="005B5B26"/>
    <w:rsid w:val="005C0F8F"/>
    <w:rsid w:val="005C273E"/>
    <w:rsid w:val="005C410B"/>
    <w:rsid w:val="005D0793"/>
    <w:rsid w:val="005D2A34"/>
    <w:rsid w:val="005D2B5D"/>
    <w:rsid w:val="005E14AD"/>
    <w:rsid w:val="005E38B7"/>
    <w:rsid w:val="00603E9B"/>
    <w:rsid w:val="0062659B"/>
    <w:rsid w:val="00651998"/>
    <w:rsid w:val="00653168"/>
    <w:rsid w:val="0066166B"/>
    <w:rsid w:val="0066548D"/>
    <w:rsid w:val="006710BD"/>
    <w:rsid w:val="0067150E"/>
    <w:rsid w:val="006737A7"/>
    <w:rsid w:val="00674536"/>
    <w:rsid w:val="006758CA"/>
    <w:rsid w:val="00677E3D"/>
    <w:rsid w:val="006A7BF8"/>
    <w:rsid w:val="006C22F1"/>
    <w:rsid w:val="006C5717"/>
    <w:rsid w:val="006C6B88"/>
    <w:rsid w:val="006D58D4"/>
    <w:rsid w:val="006E3761"/>
    <w:rsid w:val="006E3B33"/>
    <w:rsid w:val="006E6F41"/>
    <w:rsid w:val="006E7B32"/>
    <w:rsid w:val="006F5720"/>
    <w:rsid w:val="00700A5B"/>
    <w:rsid w:val="007118E8"/>
    <w:rsid w:val="00746CEA"/>
    <w:rsid w:val="007478A6"/>
    <w:rsid w:val="00771C34"/>
    <w:rsid w:val="007738BD"/>
    <w:rsid w:val="007A0C43"/>
    <w:rsid w:val="007A3023"/>
    <w:rsid w:val="007A6C7D"/>
    <w:rsid w:val="007B3A8C"/>
    <w:rsid w:val="007D2061"/>
    <w:rsid w:val="007E18A9"/>
    <w:rsid w:val="007E7F68"/>
    <w:rsid w:val="00811616"/>
    <w:rsid w:val="008256A3"/>
    <w:rsid w:val="00835F08"/>
    <w:rsid w:val="00842F7F"/>
    <w:rsid w:val="0085745A"/>
    <w:rsid w:val="00864F4A"/>
    <w:rsid w:val="00867500"/>
    <w:rsid w:val="00872274"/>
    <w:rsid w:val="008A2CF2"/>
    <w:rsid w:val="008A409E"/>
    <w:rsid w:val="008C1DEC"/>
    <w:rsid w:val="008D3563"/>
    <w:rsid w:val="008E00E3"/>
    <w:rsid w:val="008E3B33"/>
    <w:rsid w:val="008F080D"/>
    <w:rsid w:val="008F5250"/>
    <w:rsid w:val="00901B74"/>
    <w:rsid w:val="00904A3F"/>
    <w:rsid w:val="00907CF6"/>
    <w:rsid w:val="00911275"/>
    <w:rsid w:val="00926016"/>
    <w:rsid w:val="0093123F"/>
    <w:rsid w:val="00933BAB"/>
    <w:rsid w:val="0093438C"/>
    <w:rsid w:val="009353FC"/>
    <w:rsid w:val="009364C9"/>
    <w:rsid w:val="00951BF2"/>
    <w:rsid w:val="00953607"/>
    <w:rsid w:val="00955A69"/>
    <w:rsid w:val="00970A8E"/>
    <w:rsid w:val="00971F5C"/>
    <w:rsid w:val="00973761"/>
    <w:rsid w:val="00980C98"/>
    <w:rsid w:val="00982CBF"/>
    <w:rsid w:val="00983AD2"/>
    <w:rsid w:val="009844C9"/>
    <w:rsid w:val="00995BD9"/>
    <w:rsid w:val="009A2D7E"/>
    <w:rsid w:val="009B2A1A"/>
    <w:rsid w:val="009B798E"/>
    <w:rsid w:val="009B7DB0"/>
    <w:rsid w:val="009E0417"/>
    <w:rsid w:val="009E3AA0"/>
    <w:rsid w:val="009E5AA3"/>
    <w:rsid w:val="009F0813"/>
    <w:rsid w:val="009F6AA8"/>
    <w:rsid w:val="00A1150F"/>
    <w:rsid w:val="00A21D51"/>
    <w:rsid w:val="00A21EFA"/>
    <w:rsid w:val="00A43C22"/>
    <w:rsid w:val="00A551ED"/>
    <w:rsid w:val="00A57D2C"/>
    <w:rsid w:val="00A76B36"/>
    <w:rsid w:val="00A77F99"/>
    <w:rsid w:val="00A87802"/>
    <w:rsid w:val="00A911B0"/>
    <w:rsid w:val="00A93D62"/>
    <w:rsid w:val="00A97874"/>
    <w:rsid w:val="00AA605D"/>
    <w:rsid w:val="00AB7B51"/>
    <w:rsid w:val="00AC0D6F"/>
    <w:rsid w:val="00AE188F"/>
    <w:rsid w:val="00AF482B"/>
    <w:rsid w:val="00AF5C63"/>
    <w:rsid w:val="00AF7BFE"/>
    <w:rsid w:val="00B00974"/>
    <w:rsid w:val="00B10D76"/>
    <w:rsid w:val="00B17557"/>
    <w:rsid w:val="00B3123A"/>
    <w:rsid w:val="00B33CA0"/>
    <w:rsid w:val="00B355FA"/>
    <w:rsid w:val="00B45798"/>
    <w:rsid w:val="00B520F0"/>
    <w:rsid w:val="00B5385C"/>
    <w:rsid w:val="00B5787D"/>
    <w:rsid w:val="00B60E9D"/>
    <w:rsid w:val="00B6587E"/>
    <w:rsid w:val="00B72E1A"/>
    <w:rsid w:val="00B81397"/>
    <w:rsid w:val="00B8706C"/>
    <w:rsid w:val="00BB2816"/>
    <w:rsid w:val="00BB5213"/>
    <w:rsid w:val="00BB6DDA"/>
    <w:rsid w:val="00BC0A52"/>
    <w:rsid w:val="00BC1A51"/>
    <w:rsid w:val="00BC5375"/>
    <w:rsid w:val="00BC6F1B"/>
    <w:rsid w:val="00BD1123"/>
    <w:rsid w:val="00BD3C7E"/>
    <w:rsid w:val="00BD6C02"/>
    <w:rsid w:val="00C0649A"/>
    <w:rsid w:val="00C07EEA"/>
    <w:rsid w:val="00C15928"/>
    <w:rsid w:val="00C15EAC"/>
    <w:rsid w:val="00C22317"/>
    <w:rsid w:val="00C34492"/>
    <w:rsid w:val="00C37C1D"/>
    <w:rsid w:val="00C50F59"/>
    <w:rsid w:val="00C53D83"/>
    <w:rsid w:val="00C65CA9"/>
    <w:rsid w:val="00C81FEE"/>
    <w:rsid w:val="00C85D72"/>
    <w:rsid w:val="00C8650C"/>
    <w:rsid w:val="00C93297"/>
    <w:rsid w:val="00C933BC"/>
    <w:rsid w:val="00C9395F"/>
    <w:rsid w:val="00C94CA5"/>
    <w:rsid w:val="00C97335"/>
    <w:rsid w:val="00CA14F0"/>
    <w:rsid w:val="00CA3A62"/>
    <w:rsid w:val="00CA690C"/>
    <w:rsid w:val="00CC6CA8"/>
    <w:rsid w:val="00CC6E74"/>
    <w:rsid w:val="00CD1D19"/>
    <w:rsid w:val="00CE5F64"/>
    <w:rsid w:val="00D01B76"/>
    <w:rsid w:val="00D02C6F"/>
    <w:rsid w:val="00D1665F"/>
    <w:rsid w:val="00D17604"/>
    <w:rsid w:val="00D22A47"/>
    <w:rsid w:val="00D23258"/>
    <w:rsid w:val="00D421C6"/>
    <w:rsid w:val="00D454B1"/>
    <w:rsid w:val="00D47E66"/>
    <w:rsid w:val="00D574E5"/>
    <w:rsid w:val="00D60868"/>
    <w:rsid w:val="00D636DD"/>
    <w:rsid w:val="00D671DA"/>
    <w:rsid w:val="00D7038D"/>
    <w:rsid w:val="00D73A51"/>
    <w:rsid w:val="00D73B17"/>
    <w:rsid w:val="00D8000F"/>
    <w:rsid w:val="00D84E5B"/>
    <w:rsid w:val="00DA35BC"/>
    <w:rsid w:val="00DB4EE0"/>
    <w:rsid w:val="00DC1BC1"/>
    <w:rsid w:val="00DD2789"/>
    <w:rsid w:val="00DE54EB"/>
    <w:rsid w:val="00DE7CA9"/>
    <w:rsid w:val="00E152AB"/>
    <w:rsid w:val="00E16CA3"/>
    <w:rsid w:val="00E20494"/>
    <w:rsid w:val="00E24506"/>
    <w:rsid w:val="00E254A2"/>
    <w:rsid w:val="00E27C5B"/>
    <w:rsid w:val="00E47EA3"/>
    <w:rsid w:val="00E51632"/>
    <w:rsid w:val="00E53F18"/>
    <w:rsid w:val="00E569F4"/>
    <w:rsid w:val="00E66F9C"/>
    <w:rsid w:val="00E74845"/>
    <w:rsid w:val="00E77CDC"/>
    <w:rsid w:val="00E84C36"/>
    <w:rsid w:val="00E87EDE"/>
    <w:rsid w:val="00E96071"/>
    <w:rsid w:val="00EA1463"/>
    <w:rsid w:val="00EA4026"/>
    <w:rsid w:val="00EA4907"/>
    <w:rsid w:val="00EB240F"/>
    <w:rsid w:val="00EF4B62"/>
    <w:rsid w:val="00F00C89"/>
    <w:rsid w:val="00F02935"/>
    <w:rsid w:val="00F031C5"/>
    <w:rsid w:val="00F06B64"/>
    <w:rsid w:val="00F419CD"/>
    <w:rsid w:val="00F562E6"/>
    <w:rsid w:val="00F62757"/>
    <w:rsid w:val="00F70392"/>
    <w:rsid w:val="00F8180E"/>
    <w:rsid w:val="00F97766"/>
    <w:rsid w:val="00FA188C"/>
    <w:rsid w:val="00FA251D"/>
    <w:rsid w:val="00FA3457"/>
    <w:rsid w:val="00FB0234"/>
    <w:rsid w:val="00FB2C84"/>
    <w:rsid w:val="00FC72AB"/>
    <w:rsid w:val="00FD013E"/>
    <w:rsid w:val="00FD2E78"/>
    <w:rsid w:val="00FD6211"/>
    <w:rsid w:val="00FD7428"/>
    <w:rsid w:val="00FE6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2E95B"/>
  <w15:docId w15:val="{A036C0FE-0CAD-43D0-89A7-E2DE4DEAE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24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31A"/>
  </w:style>
  <w:style w:type="paragraph" w:styleId="Footer">
    <w:name w:val="footer"/>
    <w:basedOn w:val="Normal"/>
    <w:link w:val="FooterChar"/>
    <w:uiPriority w:val="99"/>
    <w:unhideWhenUsed/>
    <w:rsid w:val="00024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431A"/>
  </w:style>
  <w:style w:type="paragraph" w:styleId="ListParagraph">
    <w:name w:val="List Paragraph"/>
    <w:basedOn w:val="Normal"/>
    <w:uiPriority w:val="34"/>
    <w:qFormat/>
    <w:rsid w:val="0002431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D7038D"/>
    <w:pPr>
      <w:autoSpaceDE w:val="0"/>
      <w:autoSpaceDN w:val="0"/>
      <w:adjustRightInd w:val="0"/>
      <w:spacing w:after="0" w:line="240" w:lineRule="auto"/>
    </w:pPr>
    <w:rPr>
      <w:color w:val="000000"/>
      <w:sz w:val="24"/>
      <w:szCs w:val="24"/>
    </w:rPr>
  </w:style>
  <w:style w:type="character" w:styleId="Hyperlink">
    <w:name w:val="Hyperlink"/>
    <w:basedOn w:val="DefaultParagraphFont"/>
    <w:uiPriority w:val="99"/>
    <w:unhideWhenUsed/>
    <w:rsid w:val="00F97766"/>
    <w:rPr>
      <w:color w:val="0563C1" w:themeColor="hyperlink"/>
      <w:u w:val="single"/>
    </w:rPr>
  </w:style>
  <w:style w:type="character" w:styleId="UnresolvedMention">
    <w:name w:val="Unresolved Mention"/>
    <w:basedOn w:val="DefaultParagraphFont"/>
    <w:uiPriority w:val="99"/>
    <w:semiHidden/>
    <w:unhideWhenUsed/>
    <w:rsid w:val="00F97766"/>
    <w:rPr>
      <w:color w:val="605E5C"/>
      <w:shd w:val="clear" w:color="auto" w:fill="E1DFDD"/>
    </w:rPr>
  </w:style>
  <w:style w:type="character" w:styleId="SubtleEmphasis">
    <w:name w:val="Subtle Emphasis"/>
    <w:basedOn w:val="DefaultParagraphFont"/>
    <w:uiPriority w:val="19"/>
    <w:qFormat/>
    <w:rsid w:val="00063366"/>
    <w:rPr>
      <w:i/>
      <w:iCs/>
      <w:color w:val="404040" w:themeColor="text1" w:themeTint="BF"/>
    </w:rPr>
  </w:style>
  <w:style w:type="character" w:styleId="CommentReference">
    <w:name w:val="annotation reference"/>
    <w:basedOn w:val="DefaultParagraphFont"/>
    <w:uiPriority w:val="99"/>
    <w:semiHidden/>
    <w:unhideWhenUsed/>
    <w:rsid w:val="000B1548"/>
    <w:rPr>
      <w:sz w:val="16"/>
      <w:szCs w:val="16"/>
    </w:rPr>
  </w:style>
  <w:style w:type="paragraph" w:styleId="CommentText">
    <w:name w:val="annotation text"/>
    <w:basedOn w:val="Normal"/>
    <w:link w:val="CommentTextChar"/>
    <w:uiPriority w:val="99"/>
    <w:unhideWhenUsed/>
    <w:rsid w:val="000B1548"/>
    <w:pPr>
      <w:spacing w:line="240" w:lineRule="auto"/>
    </w:pPr>
    <w:rPr>
      <w:sz w:val="20"/>
      <w:szCs w:val="20"/>
    </w:rPr>
  </w:style>
  <w:style w:type="character" w:customStyle="1" w:styleId="CommentTextChar">
    <w:name w:val="Comment Text Char"/>
    <w:basedOn w:val="DefaultParagraphFont"/>
    <w:link w:val="CommentText"/>
    <w:uiPriority w:val="99"/>
    <w:rsid w:val="000B1548"/>
    <w:rPr>
      <w:sz w:val="20"/>
      <w:szCs w:val="20"/>
    </w:rPr>
  </w:style>
  <w:style w:type="paragraph" w:styleId="CommentSubject">
    <w:name w:val="annotation subject"/>
    <w:basedOn w:val="CommentText"/>
    <w:next w:val="CommentText"/>
    <w:link w:val="CommentSubjectChar"/>
    <w:uiPriority w:val="99"/>
    <w:semiHidden/>
    <w:unhideWhenUsed/>
    <w:rsid w:val="000B1548"/>
    <w:rPr>
      <w:b/>
      <w:bCs/>
    </w:rPr>
  </w:style>
  <w:style w:type="character" w:customStyle="1" w:styleId="CommentSubjectChar">
    <w:name w:val="Comment Subject Char"/>
    <w:basedOn w:val="CommentTextChar"/>
    <w:link w:val="CommentSubject"/>
    <w:uiPriority w:val="99"/>
    <w:semiHidden/>
    <w:rsid w:val="000B1548"/>
    <w:rPr>
      <w:b/>
      <w:bCs/>
      <w:sz w:val="20"/>
      <w:szCs w:val="20"/>
    </w:rPr>
  </w:style>
  <w:style w:type="paragraph" w:styleId="Revision">
    <w:name w:val="Revision"/>
    <w:hidden/>
    <w:uiPriority w:val="99"/>
    <w:semiHidden/>
    <w:rsid w:val="00AF7BFE"/>
    <w:pPr>
      <w:spacing w:after="0" w:line="240" w:lineRule="auto"/>
    </w:pPr>
  </w:style>
  <w:style w:type="character" w:styleId="FollowedHyperlink">
    <w:name w:val="FollowedHyperlink"/>
    <w:basedOn w:val="DefaultParagraphFont"/>
    <w:uiPriority w:val="99"/>
    <w:semiHidden/>
    <w:unhideWhenUsed/>
    <w:rsid w:val="00363D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516414">
      <w:bodyDiv w:val="1"/>
      <w:marLeft w:val="0"/>
      <w:marRight w:val="0"/>
      <w:marTop w:val="0"/>
      <w:marBottom w:val="0"/>
      <w:divBdr>
        <w:top w:val="none" w:sz="0" w:space="0" w:color="auto"/>
        <w:left w:val="none" w:sz="0" w:space="0" w:color="auto"/>
        <w:bottom w:val="none" w:sz="0" w:space="0" w:color="auto"/>
        <w:right w:val="none" w:sz="0" w:space="0" w:color="auto"/>
      </w:divBdr>
    </w:div>
    <w:div w:id="214511511">
      <w:bodyDiv w:val="1"/>
      <w:marLeft w:val="0"/>
      <w:marRight w:val="0"/>
      <w:marTop w:val="0"/>
      <w:marBottom w:val="0"/>
      <w:divBdr>
        <w:top w:val="none" w:sz="0" w:space="0" w:color="auto"/>
        <w:left w:val="none" w:sz="0" w:space="0" w:color="auto"/>
        <w:bottom w:val="none" w:sz="0" w:space="0" w:color="auto"/>
        <w:right w:val="none" w:sz="0" w:space="0" w:color="auto"/>
      </w:divBdr>
    </w:div>
    <w:div w:id="222831839">
      <w:bodyDiv w:val="1"/>
      <w:marLeft w:val="0"/>
      <w:marRight w:val="0"/>
      <w:marTop w:val="0"/>
      <w:marBottom w:val="0"/>
      <w:divBdr>
        <w:top w:val="none" w:sz="0" w:space="0" w:color="auto"/>
        <w:left w:val="none" w:sz="0" w:space="0" w:color="auto"/>
        <w:bottom w:val="none" w:sz="0" w:space="0" w:color="auto"/>
        <w:right w:val="none" w:sz="0" w:space="0" w:color="auto"/>
      </w:divBdr>
    </w:div>
    <w:div w:id="236988212">
      <w:bodyDiv w:val="1"/>
      <w:marLeft w:val="0"/>
      <w:marRight w:val="0"/>
      <w:marTop w:val="0"/>
      <w:marBottom w:val="0"/>
      <w:divBdr>
        <w:top w:val="none" w:sz="0" w:space="0" w:color="auto"/>
        <w:left w:val="none" w:sz="0" w:space="0" w:color="auto"/>
        <w:bottom w:val="none" w:sz="0" w:space="0" w:color="auto"/>
        <w:right w:val="none" w:sz="0" w:space="0" w:color="auto"/>
      </w:divBdr>
    </w:div>
    <w:div w:id="257058787">
      <w:bodyDiv w:val="1"/>
      <w:marLeft w:val="0"/>
      <w:marRight w:val="0"/>
      <w:marTop w:val="0"/>
      <w:marBottom w:val="0"/>
      <w:divBdr>
        <w:top w:val="none" w:sz="0" w:space="0" w:color="auto"/>
        <w:left w:val="none" w:sz="0" w:space="0" w:color="auto"/>
        <w:bottom w:val="none" w:sz="0" w:space="0" w:color="auto"/>
        <w:right w:val="none" w:sz="0" w:space="0" w:color="auto"/>
      </w:divBdr>
    </w:div>
    <w:div w:id="416942191">
      <w:bodyDiv w:val="1"/>
      <w:marLeft w:val="0"/>
      <w:marRight w:val="0"/>
      <w:marTop w:val="0"/>
      <w:marBottom w:val="0"/>
      <w:divBdr>
        <w:top w:val="none" w:sz="0" w:space="0" w:color="auto"/>
        <w:left w:val="none" w:sz="0" w:space="0" w:color="auto"/>
        <w:bottom w:val="none" w:sz="0" w:space="0" w:color="auto"/>
        <w:right w:val="none" w:sz="0" w:space="0" w:color="auto"/>
      </w:divBdr>
    </w:div>
    <w:div w:id="591552317">
      <w:bodyDiv w:val="1"/>
      <w:marLeft w:val="0"/>
      <w:marRight w:val="0"/>
      <w:marTop w:val="0"/>
      <w:marBottom w:val="0"/>
      <w:divBdr>
        <w:top w:val="none" w:sz="0" w:space="0" w:color="auto"/>
        <w:left w:val="none" w:sz="0" w:space="0" w:color="auto"/>
        <w:bottom w:val="none" w:sz="0" w:space="0" w:color="auto"/>
        <w:right w:val="none" w:sz="0" w:space="0" w:color="auto"/>
      </w:divBdr>
    </w:div>
    <w:div w:id="869686502">
      <w:bodyDiv w:val="1"/>
      <w:marLeft w:val="0"/>
      <w:marRight w:val="0"/>
      <w:marTop w:val="0"/>
      <w:marBottom w:val="0"/>
      <w:divBdr>
        <w:top w:val="none" w:sz="0" w:space="0" w:color="auto"/>
        <w:left w:val="none" w:sz="0" w:space="0" w:color="auto"/>
        <w:bottom w:val="none" w:sz="0" w:space="0" w:color="auto"/>
        <w:right w:val="none" w:sz="0" w:space="0" w:color="auto"/>
      </w:divBdr>
    </w:div>
    <w:div w:id="1130396142">
      <w:bodyDiv w:val="1"/>
      <w:marLeft w:val="0"/>
      <w:marRight w:val="0"/>
      <w:marTop w:val="0"/>
      <w:marBottom w:val="0"/>
      <w:divBdr>
        <w:top w:val="none" w:sz="0" w:space="0" w:color="auto"/>
        <w:left w:val="none" w:sz="0" w:space="0" w:color="auto"/>
        <w:bottom w:val="none" w:sz="0" w:space="0" w:color="auto"/>
        <w:right w:val="none" w:sz="0" w:space="0" w:color="auto"/>
      </w:divBdr>
    </w:div>
    <w:div w:id="1147623469">
      <w:bodyDiv w:val="1"/>
      <w:marLeft w:val="0"/>
      <w:marRight w:val="0"/>
      <w:marTop w:val="0"/>
      <w:marBottom w:val="0"/>
      <w:divBdr>
        <w:top w:val="none" w:sz="0" w:space="0" w:color="auto"/>
        <w:left w:val="none" w:sz="0" w:space="0" w:color="auto"/>
        <w:bottom w:val="none" w:sz="0" w:space="0" w:color="auto"/>
        <w:right w:val="none" w:sz="0" w:space="0" w:color="auto"/>
      </w:divBdr>
    </w:div>
    <w:div w:id="1393189011">
      <w:bodyDiv w:val="1"/>
      <w:marLeft w:val="0"/>
      <w:marRight w:val="0"/>
      <w:marTop w:val="0"/>
      <w:marBottom w:val="0"/>
      <w:divBdr>
        <w:top w:val="none" w:sz="0" w:space="0" w:color="auto"/>
        <w:left w:val="none" w:sz="0" w:space="0" w:color="auto"/>
        <w:bottom w:val="none" w:sz="0" w:space="0" w:color="auto"/>
        <w:right w:val="none" w:sz="0" w:space="0" w:color="auto"/>
      </w:divBdr>
    </w:div>
    <w:div w:id="1641612222">
      <w:bodyDiv w:val="1"/>
      <w:marLeft w:val="0"/>
      <w:marRight w:val="0"/>
      <w:marTop w:val="0"/>
      <w:marBottom w:val="0"/>
      <w:divBdr>
        <w:top w:val="none" w:sz="0" w:space="0" w:color="auto"/>
        <w:left w:val="none" w:sz="0" w:space="0" w:color="auto"/>
        <w:bottom w:val="none" w:sz="0" w:space="0" w:color="auto"/>
        <w:right w:val="none" w:sz="0" w:space="0" w:color="auto"/>
      </w:divBdr>
    </w:div>
    <w:div w:id="2004820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uploads/system/uploads/attachment_data/file/508447/Educational_Excellence_Everywhere.pdf" TargetMode="External"/><Relationship Id="rId18" Type="http://schemas.openxmlformats.org/officeDocument/2006/relationships/hyperlink" Target="https://doi.org/10.1080/17408989.2019.1617263"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ssets.publishing.service.gov.uk/media/5a7f4da940f0b6230268eaea/Approaches_to_research_and_development_for_great_pedagogy_and_CPD_in_TSAs.pdf" TargetMode="External"/><Relationship Id="rId7" Type="http://schemas.openxmlformats.org/officeDocument/2006/relationships/settings" Target="settings.xml"/><Relationship Id="rId12" Type="http://schemas.openxmlformats.org/officeDocument/2006/relationships/hyperlink" Target="https://www.gov.uk/government/publications/teachers-standards" TargetMode="External"/><Relationship Id="rId17" Type="http://schemas.openxmlformats.org/officeDocument/2006/relationships/hyperlink" Target="https://doi.org/10.18546/LRE.16.1.12" TargetMode="External"/><Relationship Id="rId25" Type="http://schemas.openxmlformats.org/officeDocument/2006/relationships/hyperlink" Target="https://www.bera.ac.uk/wp-content/uploads/2014/02/BERA-Paper-3-Philosophical-reflections.pdf?noredirect=1" TargetMode="External"/><Relationship Id="rId2" Type="http://schemas.openxmlformats.org/officeDocument/2006/relationships/customXml" Target="../customXml/item2.xml"/><Relationship Id="rId16" Type="http://schemas.openxmlformats.org/officeDocument/2006/relationships/hyperlink" Target="https://doi.org/10.1111/1467-9752.12272" TargetMode="External"/><Relationship Id="rId20" Type="http://schemas.openxmlformats.org/officeDocument/2006/relationships/hyperlink" Target="http://researchonline.ljmu.ac.uk/id/eprint/1383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ijer.2018.04.003" TargetMode="External"/><Relationship Id="rId24" Type="http://schemas.openxmlformats.org/officeDocument/2006/relationships/hyperlink" Target="https://www.academia.edu/33923746/Teachers_and_Teacher_Educators_Learning_Through_Inquiry_International_Perspectives" TargetMode="External"/><Relationship Id="rId5" Type="http://schemas.openxmlformats.org/officeDocument/2006/relationships/numbering" Target="numbering.xml"/><Relationship Id="rId15" Type="http://schemas.openxmlformats.org/officeDocument/2006/relationships/hyperlink" Target="https://doi.org/10.1177/0011392113479316" TargetMode="External"/><Relationship Id="rId23" Type="http://schemas.openxmlformats.org/officeDocument/2006/relationships/hyperlink" Target="https://royalsociety.org/-/media/policy/projects/rs-ba-educational-research/educational-research-report.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10.1080/13639080.2014.95865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tandard-for-teachers-professional-development" TargetMode="External"/><Relationship Id="rId22" Type="http://schemas.openxmlformats.org/officeDocument/2006/relationships/hyperlink" Target="https://researchschool.org.uk/about/our-aim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4661AC019946243A460F23FEDE774CF" ma:contentTypeVersion="18" ma:contentTypeDescription="Create a new document." ma:contentTypeScope="" ma:versionID="51bcac5fd63b5c27fef59ee2fdce98aa">
  <xsd:schema xmlns:xsd="http://www.w3.org/2001/XMLSchema" xmlns:xs="http://www.w3.org/2001/XMLSchema" xmlns:p="http://schemas.microsoft.com/office/2006/metadata/properties" xmlns:ns3="f31d29e2-725c-4c63-b8ec-04ab3bd54dec" xmlns:ns4="86a9cbef-d7d9-4d90-89ea-9a9ef905b9bf" targetNamespace="http://schemas.microsoft.com/office/2006/metadata/properties" ma:root="true" ma:fieldsID="2faa3517ee99907e6836182409dfa045" ns3:_="" ns4:_="">
    <xsd:import namespace="f31d29e2-725c-4c63-b8ec-04ab3bd54dec"/>
    <xsd:import namespace="86a9cbef-d7d9-4d90-89ea-9a9ef905b9b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1d29e2-725c-4c63-b8ec-04ab3bd54d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9cbef-d7d9-4d90-89ea-9a9ef905b9b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OAVNZ6cheLyhJFXbvWoU5+4QQ==">CgMxLjA4AHIhMVdPcHpRd192Z21BOHNPdmhPNzNMenRWNjNNbVFud1k4</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_activity xmlns="f31d29e2-725c-4c63-b8ec-04ab3bd54dec" xsi:nil="true"/>
  </documentManagement>
</p:properties>
</file>

<file path=customXml/itemProps1.xml><?xml version="1.0" encoding="utf-8"?>
<ds:datastoreItem xmlns:ds="http://schemas.openxmlformats.org/officeDocument/2006/customXml" ds:itemID="{D4465303-5A38-46B2-BBCD-03E3A1CF01E4}">
  <ds:schemaRefs>
    <ds:schemaRef ds:uri="http://schemas.microsoft.com/sharepoint/v3/contenttype/forms"/>
  </ds:schemaRefs>
</ds:datastoreItem>
</file>

<file path=customXml/itemProps2.xml><?xml version="1.0" encoding="utf-8"?>
<ds:datastoreItem xmlns:ds="http://schemas.openxmlformats.org/officeDocument/2006/customXml" ds:itemID="{666A08E3-F460-4373-9E25-8FA98CEA4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1d29e2-725c-4c63-b8ec-04ab3bd54dec"/>
    <ds:schemaRef ds:uri="86a9cbef-d7d9-4d90-89ea-9a9ef905b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E951D4D-3B46-43C0-8A2C-CBF0670EDA54}">
  <ds:schemaRefs>
    <ds:schemaRef ds:uri="http://schemas.microsoft.com/office/2006/metadata/properties"/>
    <ds:schemaRef ds:uri="http://schemas.microsoft.com/office/infopath/2007/PartnerControls"/>
    <ds:schemaRef ds:uri="f31d29e2-725c-4c63-b8ec-04ab3bd54dec"/>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2350</Words>
  <Characters>14764</Characters>
  <Application>Microsoft Office Word</Application>
  <DocSecurity>0</DocSecurity>
  <Lines>242</Lines>
  <Paragraphs>71</Paragraphs>
  <ScaleCrop>false</ScaleCrop>
  <Company/>
  <LinksUpToDate>false</LinksUpToDate>
  <CharactersWithSpaces>17043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Ward</dc:creator>
  <cp:lastModifiedBy>Rachel Marsden</cp:lastModifiedBy>
  <cp:revision>16</cp:revision>
  <dcterms:created xsi:type="dcterms:W3CDTF">2025-12-18T14:20:00Z</dcterms:created>
  <dcterms:modified xsi:type="dcterms:W3CDTF">2025-12-18T14:30:00Z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0x01010074661AC019946243A460F23FEDE774CF</vt:lpwstr>
  </property>
</Properties>
</file>