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782511D" w:rsidR="000C5596" w:rsidRPr="00712F4E" w:rsidRDefault="001843BC">
      <w:pPr>
        <w:jc w:val="center"/>
        <w:rPr>
          <w:b/>
          <w:bCs/>
        </w:rPr>
      </w:pPr>
      <w:r w:rsidRPr="00712F4E">
        <w:rPr>
          <w:b/>
          <w:bCs/>
        </w:rPr>
        <w:t>Community Engagement and Involvement: Identifying Research Priorities Needed to Safely Reduce the Number of Children Living in Out-of-Home Care in Kalaallit Nunaat</w:t>
      </w:r>
    </w:p>
    <w:p w14:paraId="00000002" w14:textId="77777777" w:rsidR="000C5596" w:rsidRPr="00712F4E" w:rsidRDefault="001843BC">
      <w:pPr>
        <w:pStyle w:val="Heading2"/>
      </w:pPr>
      <w:r w:rsidRPr="00712F4E">
        <w:t>Abstract</w:t>
      </w:r>
    </w:p>
    <w:p w14:paraId="00000003" w14:textId="77777777" w:rsidR="000C5596" w:rsidRPr="00712F4E" w:rsidRDefault="001843BC">
      <w:pPr>
        <w:pStyle w:val="Heading2"/>
        <w:rPr>
          <w:b w:val="0"/>
          <w:bCs w:val="0"/>
        </w:rPr>
      </w:pPr>
      <w:r w:rsidRPr="00712F4E">
        <w:rPr>
          <w:b w:val="0"/>
          <w:bCs w:val="0"/>
        </w:rPr>
        <w:t>In Kalaallit Nunaat, the proportion of children placed in out-of-home care (OHC) is more than four times higher than in other Nordic countries. This overrepresentation places a significant emotional burden on children, families, and communities, as well as considerable pressure on the national child welfare system. Although the underlying causes of the number of children placed in OHC in Kalaallit Nunaat have been the subject of some research, debate and critical analysis, comparatively little attention has been paid to the range of actions needed to safeguard children within the family home. Adopting a narrative research strategy, this seed-funded study draws on the experiences and perspectives of a Greenlandic Community Engagement and Involvement (CEI) group to identify priority areas for social work research. By identifying seven research objectives, each designed to investigate how colonisation and structural inequalities are influencing family life and shaping social work practice, this article introduces the foundational framework needed to identify and inform the actions needed to safely reduce the number of children placed in out-of-home care in Kalaallit Nunaat.</w:t>
      </w:r>
    </w:p>
    <w:p w14:paraId="00000004" w14:textId="59A9D5F3" w:rsidR="000C5596" w:rsidRPr="00712F4E" w:rsidRDefault="001843BC">
      <w:pPr>
        <w:pStyle w:val="Heading2"/>
        <w:rPr>
          <w:b w:val="0"/>
          <w:bCs w:val="0"/>
        </w:rPr>
      </w:pPr>
      <w:r w:rsidRPr="00712F4E">
        <w:t xml:space="preserve">Keywords: </w:t>
      </w:r>
      <w:r w:rsidRPr="00712F4E">
        <w:rPr>
          <w:b w:val="0"/>
          <w:bCs w:val="0"/>
        </w:rPr>
        <w:t>Kalaallit Nunaat,</w:t>
      </w:r>
      <w:r w:rsidRPr="00712F4E">
        <w:t xml:space="preserve"> </w:t>
      </w:r>
      <w:r w:rsidRPr="00712F4E">
        <w:rPr>
          <w:b w:val="0"/>
          <w:bCs w:val="0"/>
        </w:rPr>
        <w:t>Greenland, Out-of-Home Care, Community Engagement and Involvement</w:t>
      </w:r>
    </w:p>
    <w:p w14:paraId="6381C209" w14:textId="1DE4996F" w:rsidR="00DA34D5" w:rsidRPr="00712F4E" w:rsidRDefault="00DA34D5" w:rsidP="00DA34D5">
      <w:pPr>
        <w:rPr>
          <w:b/>
        </w:rPr>
      </w:pPr>
      <w:r w:rsidRPr="00712F4E">
        <w:rPr>
          <w:b/>
        </w:rPr>
        <w:t xml:space="preserve">Teaser Text </w:t>
      </w:r>
    </w:p>
    <w:p w14:paraId="7AB0BD1F" w14:textId="69545641" w:rsidR="00DA34D5" w:rsidRPr="00712F4E" w:rsidRDefault="00DA34D5">
      <w:pPr>
        <w:pStyle w:val="Heading2"/>
        <w:rPr>
          <w:b w:val="0"/>
          <w:bCs w:val="0"/>
        </w:rPr>
      </w:pPr>
      <w:r w:rsidRPr="00712F4E">
        <w:rPr>
          <w:b w:val="0"/>
          <w:bCs w:val="0"/>
        </w:rPr>
        <w:t>In Kalaallit Nunaat, children are placed in out-of-home care at over four times the rate of other Nordic countries. While research has explored why so many children enter care, far less attention has been given to strategies that could keep them safely within their families. Drawing on the experiences of a Greenlandic Community Engagement and Involvement group, this seed-funded study identifies seven research priorities to explore how colonisation and structural inequalities shape family life and social work practice. This article lays the groundwork for research aimed at reducing out-of-home placements.</w:t>
      </w:r>
    </w:p>
    <w:p w14:paraId="00000005" w14:textId="331D00B4" w:rsidR="000C5596" w:rsidRPr="00712F4E" w:rsidRDefault="00DA34D5">
      <w:pPr>
        <w:pStyle w:val="Heading2"/>
      </w:pPr>
      <w:r w:rsidRPr="00712F4E">
        <w:rPr>
          <w:b w:val="0"/>
          <w:bCs w:val="0"/>
        </w:rPr>
        <w:t xml:space="preserve"> </w:t>
      </w:r>
      <w:r w:rsidR="001843BC" w:rsidRPr="00712F4E">
        <w:t xml:space="preserve">Introduction </w:t>
      </w:r>
    </w:p>
    <w:p w14:paraId="00000006" w14:textId="77777777" w:rsidR="000C5596" w:rsidRPr="00712F4E" w:rsidRDefault="001843BC">
      <w:r w:rsidRPr="00712F4E">
        <w:t>In Kalaallit Nunaat, approximately 6.1 per cent of children are placed in out-of-home care (OHC), either in residential institutions or foster care (Grønlands Statistik, 2025).  According to Jensen (2023), this proportion is roughly four times higher than in neighbouring Nordic countries, including Denmark, the Faroe Islands, Finland, Iceland, and Norway. Although some attempts have been made to theorise the socio-political inequalities affecting family life in Kalaallit Nunaat (see e.g. Arnfjord &amp; Hounsgaard, 2015), the evidence-informed and rights-based strategies required to safely reduce the number of children placed in OHC have not been explored with equal depth. As Jensen (2023) observes, a significant gap remains in the knowledge base needed to effectively safeguard, support, and protect children within their family homes. The unique contribution of this paper aims to strengthen that knowledge base.</w:t>
      </w:r>
    </w:p>
    <w:p w14:paraId="00000007" w14:textId="77777777" w:rsidR="000C5596" w:rsidRDefault="001843BC">
      <w:r w:rsidRPr="00712F4E">
        <w:t>Employing a narrative research strategy to underpin a participatory Community Engagement and Involvement (CEI) event, this article reports on a seed-funded study designed to answer the research question</w:t>
      </w:r>
      <w:r w:rsidRPr="00712F4E">
        <w:rPr>
          <w:i/>
          <w:iCs/>
        </w:rPr>
        <w:t>, ‘What areas of research are needed to inform efforts to safely reduce the number of children living in OHC in Kalaallit Nunaat’.</w:t>
      </w:r>
      <w:r w:rsidRPr="00712F4E">
        <w:t xml:space="preserve"> Drawing on a thematic analysis of the CEI group’s knowledge and experiences, the article presents seven research objectives designed to advance an </w:t>
      </w:r>
      <w:r w:rsidRPr="00712F4E">
        <w:lastRenderedPageBreak/>
        <w:t xml:space="preserve">understanding of how social work practice intersects with Kalaallit Nunaat’s distinctive cultural, geographical, historical, and social contexts. </w:t>
      </w:r>
    </w:p>
    <w:p w14:paraId="00000008" w14:textId="74CA9E69" w:rsidR="000C5596" w:rsidRDefault="001843BC">
      <w:bookmarkStart w:id="0" w:name="_heading=h.3jzr63ay8of9" w:colFirst="0" w:colLast="0"/>
      <w:bookmarkEnd w:id="0"/>
      <w:r w:rsidRPr="00712F4E">
        <w:t>Although this study focuses on Kalaallit Nunaat, research from Canada (Pollock et al. 2024), Australia (Payne, 2024), and Finland (Penttilä et al. 2024) shows how the overrepresentation of Indigenous children in OHC reflects enduring colonial legacies that often fail to recognise collective caregiving traditions and community-based approaches to child protection. It is hoped that situating the Greenlandic case within global Indigenous child welfare discourse, this study can contribute to a conceptual understanding of the actions needed to safely reduce the number of children living in OHC, but also to wider international debates on ways to foreground Indigenous knowledge within social work research.</w:t>
      </w:r>
    </w:p>
    <w:p w14:paraId="1EA96266" w14:textId="5B9E1EF9" w:rsidR="0024281F" w:rsidRPr="00712F4E" w:rsidRDefault="0024281F">
      <w:r w:rsidRPr="0024281F">
        <w:t>“Kalaallit Nunaat" is the Greenlandic name for Greenland, literally translating to "Land of the Kalaallit," in reference to the Indigenous Greenlandic Inuit population. In this work, we use the term Kalaallit Nunaat to acknowledge and affirm cultural identity, Indigenous self-determination, and ongoing processes of decolonization. While "Greenland" remains the internationally recogni</w:t>
      </w:r>
      <w:r>
        <w:t>s</w:t>
      </w:r>
      <w:r w:rsidRPr="0024281F">
        <w:t>ed English name, Kalaallit Nunaat is the official designation in the Greenlandic language and is increasingly preferred in contexts that emphasi</w:t>
      </w:r>
      <w:r>
        <w:t>s</w:t>
      </w:r>
      <w:r w:rsidRPr="0024281F">
        <w:t>e local sovereignty and heritage. In cases where “Greenland” appears in the titles of laws, ministries, or in quotations, the term has been retained. For the sake of readability, we have chosen not to apply inflection to adjectives; therefore, the English form “Greenlandic” is also used throughout.</w:t>
      </w:r>
    </w:p>
    <w:p w14:paraId="00000009" w14:textId="77777777" w:rsidR="000C5596" w:rsidRPr="00712F4E" w:rsidRDefault="001843BC">
      <w:pPr>
        <w:rPr>
          <w:b/>
          <w:bCs/>
        </w:rPr>
      </w:pPr>
      <w:r w:rsidRPr="00712F4E">
        <w:rPr>
          <w:b/>
          <w:bCs/>
        </w:rPr>
        <w:t xml:space="preserve">The Greenlandic context </w:t>
      </w:r>
    </w:p>
    <w:p w14:paraId="0000000A" w14:textId="77777777" w:rsidR="000C5596" w:rsidRPr="00712F4E" w:rsidRDefault="001843BC">
      <w:r w:rsidRPr="00712F4E">
        <w:t xml:space="preserve">Kalaallit Nunaat is the world's biggest Island, situated between the Arctic and Atlantic oceans. Formerly a Danish colony, Kalaallit Nunaat achieved Home Rule in 1979 (Greenland Home Rule Arrangement) and Self Rule in 2009 (Self-Government Act), although it remains a constituent country within the Kingdom of Denmark. According to Kleemann (2024), the island has an estimated population of 57,000, of whom around 88 percent are Kalaallit, the Indigenous people of Kalaallit Nunaat. While Greenlandic (Kalaallisut) is the official language, three primary dialects exist: Kitaa (West Greenlandic, Kalaallisut), Tunu (East Greenlandic, Tunumiisut), and Avanersuaq (North Greenlandic, Inuktun) (Kristensen 2021). Danish is also widely used. </w:t>
      </w:r>
    </w:p>
    <w:p w14:paraId="0000000B" w14:textId="77777777" w:rsidR="000C5596" w:rsidRPr="00712F4E" w:rsidRDefault="001843BC">
      <w:r w:rsidRPr="00712F4E">
        <w:t xml:space="preserve">The population of Kalaallit Nunaat is dispersed across settlements of varying sizes, with all the people living in ice-free coastal areas, particularly on the western coast (Leseth and Gaini, 2025). The capital, Nuuk, is the largest urban centre, with a population of approximately 20,000, followed by towns such as Sisimiut, Ilulissat, and Qaqortoq. Northern and eastern regions are characterised by much smaller communities, many with fewer than 500 inhabitants (Kleemann, 2024). There is no road network connecting settlements in Kalaallit Nunaat, so transportation between them depends entirely on dog sleds, snowmobiles, air and sea travel. </w:t>
      </w:r>
    </w:p>
    <w:p w14:paraId="0000000C" w14:textId="5C1BBD53" w:rsidR="000C5596" w:rsidRPr="00712F4E" w:rsidRDefault="001843BC">
      <w:r w:rsidRPr="00712F4E">
        <w:t xml:space="preserve">Since the late 1950s, Kalaallit Nunaat has experienced a period of rapid social development characterised by profound economic, social, and cultural transformations (Arnfjord &amp; Hounsgaard, 2015). While social development has brought improvements in infrastructure, healthcare, and education, it has also introduced a range of challenges (Ingemann et al. 2024). In many urban areas, traditional ways of life deeply rooted in the land, sea, language, and culture are increasingly being displaced by globalised systems, economic regulations and processes of urbanisation (Arnfjord, 2021). </w:t>
      </w:r>
    </w:p>
    <w:p w14:paraId="0000000D" w14:textId="77777777" w:rsidR="000C5596" w:rsidRPr="00712F4E" w:rsidRDefault="001843BC">
      <w:pPr>
        <w:rPr>
          <w:rFonts w:ascii="Arial" w:eastAsia="Arial" w:hAnsi="Arial" w:cs="Arial"/>
          <w:sz w:val="20"/>
          <w:szCs w:val="20"/>
          <w:highlight w:val="white"/>
        </w:rPr>
      </w:pPr>
      <w:r w:rsidRPr="00712F4E">
        <w:rPr>
          <w:lang w:val="da-DK"/>
        </w:rPr>
        <w:t xml:space="preserve">According to Kjær-Rasmussen et al. </w:t>
      </w:r>
      <w:r w:rsidRPr="00712F4E">
        <w:t xml:space="preserve">(2019), rapid social development in Kalaallit Nunaat has heightened concerns about the enduring legacy of colonisation, described by Ingemann et al. (2024) </w:t>
      </w:r>
      <w:r w:rsidRPr="00712F4E">
        <w:lastRenderedPageBreak/>
        <w:t>as continuing erosion of the Greenlandic cultural identity and the disruption of traditional community and family structures. The systematic removal of Greenlandic children to Denmark (</w:t>
      </w:r>
      <w:r w:rsidRPr="00712F4E">
        <w:rPr>
          <w:highlight w:val="white"/>
        </w:rPr>
        <w:t>Prattes and Myong, 2025)</w:t>
      </w:r>
      <w:r w:rsidRPr="00712F4E">
        <w:t>, the non-consensual fitting of intrauterine devices by Danish doctors on Greenlandic women and girls between the 1960s and 1970s (Jensen et al. 2025) and increasing incidences of poverty, unemployment, suicide, substance misuse, and mental ill-health (</w:t>
      </w:r>
      <w:r w:rsidRPr="00712F4E">
        <w:rPr>
          <w:highlight w:val="white"/>
        </w:rPr>
        <w:t xml:space="preserve">Bjerregaard and Viskum Lytken Larsen, 2017) are cited </w:t>
      </w:r>
      <w:r w:rsidRPr="00712F4E">
        <w:t xml:space="preserve">by Ottendahl et al. (2024) </w:t>
      </w:r>
      <w:r w:rsidRPr="00712F4E">
        <w:rPr>
          <w:highlight w:val="white"/>
        </w:rPr>
        <w:t xml:space="preserve">as </w:t>
      </w:r>
      <w:r w:rsidRPr="00712F4E">
        <w:t xml:space="preserve">examples of a colonial legacy that endures to impact on the welfare and wellbeing of Kalaallit Nunaat children, families and communities today. </w:t>
      </w:r>
    </w:p>
    <w:p w14:paraId="0000000E" w14:textId="77777777" w:rsidR="000C5596" w:rsidRPr="00712F4E" w:rsidRDefault="001843BC">
      <w:pPr>
        <w:rPr>
          <w:b/>
          <w:bCs/>
        </w:rPr>
      </w:pPr>
      <w:r w:rsidRPr="00712F4E">
        <w:rPr>
          <w:b/>
          <w:bCs/>
        </w:rPr>
        <w:t>Out-of-Home Care in Kalaallit Nunaat</w:t>
      </w:r>
    </w:p>
    <w:p w14:paraId="346E538D" w14:textId="77777777" w:rsidR="0024281F" w:rsidRDefault="001843BC">
      <w:r w:rsidRPr="00712F4E">
        <w:t xml:space="preserve">A recent study by Jensen (2023), shows that the proportion of children living in out-of-home care (OHC) in Kalaallit Nunaat is approximately four times higher than in neighbouring Nordic countries. Of the total child population under 18 (n = 13,356), 6.1 per cent (n = 825) live in OHC, 60 per cent (n = 490) in foster care and 40 per cent (n = 337) in residential institutions (Grønlands Statistik, 2025). By comparison, the Nordic Health and Welfare Statistics (2025) show the proportion of children under 18 in OHC is significantly lower in Finland (2.8 per cent, n = 31,030), the Faroe Islands (1.4 per cent, n = 198), and Norway (1.5 per cent, n = 18,480). </w:t>
      </w:r>
    </w:p>
    <w:p w14:paraId="0000000F" w14:textId="11D42016" w:rsidR="000C5596" w:rsidRPr="00712F4E" w:rsidRDefault="001843BC">
      <w:r w:rsidRPr="00712F4E">
        <w:t>While Jensen (2023) raises concerns about the methodological rigour of these figures, particularly the lack of standardised measurement and limited transparency in data collection, she concurs that the number of Greenlandic children entering OHC is higher compared to other countries in the Nordic region.  To understand the potential reasons for this trend, it is necessary to examine existing scholarship on social work policy and practice.</w:t>
      </w:r>
    </w:p>
    <w:p w14:paraId="00000010" w14:textId="77777777" w:rsidR="000C5596" w:rsidRPr="00712F4E" w:rsidRDefault="001843BC">
      <w:r w:rsidRPr="00712F4E">
        <w:t xml:space="preserve">Although research on the causes of OHC in Kalaallit Nunaat is limited, Arnfjord and Hounsgaard (2015) argue that rapid social development has not been matched by comparable investment in social work or child protection services. Ingemann et al. (2024) support these findings, adding that limited access to support services for children, families, and communities affected by poverty, unemployment, suicide, substance misuse, and mental ill-health has further intensified the effects of rapid social development, placing significant emotional burden on children, families, and communities, as well as considerable pressure on the national child welfare system. </w:t>
      </w:r>
    </w:p>
    <w:p w14:paraId="00000011" w14:textId="77777777" w:rsidR="000C5596" w:rsidRPr="00712F4E" w:rsidRDefault="001843BC">
      <w:r w:rsidRPr="00712F4E">
        <w:t xml:space="preserve">Beyond issues of social development, Jensen and Arnfjord (2024) suggest that the disproportionate number of children placed in OHC in Kalaallit Nunaat may also be linked to social work practices modelled largely on European approaches. Although social work education in Kalaallit Nunaat emphasises prevention and early intervention, the authors argue that the European theories and methods underpinning these practices are often ill-suited to Kalaallit Nunaat’s distinct cultural, geographical, historical and social realities. As Andersen and Arnfjord (2017) and Jensen (2023) observe, imported frameworks fail to address the structural inequalities that shape family life and instead promote an overly individualistic understanding of risk and responsibility. </w:t>
      </w:r>
    </w:p>
    <w:p w14:paraId="00000012" w14:textId="77777777" w:rsidR="000C5596" w:rsidRPr="00712F4E" w:rsidRDefault="001843BC">
      <w:r w:rsidRPr="00712F4E">
        <w:t xml:space="preserve">In relation to child protection, Hounsgaard et al. (2013) and Ingemann et al. (2024) argue that European practice models often prioritise individualised safety plans at the expense of community-based interventions, thereby marginalising the collective practices, strengths and traditions that have long sustained Greenlandic communities. Echoing this critique, Ranta-Tyrkkö (2011: 37) suggests that the application of European ‘hegemonic and universalist thinking’ in social work can obscure historically situated understandings of social problems, ultimately stigmatising and marginalising Indigenous perspectives. Building on concerns about hegemonic approaches, Clark (2016: 3) uses the concept of ‘Shock and Awe’ to illustrate how child protection systems can operate </w:t>
      </w:r>
      <w:r w:rsidRPr="00712F4E">
        <w:lastRenderedPageBreak/>
        <w:t>from a deficit-based culture that inflicts violence on Indigenous peoples through child-removal policies and practices.</w:t>
      </w:r>
    </w:p>
    <w:p w14:paraId="00000013" w14:textId="77777777" w:rsidR="000C5596" w:rsidRPr="00712F4E" w:rsidRDefault="001843BC">
      <w:r w:rsidRPr="00712F4E">
        <w:t>While Jensen (2023) focuses our attention on the disproportionate representation of children in OHC in Kalaallit Nunaat, it is important to note that similar patterns have been documented for other Indigenous populations. In Canada, for instance, Pollock et al. (2024) and Richardson and Wade (2010) link the overrepresentation of First Nation children in OHC to the enduring impact of colonial assimilation policies and state violence. Comparable findings have also been reported in Australia (see e.g. Payne, 2024), where the legacy of the ‘Stolen Generations’ continues to shape Aboriginal families’ interactions with child protection systems. In Finland, Penttilä et al. (2024) observe that social work can overlook Sami notions of kinship, interdependence, and collective caregiving. These parallels to the reported situation in Kalaallit Nunaat suggest that the number of children in OHC forms part of a wider transnational pattern in which colonial histories and Eurocentric models of social work influence how Indigenous families are assessed and supported. Recognising these shared experiences underscores the urgent need to develop Greenlandic models of social work policy and practice that strengthen families and prevent unnecessary separations in line with the United Nations Declaration on the Rights of Indigenous Peoples (2007).</w:t>
      </w:r>
    </w:p>
    <w:p w14:paraId="00000014" w14:textId="77777777" w:rsidR="000C5596" w:rsidRPr="00712F4E" w:rsidRDefault="001843BC">
      <w:pPr>
        <w:rPr>
          <w:b/>
          <w:bCs/>
        </w:rPr>
      </w:pPr>
      <w:r w:rsidRPr="00712F4E">
        <w:rPr>
          <w:b/>
          <w:bCs/>
        </w:rPr>
        <w:t>Methods</w:t>
      </w:r>
    </w:p>
    <w:p w14:paraId="00000015" w14:textId="77777777" w:rsidR="000C5596" w:rsidRPr="00712F4E" w:rsidRDefault="001843BC">
      <w:r w:rsidRPr="00712F4E">
        <w:t xml:space="preserve">To develop an understanding of the approaches needed to safely reduce the number of children in OHC in Kalaallit Nunaat, this seed-funded study adopted a qualitative research paradigm, focussing on social reality as described by Greenlandic people. Informed by Glendøs (2016) and Arnfjord (2021) recommendations to anchor research in Kalaallit Nunaat in local contexts and collaborative processes, a narrative research strategy was selected as the most suitable approach. </w:t>
      </w:r>
    </w:p>
    <w:p w14:paraId="00000016" w14:textId="77777777" w:rsidR="000C5596" w:rsidRPr="00712F4E" w:rsidRDefault="001843BC">
      <w:r w:rsidRPr="00712F4E">
        <w:t xml:space="preserve">Narrative research is aligned to the epistemologies of rationalism, community and collectivism, which, as Rogers and Brown (2024: 449) explain:  </w:t>
      </w:r>
    </w:p>
    <w:p w14:paraId="00000017"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 xml:space="preserve">‘…embraces subjectivity and is rooted in the perspective that reality is dependent on the meanings that people give to their experiences’. </w:t>
      </w:r>
    </w:p>
    <w:p w14:paraId="00000018" w14:textId="77777777" w:rsidR="000C5596" w:rsidRPr="00712F4E" w:rsidRDefault="001843BC">
      <w:r w:rsidRPr="00712F4E">
        <w:t>Given Jensen and Arnfjord’s (2024) concern that child protection services in Kalaallit Nunaat have marginalised the culture, identity, and perspectives of Greenlandic people, it was ethically imperative that the study did not further constrain, control, or dictate how people described and gave meaning to the efforts needed to safely reduce the number of children in OHC. Reflecting on Bold’s (2012: 122) exploration of the epistemological and temporal limitations of qualitative research, it was also important to facilitate a ‘narrative occasion’ that could reflect social work ethics of participation and power-sharing. Significantly, narrative research with people and communities in Kalaallit Nunaat has already been used to generate rich knowledge and counter-narratives, leading to tangible improvements in the design and delivery of social care services (Andersen and Arnfjord, 2017; Chahine, 2023; Arnfjord, 2020).</w:t>
      </w:r>
    </w:p>
    <w:p w14:paraId="00000019" w14:textId="77777777" w:rsidR="000C5596" w:rsidRPr="00712F4E" w:rsidRDefault="001843BC">
      <w:pPr>
        <w:rPr>
          <w:b/>
          <w:bCs/>
        </w:rPr>
      </w:pPr>
      <w:r w:rsidRPr="00712F4E">
        <w:rPr>
          <w:b/>
          <w:bCs/>
        </w:rPr>
        <w:t xml:space="preserve">Planning a narrative research strategy </w:t>
      </w:r>
    </w:p>
    <w:p w14:paraId="0000001A" w14:textId="77777777" w:rsidR="000C5596" w:rsidRPr="00712F4E" w:rsidRDefault="001843BC">
      <w:bookmarkStart w:id="1" w:name="_heading=h.crvsx98a6ji" w:colFirst="0" w:colLast="0"/>
      <w:bookmarkEnd w:id="1"/>
      <w:r w:rsidRPr="00712F4E">
        <w:t xml:space="preserve">Aware that Greenlandic people have been subjected to extractive research, where knowledge is taken without benefiting those involved (Peterson et al. 2025), this study sought to promote reciprocity. It was essential to create the ‘narrative occasion’ described by Bold (2012) and consider ways to safely reduce the number of children in OHC in a mutual learning environment. Given this ambition, it was agreed that a one-to-one interview might not adequately address the complexity of </w:t>
      </w:r>
      <w:r w:rsidRPr="00712F4E">
        <w:lastRenderedPageBreak/>
        <w:t>power dynamics typically associated with a hierarchical researcher-subject relationship (Jensen and Arnfjord, 2024).</w:t>
      </w:r>
    </w:p>
    <w:p w14:paraId="0000001B" w14:textId="77777777" w:rsidR="000C5596" w:rsidRPr="00712F4E" w:rsidRDefault="001843BC">
      <w:r w:rsidRPr="00712F4E">
        <w:t xml:space="preserve">Keen to establish a collaborative space where people could be treated as ‘knowledge producers’, rather than research subjects (Porter et al. 2012), it was decided to prioritise oral traditions and collective storytelling through the facilitation of a Community Engagement and Involvement (CEI) event in line with the UN Declaration on the Rights of Indigenous Peoples (2007). </w:t>
      </w:r>
    </w:p>
    <w:p w14:paraId="0000001C" w14:textId="77777777" w:rsidR="000C5596" w:rsidRPr="00712F4E" w:rsidRDefault="001843BC">
      <w:r w:rsidRPr="00712F4E">
        <w:t>While the definition of a CEI can vary, its essence is captured by Pratt (2021) as the processes and practices where communities actively contribute to and influence the research process, breaking down barriers between research, innovation, and society. By focusing the study’s research question on the knowledge needed to safely reduce the number of children in OHC, it was hoped that the CEI event could activate the ‘story’ about the relevance, value, and conduct of social work research necessary to support efforts to safeguard, support and protect Greenlandic children within their family homes.</w:t>
      </w:r>
    </w:p>
    <w:p w14:paraId="0000001D" w14:textId="77777777" w:rsidR="000C5596" w:rsidRPr="00712F4E" w:rsidRDefault="001843BC">
      <w:r w:rsidRPr="00712F4E">
        <w:t xml:space="preserve">Reflecting on Jensen and Arnfjord’s (2024) study on ways to decolonise social work curriculum in Kalaallit Nunaat, the limitations of a CEI event were recognised. For example, the concern that a group discussion might not elicit new and additional material beyond the self-generating narrative of the group. Consideration was also given to Hammersley’s (2005: 16) suggestion that ‘scientific’ research could be sidelined in a CEI event, which he describes as: </w:t>
      </w:r>
    </w:p>
    <w:p w14:paraId="0000001E"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‘…an artificial enterprise...necessarily producing alienated propositional and decontextualized knowledge which cannot but be irrelevant.’</w:t>
      </w:r>
    </w:p>
    <w:p w14:paraId="0000001F" w14:textId="77777777" w:rsidR="000C5596" w:rsidRPr="00712F4E" w:rsidRDefault="001843BC">
      <w:r w:rsidRPr="00712F4E">
        <w:t xml:space="preserve">To minimise the impact of these limitations, the value and conduct of the CEI event were examined. Although in the planning stages, there was no certainty about the potential CEI group size or composition, the research question suggested the need for a balanced representation of stakeholders, including child welfare professionals and care-experienced adults, so that ideas for research would be contextual and relevant. </w:t>
      </w:r>
    </w:p>
    <w:p w14:paraId="00000020" w14:textId="77777777" w:rsidR="000C5596" w:rsidRPr="00712F4E" w:rsidRDefault="001843BC">
      <w:pPr>
        <w:pStyle w:val="Heading2"/>
        <w:rPr>
          <w:i/>
          <w:iCs/>
        </w:rPr>
      </w:pPr>
      <w:bookmarkStart w:id="2" w:name="_heading=h.k0ft20pqv8o9" w:colFirst="0" w:colLast="0"/>
      <w:bookmarkEnd w:id="2"/>
      <w:r w:rsidRPr="00712F4E">
        <w:rPr>
          <w:i/>
          <w:iCs/>
        </w:rPr>
        <w:t>Sample</w:t>
      </w:r>
    </w:p>
    <w:p w14:paraId="00000021" w14:textId="6A83015E" w:rsidR="000C5596" w:rsidRPr="00712F4E" w:rsidRDefault="001843BC">
      <w:pPr>
        <w:spacing w:before="240" w:after="240"/>
      </w:pPr>
      <w:r w:rsidRPr="00712F4E">
        <w:t xml:space="preserve">Following ethical approval from </w:t>
      </w:r>
      <w:r w:rsidR="00712F4E">
        <w:t>Liverpool Hope University</w:t>
      </w:r>
      <w:r w:rsidRPr="00712F4E">
        <w:t>, a list of potential knowledge producers was identified from Jensen’s professional network. Before being invited to consent to participate in the CEI event, people were sent a detailed email invitation explaining the aims and objectives of the study. The email contained, as an attachment, the participant information sheet outlining the study, the limits of confidentiality, the right to withdraw, potential risks, and data management procedures. No payment or financial incentive was offered for participation in the CEI event. The research complied with the UK General Data Protection Regulation and the Data Protection Act 2018. A summary of the nine people who consented to participate in the study is provided in Box 1.</w:t>
      </w:r>
    </w:p>
    <w:p w14:paraId="00000022" w14:textId="77777777" w:rsidR="000C5596" w:rsidRPr="00712F4E" w:rsidRDefault="001843BC">
      <w:pPr>
        <w:rPr>
          <w:b/>
          <w:bCs/>
          <w:i/>
          <w:iCs/>
        </w:rPr>
      </w:pPr>
      <w:r w:rsidRPr="00712F4E">
        <w:rPr>
          <w:b/>
          <w:bCs/>
        </w:rPr>
        <w:t xml:space="preserve">Box 1: </w:t>
      </w:r>
      <w:r w:rsidRPr="00712F4E">
        <w:rPr>
          <w:b/>
          <w:bCs/>
          <w:i/>
          <w:iCs/>
        </w:rPr>
        <w:t xml:space="preserve"> Knowledge Producers </w:t>
      </w:r>
    </w:p>
    <w:tbl>
      <w:tblPr>
        <w:tblW w:w="0" w:type="auto"/>
        <w:tblCellMar>
          <w:top w:w="15" w:type="dxa"/>
          <w:left w:w="15" w:type="dxa"/>
          <w:bottom w:w="15" w:type="dxa"/>
          <w:right w:w="15" w:type="dxa"/>
        </w:tblCellMar>
        <w:tblLook w:val="04A0" w:firstRow="1" w:lastRow="0" w:firstColumn="1" w:lastColumn="0" w:noHBand="0" w:noVBand="1"/>
      </w:tblPr>
      <w:tblGrid>
        <w:gridCol w:w="2746"/>
        <w:gridCol w:w="902"/>
        <w:gridCol w:w="1051"/>
        <w:gridCol w:w="3776"/>
      </w:tblGrid>
      <w:tr w:rsidR="00A76FD1" w:rsidRPr="00A76FD1" w14:paraId="08524AE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6CB83" w14:textId="77777777" w:rsidR="00A76FD1" w:rsidRPr="00A76FD1" w:rsidRDefault="00A76FD1" w:rsidP="00A76FD1">
            <w:pPr>
              <w:spacing w:before="0" w:after="0"/>
              <w:rPr>
                <w:b/>
                <w:bCs/>
              </w:rPr>
            </w:pPr>
            <w:bookmarkStart w:id="3" w:name="_heading=h.rkq04u3knrbg" w:colFirst="0" w:colLast="0"/>
            <w:bookmarkStart w:id="4" w:name="_heading=h.omcb79fabwnp" w:colFirst="0" w:colLast="0"/>
            <w:bookmarkEnd w:id="3"/>
            <w:bookmarkEnd w:id="4"/>
            <w:r w:rsidRPr="00A76FD1">
              <w:rPr>
                <w:b/>
                <w:bCs/>
              </w:rPr>
              <w:t>Designation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A4479" w14:textId="77777777" w:rsidR="00A76FD1" w:rsidRPr="00A76FD1" w:rsidRDefault="00A76FD1" w:rsidP="00A76FD1">
            <w:pPr>
              <w:spacing w:before="0" w:after="0"/>
              <w:rPr>
                <w:b/>
                <w:bCs/>
              </w:rPr>
            </w:pPr>
            <w:r w:rsidRPr="00A76FD1">
              <w:rPr>
                <w:b/>
                <w:bCs/>
              </w:rPr>
              <w:t>Gender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18E4E" w14:textId="77777777" w:rsidR="00A76FD1" w:rsidRPr="00A76FD1" w:rsidRDefault="00A76FD1" w:rsidP="00A76FD1">
            <w:pPr>
              <w:spacing w:before="0" w:after="0"/>
              <w:rPr>
                <w:b/>
                <w:bCs/>
              </w:rPr>
            </w:pPr>
            <w:r w:rsidRPr="00A76FD1">
              <w:rPr>
                <w:b/>
                <w:bCs/>
              </w:rPr>
              <w:t>Ethnicity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D1097" w14:textId="77777777" w:rsidR="00A76FD1" w:rsidRPr="00A76FD1" w:rsidRDefault="00A76FD1" w:rsidP="00A76FD1">
            <w:pPr>
              <w:spacing w:before="0" w:after="0"/>
              <w:rPr>
                <w:b/>
                <w:bCs/>
              </w:rPr>
            </w:pPr>
            <w:r w:rsidRPr="00A76FD1">
              <w:rPr>
                <w:b/>
                <w:bCs/>
              </w:rPr>
              <w:t>Organisation </w:t>
            </w:r>
          </w:p>
        </w:tc>
      </w:tr>
      <w:tr w:rsidR="00A76FD1" w:rsidRPr="00A76FD1" w14:paraId="50949C8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0FFF2" w14:textId="77777777" w:rsidR="00A76FD1" w:rsidRPr="00A76FD1" w:rsidRDefault="00A76FD1" w:rsidP="00A76FD1">
            <w:pPr>
              <w:spacing w:before="0" w:after="0"/>
            </w:pPr>
            <w:r w:rsidRPr="00A76FD1">
              <w:t>Care-Experienced Adult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7DA4E" w14:textId="77777777" w:rsidR="00A76FD1" w:rsidRPr="00A76FD1" w:rsidRDefault="00A76FD1" w:rsidP="00A76FD1">
            <w:pPr>
              <w:spacing w:before="0" w:after="0"/>
            </w:pPr>
            <w:r w:rsidRPr="00A76FD1">
              <w:t>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EB1AF" w14:textId="77777777" w:rsidR="00A76FD1" w:rsidRPr="00A76FD1" w:rsidRDefault="00A76FD1" w:rsidP="00A76FD1">
            <w:pPr>
              <w:spacing w:before="0" w:after="0"/>
            </w:pPr>
            <w:r w:rsidRPr="00A76FD1">
              <w:t>Kalaallit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36E1F" w14:textId="77777777" w:rsidR="00A76FD1" w:rsidRPr="00A76FD1" w:rsidRDefault="00A76FD1" w:rsidP="00A76FD1">
            <w:pPr>
              <w:spacing w:before="0" w:after="0"/>
            </w:pPr>
            <w:r w:rsidRPr="00A76FD1">
              <w:t>Self</w:t>
            </w:r>
          </w:p>
        </w:tc>
      </w:tr>
      <w:tr w:rsidR="00A76FD1" w:rsidRPr="00A76FD1" w14:paraId="7735C63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5342A" w14:textId="77777777" w:rsidR="00A76FD1" w:rsidRPr="00A76FD1" w:rsidRDefault="00A76FD1" w:rsidP="00A76FD1">
            <w:pPr>
              <w:spacing w:before="0" w:after="0"/>
            </w:pPr>
            <w:r w:rsidRPr="00A76FD1">
              <w:t>Care-Experienced Adult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F22A6" w14:textId="77777777" w:rsidR="00A76FD1" w:rsidRPr="00A76FD1" w:rsidRDefault="00A76FD1" w:rsidP="00A76FD1">
            <w:pPr>
              <w:spacing w:before="0" w:after="0"/>
            </w:pPr>
            <w:r w:rsidRPr="00A76FD1">
              <w:t>Female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109A7" w14:textId="77777777" w:rsidR="00A76FD1" w:rsidRPr="00A76FD1" w:rsidRDefault="00A76FD1" w:rsidP="00A76FD1">
            <w:pPr>
              <w:spacing w:before="0" w:after="0"/>
            </w:pPr>
            <w:r w:rsidRPr="00A76FD1">
              <w:t>Kalaallit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C3338" w14:textId="77777777" w:rsidR="00A76FD1" w:rsidRPr="00A76FD1" w:rsidRDefault="00A76FD1" w:rsidP="00A76FD1">
            <w:pPr>
              <w:spacing w:before="0" w:after="0"/>
            </w:pPr>
            <w:r w:rsidRPr="00A76FD1">
              <w:t>Self</w:t>
            </w:r>
          </w:p>
        </w:tc>
      </w:tr>
      <w:tr w:rsidR="00A76FD1" w:rsidRPr="00A76FD1" w14:paraId="217BAE3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2ABEF" w14:textId="77777777" w:rsidR="00A76FD1" w:rsidRPr="00A76FD1" w:rsidRDefault="00A76FD1" w:rsidP="00A76FD1">
            <w:pPr>
              <w:spacing w:before="0" w:after="0"/>
            </w:pPr>
            <w:r w:rsidRPr="00A76FD1">
              <w:t>Social Worker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ADC3F" w14:textId="77777777" w:rsidR="00A76FD1" w:rsidRPr="00A76FD1" w:rsidRDefault="00A76FD1" w:rsidP="00A76FD1">
            <w:pPr>
              <w:spacing w:before="0" w:after="0"/>
            </w:pPr>
            <w:r w:rsidRPr="00A76FD1">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0305C" w14:textId="77777777" w:rsidR="00A76FD1" w:rsidRPr="00A76FD1" w:rsidRDefault="00A76FD1" w:rsidP="00A76FD1">
            <w:pPr>
              <w:spacing w:before="0" w:after="0"/>
            </w:pPr>
            <w:r w:rsidRPr="00A76FD1">
              <w:t>Kalaallit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FA3D" w14:textId="77777777" w:rsidR="00A76FD1" w:rsidRPr="00A76FD1" w:rsidRDefault="00A76FD1" w:rsidP="00A76FD1">
            <w:pPr>
              <w:spacing w:before="0" w:after="0"/>
            </w:pPr>
            <w:r w:rsidRPr="00A76FD1">
              <w:t>Sermersooq Municipality</w:t>
            </w:r>
          </w:p>
        </w:tc>
      </w:tr>
      <w:tr w:rsidR="00A76FD1" w:rsidRPr="00A76FD1" w14:paraId="1D96861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6FC00" w14:textId="77777777" w:rsidR="00A76FD1" w:rsidRPr="00A76FD1" w:rsidRDefault="00A76FD1" w:rsidP="00A76FD1">
            <w:pPr>
              <w:spacing w:before="0" w:after="0"/>
            </w:pPr>
            <w:r w:rsidRPr="00A76FD1">
              <w:lastRenderedPageBreak/>
              <w:t>Children’s Home Manager 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E502F" w14:textId="77777777" w:rsidR="00A76FD1" w:rsidRPr="00A76FD1" w:rsidRDefault="00A76FD1" w:rsidP="00A76FD1">
            <w:pPr>
              <w:spacing w:before="0" w:after="0"/>
            </w:pPr>
            <w:r w:rsidRPr="00A76FD1">
              <w:t>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70027" w14:textId="77777777" w:rsidR="00A76FD1" w:rsidRPr="00A76FD1" w:rsidRDefault="00A76FD1" w:rsidP="00A76FD1">
            <w:pPr>
              <w:spacing w:before="0" w:after="0"/>
            </w:pPr>
            <w:r w:rsidRPr="00A76FD1">
              <w:t>Danish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DB35C" w14:textId="77777777" w:rsidR="00A76FD1" w:rsidRPr="00A76FD1" w:rsidRDefault="00A76FD1" w:rsidP="00A76FD1">
            <w:pPr>
              <w:spacing w:before="0" w:after="0"/>
            </w:pPr>
            <w:r w:rsidRPr="00A76FD1">
              <w:t>Sermersooq Municipality</w:t>
            </w:r>
          </w:p>
        </w:tc>
      </w:tr>
      <w:tr w:rsidR="00A76FD1" w:rsidRPr="00A76FD1" w14:paraId="0A7A8D3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23C7A" w14:textId="77777777" w:rsidR="00A76FD1" w:rsidRPr="00A76FD1" w:rsidRDefault="00A76FD1" w:rsidP="00A76FD1">
            <w:pPr>
              <w:spacing w:before="0" w:after="0"/>
            </w:pPr>
            <w:r w:rsidRPr="00A76FD1">
              <w:t>Children’s Home Manager 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6E94B" w14:textId="77777777" w:rsidR="00A76FD1" w:rsidRPr="00A76FD1" w:rsidRDefault="00A76FD1" w:rsidP="00A76FD1">
            <w:pPr>
              <w:spacing w:before="0" w:after="0"/>
            </w:pPr>
            <w:r w:rsidRPr="00A76FD1">
              <w:t>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094F9" w14:textId="77777777" w:rsidR="00A76FD1" w:rsidRPr="00A76FD1" w:rsidRDefault="00A76FD1" w:rsidP="00A76FD1">
            <w:pPr>
              <w:spacing w:before="0" w:after="0"/>
            </w:pPr>
            <w:r w:rsidRPr="00A76FD1">
              <w:t>Kalaallit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FED2D" w14:textId="77777777" w:rsidR="00A76FD1" w:rsidRPr="00A76FD1" w:rsidRDefault="00A76FD1" w:rsidP="00A76FD1">
            <w:pPr>
              <w:spacing w:before="0" w:after="0"/>
            </w:pPr>
            <w:r w:rsidRPr="00A76FD1">
              <w:t>Local Government </w:t>
            </w:r>
          </w:p>
        </w:tc>
      </w:tr>
      <w:tr w:rsidR="00A76FD1" w:rsidRPr="00A76FD1" w14:paraId="09F3CB5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88E30" w14:textId="77777777" w:rsidR="00A76FD1" w:rsidRPr="00A76FD1" w:rsidRDefault="00A76FD1" w:rsidP="00A76FD1">
            <w:pPr>
              <w:spacing w:before="0" w:after="0"/>
            </w:pPr>
            <w:r w:rsidRPr="00A76FD1">
              <w:t>Children’s Rights Lead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3900C" w14:textId="77777777" w:rsidR="00A76FD1" w:rsidRPr="00A76FD1" w:rsidRDefault="00A76FD1" w:rsidP="00A76FD1">
            <w:pPr>
              <w:spacing w:before="0" w:after="0"/>
            </w:pPr>
            <w:r w:rsidRPr="00A76FD1">
              <w:t>Female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D037" w14:textId="77777777" w:rsidR="00A76FD1" w:rsidRPr="00A76FD1" w:rsidRDefault="00A76FD1" w:rsidP="00A76FD1">
            <w:pPr>
              <w:spacing w:before="0" w:after="0"/>
            </w:pPr>
            <w:r w:rsidRPr="00A76FD1">
              <w:t>Danish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575C4" w14:textId="77777777" w:rsidR="00A76FD1" w:rsidRPr="00A76FD1" w:rsidRDefault="00A76FD1" w:rsidP="00A76FD1">
            <w:pPr>
              <w:spacing w:before="0" w:after="0"/>
            </w:pPr>
            <w:r w:rsidRPr="00A76FD1">
              <w:t>Independent Government Organisation </w:t>
            </w:r>
          </w:p>
        </w:tc>
      </w:tr>
      <w:tr w:rsidR="00A76FD1" w:rsidRPr="00A76FD1" w14:paraId="19805C0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D1741" w14:textId="77777777" w:rsidR="00A76FD1" w:rsidRPr="00A76FD1" w:rsidRDefault="00A76FD1" w:rsidP="00A76FD1">
            <w:pPr>
              <w:spacing w:before="0" w:after="0"/>
            </w:pPr>
            <w:r w:rsidRPr="00A76FD1">
              <w:t>Human Rights Lead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21778" w14:textId="77777777" w:rsidR="00A76FD1" w:rsidRPr="00A76FD1" w:rsidRDefault="00A76FD1" w:rsidP="00A76FD1">
            <w:pPr>
              <w:spacing w:before="0" w:after="0"/>
            </w:pPr>
            <w:r w:rsidRPr="00A76FD1">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B1DED" w14:textId="77777777" w:rsidR="00A76FD1" w:rsidRPr="00A76FD1" w:rsidRDefault="00A76FD1" w:rsidP="00A76FD1">
            <w:pPr>
              <w:spacing w:before="0" w:after="0"/>
            </w:pPr>
            <w:r w:rsidRPr="00A76FD1">
              <w:t>Kalaallit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7E3F1" w14:textId="77777777" w:rsidR="00A76FD1" w:rsidRPr="00A76FD1" w:rsidRDefault="00A76FD1" w:rsidP="00A76FD1">
            <w:pPr>
              <w:spacing w:before="0" w:after="0"/>
            </w:pPr>
            <w:r w:rsidRPr="00A76FD1">
              <w:t>United Nations Agency </w:t>
            </w:r>
          </w:p>
        </w:tc>
      </w:tr>
      <w:tr w:rsidR="00A76FD1" w:rsidRPr="00A76FD1" w14:paraId="6C706F6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783AF" w14:textId="77777777" w:rsidR="00A76FD1" w:rsidRPr="00A76FD1" w:rsidRDefault="00A76FD1" w:rsidP="00A76FD1">
            <w:pPr>
              <w:spacing w:before="0" w:after="0"/>
            </w:pPr>
            <w:r w:rsidRPr="00A76FD1">
              <w:t>Senior Civil Servant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3B62D" w14:textId="77777777" w:rsidR="00A76FD1" w:rsidRPr="00A76FD1" w:rsidRDefault="00A76FD1" w:rsidP="00A76FD1">
            <w:pPr>
              <w:spacing w:before="0" w:after="0"/>
            </w:pPr>
            <w:r w:rsidRPr="00A76FD1">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0C1E0" w14:textId="77777777" w:rsidR="00A76FD1" w:rsidRPr="00A76FD1" w:rsidRDefault="00A76FD1" w:rsidP="00A76FD1">
            <w:pPr>
              <w:spacing w:before="0" w:after="0"/>
            </w:pPr>
            <w:r w:rsidRPr="00A76FD1">
              <w:t>Danish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A8D03" w14:textId="77777777" w:rsidR="00A76FD1" w:rsidRPr="00A76FD1" w:rsidRDefault="00A76FD1" w:rsidP="00A76FD1">
            <w:pPr>
              <w:spacing w:before="0" w:after="0"/>
            </w:pPr>
            <w:r w:rsidRPr="00A76FD1">
              <w:t>Greenlandic Government </w:t>
            </w:r>
          </w:p>
        </w:tc>
      </w:tr>
      <w:tr w:rsidR="00A76FD1" w:rsidRPr="00A76FD1" w14:paraId="3CB65FB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D9410" w14:textId="77777777" w:rsidR="00A76FD1" w:rsidRPr="00A76FD1" w:rsidRDefault="00A76FD1" w:rsidP="00A76FD1">
            <w:pPr>
              <w:spacing w:before="0" w:after="0"/>
            </w:pPr>
            <w:r w:rsidRPr="00A76FD1">
              <w:t>Senior Civil Servant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5E9B9" w14:textId="77777777" w:rsidR="00A76FD1" w:rsidRPr="00A76FD1" w:rsidRDefault="00A76FD1" w:rsidP="00A76FD1">
            <w:pPr>
              <w:spacing w:before="0" w:after="0"/>
            </w:pPr>
            <w:r w:rsidRPr="00A76FD1">
              <w:t>Female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45C17" w14:textId="77777777" w:rsidR="00A76FD1" w:rsidRPr="00A76FD1" w:rsidRDefault="00A76FD1" w:rsidP="00A76FD1">
            <w:pPr>
              <w:spacing w:before="0" w:after="0"/>
            </w:pPr>
            <w:r w:rsidRPr="00A76FD1">
              <w:t>Danish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D97D4" w14:textId="77777777" w:rsidR="00A76FD1" w:rsidRPr="00A76FD1" w:rsidRDefault="00A76FD1" w:rsidP="00A76FD1">
            <w:pPr>
              <w:spacing w:before="0" w:after="0"/>
            </w:pPr>
            <w:r w:rsidRPr="00A76FD1">
              <w:t>Greenlandic Government </w:t>
            </w:r>
          </w:p>
        </w:tc>
      </w:tr>
    </w:tbl>
    <w:p w14:paraId="00000024" w14:textId="3B82655E" w:rsidR="000C5596" w:rsidRPr="00712F4E" w:rsidRDefault="00A76FD1">
      <w:pPr>
        <w:rPr>
          <w:b/>
          <w:bCs/>
        </w:rPr>
      </w:pPr>
      <w:r w:rsidRPr="00A76FD1">
        <w:rPr>
          <w:b/>
          <w:bCs/>
        </w:rPr>
        <w:t xml:space="preserve"> </w:t>
      </w:r>
      <w:r w:rsidR="001843BC" w:rsidRPr="00712F4E">
        <w:rPr>
          <w:b/>
          <w:bCs/>
        </w:rPr>
        <w:t xml:space="preserve">Ethical observations </w:t>
      </w:r>
    </w:p>
    <w:p w14:paraId="00000025" w14:textId="77777777" w:rsidR="000C5596" w:rsidRPr="00712F4E" w:rsidRDefault="001843BC">
      <w:r w:rsidRPr="00712F4E">
        <w:t>Although Kalaallit Nunaat achieved Home Rule in 1979 (Greenland Home Rule Arrangement) and Self-Government in 2009 (Self-Government Act), Rink (2012) notes that the legacy of colonial relations continues to shape interactions among Greenlandic people. Within the CEI group, all members identified as Greenlandic. However, five people identified ethnically as Kalaallit and four as Danish. Seven were child welfare professionals, and two were care-experienced adults. Drawing on Smith’s (2010) exploration of situational, authoritative, and legitimate power, consideration was given to ways to minimise narrative dominance and promote conversation centred on innovation and transformative change. To minimise the risk that care-experienced adults might feel judged or dismissed, particularly during discussions of sensitive topics such as colonialism, discrimination, or identity, a decision was made to facilitate two CEI events, one with care-experienced adults and another with seven child welfare professionals.</w:t>
      </w:r>
    </w:p>
    <w:p w14:paraId="00000026" w14:textId="77777777" w:rsidR="000C5596" w:rsidRPr="00712F4E" w:rsidRDefault="001843BC">
      <w:r w:rsidRPr="00712F4E">
        <w:t>Throughout the whole CEI event, particular attention was given to the potential emotional impact of participation. To provide emotional support, a series of debriefing and follow-up meetings were scheduled to help safeguard the wellbeing of those involved and verify the areas of research that were identified.</w:t>
      </w:r>
    </w:p>
    <w:p w14:paraId="00000027" w14:textId="77777777" w:rsidR="000C5596" w:rsidRPr="00712F4E" w:rsidRDefault="001843BC">
      <w:pPr>
        <w:pStyle w:val="Heading2"/>
      </w:pPr>
      <w:r w:rsidRPr="00712F4E">
        <w:t>Data collection procedure</w:t>
      </w:r>
    </w:p>
    <w:p w14:paraId="00000028" w14:textId="2F4A756A" w:rsidR="000C5596" w:rsidRPr="00712F4E" w:rsidRDefault="001843BC">
      <w:bookmarkStart w:id="5" w:name="_heading=h.qzflmoc69g30" w:colFirst="0" w:colLast="0"/>
      <w:bookmarkEnd w:id="5"/>
      <w:r w:rsidRPr="00712F4E">
        <w:t>To help understand the actions needed to safely reduce the number of children living in OHC in Kalaallit Nunaat, the two CEI focus groups were held on the same day at</w:t>
      </w:r>
      <w:r w:rsidR="00A76FD1" w:rsidRPr="00A76FD1">
        <w:t xml:space="preserve"> Ilisimatusarfik</w:t>
      </w:r>
      <w:r w:rsidR="006D3C28" w:rsidRPr="00712F4E">
        <w:t xml:space="preserve"> </w:t>
      </w:r>
      <w:r w:rsidRPr="00712F4E">
        <w:t xml:space="preserve">(University of </w:t>
      </w:r>
      <w:r w:rsidR="00712F4E">
        <w:t>Greenland</w:t>
      </w:r>
      <w:r w:rsidRPr="00712F4E">
        <w:t>). With their consent,</w:t>
      </w:r>
      <w:r w:rsidR="006D3C28" w:rsidRPr="00712F4E">
        <w:t xml:space="preserve"> </w:t>
      </w:r>
      <w:r w:rsidR="00712F4E">
        <w:t>Jensen</w:t>
      </w:r>
      <w:r w:rsidRPr="00712F4E">
        <w:t xml:space="preserve"> interviewed the two care-experienced adults separately, away from the main group. Interviews were conducted in Danish. At the same time, </w:t>
      </w:r>
      <w:r w:rsidR="00712F4E">
        <w:t>Allen</w:t>
      </w:r>
      <w:r w:rsidRPr="00712F4E">
        <w:t xml:space="preserve"> interviewed the seven child welfare professionals in English with the support of a Greenlandic Interpreter.</w:t>
      </w:r>
    </w:p>
    <w:p w14:paraId="00000029" w14:textId="77777777" w:rsidR="000C5596" w:rsidRPr="00712F4E" w:rsidRDefault="001843BC">
      <w:r w:rsidRPr="00712F4E">
        <w:t>Both CEI focus groups followed the same semi-structured interview schedule (see Box 2), which included six shared questions and two group-specific questions, designed, as per the narrative research strategy, to acknowledge how people might engage with and express their stories differently (Rogers and Allen, 2023). Each discussion lasted one hour, and both were recorded using a digital Dictaphone. The recordings were later transcribed verbatim in Danish and English.</w:t>
      </w:r>
    </w:p>
    <w:p w14:paraId="0000002A" w14:textId="77777777" w:rsidR="000C5596" w:rsidRPr="00712F4E" w:rsidRDefault="001843BC">
      <w:pPr>
        <w:rPr>
          <w:b/>
          <w:bCs/>
          <w:i/>
          <w:iCs/>
        </w:rPr>
      </w:pPr>
      <w:r w:rsidRPr="00712F4E">
        <w:rPr>
          <w:b/>
          <w:bCs/>
          <w:i/>
          <w:iCs/>
        </w:rPr>
        <w:t>Box 2: Semi-structured Focus Group Questions</w:t>
      </w: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A76FD1" w:rsidRPr="00A76FD1" w14:paraId="14C2AA42" w14:textId="77777777">
        <w:trPr>
          <w:trHeight w:val="11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7FABA" w14:textId="77777777" w:rsidR="00A76FD1" w:rsidRPr="00A76FD1" w:rsidRDefault="00A76FD1" w:rsidP="00A76FD1">
            <w:pPr>
              <w:spacing w:line="240" w:lineRule="auto"/>
              <w:rPr>
                <w:rFonts w:ascii="Times New Roman" w:eastAsia="Times New Roman" w:hAnsi="Times New Roman" w:cs="Times New Roman"/>
                <w:sz w:val="24"/>
                <w:szCs w:val="24"/>
              </w:rPr>
            </w:pPr>
            <w:bookmarkStart w:id="6" w:name="_heading=h.klq36nf38fn7" w:colFirst="0" w:colLast="0"/>
            <w:bookmarkStart w:id="7" w:name="_heading=h.4mgzfesw7g3b" w:colFirst="0" w:colLast="0"/>
            <w:bookmarkEnd w:id="6"/>
            <w:bookmarkEnd w:id="7"/>
            <w:r w:rsidRPr="00A76FD1">
              <w:rPr>
                <w:rFonts w:eastAsia="Times New Roman"/>
                <w:color w:val="000000"/>
              </w:rPr>
              <w:lastRenderedPageBreak/>
              <w:t>1. Thank you for taking part in this discussion. What would you like to get out of this conversation (P &amp; CE) *?</w:t>
            </w:r>
          </w:p>
          <w:p w14:paraId="1E0A7DC6" w14:textId="7B4540C2"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2. Why are there four times as many children placed in out-of-home care in Kalaallit Nunaat compared to other countries in the Nordic region (P &amp; CE)?</w:t>
            </w:r>
          </w:p>
          <w:p w14:paraId="1387E45B"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3. What needs to be done to address this issue (P &amp; CE)?</w:t>
            </w:r>
          </w:p>
          <w:p w14:paraId="5F503F37"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4. If were to invite children living in OHC to this event, what do you think they might tell us about what needs to change to reduce the number living in OHC (P)?</w:t>
            </w:r>
          </w:p>
          <w:p w14:paraId="2495F7C0"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5. Reflecting on your own experiences, what do you think needs to change to reduce the number of children living in OHC (CE)?</w:t>
            </w:r>
          </w:p>
          <w:p w14:paraId="284E4144"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6. What challenges exist to prevent us from achieving these recommendations (P &amp; CE)?</w:t>
            </w:r>
          </w:p>
          <w:p w14:paraId="5D2A903D"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7. What gives you hope that the number of Greenlandic children living in OHC can be safely reduced (P &amp; CE)?</w:t>
            </w:r>
          </w:p>
          <w:p w14:paraId="44EC5963"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8. When child welfare services are improved, what will children and families notice us doing differently (P &amp; CE)?</w:t>
            </w:r>
          </w:p>
          <w:p w14:paraId="3A2E1404"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color w:val="000000"/>
              </w:rPr>
              <w:t xml:space="preserve">*Questions asked to </w:t>
            </w:r>
            <w:r w:rsidRPr="00A76FD1">
              <w:rPr>
                <w:rFonts w:eastAsia="Times New Roman"/>
                <w:b/>
                <w:bCs/>
                <w:color w:val="000000"/>
              </w:rPr>
              <w:t>P</w:t>
            </w:r>
            <w:r w:rsidRPr="00A76FD1">
              <w:rPr>
                <w:rFonts w:eastAsia="Times New Roman"/>
                <w:color w:val="000000"/>
              </w:rPr>
              <w:t xml:space="preserve">=Child Welfare Professionals or </w:t>
            </w:r>
            <w:r w:rsidRPr="00A76FD1">
              <w:rPr>
                <w:rFonts w:eastAsia="Times New Roman"/>
                <w:b/>
                <w:bCs/>
                <w:color w:val="000000"/>
              </w:rPr>
              <w:t>CE</w:t>
            </w:r>
            <w:r w:rsidRPr="00A76FD1">
              <w:rPr>
                <w:rFonts w:eastAsia="Times New Roman"/>
                <w:color w:val="000000"/>
              </w:rPr>
              <w:t>=Care Experienced Adults</w:t>
            </w:r>
          </w:p>
        </w:tc>
      </w:tr>
    </w:tbl>
    <w:p w14:paraId="0000002C" w14:textId="0B0A606D" w:rsidR="000C5596" w:rsidRPr="00712F4E" w:rsidRDefault="00A76FD1">
      <w:pPr>
        <w:pStyle w:val="Heading2"/>
      </w:pPr>
      <w:r w:rsidRPr="00712F4E">
        <w:t xml:space="preserve"> </w:t>
      </w:r>
      <w:r w:rsidR="001843BC" w:rsidRPr="00712F4E">
        <w:t xml:space="preserve">Data Analysis </w:t>
      </w:r>
    </w:p>
    <w:p w14:paraId="0000002D" w14:textId="2D5EB2E4" w:rsidR="000C5596" w:rsidRPr="00712F4E" w:rsidRDefault="001843BC">
      <w:pPr>
        <w:spacing w:before="260" w:after="260"/>
      </w:pPr>
      <w:r w:rsidRPr="00712F4E">
        <w:t xml:space="preserve">Throughout the analytical process, the researchers remained reflexively aware of their own positionalities. Although both are social work academics, one is based in </w:t>
      </w:r>
      <w:r w:rsidR="00712F4E">
        <w:t>Greenland</w:t>
      </w:r>
      <w:r w:rsidRPr="00712F4E">
        <w:t xml:space="preserve">, and one is based in </w:t>
      </w:r>
      <w:r w:rsidR="00712F4E">
        <w:t>the United Kingdom</w:t>
      </w:r>
      <w:r w:rsidRPr="00712F4E">
        <w:t>. This geographic and cultural positioning helped to shape the interpretive process by promoting dialogue throughout. Regular reflexive discussions also examined assumptions, interpretations, and language during coding and theme development. Following Guba and Lincoln’s (2005) example, thematic analysis proceeded through iterative stages of familiarisation, manual coding and categorisation. Emerging themes were compared across coders to ensure consistency, and preliminary findings were shared with the CEI group for validation, enhancing both analytical rigour and cultural integrity.</w:t>
      </w:r>
    </w:p>
    <w:p w14:paraId="0000002E" w14:textId="77777777" w:rsidR="000C5596" w:rsidRPr="00712F4E" w:rsidRDefault="001843BC">
      <w:pPr>
        <w:spacing w:before="260" w:after="260"/>
      </w:pPr>
      <w:r w:rsidRPr="00712F4E">
        <w:t xml:space="preserve">Following manual coding, emerging themes and associated direct quotes were reviewed to develop narratives around three core themes: ‘Echoes of the Past’, ‘Courage in the Flames’ and ‘Safeguarding the Future’. A summary of the social work research needed to support efforts to safeguard, support, and protect Greenlandic children within their family homes was then shared with the CEI for approval. Following this validation activity, no changes or amendments were made or requested. </w:t>
      </w:r>
    </w:p>
    <w:p w14:paraId="0000002F" w14:textId="77777777" w:rsidR="000C5596" w:rsidRPr="00712F4E" w:rsidRDefault="001843BC">
      <w:pPr>
        <w:pStyle w:val="Heading2"/>
      </w:pPr>
      <w:r w:rsidRPr="00712F4E">
        <w:t>Findings</w:t>
      </w:r>
    </w:p>
    <w:p w14:paraId="00000030" w14:textId="77777777" w:rsidR="000C5596" w:rsidRPr="00712F4E" w:rsidRDefault="001843BC">
      <w:pPr>
        <w:spacing w:before="260" w:after="260"/>
      </w:pPr>
      <w:r w:rsidRPr="00712F4E">
        <w:t xml:space="preserve">The narratives presented below highlight the conversations that led to the identification of preliminary research activities needed to inform efforts to safely reduce the number of children in OHC in Kalaallit Nunaat. </w:t>
      </w:r>
    </w:p>
    <w:p w14:paraId="00000031" w14:textId="77777777" w:rsidR="000C5596" w:rsidRPr="00712F4E" w:rsidRDefault="001843BC">
      <w:pPr>
        <w:pStyle w:val="Heading3"/>
      </w:pPr>
      <w:r w:rsidRPr="00712F4E">
        <w:t>Echoes of the Past</w:t>
      </w:r>
    </w:p>
    <w:p w14:paraId="00000032" w14:textId="77777777" w:rsidR="000C5596" w:rsidRPr="00712F4E" w:rsidRDefault="001843BC">
      <w:r w:rsidRPr="00712F4E">
        <w:t xml:space="preserve">Both CEI groups reflected on the underlying reasons behind the increasing number of children living in OHC, describing a complex interplay between social development, outdated and under-resourced </w:t>
      </w:r>
      <w:r w:rsidRPr="00712F4E">
        <w:lastRenderedPageBreak/>
        <w:t xml:space="preserve">care and support systems, and a European model of child protection that did not always account for the Greenlandic perspective. In support of the findings presented by Ingemann et al. (2024), they explained how European legislation was focusing child protection practice in Kalaallit Nunaat on personal responsibility and self-sufficiency. According to both groups, the expansion of individualism was masking systemic inequalities that might contribute to the rising number of children in OHC. Inequalities that included limited access to education and unemployment were described as examples of cultural erosion or dislocation that echo Kalaallit Nunaat’s colonial past. </w:t>
      </w:r>
    </w:p>
    <w:p w14:paraId="00000033" w14:textId="77777777" w:rsidR="000C5596" w:rsidRPr="00712F4E" w:rsidRDefault="001843BC">
      <w:r w:rsidRPr="00712F4E">
        <w:t>With a focus on transformative change, both CEI groups spoke about the urgent need to reform the purpose and function of child welfare services in Kalaallit Nunaat, so they are better aligned to the needs of the families living there:</w:t>
      </w:r>
    </w:p>
    <w:p w14:paraId="00000034"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‘Our system is based on a European approach, and I think we need to define what will work in a Greenlandic context. Our legislation is also based on Western legislation, Western ambitions, really, and we have difficulties meeting those. I believe we need to redefine our own ambitions in Greenland. In our own terms and our own collective context.’                                                                                                                                          (Children’s Rights Lead)</w:t>
      </w:r>
    </w:p>
    <w:p w14:paraId="00000035" w14:textId="77777777" w:rsidR="000C5596" w:rsidRPr="00712F4E" w:rsidRDefault="001843BC">
      <w:r w:rsidRPr="00712F4E">
        <w:t xml:space="preserve">The above excerpt provides a good representation of the discussion on the need to redefine child protection legislation and welfare services. Although the Self-Government Act recognised that the people of Kalaallit Nunaat have a right to self-determination since 2009, both CEI groups were concerned about how well this right was being afforded. For example, they explained that although Meeqqat tapersersorneqarnissaannut Inatsisartut inatsisaat (Greenlandic Act on the Support of Children) is a key piece of social welfare legislation passed by Inatsisartut (the Parliament of Greenland) in 2017, they were not sure how far it had been adapted to reflect the cultural and geographic context of Kalaallit Nunaat, where challenges such as remote communities, intergenerational trauma, and limited social services capacity shape the implementation of child protection policy. Both groups agreed that by redefining statutory child protection practice frameworks, social workers might be better supported to tackle the root cause of the systemic inequalities that exist: </w:t>
      </w:r>
    </w:p>
    <w:p w14:paraId="00000036" w14:textId="77777777" w:rsidR="000C5596" w:rsidRPr="00712F4E" w:rsidRDefault="001843BC">
      <w:pPr>
        <w:pBdr>
          <w:top w:val="nil"/>
          <w:left w:val="nil"/>
          <w:bottom w:val="nil"/>
          <w:right w:val="nil"/>
          <w:between w:val="nil"/>
        </w:pBdr>
        <w:spacing w:before="0" w:after="0"/>
        <w:ind w:left="864" w:right="864"/>
        <w:jc w:val="center"/>
        <w:rPr>
          <w:i/>
          <w:iCs/>
        </w:rPr>
      </w:pPr>
      <w:bookmarkStart w:id="8" w:name="_heading=h.4zr2arobdx0l" w:colFirst="0" w:colLast="0"/>
      <w:bookmarkEnd w:id="8"/>
      <w:r w:rsidRPr="00712F4E">
        <w:rPr>
          <w:i/>
          <w:iCs/>
        </w:rPr>
        <w:t>‘The number of children in OHC is increasing because a lot of families are living with intergenerational trauma. You cannot overlook it because it goes back so many years. Parents have faced many pains in their lives and if they haven’t gotten any help, it just continues.’</w:t>
      </w:r>
    </w:p>
    <w:p w14:paraId="00000037" w14:textId="77777777" w:rsidR="000C5596" w:rsidRPr="00712F4E" w:rsidRDefault="001843BC">
      <w:pPr>
        <w:pBdr>
          <w:top w:val="nil"/>
          <w:left w:val="nil"/>
          <w:bottom w:val="nil"/>
          <w:right w:val="nil"/>
          <w:between w:val="nil"/>
        </w:pBdr>
        <w:spacing w:before="0" w:after="0"/>
        <w:ind w:left="864" w:right="864"/>
        <w:jc w:val="center"/>
        <w:rPr>
          <w:i/>
          <w:iCs/>
        </w:rPr>
      </w:pPr>
      <w:bookmarkStart w:id="9" w:name="_heading=h.uj9047ct183d" w:colFirst="0" w:colLast="0"/>
      <w:bookmarkEnd w:id="9"/>
      <w:r w:rsidRPr="00712F4E">
        <w:rPr>
          <w:i/>
          <w:iCs/>
        </w:rPr>
        <w:t>(Human Rights Lead)</w:t>
      </w:r>
    </w:p>
    <w:p w14:paraId="00000038" w14:textId="77777777" w:rsidR="000C5596" w:rsidRPr="00712F4E" w:rsidRDefault="001843BC">
      <w:r w:rsidRPr="00712F4E">
        <w:t>As illustrated above, the CEI groups agreed that the pain associated with the unacknowledged impact of intergenerational trauma is being exacerbated by the absence of structured support and assistance. In line with the findings of Ingemann et al. (2024), both groups described intergenerational trauma as the social and emotional harm stemming from rapid social change and colonisation. Notably, however, neither group referred to community or family resistance, including the strategies used to prevent the removal of children. When asked why experiences of trauma persist, participants in both groups emphasised the ongoing effects of colonisation and the power that child protection systems exert over families and communities. They also observed that, without reliable and comprehensive data, it remains difficult to identify emerging patterns of either oppression or resistance in response to the trauma associated with rapid social development or child removal.</w:t>
      </w:r>
    </w:p>
    <w:p w14:paraId="00000039" w14:textId="77777777" w:rsidR="000C5596" w:rsidRPr="00712F4E" w:rsidRDefault="001843BC">
      <w:r w:rsidRPr="00712F4E">
        <w:lastRenderedPageBreak/>
        <w:t xml:space="preserve">The final observation of both CEI groups concerning ‘echoes of the past’, told of relationships between parents and social workers that were characterised by poor communication, shame, and individualism:   </w:t>
      </w:r>
    </w:p>
    <w:p w14:paraId="0000003A"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 xml:space="preserve">‘I think that a lack of communication can contribute to children being placed in care...There is a lack of communication between the parents and the social workers, </w:t>
      </w:r>
      <w:proofErr w:type="gramStart"/>
      <w:r w:rsidRPr="00712F4E">
        <w:rPr>
          <w:i/>
          <w:iCs/>
        </w:rPr>
        <w:t>and also</w:t>
      </w:r>
      <w:proofErr w:type="gramEnd"/>
      <w:r w:rsidRPr="00712F4E">
        <w:rPr>
          <w:i/>
          <w:iCs/>
        </w:rPr>
        <w:t xml:space="preserve"> shame, I think. Parents are ashamed of their [situations]... It's their business, it's their problems.’</w:t>
      </w:r>
    </w:p>
    <w:p w14:paraId="0000003B"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(Care Experienced Adult 2)</w:t>
      </w:r>
    </w:p>
    <w:p w14:paraId="0000003C" w14:textId="77777777" w:rsidR="000C5596" w:rsidRPr="00712F4E" w:rsidRDefault="001843BC">
      <w:r w:rsidRPr="00712F4E">
        <w:t xml:space="preserve">In this excerpt, the description of ‘a lack of communication’ was presented as a contributing factor in the number of children being placed in OHC. According to the care-experienced CEI group, developing a theoretical explanation of the relationship between children, families, communities and social workers could help advance an understanding of the restorative and remedial efforts needed to improve communication, in line with the Greenlandic Act on the Support of Children (2017).  </w:t>
      </w:r>
    </w:p>
    <w:p w14:paraId="0000003D" w14:textId="77777777" w:rsidR="000C5596" w:rsidRPr="00712F4E" w:rsidRDefault="001843BC">
      <w:r w:rsidRPr="00712F4E">
        <w:t>Whilst it is unclear whether ‘a lack of communication’ being described is the result of colonisation, rapid social development, state violence, or something else, the description of families being reluctant to collaborate with social workers appeared to stem from a series of complex societal and cultural factors. By reflecting on the relationship between families and social workers, the child welfare CEI group explained how, on the one hand, shame, stigma and a preference for interfamilial privacy can silence families and prevent them from seeking or accepting help. On the other hand, they explained how social workers can blame families for the situation that they are in:</w:t>
      </w:r>
    </w:p>
    <w:p w14:paraId="0000003E"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‘Prevention really is the best approach. Therapy and support services are essential, but we can’t change a family that doesn’t want to change. Sadly, there are only a few families who can make those changes. In some cases, the families themselves agree to have their children placed elsewhere, recognising that it might give the kids a better life.’                                                                                           (Senior Civil Servant 1)</w:t>
      </w:r>
    </w:p>
    <w:p w14:paraId="0000003F" w14:textId="77777777" w:rsidR="000C5596" w:rsidRPr="00712F4E" w:rsidRDefault="001843BC">
      <w:r w:rsidRPr="00712F4E">
        <w:t xml:space="preserve">In this excerpt, the influence of individualism emerges in the suggestion that some families living with the effects of structural inequalities, described by the group as poverty, unemployment and mental health difficulties, do not want to change. However, the suggestion that some families might ask to place their child in OHC, to give them ‘a better life’, suggests that they do. Understanding how and why structural inequalities are limiting the choices available to families, and positioning OHC as an opportunity to resist inequality and advance their child’s emancipation, emerged as an identified area of future research. </w:t>
      </w:r>
    </w:p>
    <w:p w14:paraId="00000040" w14:textId="77777777" w:rsidR="000C5596" w:rsidRPr="00712F4E" w:rsidRDefault="001843BC">
      <w:pPr>
        <w:pStyle w:val="Heading3"/>
      </w:pPr>
      <w:bookmarkStart w:id="10" w:name="_heading=h.hjp0zelfbcv1" w:colFirst="0" w:colLast="0"/>
      <w:bookmarkEnd w:id="10"/>
      <w:r w:rsidRPr="00712F4E">
        <w:t>Courage in the Flames</w:t>
      </w:r>
    </w:p>
    <w:p w14:paraId="00000041" w14:textId="77777777" w:rsidR="000C5596" w:rsidRPr="00712F4E" w:rsidRDefault="001843BC">
      <w:r w:rsidRPr="00712F4E">
        <w:t>Focussing the conversation on child protection practice, the child welfare CEI group explained how the Greenlandic Act on the Support of Children (2017) reinforced the need to prioritise incremental interventions in child protection, social protection, and family-strengthening services. However, despite this duty, the group suggested that a national shortage of social workers meant that services were being targeted more towards crisis intervention. Rather than preventing interfamilial crisis in a timely and incremental manner, the child welfare CEI group described how social workers in Kalaallit Nunaat needed ‘courage in the flames’ as they moved to manage emergencies:</w:t>
      </w:r>
    </w:p>
    <w:p w14:paraId="00000042" w14:textId="77777777" w:rsidR="000C5596" w:rsidRPr="00712F4E" w:rsidRDefault="001843BC">
      <w:pPr>
        <w:pBdr>
          <w:top w:val="nil"/>
          <w:left w:val="nil"/>
          <w:bottom w:val="nil"/>
          <w:right w:val="nil"/>
          <w:between w:val="nil"/>
        </w:pBdr>
        <w:spacing w:before="0" w:after="0"/>
        <w:ind w:left="864" w:right="864"/>
        <w:jc w:val="center"/>
        <w:rPr>
          <w:i/>
          <w:iCs/>
        </w:rPr>
      </w:pPr>
      <w:bookmarkStart w:id="11" w:name="_heading=h.njks5zm58eag" w:colFirst="0" w:colLast="0"/>
      <w:bookmarkEnd w:id="11"/>
      <w:r w:rsidRPr="00712F4E">
        <w:rPr>
          <w:i/>
          <w:iCs/>
        </w:rPr>
        <w:lastRenderedPageBreak/>
        <w:t xml:space="preserve">‘We know that here in Greenland, the lack of social workers means that they always </w:t>
      </w:r>
      <w:proofErr w:type="gramStart"/>
      <w:r w:rsidRPr="00712F4E">
        <w:rPr>
          <w:i/>
          <w:iCs/>
        </w:rPr>
        <w:t>have to</w:t>
      </w:r>
      <w:proofErr w:type="gramEnd"/>
      <w:r w:rsidRPr="00712F4E">
        <w:rPr>
          <w:i/>
          <w:iCs/>
        </w:rPr>
        <w:t xml:space="preserve"> put down fire. And you have hundreds of active cases. I think the quality of your choices is lacking because you have too many cases you have to look at per day.’                                                                             </w:t>
      </w:r>
    </w:p>
    <w:p w14:paraId="00000043"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 xml:space="preserve"> (Social Worker)</w:t>
      </w:r>
    </w:p>
    <w:p w14:paraId="00000044" w14:textId="77777777" w:rsidR="000C5596" w:rsidRPr="00712F4E" w:rsidRDefault="001843BC">
      <w:r w:rsidRPr="00712F4E">
        <w:t xml:space="preserve">In the above excerpt, the expression </w:t>
      </w:r>
      <w:r w:rsidRPr="00712F4E">
        <w:rPr>
          <w:i/>
          <w:iCs/>
        </w:rPr>
        <w:t>‘have to put down fire’</w:t>
      </w:r>
      <w:r w:rsidRPr="00712F4E">
        <w:t xml:space="preserve"> underscored the need to understand how a national shortage of social workers is impacting the organisation and management of child protection, social protection, and family-strengthening services. The child welfare CEI group was concerned that a social worker with </w:t>
      </w:r>
      <w:r w:rsidRPr="00712F4E">
        <w:rPr>
          <w:i/>
          <w:iCs/>
        </w:rPr>
        <w:t xml:space="preserve">‘hundreds of active </w:t>
      </w:r>
      <w:proofErr w:type="gramStart"/>
      <w:r w:rsidRPr="00712F4E">
        <w:rPr>
          <w:i/>
          <w:iCs/>
        </w:rPr>
        <w:t>cases’</w:t>
      </w:r>
      <w:proofErr w:type="gramEnd"/>
      <w:r w:rsidRPr="00712F4E">
        <w:rPr>
          <w:i/>
          <w:iCs/>
        </w:rPr>
        <w:t xml:space="preserve"> </w:t>
      </w:r>
      <w:r w:rsidRPr="00712F4E">
        <w:t xml:space="preserve">might only prioritise children at immediate risk of harm, limiting the attention given to families who might need more informal, or incremental, interventions. Understanding how social workers are managing to cope with such high caseloads, and the pressure of always having to </w:t>
      </w:r>
      <w:r w:rsidRPr="00712F4E">
        <w:rPr>
          <w:i/>
          <w:iCs/>
        </w:rPr>
        <w:t>‘put down fire’</w:t>
      </w:r>
      <w:r w:rsidRPr="00712F4E">
        <w:t>, was identified as an important area of research.</w:t>
      </w:r>
    </w:p>
    <w:p w14:paraId="00000045" w14:textId="77777777" w:rsidR="000C5596" w:rsidRPr="00712F4E" w:rsidRDefault="001843BC">
      <w:r w:rsidRPr="00712F4E">
        <w:t>Reflecting on the national shortage of social workers, the child welfare CEI group explained how social workers, struggling under high workloads, are experiencing work-related stress, affecting the quality and reliability of the assessments and recommendations being made. The group was also concerned that social workers, engaged in managing high levels of risk and complexity, were being overwhelmed and unsupported, potentially placing children in OHC unnecessarily:</w:t>
      </w:r>
    </w:p>
    <w:p w14:paraId="00000046"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‘So, you’re under pressure, maybe you know these people because you are in the community, your managers neglect you as a worker by not giving you support, and time is so under pressure that it is very difficult to have good quality decision making.’</w:t>
      </w:r>
    </w:p>
    <w:p w14:paraId="00000047"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(Senior Civil Servant 2)</w:t>
      </w:r>
    </w:p>
    <w:p w14:paraId="00000048" w14:textId="77777777" w:rsidR="000C5596" w:rsidRPr="00712F4E" w:rsidRDefault="001843BC">
      <w:bookmarkStart w:id="12" w:name="_heading=h.z4lj2h9tbyc4" w:colFirst="0" w:colLast="0"/>
      <w:bookmarkEnd w:id="12"/>
      <w:r w:rsidRPr="00712F4E">
        <w:t xml:space="preserve">As shown above, the child welfare CEI group began to consider how the pressure of increased workloads could influence the decisions being made about how to protect children at risk of entering OHC. When asked to consider a solution, they agreed that the actions needed to safely reduce the number of children in OHC required an understanding of the day-to-day risks that social workers are managing and how their decisions, wellbeing and welfare are being supported through training and professional supervision. </w:t>
      </w:r>
    </w:p>
    <w:p w14:paraId="00000049" w14:textId="77777777" w:rsidR="000C5596" w:rsidRPr="00712F4E" w:rsidRDefault="001843BC">
      <w:r w:rsidRPr="00712F4E">
        <w:t xml:space="preserve">According to the group, the stress experienced by social workers in Kalaallit Nunaat can be unique because they are often isolated, working in small communities not connected by roads. The group explained that the position of social workers in small communities also means that they can experience complex personal and professional ethical dilemmas, particularly when difficult decisions are required to keep a child safe within the family home. Although the social worker is duty-bound to protect children from harm, they must remain within the community, potentially living amongst the families they work to support. Reflecting on the tension created by such a position, the child welfare CEI group described the urgent need to develop a framework of support that enables social workers to have ‘courage in the flames’ as they make well-informed, high-quality and defensible decisions. </w:t>
      </w:r>
    </w:p>
    <w:p w14:paraId="0000004A" w14:textId="77777777" w:rsidR="000C5596" w:rsidRPr="00712F4E" w:rsidRDefault="001843BC">
      <w:pPr>
        <w:pStyle w:val="Heading3"/>
      </w:pPr>
      <w:r w:rsidRPr="00712F4E">
        <w:t>Safeguard Family Futures</w:t>
      </w:r>
    </w:p>
    <w:p w14:paraId="0000004B" w14:textId="77777777" w:rsidR="000C5596" w:rsidRPr="00712F4E" w:rsidRDefault="001843BC">
      <w:r w:rsidRPr="00712F4E">
        <w:t>The need to understand how social workers in Kalaallit Nunaat make well-informed, high-quality and defensible decisions is related to the need to understand how systematic inequalities are making the lives of families in Kalaallit Nunaat harder. According to the care-experienced CEI group, social workers did little to help their families as soon as problems were encountered:</w:t>
      </w:r>
    </w:p>
    <w:p w14:paraId="0000004C"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lastRenderedPageBreak/>
        <w:t xml:space="preserve">‘Greenland is a kind of young nation socially. There have not been so many places to turn to or get help. And to that extent, it has resulted in poor upbringing and experience through childhood because there has been a lack of help in the form of social services. There is so much social inheritance that has been decisive for the fact that there are so many children who are placed outside their homes.’ </w:t>
      </w:r>
    </w:p>
    <w:p w14:paraId="0000004D"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(Care Experienced Adult 1)</w:t>
      </w:r>
    </w:p>
    <w:p w14:paraId="0000004E" w14:textId="77777777" w:rsidR="000C5596" w:rsidRPr="00712F4E" w:rsidRDefault="001843BC">
      <w:r w:rsidRPr="00712F4E">
        <w:t xml:space="preserve">In this excerpt, the term ‘social inheritance’ was used to describe social determinants of inequality. It underscored the concern that social workers can sometimes fail to address systemic causes of family separation, such as poverty, discrimination, and limited access to essential services. For the care-experienced CEI group, the impact of social development was not consistently understood by child protection, social protection, and family-strengthening services. As a result, the group agreed that Greenlandic social work theories and methods should be developed to enable social workers to assess, plan, implement and evaluate services designed to respond to the various ways that rapid social development has destabilised traditional family structures and eroded cultural practices. Both groups agreed that when the effects of rapid social development are not accompanied by a reliable evidence-informed approach to practice, social workers can struggle to promote the stability of protective family systems. Conceptualising the impact of rapid social development on family life in Kalaallit Nunaat was identified by both groups as a research priority needed to develop the evidence-informed approaches needed to </w:t>
      </w:r>
      <w:r w:rsidRPr="00712F4E">
        <w:rPr>
          <w:i/>
          <w:iCs/>
        </w:rPr>
        <w:t xml:space="preserve">‘safeguard family </w:t>
      </w:r>
      <w:proofErr w:type="gramStart"/>
      <w:r w:rsidRPr="00712F4E">
        <w:rPr>
          <w:i/>
          <w:iCs/>
        </w:rPr>
        <w:t>futures’</w:t>
      </w:r>
      <w:proofErr w:type="gramEnd"/>
      <w:r w:rsidRPr="00712F4E">
        <w:rPr>
          <w:i/>
          <w:iCs/>
        </w:rPr>
        <w:t>.</w:t>
      </w:r>
      <w:r w:rsidRPr="00712F4E">
        <w:t xml:space="preserve">  </w:t>
      </w:r>
    </w:p>
    <w:p w14:paraId="0000004F" w14:textId="77777777" w:rsidR="000C5596" w:rsidRPr="00712F4E" w:rsidRDefault="001843BC">
      <w:pPr>
        <w:rPr>
          <w:b/>
          <w:bCs/>
        </w:rPr>
      </w:pPr>
      <w:r w:rsidRPr="00712F4E">
        <w:rPr>
          <w:b/>
          <w:bCs/>
        </w:rPr>
        <w:t>Strengthening Communities Beyond Risk</w:t>
      </w:r>
    </w:p>
    <w:p w14:paraId="00000050" w14:textId="77777777" w:rsidR="000C5596" w:rsidRPr="00712F4E" w:rsidRDefault="001843BC">
      <w:bookmarkStart w:id="13" w:name="_heading=h.clhu6ciyjqxn" w:colFirst="0" w:colLast="0"/>
      <w:bookmarkEnd w:id="13"/>
      <w:r w:rsidRPr="00712F4E">
        <w:t>Both CEI groups focussed on the need to examine ways to reduce the stigma and shame associated with social work intervention. They also questioned the ability of social workers to engage notions of community responsibility, where the support for the well-being of children and families is viewed as the responsibility of everyone involved in the wider social network:</w:t>
      </w:r>
    </w:p>
    <w:p w14:paraId="00000051"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 xml:space="preserve">‘I think our society, we’re 57.000 people. We also need doctors, teachers, police, social workers, but in this small community that is difficult to build up, I think every person that lives in Greenland </w:t>
      </w:r>
      <w:proofErr w:type="gramStart"/>
      <w:r w:rsidRPr="00712F4E">
        <w:rPr>
          <w:i/>
          <w:iCs/>
        </w:rPr>
        <w:t>has to</w:t>
      </w:r>
      <w:proofErr w:type="gramEnd"/>
      <w:r w:rsidRPr="00712F4E">
        <w:rPr>
          <w:i/>
          <w:iCs/>
        </w:rPr>
        <w:t xml:space="preserve"> take responsibility.’                                                                                                (Children’s Home Manager 1)</w:t>
      </w:r>
    </w:p>
    <w:p w14:paraId="00000052" w14:textId="77777777" w:rsidR="000C5596" w:rsidRPr="00712F4E" w:rsidRDefault="001843BC">
      <w:r w:rsidRPr="00712F4E">
        <w:t xml:space="preserve">As suggested in the above excerpt, the groups agreed that the ambition for social work in Kalaallit Nunaat should be to foster a sense of shared responsibility, where communities support one another and work together to support and safeguard the welfare of all children. The groups agreed that research could be used to inform positive community-based support systems, emphasising the need to prevent the unnecessary placement of children in OHC. When asked to explain what </w:t>
      </w:r>
      <w:r w:rsidRPr="00712F4E">
        <w:rPr>
          <w:i/>
          <w:iCs/>
        </w:rPr>
        <w:t>‘responsibility’</w:t>
      </w:r>
      <w:r w:rsidRPr="00712F4E">
        <w:t xml:space="preserve"> meant, the child welfare CEI group suggested that social workers should be equipped with the knowledge needed to help communities take an active role in looking after each other, offering mutual support, and addressing issues collaboratively, whether through informal networks or structured programs. However, reflecting on an earlier discussion on rapid social development, the group agreed that the challenge to advancing this recommendation, particularly in Nuuk, circled back to the legacy of individualism:</w:t>
      </w:r>
    </w:p>
    <w:p w14:paraId="00000053"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‘When I was a child, it was part of Greenlandic culture to help each other and guide each other, right? If there was someone who did something wrong in the city, [people] would shout, 'Tassa naammaqaaq!' (Stop - that is enough!) But it has completely disappeared because people don't want to take responsibility.’                                                                                                         (Human Rights Lead)</w:t>
      </w:r>
    </w:p>
    <w:p w14:paraId="00000054" w14:textId="77777777" w:rsidR="000C5596" w:rsidRPr="00712F4E" w:rsidRDefault="001843BC">
      <w:r w:rsidRPr="00712F4E">
        <w:lastRenderedPageBreak/>
        <w:t xml:space="preserve">As suggested in the above excerpt, the child welfare CEI group felt that rapid social development had eroded a sense of responsibility in some parts of Kalaallit Nunaat, with people living in urban areas like Nuuk generally described as being less willing to take responsibility for protecting another person’s well-being. According to both groups, understanding how and why social development is reducing responsibility, and how the tradition to help and guide others might exist differently in urban and rural areas of Kalaallit Nunaat, is another important area of research. </w:t>
      </w:r>
    </w:p>
    <w:p w14:paraId="00000055" w14:textId="77777777" w:rsidR="000C5596" w:rsidRPr="00712F4E" w:rsidRDefault="001843BC">
      <w:pPr>
        <w:rPr>
          <w:b/>
          <w:bCs/>
        </w:rPr>
      </w:pPr>
      <w:r w:rsidRPr="00712F4E">
        <w:rPr>
          <w:b/>
          <w:bCs/>
        </w:rPr>
        <w:t>Discussion</w:t>
      </w:r>
    </w:p>
    <w:p w14:paraId="00000056" w14:textId="77777777" w:rsidR="000C5596" w:rsidRPr="00712F4E" w:rsidRDefault="001843BC">
      <w:r w:rsidRPr="00712F4E">
        <w:t xml:space="preserve">The narrative occasion facilitated by this study enabled both groups to recommend research areas that could focus social work practice towards a deeper engagement with the social determinants of child welfare. While the steps taken to strengthen local ownership of research processes through the CEI group, the child welfare professionals remained concerned that not enough would be done to turn the narrative occasion into concrete action: </w:t>
      </w:r>
    </w:p>
    <w:p w14:paraId="00000057" w14:textId="77777777" w:rsidR="000C5596" w:rsidRPr="00712F4E" w:rsidRDefault="001843BC">
      <w:pPr>
        <w:pBdr>
          <w:top w:val="nil"/>
          <w:left w:val="nil"/>
          <w:bottom w:val="nil"/>
          <w:right w:val="nil"/>
          <w:between w:val="nil"/>
        </w:pBdr>
        <w:spacing w:before="0" w:after="0"/>
        <w:ind w:left="864" w:right="864"/>
        <w:jc w:val="center"/>
        <w:rPr>
          <w:i/>
          <w:iCs/>
        </w:rPr>
      </w:pPr>
      <w:r w:rsidRPr="00712F4E">
        <w:rPr>
          <w:i/>
          <w:iCs/>
        </w:rPr>
        <w:t>‘We are quite good at gathering on occasion and talking about ‘What should we do?’ But it stops there. We are not that good at implementing. And not in a manner where the children feel we do something for them, or the families.’                                                                        (Senior Civil Servant 2)</w:t>
      </w:r>
    </w:p>
    <w:p w14:paraId="00000058" w14:textId="25019D23" w:rsidR="000C5596" w:rsidRPr="00712F4E" w:rsidRDefault="001843BC">
      <w:r w:rsidRPr="00712F4E">
        <w:t xml:space="preserve">The above excerpt summarises a conversation on the need for proactive and positive action. For the child welfare CEI group, efforts to reduce the number of children living in OHC would only be realised if there were sufficient evidence-informed and rights-based strategies needed to inspire opportunities for lasting change. Therefore, by reflecting on the key areas of research described during the CEI event, seven research objectives have been identified to realise the aim to safely reduce the number of children living in OHC in Kalaallit Nunaat. </w:t>
      </w:r>
    </w:p>
    <w:p w14:paraId="00000059" w14:textId="77777777" w:rsidR="000C5596" w:rsidRPr="00712F4E" w:rsidRDefault="001843BC">
      <w:pPr>
        <w:rPr>
          <w:b/>
          <w:bCs/>
        </w:rPr>
      </w:pPr>
      <w:r w:rsidRPr="00712F4E">
        <w:rPr>
          <w:b/>
          <w:bCs/>
        </w:rPr>
        <w:t>Table A: Seven Research Objectives</w:t>
      </w:r>
    </w:p>
    <w:p w14:paraId="29F520FF" w14:textId="77777777" w:rsidR="00A76FD1" w:rsidRPr="00A76FD1" w:rsidRDefault="00A76FD1" w:rsidP="00A76FD1">
      <w:pPr>
        <w:spacing w:line="240" w:lineRule="auto"/>
        <w:rPr>
          <w:rFonts w:ascii="Times New Roman" w:eastAsia="Times New Roman" w:hAnsi="Times New Roman" w:cs="Times New Roman"/>
          <w:sz w:val="24"/>
          <w:szCs w:val="24"/>
        </w:rPr>
      </w:pPr>
      <w:r w:rsidRPr="00A76FD1">
        <w:rPr>
          <w:rFonts w:eastAsia="Times New Roman"/>
          <w:b/>
          <w:bCs/>
          <w:color w:val="000000"/>
        </w:rPr>
        <w:t>Table A: Seven Research Objectives</w:t>
      </w:r>
    </w:p>
    <w:tbl>
      <w:tblPr>
        <w:tblW w:w="0" w:type="auto"/>
        <w:tblCellMar>
          <w:top w:w="15" w:type="dxa"/>
          <w:left w:w="15" w:type="dxa"/>
          <w:bottom w:w="15" w:type="dxa"/>
          <w:right w:w="15" w:type="dxa"/>
        </w:tblCellMar>
        <w:tblLook w:val="04A0" w:firstRow="1" w:lastRow="0" w:firstColumn="1" w:lastColumn="0" w:noHBand="0" w:noVBand="1"/>
      </w:tblPr>
      <w:tblGrid>
        <w:gridCol w:w="1137"/>
        <w:gridCol w:w="7879"/>
      </w:tblGrid>
      <w:tr w:rsidR="00A76FD1" w:rsidRPr="00A76FD1" w14:paraId="0D10C27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FA443"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b/>
                <w:bCs/>
                <w:color w:val="000000"/>
              </w:rPr>
              <w:t>Objective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D7F12"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b/>
                <w:bCs/>
                <w:color w:val="000000"/>
              </w:rPr>
              <w:t>Description </w:t>
            </w:r>
          </w:p>
        </w:tc>
      </w:tr>
      <w:tr w:rsidR="00A76FD1" w:rsidRPr="00A76FD1" w14:paraId="027B543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1ECEE"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5726"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Examine and compare Greenlandic and Danish child protection legislation and statutory guidance to assess the extent to which Greenlandic perspectives are integrated.</w:t>
            </w:r>
          </w:p>
        </w:tc>
      </w:tr>
      <w:tr w:rsidR="00A76FD1" w:rsidRPr="00A76FD1" w14:paraId="7249E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A0B0F"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712D3"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Map the geographical distribution of family support services in Kalaallit Nunaat, identifying their core aims and objectives.</w:t>
            </w:r>
          </w:p>
        </w:tc>
      </w:tr>
      <w:tr w:rsidR="00A76FD1" w:rsidRPr="00A76FD1" w14:paraId="172E8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98742"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6A2C0"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Analyse the demographics, characteristics, and trends within Kalaallit Nunaat’s OHC population.</w:t>
            </w:r>
          </w:p>
        </w:tc>
      </w:tr>
      <w:tr w:rsidR="00A76FD1" w:rsidRPr="00A76FD1" w14:paraId="247BC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F65A9"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C086B"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Explore how inequality and rapid social development are influencing family life in Kalaallit Nunaat.</w:t>
            </w:r>
          </w:p>
        </w:tc>
      </w:tr>
      <w:tr w:rsidR="00A76FD1" w:rsidRPr="00A76FD1" w14:paraId="3B5126D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CF62B"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CA8B6"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Develop social work theories and methods needed to assess and mitigate the harmful effects of rapid social development on family life in Kalaallit Nunaat.</w:t>
            </w:r>
          </w:p>
        </w:tc>
      </w:tr>
      <w:tr w:rsidR="00A76FD1" w:rsidRPr="00A76FD1" w14:paraId="1F70B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B959E"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798E0"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Evaluate the strengths and limitations of current approaches to casework, management, and professional supervision within Greenlandic child protection services.</w:t>
            </w:r>
          </w:p>
        </w:tc>
      </w:tr>
      <w:tr w:rsidR="00A76FD1" w:rsidRPr="00A76FD1" w14:paraId="1D8F2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CE242"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0D319" w14:textId="77777777" w:rsidR="00A76FD1" w:rsidRPr="00A76FD1" w:rsidRDefault="00A76FD1" w:rsidP="00A76FD1">
            <w:pPr>
              <w:spacing w:before="0" w:after="0" w:line="240" w:lineRule="auto"/>
              <w:rPr>
                <w:rFonts w:ascii="Times New Roman" w:eastAsia="Times New Roman" w:hAnsi="Times New Roman" w:cs="Times New Roman"/>
                <w:sz w:val="24"/>
                <w:szCs w:val="24"/>
              </w:rPr>
            </w:pPr>
            <w:r w:rsidRPr="00A76FD1">
              <w:rPr>
                <w:rFonts w:eastAsia="Times New Roman"/>
                <w:color w:val="000000"/>
              </w:rPr>
              <w:t>Use evidence gathered from objectives 1-6 to design and present evidence-informed, rights-based strategies aimed at safely reducing the number of children entering out-of-home care in Kalaallit Nunaat.</w:t>
            </w:r>
          </w:p>
        </w:tc>
      </w:tr>
    </w:tbl>
    <w:p w14:paraId="0000005B" w14:textId="17CE3DDD" w:rsidR="000C5596" w:rsidRPr="00712F4E" w:rsidRDefault="00A76FD1">
      <w:pPr>
        <w:pStyle w:val="Heading1"/>
      </w:pPr>
      <w:r w:rsidRPr="00712F4E">
        <w:t xml:space="preserve"> </w:t>
      </w:r>
      <w:r w:rsidR="001843BC" w:rsidRPr="00712F4E">
        <w:t>Compare child protection legislation</w:t>
      </w:r>
    </w:p>
    <w:p w14:paraId="0000005C" w14:textId="77777777" w:rsidR="000C5596" w:rsidRPr="00712F4E" w:rsidRDefault="001843BC">
      <w:r w:rsidRPr="00712F4E">
        <w:lastRenderedPageBreak/>
        <w:t xml:space="preserve">Informed by insights from both CEI groups, objective 1 has been identified to compare Greenlandic and Danish child protection legislation and statutory guidance. This exercise would utilise document analysis to assess the extent to which the Greenlandic perspective is incorporated and integrated in line with the UN Declaration on the Rights of Indigenous Peoples (2007). Such an analysis could also present an opportunity to develop a timeline of policy changes which could be mapped against existing data trends, providing valuable insight into the relationship between legislative developments, child welfare outcomes and the number of children living in OHC.  </w:t>
      </w:r>
    </w:p>
    <w:p w14:paraId="0000005D" w14:textId="77777777" w:rsidR="000C5596" w:rsidRPr="00712F4E" w:rsidRDefault="001843BC">
      <w:pPr>
        <w:pStyle w:val="Heading1"/>
      </w:pPr>
      <w:r w:rsidRPr="00712F4E">
        <w:t>Map the geographical distribution of family support services</w:t>
      </w:r>
    </w:p>
    <w:p w14:paraId="0000005E" w14:textId="77777777" w:rsidR="000C5596" w:rsidRPr="00712F4E" w:rsidRDefault="001843BC">
      <w:r w:rsidRPr="00712F4E">
        <w:t>The CEI group also agreed that it was important to identify the core aims, objectives, and any available evaluation data for services across Kalaallit Nunaat. By mapping the geographical distribution of child protection and family support services in Kalaallit Nunaat, objective 2 could illustrate where services are effectively supporting families, where gaps exist, and how service provision aligns with Greenlandic cultures, traditions and child protection policy frameworks. By using creative methodologies to integrate legal, service-level, and community-informed insights, objective 2 could evaluate current services designed to support children to remain safely within their family home.</w:t>
      </w:r>
    </w:p>
    <w:p w14:paraId="0000005F" w14:textId="77777777" w:rsidR="000C5596" w:rsidRPr="00712F4E" w:rsidRDefault="001843BC">
      <w:pPr>
        <w:pStyle w:val="Heading1"/>
      </w:pPr>
      <w:r w:rsidRPr="00712F4E">
        <w:t xml:space="preserve">Analyse the demographics, characteristics, trends and experiences within Kalaallit Nunaat’s OHC population </w:t>
      </w:r>
    </w:p>
    <w:p w14:paraId="00000060" w14:textId="77777777" w:rsidR="000C5596" w:rsidRPr="00712F4E" w:rsidRDefault="001843BC">
      <w:r w:rsidRPr="00712F4E">
        <w:t>Both CEI groups explained that understanding the demographics and characteristics of children living in OHC in Kalaallit Nunaat is essential for designing effective, evidence-based interventions that are responsive to the needs of children and families. Objective 3 could identify and control for factors linked to intergenerational trauma, including exposure to racism, poverty, sexism, colonialism and a culture of violence enacted through state policy and practices. Adjusting rates according to age, gender, ethnicity, type of harm or risk, and home region will advance the study of OHC in Kalaallit Nunaat. Such a design could allow for the identification of long-term patterns and cumulative risk exposures, providing a nuanced understanding of what type of child protection, social protection, and family-strengthening services are needed for children, families and communities living in the different regions. If this data is not available, a cross-sectional descriptive analysis might provide valuable annual or time-based data and enable the calculation of standardised rates (such as age, gender, harm type, health and family composition) and facilitate comparisons across regions and time, offering insights into evolving patterns of child protection.</w:t>
      </w:r>
    </w:p>
    <w:p w14:paraId="00000061" w14:textId="77777777" w:rsidR="000C5596" w:rsidRPr="00712F4E" w:rsidRDefault="001843BC">
      <w:pPr>
        <w:pStyle w:val="Heading1"/>
      </w:pPr>
      <w:r w:rsidRPr="00712F4E">
        <w:t xml:space="preserve">Explore how inequality and rapid social development processes influence family life </w:t>
      </w:r>
    </w:p>
    <w:p w14:paraId="00000062" w14:textId="77777777" w:rsidR="000C5596" w:rsidRPr="00712F4E" w:rsidRDefault="001843BC">
      <w:r w:rsidRPr="00712F4E">
        <w:t xml:space="preserve">Both CEI groups explained that rapid social, economic and cultural changes are placing additional pressure on families and disrupting traditional community support networks. Viewed through Clark’s (2016: 3) conceptualisation of ‘Shock and Awe’, in which child protection intervention is legitimised through ongoing colonial control and surveillance, it becomes essential to understand family life not only in terms of vulnerability but also as a site of resistance and everyday coping. Such an understanding is urgently needed to recognise how Greenlandic families describe the values of community strength, resistance and survival. Understanding how inequality and rapid social development processes are influencing family life is also critical for identifying how racism, poverty, sexism, colonialism and violence are enacted through child removal policies and practices. Using diverse methods, Objective 4 could capture Greenlandic perspectives to identify correlations between social change, resistance, inequality and OHC placements. By developing a nuanced understanding of how modern pressures affect family life in Greenland, objective 4 could explicitly </w:t>
      </w:r>
      <w:r w:rsidRPr="00712F4E">
        <w:lastRenderedPageBreak/>
        <w:t xml:space="preserve">pose questions such as: </w:t>
      </w:r>
      <w:r w:rsidRPr="00712F4E">
        <w:rPr>
          <w:i/>
          <w:iCs/>
        </w:rPr>
        <w:t>“In what ways do families try to prevent the removal of their children?</w:t>
      </w:r>
      <w:r w:rsidRPr="00712F4E">
        <w:t xml:space="preserve">” and </w:t>
      </w:r>
      <w:r w:rsidRPr="00712F4E">
        <w:rPr>
          <w:i/>
          <w:iCs/>
        </w:rPr>
        <w:t>“How are inequality and rapid social development overpowering family resistance, enabling the removal of children without care or consent?”</w:t>
      </w:r>
      <w:r w:rsidRPr="00712F4E">
        <w:t xml:space="preserve"> As suggested by Richardson and Wade (2010), these questions would help centre Greenlandic experience, highlighting both the pressures families face and the strategies they employ to protect their children.</w:t>
      </w:r>
    </w:p>
    <w:p w14:paraId="00000063" w14:textId="77777777" w:rsidR="000C5596" w:rsidRPr="00712F4E" w:rsidRDefault="001843BC">
      <w:r w:rsidRPr="00712F4E">
        <w:rPr>
          <w:b/>
          <w:bCs/>
        </w:rPr>
        <w:t xml:space="preserve">Develop Greenlandic social work theories and methods </w:t>
      </w:r>
    </w:p>
    <w:p w14:paraId="00000064" w14:textId="77777777" w:rsidR="000C5596" w:rsidRPr="00712F4E" w:rsidRDefault="001843BC">
      <w:r w:rsidRPr="00712F4E">
        <w:t xml:space="preserve">Developing social work theories and methods that reflect the lives and perspectives of Greenlandic children and families is critical to ensuring that interventions and professional practices are culturally relevant, effective, and responsive to local needs. Guided by insights from the CEI group, objective 5 could use grounded theory to decolonise social work and incorporate the unique experiences, history, language, values, traditions, and priorities of Greenlandic people. Building on the knowledge gathered through objective 4, objective 5 is needed to develop Greenlandic-specific social work theories and methods that could be deployed and developed to ensure that social work education and practice is ethical, evidence-based and aligned with the realities and perspectives of the children, families and communities they serve. In line with the advice of Richardson and Wade (2010), the knowledge generated could help challenge hegemonic and universalist thinking and develop culturally grounded approaches to social work that respect and integrate Indigenous knowledge, values, and ways of being. </w:t>
      </w:r>
    </w:p>
    <w:p w14:paraId="00000065" w14:textId="77777777" w:rsidR="000C5596" w:rsidRPr="00712F4E" w:rsidRDefault="001843BC">
      <w:pPr>
        <w:pStyle w:val="Heading1"/>
      </w:pPr>
      <w:r w:rsidRPr="00712F4E">
        <w:t>Evaluate the strengths and limitations of current approaches to casework, management, and professional supervision</w:t>
      </w:r>
    </w:p>
    <w:p w14:paraId="00000066" w14:textId="77777777" w:rsidR="000C5596" w:rsidRPr="00712F4E" w:rsidRDefault="001843BC">
      <w:r w:rsidRPr="00712F4E">
        <w:t>The recommendations shared by both CEI groups indicated that reducing the number of children in OHC in Kalaallit Nunaat requires a fundamental shift in the paradigms used to structure and manage social work services. Objective 6 could examine the strengths and limitations of current approaches to casework, management, and professional supervision. Informed by the CEI group, objective 6 could also advance participatory action research to consider how supervision, peer support, and workload management need to be adapted to reflect the realities of Greenlandic children and families, including culturally sensitive approaches to management, crisis intervention and community engagement.</w:t>
      </w:r>
    </w:p>
    <w:p w14:paraId="00000067" w14:textId="77777777" w:rsidR="000C5596" w:rsidRPr="00712F4E" w:rsidRDefault="001843BC">
      <w:pPr>
        <w:pStyle w:val="Heading1"/>
      </w:pPr>
      <w:r w:rsidRPr="00712F4E">
        <w:t>Design and present evidence-informed, rights-based strategies aimed at safely reducing the number of children entering OHC</w:t>
      </w:r>
    </w:p>
    <w:p w14:paraId="00000068" w14:textId="77777777" w:rsidR="000C5596" w:rsidRPr="00712F4E" w:rsidRDefault="001843BC">
      <w:r w:rsidRPr="00712F4E">
        <w:t xml:space="preserve">By synthesising the research findings generated through Objectives 1-6, the CEI group agreed that the final stage of the study should co-produce, with care experienced adults, families, communities and professional partners, a set of evidence-informed and rights-based strategies focused on strengthening family support, improving service coordination, and ensuring that social work practice prioritises the safety, well-being, and rights of the child. The focus of objective 7 could provide a specific, measurable, achievable, realistic and timely roadmap for policymakers and practitioners to use as they plan ways to safely reduce the number of Greenlandic children living in OHC. </w:t>
      </w:r>
    </w:p>
    <w:p w14:paraId="00000069" w14:textId="77777777" w:rsidR="000C5596" w:rsidRPr="00712F4E" w:rsidRDefault="001843BC">
      <w:r w:rsidRPr="00712F4E">
        <w:t xml:space="preserve">While the objectives listed above focus on Kalaallit Nunaat, the identified need to develop Greenlandic social work theories and methods mirrors broader global concerns about the overrepresentation of children in OHC from Indigenous communities across the globe (Payne, 2024; Pollock et al. 2024; Penttilä et al. 2024). These international parallels reinforce the need to strengthen wider transnational efforts to decolonise child welfare practice and reclaim culturally grounded social work theories. </w:t>
      </w:r>
    </w:p>
    <w:p w14:paraId="0000006A" w14:textId="77777777" w:rsidR="000C5596" w:rsidRPr="00712F4E" w:rsidRDefault="001843BC">
      <w:pPr>
        <w:pStyle w:val="Heading1"/>
      </w:pPr>
      <w:r w:rsidRPr="00712F4E">
        <w:lastRenderedPageBreak/>
        <w:t xml:space="preserve">Limitations </w:t>
      </w:r>
    </w:p>
    <w:p w14:paraId="0000006B" w14:textId="77777777" w:rsidR="000C5596" w:rsidRPr="00712F4E" w:rsidRDefault="001843BC">
      <w:pPr>
        <w:pStyle w:val="Heading1"/>
        <w:rPr>
          <w:b w:val="0"/>
          <w:bCs w:val="0"/>
        </w:rPr>
      </w:pPr>
      <w:r w:rsidRPr="00712F4E">
        <w:rPr>
          <w:b w:val="0"/>
          <w:bCs w:val="0"/>
        </w:rPr>
        <w:t xml:space="preserve">Although this article offers valuable insights into the actions required to safely reduce the number of children in OHC in Kalaallit Nunaat, its findings are constrained by the reliance on contributions from two relatively small CEI groups. The perspectives represented may not adequately capture the heterogeneity of experiences among child welfare professionals and care-experienced adults across the country. </w:t>
      </w:r>
    </w:p>
    <w:p w14:paraId="0000006C" w14:textId="77777777" w:rsidR="000C5596" w:rsidRPr="00712F4E" w:rsidRDefault="001843BC">
      <w:r w:rsidRPr="00712F4E">
        <w:t xml:space="preserve">While facilitating two separate CEI groups might have reduced the risk of care-experienced adults feeling exposed or vulnerable while telling their stories in front of child welfare professionals, this arrangement introduced certain limitations. Separating participants may have restricted opportunities for direct dialogue, mutual understanding, and the co-construction of shared perspectives. As a result, some of the nuanced tensions, negotiations, or points of convergence between personal experience and professional practice may not have been fully explored. </w:t>
      </w:r>
    </w:p>
    <w:p w14:paraId="0000006D" w14:textId="77777777" w:rsidR="000C5596" w:rsidRPr="00712F4E" w:rsidRDefault="001843BC">
      <w:pPr>
        <w:pStyle w:val="Heading1"/>
        <w:rPr>
          <w:b w:val="0"/>
          <w:bCs w:val="0"/>
        </w:rPr>
      </w:pPr>
      <w:r w:rsidRPr="00712F4E">
        <w:rPr>
          <w:b w:val="0"/>
          <w:bCs w:val="0"/>
        </w:rPr>
        <w:t>To strengthen the ethical integrity, contextual relevance, and practical utility of the proposed research in the future, it may be important to facilitate one CEI group that includes representatives from a wider range of geographic and social contexts within Kalaallit Nunaat. Given the expertise and experiential knowledge of the CEI group, their continued involvement must be systematically planned and appropriately resourced to enhance both the credibility and impact of future research.</w:t>
      </w:r>
    </w:p>
    <w:p w14:paraId="0000006E" w14:textId="77777777" w:rsidR="000C5596" w:rsidRPr="00712F4E" w:rsidRDefault="001843BC">
      <w:pPr>
        <w:pStyle w:val="Heading1"/>
        <w:rPr>
          <w:b w:val="0"/>
          <w:bCs w:val="0"/>
        </w:rPr>
      </w:pPr>
      <w:r w:rsidRPr="00712F4E">
        <w:t>Conclusion</w:t>
      </w:r>
    </w:p>
    <w:p w14:paraId="0000006F" w14:textId="77777777" w:rsidR="000C5596" w:rsidRPr="00712F4E" w:rsidRDefault="001843BC">
      <w:r w:rsidRPr="00712F4E">
        <w:t>This study reveals that reducing the number of children in out-of-home care (OHC) in Kalaallit Nunaat requires a fundamental transformation of the child welfare system. The analysis underscores the urgent need to move beyond a Eurocentric, individualistic framework and adopt an empirically grounded approach that acknowledges the profound effects of historical trauma, rapid social modernisation, and the systemic impact of structural inequalities on children, families, and child protection services. By identifying the actions needed to develop an evidence-informed and rights-based strategy to safely reduce the number of children in OHC, this study offers a framework for strengthening the relevance, responsiveness, and ethical integrity of social work in Kalaallit Nunaat and beyond, supporting practitioners, educators, and policymakers to build culturally grounded, community-led systems of care that safeguard children within their family homes.</w:t>
      </w:r>
    </w:p>
    <w:p w14:paraId="00000070" w14:textId="77777777" w:rsidR="000C5596" w:rsidRPr="00712F4E" w:rsidRDefault="001843BC">
      <w:pPr>
        <w:pStyle w:val="Heading1"/>
        <w:rPr>
          <w:lang w:val="da-DK"/>
        </w:rPr>
      </w:pPr>
      <w:r w:rsidRPr="00712F4E">
        <w:rPr>
          <w:lang w:val="da-DK"/>
        </w:rPr>
        <w:t>References</w:t>
      </w:r>
    </w:p>
    <w:p w14:paraId="00000071" w14:textId="77777777" w:rsidR="000C5596" w:rsidRPr="00712F4E" w:rsidRDefault="001843BC">
      <w:pPr>
        <w:ind w:left="567" w:hanging="567"/>
      </w:pPr>
      <w:r w:rsidRPr="00712F4E">
        <w:rPr>
          <w:lang w:val="da-DK"/>
        </w:rPr>
        <w:t>Andersen, J. &amp; Arnfjord, S. (2017). </w:t>
      </w:r>
      <w:r w:rsidRPr="00712F4E">
        <w:t>Participatory action research with social workers in Greenland. In C. Bradley (Ed.), </w:t>
      </w:r>
      <w:r w:rsidRPr="00712F4E">
        <w:rPr>
          <w:i/>
          <w:iCs/>
        </w:rPr>
        <w:t>Collaborative and Sustainable Learning for a Fairer World: Rhetoric or Reality</w:t>
      </w:r>
      <w:r w:rsidRPr="00712F4E">
        <w:t> (Vol. 1, pp. 37-52). Sydney University Press.</w:t>
      </w:r>
    </w:p>
    <w:p w14:paraId="00000072" w14:textId="77777777" w:rsidR="000C5596" w:rsidRPr="00712F4E" w:rsidRDefault="001843BC">
      <w:pPr>
        <w:ind w:left="567" w:hanging="567"/>
      </w:pPr>
      <w:r w:rsidRPr="00712F4E">
        <w:t xml:space="preserve">Arnfjord, S. &amp; Hounsgaard, L. (2015). </w:t>
      </w:r>
      <w:r w:rsidRPr="00712F4E">
        <w:rPr>
          <w:i/>
          <w:iCs/>
        </w:rPr>
        <w:t>Problems of Professional Disempowerment: An Initial Study of Social Work Conditions in Greenland</w:t>
      </w:r>
      <w:r w:rsidRPr="00712F4E">
        <w:t xml:space="preserve">. </w:t>
      </w:r>
      <w:r w:rsidRPr="00712F4E">
        <w:rPr>
          <w:i/>
          <w:iCs/>
        </w:rPr>
        <w:t>Intersectionalities: A Global Journal of Social Work Analysis, Research, Polity, and Practice</w:t>
      </w:r>
      <w:r w:rsidRPr="00712F4E">
        <w:t>, 4(1), 4–58.</w:t>
      </w:r>
    </w:p>
    <w:p w14:paraId="00000073" w14:textId="77777777" w:rsidR="000C5596" w:rsidRPr="00712F4E" w:rsidRDefault="001843BC">
      <w:pPr>
        <w:ind w:left="567" w:hanging="567"/>
        <w:rPr>
          <w:lang w:val="da-DK"/>
        </w:rPr>
      </w:pPr>
      <w:r w:rsidRPr="00712F4E">
        <w:t xml:space="preserve">Arnfjord, S. (2020). </w:t>
      </w:r>
      <w:r w:rsidRPr="00712F4E">
        <w:rPr>
          <w:i/>
          <w:iCs/>
        </w:rPr>
        <w:t>Greenland’s emerging social conscience – Voluntary food delivery to people experiencing homelessness in Nuuk</w:t>
      </w:r>
      <w:r w:rsidRPr="00712F4E">
        <w:t xml:space="preserve">. </w:t>
      </w:r>
      <w:r w:rsidRPr="00712F4E">
        <w:rPr>
          <w:i/>
          <w:iCs/>
          <w:lang w:val="da-DK"/>
        </w:rPr>
        <w:t>Qualitative Social Work</w:t>
      </w:r>
      <w:r w:rsidRPr="00712F4E">
        <w:rPr>
          <w:lang w:val="da-DK"/>
        </w:rPr>
        <w:t>, 20(1–2), 433–438.</w:t>
      </w:r>
    </w:p>
    <w:p w14:paraId="00000074" w14:textId="77777777" w:rsidR="000C5596" w:rsidRPr="00712F4E" w:rsidRDefault="001843BC">
      <w:pPr>
        <w:ind w:left="567" w:hanging="567"/>
        <w:rPr>
          <w:lang w:val="da-DK"/>
        </w:rPr>
      </w:pPr>
      <w:r w:rsidRPr="00712F4E">
        <w:rPr>
          <w:lang w:val="da-DK"/>
        </w:rPr>
        <w:t xml:space="preserve">Arnfjord, S. (2021). </w:t>
      </w:r>
      <w:r w:rsidRPr="00712F4E">
        <w:rPr>
          <w:i/>
          <w:iCs/>
          <w:lang w:val="da-DK"/>
        </w:rPr>
        <w:t>Grønlandsk socialpolitik &amp; sociale forhold</w:t>
      </w:r>
      <w:r w:rsidRPr="00712F4E">
        <w:rPr>
          <w:lang w:val="da-DK"/>
        </w:rPr>
        <w:t xml:space="preserve">. </w:t>
      </w:r>
      <w:r w:rsidRPr="00712F4E">
        <w:rPr>
          <w:i/>
          <w:iCs/>
          <w:lang w:val="da-DK"/>
        </w:rPr>
        <w:t>INUSSUK, Arktisk forskningsjournal</w:t>
      </w:r>
      <w:r w:rsidRPr="00712F4E">
        <w:rPr>
          <w:lang w:val="da-DK"/>
        </w:rPr>
        <w:t>, 2.</w:t>
      </w:r>
    </w:p>
    <w:p w14:paraId="00000075" w14:textId="77777777" w:rsidR="000C5596" w:rsidRPr="00712F4E" w:rsidRDefault="001843BC">
      <w:pPr>
        <w:ind w:left="567" w:hanging="567"/>
      </w:pPr>
      <w:r w:rsidRPr="00712F4E">
        <w:rPr>
          <w:lang w:val="da-DK"/>
        </w:rPr>
        <w:t xml:space="preserve">Bjerregaard, P. &amp; Viskum Lytken Larsen, C. (2017). </w:t>
      </w:r>
      <w:r w:rsidRPr="00712F4E">
        <w:rPr>
          <w:i/>
          <w:iCs/>
        </w:rPr>
        <w:t>Health Aspects of Colonization and the Post-Colonial Period in Greenland 1721–2014</w:t>
      </w:r>
      <w:r w:rsidRPr="00712F4E">
        <w:t xml:space="preserve">. </w:t>
      </w:r>
      <w:r w:rsidRPr="00712F4E">
        <w:rPr>
          <w:i/>
          <w:iCs/>
        </w:rPr>
        <w:t>Journal of Northern Studies</w:t>
      </w:r>
      <w:r w:rsidRPr="00712F4E">
        <w:t>, 10(2), 85–106.</w:t>
      </w:r>
    </w:p>
    <w:p w14:paraId="00000076" w14:textId="77777777" w:rsidR="000C5596" w:rsidRPr="00712F4E" w:rsidRDefault="001843BC">
      <w:pPr>
        <w:ind w:left="567" w:hanging="567"/>
      </w:pPr>
      <w:r w:rsidRPr="00712F4E">
        <w:t xml:space="preserve">Bold, C. (2012). </w:t>
      </w:r>
      <w:r w:rsidRPr="00712F4E">
        <w:rPr>
          <w:i/>
          <w:iCs/>
        </w:rPr>
        <w:t>Using Narrative in Research</w:t>
      </w:r>
      <w:r w:rsidRPr="00712F4E">
        <w:t>. London: SAGE Publications Ltd.</w:t>
      </w:r>
    </w:p>
    <w:p w14:paraId="00000077" w14:textId="77777777" w:rsidR="000C5596" w:rsidRPr="00712F4E" w:rsidRDefault="001843BC">
      <w:pPr>
        <w:ind w:left="567" w:hanging="567"/>
      </w:pPr>
      <w:r w:rsidRPr="00712F4E">
        <w:lastRenderedPageBreak/>
        <w:t xml:space="preserve">Clark, N. (2016). Shock and Awe: Trauma as the New Colonial Frontier. </w:t>
      </w:r>
      <w:r w:rsidRPr="00712F4E">
        <w:rPr>
          <w:i/>
          <w:iCs/>
        </w:rPr>
        <w:t>Humanities</w:t>
      </w:r>
      <w:r w:rsidRPr="00712F4E">
        <w:t>, 5(1), 1- 16.</w:t>
      </w:r>
    </w:p>
    <w:p w14:paraId="00000078" w14:textId="77777777" w:rsidR="000C5596" w:rsidRPr="00712F4E" w:rsidRDefault="001843BC">
      <w:pPr>
        <w:ind w:left="567" w:hanging="567"/>
      </w:pPr>
      <w:r w:rsidRPr="00712F4E">
        <w:t xml:space="preserve">Chahine, A. S. (2023). </w:t>
      </w:r>
      <w:r w:rsidRPr="00712F4E">
        <w:rPr>
          <w:i/>
          <w:iCs/>
        </w:rPr>
        <w:t>Qanilaarneq (Closeness/Being Close) as a desired state: Mediating conflict through storytelling in Greenland</w:t>
      </w:r>
      <w:r w:rsidRPr="00712F4E">
        <w:t xml:space="preserve">. </w:t>
      </w:r>
      <w:r w:rsidRPr="00712F4E">
        <w:rPr>
          <w:i/>
          <w:iCs/>
        </w:rPr>
        <w:t>Études Inuit Studies</w:t>
      </w:r>
      <w:r w:rsidRPr="00712F4E">
        <w:t>, 47(1–2), 65–91.</w:t>
      </w:r>
    </w:p>
    <w:p w14:paraId="00000079" w14:textId="77777777" w:rsidR="000C5596" w:rsidRPr="00712F4E" w:rsidRDefault="001843BC">
      <w:pPr>
        <w:ind w:left="567" w:hanging="567"/>
      </w:pPr>
      <w:r w:rsidRPr="00712F4E">
        <w:t xml:space="preserve">Glendøs, M. (2016). </w:t>
      </w:r>
      <w:r w:rsidRPr="00712F4E">
        <w:rPr>
          <w:i/>
          <w:iCs/>
        </w:rPr>
        <w:t>Was It Useful? Multilayered Outcome of a Psychosocial Intervention with Teachers in East Greenland</w:t>
      </w:r>
      <w:r w:rsidRPr="00712F4E">
        <w:t xml:space="preserve">. </w:t>
      </w:r>
      <w:r w:rsidRPr="00712F4E">
        <w:rPr>
          <w:i/>
          <w:iCs/>
        </w:rPr>
        <w:t>Outlines: Critical Practice Studies</w:t>
      </w:r>
      <w:r w:rsidRPr="00712F4E">
        <w:t>, 17(1), 62–85.</w:t>
      </w:r>
    </w:p>
    <w:p w14:paraId="0000007A" w14:textId="77777777" w:rsidR="000C5596" w:rsidRPr="00712F4E" w:rsidRDefault="001843BC">
      <w:pPr>
        <w:ind w:left="567" w:hanging="567"/>
      </w:pPr>
      <w:r w:rsidRPr="00712F4E">
        <w:t xml:space="preserve">Greenland Home Rule Arrangement. (1979). </w:t>
      </w:r>
      <w:r w:rsidRPr="00712F4E">
        <w:rPr>
          <w:i/>
          <w:iCs/>
        </w:rPr>
        <w:t>Copenhagen: Government of Denmark.</w:t>
      </w:r>
    </w:p>
    <w:p w14:paraId="0000007B" w14:textId="77777777" w:rsidR="000C5596" w:rsidRPr="00712F4E" w:rsidRDefault="001843BC">
      <w:pPr>
        <w:ind w:left="567" w:hanging="567"/>
      </w:pPr>
      <w:r w:rsidRPr="00712F4E">
        <w:t xml:space="preserve">Guba, E. G. &amp; Lincoln, Y. S. (2005). </w:t>
      </w:r>
      <w:r w:rsidRPr="00712F4E">
        <w:rPr>
          <w:i/>
          <w:iCs/>
        </w:rPr>
        <w:t>Paradigmatic Controversies, Contradictions, and Emerging Confluences</w:t>
      </w:r>
      <w:r w:rsidRPr="00712F4E">
        <w:t xml:space="preserve">. In Denzin, N. K. &amp; Lincoln, Y. S. (eds.), </w:t>
      </w:r>
      <w:r w:rsidRPr="00712F4E">
        <w:rPr>
          <w:i/>
          <w:iCs/>
        </w:rPr>
        <w:t>The Sage Handbook of Qualitative Research</w:t>
      </w:r>
      <w:r w:rsidRPr="00712F4E">
        <w:t xml:space="preserve"> (3rd ed., pp. 191–215). London: SAGE Publications Ltd.</w:t>
      </w:r>
    </w:p>
    <w:p w14:paraId="0000007C" w14:textId="77777777" w:rsidR="000C5596" w:rsidRPr="00712F4E" w:rsidRDefault="001843BC">
      <w:pPr>
        <w:ind w:left="567" w:hanging="567"/>
      </w:pPr>
      <w:r w:rsidRPr="00712F4E">
        <w:t>Hammersley, M. (2005). Should Social Science Be Critical? </w:t>
      </w:r>
      <w:r w:rsidRPr="00712F4E">
        <w:rPr>
          <w:i/>
          <w:iCs/>
        </w:rPr>
        <w:t>Philosophy of the Social Sciences</w:t>
      </w:r>
      <w:r w:rsidRPr="00712F4E">
        <w:t>, </w:t>
      </w:r>
      <w:r w:rsidRPr="00712F4E">
        <w:rPr>
          <w:i/>
          <w:iCs/>
        </w:rPr>
        <w:t>35</w:t>
      </w:r>
      <w:r w:rsidRPr="00712F4E">
        <w:t>(2), 175-195.</w:t>
      </w:r>
    </w:p>
    <w:p w14:paraId="0000007D" w14:textId="5D9BE835" w:rsidR="000C5596" w:rsidRPr="00712F4E" w:rsidRDefault="00A76FD1">
      <w:pPr>
        <w:ind w:left="567" w:hanging="567"/>
      </w:pPr>
      <w:r w:rsidRPr="00A76FD1">
        <w:t>Hounsgaard, L., Jensen, A. B., Wilche, J. P., &amp; Dolmer, I. (2013).</w:t>
      </w:r>
      <w:r w:rsidR="001843BC" w:rsidRPr="00712F4E">
        <w:t xml:space="preserve"> </w:t>
      </w:r>
      <w:r w:rsidR="001843BC" w:rsidRPr="00712F4E">
        <w:rPr>
          <w:i/>
          <w:iCs/>
        </w:rPr>
        <w:t>The nature of nursing practice in rural and remote areas of Greenland</w:t>
      </w:r>
      <w:r w:rsidR="001843BC" w:rsidRPr="00712F4E">
        <w:t xml:space="preserve">. </w:t>
      </w:r>
      <w:r w:rsidR="001843BC" w:rsidRPr="00712F4E">
        <w:rPr>
          <w:i/>
          <w:iCs/>
        </w:rPr>
        <w:t>International Journal of Circumpolar Health</w:t>
      </w:r>
      <w:r w:rsidR="001843BC" w:rsidRPr="00712F4E">
        <w:t xml:space="preserve">, 72(1), 20964. </w:t>
      </w:r>
    </w:p>
    <w:p w14:paraId="0000007E" w14:textId="5490FB20" w:rsidR="000C5596" w:rsidRPr="00712F4E" w:rsidRDefault="00FD5ABD">
      <w:pPr>
        <w:ind w:left="567" w:hanging="567"/>
      </w:pPr>
      <w:r w:rsidRPr="00FD5ABD">
        <w:t>Ingemann, C., Tjørnhøj-Thomsen, T., Kvernmo, S., Berthelsen, D., Biilmann, V. A. J., Kvist, B. M., Lorentzen, J., Nemming, V. K., Sarkov, R. M., Willesen, A., &amp; Larsen, C. V. L. (2024).</w:t>
      </w:r>
      <w:r w:rsidR="001843BC" w:rsidRPr="00712F4E">
        <w:t xml:space="preserve"> </w:t>
      </w:r>
      <w:r w:rsidR="001843BC" w:rsidRPr="00712F4E">
        <w:rPr>
          <w:i/>
          <w:iCs/>
        </w:rPr>
        <w:t>Professionals’ Experiences with Local Implementation of the Greenlandic Parenting Programme MANU 0–1 Year</w:t>
      </w:r>
      <w:r w:rsidR="001843BC" w:rsidRPr="00712F4E">
        <w:t xml:space="preserve">. </w:t>
      </w:r>
      <w:r w:rsidR="001843BC" w:rsidRPr="00712F4E">
        <w:rPr>
          <w:i/>
          <w:iCs/>
        </w:rPr>
        <w:t>Global Implementation Research and Applications</w:t>
      </w:r>
      <w:r w:rsidR="001843BC" w:rsidRPr="00712F4E">
        <w:t>, 4, 11–23.</w:t>
      </w:r>
    </w:p>
    <w:p w14:paraId="315330F8" w14:textId="77777777" w:rsidR="00FD5ABD" w:rsidRDefault="00FD5ABD">
      <w:pPr>
        <w:ind w:left="567" w:hanging="567"/>
      </w:pPr>
      <w:r w:rsidRPr="00FD5ABD">
        <w:t>Jacobsson, K. &amp; Gubrium, J. F. (2021) </w:t>
      </w:r>
      <w:r w:rsidRPr="00FD5ABD">
        <w:rPr>
          <w:i/>
          <w:iCs/>
        </w:rPr>
        <w:t>Doing Human Service Ethnography</w:t>
      </w:r>
      <w:r w:rsidRPr="00FD5ABD">
        <w:t>. 1st edition. Jaber F. Gubrium &amp; Katarina Jacobsson (eds). [Online]. Bristol: Policy Press.</w:t>
      </w:r>
    </w:p>
    <w:p w14:paraId="00000080" w14:textId="29C85D77" w:rsidR="000C5596" w:rsidRPr="00712F4E" w:rsidRDefault="001843BC">
      <w:pPr>
        <w:ind w:left="567" w:hanging="567"/>
        <w:rPr>
          <w:lang w:val="da-DK"/>
        </w:rPr>
      </w:pPr>
      <w:r w:rsidRPr="00712F4E">
        <w:rPr>
          <w:lang w:val="da-DK"/>
        </w:rPr>
        <w:t xml:space="preserve">Jensen, T., </w:t>
      </w:r>
      <w:r w:rsidR="00FD5ABD" w:rsidRPr="00FD5ABD">
        <w:rPr>
          <w:lang w:val="da-DK"/>
        </w:rPr>
        <w:t xml:space="preserve">Jensen, </w:t>
      </w:r>
      <w:r w:rsidR="00FD5ABD">
        <w:rPr>
          <w:lang w:val="da-DK"/>
        </w:rPr>
        <w:t xml:space="preserve">B., </w:t>
      </w:r>
      <w:r w:rsidR="00FD5ABD" w:rsidRPr="00FD5ABD">
        <w:rPr>
          <w:lang w:val="da-DK"/>
        </w:rPr>
        <w:t>Bourup,</w:t>
      </w:r>
      <w:r w:rsidR="00FD5ABD">
        <w:rPr>
          <w:lang w:val="da-DK"/>
        </w:rPr>
        <w:t xml:space="preserve"> E.</w:t>
      </w:r>
      <w:r w:rsidR="005F1F56">
        <w:rPr>
          <w:lang w:val="da-DK"/>
        </w:rPr>
        <w:t xml:space="preserve"> </w:t>
      </w:r>
      <w:r w:rsidR="00E5293E">
        <w:rPr>
          <w:lang w:val="da-DK"/>
        </w:rPr>
        <w:t>B.</w:t>
      </w:r>
      <w:r w:rsidR="00FD5ABD">
        <w:rPr>
          <w:lang w:val="da-DK"/>
        </w:rPr>
        <w:t xml:space="preserve">, </w:t>
      </w:r>
      <w:r w:rsidR="00FD5ABD" w:rsidRPr="00FD5ABD">
        <w:rPr>
          <w:lang w:val="da-DK"/>
        </w:rPr>
        <w:t>Reimer,</w:t>
      </w:r>
      <w:r w:rsidR="00FD5ABD">
        <w:rPr>
          <w:lang w:val="da-DK"/>
        </w:rPr>
        <w:t xml:space="preserve"> G.</w:t>
      </w:r>
      <w:r w:rsidR="005F1F56">
        <w:rPr>
          <w:lang w:val="da-DK"/>
        </w:rPr>
        <w:t xml:space="preserve"> </w:t>
      </w:r>
      <w:r w:rsidR="00E5293E">
        <w:rPr>
          <w:lang w:val="da-DK"/>
        </w:rPr>
        <w:t>A.</w:t>
      </w:r>
      <w:r w:rsidR="00FD5ABD">
        <w:rPr>
          <w:lang w:val="da-DK"/>
        </w:rPr>
        <w:t xml:space="preserve">, </w:t>
      </w:r>
      <w:r w:rsidR="00FD5ABD" w:rsidRPr="00FD5ABD">
        <w:rPr>
          <w:lang w:val="da-DK"/>
        </w:rPr>
        <w:t xml:space="preserve">Olesen, </w:t>
      </w:r>
      <w:r w:rsidR="00FD5ABD">
        <w:rPr>
          <w:lang w:val="da-DK"/>
        </w:rPr>
        <w:t xml:space="preserve">I., </w:t>
      </w:r>
      <w:r w:rsidR="00FD5ABD" w:rsidRPr="00FD5ABD">
        <w:rPr>
          <w:lang w:val="da-DK"/>
        </w:rPr>
        <w:t>Herrmann,</w:t>
      </w:r>
      <w:r w:rsidR="00FD5ABD">
        <w:rPr>
          <w:lang w:val="da-DK"/>
        </w:rPr>
        <w:t xml:space="preserve"> J.</w:t>
      </w:r>
      <w:r w:rsidR="005F1F56">
        <w:rPr>
          <w:lang w:val="da-DK"/>
        </w:rPr>
        <w:t xml:space="preserve"> </w:t>
      </w:r>
      <w:r w:rsidR="00E5293E">
        <w:rPr>
          <w:lang w:val="da-DK"/>
        </w:rPr>
        <w:t>R.</w:t>
      </w:r>
      <w:r w:rsidR="00FD5ABD">
        <w:rPr>
          <w:lang w:val="da-DK"/>
        </w:rPr>
        <w:t xml:space="preserve">, </w:t>
      </w:r>
      <w:r w:rsidR="00FD5ABD" w:rsidRPr="00FD5ABD">
        <w:rPr>
          <w:lang w:val="da-DK"/>
        </w:rPr>
        <w:t>Christiansen,</w:t>
      </w:r>
      <w:r w:rsidR="00FD5ABD">
        <w:rPr>
          <w:lang w:val="da-DK"/>
        </w:rPr>
        <w:t xml:space="preserve"> M., &amp; </w:t>
      </w:r>
      <w:r w:rsidR="00FD5ABD" w:rsidRPr="00FD5ABD">
        <w:rPr>
          <w:lang w:val="da-DK"/>
        </w:rPr>
        <w:t>Seidelin</w:t>
      </w:r>
      <w:r w:rsidR="00FD5ABD">
        <w:rPr>
          <w:lang w:val="da-DK"/>
        </w:rPr>
        <w:t>, M</w:t>
      </w:r>
      <w:r w:rsidRPr="00712F4E">
        <w:rPr>
          <w:lang w:val="da-DK"/>
        </w:rPr>
        <w:t xml:space="preserve">. (2025). </w:t>
      </w:r>
      <w:r w:rsidRPr="00712F4E">
        <w:rPr>
          <w:i/>
          <w:iCs/>
          <w:lang w:val="da-DK"/>
        </w:rPr>
        <w:t>Uvildig udredning af antikonceptionspraksis i Kalaallit Nunaat</w:t>
      </w:r>
      <w:r w:rsidRPr="00712F4E">
        <w:rPr>
          <w:lang w:val="da-DK"/>
        </w:rPr>
        <w:t>. Ilisimatusarfik og Statens Institut for Folkesundhed, Syddansk Universitet.</w:t>
      </w:r>
    </w:p>
    <w:p w14:paraId="00000081" w14:textId="77777777" w:rsidR="000C5596" w:rsidRPr="00712F4E" w:rsidRDefault="001843BC">
      <w:pPr>
        <w:ind w:left="567" w:hanging="567"/>
      </w:pPr>
      <w:r w:rsidRPr="00712F4E">
        <w:rPr>
          <w:lang w:val="da-DK"/>
        </w:rPr>
        <w:t xml:space="preserve">Jensen, B. &amp; Arnfjord, S. (2024). </w:t>
      </w:r>
      <w:r w:rsidRPr="00712F4E">
        <w:rPr>
          <w:i/>
          <w:iCs/>
        </w:rPr>
        <w:t>Repositioning Power Relations in Indigenous Social Work Education</w:t>
      </w:r>
      <w:r w:rsidRPr="00712F4E">
        <w:t xml:space="preserve">. </w:t>
      </w:r>
      <w:r w:rsidRPr="00712F4E">
        <w:rPr>
          <w:i/>
          <w:iCs/>
        </w:rPr>
        <w:t>Nordisk Tidsskrift for Pedagogikk &amp; Kritikk</w:t>
      </w:r>
      <w:r w:rsidRPr="00712F4E">
        <w:t>, 10(3).</w:t>
      </w:r>
    </w:p>
    <w:p w14:paraId="00000082" w14:textId="77777777" w:rsidR="000C5596" w:rsidRPr="00712F4E" w:rsidRDefault="001843BC">
      <w:pPr>
        <w:ind w:left="567" w:hanging="567"/>
      </w:pPr>
      <w:r w:rsidRPr="00712F4E">
        <w:t xml:space="preserve">Jensen, B. (2023). </w:t>
      </w:r>
      <w:r w:rsidRPr="00712F4E">
        <w:rPr>
          <w:i/>
          <w:iCs/>
        </w:rPr>
        <w:t>Greenlandic children placed in out-of-home care: The lack of involvement and participation in one’s own life</w:t>
      </w:r>
      <w:r w:rsidRPr="00712F4E">
        <w:t xml:space="preserve">. </w:t>
      </w:r>
      <w:r w:rsidRPr="00712F4E">
        <w:rPr>
          <w:i/>
          <w:iCs/>
        </w:rPr>
        <w:t>Developmental Child Welfare</w:t>
      </w:r>
      <w:r w:rsidRPr="00712F4E">
        <w:t>, 5(4), 173–189.</w:t>
      </w:r>
    </w:p>
    <w:p w14:paraId="00000083" w14:textId="77777777" w:rsidR="000C5596" w:rsidRPr="00712F4E" w:rsidRDefault="001843BC">
      <w:pPr>
        <w:ind w:left="567" w:hanging="567"/>
      </w:pPr>
      <w:r w:rsidRPr="00712F4E">
        <w:t xml:space="preserve">Kjær-Rasmussen, L. K., D’Oco, L. V. M., Edwards, J. &amp; Tefera, G. M. (2019). </w:t>
      </w:r>
      <w:r w:rsidRPr="00712F4E">
        <w:rPr>
          <w:i/>
          <w:iCs/>
        </w:rPr>
        <w:t>Towards Indigenous Social Work Practice: Addressing Professional Challenges in Working with Homeless Greenlanders in Aalborg, Denmark</w:t>
      </w:r>
      <w:r w:rsidRPr="00712F4E">
        <w:t xml:space="preserve">. </w:t>
      </w:r>
      <w:r w:rsidRPr="00712F4E">
        <w:rPr>
          <w:i/>
          <w:iCs/>
        </w:rPr>
        <w:t>Journal of Indigenous Social Development</w:t>
      </w:r>
      <w:r w:rsidRPr="00712F4E">
        <w:t>, 8(1), 19–34.</w:t>
      </w:r>
    </w:p>
    <w:p w14:paraId="00000084" w14:textId="77777777" w:rsidR="000C5596" w:rsidRPr="00712F4E" w:rsidRDefault="001843BC">
      <w:pPr>
        <w:ind w:left="567" w:hanging="567"/>
        <w:rPr>
          <w:lang w:val="da-DK"/>
        </w:rPr>
      </w:pPr>
      <w:r w:rsidRPr="00712F4E">
        <w:t xml:space="preserve">Kleemann, N. (2024). </w:t>
      </w:r>
      <w:r w:rsidRPr="00712F4E">
        <w:rPr>
          <w:i/>
          <w:iCs/>
        </w:rPr>
        <w:t>Greenland in Figures 2024</w:t>
      </w:r>
      <w:r w:rsidRPr="00712F4E">
        <w:t xml:space="preserve"> (21st ed.). </w:t>
      </w:r>
      <w:r w:rsidRPr="00712F4E">
        <w:rPr>
          <w:lang w:val="da-DK"/>
        </w:rPr>
        <w:t>Nuuk: Statistics Greenland.</w:t>
      </w:r>
    </w:p>
    <w:p w14:paraId="00000085" w14:textId="77777777" w:rsidR="000C5596" w:rsidRPr="00712F4E" w:rsidRDefault="001843BC">
      <w:pPr>
        <w:ind w:left="567" w:hanging="567"/>
        <w:rPr>
          <w:lang w:val="da-DK"/>
        </w:rPr>
      </w:pPr>
      <w:r w:rsidRPr="00712F4E">
        <w:rPr>
          <w:lang w:val="da-DK"/>
        </w:rPr>
        <w:t xml:space="preserve">Kristensen, T. (2021). Sprog i fokus: Kalaallisut (grønlandsk). </w:t>
      </w:r>
      <w:r w:rsidRPr="00712F4E">
        <w:rPr>
          <w:i/>
          <w:iCs/>
          <w:lang w:val="da-DK"/>
        </w:rPr>
        <w:t>Sprog I Norden</w:t>
      </w:r>
      <w:r w:rsidRPr="00712F4E">
        <w:rPr>
          <w:lang w:val="da-DK"/>
        </w:rPr>
        <w:t>, 49(1), 110–116.</w:t>
      </w:r>
    </w:p>
    <w:p w14:paraId="00000086" w14:textId="77777777" w:rsidR="000C5596" w:rsidRPr="00712F4E" w:rsidRDefault="001843BC">
      <w:pPr>
        <w:ind w:left="567" w:hanging="567"/>
      </w:pPr>
      <w:r w:rsidRPr="00712F4E">
        <w:rPr>
          <w:lang w:val="da-DK"/>
        </w:rPr>
        <w:t xml:space="preserve">Leseth, A. B. &amp; Gaini, F. (2025). </w:t>
      </w:r>
      <w:r w:rsidRPr="00712F4E">
        <w:rPr>
          <w:i/>
          <w:iCs/>
        </w:rPr>
        <w:t>Between governance and local knowledge: Social workers’ engagement with employment support for young people in the Faroe Islands and Greenland</w:t>
      </w:r>
      <w:r w:rsidRPr="00712F4E">
        <w:t xml:space="preserve">. </w:t>
      </w:r>
      <w:r w:rsidRPr="00712F4E">
        <w:rPr>
          <w:i/>
          <w:iCs/>
        </w:rPr>
        <w:t>Journal of Comparative Social Work</w:t>
      </w:r>
      <w:r w:rsidRPr="00712F4E">
        <w:t>, 19(2), 178–203.</w:t>
      </w:r>
    </w:p>
    <w:p w14:paraId="00000087" w14:textId="77777777" w:rsidR="000C5596" w:rsidRPr="00712F4E" w:rsidRDefault="001843BC">
      <w:pPr>
        <w:ind w:left="567" w:hanging="567"/>
      </w:pPr>
      <w:r w:rsidRPr="00712F4E">
        <w:t xml:space="preserve">Nordic Health and Welfare Statistics. (2025). </w:t>
      </w:r>
      <w:r w:rsidRPr="00712F4E">
        <w:rPr>
          <w:i/>
          <w:iCs/>
        </w:rPr>
        <w:t>[FAMI16A] Children and adolescents taken into care outside the home by Year, Country, Age group and Sex</w:t>
      </w:r>
      <w:r w:rsidRPr="00712F4E">
        <w:t xml:space="preserve">. Available at: </w:t>
      </w:r>
      <w:hyperlink r:id="rId8">
        <w:r w:rsidRPr="00712F4E">
          <w:rPr>
            <w:u w:val="single"/>
          </w:rPr>
          <w:t>https://pxweb.nhwstat.org/Prod/pxweb/en/NHWSTAT/NHWSTAT__Welfare__Families%20and%20children/fami16a.px/</w:t>
        </w:r>
      </w:hyperlink>
      <w:r w:rsidRPr="00712F4E">
        <w:t xml:space="preserve"> [Accessed 13 February 2025].</w:t>
      </w:r>
    </w:p>
    <w:p w14:paraId="00000088" w14:textId="56C6A6F1" w:rsidR="000C5596" w:rsidRPr="00712F4E" w:rsidRDefault="00FD5ABD">
      <w:pPr>
        <w:ind w:left="567" w:hanging="567"/>
      </w:pPr>
      <w:r w:rsidRPr="00FD5ABD">
        <w:lastRenderedPageBreak/>
        <w:t>Ottendahl, C. B., Seidler, I. K., Beck, A., Pedersen, C. P., Bjerregaard, P., &amp; Larsen, C. V. L. (2024).</w:t>
      </w:r>
      <w:r w:rsidRPr="00FD5ABD">
        <w:t xml:space="preserve"> </w:t>
      </w:r>
      <w:r w:rsidR="001843BC" w:rsidRPr="00712F4E">
        <w:t xml:space="preserve">(2024). </w:t>
      </w:r>
      <w:r w:rsidR="001843BC" w:rsidRPr="00712F4E">
        <w:rPr>
          <w:i/>
          <w:iCs/>
        </w:rPr>
        <w:t>Developing the ACEIG-scale: An adverse childhood experience scale for Inuit youth in Greenland</w:t>
      </w:r>
      <w:r w:rsidR="001843BC" w:rsidRPr="00712F4E">
        <w:t xml:space="preserve">. </w:t>
      </w:r>
      <w:r w:rsidR="001843BC" w:rsidRPr="00712F4E">
        <w:rPr>
          <w:i/>
          <w:iCs/>
        </w:rPr>
        <w:t>Child Abuse &amp; Neglect</w:t>
      </w:r>
      <w:r w:rsidR="001843BC" w:rsidRPr="00712F4E">
        <w:t>, 148.</w:t>
      </w:r>
    </w:p>
    <w:p w14:paraId="00000089" w14:textId="77777777" w:rsidR="000C5596" w:rsidRPr="00712F4E" w:rsidRDefault="001843BC">
      <w:pPr>
        <w:ind w:left="567" w:hanging="567"/>
      </w:pPr>
      <w:r w:rsidRPr="00712F4E">
        <w:t>Payne, A. M. (2024) ‘Never again</w:t>
      </w:r>
      <w:proofErr w:type="gramStart"/>
      <w:r w:rsidRPr="00712F4E">
        <w:t>’?:</w:t>
      </w:r>
      <w:proofErr w:type="gramEnd"/>
      <w:r w:rsidRPr="00712F4E">
        <w:t xml:space="preserve"> Resonances of the past in contemporary Aboriginal and Torres Strait Islander child removal. </w:t>
      </w:r>
      <w:r w:rsidRPr="00712F4E">
        <w:rPr>
          <w:i/>
          <w:iCs/>
        </w:rPr>
        <w:t>Cosmopolitan civil societies</w:t>
      </w:r>
      <w:r w:rsidRPr="00712F4E">
        <w:t>. 16 (3), 104–122</w:t>
      </w:r>
    </w:p>
    <w:p w14:paraId="0000008A" w14:textId="6DC3723F" w:rsidR="000C5596" w:rsidRPr="00712F4E" w:rsidRDefault="00FD5ABD">
      <w:pPr>
        <w:ind w:left="567" w:hanging="567"/>
      </w:pPr>
      <w:r w:rsidRPr="00FD5ABD">
        <w:t>Penttilä, S., Niemelä, M., Hakko, H., Keski-Säntti, M., Ristikari, T., &amp; Räsänen, S. (2024).</w:t>
      </w:r>
      <w:r>
        <w:t xml:space="preserve"> </w:t>
      </w:r>
      <w:r w:rsidR="001843BC" w:rsidRPr="00712F4E">
        <w:t>Child-and parent-related determinants for out-of-home care in a nationwide population with neurodevelopmental disorders: a register-based Finnish birth cohort 1997 study. </w:t>
      </w:r>
      <w:r w:rsidR="001843BC" w:rsidRPr="00712F4E">
        <w:rPr>
          <w:i/>
          <w:iCs/>
        </w:rPr>
        <w:t>European child &amp; adolescent psychiatry</w:t>
      </w:r>
      <w:r w:rsidR="001843BC" w:rsidRPr="00712F4E">
        <w:t>. 33 (10), 3459–3470.</w:t>
      </w:r>
    </w:p>
    <w:p w14:paraId="0000008B" w14:textId="0B4A43E0" w:rsidR="000C5596" w:rsidRPr="00712F4E" w:rsidRDefault="00FD5ABD">
      <w:pPr>
        <w:ind w:left="567" w:hanging="567"/>
      </w:pPr>
      <w:r w:rsidRPr="00FD5ABD">
        <w:t>Peterson, M., Rosing, A., Rink, E., Schure, M., Haggerty, J., Adler Reimer, G., &amp; Larsen, C. V. (2025). </w:t>
      </w:r>
      <w:r w:rsidR="001843BC" w:rsidRPr="00712F4E">
        <w:rPr>
          <w:i/>
          <w:iCs/>
        </w:rPr>
        <w:t>Applying community-based participatory research principles to build trust and equity in health and socio-ecological studies in Greenland</w:t>
      </w:r>
      <w:r w:rsidR="001843BC" w:rsidRPr="00712F4E">
        <w:t xml:space="preserve">. </w:t>
      </w:r>
      <w:r w:rsidR="001843BC" w:rsidRPr="00712F4E">
        <w:rPr>
          <w:i/>
          <w:iCs/>
        </w:rPr>
        <w:t>International Journal of Circumpolar Health</w:t>
      </w:r>
      <w:r w:rsidR="001843BC" w:rsidRPr="00712F4E">
        <w:t>, 84(1), 2473181.</w:t>
      </w:r>
    </w:p>
    <w:p w14:paraId="0000008C" w14:textId="3368B0F5" w:rsidR="000C5596" w:rsidRPr="00712F4E" w:rsidRDefault="00FD5ABD">
      <w:pPr>
        <w:ind w:left="567" w:hanging="567"/>
      </w:pPr>
      <w:r w:rsidRPr="00FD5ABD">
        <w:t>Porter, G., Townsend, J., &amp; Hampshire, K. (2012). </w:t>
      </w:r>
      <w:r w:rsidR="001843BC" w:rsidRPr="00712F4E">
        <w:rPr>
          <w:i/>
          <w:iCs/>
        </w:rPr>
        <w:t>Children and young people as producers of knowledge</w:t>
      </w:r>
      <w:r w:rsidR="001843BC" w:rsidRPr="00712F4E">
        <w:t xml:space="preserve">. </w:t>
      </w:r>
      <w:r w:rsidR="001843BC" w:rsidRPr="00712F4E">
        <w:rPr>
          <w:i/>
          <w:iCs/>
        </w:rPr>
        <w:t>Children’s Geographies</w:t>
      </w:r>
      <w:r w:rsidR="001843BC" w:rsidRPr="00712F4E">
        <w:t>, 10(2), 131–134.</w:t>
      </w:r>
    </w:p>
    <w:p w14:paraId="0000008D" w14:textId="186F4562" w:rsidR="000C5596" w:rsidRPr="00712F4E" w:rsidRDefault="00FD5ABD">
      <w:pPr>
        <w:ind w:left="567" w:hanging="567"/>
      </w:pPr>
      <w:r w:rsidRPr="00FD5ABD">
        <w:t>Pollock, N. J., Ouédraogo, A. M., Trocmé, N., Hovdestad, W., Miskie, A., Crompton, L., Campeau, A., Tanaka, M., Zhang, C., Laprise, C., &amp; Tonmyr, L. (2024).</w:t>
      </w:r>
      <w:r>
        <w:t xml:space="preserve"> </w:t>
      </w:r>
      <w:r w:rsidR="001843BC" w:rsidRPr="00712F4E">
        <w:t>Rates of out-of-home care among children in Canada: an analysis of national administrative child welfare data. </w:t>
      </w:r>
      <w:r w:rsidR="001843BC" w:rsidRPr="00712F4E">
        <w:rPr>
          <w:i/>
          <w:iCs/>
        </w:rPr>
        <w:t>Chronic diseases in Canada</w:t>
      </w:r>
      <w:r w:rsidR="001843BC" w:rsidRPr="00712F4E">
        <w:t>. 44 (4), 152–165.</w:t>
      </w:r>
    </w:p>
    <w:p w14:paraId="0000008E" w14:textId="77777777" w:rsidR="000C5596" w:rsidRPr="00712F4E" w:rsidRDefault="001843BC">
      <w:pPr>
        <w:ind w:left="567" w:hanging="567"/>
      </w:pPr>
      <w:r w:rsidRPr="00712F4E">
        <w:t xml:space="preserve">Pratt, B. (2021). </w:t>
      </w:r>
      <w:r w:rsidRPr="00712F4E">
        <w:rPr>
          <w:i/>
          <w:iCs/>
        </w:rPr>
        <w:t>Sharing power in global health research: an ethical toolkit for designing priority-setting processes that meaningfully include communities</w:t>
      </w:r>
      <w:r w:rsidRPr="00712F4E">
        <w:t xml:space="preserve">. </w:t>
      </w:r>
      <w:r w:rsidRPr="00712F4E">
        <w:rPr>
          <w:i/>
          <w:iCs/>
        </w:rPr>
        <w:t>International Journal for Equity in Health</w:t>
      </w:r>
      <w:r w:rsidRPr="00712F4E">
        <w:t xml:space="preserve">, 20(1), 127–140. </w:t>
      </w:r>
    </w:p>
    <w:p w14:paraId="0000008F" w14:textId="77777777" w:rsidR="000C5596" w:rsidRPr="00712F4E" w:rsidRDefault="001843BC">
      <w:pPr>
        <w:ind w:left="567" w:hanging="567"/>
      </w:pPr>
      <w:r w:rsidRPr="00712F4E">
        <w:t xml:space="preserve">Prattes, R. &amp; Myong, L. (2025). </w:t>
      </w:r>
      <w:r w:rsidRPr="00712F4E">
        <w:rPr>
          <w:i/>
          <w:iCs/>
        </w:rPr>
        <w:t>Colonial Care in the Nordics: Child Removal and the Politics of Disappearance</w:t>
      </w:r>
      <w:r w:rsidRPr="00712F4E">
        <w:t xml:space="preserve">. </w:t>
      </w:r>
      <w:r w:rsidRPr="00712F4E">
        <w:rPr>
          <w:i/>
          <w:iCs/>
        </w:rPr>
        <w:t>NORA – Nordic Journal of Feminist and Gender Research</w:t>
      </w:r>
      <w:r w:rsidRPr="00712F4E">
        <w:t>, 1–15.</w:t>
      </w:r>
    </w:p>
    <w:p w14:paraId="00000090" w14:textId="77777777" w:rsidR="000C5596" w:rsidRPr="00712F4E" w:rsidRDefault="001843BC">
      <w:pPr>
        <w:ind w:left="567" w:hanging="567"/>
      </w:pPr>
      <w:r w:rsidRPr="00712F4E">
        <w:t xml:space="preserve">Ranta-Tyrkkö, S. (2011). </w:t>
      </w:r>
      <w:r w:rsidRPr="00712F4E">
        <w:rPr>
          <w:i/>
          <w:iCs/>
        </w:rPr>
        <w:t>High time for postcolonial analysis in social work.</w:t>
      </w:r>
      <w:r w:rsidRPr="00712F4E">
        <w:t xml:space="preserve"> Nordic Social Work Research, 1(1), 25–41.</w:t>
      </w:r>
    </w:p>
    <w:p w14:paraId="00000091" w14:textId="77777777" w:rsidR="000C5596" w:rsidRPr="00712F4E" w:rsidRDefault="001843BC">
      <w:pPr>
        <w:ind w:left="567" w:hanging="567"/>
      </w:pPr>
      <w:r w:rsidRPr="00712F4E">
        <w:t xml:space="preserve">Richardson, C. &amp; Wade, A. (2010). Islands of Safety: Restoring Dignity in Violence-Prevention Work with Indigenous Families. </w:t>
      </w:r>
      <w:r w:rsidRPr="00712F4E">
        <w:rPr>
          <w:i/>
          <w:iCs/>
        </w:rPr>
        <w:t>First Peoples Child &amp; Family Review</w:t>
      </w:r>
      <w:r w:rsidRPr="00712F4E">
        <w:t xml:space="preserve">. 5 (1), 137-145. </w:t>
      </w:r>
    </w:p>
    <w:p w14:paraId="00000092" w14:textId="2B414C10" w:rsidR="000C5596" w:rsidRPr="00712F4E" w:rsidRDefault="00FD5ABD">
      <w:pPr>
        <w:ind w:left="567" w:hanging="567"/>
      </w:pPr>
      <w:r w:rsidRPr="00FD5ABD">
        <w:t>Rink, E., Montgomery-Andersen, R., Koch, A., Mulvad, G., &amp; Gesink, D. (2013).</w:t>
      </w:r>
      <w:r w:rsidR="001843BC" w:rsidRPr="00712F4E">
        <w:t xml:space="preserve"> Ethical Challenges and Lessons Learned from Inuulluataarneq – “Having the Good Life” Study: A Community-Based Participatory Research Project in Greenland. </w:t>
      </w:r>
      <w:r w:rsidR="001843BC" w:rsidRPr="00712F4E">
        <w:rPr>
          <w:i/>
          <w:iCs/>
        </w:rPr>
        <w:t>Journal of empirical research on human research ethics</w:t>
      </w:r>
      <w:r w:rsidR="001843BC" w:rsidRPr="00712F4E">
        <w:t>. 8 (2), 110–118.</w:t>
      </w:r>
    </w:p>
    <w:p w14:paraId="00000093" w14:textId="77777777" w:rsidR="000C5596" w:rsidRPr="00712F4E" w:rsidRDefault="001843BC">
      <w:pPr>
        <w:ind w:left="567" w:hanging="567"/>
      </w:pPr>
      <w:r w:rsidRPr="00712F4E">
        <w:t xml:space="preserve">Rogers, M. &amp; Allen, D. (2023). </w:t>
      </w:r>
      <w:r w:rsidRPr="00712F4E">
        <w:rPr>
          <w:i/>
          <w:iCs/>
        </w:rPr>
        <w:t>Embedding Reflexivity in Social Work Research through the Critical Reflexive Framework</w:t>
      </w:r>
      <w:r w:rsidRPr="00712F4E">
        <w:t xml:space="preserve">. </w:t>
      </w:r>
      <w:r w:rsidRPr="00712F4E">
        <w:rPr>
          <w:i/>
          <w:iCs/>
        </w:rPr>
        <w:t>The British Journal of Social Work</w:t>
      </w:r>
      <w:r w:rsidRPr="00712F4E">
        <w:t>, 54(4), 1753–1772.</w:t>
      </w:r>
    </w:p>
    <w:p w14:paraId="00000094" w14:textId="77777777" w:rsidR="000C5596" w:rsidRPr="00712F4E" w:rsidRDefault="001843BC">
      <w:pPr>
        <w:ind w:left="567" w:hanging="567"/>
      </w:pPr>
      <w:r w:rsidRPr="00712F4E">
        <w:t xml:space="preserve">Rogers, M. &amp; Brown, C. (2024). </w:t>
      </w:r>
      <w:r w:rsidRPr="00712F4E">
        <w:rPr>
          <w:i/>
          <w:iCs/>
        </w:rPr>
        <w:t>Critical ethical reflexivity (CER) in feminist narrative inquiry: reflections from cis researchers doing social work research with trans and non-binary people</w:t>
      </w:r>
      <w:r w:rsidRPr="00712F4E">
        <w:t xml:space="preserve">. </w:t>
      </w:r>
      <w:r w:rsidRPr="00712F4E">
        <w:rPr>
          <w:i/>
          <w:iCs/>
        </w:rPr>
        <w:t>International Journal of Social Research Methodology</w:t>
      </w:r>
      <w:r w:rsidRPr="00712F4E">
        <w:t>, 27(4), 447–461.</w:t>
      </w:r>
    </w:p>
    <w:p w14:paraId="00000095" w14:textId="77777777" w:rsidR="000C5596" w:rsidRPr="00712F4E" w:rsidRDefault="001843BC">
      <w:pPr>
        <w:ind w:left="567" w:hanging="567"/>
      </w:pPr>
      <w:r w:rsidRPr="00712F4E">
        <w:t xml:space="preserve">Self-Government Act. (2009) </w:t>
      </w:r>
      <w:r w:rsidRPr="00712F4E">
        <w:rPr>
          <w:i/>
          <w:iCs/>
        </w:rPr>
        <w:t>Copenhagen: Government of Denmark.</w:t>
      </w:r>
    </w:p>
    <w:p w14:paraId="00000096" w14:textId="77777777" w:rsidR="000C5596" w:rsidRPr="00712F4E" w:rsidRDefault="001843BC">
      <w:pPr>
        <w:ind w:left="567" w:hanging="567"/>
      </w:pPr>
      <w:r w:rsidRPr="00712F4E">
        <w:t xml:space="preserve">Smith, R. S. (2010). </w:t>
      </w:r>
      <w:r w:rsidRPr="00712F4E">
        <w:rPr>
          <w:i/>
          <w:iCs/>
        </w:rPr>
        <w:t>Social Work, Risk, Power</w:t>
      </w:r>
      <w:r w:rsidRPr="00712F4E">
        <w:t xml:space="preserve">. </w:t>
      </w:r>
      <w:r w:rsidRPr="00712F4E">
        <w:rPr>
          <w:i/>
          <w:iCs/>
        </w:rPr>
        <w:t>Sociological Research Online</w:t>
      </w:r>
      <w:r w:rsidRPr="00712F4E">
        <w:t>, 15(1), 37–46.</w:t>
      </w:r>
    </w:p>
    <w:p w14:paraId="00000097" w14:textId="77777777" w:rsidR="000C5596" w:rsidRPr="00712F4E" w:rsidRDefault="001843BC">
      <w:pPr>
        <w:ind w:left="567" w:hanging="567"/>
      </w:pPr>
      <w:r w:rsidRPr="00712F4E">
        <w:lastRenderedPageBreak/>
        <w:t xml:space="preserve">Statusrapport Forår. </w:t>
      </w:r>
      <w:r w:rsidRPr="00712F4E">
        <w:rPr>
          <w:lang w:val="da-DK"/>
        </w:rPr>
        <w:t xml:space="preserve">(2023). </w:t>
      </w:r>
      <w:r w:rsidRPr="00712F4E">
        <w:rPr>
          <w:i/>
          <w:iCs/>
          <w:lang w:val="da-DK"/>
        </w:rPr>
        <w:t>Status på målopfølgning og implementering</w:t>
      </w:r>
      <w:r w:rsidRPr="00712F4E">
        <w:rPr>
          <w:lang w:val="da-DK"/>
        </w:rPr>
        <w:t xml:space="preserve">. </w:t>
      </w:r>
      <w:r w:rsidRPr="00712F4E">
        <w:t xml:space="preserve">Available at: </w:t>
      </w:r>
      <w:hyperlink r:id="rId9">
        <w:r w:rsidRPr="00712F4E">
          <w:rPr>
            <w:u w:val="single"/>
          </w:rPr>
          <w:t>https://www.ft.dk/samling/20222/almdel/gru/bilag/78/2746674.pdf</w:t>
        </w:r>
      </w:hyperlink>
      <w:r w:rsidRPr="00712F4E">
        <w:t xml:space="preserve"> [Accessed 12 January 2025].</w:t>
      </w:r>
    </w:p>
    <w:p w14:paraId="00000098" w14:textId="77777777" w:rsidR="000C5596" w:rsidRPr="00712F4E" w:rsidRDefault="001843BC">
      <w:pPr>
        <w:ind w:left="567" w:hanging="567"/>
        <w:rPr>
          <w:lang w:val="da-DK"/>
        </w:rPr>
      </w:pPr>
      <w:r w:rsidRPr="00712F4E">
        <w:rPr>
          <w:lang w:val="da-DK"/>
        </w:rPr>
        <w:t xml:space="preserve">Grønlands Statistik (2025) Almindelig familiepleje 2024. Stat gl Available at: </w:t>
      </w:r>
      <w:hyperlink r:id="rId10">
        <w:r w:rsidRPr="00712F4E">
          <w:rPr>
            <w:u w:val="single"/>
            <w:lang w:val="da-DK"/>
          </w:rPr>
          <w:t>https://stat.gl/SOD202502</w:t>
        </w:r>
      </w:hyperlink>
      <w:r w:rsidRPr="00712F4E">
        <w:rPr>
          <w:lang w:val="da-DK"/>
        </w:rPr>
        <w:t xml:space="preserve"> [Accessed 22 October 2025].</w:t>
      </w:r>
    </w:p>
    <w:p w14:paraId="00000099" w14:textId="77777777" w:rsidR="000C5596" w:rsidRPr="00712F4E" w:rsidRDefault="001843BC">
      <w:pPr>
        <w:ind w:left="567" w:hanging="567"/>
      </w:pPr>
      <w:r w:rsidRPr="00712F4E">
        <w:t xml:space="preserve">United Nations (General Assembly). (2007). </w:t>
      </w:r>
      <w:r w:rsidRPr="00712F4E">
        <w:rPr>
          <w:i/>
          <w:iCs/>
        </w:rPr>
        <w:t>Declaration on the Rights of Indigenous Peoples</w:t>
      </w:r>
      <w:r w:rsidRPr="00712F4E">
        <w:t xml:space="preserve">. Available at: </w:t>
      </w:r>
      <w:hyperlink r:id="rId11">
        <w:r w:rsidRPr="00712F4E">
          <w:rPr>
            <w:u w:val="single"/>
          </w:rPr>
          <w:t>https://www.un.org/en/genocideprevention/documents/atrocity-crimes/Doc.18_declaration%20rights%20indigenous%20peoples.pdf</w:t>
        </w:r>
      </w:hyperlink>
      <w:r w:rsidRPr="00712F4E">
        <w:t xml:space="preserve"> [Accessed 16 September 2024].</w:t>
      </w:r>
    </w:p>
    <w:p w14:paraId="0000009A" w14:textId="77777777" w:rsidR="000C5596" w:rsidRPr="00712F4E" w:rsidRDefault="000C5596"/>
    <w:p w14:paraId="0000009B" w14:textId="77777777" w:rsidR="000C5596" w:rsidRPr="00712F4E" w:rsidRDefault="000C5596"/>
    <w:sectPr w:rsidR="000C5596" w:rsidRPr="00712F4E">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349EF" w14:textId="77777777" w:rsidR="00FD3EE4" w:rsidRDefault="00FD3EE4">
      <w:pPr>
        <w:spacing w:before="0" w:after="0" w:line="240" w:lineRule="auto"/>
      </w:pPr>
      <w:r>
        <w:separator/>
      </w:r>
    </w:p>
  </w:endnote>
  <w:endnote w:type="continuationSeparator" w:id="0">
    <w:p w14:paraId="564884E1" w14:textId="77777777" w:rsidR="00FD3EE4" w:rsidRDefault="00FD3E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357781-8997-417A-8795-6B6D63720B6D}"/>
    <w:embedBold r:id="rId2" w:fontKey="{7470D01C-BB2B-40A2-B7E4-F3F9D41F3CD1}"/>
    <w:embedItalic r:id="rId3" w:fontKey="{8A5ADC9D-5B5B-4109-8EDE-F04E44F8E476}"/>
    <w:embedBoldItalic r:id="rId4" w:fontKey="{5831092B-7EE5-4BA0-88C0-F39A6247C5C3}"/>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5" w:fontKey="{2B4C3AF0-954A-4002-BBE3-0D803F58255B}"/>
  </w:font>
  <w:font w:name="Segoe UI">
    <w:panose1 w:val="020B0502040204020203"/>
    <w:charset w:val="00"/>
    <w:family w:val="swiss"/>
    <w:pitch w:val="variable"/>
    <w:sig w:usb0="E4002EFF" w:usb1="C000E47F" w:usb2="00000009" w:usb3="00000000" w:csb0="000001FF" w:csb1="00000000"/>
    <w:embedRegular r:id="rId6" w:fontKey="{E43D6856-B81F-4C20-B923-6902BC26BB6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BFA5E42-34A7-4F65-847B-25ABF3DC14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50AD4A3" w:rsidR="000C5596" w:rsidRDefault="001843BC">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t xml:space="preserve">Side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267C3">
      <w:rPr>
        <w:b/>
        <w:bCs/>
        <w:noProof/>
        <w:color w:val="000000"/>
        <w:sz w:val="24"/>
        <w:szCs w:val="24"/>
      </w:rPr>
      <w:t>1</w:t>
    </w:r>
    <w:r>
      <w:rPr>
        <w:b/>
        <w:bCs/>
        <w:color w:val="000000"/>
        <w:sz w:val="24"/>
        <w:szCs w:val="24"/>
      </w:rPr>
      <w:fldChar w:fldCharType="end"/>
    </w:r>
    <w:r>
      <w:rPr>
        <w:color w:val="000000"/>
      </w:rPr>
      <w:t xml:space="preserve"> af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267C3">
      <w:rPr>
        <w:b/>
        <w:bCs/>
        <w:noProof/>
        <w:color w:val="000000"/>
        <w:sz w:val="24"/>
        <w:szCs w:val="24"/>
      </w:rPr>
      <w:t>16</w:t>
    </w:r>
    <w:r>
      <w:rPr>
        <w:b/>
        <w:bCs/>
        <w:color w:val="000000"/>
        <w:sz w:val="24"/>
        <w:szCs w:val="24"/>
      </w:rPr>
      <w:fldChar w:fldCharType="end"/>
    </w:r>
  </w:p>
  <w:p w14:paraId="000000A0" w14:textId="77777777" w:rsidR="000C5596" w:rsidRDefault="000C5596">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F2762" w14:textId="77777777" w:rsidR="00FD3EE4" w:rsidRDefault="00FD3EE4">
      <w:pPr>
        <w:spacing w:before="0" w:after="0" w:line="240" w:lineRule="auto"/>
      </w:pPr>
      <w:r>
        <w:separator/>
      </w:r>
    </w:p>
  </w:footnote>
  <w:footnote w:type="continuationSeparator" w:id="0">
    <w:p w14:paraId="15FABD35" w14:textId="77777777" w:rsidR="00FD3EE4" w:rsidRDefault="00FD3EE4">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596"/>
    <w:rsid w:val="000C5596"/>
    <w:rsid w:val="000D1095"/>
    <w:rsid w:val="001843BC"/>
    <w:rsid w:val="0024281F"/>
    <w:rsid w:val="0057350F"/>
    <w:rsid w:val="005F1F56"/>
    <w:rsid w:val="006D3C28"/>
    <w:rsid w:val="00712F4E"/>
    <w:rsid w:val="0074006A"/>
    <w:rsid w:val="007B5905"/>
    <w:rsid w:val="00A76FD1"/>
    <w:rsid w:val="00A96604"/>
    <w:rsid w:val="00D97C03"/>
    <w:rsid w:val="00DA34D5"/>
    <w:rsid w:val="00E5293E"/>
    <w:rsid w:val="00F267C3"/>
    <w:rsid w:val="00FD3EE4"/>
    <w:rsid w:val="00FD5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5804"/>
  <w15:docId w15:val="{7CFAEA7E-BB40-49C1-B8DA-2E48E43C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before="16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rPr>
  </w:style>
  <w:style w:type="paragraph" w:styleId="Heading2">
    <w:name w:val="heading 2"/>
    <w:basedOn w:val="Normal"/>
    <w:next w:val="Normal"/>
    <w:uiPriority w:val="9"/>
    <w:unhideWhenUsed/>
    <w:qFormat/>
    <w:pPr>
      <w:outlineLvl w:val="1"/>
    </w:pPr>
    <w:rPr>
      <w:b/>
      <w:bCs/>
    </w:rPr>
  </w:style>
  <w:style w:type="paragraph" w:styleId="Heading3">
    <w:name w:val="heading 3"/>
    <w:basedOn w:val="Normal"/>
    <w:next w:val="Normal"/>
    <w:uiPriority w:val="9"/>
    <w:unhideWhenUsed/>
    <w:qFormat/>
    <w:pPr>
      <w:ind w:right="1088"/>
      <w:outlineLvl w:val="2"/>
    </w:pPr>
    <w:rPr>
      <w:b/>
      <w:bCs/>
      <w:i/>
      <w:iCs/>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3829A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4BAC"/>
    <w:pPr>
      <w:ind w:left="720"/>
      <w:contextualSpacing/>
    </w:pPr>
  </w:style>
  <w:style w:type="character" w:styleId="Strong">
    <w:name w:val="Strong"/>
    <w:basedOn w:val="DefaultParagraphFont"/>
    <w:uiPriority w:val="22"/>
    <w:qFormat/>
    <w:rsid w:val="00B15904"/>
    <w:rPr>
      <w:b/>
      <w:bCs/>
    </w:rPr>
  </w:style>
  <w:style w:type="paragraph" w:styleId="Quote">
    <w:name w:val="Quote"/>
    <w:basedOn w:val="Normal"/>
    <w:next w:val="Normal"/>
    <w:link w:val="QuoteChar"/>
    <w:uiPriority w:val="29"/>
    <w:qFormat/>
    <w:rsid w:val="00F9730C"/>
    <w:pPr>
      <w:spacing w:before="0" w:after="0"/>
      <w:ind w:left="864" w:right="864"/>
      <w:jc w:val="center"/>
    </w:pPr>
    <w:rPr>
      <w:i/>
      <w:iCs/>
      <w:color w:val="404040" w:themeColor="text1" w:themeTint="BF"/>
    </w:rPr>
  </w:style>
  <w:style w:type="character" w:customStyle="1" w:styleId="QuoteChar">
    <w:name w:val="Quote Char"/>
    <w:basedOn w:val="DefaultParagraphFont"/>
    <w:link w:val="Quote"/>
    <w:uiPriority w:val="29"/>
    <w:rsid w:val="00F9730C"/>
    <w:rPr>
      <w:i/>
      <w:iCs/>
      <w:color w:val="404040" w:themeColor="text1" w:themeTint="BF"/>
    </w:rPr>
  </w:style>
  <w:style w:type="paragraph" w:styleId="NormalWeb">
    <w:name w:val="Normal (Web)"/>
    <w:basedOn w:val="Normal"/>
    <w:uiPriority w:val="99"/>
    <w:semiHidden/>
    <w:unhideWhenUsed/>
    <w:rsid w:val="00DC722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427D"/>
    <w:rPr>
      <w:color w:val="0000FF" w:themeColor="hyperlink"/>
      <w:u w:val="single"/>
    </w:rPr>
  </w:style>
  <w:style w:type="character" w:customStyle="1" w:styleId="UnresolvedMention1">
    <w:name w:val="Unresolved Mention1"/>
    <w:basedOn w:val="DefaultParagraphFont"/>
    <w:uiPriority w:val="99"/>
    <w:semiHidden/>
    <w:unhideWhenUsed/>
    <w:rsid w:val="00A2427D"/>
    <w:rPr>
      <w:color w:val="605E5C"/>
      <w:shd w:val="clear" w:color="auto" w:fill="E1DFDD"/>
    </w:rPr>
  </w:style>
  <w:style w:type="paragraph" w:styleId="Header">
    <w:name w:val="header"/>
    <w:basedOn w:val="Normal"/>
    <w:link w:val="HeaderChar"/>
    <w:uiPriority w:val="99"/>
    <w:unhideWhenUsed/>
    <w:rsid w:val="00E22D6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22D64"/>
  </w:style>
  <w:style w:type="paragraph" w:styleId="Footer">
    <w:name w:val="footer"/>
    <w:basedOn w:val="Normal"/>
    <w:link w:val="FooterChar"/>
    <w:uiPriority w:val="99"/>
    <w:unhideWhenUsed/>
    <w:rsid w:val="00E22D6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2D64"/>
  </w:style>
  <w:style w:type="character" w:styleId="CommentReference">
    <w:name w:val="annotation reference"/>
    <w:basedOn w:val="DefaultParagraphFont"/>
    <w:uiPriority w:val="99"/>
    <w:semiHidden/>
    <w:unhideWhenUsed/>
    <w:rsid w:val="0086518A"/>
    <w:rPr>
      <w:sz w:val="16"/>
      <w:szCs w:val="16"/>
    </w:rPr>
  </w:style>
  <w:style w:type="paragraph" w:styleId="CommentText">
    <w:name w:val="annotation text"/>
    <w:basedOn w:val="Normal"/>
    <w:link w:val="CommentTextChar"/>
    <w:uiPriority w:val="99"/>
    <w:unhideWhenUsed/>
    <w:rsid w:val="0086518A"/>
    <w:pPr>
      <w:spacing w:line="240" w:lineRule="auto"/>
    </w:pPr>
    <w:rPr>
      <w:sz w:val="20"/>
      <w:szCs w:val="20"/>
    </w:rPr>
  </w:style>
  <w:style w:type="character" w:customStyle="1" w:styleId="CommentTextChar">
    <w:name w:val="Comment Text Char"/>
    <w:basedOn w:val="DefaultParagraphFont"/>
    <w:link w:val="CommentText"/>
    <w:uiPriority w:val="99"/>
    <w:rsid w:val="0086518A"/>
    <w:rPr>
      <w:sz w:val="20"/>
      <w:szCs w:val="20"/>
    </w:rPr>
  </w:style>
  <w:style w:type="paragraph" w:styleId="CommentSubject">
    <w:name w:val="annotation subject"/>
    <w:basedOn w:val="CommentText"/>
    <w:next w:val="CommentText"/>
    <w:link w:val="CommentSubjectChar"/>
    <w:uiPriority w:val="99"/>
    <w:semiHidden/>
    <w:unhideWhenUsed/>
    <w:rsid w:val="0086518A"/>
    <w:rPr>
      <w:b/>
      <w:bCs/>
    </w:rPr>
  </w:style>
  <w:style w:type="character" w:customStyle="1" w:styleId="CommentSubjectChar">
    <w:name w:val="Comment Subject Char"/>
    <w:basedOn w:val="CommentTextChar"/>
    <w:link w:val="CommentSubject"/>
    <w:uiPriority w:val="99"/>
    <w:semiHidden/>
    <w:rsid w:val="0086518A"/>
    <w:rPr>
      <w:b/>
      <w:bCs/>
      <w:sz w:val="20"/>
      <w:szCs w:val="20"/>
    </w:rPr>
  </w:style>
  <w:style w:type="paragraph" w:styleId="BalloonText">
    <w:name w:val="Balloon Text"/>
    <w:basedOn w:val="Normal"/>
    <w:link w:val="BalloonTextChar"/>
    <w:uiPriority w:val="99"/>
    <w:semiHidden/>
    <w:unhideWhenUsed/>
    <w:rsid w:val="001C2AB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AB6"/>
    <w:rPr>
      <w:rFonts w:ascii="Segoe UI" w:hAnsi="Segoe UI" w:cs="Segoe UI"/>
      <w:sz w:val="18"/>
      <w:szCs w:val="18"/>
    </w:rPr>
  </w:style>
  <w:style w:type="paragraph" w:styleId="HTMLPreformatted">
    <w:name w:val="HTML Preformatted"/>
    <w:basedOn w:val="Normal"/>
    <w:link w:val="HTMLPreformattedChar"/>
    <w:uiPriority w:val="99"/>
    <w:semiHidden/>
    <w:unhideWhenUsed/>
    <w:rsid w:val="00727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2774C"/>
    <w:rPr>
      <w:rFonts w:ascii="Courier New" w:eastAsia="Times New Roman" w:hAnsi="Courier New" w:cs="Courier New"/>
      <w:sz w:val="20"/>
      <w:szCs w:val="20"/>
    </w:rPr>
  </w:style>
  <w:style w:type="character" w:customStyle="1" w:styleId="y2iqfc">
    <w:name w:val="y2iqfc"/>
    <w:basedOn w:val="DefaultParagraphFont"/>
    <w:rsid w:val="0072774C"/>
  </w:style>
  <w:style w:type="paragraph" w:styleId="FootnoteText">
    <w:name w:val="footnote text"/>
    <w:basedOn w:val="Normal"/>
    <w:link w:val="FootnoteTextChar"/>
    <w:uiPriority w:val="99"/>
    <w:semiHidden/>
    <w:unhideWhenUsed/>
    <w:rsid w:val="00FF68E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F68EB"/>
    <w:rPr>
      <w:sz w:val="20"/>
      <w:szCs w:val="20"/>
    </w:rPr>
  </w:style>
  <w:style w:type="character" w:styleId="FootnoteReference">
    <w:name w:val="footnote reference"/>
    <w:basedOn w:val="DefaultParagraphFont"/>
    <w:uiPriority w:val="99"/>
    <w:semiHidden/>
    <w:unhideWhenUsed/>
    <w:rsid w:val="00FF68EB"/>
    <w:rPr>
      <w:vertAlign w:val="superscript"/>
    </w:rPr>
  </w:style>
  <w:style w:type="character" w:styleId="FollowedHyperlink">
    <w:name w:val="FollowedHyperlink"/>
    <w:basedOn w:val="DefaultParagraphFont"/>
    <w:uiPriority w:val="99"/>
    <w:semiHidden/>
    <w:unhideWhenUsed/>
    <w:rsid w:val="00393556"/>
    <w:rPr>
      <w:color w:val="800080" w:themeColor="followedHyperlink"/>
      <w:u w:val="single"/>
    </w:rPr>
  </w:style>
  <w:style w:type="character" w:customStyle="1" w:styleId="uv3um">
    <w:name w:val="uv3um"/>
    <w:basedOn w:val="DefaultParagraphFont"/>
    <w:rsid w:val="005D4B09"/>
  </w:style>
  <w:style w:type="character" w:styleId="Emphasis">
    <w:name w:val="Emphasis"/>
    <w:basedOn w:val="DefaultParagraphFont"/>
    <w:uiPriority w:val="20"/>
    <w:qFormat/>
    <w:rsid w:val="00DC0A81"/>
    <w:rPr>
      <w:i/>
      <w:iCs/>
    </w:rPr>
  </w:style>
  <w:style w:type="paragraph" w:styleId="EndnoteText">
    <w:name w:val="endnote text"/>
    <w:basedOn w:val="Normal"/>
    <w:link w:val="EndnoteTextChar"/>
    <w:uiPriority w:val="99"/>
    <w:semiHidden/>
    <w:unhideWhenUsed/>
    <w:rsid w:val="001C4CE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C4CE6"/>
    <w:rPr>
      <w:sz w:val="20"/>
      <w:szCs w:val="20"/>
    </w:rPr>
  </w:style>
  <w:style w:type="character" w:styleId="EndnoteReference">
    <w:name w:val="endnote reference"/>
    <w:basedOn w:val="DefaultParagraphFont"/>
    <w:uiPriority w:val="99"/>
    <w:semiHidden/>
    <w:unhideWhenUsed/>
    <w:rsid w:val="001C4CE6"/>
    <w:rPr>
      <w:vertAlign w:val="superscript"/>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xweb.nhwstat.org/Prod/pxweb/en/NHWSTAT/NHWSTAT__Welfare__Families%20and%20children/fami16a.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n/genocideprevention/documents/atrocity-crimes/Doc.18_declaration%20rights%20indigenous%20peoples.pdf" TargetMode="External"/><Relationship Id="rId5" Type="http://schemas.openxmlformats.org/officeDocument/2006/relationships/webSettings" Target="webSettings.xml"/><Relationship Id="rId10" Type="http://schemas.openxmlformats.org/officeDocument/2006/relationships/hyperlink" Target="https://stat.gl/SOD202502" TargetMode="External"/><Relationship Id="rId4" Type="http://schemas.openxmlformats.org/officeDocument/2006/relationships/settings" Target="settings.xml"/><Relationship Id="rId9" Type="http://schemas.openxmlformats.org/officeDocument/2006/relationships/hyperlink" Target="https://www.ft.dk/samling/20222/almdel/gru/bilag/78/2746674.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6GPvlry+ctEqorLPO6vqbxeXA==">CgMxLjAyDmguM2p6cjYzYXk4b2Y5Mg1oLmNydnN4OThhNmppMg5oLmswZnQyMHBxdjhvOTIOaC5ya3EwNHUza25yYmcyDmgub21jYjc5ZmFid25wMg5oLnF6Zmxtb2M2OWczMDIOaC5rbHEzNm5mMzhmbjcyDmguNG1nemZlc3c3ZzNiMg5oLjR6cjJhcm9iZHgwbDIOaC51ajkwNDdjdDE4M2QyDmguaGpwMHplbGZiY3YxMg5oLm5qa3M1em01OGVhZzIOaC56NGxqMmg5dGJ5YzQyDmguY2xodTZjaXlqcXhuOAByITF3Q2c5Y2I0eGRCalgtSmdvX0FyMGNNS3VmXzRGMVUw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865AAB-3628-4B9E-9A9D-7AB7A3AE7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8948</Words>
  <Characters>51004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59833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Jensen</dc:creator>
  <cp:lastModifiedBy>Dan Allen</cp:lastModifiedBy>
  <cp:revision>3</cp:revision>
  <dcterms:created xsi:type="dcterms:W3CDTF">2026-04-13T10:44:00Z</dcterms:created>
  <dcterms:modified xsi:type="dcterms:W3CDTF">2026-04-13T10:51:00Z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a452a0b3f072143d9bcd99f4f058c17ab3bd461de1c827a741d47f9c45cf8214</vt:lpwstr>
  </property>
</Properties>
</file>