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b/>
          <w:bCs/>
          <w:color w:val="222222"/>
        </w:rPr>
        <w:t>Cover sheet</w:t>
      </w:r>
    </w:p>
    <w:p w14:paraId="00000002"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222222"/>
        </w:rPr>
        <w:t>“VO</w:t>
      </w:r>
      <w:r>
        <w:rPr>
          <w:rFonts w:ascii="Cambria Math" w:eastAsia="Cambria Math" w:hAnsi="Cambria Math" w:cs="Cambria Math"/>
          <w:color w:val="222222"/>
        </w:rPr>
        <w:t>₂</w:t>
      </w:r>
      <w:r>
        <w:rPr>
          <w:rFonts w:ascii="Arial" w:eastAsia="Arial" w:hAnsi="Arial" w:cs="Arial"/>
          <w:color w:val="222222"/>
        </w:rPr>
        <w:t xml:space="preserve"> kinetics and aerobic performance: Evidence missing in action”</w:t>
      </w:r>
    </w:p>
    <w:p w14:paraId="00000003"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04"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222222"/>
        </w:rPr>
      </w:pPr>
    </w:p>
    <w:p w14:paraId="00000005"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222222"/>
        </w:rPr>
      </w:pPr>
      <w:r>
        <w:rPr>
          <w:rFonts w:ascii="Arial" w:eastAsia="Arial" w:hAnsi="Arial" w:cs="Arial"/>
          <w:color w:val="222222"/>
        </w:rPr>
        <w:t>Comment on</w:t>
      </w:r>
    </w:p>
    <w:p w14:paraId="00000006"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222222"/>
        </w:rPr>
      </w:pPr>
    </w:p>
    <w:p w14:paraId="00000007"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222222"/>
        </w:rPr>
      </w:pPr>
      <w:r>
        <w:rPr>
          <w:rFonts w:ascii="Arial" w:eastAsia="Arial" w:hAnsi="Arial" w:cs="Arial"/>
          <w:color w:val="222222"/>
        </w:rPr>
        <w:t>Exercise training-induced speeding of VO</w:t>
      </w:r>
      <w:r>
        <w:rPr>
          <w:rFonts w:ascii="Arial" w:eastAsia="Arial" w:hAnsi="Arial" w:cs="Arial"/>
          <w:color w:val="222222"/>
          <w:vertAlign w:val="subscript"/>
        </w:rPr>
        <w:t>2</w:t>
      </w:r>
      <w:r>
        <w:rPr>
          <w:rFonts w:ascii="Arial" w:eastAsia="Arial" w:hAnsi="Arial" w:cs="Arial"/>
          <w:color w:val="222222"/>
        </w:rPr>
        <w:t xml:space="preserve"> kinetics is not intensity domain-specific or correlated with indices of exercise performance.</w:t>
      </w:r>
    </w:p>
    <w:p w14:paraId="00000008"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222222"/>
        </w:rPr>
        <w:t xml:space="preserve">Inglis EC, </w:t>
      </w:r>
      <w:proofErr w:type="spellStart"/>
      <w:r>
        <w:rPr>
          <w:rFonts w:ascii="Arial" w:eastAsia="Arial" w:hAnsi="Arial" w:cs="Arial"/>
          <w:color w:val="222222"/>
        </w:rPr>
        <w:t>Rasica</w:t>
      </w:r>
      <w:proofErr w:type="spellEnd"/>
      <w:r>
        <w:rPr>
          <w:rFonts w:ascii="Arial" w:eastAsia="Arial" w:hAnsi="Arial" w:cs="Arial"/>
          <w:color w:val="222222"/>
        </w:rPr>
        <w:t xml:space="preserve"> L, Iannetta D, Sales KM, Keir DA, MacInnis MJ, Murias JM.</w:t>
      </w:r>
      <w:r>
        <w:rPr>
          <w:rFonts w:ascii="Arial" w:eastAsia="Arial" w:hAnsi="Arial" w:cs="Arial"/>
          <w:color w:val="000000"/>
          <w:sz w:val="24"/>
          <w:szCs w:val="24"/>
        </w:rPr>
        <w:t xml:space="preserve"> </w:t>
      </w:r>
      <w:proofErr w:type="spellStart"/>
      <w:r>
        <w:rPr>
          <w:rFonts w:ascii="Arial" w:eastAsia="Arial" w:hAnsi="Arial" w:cs="Arial"/>
          <w:color w:val="222222"/>
        </w:rPr>
        <w:t>Eur</w:t>
      </w:r>
      <w:proofErr w:type="spellEnd"/>
      <w:r>
        <w:rPr>
          <w:rFonts w:ascii="Arial" w:eastAsia="Arial" w:hAnsi="Arial" w:cs="Arial"/>
          <w:color w:val="222222"/>
        </w:rPr>
        <w:t xml:space="preserve"> J Appl Physiol.</w:t>
      </w:r>
      <w:r>
        <w:rPr>
          <w:rFonts w:ascii="Arial" w:eastAsia="Arial" w:hAnsi="Arial" w:cs="Arial"/>
          <w:color w:val="000000"/>
          <w:sz w:val="24"/>
          <w:szCs w:val="24"/>
        </w:rPr>
        <w:t xml:space="preserve"> </w:t>
      </w:r>
      <w:r>
        <w:rPr>
          <w:rFonts w:ascii="Arial" w:eastAsia="Arial" w:hAnsi="Arial" w:cs="Arial"/>
          <w:color w:val="222222"/>
        </w:rPr>
        <w:t xml:space="preserve">2025 May;125(5):1297-1310. </w:t>
      </w:r>
      <w:proofErr w:type="spellStart"/>
      <w:r>
        <w:rPr>
          <w:rFonts w:ascii="Arial" w:eastAsia="Arial" w:hAnsi="Arial" w:cs="Arial"/>
          <w:color w:val="222222"/>
        </w:rPr>
        <w:t>doi</w:t>
      </w:r>
      <w:proofErr w:type="spellEnd"/>
      <w:r>
        <w:rPr>
          <w:rFonts w:ascii="Arial" w:eastAsia="Arial" w:hAnsi="Arial" w:cs="Arial"/>
          <w:color w:val="222222"/>
        </w:rPr>
        <w:t>: 10.1007/s00421-024-05674-1. </w:t>
      </w:r>
    </w:p>
    <w:p w14:paraId="00000009"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0A"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0B"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222222"/>
        </w:rPr>
        <w:t>Simon Marwood</w:t>
      </w:r>
      <w:r>
        <w:rPr>
          <w:rFonts w:ascii="Arial" w:eastAsia="Arial" w:hAnsi="Arial" w:cs="Arial"/>
          <w:color w:val="222222"/>
          <w:vertAlign w:val="superscript"/>
        </w:rPr>
        <w:t>1</w:t>
      </w:r>
      <w:r>
        <w:rPr>
          <w:rFonts w:ascii="Arial" w:eastAsia="Arial" w:hAnsi="Arial" w:cs="Arial"/>
          <w:color w:val="222222"/>
        </w:rPr>
        <w:t>, Richie P. Goulding</w:t>
      </w:r>
      <w:r>
        <w:rPr>
          <w:rFonts w:ascii="Arial" w:eastAsia="Arial" w:hAnsi="Arial" w:cs="Arial"/>
          <w:color w:val="222222"/>
          <w:vertAlign w:val="superscript"/>
        </w:rPr>
        <w:t>2</w:t>
      </w:r>
    </w:p>
    <w:p w14:paraId="0000000C"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0D"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222222"/>
          <w:vertAlign w:val="superscript"/>
        </w:rPr>
        <w:t>1</w:t>
      </w:r>
      <w:r>
        <w:rPr>
          <w:rFonts w:ascii="Arial" w:eastAsia="Arial" w:hAnsi="Arial" w:cs="Arial"/>
          <w:color w:val="222222"/>
        </w:rPr>
        <w:t>School of Health &amp; Sport Sciences, Faculty of Human &amp; Digital Sciences, Liverpool Hope University, Liverpool, UK</w:t>
      </w:r>
    </w:p>
    <w:p w14:paraId="0000000E" w14:textId="77777777" w:rsidR="00411000" w:rsidRDefault="00000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r>
        <w:rPr>
          <w:rFonts w:ascii="Arial" w:eastAsia="Arial" w:hAnsi="Arial" w:cs="Arial"/>
          <w:color w:val="222222"/>
          <w:vertAlign w:val="superscript"/>
        </w:rPr>
        <w:t>2</w:t>
      </w:r>
      <w:r>
        <w:rPr>
          <w:rFonts w:ascii="Arial" w:eastAsia="Arial" w:hAnsi="Arial" w:cs="Arial"/>
          <w:color w:val="222222"/>
        </w:rPr>
        <w:t xml:space="preserve">Department of Human Movement Sciences, Faculty of </w:t>
      </w:r>
      <w:proofErr w:type="spellStart"/>
      <w:r>
        <w:rPr>
          <w:rFonts w:ascii="Arial" w:eastAsia="Arial" w:hAnsi="Arial" w:cs="Arial"/>
          <w:color w:val="222222"/>
        </w:rPr>
        <w:t>Behavioral</w:t>
      </w:r>
      <w:proofErr w:type="spellEnd"/>
      <w:r>
        <w:rPr>
          <w:rFonts w:ascii="Arial" w:eastAsia="Arial" w:hAnsi="Arial" w:cs="Arial"/>
          <w:color w:val="222222"/>
        </w:rPr>
        <w:t xml:space="preserve"> and Human Movement Sciences, Amsterdam Movement Sciences, Vrije Universiteit Amsterdam, Amsterdam, the Netherlands.</w:t>
      </w:r>
    </w:p>
    <w:p w14:paraId="0000000F"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10"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11"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color w:val="000000"/>
          <w:sz w:val="24"/>
          <w:szCs w:val="24"/>
        </w:rPr>
      </w:pPr>
    </w:p>
    <w:p w14:paraId="00000012" w14:textId="77777777" w:rsidR="00411000" w:rsidRDefault="00000000">
      <w:pPr>
        <w:rPr>
          <w:rFonts w:ascii="Arial" w:eastAsia="Arial" w:hAnsi="Arial" w:cs="Arial"/>
          <w:b/>
          <w:bCs/>
          <w:color w:val="222222"/>
        </w:rPr>
      </w:pPr>
      <w:r>
        <w:br w:type="page"/>
      </w:r>
    </w:p>
    <w:p w14:paraId="00000013" w14:textId="77777777" w:rsidR="00411000" w:rsidRDefault="00411000">
      <w:pPr>
        <w:pBdr>
          <w:top w:val="nil"/>
          <w:left w:val="nil"/>
          <w:bottom w:val="nil"/>
          <w:right w:val="nil"/>
          <w:between w:val="nil"/>
        </w:pBdr>
        <w:shd w:val="clear" w:color="auto" w:fill="FFFFFF"/>
        <w:spacing w:after="0" w:line="240" w:lineRule="auto"/>
        <w:jc w:val="both"/>
        <w:rPr>
          <w:rFonts w:ascii="Arial" w:eastAsia="Arial" w:hAnsi="Arial" w:cs="Arial"/>
          <w:b/>
          <w:bCs/>
          <w:color w:val="222222"/>
        </w:rPr>
      </w:pPr>
    </w:p>
    <w:p w14:paraId="00000014" w14:textId="77777777" w:rsidR="00411000" w:rsidRDefault="00000000">
      <w:pPr>
        <w:pBdr>
          <w:top w:val="nil"/>
          <w:left w:val="nil"/>
          <w:bottom w:val="nil"/>
          <w:right w:val="nil"/>
          <w:between w:val="nil"/>
        </w:pBdr>
        <w:shd w:val="clear" w:color="auto" w:fill="FFFFFF"/>
        <w:spacing w:after="240" w:line="240" w:lineRule="auto"/>
        <w:jc w:val="both"/>
        <w:rPr>
          <w:rFonts w:ascii="Arial" w:eastAsia="Arial" w:hAnsi="Arial" w:cs="Arial"/>
          <w:color w:val="222222"/>
        </w:rPr>
      </w:pPr>
      <w:r>
        <w:rPr>
          <w:rFonts w:ascii="Arial" w:eastAsia="Arial" w:hAnsi="Arial" w:cs="Arial"/>
          <w:color w:val="222222"/>
        </w:rPr>
        <w:t>To the Editor,</w:t>
      </w:r>
    </w:p>
    <w:p w14:paraId="00000015" w14:textId="77777777" w:rsidR="00411000" w:rsidRPr="00BB2016" w:rsidRDefault="00000000">
      <w:pPr>
        <w:pBdr>
          <w:top w:val="nil"/>
          <w:left w:val="nil"/>
          <w:bottom w:val="nil"/>
          <w:right w:val="nil"/>
          <w:between w:val="nil"/>
        </w:pBdr>
        <w:shd w:val="clear" w:color="auto" w:fill="FFFFFF"/>
        <w:spacing w:after="240" w:line="240" w:lineRule="auto"/>
        <w:jc w:val="both"/>
        <w:rPr>
          <w:rFonts w:ascii="Arial" w:eastAsia="Arial" w:hAnsi="Arial" w:cs="Arial"/>
          <w:color w:val="EE0000"/>
        </w:rPr>
      </w:pPr>
      <w:r>
        <w:rPr>
          <w:rFonts w:ascii="Arial" w:eastAsia="Arial" w:hAnsi="Arial" w:cs="Arial"/>
          <w:color w:val="222222"/>
        </w:rPr>
        <w:t xml:space="preserve">We are writing to express concerns about the recently published article by Inglis et al. (2025) published in the </w:t>
      </w:r>
      <w:r>
        <w:rPr>
          <w:rFonts w:ascii="Arial" w:eastAsia="Arial" w:hAnsi="Arial" w:cs="Arial"/>
          <w:i/>
          <w:iCs/>
          <w:color w:val="222222"/>
        </w:rPr>
        <w:t>European Journal of Applied Physiology</w:t>
      </w:r>
      <w:r>
        <w:rPr>
          <w:rFonts w:ascii="Arial" w:eastAsia="Arial" w:hAnsi="Arial" w:cs="Arial"/>
          <w:color w:val="222222"/>
        </w:rPr>
        <w:t xml:space="preserve">. In our view, the manuscript contains conceptual, methodological, and statistical limitations that </w:t>
      </w:r>
      <w:r w:rsidRPr="00BB2016">
        <w:rPr>
          <w:rFonts w:ascii="Arial" w:eastAsia="Arial" w:hAnsi="Arial" w:cs="Arial"/>
          <w:color w:val="EE0000"/>
        </w:rPr>
        <w:t xml:space="preserve">weaken its conclusions and risk misleading readers. </w:t>
      </w:r>
    </w:p>
    <w:p w14:paraId="00000016" w14:textId="77777777" w:rsidR="00411000" w:rsidRDefault="00000000">
      <w:pPr>
        <w:numPr>
          <w:ilvl w:val="0"/>
          <w:numId w:val="1"/>
        </w:numPr>
        <w:pBdr>
          <w:top w:val="nil"/>
          <w:left w:val="nil"/>
          <w:bottom w:val="nil"/>
          <w:right w:val="nil"/>
          <w:between w:val="nil"/>
        </w:pBdr>
        <w:shd w:val="clear" w:color="auto" w:fill="FFFFFF"/>
        <w:spacing w:after="240" w:line="240" w:lineRule="auto"/>
        <w:jc w:val="both"/>
        <w:rPr>
          <w:rFonts w:ascii="Arial" w:eastAsia="Arial" w:hAnsi="Arial" w:cs="Arial"/>
          <w:color w:val="000000"/>
          <w:sz w:val="24"/>
          <w:szCs w:val="24"/>
        </w:rPr>
      </w:pPr>
      <w:r>
        <w:rPr>
          <w:rFonts w:ascii="Arial" w:eastAsia="Arial" w:hAnsi="Arial" w:cs="Arial"/>
          <w:b/>
          <w:bCs/>
          <w:color w:val="222222"/>
        </w:rPr>
        <w:t>Neglect of foundational literature.</w:t>
      </w:r>
      <w:r>
        <w:rPr>
          <w:rFonts w:ascii="Arial" w:eastAsia="Arial" w:hAnsi="Arial" w:cs="Arial"/>
          <w:color w:val="222222"/>
        </w:rPr>
        <w:t xml:space="preserve"> </w:t>
      </w:r>
    </w:p>
    <w:p w14:paraId="00000017" w14:textId="77777777" w:rsidR="00411000" w:rsidRDefault="00000000">
      <w:pPr>
        <w:pBdr>
          <w:top w:val="nil"/>
          <w:left w:val="nil"/>
          <w:bottom w:val="nil"/>
          <w:right w:val="nil"/>
          <w:between w:val="nil"/>
        </w:pBdr>
        <w:shd w:val="clear" w:color="auto" w:fill="FFFFFF"/>
        <w:spacing w:after="240" w:line="240" w:lineRule="auto"/>
        <w:ind w:left="720"/>
        <w:jc w:val="both"/>
        <w:rPr>
          <w:rFonts w:ascii="Arial" w:eastAsia="Arial" w:hAnsi="Arial" w:cs="Arial"/>
          <w:color w:val="000000"/>
          <w:sz w:val="24"/>
          <w:szCs w:val="24"/>
        </w:rPr>
      </w:pPr>
      <w:r>
        <w:rPr>
          <w:rFonts w:ascii="Arial" w:eastAsia="Arial" w:hAnsi="Arial" w:cs="Arial"/>
          <w:color w:val="222222"/>
        </w:rPr>
        <w:t>As part of the rationale for their study, the authors state:</w:t>
      </w:r>
    </w:p>
    <w:p w14:paraId="00000018" w14:textId="77777777" w:rsidR="00411000" w:rsidRDefault="00000000">
      <w:pPr>
        <w:pBdr>
          <w:top w:val="nil"/>
          <w:left w:val="nil"/>
          <w:bottom w:val="nil"/>
          <w:right w:val="nil"/>
          <w:between w:val="nil"/>
        </w:pBdr>
        <w:shd w:val="clear" w:color="auto" w:fill="FFFFFF"/>
        <w:spacing w:before="240" w:after="240" w:line="240" w:lineRule="auto"/>
        <w:ind w:left="720" w:right="600"/>
        <w:jc w:val="both"/>
        <w:rPr>
          <w:rFonts w:ascii="Arial" w:eastAsia="Arial" w:hAnsi="Arial" w:cs="Arial"/>
          <w:color w:val="222222"/>
        </w:rPr>
      </w:pPr>
      <w:r>
        <w:rPr>
          <w:rFonts w:ascii="Arial" w:eastAsia="Arial" w:hAnsi="Arial" w:cs="Arial"/>
          <w:color w:val="222222"/>
        </w:rPr>
        <w:t>“…</w:t>
      </w:r>
      <w:r>
        <w:rPr>
          <w:rFonts w:ascii="Arial" w:eastAsia="Arial" w:hAnsi="Arial" w:cs="Arial"/>
          <w:i/>
          <w:iCs/>
          <w:color w:val="222222"/>
        </w:rPr>
        <w:t>data directly linking changes in V̇O</w:t>
      </w:r>
      <w:r>
        <w:rPr>
          <w:rFonts w:ascii="Cambria Math" w:eastAsia="Cambria Math" w:hAnsi="Cambria Math" w:cs="Cambria Math"/>
          <w:i/>
          <w:iCs/>
          <w:color w:val="222222"/>
        </w:rPr>
        <w:t>₂</w:t>
      </w:r>
      <w:r>
        <w:rPr>
          <w:rFonts w:ascii="Arial" w:eastAsia="Arial" w:hAnsi="Arial" w:cs="Arial"/>
          <w:i/>
          <w:iCs/>
          <w:color w:val="222222"/>
        </w:rPr>
        <w:t xml:space="preserve"> kinetics with changes in performance outcomes are lacking</w:t>
      </w:r>
      <w:r>
        <w:rPr>
          <w:rFonts w:ascii="Arial" w:eastAsia="Arial" w:hAnsi="Arial" w:cs="Arial"/>
          <w:color w:val="222222"/>
        </w:rPr>
        <w:t>”, and that “</w:t>
      </w:r>
      <w:r>
        <w:rPr>
          <w:rFonts w:ascii="Arial" w:eastAsia="Arial" w:hAnsi="Arial" w:cs="Arial"/>
          <w:i/>
          <w:iCs/>
          <w:color w:val="222222"/>
        </w:rPr>
        <w:t>interventional studies that can determine whether a speeding V̇O</w:t>
      </w:r>
      <w:r>
        <w:rPr>
          <w:rFonts w:ascii="Cambria Math" w:eastAsia="Cambria Math" w:hAnsi="Cambria Math" w:cs="Cambria Math"/>
          <w:i/>
          <w:iCs/>
          <w:color w:val="222222"/>
        </w:rPr>
        <w:t>₂</w:t>
      </w:r>
      <w:r>
        <w:rPr>
          <w:rFonts w:ascii="Arial" w:eastAsia="Arial" w:hAnsi="Arial" w:cs="Arial"/>
          <w:i/>
          <w:iCs/>
          <w:color w:val="222222"/>
        </w:rPr>
        <w:t xml:space="preserve"> kinetics </w:t>
      </w:r>
      <w:r>
        <w:rPr>
          <w:rFonts w:ascii="Arial" w:eastAsia="Arial" w:hAnsi="Arial" w:cs="Arial"/>
          <w:color w:val="222222"/>
        </w:rPr>
        <w:t>[sic]</w:t>
      </w:r>
      <w:r>
        <w:rPr>
          <w:rFonts w:ascii="Arial" w:eastAsia="Arial" w:hAnsi="Arial" w:cs="Arial"/>
          <w:i/>
          <w:iCs/>
          <w:color w:val="222222"/>
        </w:rPr>
        <w:t xml:space="preserve"> directly improves performance are needed</w:t>
      </w:r>
      <w:r>
        <w:rPr>
          <w:rFonts w:ascii="Arial" w:eastAsia="Arial" w:hAnsi="Arial" w:cs="Arial"/>
          <w:color w:val="222222"/>
        </w:rPr>
        <w:t>” (p. 1298).</w:t>
      </w:r>
    </w:p>
    <w:p w14:paraId="00000019" w14:textId="77777777" w:rsidR="00411000" w:rsidRDefault="00000000">
      <w:pPr>
        <w:pBdr>
          <w:top w:val="nil"/>
          <w:left w:val="nil"/>
          <w:bottom w:val="nil"/>
          <w:right w:val="nil"/>
          <w:between w:val="nil"/>
        </w:pBdr>
        <w:shd w:val="clear" w:color="auto" w:fill="FFFFFF"/>
        <w:spacing w:before="240" w:after="240" w:line="240" w:lineRule="auto"/>
        <w:ind w:right="600" w:firstLine="720"/>
        <w:jc w:val="both"/>
        <w:rPr>
          <w:rFonts w:ascii="Arial" w:eastAsia="Arial" w:hAnsi="Arial" w:cs="Arial"/>
          <w:color w:val="222222"/>
        </w:rPr>
      </w:pPr>
      <w:r>
        <w:rPr>
          <w:rFonts w:ascii="Arial" w:eastAsia="Arial" w:hAnsi="Arial" w:cs="Arial"/>
          <w:color w:val="222222"/>
        </w:rPr>
        <w:t>Moreover, within the Discussion:</w:t>
      </w:r>
    </w:p>
    <w:p w14:paraId="0000001A" w14:textId="77777777" w:rsidR="00411000" w:rsidRDefault="00000000">
      <w:pPr>
        <w:pBdr>
          <w:top w:val="nil"/>
          <w:left w:val="nil"/>
          <w:bottom w:val="nil"/>
          <w:right w:val="nil"/>
          <w:between w:val="nil"/>
        </w:pBdr>
        <w:shd w:val="clear" w:color="auto" w:fill="FFFFFF"/>
        <w:spacing w:before="280" w:after="280" w:line="240" w:lineRule="auto"/>
        <w:ind w:left="720" w:right="600"/>
        <w:jc w:val="both"/>
        <w:rPr>
          <w:rFonts w:ascii="Arial" w:eastAsia="Arial" w:hAnsi="Arial" w:cs="Arial"/>
          <w:color w:val="222222"/>
        </w:rPr>
      </w:pPr>
      <w:r>
        <w:rPr>
          <w:rFonts w:ascii="Arial" w:eastAsia="Arial" w:hAnsi="Arial" w:cs="Arial"/>
          <w:color w:val="222222"/>
        </w:rPr>
        <w:t>“</w:t>
      </w:r>
      <w:r>
        <w:rPr>
          <w:rFonts w:ascii="Arial" w:eastAsia="Arial" w:hAnsi="Arial" w:cs="Arial"/>
          <w:i/>
          <w:iCs/>
          <w:color w:val="222222"/>
        </w:rPr>
        <w:t xml:space="preserve">However, evidence directly comparing changes in </w:t>
      </w:r>
      <w:proofErr w:type="spellStart"/>
      <w:r>
        <w:rPr>
          <w:rFonts w:ascii="Arial" w:eastAsia="Arial" w:hAnsi="Arial" w:cs="Arial"/>
          <w:i/>
          <w:iCs/>
          <w:color w:val="222222"/>
        </w:rPr>
        <w:t>τV̇O</w:t>
      </w:r>
      <w:proofErr w:type="spellEnd"/>
      <w:r>
        <w:rPr>
          <w:rFonts w:ascii="Cambria Math" w:eastAsia="Cambria Math" w:hAnsi="Cambria Math" w:cs="Cambria Math"/>
          <w:i/>
          <w:iCs/>
          <w:color w:val="222222"/>
        </w:rPr>
        <w:t>₂</w:t>
      </w:r>
      <w:r>
        <w:rPr>
          <w:rFonts w:ascii="Arial" w:eastAsia="Arial" w:hAnsi="Arial" w:cs="Arial"/>
          <w:i/>
          <w:iCs/>
          <w:color w:val="222222"/>
        </w:rPr>
        <w:t xml:space="preserve"> and performance measures in response to an exercise training intervention was lacking</w:t>
      </w:r>
      <w:r>
        <w:rPr>
          <w:rFonts w:ascii="Arial" w:eastAsia="Arial" w:hAnsi="Arial" w:cs="Arial"/>
          <w:color w:val="222222"/>
        </w:rPr>
        <w:t>.” (p.1308).</w:t>
      </w:r>
    </w:p>
    <w:p w14:paraId="0000001B" w14:textId="6354AFC7" w:rsidR="00411000" w:rsidRDefault="00000000">
      <w:pPr>
        <w:pBdr>
          <w:top w:val="nil"/>
          <w:left w:val="nil"/>
          <w:bottom w:val="nil"/>
          <w:right w:val="nil"/>
          <w:between w:val="nil"/>
        </w:pBdr>
        <w:shd w:val="clear" w:color="auto" w:fill="FFFFFF"/>
        <w:spacing w:before="240" w:after="0" w:line="240" w:lineRule="auto"/>
        <w:ind w:left="720"/>
        <w:jc w:val="both"/>
        <w:rPr>
          <w:rFonts w:ascii="Arial" w:eastAsia="Arial" w:hAnsi="Arial" w:cs="Arial"/>
          <w:color w:val="222222"/>
        </w:rPr>
      </w:pPr>
      <w:bookmarkStart w:id="0" w:name="_heading=h.sopcom80pzak" w:colFirst="0" w:colLast="0"/>
      <w:bookmarkEnd w:id="0"/>
      <w:r>
        <w:rPr>
          <w:rFonts w:ascii="Arial" w:eastAsia="Arial" w:hAnsi="Arial" w:cs="Arial"/>
          <w:color w:val="222222"/>
        </w:rPr>
        <w:t xml:space="preserve">These statements </w:t>
      </w:r>
      <w:r w:rsidRPr="00BB2016">
        <w:rPr>
          <w:rFonts w:ascii="Arial" w:eastAsia="Arial" w:hAnsi="Arial" w:cs="Arial"/>
          <w:color w:val="EE0000"/>
        </w:rPr>
        <w:t xml:space="preserve">unfortunately neglect </w:t>
      </w:r>
      <w:r>
        <w:rPr>
          <w:rFonts w:ascii="Arial" w:eastAsia="Arial" w:hAnsi="Arial" w:cs="Arial"/>
          <w:color w:val="222222"/>
        </w:rPr>
        <w:t>an entire body of work that has addressed the causal relationship between V̇O</w:t>
      </w:r>
      <w:r>
        <w:rPr>
          <w:rFonts w:ascii="Cambria Math" w:eastAsia="Cambria Math" w:hAnsi="Cambria Math" w:cs="Cambria Math"/>
          <w:color w:val="222222"/>
        </w:rPr>
        <w:t>₂</w:t>
      </w:r>
      <w:r>
        <w:rPr>
          <w:rFonts w:ascii="Arial" w:eastAsia="Arial" w:hAnsi="Arial" w:cs="Arial"/>
          <w:i/>
          <w:iCs/>
          <w:color w:val="222222"/>
        </w:rPr>
        <w:t xml:space="preserve"> </w:t>
      </w:r>
      <w:r>
        <w:rPr>
          <w:rFonts w:ascii="Arial" w:eastAsia="Arial" w:hAnsi="Arial" w:cs="Arial"/>
          <w:color w:val="222222"/>
        </w:rPr>
        <w:t>kinetics and exercise performance. For example, studies from our own group demonstrated that when V̇O</w:t>
      </w:r>
      <w:r>
        <w:rPr>
          <w:rFonts w:ascii="Cambria Math" w:eastAsia="Cambria Math" w:hAnsi="Cambria Math" w:cs="Cambria Math"/>
          <w:color w:val="222222"/>
        </w:rPr>
        <w:t>₂</w:t>
      </w:r>
      <w:r>
        <w:rPr>
          <w:rFonts w:ascii="Arial" w:eastAsia="Arial" w:hAnsi="Arial" w:cs="Arial"/>
          <w:color w:val="222222"/>
        </w:rPr>
        <w:t xml:space="preserve"> kinetics (specifically, </w:t>
      </w:r>
      <w:r w:rsidR="00B03108" w:rsidRPr="00B03108">
        <w:rPr>
          <w:rFonts w:ascii="Symbol" w:eastAsia="Arial" w:hAnsi="Symbol" w:cs="Arial"/>
          <w:color w:val="222222"/>
        </w:rPr>
        <w:t>t</w:t>
      </w:r>
      <w:r>
        <w:rPr>
          <w:rFonts w:ascii="Arial" w:eastAsia="Arial" w:hAnsi="Arial" w:cs="Arial"/>
          <w:color w:val="222222"/>
        </w:rPr>
        <w:t>V̇O</w:t>
      </w:r>
      <w:r>
        <w:rPr>
          <w:rFonts w:ascii="Cambria Math" w:eastAsia="Cambria Math" w:hAnsi="Cambria Math" w:cs="Cambria Math"/>
          <w:color w:val="222222"/>
        </w:rPr>
        <w:t>₂)</w:t>
      </w:r>
      <w:r>
        <w:rPr>
          <w:rFonts w:ascii="Cambria Math" w:eastAsia="Cambria Math" w:hAnsi="Cambria Math" w:cs="Cambria Math"/>
          <w:i/>
          <w:iCs/>
          <w:color w:val="222222"/>
        </w:rPr>
        <w:t xml:space="preserve"> </w:t>
      </w:r>
      <w:r>
        <w:rPr>
          <w:rFonts w:ascii="Arial" w:eastAsia="Arial" w:hAnsi="Arial" w:cs="Arial"/>
          <w:color w:val="222222"/>
        </w:rPr>
        <w:t>were acutely slowed, critical power was reduced (Goulding et al., 2018</w:t>
      </w:r>
      <w:proofErr w:type="gramStart"/>
      <w:r>
        <w:rPr>
          <w:rFonts w:ascii="Arial" w:eastAsia="Arial" w:hAnsi="Arial" w:cs="Arial"/>
          <w:color w:val="222222"/>
        </w:rPr>
        <w:t>a,b</w:t>
      </w:r>
      <w:proofErr w:type="gramEnd"/>
      <w:r>
        <w:rPr>
          <w:rFonts w:ascii="Arial" w:eastAsia="Arial" w:hAnsi="Arial" w:cs="Arial"/>
          <w:color w:val="222222"/>
        </w:rPr>
        <w:t>), and when V̇O</w:t>
      </w:r>
      <w:r>
        <w:rPr>
          <w:rFonts w:ascii="Cambria Math" w:eastAsia="Cambria Math" w:hAnsi="Cambria Math" w:cs="Cambria Math"/>
          <w:color w:val="222222"/>
        </w:rPr>
        <w:t>₂</w:t>
      </w:r>
      <w:r>
        <w:rPr>
          <w:rFonts w:ascii="Arial" w:eastAsia="Arial" w:hAnsi="Arial" w:cs="Arial"/>
          <w:color w:val="222222"/>
        </w:rPr>
        <w:t xml:space="preserve"> kinetics were speeded, critical power was increased (Goulding et al., 2017, 2019, 2020). Similarly, other groups have shown that acute reductions in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₂</w:t>
      </w:r>
      <w:r w:rsidR="00394E71">
        <w:rPr>
          <w:rFonts w:ascii="Cambria Math" w:eastAsia="Cambria Math" w:hAnsi="Cambria Math" w:cs="Cambria Math"/>
          <w:color w:val="222222"/>
        </w:rPr>
        <w:t xml:space="preserve"> </w:t>
      </w:r>
      <w:r>
        <w:rPr>
          <w:rFonts w:ascii="Arial" w:eastAsia="Arial" w:hAnsi="Arial" w:cs="Arial"/>
          <w:color w:val="222222"/>
        </w:rPr>
        <w:t>and speeding of the overall V̇O</w:t>
      </w:r>
      <w:r>
        <w:rPr>
          <w:rFonts w:ascii="Cambria Math" w:eastAsia="Cambria Math" w:hAnsi="Cambria Math" w:cs="Cambria Math"/>
          <w:color w:val="222222"/>
        </w:rPr>
        <w:t>₂</w:t>
      </w:r>
      <w:r>
        <w:rPr>
          <w:rFonts w:ascii="Arial" w:eastAsia="Arial" w:hAnsi="Arial" w:cs="Arial"/>
          <w:color w:val="222222"/>
        </w:rPr>
        <w:t xml:space="preserve"> kinetics via training (Bailey et al. 2009), fast-start pacing (Turnes et al. 2014; Wood et al. 2014) and priming exercise (Burnley et al. 2011; Brock et al. 2018) result in an improvement in performance. Computer simulation studies also show that changes in mitochondrial oxidative capacity affect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₂</w:t>
      </w:r>
      <w:r>
        <w:rPr>
          <w:rFonts w:ascii="Arial" w:eastAsia="Arial" w:hAnsi="Arial" w:cs="Arial"/>
          <w:color w:val="222222"/>
        </w:rPr>
        <w:t xml:space="preserve"> and critical power in opposite directions (Korzeniewski et al. 2025). Hence, a substantial body of relevant evidence exists, yet it was not addressed in the manuscript. </w:t>
      </w:r>
    </w:p>
    <w:p w14:paraId="0000001C" w14:textId="77777777" w:rsidR="00411000" w:rsidRDefault="00000000">
      <w:pPr>
        <w:pBdr>
          <w:top w:val="nil"/>
          <w:left w:val="nil"/>
          <w:bottom w:val="nil"/>
          <w:right w:val="nil"/>
          <w:between w:val="nil"/>
        </w:pBdr>
        <w:shd w:val="clear" w:color="auto" w:fill="FFFFFF"/>
        <w:spacing w:before="240" w:after="0" w:line="240" w:lineRule="auto"/>
        <w:ind w:left="720"/>
        <w:jc w:val="both"/>
        <w:rPr>
          <w:rFonts w:ascii="Arial" w:eastAsia="Arial" w:hAnsi="Arial" w:cs="Arial"/>
          <w:color w:val="222222"/>
        </w:rPr>
      </w:pPr>
      <w:r>
        <w:rPr>
          <w:rFonts w:ascii="Arial" w:eastAsia="Arial" w:hAnsi="Arial" w:cs="Arial"/>
          <w:color w:val="222222"/>
        </w:rPr>
        <w:t>In presenting this issue as unexamined, the authors give the impression of overlooking or disregarding prior work, which mischaracterises the state of the field.</w:t>
      </w:r>
    </w:p>
    <w:p w14:paraId="0000001D" w14:textId="77777777" w:rsidR="00411000" w:rsidRDefault="00000000">
      <w:pPr>
        <w:numPr>
          <w:ilvl w:val="0"/>
          <w:numId w:val="1"/>
        </w:numPr>
        <w:pBdr>
          <w:top w:val="nil"/>
          <w:left w:val="nil"/>
          <w:bottom w:val="nil"/>
          <w:right w:val="nil"/>
          <w:between w:val="nil"/>
        </w:pBdr>
        <w:shd w:val="clear" w:color="auto" w:fill="FFFFFF"/>
        <w:spacing w:before="240" w:after="0" w:line="240" w:lineRule="auto"/>
        <w:jc w:val="both"/>
        <w:rPr>
          <w:rFonts w:ascii="Arial" w:eastAsia="Arial" w:hAnsi="Arial" w:cs="Arial"/>
          <w:b/>
          <w:bCs/>
          <w:color w:val="222222"/>
        </w:rPr>
      </w:pPr>
      <w:r>
        <w:rPr>
          <w:rFonts w:ascii="Arial" w:eastAsia="Arial" w:hAnsi="Arial" w:cs="Arial"/>
          <w:b/>
          <w:bCs/>
          <w:color w:val="222222"/>
        </w:rPr>
        <w:t>Superficial consideration of indices of aerobic function</w:t>
      </w:r>
    </w:p>
    <w:p w14:paraId="0000001E" w14:textId="73FFFEC8" w:rsidR="00411000" w:rsidRDefault="00000000">
      <w:pPr>
        <w:pBdr>
          <w:top w:val="nil"/>
          <w:left w:val="nil"/>
          <w:bottom w:val="nil"/>
          <w:right w:val="nil"/>
          <w:between w:val="nil"/>
        </w:pBdr>
        <w:shd w:val="clear" w:color="auto" w:fill="FFFFFF"/>
        <w:spacing w:before="240" w:after="0" w:line="240" w:lineRule="auto"/>
        <w:ind w:left="720"/>
        <w:jc w:val="both"/>
        <w:rPr>
          <w:rFonts w:ascii="Arial" w:eastAsia="Arial" w:hAnsi="Arial" w:cs="Arial"/>
          <w:color w:val="222222"/>
        </w:rPr>
      </w:pPr>
      <w:r>
        <w:rPr>
          <w:rFonts w:ascii="Arial" w:eastAsia="Arial" w:hAnsi="Arial" w:cs="Arial"/>
          <w:color w:val="222222"/>
        </w:rPr>
        <w:t xml:space="preserve">Inglis et al. (2025) consider the relationship between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 xml:space="preserve">₂ </w:t>
      </w:r>
      <w:r>
        <w:rPr>
          <w:rFonts w:ascii="Arial" w:eastAsia="Arial" w:hAnsi="Arial" w:cs="Arial"/>
          <w:color w:val="222222"/>
        </w:rPr>
        <w:t xml:space="preserve">and other indices of aerobic function in a somewhat superficial manner. These variables all depend on common physiological determinants, such as mitochondrial oxidative capacity and convective and diffusive oxygen transport, but the relative weighting of these components differs across exercise intensities. During the moderate-intensity transitions used to determine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 xml:space="preserve">₂, </w:t>
      </w:r>
      <w:r>
        <w:rPr>
          <w:rFonts w:ascii="Arial" w:eastAsia="Arial" w:hAnsi="Arial" w:cs="Arial"/>
          <w:color w:val="222222"/>
        </w:rPr>
        <w:t>oxygen delivery is rarely limiting, and the kinetic response primarily reflects intracellular respiratory control. By contrast, within the severe domain</w:t>
      </w:r>
      <w:r w:rsidR="00394E71">
        <w:rPr>
          <w:rFonts w:ascii="Arial" w:eastAsia="Arial" w:hAnsi="Arial" w:cs="Arial"/>
          <w:color w:val="222222"/>
        </w:rPr>
        <w:t xml:space="preserve">, which </w:t>
      </w:r>
      <w:r>
        <w:rPr>
          <w:rFonts w:ascii="Arial" w:eastAsia="Arial" w:hAnsi="Arial" w:cs="Arial"/>
          <w:color w:val="222222"/>
        </w:rPr>
        <w:t xml:space="preserve">elicits </w:t>
      </w:r>
      <w:proofErr w:type="spellStart"/>
      <w:r>
        <w:rPr>
          <w:rFonts w:ascii="Arial" w:eastAsia="Arial" w:hAnsi="Arial" w:cs="Arial"/>
          <w:color w:val="222222"/>
        </w:rPr>
        <w:t>V̇O</w:t>
      </w:r>
      <w:r>
        <w:rPr>
          <w:rFonts w:ascii="Cambria Math" w:eastAsia="Cambria Math" w:hAnsi="Cambria Math" w:cs="Cambria Math"/>
          <w:color w:val="222222"/>
        </w:rPr>
        <w:t>₂</w:t>
      </w:r>
      <w:r>
        <w:rPr>
          <w:rFonts w:ascii="Arial" w:eastAsia="Arial" w:hAnsi="Arial" w:cs="Arial"/>
          <w:color w:val="222222"/>
        </w:rPr>
        <w:t>max</w:t>
      </w:r>
      <w:proofErr w:type="spellEnd"/>
      <w:r>
        <w:rPr>
          <w:rFonts w:ascii="Arial" w:eastAsia="Arial" w:hAnsi="Arial" w:cs="Arial"/>
          <w:color w:val="222222"/>
        </w:rPr>
        <w:t>, the same underlying determinants remain operative, but the relative influence of the recruitment of less oxidative fibre pools and convective and diffusive transport increases as the system operates closer to its maximal capacity. Expecting linear correlations among variables drawn from these distinct intensity domains is thus physiologically unfounded: their shared determinants manifest differently depending on which step of the O</w:t>
      </w:r>
      <w:r>
        <w:rPr>
          <w:rFonts w:ascii="Cambria Math" w:eastAsia="Cambria Math" w:hAnsi="Cambria Math" w:cs="Cambria Math"/>
          <w:color w:val="222222"/>
        </w:rPr>
        <w:t>₂</w:t>
      </w:r>
      <w:r>
        <w:rPr>
          <w:rFonts w:ascii="Arial" w:eastAsia="Arial" w:hAnsi="Arial" w:cs="Arial"/>
          <w:color w:val="222222"/>
        </w:rPr>
        <w:t xml:space="preserve"> transport–utilization pathway exerts the greatest degree of control over metabolic flux.</w:t>
      </w:r>
    </w:p>
    <w:p w14:paraId="0000001F" w14:textId="49C874AA" w:rsidR="00411000" w:rsidRDefault="00000000">
      <w:pPr>
        <w:pBdr>
          <w:top w:val="nil"/>
          <w:left w:val="nil"/>
          <w:bottom w:val="nil"/>
          <w:right w:val="nil"/>
          <w:between w:val="nil"/>
        </w:pBdr>
        <w:shd w:val="clear" w:color="auto" w:fill="FFFFFF"/>
        <w:spacing w:before="240" w:after="0" w:line="240" w:lineRule="auto"/>
        <w:ind w:left="720"/>
        <w:jc w:val="both"/>
        <w:rPr>
          <w:rFonts w:ascii="Arial" w:eastAsia="Arial" w:hAnsi="Arial" w:cs="Arial"/>
          <w:color w:val="222222"/>
        </w:rPr>
      </w:pPr>
      <w:r>
        <w:rPr>
          <w:rFonts w:ascii="Arial" w:eastAsia="Arial" w:hAnsi="Arial" w:cs="Arial"/>
          <w:color w:val="222222"/>
        </w:rPr>
        <w:lastRenderedPageBreak/>
        <w:t xml:space="preserve">This is exemplified by the weak or non-existent linear relationships between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₂</w:t>
      </w:r>
      <w:r w:rsidR="00394E71">
        <w:rPr>
          <w:rFonts w:ascii="Cambria Math" w:eastAsia="Cambria Math" w:hAnsi="Cambria Math" w:cs="Cambria Math"/>
          <w:color w:val="222222"/>
        </w:rPr>
        <w:t xml:space="preserve"> </w:t>
      </w:r>
      <w:r>
        <w:rPr>
          <w:rFonts w:ascii="Arial" w:eastAsia="Arial" w:hAnsi="Arial" w:cs="Arial"/>
          <w:color w:val="222222"/>
        </w:rPr>
        <w:t xml:space="preserve">and </w:t>
      </w:r>
      <w:proofErr w:type="spellStart"/>
      <w:r>
        <w:rPr>
          <w:rFonts w:ascii="Arial" w:eastAsia="Arial" w:hAnsi="Arial" w:cs="Arial"/>
          <w:color w:val="222222"/>
        </w:rPr>
        <w:t>V̇O</w:t>
      </w:r>
      <w:r>
        <w:rPr>
          <w:rFonts w:ascii="Cambria Math" w:eastAsia="Cambria Math" w:hAnsi="Cambria Math" w:cs="Cambria Math"/>
          <w:color w:val="222222"/>
        </w:rPr>
        <w:t>₂</w:t>
      </w:r>
      <w:r>
        <w:rPr>
          <w:rFonts w:ascii="Arial" w:eastAsia="Arial" w:hAnsi="Arial" w:cs="Arial"/>
          <w:color w:val="222222"/>
        </w:rPr>
        <w:t>max</w:t>
      </w:r>
      <w:proofErr w:type="spellEnd"/>
      <w:r>
        <w:rPr>
          <w:rFonts w:ascii="Arial" w:eastAsia="Arial" w:hAnsi="Arial" w:cs="Arial"/>
          <w:color w:val="222222"/>
        </w:rPr>
        <w:t xml:space="preserve"> that </w:t>
      </w:r>
      <w:r w:rsidRPr="00394E71">
        <w:rPr>
          <w:rFonts w:ascii="Arial" w:eastAsia="Arial" w:hAnsi="Arial" w:cs="Arial"/>
          <w:color w:val="EE0000"/>
        </w:rPr>
        <w:t xml:space="preserve">have previously been highlighted </w:t>
      </w:r>
      <w:r>
        <w:rPr>
          <w:rFonts w:ascii="Arial" w:eastAsia="Arial" w:hAnsi="Arial" w:cs="Arial"/>
          <w:color w:val="222222"/>
        </w:rPr>
        <w:t>(Whipp et al., 2002; Moore &amp; Rossiter, 2021). In contrast, when 𝛕V̇O</w:t>
      </w:r>
      <w:r>
        <w:rPr>
          <w:rFonts w:ascii="Cambria Math" w:eastAsia="Cambria Math" w:hAnsi="Cambria Math" w:cs="Cambria Math"/>
          <w:color w:val="222222"/>
        </w:rPr>
        <w:t>₂</w:t>
      </w:r>
      <w:r w:rsidR="00394E71">
        <w:rPr>
          <w:rFonts w:ascii="Cambria Math" w:eastAsia="Cambria Math" w:hAnsi="Cambria Math" w:cs="Cambria Math"/>
          <w:color w:val="222222"/>
        </w:rPr>
        <w:t xml:space="preserve"> </w:t>
      </w:r>
      <w:r>
        <w:rPr>
          <w:rFonts w:ascii="Arial" w:eastAsia="Arial" w:hAnsi="Arial" w:cs="Arial"/>
          <w:color w:val="222222"/>
        </w:rPr>
        <w:t xml:space="preserve">is assessed within the </w:t>
      </w:r>
      <w:r>
        <w:rPr>
          <w:rFonts w:ascii="Arial" w:eastAsia="Arial" w:hAnsi="Arial" w:cs="Arial"/>
          <w:i/>
          <w:iCs/>
          <w:color w:val="222222"/>
        </w:rPr>
        <w:t>same</w:t>
      </w:r>
      <w:r>
        <w:rPr>
          <w:rFonts w:ascii="Arial" w:eastAsia="Arial" w:hAnsi="Arial" w:cs="Arial"/>
          <w:color w:val="222222"/>
        </w:rPr>
        <w:t xml:space="preserve"> severe exercise intensity domain that defines critical power, their relationship is strong and mechanistically coherent (Murgatroyd et al., 2011; Goulding et al., 2021). Even then, however, as for V̇O</w:t>
      </w:r>
      <w:r>
        <w:rPr>
          <w:rFonts w:ascii="Arial" w:eastAsia="Arial" w:hAnsi="Arial" w:cs="Arial"/>
          <w:color w:val="222222"/>
          <w:vertAlign w:val="subscript"/>
        </w:rPr>
        <w:t>2</w:t>
      </w:r>
      <w:r>
        <w:rPr>
          <w:rFonts w:ascii="Arial" w:eastAsia="Arial" w:hAnsi="Arial" w:cs="Arial"/>
          <w:color w:val="222222"/>
        </w:rPr>
        <w:t xml:space="preserve">max (Moore &amp; Rossiter, 2021), the underlying relationship is fundamentally hyperbolic rather than linear. Consequently, </w:t>
      </w:r>
      <w:r w:rsidRPr="00394E71">
        <w:rPr>
          <w:rFonts w:ascii="Arial" w:eastAsia="Arial" w:hAnsi="Arial" w:cs="Arial"/>
          <w:color w:val="EE0000"/>
        </w:rPr>
        <w:t xml:space="preserve">rather than indicating a missing physiological link, the lack of a linear relationship between moderate-domain 𝛕V̇O₂ and high-intensity performance indices in Inglis et al. appears to reflect the predictable outcome of comparing measures governed by different domain-specific constraints. </w:t>
      </w:r>
      <w:r>
        <w:rPr>
          <w:rFonts w:ascii="Arial" w:eastAsia="Arial" w:hAnsi="Arial" w:cs="Arial"/>
          <w:color w:val="222222"/>
        </w:rPr>
        <w:t xml:space="preserve">The interpretation of this null correlation as evidence of “no association” is therefore misplaced. </w:t>
      </w:r>
    </w:p>
    <w:p w14:paraId="00000020" w14:textId="547B836D" w:rsidR="00411000" w:rsidRPr="00FE7E6D" w:rsidRDefault="00000000">
      <w:pPr>
        <w:shd w:val="clear" w:color="auto" w:fill="FFFFFF"/>
        <w:spacing w:before="240" w:after="0" w:line="240" w:lineRule="auto"/>
        <w:ind w:left="720"/>
        <w:jc w:val="both"/>
        <w:rPr>
          <w:rFonts w:ascii="Cambria Math" w:eastAsia="Cambria Math" w:hAnsi="Cambria Math" w:cs="Cambria Math"/>
          <w:color w:val="EE0000"/>
        </w:rPr>
      </w:pPr>
      <w:r w:rsidRPr="00FE7E6D">
        <w:rPr>
          <w:rFonts w:ascii="Arial" w:eastAsia="Arial" w:hAnsi="Arial" w:cs="Arial"/>
          <w:color w:val="EE0000"/>
        </w:rPr>
        <w:t xml:space="preserve">This </w:t>
      </w:r>
      <w:sdt>
        <w:sdtPr>
          <w:rPr>
            <w:color w:val="EE0000"/>
          </w:rPr>
          <w:tag w:val="goog_rdk_0"/>
          <w:id w:val="-1725562529"/>
        </w:sdtPr>
        <w:sdtContent/>
      </w:sdt>
      <w:r w:rsidRPr="00FE7E6D">
        <w:rPr>
          <w:rFonts w:ascii="Arial" w:eastAsia="Arial" w:hAnsi="Arial" w:cs="Arial"/>
          <w:color w:val="EE0000"/>
        </w:rPr>
        <w:t xml:space="preserve">superficial consideration of </w:t>
      </w:r>
      <w:r w:rsidR="00B03108" w:rsidRPr="00FE7E6D">
        <w:rPr>
          <w:rFonts w:ascii="Symbol" w:eastAsia="Arial" w:hAnsi="Symbol" w:cs="Arial"/>
          <w:color w:val="EE0000"/>
        </w:rPr>
        <w:t>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Pr="00FE7E6D">
        <w:rPr>
          <w:rFonts w:ascii="Arial" w:eastAsia="Arial" w:hAnsi="Arial" w:cs="Arial"/>
          <w:color w:val="EE0000"/>
        </w:rPr>
        <w:t xml:space="preserve"> extended to the suggestion that participants were close to a floor for </w:t>
      </w:r>
      <w:r w:rsidR="00B03108" w:rsidRPr="00FE7E6D">
        <w:rPr>
          <w:rFonts w:ascii="Symbol" w:eastAsia="Arial" w:hAnsi="Symbol" w:cs="Arial"/>
          <w:color w:val="EE0000"/>
        </w:rPr>
        <w:t>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Pr="00FE7E6D">
        <w:rPr>
          <w:rFonts w:ascii="Arial" w:eastAsia="Arial" w:hAnsi="Arial" w:cs="Arial"/>
          <w:color w:val="EE0000"/>
        </w:rPr>
        <w:t xml:space="preserve"> at ~22 s, beyond which no further speeding of V̇O</w:t>
      </w:r>
      <w:r w:rsidRPr="00FE7E6D">
        <w:rPr>
          <w:rFonts w:ascii="Cambria Math" w:eastAsia="Cambria Math" w:hAnsi="Cambria Math" w:cs="Cambria Math"/>
          <w:color w:val="EE0000"/>
        </w:rPr>
        <w:t>₂</w:t>
      </w:r>
      <w:r w:rsidRPr="00FE7E6D">
        <w:rPr>
          <w:rFonts w:ascii="Arial" w:eastAsia="Arial" w:hAnsi="Arial" w:cs="Arial"/>
          <w:color w:val="EE0000"/>
        </w:rPr>
        <w:t xml:space="preserve"> kinetics is possible (p. 1308). This is at odds with data on elite athletes where </w:t>
      </w:r>
      <w:r w:rsidR="00B03108" w:rsidRPr="00FE7E6D">
        <w:rPr>
          <w:rFonts w:ascii="Symbol" w:eastAsia="Arial" w:hAnsi="Symbol" w:cs="Arial"/>
          <w:color w:val="EE0000"/>
        </w:rPr>
        <w:t>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Pr="00FE7E6D">
        <w:rPr>
          <w:rFonts w:ascii="Cambria Math" w:eastAsia="Cambria Math" w:hAnsi="Cambria Math" w:cs="Cambria Math"/>
          <w:color w:val="EE0000"/>
        </w:rPr>
        <w:t xml:space="preserve"> </w:t>
      </w:r>
      <w:r w:rsidRPr="00FE7E6D">
        <w:rPr>
          <w:rFonts w:ascii="Arial" w:eastAsia="Arial" w:hAnsi="Arial" w:cs="Arial"/>
          <w:color w:val="EE0000"/>
        </w:rPr>
        <w:t xml:space="preserve">can be as low as ~8 - 12 s (Jones &amp; </w:t>
      </w:r>
      <w:proofErr w:type="spellStart"/>
      <w:r w:rsidRPr="00FE7E6D">
        <w:rPr>
          <w:rFonts w:ascii="Arial" w:eastAsia="Arial" w:hAnsi="Arial" w:cs="Arial"/>
          <w:color w:val="EE0000"/>
        </w:rPr>
        <w:t>Koppo</w:t>
      </w:r>
      <w:proofErr w:type="spellEnd"/>
      <w:r w:rsidRPr="00FE7E6D">
        <w:rPr>
          <w:rFonts w:ascii="Arial" w:eastAsia="Arial" w:hAnsi="Arial" w:cs="Arial"/>
          <w:color w:val="EE0000"/>
        </w:rPr>
        <w:t>, 2013; Jones et al. 2021) and that the association between the rate constant (i.e., 1/</w:t>
      </w:r>
      <w:r w:rsidR="00B03108" w:rsidRPr="00FE7E6D">
        <w:rPr>
          <w:rFonts w:ascii="Symbol" w:eastAsia="Arial" w:hAnsi="Symbol" w:cs="Arial"/>
          <w:color w:val="EE0000"/>
        </w:rPr>
        <w:t xml:space="preserve"> 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Pr="00FE7E6D">
        <w:rPr>
          <w:rFonts w:ascii="Arial" w:eastAsia="Arial" w:hAnsi="Arial" w:cs="Arial"/>
          <w:color w:val="EE0000"/>
        </w:rPr>
        <w:t xml:space="preserve">) and </w:t>
      </w:r>
      <w:proofErr w:type="spellStart"/>
      <w:r w:rsidRPr="00FE7E6D">
        <w:rPr>
          <w:rFonts w:ascii="Arial" w:eastAsia="Arial" w:hAnsi="Arial" w:cs="Arial"/>
          <w:color w:val="EE0000"/>
        </w:rPr>
        <w:t>V̇O₂max</w:t>
      </w:r>
      <w:proofErr w:type="spellEnd"/>
      <w:r w:rsidRPr="00FE7E6D">
        <w:rPr>
          <w:rFonts w:ascii="Arial" w:eastAsia="Arial" w:hAnsi="Arial" w:cs="Arial"/>
          <w:color w:val="EE0000"/>
        </w:rPr>
        <w:t xml:space="preserve">/critical power remains linear well beyond the range of values reported by Inglis et al. (2025) (Moore &amp; Rossiter, 2021; Goulding &amp; Marwood, 2023). The alternative proposal by Inglis et al., that </w:t>
      </w:r>
      <w:r w:rsidR="00B03108" w:rsidRPr="00FE7E6D">
        <w:rPr>
          <w:rFonts w:ascii="Symbol" w:eastAsia="Arial" w:hAnsi="Symbol" w:cs="Arial"/>
          <w:color w:val="EE0000"/>
        </w:rPr>
        <w:t>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Pr="00FE7E6D">
        <w:rPr>
          <w:rFonts w:ascii="Cambria Math" w:eastAsia="Cambria Math" w:hAnsi="Cambria Math" w:cs="Cambria Math"/>
          <w:color w:val="EE0000"/>
        </w:rPr>
        <w:t xml:space="preserve"> </w:t>
      </w:r>
      <w:r w:rsidRPr="00FE7E6D">
        <w:rPr>
          <w:rFonts w:ascii="Arial" w:eastAsia="Arial" w:hAnsi="Arial" w:cs="Arial"/>
          <w:color w:val="EE0000"/>
        </w:rPr>
        <w:t>merely reflects “a more efficient oxidative system” (p.1308) is somewhat moot since the gain of V̇O</w:t>
      </w:r>
      <w:r w:rsidRPr="00FE7E6D">
        <w:rPr>
          <w:rFonts w:ascii="Cambria Math" w:eastAsia="Cambria Math" w:hAnsi="Cambria Math" w:cs="Cambria Math"/>
          <w:color w:val="EE0000"/>
        </w:rPr>
        <w:t>₂</w:t>
      </w:r>
      <w:r w:rsidRPr="00FE7E6D">
        <w:rPr>
          <w:rFonts w:ascii="Arial" w:eastAsia="Arial" w:hAnsi="Arial" w:cs="Arial"/>
          <w:color w:val="EE0000"/>
        </w:rPr>
        <w:t xml:space="preserve"> during moderate intensity exercise was unaltered with training in all groups.</w:t>
      </w:r>
      <w:r w:rsidRPr="00FE7E6D">
        <w:rPr>
          <w:rFonts w:ascii="Cambria Math" w:eastAsia="Cambria Math" w:hAnsi="Cambria Math" w:cs="Cambria Math"/>
          <w:color w:val="EE0000"/>
        </w:rPr>
        <w:t xml:space="preserve">  </w:t>
      </w:r>
    </w:p>
    <w:p w14:paraId="00000021" w14:textId="3DF4324B" w:rsidR="00411000" w:rsidRPr="00394E71" w:rsidRDefault="00000000">
      <w:pPr>
        <w:shd w:val="clear" w:color="auto" w:fill="FFFFFF"/>
        <w:spacing w:before="240" w:after="0" w:line="240" w:lineRule="auto"/>
        <w:ind w:left="720"/>
        <w:jc w:val="both"/>
        <w:rPr>
          <w:rFonts w:ascii="Arial" w:eastAsia="Arial" w:hAnsi="Arial" w:cs="Arial"/>
          <w:color w:val="EE0000"/>
        </w:rPr>
      </w:pPr>
      <w:r w:rsidRPr="00FE7E6D">
        <w:rPr>
          <w:rFonts w:ascii="Arial" w:eastAsia="Arial" w:hAnsi="Arial" w:cs="Arial"/>
          <w:color w:val="EE0000"/>
        </w:rPr>
        <w:t xml:space="preserve">Such conceptual issues surrounding the relationship between </w:t>
      </w:r>
      <w:r w:rsidR="00B03108" w:rsidRPr="00FE7E6D">
        <w:rPr>
          <w:rFonts w:ascii="Symbol" w:eastAsia="Arial" w:hAnsi="Symbol" w:cs="Arial"/>
          <w:color w:val="EE0000"/>
        </w:rPr>
        <w:t>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003B3326" w:rsidRPr="00FE7E6D">
        <w:rPr>
          <w:rFonts w:ascii="Cambria Math" w:eastAsia="Cambria Math" w:hAnsi="Cambria Math" w:cs="Cambria Math"/>
          <w:color w:val="EE0000"/>
        </w:rPr>
        <w:t xml:space="preserve"> </w:t>
      </w:r>
      <w:r w:rsidRPr="00FE7E6D">
        <w:rPr>
          <w:rFonts w:ascii="Arial" w:eastAsia="Arial" w:hAnsi="Arial" w:cs="Arial"/>
          <w:color w:val="EE0000"/>
        </w:rPr>
        <w:t xml:space="preserve">and </w:t>
      </w:r>
      <w:proofErr w:type="spellStart"/>
      <w:r w:rsidRPr="00FE7E6D">
        <w:rPr>
          <w:rFonts w:ascii="Arial" w:eastAsia="Arial" w:hAnsi="Arial" w:cs="Arial"/>
          <w:color w:val="EE0000"/>
        </w:rPr>
        <w:t>V̇O</w:t>
      </w:r>
      <w:r w:rsidRPr="00FE7E6D">
        <w:rPr>
          <w:rFonts w:ascii="Cambria Math" w:eastAsia="Cambria Math" w:hAnsi="Cambria Math" w:cs="Cambria Math"/>
          <w:color w:val="EE0000"/>
        </w:rPr>
        <w:t>₂</w:t>
      </w:r>
      <w:r w:rsidRPr="00FE7E6D">
        <w:rPr>
          <w:rFonts w:ascii="Arial" w:eastAsia="Arial" w:hAnsi="Arial" w:cs="Arial"/>
          <w:color w:val="EE0000"/>
        </w:rPr>
        <w:t>max</w:t>
      </w:r>
      <w:proofErr w:type="spellEnd"/>
      <w:r w:rsidRPr="00FE7E6D">
        <w:rPr>
          <w:rFonts w:ascii="Arial" w:eastAsia="Arial" w:hAnsi="Arial" w:cs="Arial"/>
          <w:color w:val="EE0000"/>
        </w:rPr>
        <w:t xml:space="preserve"> may have been compounded by practical issues with the measurement of </w:t>
      </w:r>
      <w:proofErr w:type="spellStart"/>
      <w:r w:rsidRPr="00FE7E6D">
        <w:rPr>
          <w:rFonts w:ascii="Arial" w:eastAsia="Arial" w:hAnsi="Arial" w:cs="Arial"/>
          <w:color w:val="EE0000"/>
        </w:rPr>
        <w:t>V̇O</w:t>
      </w:r>
      <w:r w:rsidRPr="00FE7E6D">
        <w:rPr>
          <w:rFonts w:ascii="Cambria Math" w:eastAsia="Cambria Math" w:hAnsi="Cambria Math" w:cs="Cambria Math"/>
          <w:color w:val="EE0000"/>
        </w:rPr>
        <w:t>₂</w:t>
      </w:r>
      <w:r w:rsidRPr="00394E71">
        <w:rPr>
          <w:rFonts w:ascii="Arial" w:eastAsia="Arial" w:hAnsi="Arial" w:cs="Arial"/>
          <w:color w:val="EE0000"/>
        </w:rPr>
        <w:t>max</w:t>
      </w:r>
      <w:proofErr w:type="spellEnd"/>
      <w:r w:rsidRPr="00394E71">
        <w:rPr>
          <w:rFonts w:ascii="Arial" w:eastAsia="Arial" w:hAnsi="Arial" w:cs="Arial"/>
          <w:color w:val="EE0000"/>
        </w:rPr>
        <w:t>, where there was apparently no familiarisation, or validation of its achievement via subsequent testing (Poole &amp; Jones, 2017). This is significant when the mean change with training was just 4 - 6% for some groups and thus close to the expected day-to-day variability (</w:t>
      </w:r>
      <w:proofErr w:type="spellStart"/>
      <w:r w:rsidRPr="00394E71">
        <w:rPr>
          <w:rFonts w:ascii="Arial" w:eastAsia="Arial" w:hAnsi="Arial" w:cs="Arial"/>
          <w:color w:val="EE0000"/>
        </w:rPr>
        <w:t>Knaier</w:t>
      </w:r>
      <w:proofErr w:type="spellEnd"/>
      <w:r w:rsidRPr="00394E71">
        <w:rPr>
          <w:rFonts w:ascii="Arial" w:eastAsia="Arial" w:hAnsi="Arial" w:cs="Arial"/>
          <w:color w:val="EE0000"/>
        </w:rPr>
        <w:t xml:space="preserve"> et al. 2019). </w:t>
      </w:r>
    </w:p>
    <w:p w14:paraId="00000022" w14:textId="77777777" w:rsidR="00411000" w:rsidRDefault="00000000">
      <w:pPr>
        <w:numPr>
          <w:ilvl w:val="0"/>
          <w:numId w:val="1"/>
        </w:numPr>
        <w:pBdr>
          <w:top w:val="nil"/>
          <w:left w:val="nil"/>
          <w:bottom w:val="nil"/>
          <w:right w:val="nil"/>
          <w:between w:val="nil"/>
        </w:pBdr>
        <w:shd w:val="clear" w:color="auto" w:fill="FFFFFF"/>
        <w:spacing w:before="240" w:after="0" w:line="240" w:lineRule="auto"/>
        <w:jc w:val="both"/>
        <w:rPr>
          <w:rFonts w:ascii="Arial" w:eastAsia="Arial" w:hAnsi="Arial" w:cs="Arial"/>
          <w:b/>
          <w:bCs/>
          <w:color w:val="000000"/>
        </w:rPr>
      </w:pPr>
      <w:r>
        <w:rPr>
          <w:rFonts w:ascii="Arial" w:eastAsia="Arial" w:hAnsi="Arial" w:cs="Arial"/>
          <w:b/>
          <w:bCs/>
          <w:color w:val="222222"/>
        </w:rPr>
        <w:t xml:space="preserve">Misinterpretation of null findings. </w:t>
      </w:r>
    </w:p>
    <w:p w14:paraId="00000023" w14:textId="77777777" w:rsidR="00411000" w:rsidRDefault="00000000">
      <w:pPr>
        <w:pBdr>
          <w:top w:val="nil"/>
          <w:left w:val="nil"/>
          <w:bottom w:val="nil"/>
          <w:right w:val="nil"/>
          <w:between w:val="nil"/>
        </w:pBdr>
        <w:shd w:val="clear" w:color="auto" w:fill="FFFFFF"/>
        <w:spacing w:before="240" w:after="0" w:line="240" w:lineRule="auto"/>
        <w:ind w:left="720"/>
        <w:jc w:val="both"/>
        <w:rPr>
          <w:rFonts w:ascii="Arial" w:eastAsia="Arial" w:hAnsi="Arial" w:cs="Arial"/>
          <w:color w:val="222222"/>
        </w:rPr>
      </w:pPr>
      <w:r>
        <w:rPr>
          <w:rFonts w:ascii="Arial" w:eastAsia="Arial" w:hAnsi="Arial" w:cs="Arial"/>
          <w:color w:val="222222"/>
        </w:rPr>
        <w:t>The authors’ central conclusions, that V̇O</w:t>
      </w:r>
      <w:r>
        <w:rPr>
          <w:rFonts w:ascii="Cambria Math" w:eastAsia="Cambria Math" w:hAnsi="Cambria Math" w:cs="Cambria Math"/>
          <w:color w:val="222222"/>
        </w:rPr>
        <w:t>₂</w:t>
      </w:r>
      <w:r>
        <w:rPr>
          <w:rFonts w:ascii="Arial" w:eastAsia="Arial" w:hAnsi="Arial" w:cs="Arial"/>
          <w:color w:val="222222"/>
        </w:rPr>
        <w:t xml:space="preserve"> kinetics were uniformly improved across training intensities are drawn from comparisons that were </w:t>
      </w:r>
      <w:r w:rsidRPr="00394E71">
        <w:rPr>
          <w:rFonts w:ascii="Arial" w:eastAsia="Arial" w:hAnsi="Arial" w:cs="Arial"/>
          <w:color w:val="EE0000"/>
        </w:rPr>
        <w:t xml:space="preserve">likely </w:t>
      </w:r>
      <w:r>
        <w:rPr>
          <w:rFonts w:ascii="Arial" w:eastAsia="Arial" w:hAnsi="Arial" w:cs="Arial"/>
          <w:color w:val="222222"/>
        </w:rPr>
        <w:t xml:space="preserve">underpowered. With only ~14 participants per group across six groups and three measurement points, the study was ill-equipped to detect the crucial interaction effects. </w:t>
      </w:r>
      <w:r w:rsidRPr="00394E71">
        <w:rPr>
          <w:rFonts w:ascii="Arial" w:eastAsia="Arial" w:hAnsi="Arial" w:cs="Arial"/>
          <w:color w:val="EE0000"/>
        </w:rPr>
        <w:t>Unfortunately, therefore, the non-significant p-value provides no meaningful evidence of “no effect”. Indeed</w:t>
      </w:r>
      <w:r>
        <w:rPr>
          <w:rFonts w:ascii="Arial" w:eastAsia="Arial" w:hAnsi="Arial" w:cs="Arial"/>
          <w:color w:val="222222"/>
        </w:rPr>
        <w:t xml:space="preserve">, if the intent is to claim absence of a meaningful interaction, </w:t>
      </w:r>
      <w:r w:rsidRPr="003B3326">
        <w:rPr>
          <w:rFonts w:ascii="Arial" w:eastAsia="Arial" w:hAnsi="Arial" w:cs="Arial"/>
          <w:color w:val="EE0000"/>
        </w:rPr>
        <w:t>this would be best served with</w:t>
      </w:r>
      <w:r>
        <w:rPr>
          <w:rFonts w:ascii="Arial" w:eastAsia="Arial" w:hAnsi="Arial" w:cs="Arial"/>
          <w:color w:val="222222"/>
        </w:rPr>
        <w:t xml:space="preserve"> equivalence testing or reference to a pre-specified smallest-important effect, rather than inferred from underpowered null results. There was also no apparent consideration of assumptions such as sphericity, normality, or variance homogeneity, which are fundamental for the validity of the inferential statistics employed.</w:t>
      </w:r>
    </w:p>
    <w:p w14:paraId="00000024" w14:textId="2C9D922A" w:rsidR="00411000" w:rsidRDefault="00000000">
      <w:pPr>
        <w:pBdr>
          <w:top w:val="nil"/>
          <w:left w:val="nil"/>
          <w:bottom w:val="nil"/>
          <w:right w:val="nil"/>
          <w:between w:val="nil"/>
        </w:pBdr>
        <w:shd w:val="clear" w:color="auto" w:fill="FFFFFF"/>
        <w:spacing w:before="240" w:after="0" w:line="240" w:lineRule="auto"/>
        <w:ind w:left="720"/>
        <w:jc w:val="both"/>
        <w:rPr>
          <w:rFonts w:ascii="Arial" w:eastAsia="Arial" w:hAnsi="Arial" w:cs="Arial"/>
          <w:color w:val="222222"/>
        </w:rPr>
      </w:pPr>
      <w:r>
        <w:rPr>
          <w:rFonts w:ascii="Arial" w:eastAsia="Arial" w:hAnsi="Arial" w:cs="Arial"/>
          <w:color w:val="222222"/>
        </w:rPr>
        <w:t xml:space="preserve">The above issues are compounded by the fact that the reported changes in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 xml:space="preserve">₂ </w:t>
      </w:r>
      <w:r>
        <w:rPr>
          <w:rFonts w:ascii="Arial" w:eastAsia="Arial" w:hAnsi="Arial" w:cs="Arial"/>
          <w:color w:val="222222"/>
        </w:rPr>
        <w:t xml:space="preserve">were small in magnitude relative to the width of the 95% confidence intervals (CI) of the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 xml:space="preserve">₂ </w:t>
      </w:r>
      <w:r>
        <w:rPr>
          <w:rFonts w:ascii="Arial" w:eastAsia="Arial" w:hAnsi="Arial" w:cs="Arial"/>
          <w:color w:val="222222"/>
        </w:rPr>
        <w:t xml:space="preserve">estimates. For instance, the SIT group displayed a reduction in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 xml:space="preserve">₂ </w:t>
      </w:r>
      <w:r>
        <w:rPr>
          <w:rFonts w:ascii="Arial" w:eastAsia="Arial" w:hAnsi="Arial" w:cs="Arial"/>
          <w:color w:val="222222"/>
        </w:rPr>
        <w:t xml:space="preserve">from 29.8 ± 9.4 s to 21.7 ± 6.3 s, but this effect overlapped with the corresponding 95% CI widths, which were 5.9 ± 3.3 s to 5.5 ± 3.8 s. Similar patterns were observed across all groups. With such wide 95% CIs relative to the magnitude of change in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₂</w:t>
      </w:r>
      <w:r>
        <w:rPr>
          <w:rFonts w:ascii="Arial" w:eastAsia="Arial" w:hAnsi="Arial" w:cs="Arial"/>
          <w:color w:val="222222"/>
        </w:rPr>
        <w:t xml:space="preserve">, </w:t>
      </w:r>
      <w:r w:rsidRPr="003B3326">
        <w:rPr>
          <w:rFonts w:ascii="Arial" w:eastAsia="Arial" w:hAnsi="Arial" w:cs="Arial"/>
          <w:color w:val="EE0000"/>
        </w:rPr>
        <w:t xml:space="preserve">and no information on the test-retest reliability data </w:t>
      </w:r>
      <w:r w:rsidRPr="00FE7E6D">
        <w:rPr>
          <w:rFonts w:ascii="Arial" w:eastAsia="Arial" w:hAnsi="Arial" w:cs="Arial"/>
          <w:color w:val="EE0000"/>
        </w:rPr>
        <w:t xml:space="preserve">for </w:t>
      </w:r>
      <w:r w:rsidR="00B03108" w:rsidRPr="00FE7E6D">
        <w:rPr>
          <w:rFonts w:ascii="Symbol" w:eastAsia="Arial" w:hAnsi="Symbol" w:cs="Arial"/>
          <w:color w:val="EE0000"/>
        </w:rPr>
        <w:t>t</w:t>
      </w:r>
      <w:r w:rsidR="00B03108" w:rsidRPr="00FE7E6D">
        <w:rPr>
          <w:rFonts w:ascii="Arial" w:eastAsia="Arial" w:hAnsi="Arial" w:cs="Arial"/>
          <w:color w:val="EE0000"/>
        </w:rPr>
        <w:t>V̇O</w:t>
      </w:r>
      <w:r w:rsidR="00B03108" w:rsidRPr="00FE7E6D">
        <w:rPr>
          <w:rFonts w:ascii="Cambria Math" w:eastAsia="Cambria Math" w:hAnsi="Cambria Math" w:cs="Cambria Math"/>
          <w:color w:val="EE0000"/>
        </w:rPr>
        <w:t>₂</w:t>
      </w:r>
      <w:r w:rsidRPr="00FE7E6D">
        <w:rPr>
          <w:rFonts w:ascii="Cambria Math" w:eastAsia="Cambria Math" w:hAnsi="Cambria Math" w:cs="Cambria Math"/>
          <w:color w:val="EE0000"/>
        </w:rPr>
        <w:t xml:space="preserve">, </w:t>
      </w:r>
      <w:r w:rsidRPr="003B3326">
        <w:rPr>
          <w:rFonts w:ascii="Arial" w:eastAsia="Arial" w:hAnsi="Arial" w:cs="Arial"/>
          <w:color w:val="EE0000"/>
        </w:rPr>
        <w:t xml:space="preserve">the study was not able </w:t>
      </w:r>
      <w:r>
        <w:rPr>
          <w:rFonts w:ascii="Arial" w:eastAsia="Arial" w:hAnsi="Arial" w:cs="Arial"/>
          <w:color w:val="222222"/>
        </w:rPr>
        <w:t xml:space="preserve">to detect meaningful correlations between kinetic changes and performance outcomes, nor to convincingly compare the effects of different training intensities on </w:t>
      </w:r>
      <w:r w:rsidR="00B03108" w:rsidRPr="00B03108">
        <w:rPr>
          <w:rFonts w:ascii="Symbol" w:eastAsia="Arial" w:hAnsi="Symbol" w:cs="Arial"/>
          <w:color w:val="222222"/>
        </w:rPr>
        <w:t>t</w:t>
      </w:r>
      <w:r w:rsidR="00B03108">
        <w:rPr>
          <w:rFonts w:ascii="Arial" w:eastAsia="Arial" w:hAnsi="Arial" w:cs="Arial"/>
          <w:color w:val="222222"/>
        </w:rPr>
        <w:t>V̇O</w:t>
      </w:r>
      <w:r w:rsidR="00B03108">
        <w:rPr>
          <w:rFonts w:ascii="Cambria Math" w:eastAsia="Cambria Math" w:hAnsi="Cambria Math" w:cs="Cambria Math"/>
          <w:color w:val="222222"/>
        </w:rPr>
        <w:t>₂</w:t>
      </w:r>
      <w:r>
        <w:rPr>
          <w:rFonts w:ascii="Arial" w:eastAsia="Arial" w:hAnsi="Arial" w:cs="Arial"/>
          <w:color w:val="222222"/>
        </w:rPr>
        <w:t xml:space="preserve">. </w:t>
      </w:r>
    </w:p>
    <w:p w14:paraId="00000025" w14:textId="77777777" w:rsidR="00411000" w:rsidRDefault="00000000">
      <w:pPr>
        <w:pBdr>
          <w:top w:val="nil"/>
          <w:left w:val="nil"/>
          <w:bottom w:val="nil"/>
          <w:right w:val="nil"/>
          <w:between w:val="nil"/>
        </w:pBdr>
        <w:shd w:val="clear" w:color="auto" w:fill="FFFFFF"/>
        <w:spacing w:before="280" w:after="280" w:line="240" w:lineRule="auto"/>
        <w:ind w:left="720"/>
        <w:jc w:val="both"/>
        <w:rPr>
          <w:rFonts w:ascii="Arial" w:eastAsia="Arial" w:hAnsi="Arial" w:cs="Arial"/>
          <w:color w:val="222222"/>
        </w:rPr>
      </w:pPr>
      <w:r>
        <w:rPr>
          <w:rFonts w:ascii="Arial" w:eastAsia="Arial" w:hAnsi="Arial" w:cs="Arial"/>
          <w:color w:val="222222"/>
        </w:rPr>
        <w:lastRenderedPageBreak/>
        <w:t xml:space="preserve">There are also features of the fundamental study design that warrant comment in relation to the null findings. The modest initial fitness of the participants means that improvements would likely occur regardless of the training intensity prescribed. Moreover, a six-week training period with no increases in training frequency, and thus only modest increases in training load, is unlikely to produce large enough differential effects to robustly compare training intensities. Unfortunately, </w:t>
      </w:r>
      <w:r w:rsidRPr="003B3326">
        <w:rPr>
          <w:rFonts w:ascii="Arial" w:eastAsia="Arial" w:hAnsi="Arial" w:cs="Arial"/>
          <w:color w:val="EE0000"/>
        </w:rPr>
        <w:t xml:space="preserve">this </w:t>
      </w:r>
      <w:r>
        <w:rPr>
          <w:rFonts w:ascii="Arial" w:eastAsia="Arial" w:hAnsi="Arial" w:cs="Arial"/>
          <w:color w:val="222222"/>
        </w:rPr>
        <w:t>context was largely missing from the interpretation of the data.</w:t>
      </w:r>
    </w:p>
    <w:p w14:paraId="00000026" w14:textId="372F50B9" w:rsidR="00411000" w:rsidRDefault="00000000">
      <w:pPr>
        <w:pBdr>
          <w:top w:val="nil"/>
          <w:left w:val="nil"/>
          <w:bottom w:val="nil"/>
          <w:right w:val="nil"/>
          <w:between w:val="nil"/>
        </w:pBdr>
        <w:shd w:val="clear" w:color="auto" w:fill="FFFFFF"/>
        <w:spacing w:after="240" w:line="240" w:lineRule="auto"/>
        <w:jc w:val="both"/>
        <w:rPr>
          <w:rFonts w:ascii="Arial" w:eastAsia="Arial" w:hAnsi="Arial" w:cs="Arial"/>
          <w:color w:val="222222"/>
        </w:rPr>
      </w:pPr>
      <w:r>
        <w:rPr>
          <w:rFonts w:ascii="Arial" w:eastAsia="Arial" w:hAnsi="Arial" w:cs="Arial"/>
          <w:color w:val="222222"/>
        </w:rPr>
        <w:t xml:space="preserve">Whilst the authors are to be commended for their ambition and the scale of this dataset, the omission of the most directly relevant literature is a serious concern. Furthermore, the study’s conceptual framing, statistical power, and methodological execution </w:t>
      </w:r>
      <w:r w:rsidRPr="003B3326">
        <w:rPr>
          <w:rFonts w:ascii="Arial" w:eastAsia="Arial" w:hAnsi="Arial" w:cs="Arial"/>
          <w:color w:val="EE0000"/>
        </w:rPr>
        <w:t>fall short of being able to support the central conclusions.</w:t>
      </w:r>
      <w:r>
        <w:rPr>
          <w:rFonts w:ascii="Arial" w:eastAsia="Arial" w:hAnsi="Arial" w:cs="Arial"/>
          <w:color w:val="222222"/>
        </w:rPr>
        <w:t xml:space="preserve"> We therefore </w:t>
      </w:r>
      <w:r w:rsidRPr="003B3326">
        <w:rPr>
          <w:rFonts w:ascii="Arial" w:eastAsia="Arial" w:hAnsi="Arial" w:cs="Arial"/>
          <w:color w:val="EE0000"/>
        </w:rPr>
        <w:t xml:space="preserve">encourage </w:t>
      </w:r>
      <w:r>
        <w:rPr>
          <w:rFonts w:ascii="Arial" w:eastAsia="Arial" w:hAnsi="Arial" w:cs="Arial"/>
          <w:color w:val="222222"/>
        </w:rPr>
        <w:t xml:space="preserve">readers to interpret the null findings with caution, </w:t>
      </w:r>
      <w:r w:rsidRPr="003B3326">
        <w:rPr>
          <w:rFonts w:ascii="Arial" w:eastAsia="Arial" w:hAnsi="Arial" w:cs="Arial"/>
          <w:color w:val="EE0000"/>
        </w:rPr>
        <w:t xml:space="preserve">and suggest </w:t>
      </w:r>
      <w:r>
        <w:rPr>
          <w:rFonts w:ascii="Arial" w:eastAsia="Arial" w:hAnsi="Arial" w:cs="Arial"/>
          <w:color w:val="222222"/>
        </w:rPr>
        <w:t>that future work in this area more carefully engage with the substantial body of existing evidence and mechanistic insight linking V̇O</w:t>
      </w:r>
      <w:r>
        <w:rPr>
          <w:rFonts w:ascii="Arial" w:eastAsia="Arial" w:hAnsi="Arial" w:cs="Arial"/>
          <w:color w:val="222222"/>
          <w:vertAlign w:val="subscript"/>
        </w:rPr>
        <w:t xml:space="preserve">2 </w:t>
      </w:r>
      <w:r>
        <w:rPr>
          <w:rFonts w:ascii="Arial" w:eastAsia="Arial" w:hAnsi="Arial" w:cs="Arial"/>
          <w:color w:val="222222"/>
        </w:rPr>
        <w:t>kinetics with indices of aerobic function and exercise performance.</w:t>
      </w:r>
    </w:p>
    <w:p w14:paraId="00000027" w14:textId="77777777" w:rsidR="00411000" w:rsidRDefault="00411000">
      <w:pPr>
        <w:pBdr>
          <w:top w:val="nil"/>
          <w:left w:val="nil"/>
          <w:bottom w:val="nil"/>
          <w:right w:val="nil"/>
          <w:between w:val="nil"/>
        </w:pBdr>
        <w:shd w:val="clear" w:color="auto" w:fill="FFFFFF"/>
        <w:spacing w:after="240" w:line="240" w:lineRule="auto"/>
        <w:jc w:val="both"/>
        <w:rPr>
          <w:rFonts w:ascii="Arial" w:eastAsia="Arial" w:hAnsi="Arial" w:cs="Arial"/>
          <w:color w:val="222222"/>
        </w:rPr>
      </w:pPr>
    </w:p>
    <w:p w14:paraId="00000028" w14:textId="77777777" w:rsidR="00411000" w:rsidRDefault="00000000">
      <w:pPr>
        <w:pBdr>
          <w:top w:val="nil"/>
          <w:left w:val="nil"/>
          <w:bottom w:val="nil"/>
          <w:right w:val="nil"/>
          <w:between w:val="nil"/>
        </w:pBdr>
        <w:shd w:val="clear" w:color="auto" w:fill="FFFFFF"/>
        <w:spacing w:after="240" w:line="240" w:lineRule="auto"/>
        <w:jc w:val="both"/>
        <w:rPr>
          <w:rFonts w:ascii="Arial" w:eastAsia="Arial" w:hAnsi="Arial" w:cs="Arial"/>
          <w:b/>
          <w:bCs/>
          <w:color w:val="222222"/>
        </w:rPr>
      </w:pPr>
      <w:r>
        <w:rPr>
          <w:rFonts w:ascii="Arial" w:eastAsia="Arial" w:hAnsi="Arial" w:cs="Arial"/>
          <w:b/>
          <w:bCs/>
          <w:color w:val="222222"/>
        </w:rPr>
        <w:t>References</w:t>
      </w:r>
    </w:p>
    <w:p w14:paraId="00000029" w14:textId="77777777" w:rsidR="00411000" w:rsidRDefault="00000000">
      <w:pPr>
        <w:jc w:val="both"/>
        <w:rPr>
          <w:rFonts w:ascii="Arial" w:eastAsia="Arial" w:hAnsi="Arial" w:cs="Arial"/>
        </w:rPr>
      </w:pPr>
      <w:r>
        <w:rPr>
          <w:rFonts w:ascii="Arial" w:eastAsia="Arial" w:hAnsi="Arial" w:cs="Arial"/>
        </w:rPr>
        <w:t xml:space="preserve">Bailey SJ, Wilkerson DP, DiMenna FJ, Jones AM (2009) Influence of repeated sprint training on pulmonary O2 uptake and muscle deoxygenation kinetics in humans. </w:t>
      </w:r>
      <w:proofErr w:type="spellStart"/>
      <w:r>
        <w:rPr>
          <w:rFonts w:ascii="Arial" w:eastAsia="Arial" w:hAnsi="Arial" w:cs="Arial"/>
        </w:rPr>
        <w:t>JApplPhysiol</w:t>
      </w:r>
      <w:proofErr w:type="spellEnd"/>
      <w:r>
        <w:rPr>
          <w:rFonts w:ascii="Arial" w:eastAsia="Arial" w:hAnsi="Arial" w:cs="Arial"/>
        </w:rPr>
        <w:t xml:space="preserve"> 106:1875–1887</w:t>
      </w:r>
    </w:p>
    <w:p w14:paraId="0000002A" w14:textId="77777777" w:rsidR="00411000" w:rsidRDefault="00000000">
      <w:pPr>
        <w:jc w:val="both"/>
        <w:rPr>
          <w:rFonts w:ascii="Arial" w:eastAsia="Arial" w:hAnsi="Arial" w:cs="Arial"/>
        </w:rPr>
      </w:pPr>
      <w:r>
        <w:rPr>
          <w:rFonts w:ascii="Arial" w:eastAsia="Arial" w:hAnsi="Arial" w:cs="Arial"/>
        </w:rPr>
        <w:t xml:space="preserve">Brock K, Antonellis P, Black MI, et al (2018) Improvement of Oxygen-Uptake Kinetics and Cycling Performance </w:t>
      </w:r>
      <w:proofErr w:type="gramStart"/>
      <w:r>
        <w:rPr>
          <w:rFonts w:ascii="Arial" w:eastAsia="Arial" w:hAnsi="Arial" w:cs="Arial"/>
        </w:rPr>
        <w:t>With</w:t>
      </w:r>
      <w:proofErr w:type="gramEnd"/>
      <w:r>
        <w:rPr>
          <w:rFonts w:ascii="Arial" w:eastAsia="Arial" w:hAnsi="Arial" w:cs="Arial"/>
        </w:rPr>
        <w:t xml:space="preserve"> Combined Prior Exercise and Fast Start. Int J Sports </w:t>
      </w:r>
      <w:proofErr w:type="spellStart"/>
      <w:r>
        <w:rPr>
          <w:rFonts w:ascii="Arial" w:eastAsia="Arial" w:hAnsi="Arial" w:cs="Arial"/>
        </w:rPr>
        <w:t>Physiol</w:t>
      </w:r>
      <w:proofErr w:type="spellEnd"/>
      <w:r>
        <w:rPr>
          <w:rFonts w:ascii="Arial" w:eastAsia="Arial" w:hAnsi="Arial" w:cs="Arial"/>
        </w:rPr>
        <w:t xml:space="preserve"> Perform 13:305–312. https://doi.org/10.1123/ijspp.2016-0557</w:t>
      </w:r>
    </w:p>
    <w:p w14:paraId="0000002B" w14:textId="77777777" w:rsidR="00411000" w:rsidRDefault="00000000">
      <w:pPr>
        <w:jc w:val="both"/>
        <w:rPr>
          <w:rFonts w:ascii="Arial" w:eastAsia="Arial" w:hAnsi="Arial" w:cs="Arial"/>
        </w:rPr>
      </w:pPr>
      <w:r>
        <w:rPr>
          <w:rFonts w:ascii="Arial" w:eastAsia="Arial" w:hAnsi="Arial" w:cs="Arial"/>
        </w:rPr>
        <w:t xml:space="preserve">Burnley M, Davison G, Baker JR (2011) Effects of priming exercise on VO2 kinetics and the power-duration relationship. Med Sci Sports </w:t>
      </w:r>
      <w:proofErr w:type="spellStart"/>
      <w:r>
        <w:rPr>
          <w:rFonts w:ascii="Arial" w:eastAsia="Arial" w:hAnsi="Arial" w:cs="Arial"/>
        </w:rPr>
        <w:t>Exerc</w:t>
      </w:r>
      <w:proofErr w:type="spellEnd"/>
      <w:r>
        <w:rPr>
          <w:rFonts w:ascii="Arial" w:eastAsia="Arial" w:hAnsi="Arial" w:cs="Arial"/>
        </w:rPr>
        <w:t xml:space="preserve"> 43:2171–2179. https://doi.org/10.1249/MSS.0b013e31821ff26d</w:t>
      </w:r>
    </w:p>
    <w:p w14:paraId="0000002C" w14:textId="77777777" w:rsidR="00411000" w:rsidRDefault="00000000">
      <w:pPr>
        <w:jc w:val="both"/>
        <w:rPr>
          <w:rFonts w:ascii="Arial" w:eastAsia="Arial" w:hAnsi="Arial" w:cs="Arial"/>
        </w:rPr>
      </w:pPr>
      <w:r>
        <w:rPr>
          <w:rFonts w:ascii="Arial" w:eastAsia="Arial" w:hAnsi="Arial" w:cs="Arial"/>
        </w:rPr>
        <w:t xml:space="preserve">Goulding RP, Roche DM, Marwood S (2017) Prior exercise speeds pulmonary oxygen uptake kinetics and increases critical power during supine but not upright cycling. Exp </w:t>
      </w:r>
      <w:proofErr w:type="spellStart"/>
      <w:r>
        <w:rPr>
          <w:rFonts w:ascii="Arial" w:eastAsia="Arial" w:hAnsi="Arial" w:cs="Arial"/>
        </w:rPr>
        <w:t>Physiol</w:t>
      </w:r>
      <w:proofErr w:type="spellEnd"/>
      <w:r>
        <w:rPr>
          <w:rFonts w:ascii="Arial" w:eastAsia="Arial" w:hAnsi="Arial" w:cs="Arial"/>
        </w:rPr>
        <w:t xml:space="preserve"> 102:1158–1176. https://doi.org/10.1113/EP086304</w:t>
      </w:r>
    </w:p>
    <w:p w14:paraId="0000002D" w14:textId="77777777" w:rsidR="00411000" w:rsidRDefault="00000000">
      <w:pPr>
        <w:jc w:val="both"/>
        <w:rPr>
          <w:rFonts w:ascii="Arial" w:eastAsia="Arial" w:hAnsi="Arial" w:cs="Arial"/>
        </w:rPr>
      </w:pPr>
      <w:r>
        <w:rPr>
          <w:rFonts w:ascii="Arial" w:eastAsia="Arial" w:hAnsi="Arial" w:cs="Arial"/>
        </w:rPr>
        <w:t xml:space="preserve">Goulding RP, Roche DM, Marwood S (2018a) Elevated baseline work rate slows pulmonary oxygen uptake kinetics and decreases critical power during upright cycle exercise. </w:t>
      </w:r>
      <w:proofErr w:type="spellStart"/>
      <w:r>
        <w:rPr>
          <w:rFonts w:ascii="Arial" w:eastAsia="Arial" w:hAnsi="Arial" w:cs="Arial"/>
        </w:rPr>
        <w:t>Physiol</w:t>
      </w:r>
      <w:proofErr w:type="spellEnd"/>
      <w:r>
        <w:rPr>
          <w:rFonts w:ascii="Arial" w:eastAsia="Arial" w:hAnsi="Arial" w:cs="Arial"/>
        </w:rPr>
        <w:t xml:space="preserve"> Rep </w:t>
      </w:r>
      <w:proofErr w:type="gramStart"/>
      <w:r>
        <w:rPr>
          <w:rFonts w:ascii="Arial" w:eastAsia="Arial" w:hAnsi="Arial" w:cs="Arial"/>
        </w:rPr>
        <w:t>6:e</w:t>
      </w:r>
      <w:proofErr w:type="gramEnd"/>
      <w:r>
        <w:rPr>
          <w:rFonts w:ascii="Arial" w:eastAsia="Arial" w:hAnsi="Arial" w:cs="Arial"/>
        </w:rPr>
        <w:t>13802. https://doi.org/10.14814/phy2.13802</w:t>
      </w:r>
    </w:p>
    <w:p w14:paraId="0000002E" w14:textId="77777777" w:rsidR="00411000" w:rsidRDefault="00000000">
      <w:pPr>
        <w:jc w:val="both"/>
        <w:rPr>
          <w:rFonts w:ascii="Arial" w:eastAsia="Arial" w:hAnsi="Arial" w:cs="Arial"/>
        </w:rPr>
      </w:pPr>
      <w:r>
        <w:rPr>
          <w:rFonts w:ascii="Arial" w:eastAsia="Arial" w:hAnsi="Arial" w:cs="Arial"/>
        </w:rPr>
        <w:t xml:space="preserve">Goulding RP, Roche DM, Marwood S (2018b) “Work-to-Work” exercise slows pulmonary oxygen uptake kinetics, decreases critical power, and increases W’ during supine cycling. </w:t>
      </w:r>
      <w:proofErr w:type="spellStart"/>
      <w:r>
        <w:rPr>
          <w:rFonts w:ascii="Arial" w:eastAsia="Arial" w:hAnsi="Arial" w:cs="Arial"/>
        </w:rPr>
        <w:t>Physiol</w:t>
      </w:r>
      <w:proofErr w:type="spellEnd"/>
      <w:r>
        <w:rPr>
          <w:rFonts w:ascii="Arial" w:eastAsia="Arial" w:hAnsi="Arial" w:cs="Arial"/>
        </w:rPr>
        <w:t xml:space="preserve"> Rep </w:t>
      </w:r>
      <w:proofErr w:type="gramStart"/>
      <w:r>
        <w:rPr>
          <w:rFonts w:ascii="Arial" w:eastAsia="Arial" w:hAnsi="Arial" w:cs="Arial"/>
        </w:rPr>
        <w:t>6:e</w:t>
      </w:r>
      <w:proofErr w:type="gramEnd"/>
      <w:r>
        <w:rPr>
          <w:rFonts w:ascii="Arial" w:eastAsia="Arial" w:hAnsi="Arial" w:cs="Arial"/>
        </w:rPr>
        <w:t>13916. https://doi.org/10.14814/phy2.13916</w:t>
      </w:r>
    </w:p>
    <w:p w14:paraId="0000002F" w14:textId="77777777" w:rsidR="00411000" w:rsidRDefault="00000000">
      <w:pPr>
        <w:jc w:val="both"/>
        <w:rPr>
          <w:rFonts w:ascii="Arial" w:eastAsia="Arial" w:hAnsi="Arial" w:cs="Arial"/>
        </w:rPr>
      </w:pPr>
      <w:r>
        <w:rPr>
          <w:rFonts w:ascii="Arial" w:eastAsia="Arial" w:hAnsi="Arial" w:cs="Arial"/>
        </w:rPr>
        <w:t xml:space="preserve">Goulding RP, Roche DM, Marwood S (2019) Hyperoxia speeds pulmonary oxygen uptake kinetics and increases critical power during supine cycling. Exp </w:t>
      </w:r>
      <w:proofErr w:type="spellStart"/>
      <w:r>
        <w:rPr>
          <w:rFonts w:ascii="Arial" w:eastAsia="Arial" w:hAnsi="Arial" w:cs="Arial"/>
        </w:rPr>
        <w:t>Physiol</w:t>
      </w:r>
      <w:proofErr w:type="spellEnd"/>
      <w:r>
        <w:rPr>
          <w:rFonts w:ascii="Arial" w:eastAsia="Arial" w:hAnsi="Arial" w:cs="Arial"/>
        </w:rPr>
        <w:t xml:space="preserve"> 104:1061–1073. https://doi.org/10.1113/EP087599</w:t>
      </w:r>
    </w:p>
    <w:p w14:paraId="00000030" w14:textId="77777777" w:rsidR="00411000" w:rsidRDefault="00000000">
      <w:pPr>
        <w:jc w:val="both"/>
        <w:rPr>
          <w:rFonts w:ascii="Arial" w:eastAsia="Arial" w:hAnsi="Arial" w:cs="Arial"/>
        </w:rPr>
      </w:pPr>
      <w:r>
        <w:rPr>
          <w:rFonts w:ascii="Arial" w:eastAsia="Arial" w:hAnsi="Arial" w:cs="Arial"/>
        </w:rPr>
        <w:t xml:space="preserve">Goulding RP, Roche DM, Scott SN, et al (2020) Limitations to exercise tolerance in type 1 diabetes: the role of pulmonary oxygen uptake kinetics and priming exercise. J Appl </w:t>
      </w:r>
      <w:proofErr w:type="spellStart"/>
      <w:r>
        <w:rPr>
          <w:rFonts w:ascii="Arial" w:eastAsia="Arial" w:hAnsi="Arial" w:cs="Arial"/>
        </w:rPr>
        <w:t>Physiol</w:t>
      </w:r>
      <w:proofErr w:type="spellEnd"/>
      <w:r>
        <w:rPr>
          <w:rFonts w:ascii="Arial" w:eastAsia="Arial" w:hAnsi="Arial" w:cs="Arial"/>
        </w:rPr>
        <w:t xml:space="preserve"> (1985) 128:1299–1309. https://doi.org/10.1152/japplphysiol.00892.2019</w:t>
      </w:r>
    </w:p>
    <w:p w14:paraId="00000031" w14:textId="77777777" w:rsidR="00411000" w:rsidRDefault="00000000">
      <w:pPr>
        <w:jc w:val="both"/>
        <w:rPr>
          <w:rFonts w:ascii="Arial" w:eastAsia="Arial" w:hAnsi="Arial" w:cs="Arial"/>
        </w:rPr>
      </w:pPr>
      <w:r>
        <w:rPr>
          <w:rFonts w:ascii="Arial" w:eastAsia="Arial" w:hAnsi="Arial" w:cs="Arial"/>
        </w:rPr>
        <w:t xml:space="preserve">Goulding RP, Rossiter HB, Marwood S, Ferguson C (2021) Bioenergetic Mechanisms Linking V˙O2 Kinetics and Exercise Tolerance. </w:t>
      </w:r>
      <w:proofErr w:type="spellStart"/>
      <w:r>
        <w:rPr>
          <w:rFonts w:ascii="Arial" w:eastAsia="Arial" w:hAnsi="Arial" w:cs="Arial"/>
        </w:rPr>
        <w:t>Exerc</w:t>
      </w:r>
      <w:proofErr w:type="spellEnd"/>
      <w:r>
        <w:rPr>
          <w:rFonts w:ascii="Arial" w:eastAsia="Arial" w:hAnsi="Arial" w:cs="Arial"/>
        </w:rPr>
        <w:t xml:space="preserve"> Sport Sci Rev 49:274–283. https://doi.org/10.1249/JES.0000000000000267</w:t>
      </w:r>
    </w:p>
    <w:p w14:paraId="00000032" w14:textId="77777777" w:rsidR="00411000" w:rsidRDefault="00000000">
      <w:pPr>
        <w:jc w:val="both"/>
        <w:rPr>
          <w:rFonts w:ascii="Arial" w:eastAsia="Arial" w:hAnsi="Arial" w:cs="Arial"/>
        </w:rPr>
      </w:pPr>
      <w:r>
        <w:rPr>
          <w:rFonts w:ascii="Arial" w:eastAsia="Arial" w:hAnsi="Arial" w:cs="Arial"/>
        </w:rPr>
        <w:lastRenderedPageBreak/>
        <w:t xml:space="preserve">Inglis EC, </w:t>
      </w:r>
      <w:proofErr w:type="spellStart"/>
      <w:r>
        <w:rPr>
          <w:rFonts w:ascii="Arial" w:eastAsia="Arial" w:hAnsi="Arial" w:cs="Arial"/>
        </w:rPr>
        <w:t>Rasica</w:t>
      </w:r>
      <w:proofErr w:type="spellEnd"/>
      <w:r>
        <w:rPr>
          <w:rFonts w:ascii="Arial" w:eastAsia="Arial" w:hAnsi="Arial" w:cs="Arial"/>
        </w:rPr>
        <w:t xml:space="preserve"> L, Iannetta D, et al (2025) Exercise training-induced speeding of   V ˙ O </w:t>
      </w:r>
      <w:proofErr w:type="gramStart"/>
      <w:r>
        <w:rPr>
          <w:rFonts w:ascii="Arial" w:eastAsia="Arial" w:hAnsi="Arial" w:cs="Arial"/>
        </w:rPr>
        <w:t>2  kinetics</w:t>
      </w:r>
      <w:proofErr w:type="gramEnd"/>
      <w:r>
        <w:rPr>
          <w:rFonts w:ascii="Arial" w:eastAsia="Arial" w:hAnsi="Arial" w:cs="Arial"/>
        </w:rPr>
        <w:t xml:space="preserve"> is not intensity domain-specific or correlated with indices of exercise performance. </w:t>
      </w:r>
      <w:proofErr w:type="spellStart"/>
      <w:r>
        <w:rPr>
          <w:rFonts w:ascii="Arial" w:eastAsia="Arial" w:hAnsi="Arial" w:cs="Arial"/>
        </w:rPr>
        <w:t>Eur</w:t>
      </w:r>
      <w:proofErr w:type="spellEnd"/>
      <w:r>
        <w:rPr>
          <w:rFonts w:ascii="Arial" w:eastAsia="Arial" w:hAnsi="Arial" w:cs="Arial"/>
        </w:rPr>
        <w:t xml:space="preserve"> J Appl </w:t>
      </w:r>
      <w:proofErr w:type="spellStart"/>
      <w:r>
        <w:rPr>
          <w:rFonts w:ascii="Arial" w:eastAsia="Arial" w:hAnsi="Arial" w:cs="Arial"/>
        </w:rPr>
        <w:t>Physiol</w:t>
      </w:r>
      <w:proofErr w:type="spellEnd"/>
      <w:r>
        <w:rPr>
          <w:rFonts w:ascii="Arial" w:eastAsia="Arial" w:hAnsi="Arial" w:cs="Arial"/>
        </w:rPr>
        <w:t xml:space="preserve"> 125:1297–1310. https://doi.org/10.1007/s00421-024-05674-1</w:t>
      </w:r>
    </w:p>
    <w:p w14:paraId="00000033" w14:textId="77777777" w:rsidR="00411000" w:rsidRDefault="00000000">
      <w:pPr>
        <w:jc w:val="both"/>
        <w:rPr>
          <w:rFonts w:ascii="Arial" w:eastAsia="Arial" w:hAnsi="Arial" w:cs="Arial"/>
        </w:rPr>
      </w:pPr>
      <w:r>
        <w:rPr>
          <w:rFonts w:ascii="Arial" w:eastAsia="Arial" w:hAnsi="Arial" w:cs="Arial"/>
        </w:rPr>
        <w:t xml:space="preserve">Jones AM, Kirby BS, Clark IE, et al (2021) Physiological demands of running at 2-hour marathon race pace. J Appl </w:t>
      </w:r>
      <w:proofErr w:type="spellStart"/>
      <w:r>
        <w:rPr>
          <w:rFonts w:ascii="Arial" w:eastAsia="Arial" w:hAnsi="Arial" w:cs="Arial"/>
        </w:rPr>
        <w:t>Physiol</w:t>
      </w:r>
      <w:proofErr w:type="spellEnd"/>
      <w:r>
        <w:rPr>
          <w:rFonts w:ascii="Arial" w:eastAsia="Arial" w:hAnsi="Arial" w:cs="Arial"/>
        </w:rPr>
        <w:t xml:space="preserve"> (1985) 130:369–379. https://doi.org/10.1152/japplphysiol.00647.2020</w:t>
      </w:r>
    </w:p>
    <w:p w14:paraId="00000034" w14:textId="77777777" w:rsidR="00411000" w:rsidRDefault="00000000">
      <w:pPr>
        <w:jc w:val="both"/>
        <w:rPr>
          <w:rFonts w:ascii="Arial" w:eastAsia="Arial" w:hAnsi="Arial" w:cs="Arial"/>
        </w:rPr>
      </w:pPr>
      <w:r>
        <w:rPr>
          <w:rFonts w:ascii="Arial" w:eastAsia="Arial" w:hAnsi="Arial" w:cs="Arial"/>
        </w:rPr>
        <w:t xml:space="preserve">Jones AM, </w:t>
      </w:r>
      <w:proofErr w:type="spellStart"/>
      <w:r>
        <w:rPr>
          <w:rFonts w:ascii="Arial" w:eastAsia="Arial" w:hAnsi="Arial" w:cs="Arial"/>
        </w:rPr>
        <w:t>Koppo</w:t>
      </w:r>
      <w:proofErr w:type="spellEnd"/>
      <w:r>
        <w:rPr>
          <w:rFonts w:ascii="Arial" w:eastAsia="Arial" w:hAnsi="Arial" w:cs="Arial"/>
        </w:rPr>
        <w:t xml:space="preserve"> K (2005) Effect of training on O2 kinetics and performance. In: Oxygen Uptake Kinetics in Sport, Exercise and Medicine. Routledge</w:t>
      </w:r>
    </w:p>
    <w:p w14:paraId="00000035" w14:textId="77777777" w:rsidR="00411000" w:rsidRDefault="00000000">
      <w:pPr>
        <w:jc w:val="both"/>
        <w:rPr>
          <w:rFonts w:ascii="Arial" w:eastAsia="Arial" w:hAnsi="Arial" w:cs="Arial"/>
        </w:rPr>
      </w:pPr>
      <w:proofErr w:type="spellStart"/>
      <w:r>
        <w:rPr>
          <w:rFonts w:ascii="Arial" w:eastAsia="Arial" w:hAnsi="Arial" w:cs="Arial"/>
        </w:rPr>
        <w:t>Knaier</w:t>
      </w:r>
      <w:proofErr w:type="spellEnd"/>
      <w:r>
        <w:rPr>
          <w:rFonts w:ascii="Arial" w:eastAsia="Arial" w:hAnsi="Arial" w:cs="Arial"/>
        </w:rPr>
        <w:t xml:space="preserve"> R, Infanger D, Niemeyer M, et al (2019) In Athletes, the Diurnal Variations in Maximum Oxygen Uptake Are More Than Twice as Large as the Day-to-Day Variations. Front </w:t>
      </w:r>
      <w:proofErr w:type="spellStart"/>
      <w:r>
        <w:rPr>
          <w:rFonts w:ascii="Arial" w:eastAsia="Arial" w:hAnsi="Arial" w:cs="Arial"/>
        </w:rPr>
        <w:t>Physiol</w:t>
      </w:r>
      <w:proofErr w:type="spellEnd"/>
      <w:r>
        <w:rPr>
          <w:rFonts w:ascii="Arial" w:eastAsia="Arial" w:hAnsi="Arial" w:cs="Arial"/>
        </w:rPr>
        <w:t xml:space="preserve"> </w:t>
      </w:r>
      <w:proofErr w:type="gramStart"/>
      <w:r>
        <w:rPr>
          <w:rFonts w:ascii="Arial" w:eastAsia="Arial" w:hAnsi="Arial" w:cs="Arial"/>
        </w:rPr>
        <w:t>10:.</w:t>
      </w:r>
      <w:proofErr w:type="gramEnd"/>
      <w:r>
        <w:rPr>
          <w:rFonts w:ascii="Arial" w:eastAsia="Arial" w:hAnsi="Arial" w:cs="Arial"/>
        </w:rPr>
        <w:t xml:space="preserve"> https://doi.org/10.3389/fphys.2019.00219</w:t>
      </w:r>
    </w:p>
    <w:p w14:paraId="00000036" w14:textId="77777777" w:rsidR="00411000" w:rsidRDefault="00000000">
      <w:pPr>
        <w:jc w:val="both"/>
        <w:rPr>
          <w:rFonts w:ascii="Arial" w:eastAsia="Arial" w:hAnsi="Arial" w:cs="Arial"/>
        </w:rPr>
      </w:pPr>
      <w:r>
        <w:rPr>
          <w:rFonts w:ascii="Arial" w:eastAsia="Arial" w:hAnsi="Arial" w:cs="Arial"/>
        </w:rPr>
        <w:t>Korzeniewski B (2023) Training-Induced Increase in V·O2max and Critical Power, and Acceleration of V·O2 on-Kinetics Result from Attenuated Pi Increase Caused by Elevated OXPHOS Activity. Metabolites 13:1111. https://doi.org/10.3390/metabo13111111</w:t>
      </w:r>
    </w:p>
    <w:p w14:paraId="00000037" w14:textId="77777777" w:rsidR="00411000" w:rsidRDefault="00000000">
      <w:pPr>
        <w:jc w:val="both"/>
        <w:rPr>
          <w:rFonts w:ascii="Arial" w:eastAsia="Arial" w:hAnsi="Arial" w:cs="Arial"/>
        </w:rPr>
      </w:pPr>
      <w:r>
        <w:rPr>
          <w:rFonts w:ascii="Arial" w:eastAsia="Arial" w:hAnsi="Arial" w:cs="Arial"/>
        </w:rPr>
        <w:t xml:space="preserve">Moore JM, Rossiter HB (2021) The relationship between the time constant of VO2 kinetics and V˙O2max is hyperbolic. </w:t>
      </w:r>
      <w:proofErr w:type="spellStart"/>
      <w:r>
        <w:rPr>
          <w:rFonts w:ascii="Arial" w:eastAsia="Arial" w:hAnsi="Arial" w:cs="Arial"/>
        </w:rPr>
        <w:t>Eur</w:t>
      </w:r>
      <w:proofErr w:type="spellEnd"/>
      <w:r>
        <w:rPr>
          <w:rFonts w:ascii="Arial" w:eastAsia="Arial" w:hAnsi="Arial" w:cs="Arial"/>
        </w:rPr>
        <w:t xml:space="preserve"> J Appl </w:t>
      </w:r>
      <w:proofErr w:type="spellStart"/>
      <w:r>
        <w:rPr>
          <w:rFonts w:ascii="Arial" w:eastAsia="Arial" w:hAnsi="Arial" w:cs="Arial"/>
        </w:rPr>
        <w:t>Physiol</w:t>
      </w:r>
      <w:proofErr w:type="spellEnd"/>
      <w:r>
        <w:rPr>
          <w:rFonts w:ascii="Arial" w:eastAsia="Arial" w:hAnsi="Arial" w:cs="Arial"/>
        </w:rPr>
        <w:t xml:space="preserve"> 121:2653–2654. https://doi.org/10.1007/s00421-021-04724-2</w:t>
      </w:r>
    </w:p>
    <w:p w14:paraId="00000038" w14:textId="77777777" w:rsidR="00411000" w:rsidRDefault="00000000">
      <w:pPr>
        <w:jc w:val="both"/>
        <w:rPr>
          <w:rFonts w:ascii="Arial" w:eastAsia="Arial" w:hAnsi="Arial" w:cs="Arial"/>
        </w:rPr>
      </w:pPr>
      <w:r>
        <w:rPr>
          <w:rFonts w:ascii="Arial" w:eastAsia="Arial" w:hAnsi="Arial" w:cs="Arial"/>
        </w:rPr>
        <w:t xml:space="preserve">Murgatroyd SR, Ferguson C, Ward SA, et al (2011) Pulmonary O2 uptake kinetics as a determinant of high-intensity exercise tolerance in humans. Journal of applied physiology (Bethesda, </w:t>
      </w:r>
      <w:proofErr w:type="gramStart"/>
      <w:r>
        <w:rPr>
          <w:rFonts w:ascii="Arial" w:eastAsia="Arial" w:hAnsi="Arial" w:cs="Arial"/>
        </w:rPr>
        <w:t>Md :</w:t>
      </w:r>
      <w:proofErr w:type="gramEnd"/>
      <w:r>
        <w:rPr>
          <w:rFonts w:ascii="Arial" w:eastAsia="Arial" w:hAnsi="Arial" w:cs="Arial"/>
        </w:rPr>
        <w:t xml:space="preserve"> 1985) 110:1598–606. https://doi.org/10.1152/japplphysiol.01092.2010</w:t>
      </w:r>
    </w:p>
    <w:p w14:paraId="00000039" w14:textId="77777777" w:rsidR="00411000" w:rsidRDefault="00000000">
      <w:pPr>
        <w:jc w:val="both"/>
        <w:rPr>
          <w:rFonts w:ascii="Arial" w:eastAsia="Arial" w:hAnsi="Arial" w:cs="Arial"/>
        </w:rPr>
      </w:pPr>
      <w:r>
        <w:rPr>
          <w:rFonts w:ascii="Arial" w:eastAsia="Arial" w:hAnsi="Arial" w:cs="Arial"/>
        </w:rPr>
        <w:t xml:space="preserve">Poole DC, Jones AM (2017) Measurement of the maximum oxygen uptake V̇o2max: V̇o2peak is no longer acceptable. J Appl </w:t>
      </w:r>
      <w:proofErr w:type="spellStart"/>
      <w:r>
        <w:rPr>
          <w:rFonts w:ascii="Arial" w:eastAsia="Arial" w:hAnsi="Arial" w:cs="Arial"/>
        </w:rPr>
        <w:t>Physiol</w:t>
      </w:r>
      <w:proofErr w:type="spellEnd"/>
      <w:r>
        <w:rPr>
          <w:rFonts w:ascii="Arial" w:eastAsia="Arial" w:hAnsi="Arial" w:cs="Arial"/>
        </w:rPr>
        <w:t xml:space="preserve"> (1985) 122:997–1002. https://doi.org/10.1152/japplphysiol.01063.2016</w:t>
      </w:r>
    </w:p>
    <w:p w14:paraId="0000003A" w14:textId="77777777" w:rsidR="00411000" w:rsidRDefault="00000000">
      <w:pPr>
        <w:jc w:val="both"/>
        <w:rPr>
          <w:rFonts w:ascii="Arial" w:eastAsia="Arial" w:hAnsi="Arial" w:cs="Arial"/>
        </w:rPr>
      </w:pPr>
      <w:r>
        <w:rPr>
          <w:rFonts w:ascii="Arial" w:eastAsia="Arial" w:hAnsi="Arial" w:cs="Arial"/>
        </w:rPr>
        <w:t xml:space="preserve">Turnes T, Salvador AF, </w:t>
      </w:r>
      <w:proofErr w:type="spellStart"/>
      <w:r>
        <w:rPr>
          <w:rFonts w:ascii="Arial" w:eastAsia="Arial" w:hAnsi="Arial" w:cs="Arial"/>
        </w:rPr>
        <w:t>Lisbôa</w:t>
      </w:r>
      <w:proofErr w:type="spellEnd"/>
      <w:r>
        <w:rPr>
          <w:rFonts w:ascii="Arial" w:eastAsia="Arial" w:hAnsi="Arial" w:cs="Arial"/>
        </w:rPr>
        <w:t xml:space="preserve"> FD, et al (2014) A fast-start pacing strategy speeds pulmonary oxygen uptake kinetics and improves supramaximal running performance. </w:t>
      </w:r>
      <w:proofErr w:type="spellStart"/>
      <w:r>
        <w:rPr>
          <w:rFonts w:ascii="Arial" w:eastAsia="Arial" w:hAnsi="Arial" w:cs="Arial"/>
        </w:rPr>
        <w:t>PLoS</w:t>
      </w:r>
      <w:proofErr w:type="spellEnd"/>
      <w:r>
        <w:rPr>
          <w:rFonts w:ascii="Arial" w:eastAsia="Arial" w:hAnsi="Arial" w:cs="Arial"/>
        </w:rPr>
        <w:t xml:space="preserve"> One </w:t>
      </w:r>
      <w:proofErr w:type="gramStart"/>
      <w:r>
        <w:rPr>
          <w:rFonts w:ascii="Arial" w:eastAsia="Arial" w:hAnsi="Arial" w:cs="Arial"/>
        </w:rPr>
        <w:t>9:e</w:t>
      </w:r>
      <w:proofErr w:type="gramEnd"/>
      <w:r>
        <w:rPr>
          <w:rFonts w:ascii="Arial" w:eastAsia="Arial" w:hAnsi="Arial" w:cs="Arial"/>
        </w:rPr>
        <w:t>111621. https://doi.org/10.1371/journal.pone.0111621</w:t>
      </w:r>
    </w:p>
    <w:p w14:paraId="0000003B" w14:textId="77777777" w:rsidR="00411000" w:rsidRDefault="00000000">
      <w:pPr>
        <w:jc w:val="both"/>
        <w:rPr>
          <w:rFonts w:ascii="Arial" w:eastAsia="Arial" w:hAnsi="Arial" w:cs="Arial"/>
        </w:rPr>
      </w:pPr>
      <w:r>
        <w:rPr>
          <w:rFonts w:ascii="Arial" w:eastAsia="Arial" w:hAnsi="Arial" w:cs="Arial"/>
        </w:rPr>
        <w:t>Wood MA, Bailey SJ, Jones AM (2014) Influence of all-out start duration on pulmonary oxygen uptake kinetics and high-intensity exercise performance. J Strength Cond Res 28:2187–2194. https://doi.org/10.1519/JSC.0000000000000399</w:t>
      </w:r>
    </w:p>
    <w:p w14:paraId="0000003C" w14:textId="77777777" w:rsidR="00411000" w:rsidRDefault="00411000"/>
    <w:p w14:paraId="0000003D" w14:textId="77777777" w:rsidR="00411000" w:rsidRDefault="00411000"/>
    <w:sectPr w:rsidR="00411000">
      <w:pgSz w:w="11906" w:h="16838"/>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621D4D10-4739-42C0-8CAF-5E549EBCC597}"/>
    <w:embedBold r:id="rId2" w:fontKey="{FA77FB91-A70F-47FA-A69D-468F016C8A6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7B7AADD-5911-49E4-BA59-86BDE2C84E40}"/>
  </w:font>
  <w:font w:name="Cambria Math">
    <w:panose1 w:val="02040503050406030204"/>
    <w:charset w:val="00"/>
    <w:family w:val="roman"/>
    <w:pitch w:val="variable"/>
    <w:sig w:usb0="E00006FF" w:usb1="420024FF" w:usb2="02000000" w:usb3="00000000" w:csb0="0000019F" w:csb1="00000000"/>
    <w:embedRegular r:id="rId4" w:fontKey="{01E9B5F9-74CD-4FB7-BFAA-FDECF0194A88}"/>
    <w:embedItalic r:id="rId5" w:fontKey="{089251C5-E9D3-4C5B-9016-CAC6BB69E79D}"/>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4E7C0043-6A9C-46B0-B81E-5B668DD4473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22A3A"/>
    <w:multiLevelType w:val="multilevel"/>
    <w:tmpl w:val="76809912"/>
    <w:lvl w:ilvl="0">
      <w:start w:val="1"/>
      <w:numFmt w:val="decimal"/>
      <w:lvlText w:val="%1."/>
      <w:lvlJc w:val="left"/>
      <w:pPr>
        <w:ind w:left="720" w:hanging="360"/>
      </w:pPr>
      <w:rPr>
        <w:rFonts w:ascii="Arial" w:eastAsia="Arial" w:hAnsi="Arial" w:cs="Arial"/>
        <w:color w:val="222222"/>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014383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1000"/>
    <w:rsid w:val="00394E71"/>
    <w:rsid w:val="003B3326"/>
    <w:rsid w:val="00411000"/>
    <w:rsid w:val="00806C9B"/>
    <w:rsid w:val="00B03108"/>
    <w:rsid w:val="00BB2016"/>
    <w:rsid w:val="00FE7E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D497"/>
  <w15:docId w15:val="{573BE4C5-0A72-4FAA-A173-217F74FF1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NormalWeb">
    <w:name w:val="Normal (Web)"/>
    <w:basedOn w:val="Normal"/>
    <w:uiPriority w:val="99"/>
    <w:unhideWhenUsed/>
    <w:rsid w:val="0080249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Revision">
    <w:name w:val="Revision"/>
    <w:hidden/>
    <w:uiPriority w:val="99"/>
    <w:semiHidden/>
    <w:rsid w:val="00DB7DBC"/>
    <w:pPr>
      <w:spacing w:after="0" w:line="240" w:lineRule="auto"/>
    </w:pPr>
  </w:style>
  <w:style w:type="character" w:styleId="CommentReference">
    <w:name w:val="annotation reference"/>
    <w:basedOn w:val="DefaultParagraphFont"/>
    <w:uiPriority w:val="99"/>
    <w:semiHidden/>
    <w:unhideWhenUsed/>
    <w:rsid w:val="00E124D4"/>
    <w:rPr>
      <w:sz w:val="16"/>
      <w:szCs w:val="16"/>
    </w:rPr>
  </w:style>
  <w:style w:type="paragraph" w:styleId="CommentText">
    <w:name w:val="annotation text"/>
    <w:basedOn w:val="Normal"/>
    <w:link w:val="CommentTextChar"/>
    <w:uiPriority w:val="99"/>
    <w:unhideWhenUsed/>
    <w:rsid w:val="00E124D4"/>
    <w:pPr>
      <w:spacing w:line="240" w:lineRule="auto"/>
    </w:pPr>
    <w:rPr>
      <w:sz w:val="20"/>
      <w:szCs w:val="20"/>
    </w:rPr>
  </w:style>
  <w:style w:type="character" w:customStyle="1" w:styleId="CommentTextChar">
    <w:name w:val="Comment Text Char"/>
    <w:basedOn w:val="DefaultParagraphFont"/>
    <w:link w:val="CommentText"/>
    <w:uiPriority w:val="99"/>
    <w:rsid w:val="00E124D4"/>
    <w:rPr>
      <w:sz w:val="20"/>
      <w:szCs w:val="20"/>
    </w:rPr>
  </w:style>
  <w:style w:type="paragraph" w:styleId="CommentSubject">
    <w:name w:val="annotation subject"/>
    <w:basedOn w:val="CommentText"/>
    <w:next w:val="CommentText"/>
    <w:link w:val="CommentSubjectChar"/>
    <w:uiPriority w:val="99"/>
    <w:semiHidden/>
    <w:unhideWhenUsed/>
    <w:rsid w:val="00E124D4"/>
    <w:rPr>
      <w:b/>
      <w:bCs/>
    </w:rPr>
  </w:style>
  <w:style w:type="character" w:customStyle="1" w:styleId="CommentSubjectChar">
    <w:name w:val="Comment Subject Char"/>
    <w:basedOn w:val="CommentTextChar"/>
    <w:link w:val="CommentSubject"/>
    <w:uiPriority w:val="99"/>
    <w:semiHidden/>
    <w:rsid w:val="00E124D4"/>
    <w:rPr>
      <w:b/>
      <w:bCs/>
      <w:sz w:val="20"/>
      <w:szCs w:val="20"/>
    </w:rPr>
  </w:style>
  <w:style w:type="character" w:styleId="Hyperlink">
    <w:name w:val="Hyperlink"/>
    <w:basedOn w:val="DefaultParagraphFont"/>
    <w:uiPriority w:val="99"/>
    <w:unhideWhenUsed/>
    <w:rsid w:val="00FD7402"/>
    <w:rPr>
      <w:color w:val="0563C1" w:themeColor="hyperlink"/>
      <w:u w:val="single"/>
    </w:rPr>
  </w:style>
  <w:style w:type="character" w:styleId="UnresolvedMention">
    <w:name w:val="Unresolved Mention"/>
    <w:basedOn w:val="DefaultParagraphFont"/>
    <w:uiPriority w:val="99"/>
    <w:semiHidden/>
    <w:unhideWhenUsed/>
    <w:rsid w:val="00FD7402"/>
    <w:rPr>
      <w:color w:val="605E5C"/>
      <w:shd w:val="clear" w:color="auto" w:fill="E1DFDD"/>
    </w:rPr>
  </w:style>
  <w:style w:type="character" w:styleId="FollowedHyperlink">
    <w:name w:val="FollowedHyperlink"/>
    <w:basedOn w:val="DefaultParagraphFont"/>
    <w:uiPriority w:val="99"/>
    <w:semiHidden/>
    <w:unhideWhenUsed/>
    <w:rsid w:val="00994761"/>
    <w:rPr>
      <w:color w:val="954F72" w:themeColor="followedHyperlink"/>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8bC2XU1H3O200JZHY/OuKXBWIA==">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Pages>
  <Words>1950</Words>
  <Characters>11117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Marwood</dc:creator>
  <cp:lastModifiedBy>Jane Marwood</cp:lastModifiedBy>
  <cp:revision>4</cp:revision>
  <dcterms:created xsi:type="dcterms:W3CDTF">2025-11-14T12:12:00Z</dcterms:created>
  <dcterms:modified xsi:type="dcterms:W3CDTF">2025-12-04T22:05:00Z</dcterms:modified>
</cp:coreProperties>
</file>