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F643C" w14:textId="3C77726B" w:rsidR="0022035E" w:rsidRPr="00165ED2" w:rsidRDefault="009A3D9B" w:rsidP="009A3D9B">
      <w:pPr>
        <w:spacing w:line="480" w:lineRule="auto"/>
        <w:rPr>
          <w:rFonts w:ascii="Times New Roman" w:hAnsi="Times New Roman" w:cs="Times New Roman"/>
          <w:b/>
          <w:bCs/>
          <w:sz w:val="24"/>
          <w:szCs w:val="24"/>
        </w:rPr>
      </w:pPr>
      <w:r w:rsidRPr="00165ED2">
        <w:rPr>
          <w:rFonts w:ascii="Times New Roman" w:hAnsi="Times New Roman" w:cs="Times New Roman"/>
          <w:b/>
          <w:bCs/>
          <w:sz w:val="24"/>
          <w:szCs w:val="24"/>
        </w:rPr>
        <w:t>INTERACTION OF FACTORS DETERMINING CRITICAL POWER</w:t>
      </w:r>
    </w:p>
    <w:p w14:paraId="4FE12E9B" w14:textId="7947CE50" w:rsidR="009A3D9B" w:rsidRPr="00165ED2" w:rsidRDefault="009A3D9B" w:rsidP="009A3D9B">
      <w:pPr>
        <w:spacing w:line="480" w:lineRule="auto"/>
        <w:jc w:val="both"/>
        <w:rPr>
          <w:rFonts w:ascii="Times New Roman" w:hAnsi="Times New Roman" w:cs="Times New Roman"/>
          <w:b/>
          <w:sz w:val="24"/>
          <w:szCs w:val="24"/>
        </w:rPr>
      </w:pPr>
      <w:r w:rsidRPr="00165ED2">
        <w:rPr>
          <w:rFonts w:ascii="Times New Roman" w:hAnsi="Times New Roman" w:cs="Times New Roman"/>
          <w:b/>
          <w:sz w:val="24"/>
          <w:szCs w:val="24"/>
        </w:rPr>
        <w:t>RICHIE P. GOULDING</w:t>
      </w:r>
      <w:r w:rsidRPr="00165ED2">
        <w:rPr>
          <w:rFonts w:ascii="Times New Roman" w:hAnsi="Times New Roman" w:cs="Times New Roman"/>
          <w:b/>
          <w:sz w:val="24"/>
          <w:szCs w:val="24"/>
          <w:vertAlign w:val="superscript"/>
        </w:rPr>
        <w:t>1</w:t>
      </w:r>
      <w:r w:rsidRPr="00165ED2">
        <w:rPr>
          <w:rFonts w:ascii="Times New Roman" w:hAnsi="Times New Roman" w:cs="Times New Roman"/>
          <w:b/>
          <w:sz w:val="24"/>
          <w:szCs w:val="24"/>
        </w:rPr>
        <w:t>; SIMON MARWOOD</w:t>
      </w:r>
      <w:r w:rsidRPr="00165ED2">
        <w:rPr>
          <w:rFonts w:ascii="Times New Roman" w:hAnsi="Times New Roman" w:cs="Times New Roman"/>
          <w:b/>
          <w:sz w:val="24"/>
          <w:szCs w:val="24"/>
          <w:vertAlign w:val="superscript"/>
        </w:rPr>
        <w:t>2</w:t>
      </w:r>
    </w:p>
    <w:p w14:paraId="0CC5D3F7" w14:textId="54DBDFA1" w:rsidR="009A3D9B" w:rsidRPr="00165ED2" w:rsidRDefault="009A3D9B" w:rsidP="009A3D9B">
      <w:pPr>
        <w:spacing w:line="480" w:lineRule="auto"/>
        <w:jc w:val="both"/>
        <w:rPr>
          <w:rFonts w:ascii="Times New Roman" w:hAnsi="Times New Roman" w:cs="Times New Roman"/>
          <w:i/>
          <w:sz w:val="24"/>
          <w:szCs w:val="24"/>
        </w:rPr>
      </w:pPr>
      <w:r w:rsidRPr="00165ED2">
        <w:rPr>
          <w:rFonts w:ascii="Times New Roman" w:hAnsi="Times New Roman" w:cs="Times New Roman"/>
          <w:i/>
          <w:sz w:val="24"/>
          <w:szCs w:val="24"/>
          <w:vertAlign w:val="superscript"/>
        </w:rPr>
        <w:t>1</w:t>
      </w:r>
      <w:r w:rsidR="001B198B" w:rsidRPr="00165ED2">
        <w:t xml:space="preserve"> </w:t>
      </w:r>
      <w:r w:rsidR="001B198B" w:rsidRPr="00165ED2">
        <w:rPr>
          <w:rFonts w:ascii="Times New Roman" w:hAnsi="Times New Roman" w:cs="Times New Roman"/>
          <w:i/>
          <w:sz w:val="24"/>
          <w:szCs w:val="24"/>
        </w:rPr>
        <w:t>Laboratory for Myology, Faculty of Behavioural and Movement Sciences, Vrije Universiteit Amsterdam, Amsterdam Movement Sciences, Amsterdam, The Netherlands</w:t>
      </w:r>
      <w:r w:rsidRPr="00165ED2">
        <w:rPr>
          <w:rFonts w:ascii="Times New Roman" w:hAnsi="Times New Roman" w:cs="Times New Roman"/>
          <w:i/>
          <w:sz w:val="24"/>
          <w:szCs w:val="24"/>
        </w:rPr>
        <w:t xml:space="preserve">; </w:t>
      </w:r>
      <w:r w:rsidRPr="00165ED2">
        <w:rPr>
          <w:rFonts w:ascii="Times New Roman" w:hAnsi="Times New Roman" w:cs="Times New Roman"/>
          <w:i/>
          <w:sz w:val="24"/>
          <w:szCs w:val="24"/>
          <w:vertAlign w:val="superscript"/>
        </w:rPr>
        <w:t>2</w:t>
      </w:r>
      <w:r w:rsidRPr="00165ED2">
        <w:rPr>
          <w:rFonts w:ascii="Times New Roman" w:hAnsi="Times New Roman" w:cs="Times New Roman"/>
          <w:i/>
          <w:sz w:val="24"/>
          <w:szCs w:val="24"/>
        </w:rPr>
        <w:t>School of Health Sciences, Liverpool Hope University, Liverpool, United Kingdom</w:t>
      </w:r>
    </w:p>
    <w:p w14:paraId="1C61748A" w14:textId="77777777" w:rsidR="009A3D9B" w:rsidRPr="00165ED2" w:rsidRDefault="009A3D9B" w:rsidP="009A3D9B">
      <w:pPr>
        <w:spacing w:line="480" w:lineRule="auto"/>
        <w:jc w:val="both"/>
        <w:rPr>
          <w:rFonts w:ascii="Times New Roman" w:hAnsi="Times New Roman" w:cs="Times New Roman"/>
          <w:sz w:val="24"/>
          <w:szCs w:val="24"/>
        </w:rPr>
      </w:pPr>
      <w:r w:rsidRPr="00165ED2">
        <w:rPr>
          <w:rFonts w:ascii="Times New Roman" w:hAnsi="Times New Roman" w:cs="Times New Roman"/>
          <w:b/>
          <w:sz w:val="24"/>
          <w:szCs w:val="24"/>
        </w:rPr>
        <w:t>Corresponding author:</w:t>
      </w:r>
      <w:r w:rsidRPr="00165ED2">
        <w:rPr>
          <w:rFonts w:ascii="Times New Roman" w:hAnsi="Times New Roman" w:cs="Times New Roman"/>
          <w:sz w:val="24"/>
          <w:szCs w:val="24"/>
        </w:rPr>
        <w:t xml:space="preserve"> Richie P. Goulding</w:t>
      </w:r>
    </w:p>
    <w:p w14:paraId="61C08263" w14:textId="401121B7" w:rsidR="009A3D9B" w:rsidRPr="00165ED2" w:rsidRDefault="009A3D9B" w:rsidP="009A3D9B">
      <w:pPr>
        <w:spacing w:line="480" w:lineRule="auto"/>
        <w:jc w:val="both"/>
        <w:rPr>
          <w:rFonts w:ascii="Times New Roman" w:hAnsi="Times New Roman" w:cs="Times New Roman"/>
          <w:sz w:val="24"/>
          <w:szCs w:val="24"/>
        </w:rPr>
      </w:pPr>
      <w:r w:rsidRPr="00165ED2">
        <w:rPr>
          <w:rFonts w:ascii="Times New Roman" w:hAnsi="Times New Roman" w:cs="Times New Roman"/>
          <w:b/>
          <w:sz w:val="24"/>
          <w:szCs w:val="24"/>
        </w:rPr>
        <w:t>Address Correspondence:</w:t>
      </w:r>
      <w:r w:rsidRPr="00165ED2">
        <w:rPr>
          <w:rFonts w:ascii="Times New Roman" w:hAnsi="Times New Roman" w:cs="Times New Roman"/>
          <w:sz w:val="24"/>
          <w:szCs w:val="24"/>
        </w:rPr>
        <w:t xml:space="preserve"> </w:t>
      </w:r>
      <w:r w:rsidR="001B198B" w:rsidRPr="00165ED2">
        <w:rPr>
          <w:rFonts w:ascii="Times New Roman" w:hAnsi="Times New Roman" w:cs="Times New Roman"/>
          <w:sz w:val="24"/>
          <w:szCs w:val="24"/>
        </w:rPr>
        <w:t xml:space="preserve">O|2 </w:t>
      </w:r>
      <w:proofErr w:type="spellStart"/>
      <w:r w:rsidR="001B198B" w:rsidRPr="00165ED2">
        <w:rPr>
          <w:rFonts w:ascii="Times New Roman" w:hAnsi="Times New Roman" w:cs="Times New Roman"/>
          <w:sz w:val="24"/>
          <w:szCs w:val="24"/>
        </w:rPr>
        <w:t>Labgebouw</w:t>
      </w:r>
      <w:proofErr w:type="spellEnd"/>
      <w:r w:rsidR="001B198B" w:rsidRPr="00165ED2">
        <w:rPr>
          <w:rFonts w:ascii="Times New Roman" w:hAnsi="Times New Roman" w:cs="Times New Roman"/>
          <w:sz w:val="24"/>
          <w:szCs w:val="24"/>
        </w:rPr>
        <w:t xml:space="preserve">, </w:t>
      </w:r>
      <w:r w:rsidRPr="00165ED2">
        <w:rPr>
          <w:rFonts w:ascii="Times New Roman" w:hAnsi="Times New Roman" w:cs="Times New Roman"/>
          <w:sz w:val="24"/>
          <w:szCs w:val="24"/>
        </w:rPr>
        <w:t>Vrije Universiteit,</w:t>
      </w:r>
      <w:r w:rsidR="001B198B" w:rsidRPr="00165ED2">
        <w:rPr>
          <w:rFonts w:ascii="Times New Roman" w:hAnsi="Times New Roman" w:cs="Times New Roman"/>
          <w:sz w:val="24"/>
          <w:szCs w:val="24"/>
        </w:rPr>
        <w:t xml:space="preserve"> De </w:t>
      </w:r>
      <w:proofErr w:type="spellStart"/>
      <w:r w:rsidR="001B198B" w:rsidRPr="00165ED2">
        <w:rPr>
          <w:rFonts w:ascii="Times New Roman" w:hAnsi="Times New Roman" w:cs="Times New Roman"/>
          <w:sz w:val="24"/>
          <w:szCs w:val="24"/>
        </w:rPr>
        <w:t>Boelelaan</w:t>
      </w:r>
      <w:proofErr w:type="spellEnd"/>
      <w:r w:rsidR="001B198B" w:rsidRPr="00165ED2">
        <w:rPr>
          <w:rFonts w:ascii="Times New Roman" w:hAnsi="Times New Roman" w:cs="Times New Roman"/>
          <w:sz w:val="24"/>
          <w:szCs w:val="24"/>
        </w:rPr>
        <w:t xml:space="preserve"> 1108, 1081 HZ, Amsterdam, The Netherlands</w:t>
      </w:r>
    </w:p>
    <w:p w14:paraId="3156E8E8" w14:textId="5FA717A9" w:rsidR="009A3D9B" w:rsidRPr="00165ED2" w:rsidRDefault="009A3D9B" w:rsidP="009A3D9B">
      <w:pPr>
        <w:spacing w:line="480" w:lineRule="auto"/>
        <w:jc w:val="both"/>
        <w:rPr>
          <w:rFonts w:ascii="Times New Roman" w:hAnsi="Times New Roman" w:cs="Times New Roman"/>
          <w:sz w:val="24"/>
          <w:szCs w:val="24"/>
        </w:rPr>
      </w:pPr>
      <w:r w:rsidRPr="00165ED2">
        <w:rPr>
          <w:rFonts w:ascii="Times New Roman" w:hAnsi="Times New Roman" w:cs="Times New Roman"/>
          <w:b/>
          <w:sz w:val="24"/>
          <w:szCs w:val="24"/>
        </w:rPr>
        <w:t>Phone:</w:t>
      </w:r>
      <w:r w:rsidRPr="00165ED2">
        <w:rPr>
          <w:rFonts w:ascii="Times New Roman" w:hAnsi="Times New Roman" w:cs="Times New Roman"/>
          <w:sz w:val="24"/>
          <w:szCs w:val="24"/>
        </w:rPr>
        <w:t xml:space="preserve"> +</w:t>
      </w:r>
      <w:r w:rsidR="001B198B" w:rsidRPr="00165ED2">
        <w:rPr>
          <w:rFonts w:ascii="Times New Roman" w:hAnsi="Times New Roman" w:cs="Times New Roman"/>
          <w:sz w:val="24"/>
          <w:szCs w:val="24"/>
        </w:rPr>
        <w:t>31616931382</w:t>
      </w:r>
    </w:p>
    <w:p w14:paraId="6E31D70F" w14:textId="180DCAB9" w:rsidR="009A3D9B" w:rsidRPr="00165ED2" w:rsidRDefault="009A3D9B" w:rsidP="009A3D9B">
      <w:pPr>
        <w:spacing w:line="480" w:lineRule="auto"/>
        <w:jc w:val="both"/>
        <w:rPr>
          <w:rFonts w:ascii="Times New Roman" w:hAnsi="Times New Roman" w:cs="Times New Roman"/>
          <w:b/>
          <w:sz w:val="24"/>
          <w:szCs w:val="24"/>
        </w:rPr>
      </w:pPr>
      <w:r w:rsidRPr="00165ED2">
        <w:rPr>
          <w:rFonts w:ascii="Times New Roman" w:hAnsi="Times New Roman" w:cs="Times New Roman"/>
          <w:b/>
          <w:sz w:val="24"/>
          <w:szCs w:val="24"/>
        </w:rPr>
        <w:t>Email:</w:t>
      </w:r>
      <w:r w:rsidRPr="00165ED2">
        <w:rPr>
          <w:rFonts w:ascii="Times New Roman" w:hAnsi="Times New Roman" w:cs="Times New Roman"/>
          <w:sz w:val="24"/>
          <w:szCs w:val="24"/>
        </w:rPr>
        <w:t xml:space="preserve"> </w:t>
      </w:r>
      <w:hyperlink r:id="rId6" w:history="1">
        <w:r w:rsidRPr="00165ED2">
          <w:rPr>
            <w:rStyle w:val="Hyperlink"/>
            <w:rFonts w:ascii="Times New Roman" w:hAnsi="Times New Roman" w:cs="Times New Roman"/>
            <w:color w:val="auto"/>
            <w:sz w:val="24"/>
            <w:szCs w:val="24"/>
          </w:rPr>
          <w:t>r.p.goulding@vu.nl</w:t>
        </w:r>
      </w:hyperlink>
      <w:r w:rsidRPr="00165ED2">
        <w:rPr>
          <w:rFonts w:ascii="Times New Roman" w:hAnsi="Times New Roman" w:cs="Times New Roman"/>
          <w:b/>
          <w:sz w:val="24"/>
          <w:szCs w:val="24"/>
        </w:rPr>
        <w:t xml:space="preserve"> </w:t>
      </w:r>
    </w:p>
    <w:p w14:paraId="6426CED5" w14:textId="17932ADE" w:rsidR="00012C55" w:rsidRPr="00165ED2" w:rsidRDefault="00012C55" w:rsidP="009A3D9B">
      <w:pPr>
        <w:spacing w:line="480" w:lineRule="auto"/>
        <w:jc w:val="both"/>
        <w:rPr>
          <w:rFonts w:ascii="Times New Roman" w:hAnsi="Times New Roman" w:cs="Times New Roman"/>
          <w:b/>
          <w:sz w:val="24"/>
          <w:szCs w:val="24"/>
        </w:rPr>
      </w:pPr>
      <w:r w:rsidRPr="00165ED2">
        <w:rPr>
          <w:rFonts w:ascii="Times New Roman" w:hAnsi="Times New Roman" w:cs="Times New Roman"/>
          <w:b/>
          <w:sz w:val="24"/>
          <w:szCs w:val="24"/>
        </w:rPr>
        <w:t xml:space="preserve">Running head: </w:t>
      </w:r>
      <w:r w:rsidRPr="00165ED2">
        <w:rPr>
          <w:rFonts w:ascii="Times New Roman" w:hAnsi="Times New Roman" w:cs="Times New Roman"/>
          <w:sz w:val="24"/>
          <w:szCs w:val="24"/>
        </w:rPr>
        <w:t>Interaction of factors determining critical power</w:t>
      </w:r>
    </w:p>
    <w:p w14:paraId="35E8FBDC" w14:textId="4612E569" w:rsidR="009A3D9B" w:rsidRPr="00165ED2" w:rsidRDefault="009A3D9B" w:rsidP="009A3D9B">
      <w:pPr>
        <w:spacing w:line="480" w:lineRule="auto"/>
        <w:jc w:val="both"/>
        <w:rPr>
          <w:rFonts w:ascii="Times New Roman" w:hAnsi="Times New Roman" w:cs="Times New Roman"/>
          <w:b/>
          <w:sz w:val="24"/>
          <w:szCs w:val="24"/>
        </w:rPr>
      </w:pPr>
    </w:p>
    <w:p w14:paraId="5DF7D9B7" w14:textId="086822E4" w:rsidR="009A3D9B" w:rsidRPr="00165ED2" w:rsidRDefault="009A3D9B" w:rsidP="009A3D9B">
      <w:pPr>
        <w:spacing w:line="480" w:lineRule="auto"/>
        <w:jc w:val="both"/>
        <w:rPr>
          <w:rFonts w:ascii="Times New Roman" w:hAnsi="Times New Roman" w:cs="Times New Roman"/>
          <w:b/>
          <w:sz w:val="24"/>
          <w:szCs w:val="24"/>
        </w:rPr>
      </w:pPr>
    </w:p>
    <w:p w14:paraId="1E0F3D67" w14:textId="49B35137" w:rsidR="009A3D9B" w:rsidRPr="00165ED2" w:rsidRDefault="009A3D9B" w:rsidP="009A3D9B">
      <w:pPr>
        <w:spacing w:line="480" w:lineRule="auto"/>
        <w:jc w:val="both"/>
        <w:rPr>
          <w:rFonts w:ascii="Times New Roman" w:hAnsi="Times New Roman" w:cs="Times New Roman"/>
          <w:b/>
          <w:sz w:val="24"/>
          <w:szCs w:val="24"/>
        </w:rPr>
      </w:pPr>
    </w:p>
    <w:p w14:paraId="7F3F78AD" w14:textId="410592E9" w:rsidR="009A3D9B" w:rsidRPr="00165ED2" w:rsidRDefault="009A3D9B" w:rsidP="009A3D9B">
      <w:pPr>
        <w:spacing w:line="480" w:lineRule="auto"/>
        <w:jc w:val="both"/>
        <w:rPr>
          <w:rFonts w:ascii="Times New Roman" w:hAnsi="Times New Roman" w:cs="Times New Roman"/>
          <w:b/>
          <w:sz w:val="24"/>
          <w:szCs w:val="24"/>
        </w:rPr>
      </w:pPr>
    </w:p>
    <w:p w14:paraId="0DE1DD79" w14:textId="2CFA22DB" w:rsidR="009A3D9B" w:rsidRPr="00165ED2" w:rsidRDefault="009A3D9B" w:rsidP="009A3D9B">
      <w:pPr>
        <w:spacing w:line="480" w:lineRule="auto"/>
        <w:jc w:val="both"/>
        <w:rPr>
          <w:rFonts w:ascii="Times New Roman" w:hAnsi="Times New Roman" w:cs="Times New Roman"/>
          <w:b/>
          <w:sz w:val="24"/>
          <w:szCs w:val="24"/>
        </w:rPr>
      </w:pPr>
    </w:p>
    <w:p w14:paraId="1317F25E" w14:textId="18B9CC94" w:rsidR="009A3D9B" w:rsidRPr="00165ED2" w:rsidRDefault="009A3D9B" w:rsidP="009A3D9B">
      <w:pPr>
        <w:spacing w:line="480" w:lineRule="auto"/>
        <w:jc w:val="both"/>
        <w:rPr>
          <w:rFonts w:ascii="Times New Roman" w:hAnsi="Times New Roman" w:cs="Times New Roman"/>
          <w:b/>
          <w:sz w:val="24"/>
          <w:szCs w:val="24"/>
        </w:rPr>
      </w:pPr>
    </w:p>
    <w:p w14:paraId="2AEA07BC" w14:textId="6F377316" w:rsidR="009A3D9B" w:rsidRPr="00165ED2" w:rsidRDefault="009A3D9B" w:rsidP="009A3D9B">
      <w:pPr>
        <w:spacing w:line="480" w:lineRule="auto"/>
        <w:jc w:val="both"/>
        <w:rPr>
          <w:rFonts w:ascii="Times New Roman" w:hAnsi="Times New Roman" w:cs="Times New Roman"/>
          <w:b/>
          <w:sz w:val="24"/>
          <w:szCs w:val="24"/>
        </w:rPr>
      </w:pPr>
    </w:p>
    <w:p w14:paraId="3D47113F" w14:textId="6A6D7A45" w:rsidR="009A3D9B" w:rsidRPr="00165ED2" w:rsidRDefault="009A3D9B" w:rsidP="009A3D9B">
      <w:pPr>
        <w:spacing w:line="480" w:lineRule="auto"/>
        <w:jc w:val="both"/>
        <w:rPr>
          <w:rFonts w:ascii="Times New Roman" w:hAnsi="Times New Roman" w:cs="Times New Roman"/>
          <w:b/>
          <w:sz w:val="24"/>
          <w:szCs w:val="24"/>
        </w:rPr>
      </w:pPr>
    </w:p>
    <w:p w14:paraId="464A8920" w14:textId="01787D50" w:rsidR="009A3D9B" w:rsidRPr="00165ED2" w:rsidRDefault="009A3D9B" w:rsidP="009A3D9B">
      <w:pPr>
        <w:spacing w:line="480" w:lineRule="auto"/>
        <w:jc w:val="both"/>
        <w:rPr>
          <w:rFonts w:ascii="Times New Roman" w:hAnsi="Times New Roman" w:cs="Times New Roman"/>
          <w:b/>
          <w:sz w:val="24"/>
          <w:szCs w:val="24"/>
        </w:rPr>
      </w:pPr>
    </w:p>
    <w:p w14:paraId="00A14706" w14:textId="65CC2B2A" w:rsidR="009A3D9B" w:rsidRPr="00165ED2" w:rsidRDefault="00CA02B8" w:rsidP="009A3D9B">
      <w:pPr>
        <w:spacing w:line="480" w:lineRule="auto"/>
        <w:jc w:val="both"/>
        <w:rPr>
          <w:rFonts w:ascii="Times New Roman" w:hAnsi="Times New Roman" w:cs="Times New Roman"/>
          <w:b/>
          <w:sz w:val="24"/>
          <w:szCs w:val="24"/>
        </w:rPr>
      </w:pPr>
      <w:r w:rsidRPr="00165ED2">
        <w:rPr>
          <w:rFonts w:ascii="Times New Roman" w:hAnsi="Times New Roman" w:cs="Times New Roman"/>
          <w:b/>
          <w:sz w:val="24"/>
          <w:szCs w:val="24"/>
        </w:rPr>
        <w:lastRenderedPageBreak/>
        <w:t>ABSTRACT</w:t>
      </w:r>
    </w:p>
    <w:p w14:paraId="3D6DD12A" w14:textId="015189C4" w:rsidR="00BF09BC" w:rsidRPr="00165ED2" w:rsidRDefault="00CA02B8" w:rsidP="009A3D9B">
      <w:pPr>
        <w:spacing w:line="480" w:lineRule="auto"/>
        <w:jc w:val="both"/>
        <w:rPr>
          <w:rFonts w:ascii="Times New Roman" w:hAnsi="Times New Roman" w:cs="Times New Roman"/>
          <w:sz w:val="24"/>
          <w:szCs w:val="24"/>
        </w:rPr>
      </w:pPr>
      <w:r w:rsidRPr="00165ED2">
        <w:rPr>
          <w:rFonts w:ascii="Times New Roman" w:hAnsi="Times New Roman" w:cs="Times New Roman"/>
          <w:sz w:val="24"/>
          <w:szCs w:val="24"/>
        </w:rPr>
        <w:t>The physiological determinants of high-intensity exercise tolerance</w:t>
      </w:r>
      <w:r w:rsidR="00A35039" w:rsidRPr="00165ED2">
        <w:rPr>
          <w:rFonts w:ascii="Times New Roman" w:hAnsi="Times New Roman" w:cs="Times New Roman"/>
          <w:sz w:val="24"/>
          <w:szCs w:val="24"/>
        </w:rPr>
        <w:t xml:space="preserve"> are important for</w:t>
      </w:r>
      <w:r w:rsidRPr="00165ED2">
        <w:rPr>
          <w:rFonts w:ascii="Times New Roman" w:hAnsi="Times New Roman" w:cs="Times New Roman"/>
          <w:sz w:val="24"/>
          <w:szCs w:val="24"/>
        </w:rPr>
        <w:t xml:space="preserve"> both elite human performance and morbidity, mortality and disease in clinical settings. The asymptote of the hyperbolic relation between external power and time to task failure, critical power, represents the </w:t>
      </w:r>
      <w:r w:rsidR="0087282B" w:rsidRPr="00165ED2">
        <w:rPr>
          <w:rFonts w:ascii="Times New Roman" w:hAnsi="Times New Roman" w:cs="Times New Roman"/>
          <w:sz w:val="24"/>
          <w:szCs w:val="24"/>
        </w:rPr>
        <w:t>threshold intensity above which systemic and intramuscular metabolic homeostasis can no longer be maintained</w:t>
      </w:r>
      <w:r w:rsidRPr="00165ED2">
        <w:rPr>
          <w:rFonts w:ascii="Times New Roman" w:hAnsi="Times New Roman" w:cs="Times New Roman"/>
          <w:sz w:val="24"/>
          <w:szCs w:val="24"/>
        </w:rPr>
        <w:t xml:space="preserve">. </w:t>
      </w:r>
      <w:r w:rsidR="00C303BC" w:rsidRPr="00165ED2">
        <w:rPr>
          <w:rFonts w:ascii="Times New Roman" w:hAnsi="Times New Roman" w:cs="Times New Roman"/>
          <w:sz w:val="24"/>
          <w:szCs w:val="24"/>
        </w:rPr>
        <w:t>After ~60 years</w:t>
      </w:r>
      <w:r w:rsidR="00BF09BC" w:rsidRPr="00165ED2">
        <w:rPr>
          <w:rFonts w:ascii="Times New Roman" w:hAnsi="Times New Roman" w:cs="Times New Roman"/>
          <w:sz w:val="24"/>
          <w:szCs w:val="24"/>
        </w:rPr>
        <w:t xml:space="preserve"> of research into the phenomenon of c</w:t>
      </w:r>
      <w:r w:rsidR="00C90D46" w:rsidRPr="00165ED2">
        <w:rPr>
          <w:rFonts w:ascii="Times New Roman" w:hAnsi="Times New Roman" w:cs="Times New Roman"/>
          <w:sz w:val="24"/>
          <w:szCs w:val="24"/>
        </w:rPr>
        <w:t>ritical power</w:t>
      </w:r>
      <w:r w:rsidR="00C303BC" w:rsidRPr="00165ED2">
        <w:rPr>
          <w:rFonts w:ascii="Times New Roman" w:hAnsi="Times New Roman" w:cs="Times New Roman"/>
          <w:sz w:val="24"/>
          <w:szCs w:val="24"/>
        </w:rPr>
        <w:t xml:space="preserve"> </w:t>
      </w:r>
      <w:r w:rsidR="00220538" w:rsidRPr="00165ED2">
        <w:rPr>
          <w:rFonts w:ascii="Times New Roman" w:hAnsi="Times New Roman" w:cs="Times New Roman"/>
          <w:sz w:val="24"/>
          <w:szCs w:val="24"/>
        </w:rPr>
        <w:t xml:space="preserve">a </w:t>
      </w:r>
      <w:r w:rsidR="00C303BC" w:rsidRPr="00165ED2">
        <w:rPr>
          <w:rFonts w:ascii="Times New Roman" w:hAnsi="Times New Roman" w:cs="Times New Roman"/>
          <w:sz w:val="24"/>
          <w:szCs w:val="24"/>
        </w:rPr>
        <w:t>clear</w:t>
      </w:r>
      <w:r w:rsidR="00C90D46" w:rsidRPr="00165ED2">
        <w:rPr>
          <w:rFonts w:ascii="Times New Roman" w:hAnsi="Times New Roman" w:cs="Times New Roman"/>
          <w:sz w:val="24"/>
          <w:szCs w:val="24"/>
        </w:rPr>
        <w:t xml:space="preserve"> understanding of </w:t>
      </w:r>
      <w:r w:rsidR="00220538" w:rsidRPr="00165ED2">
        <w:rPr>
          <w:rFonts w:ascii="Times New Roman" w:hAnsi="Times New Roman" w:cs="Times New Roman"/>
          <w:sz w:val="24"/>
          <w:szCs w:val="24"/>
        </w:rPr>
        <w:t>its</w:t>
      </w:r>
      <w:r w:rsidR="00C90D46" w:rsidRPr="00165ED2">
        <w:rPr>
          <w:rFonts w:ascii="Times New Roman" w:hAnsi="Times New Roman" w:cs="Times New Roman"/>
          <w:sz w:val="24"/>
          <w:szCs w:val="24"/>
        </w:rPr>
        <w:t xml:space="preserve"> physiological determinants has emerged. </w:t>
      </w:r>
      <w:r w:rsidRPr="00165ED2">
        <w:rPr>
          <w:rFonts w:ascii="Times New Roman" w:hAnsi="Times New Roman" w:cs="Times New Roman"/>
          <w:sz w:val="24"/>
          <w:szCs w:val="24"/>
        </w:rPr>
        <w:t xml:space="preserve">The purpose of </w:t>
      </w:r>
      <w:r w:rsidR="00C90D46" w:rsidRPr="00165ED2">
        <w:rPr>
          <w:rFonts w:ascii="Times New Roman" w:hAnsi="Times New Roman" w:cs="Times New Roman"/>
          <w:sz w:val="24"/>
          <w:szCs w:val="24"/>
        </w:rPr>
        <w:t xml:space="preserve">the present </w:t>
      </w:r>
      <w:r w:rsidRPr="00165ED2">
        <w:rPr>
          <w:rFonts w:ascii="Times New Roman" w:hAnsi="Times New Roman" w:cs="Times New Roman"/>
          <w:sz w:val="24"/>
          <w:szCs w:val="24"/>
        </w:rPr>
        <w:t xml:space="preserve">review is to critically </w:t>
      </w:r>
      <w:r w:rsidR="0041021D" w:rsidRPr="00165ED2">
        <w:rPr>
          <w:rFonts w:ascii="Times New Roman" w:hAnsi="Times New Roman" w:cs="Times New Roman"/>
          <w:sz w:val="24"/>
          <w:szCs w:val="24"/>
        </w:rPr>
        <w:t xml:space="preserve">examine </w:t>
      </w:r>
      <w:r w:rsidRPr="00165ED2">
        <w:rPr>
          <w:rFonts w:ascii="Times New Roman" w:hAnsi="Times New Roman" w:cs="Times New Roman"/>
          <w:sz w:val="24"/>
          <w:szCs w:val="24"/>
        </w:rPr>
        <w:t xml:space="preserve">this contemporary evidence </w:t>
      </w:r>
      <w:r w:rsidR="00C90D46" w:rsidRPr="00165ED2">
        <w:rPr>
          <w:rFonts w:ascii="Times New Roman" w:hAnsi="Times New Roman" w:cs="Times New Roman"/>
          <w:sz w:val="24"/>
          <w:szCs w:val="24"/>
        </w:rPr>
        <w:t>in order to</w:t>
      </w:r>
      <w:r w:rsidRPr="00165ED2">
        <w:rPr>
          <w:rFonts w:ascii="Times New Roman" w:hAnsi="Times New Roman" w:cs="Times New Roman"/>
          <w:sz w:val="24"/>
          <w:szCs w:val="24"/>
        </w:rPr>
        <w:t xml:space="preserve"> explain the physiological underpinnings of critical power. </w:t>
      </w:r>
      <w:r w:rsidR="0041021D" w:rsidRPr="00165ED2">
        <w:rPr>
          <w:rFonts w:ascii="Times New Roman" w:hAnsi="Times New Roman" w:cs="Times New Roman"/>
          <w:sz w:val="24"/>
          <w:szCs w:val="24"/>
        </w:rPr>
        <w:t xml:space="preserve">Evidence demonstrating that alterations in convective and diffusive oxygen delivery can impact upon critical power are first addressed. Subsequently, evidence is considered which shows that rates of muscle oxygen utilization, inferred via the kinetics of pulmonary oxygen consumption, can influence critical power. The </w:t>
      </w:r>
      <w:r w:rsidR="00BF09BC" w:rsidRPr="00165ED2">
        <w:rPr>
          <w:rFonts w:ascii="Times New Roman" w:hAnsi="Times New Roman" w:cs="Times New Roman"/>
          <w:sz w:val="24"/>
          <w:szCs w:val="24"/>
        </w:rPr>
        <w:t xml:space="preserve">data </w:t>
      </w:r>
      <w:r w:rsidR="0041021D" w:rsidRPr="00165ED2">
        <w:rPr>
          <w:rFonts w:ascii="Times New Roman" w:hAnsi="Times New Roman" w:cs="Times New Roman"/>
          <w:sz w:val="24"/>
          <w:szCs w:val="24"/>
        </w:rPr>
        <w:t xml:space="preserve">reveals </w:t>
      </w:r>
      <w:r w:rsidR="00C90D46" w:rsidRPr="00165ED2">
        <w:rPr>
          <w:rFonts w:ascii="Times New Roman" w:hAnsi="Times New Roman" w:cs="Times New Roman"/>
          <w:sz w:val="24"/>
          <w:szCs w:val="24"/>
        </w:rPr>
        <w:t>a clear picture that</w:t>
      </w:r>
      <w:r w:rsidRPr="00165ED2">
        <w:rPr>
          <w:rFonts w:ascii="Times New Roman" w:hAnsi="Times New Roman" w:cs="Times New Roman"/>
          <w:sz w:val="24"/>
          <w:szCs w:val="24"/>
        </w:rPr>
        <w:t xml:space="preserve"> alterations in the rates of flux along every step of the oxygen transport and utilization pathways influence</w:t>
      </w:r>
      <w:r w:rsidR="00C90D46" w:rsidRPr="00165ED2">
        <w:rPr>
          <w:rFonts w:ascii="Times New Roman" w:hAnsi="Times New Roman" w:cs="Times New Roman"/>
          <w:sz w:val="24"/>
          <w:szCs w:val="24"/>
        </w:rPr>
        <w:t>s</w:t>
      </w:r>
      <w:r w:rsidRPr="00165ED2">
        <w:rPr>
          <w:rFonts w:ascii="Times New Roman" w:hAnsi="Times New Roman" w:cs="Times New Roman"/>
          <w:sz w:val="24"/>
          <w:szCs w:val="24"/>
        </w:rPr>
        <w:t xml:space="preserve"> critical power</w:t>
      </w:r>
      <w:r w:rsidR="00C90D46" w:rsidRPr="00165ED2">
        <w:rPr>
          <w:rFonts w:ascii="Times New Roman" w:hAnsi="Times New Roman" w:cs="Times New Roman"/>
          <w:sz w:val="24"/>
          <w:szCs w:val="24"/>
        </w:rPr>
        <w:t>. It is also clear that critical power is influenced by motor unit recruitment patterns.</w:t>
      </w:r>
      <w:r w:rsidRPr="00165ED2">
        <w:rPr>
          <w:rFonts w:ascii="Times New Roman" w:hAnsi="Times New Roman" w:cs="Times New Roman"/>
          <w:sz w:val="24"/>
          <w:szCs w:val="24"/>
        </w:rPr>
        <w:t xml:space="preserve"> </w:t>
      </w:r>
      <w:r w:rsidR="0041021D" w:rsidRPr="00165ED2">
        <w:rPr>
          <w:rFonts w:ascii="Times New Roman" w:hAnsi="Times New Roman" w:cs="Times New Roman"/>
          <w:sz w:val="24"/>
          <w:szCs w:val="24"/>
        </w:rPr>
        <w:t>On th</w:t>
      </w:r>
      <w:r w:rsidR="00BF09BC" w:rsidRPr="00165ED2">
        <w:rPr>
          <w:rFonts w:ascii="Times New Roman" w:hAnsi="Times New Roman" w:cs="Times New Roman"/>
          <w:sz w:val="24"/>
          <w:szCs w:val="24"/>
        </w:rPr>
        <w:t>is</w:t>
      </w:r>
      <w:r w:rsidR="0041021D" w:rsidRPr="00165ED2">
        <w:rPr>
          <w:rFonts w:ascii="Times New Roman" w:hAnsi="Times New Roman" w:cs="Times New Roman"/>
          <w:sz w:val="24"/>
          <w:szCs w:val="24"/>
        </w:rPr>
        <w:t xml:space="preserve"> basis it is proposed that c</w:t>
      </w:r>
      <w:r w:rsidR="0031111D" w:rsidRPr="00165ED2">
        <w:rPr>
          <w:rFonts w:ascii="Times New Roman" w:hAnsi="Times New Roman" w:cs="Times New Roman"/>
          <w:sz w:val="24"/>
          <w:szCs w:val="24"/>
        </w:rPr>
        <w:t>onvective and diffusive oxygen delivery act in concert with muscle oxygen utilization rates to determine the intracellular metabolic milieu and state of fatigue within the myocytes</w:t>
      </w:r>
      <w:r w:rsidR="00C90D46" w:rsidRPr="00165ED2">
        <w:rPr>
          <w:rFonts w:ascii="Times New Roman" w:hAnsi="Times New Roman" w:cs="Times New Roman"/>
          <w:sz w:val="24"/>
          <w:szCs w:val="24"/>
        </w:rPr>
        <w:t xml:space="preserve">. This interacts with exercising muscle mass and motor unit recruitment patterns to ultimately determine </w:t>
      </w:r>
      <w:r w:rsidR="00BF09BC" w:rsidRPr="00165ED2">
        <w:rPr>
          <w:rFonts w:ascii="Times New Roman" w:hAnsi="Times New Roman" w:cs="Times New Roman"/>
          <w:sz w:val="24"/>
          <w:szCs w:val="24"/>
        </w:rPr>
        <w:t>critical power</w:t>
      </w:r>
      <w:r w:rsidR="0031111D" w:rsidRPr="00165ED2">
        <w:rPr>
          <w:rFonts w:ascii="Times New Roman" w:hAnsi="Times New Roman" w:cs="Times New Roman"/>
          <w:sz w:val="24"/>
          <w:szCs w:val="24"/>
        </w:rPr>
        <w:t xml:space="preserve">. </w:t>
      </w:r>
    </w:p>
    <w:p w14:paraId="5D116B9C" w14:textId="093778B8" w:rsidR="0099297F" w:rsidRPr="00165ED2" w:rsidRDefault="0099297F" w:rsidP="009A3D9B">
      <w:pPr>
        <w:spacing w:line="480" w:lineRule="auto"/>
        <w:jc w:val="both"/>
        <w:rPr>
          <w:rFonts w:ascii="Times New Roman" w:hAnsi="Times New Roman" w:cs="Times New Roman"/>
          <w:b/>
          <w:sz w:val="24"/>
          <w:szCs w:val="24"/>
        </w:rPr>
      </w:pPr>
    </w:p>
    <w:p w14:paraId="301ED64E" w14:textId="2D223AAC" w:rsidR="00012C55" w:rsidRPr="00165ED2" w:rsidRDefault="00012C55" w:rsidP="009A3D9B">
      <w:pPr>
        <w:spacing w:line="480" w:lineRule="auto"/>
        <w:jc w:val="both"/>
        <w:rPr>
          <w:rFonts w:ascii="Times New Roman" w:hAnsi="Times New Roman" w:cs="Times New Roman"/>
          <w:b/>
          <w:sz w:val="24"/>
          <w:szCs w:val="24"/>
        </w:rPr>
      </w:pPr>
    </w:p>
    <w:p w14:paraId="15319B19" w14:textId="77777777" w:rsidR="00012C55" w:rsidRPr="00165ED2" w:rsidRDefault="00012C55" w:rsidP="009A3D9B">
      <w:pPr>
        <w:spacing w:line="480" w:lineRule="auto"/>
        <w:jc w:val="both"/>
        <w:rPr>
          <w:rFonts w:ascii="Times New Roman" w:hAnsi="Times New Roman" w:cs="Times New Roman"/>
          <w:sz w:val="24"/>
          <w:szCs w:val="24"/>
        </w:rPr>
      </w:pPr>
    </w:p>
    <w:p w14:paraId="1D0A1753" w14:textId="3C0469FB" w:rsidR="0099297F" w:rsidRPr="00165ED2" w:rsidRDefault="0099297F" w:rsidP="009A3D9B">
      <w:pPr>
        <w:spacing w:line="480" w:lineRule="auto"/>
        <w:jc w:val="both"/>
        <w:rPr>
          <w:rFonts w:ascii="Times New Roman" w:hAnsi="Times New Roman" w:cs="Times New Roman"/>
          <w:sz w:val="24"/>
          <w:szCs w:val="24"/>
        </w:rPr>
      </w:pPr>
    </w:p>
    <w:p w14:paraId="10629B34" w14:textId="77777777" w:rsidR="00012C55" w:rsidRPr="00165ED2" w:rsidRDefault="00012C55" w:rsidP="009A3D9B">
      <w:pPr>
        <w:spacing w:line="480" w:lineRule="auto"/>
        <w:jc w:val="both"/>
        <w:rPr>
          <w:rFonts w:ascii="Times New Roman" w:hAnsi="Times New Roman" w:cs="Times New Roman"/>
          <w:sz w:val="24"/>
          <w:szCs w:val="24"/>
        </w:rPr>
      </w:pPr>
    </w:p>
    <w:p w14:paraId="0CDEF054" w14:textId="63C27B08" w:rsidR="0078141E" w:rsidRPr="00165ED2" w:rsidRDefault="0078141E" w:rsidP="009A3D9B">
      <w:pPr>
        <w:spacing w:line="480" w:lineRule="auto"/>
        <w:jc w:val="both"/>
        <w:rPr>
          <w:rFonts w:ascii="Times New Roman" w:hAnsi="Times New Roman" w:cs="Times New Roman"/>
          <w:b/>
          <w:sz w:val="24"/>
          <w:szCs w:val="24"/>
        </w:rPr>
      </w:pPr>
      <w:r w:rsidRPr="00165ED2">
        <w:rPr>
          <w:rFonts w:ascii="Times New Roman" w:hAnsi="Times New Roman" w:cs="Times New Roman"/>
          <w:b/>
          <w:sz w:val="24"/>
          <w:szCs w:val="24"/>
        </w:rPr>
        <w:lastRenderedPageBreak/>
        <w:t>KEY POINTS</w:t>
      </w:r>
    </w:p>
    <w:p w14:paraId="36F6C6D6" w14:textId="778B6A2D" w:rsidR="0078141E" w:rsidRPr="00165ED2" w:rsidRDefault="0078141E" w:rsidP="0078141E">
      <w:pPr>
        <w:pStyle w:val="ListParagraph"/>
        <w:numPr>
          <w:ilvl w:val="0"/>
          <w:numId w:val="4"/>
        </w:numPr>
        <w:spacing w:line="480" w:lineRule="auto"/>
        <w:jc w:val="both"/>
        <w:rPr>
          <w:rFonts w:ascii="Times New Roman" w:hAnsi="Times New Roman" w:cs="Times New Roman"/>
          <w:sz w:val="24"/>
          <w:szCs w:val="24"/>
        </w:rPr>
      </w:pPr>
      <w:r w:rsidRPr="00165ED2">
        <w:rPr>
          <w:rFonts w:ascii="Times New Roman" w:hAnsi="Times New Roman" w:cs="Times New Roman"/>
          <w:sz w:val="24"/>
          <w:szCs w:val="24"/>
        </w:rPr>
        <w:t xml:space="preserve">Critical power represents the threshold intensity above which steady-state metabolism is no longer attainable, and within the last </w:t>
      </w:r>
      <w:r w:rsidR="007A3303" w:rsidRPr="00165ED2">
        <w:rPr>
          <w:rFonts w:ascii="Times New Roman" w:hAnsi="Times New Roman" w:cs="Times New Roman"/>
          <w:sz w:val="24"/>
          <w:szCs w:val="24"/>
          <w:lang w:val="en-US"/>
        </w:rPr>
        <w:t>~</w:t>
      </w:r>
      <w:r w:rsidRPr="00165ED2">
        <w:rPr>
          <w:rFonts w:ascii="Times New Roman" w:hAnsi="Times New Roman" w:cs="Times New Roman"/>
          <w:sz w:val="24"/>
          <w:szCs w:val="24"/>
        </w:rPr>
        <w:t>15 years, experimental data has emerged which illuminates its underpinning physiological determinants</w:t>
      </w:r>
    </w:p>
    <w:p w14:paraId="3B37C6F1" w14:textId="39317E4C" w:rsidR="0078141E" w:rsidRPr="00165ED2" w:rsidRDefault="0078141E" w:rsidP="0078141E">
      <w:pPr>
        <w:pStyle w:val="ListParagraph"/>
        <w:numPr>
          <w:ilvl w:val="0"/>
          <w:numId w:val="4"/>
        </w:numPr>
        <w:spacing w:line="480" w:lineRule="auto"/>
        <w:jc w:val="both"/>
        <w:rPr>
          <w:rFonts w:ascii="Times New Roman" w:hAnsi="Times New Roman" w:cs="Times New Roman"/>
          <w:sz w:val="24"/>
          <w:szCs w:val="24"/>
        </w:rPr>
      </w:pPr>
      <w:r w:rsidRPr="00165ED2">
        <w:rPr>
          <w:rFonts w:ascii="Times New Roman" w:hAnsi="Times New Roman" w:cs="Times New Roman"/>
          <w:sz w:val="24"/>
          <w:szCs w:val="24"/>
        </w:rPr>
        <w:t>Here, we summarize this experimental data to demonstrate that critical power is a parameter of aerobic function that is affected by alterations in the capacities of each step in the oxygen transport and utilization pathways</w:t>
      </w:r>
    </w:p>
    <w:p w14:paraId="3AC707CB" w14:textId="7849D4EA" w:rsidR="0078141E" w:rsidRPr="00165ED2" w:rsidRDefault="0078141E" w:rsidP="0078141E">
      <w:pPr>
        <w:pStyle w:val="ListParagraph"/>
        <w:numPr>
          <w:ilvl w:val="0"/>
          <w:numId w:val="4"/>
        </w:numPr>
        <w:spacing w:line="480" w:lineRule="auto"/>
        <w:jc w:val="both"/>
        <w:rPr>
          <w:rFonts w:ascii="Times New Roman" w:hAnsi="Times New Roman" w:cs="Times New Roman"/>
          <w:sz w:val="24"/>
          <w:szCs w:val="24"/>
        </w:rPr>
      </w:pPr>
      <w:r w:rsidRPr="00165ED2">
        <w:rPr>
          <w:rFonts w:ascii="Times New Roman" w:hAnsi="Times New Roman" w:cs="Times New Roman"/>
          <w:sz w:val="24"/>
          <w:szCs w:val="24"/>
        </w:rPr>
        <w:t>Convective/diffusive oxygen delivery and intracellular oxygen utilization rates interact with muscle fibre composition and motor unit recruitment profiles to determine the upper limit for steady-state exercise</w:t>
      </w:r>
    </w:p>
    <w:p w14:paraId="18A3904D" w14:textId="77777777" w:rsidR="0078141E" w:rsidRPr="00165ED2" w:rsidRDefault="0078141E" w:rsidP="009A3D9B">
      <w:pPr>
        <w:spacing w:line="480" w:lineRule="auto"/>
        <w:jc w:val="both"/>
        <w:rPr>
          <w:rFonts w:ascii="Times New Roman" w:hAnsi="Times New Roman" w:cs="Times New Roman"/>
          <w:b/>
          <w:sz w:val="24"/>
          <w:szCs w:val="24"/>
        </w:rPr>
      </w:pPr>
    </w:p>
    <w:p w14:paraId="46C78CF6" w14:textId="77777777" w:rsidR="0078141E" w:rsidRPr="00165ED2" w:rsidRDefault="0078141E" w:rsidP="009A3D9B">
      <w:pPr>
        <w:spacing w:line="480" w:lineRule="auto"/>
        <w:jc w:val="both"/>
        <w:rPr>
          <w:rFonts w:ascii="Times New Roman" w:hAnsi="Times New Roman" w:cs="Times New Roman"/>
          <w:b/>
          <w:sz w:val="24"/>
          <w:szCs w:val="24"/>
        </w:rPr>
      </w:pPr>
    </w:p>
    <w:p w14:paraId="1A9299C6" w14:textId="77777777" w:rsidR="0078141E" w:rsidRPr="00165ED2" w:rsidRDefault="0078141E" w:rsidP="009A3D9B">
      <w:pPr>
        <w:spacing w:line="480" w:lineRule="auto"/>
        <w:jc w:val="both"/>
        <w:rPr>
          <w:rFonts w:ascii="Times New Roman" w:hAnsi="Times New Roman" w:cs="Times New Roman"/>
          <w:b/>
          <w:sz w:val="24"/>
          <w:szCs w:val="24"/>
        </w:rPr>
      </w:pPr>
    </w:p>
    <w:p w14:paraId="153187D7" w14:textId="77777777" w:rsidR="0078141E" w:rsidRPr="00165ED2" w:rsidRDefault="0078141E" w:rsidP="009A3D9B">
      <w:pPr>
        <w:spacing w:line="480" w:lineRule="auto"/>
        <w:jc w:val="both"/>
        <w:rPr>
          <w:rFonts w:ascii="Times New Roman" w:hAnsi="Times New Roman" w:cs="Times New Roman"/>
          <w:b/>
          <w:sz w:val="24"/>
          <w:szCs w:val="24"/>
        </w:rPr>
      </w:pPr>
    </w:p>
    <w:p w14:paraId="3722DA94" w14:textId="77777777" w:rsidR="0078141E" w:rsidRPr="00165ED2" w:rsidRDefault="0078141E" w:rsidP="009A3D9B">
      <w:pPr>
        <w:spacing w:line="480" w:lineRule="auto"/>
        <w:jc w:val="both"/>
        <w:rPr>
          <w:rFonts w:ascii="Times New Roman" w:hAnsi="Times New Roman" w:cs="Times New Roman"/>
          <w:b/>
          <w:sz w:val="24"/>
          <w:szCs w:val="24"/>
        </w:rPr>
      </w:pPr>
    </w:p>
    <w:p w14:paraId="489631C2" w14:textId="77777777" w:rsidR="0078141E" w:rsidRPr="00165ED2" w:rsidRDefault="0078141E" w:rsidP="009A3D9B">
      <w:pPr>
        <w:spacing w:line="480" w:lineRule="auto"/>
        <w:jc w:val="both"/>
        <w:rPr>
          <w:rFonts w:ascii="Times New Roman" w:hAnsi="Times New Roman" w:cs="Times New Roman"/>
          <w:b/>
          <w:sz w:val="24"/>
          <w:szCs w:val="24"/>
        </w:rPr>
      </w:pPr>
    </w:p>
    <w:p w14:paraId="0C839A83" w14:textId="77777777" w:rsidR="0078141E" w:rsidRPr="00165ED2" w:rsidRDefault="0078141E" w:rsidP="009A3D9B">
      <w:pPr>
        <w:spacing w:line="480" w:lineRule="auto"/>
        <w:jc w:val="both"/>
        <w:rPr>
          <w:rFonts w:ascii="Times New Roman" w:hAnsi="Times New Roman" w:cs="Times New Roman"/>
          <w:b/>
          <w:sz w:val="24"/>
          <w:szCs w:val="24"/>
        </w:rPr>
      </w:pPr>
    </w:p>
    <w:p w14:paraId="44DE749A" w14:textId="77777777" w:rsidR="0078141E" w:rsidRPr="00165ED2" w:rsidRDefault="0078141E" w:rsidP="009A3D9B">
      <w:pPr>
        <w:spacing w:line="480" w:lineRule="auto"/>
        <w:jc w:val="both"/>
        <w:rPr>
          <w:rFonts w:ascii="Times New Roman" w:hAnsi="Times New Roman" w:cs="Times New Roman"/>
          <w:b/>
          <w:sz w:val="24"/>
          <w:szCs w:val="24"/>
        </w:rPr>
      </w:pPr>
    </w:p>
    <w:p w14:paraId="39DB188D" w14:textId="77777777" w:rsidR="0078141E" w:rsidRPr="00165ED2" w:rsidRDefault="0078141E" w:rsidP="009A3D9B">
      <w:pPr>
        <w:spacing w:line="480" w:lineRule="auto"/>
        <w:jc w:val="both"/>
        <w:rPr>
          <w:rFonts w:ascii="Times New Roman" w:hAnsi="Times New Roman" w:cs="Times New Roman"/>
          <w:b/>
          <w:sz w:val="24"/>
          <w:szCs w:val="24"/>
        </w:rPr>
      </w:pPr>
    </w:p>
    <w:p w14:paraId="1B5CC7BF" w14:textId="77777777" w:rsidR="0078141E" w:rsidRPr="00165ED2" w:rsidRDefault="0078141E" w:rsidP="009A3D9B">
      <w:pPr>
        <w:spacing w:line="480" w:lineRule="auto"/>
        <w:jc w:val="both"/>
        <w:rPr>
          <w:rFonts w:ascii="Times New Roman" w:hAnsi="Times New Roman" w:cs="Times New Roman"/>
          <w:b/>
          <w:sz w:val="24"/>
          <w:szCs w:val="24"/>
        </w:rPr>
      </w:pPr>
    </w:p>
    <w:p w14:paraId="3F5B0934" w14:textId="6A282A61" w:rsidR="0078141E" w:rsidRPr="00165ED2" w:rsidRDefault="0078141E" w:rsidP="009A3D9B">
      <w:pPr>
        <w:spacing w:line="480" w:lineRule="auto"/>
        <w:jc w:val="both"/>
        <w:rPr>
          <w:rFonts w:ascii="Times New Roman" w:hAnsi="Times New Roman" w:cs="Times New Roman"/>
          <w:b/>
          <w:sz w:val="24"/>
          <w:szCs w:val="24"/>
        </w:rPr>
      </w:pPr>
    </w:p>
    <w:p w14:paraId="440F2F06" w14:textId="0A8350A4" w:rsidR="009A3D9B" w:rsidRPr="00165ED2" w:rsidRDefault="009A3D9B" w:rsidP="00012C55">
      <w:pPr>
        <w:pStyle w:val="ListParagraph"/>
        <w:numPr>
          <w:ilvl w:val="0"/>
          <w:numId w:val="5"/>
        </w:numPr>
        <w:spacing w:line="480" w:lineRule="auto"/>
        <w:jc w:val="both"/>
        <w:rPr>
          <w:rFonts w:ascii="Times New Roman" w:hAnsi="Times New Roman" w:cs="Times New Roman"/>
          <w:b/>
          <w:sz w:val="24"/>
          <w:szCs w:val="24"/>
        </w:rPr>
      </w:pPr>
      <w:r w:rsidRPr="00165ED2">
        <w:rPr>
          <w:rFonts w:ascii="Times New Roman" w:hAnsi="Times New Roman" w:cs="Times New Roman"/>
          <w:b/>
          <w:sz w:val="24"/>
          <w:szCs w:val="24"/>
        </w:rPr>
        <w:lastRenderedPageBreak/>
        <w:t>INTRODUCTION</w:t>
      </w:r>
    </w:p>
    <w:p w14:paraId="6B5DADAD" w14:textId="5C664301" w:rsidR="009A3D9B" w:rsidRPr="00165ED2" w:rsidRDefault="005E2917" w:rsidP="009A3D9B">
      <w:pPr>
        <w:spacing w:line="480" w:lineRule="auto"/>
        <w:jc w:val="both"/>
        <w:rPr>
          <w:rFonts w:ascii="Times New Roman" w:hAnsi="Times New Roman" w:cs="Times New Roman"/>
          <w:bCs/>
          <w:sz w:val="24"/>
          <w:szCs w:val="24"/>
        </w:rPr>
      </w:pPr>
      <w:r w:rsidRPr="00165ED2">
        <w:rPr>
          <w:rFonts w:ascii="Times New Roman" w:hAnsi="Times New Roman" w:cs="Times New Roman"/>
          <w:bCs/>
          <w:sz w:val="24"/>
          <w:szCs w:val="24"/>
        </w:rPr>
        <w:t>T</w:t>
      </w:r>
      <w:r w:rsidR="008D1919" w:rsidRPr="00165ED2">
        <w:rPr>
          <w:rFonts w:ascii="Times New Roman" w:hAnsi="Times New Roman" w:cs="Times New Roman"/>
          <w:bCs/>
          <w:sz w:val="24"/>
          <w:szCs w:val="24"/>
        </w:rPr>
        <w:t xml:space="preserve">he determinants of exercise tolerance </w:t>
      </w:r>
      <w:r w:rsidRPr="00165ED2">
        <w:rPr>
          <w:rFonts w:ascii="Times New Roman" w:hAnsi="Times New Roman" w:cs="Times New Roman"/>
          <w:bCs/>
          <w:sz w:val="24"/>
          <w:szCs w:val="24"/>
        </w:rPr>
        <w:t xml:space="preserve">are of clear interest </w:t>
      </w:r>
      <w:r w:rsidR="008D1919" w:rsidRPr="00165ED2">
        <w:rPr>
          <w:rFonts w:ascii="Times New Roman" w:hAnsi="Times New Roman" w:cs="Times New Roman"/>
          <w:bCs/>
          <w:sz w:val="24"/>
          <w:szCs w:val="24"/>
        </w:rPr>
        <w:t>becaus</w:t>
      </w:r>
      <w:r w:rsidR="000375DB" w:rsidRPr="00165ED2">
        <w:rPr>
          <w:rFonts w:ascii="Times New Roman" w:hAnsi="Times New Roman" w:cs="Times New Roman"/>
          <w:bCs/>
          <w:sz w:val="24"/>
          <w:szCs w:val="24"/>
        </w:rPr>
        <w:t xml:space="preserve">e of the strong relationships between exercise capacity and athletic performance </w:t>
      </w:r>
      <w:r w:rsidR="0030079A" w:rsidRPr="00165ED2">
        <w:rPr>
          <w:rFonts w:ascii="Times New Roman" w:hAnsi="Times New Roman" w:cs="Times New Roman"/>
          <w:bCs/>
          <w:sz w:val="24"/>
          <w:szCs w:val="24"/>
        </w:rPr>
        <w:fldChar w:fldCharType="begin"/>
      </w:r>
      <w:r w:rsidR="00BA5189" w:rsidRPr="00165ED2">
        <w:rPr>
          <w:rFonts w:ascii="Times New Roman" w:hAnsi="Times New Roman" w:cs="Times New Roman"/>
          <w:bCs/>
          <w:sz w:val="24"/>
          <w:szCs w:val="24"/>
        </w:rPr>
        <w:instrText xml:space="preserve"> ADDIN ZOTERO_ITEM CSL_CITATION {"citationID":"J2zYjvp7","properties":{"formattedCitation":"[1,2]","plainCitation":"[1,2]","noteIndex":0},"citationItems":[{"id":170,"uris":["http://zotero.org/users/5056530/items/D934TFXF"],"itemData":{"id":170,"type":"article-journal","abstract":"It is well known that physiological variables such as maximal oxygen uptake (Vdot over˜2max), exercise economy, the lactate threshold, and critical power are highly correlated with endurance exercise performance. In this review, we explore the basis for these relationships by explaining the influence of these \"traditional\" variables on the dynamic profiles of the Vdot over˜2 response to exercise...","container-title":"European Journal of Sport Science","ISSN":"1536-7290","issue":"2","language":"English","page":"63-79","source":"www.cabdirect.org","title":"Oxygen uptake kinetics as a determinant of sports performance.","volume":"7","author":[{"family":"Burnley","given":"M."},{"family":"Jones","given":"A. M."}],"issued":{"date-parts":[["2007"]]}}},{"id":5,"uris":["http://zotero.org/users/5056530/items/3H8Y23TW"],"itemData":{"id":5,"type":"article-journal","abstract":"Efforts to understand human physiology through the study of champion athletes and record performances have been ongoing for about a century. For endurance sports three main factors – maximal oxygen consumption , the so-called ‘lactate threshold’ and efficiency (i.e. the oxygen cost to generate a give running speed or cycling power output) – appear to play key roles in endurance performance.  and lactate threshold interact to determine the ‘performance ‘ which is the oxygen consumption that can be sustained for a given period of time. Efficiency interacts with the performance  to establish the speed or power that can be generated at this oxygen consumption. This review focuses on what is currently known about how these factors interact, their utility as predictors of elite performance, and areas where there is relatively less information to guide current thinking. In this context, definitive ideas about the physiological determinants of running and cycling efficiency is relatively lacking in comparison with  and the lactate threshold, and there is surprisingly limited and clear information about the genetic factors that might pre-dispose for elite performance. It should also be cautioned that complex motivational and sociological factors also play important roles in who does or does not become a champion and these factors go far beyond simple physiological explanations. Therefore, the performance of elite athletes is likely to defy the types of easy explanations sought by scientific reductionism and remain an important puzzle for those interested in physiological integration well into the future.","container-title":"The Journal of Physiology","DOI":"10.1113/jphysiol.2007.143834","ISSN":"0022-3751","issue":"Pt 1","journalAbbreviation":"J Physiol","note":"PMID: 17901124\nPMCID: PMC2375555","page":"35-44","source":"PubMed Central","title":"Endurance exercise performance: the physiology of champions","title-short":"Endurance exercise performance","volume":"586","author":[{"family":"Joyner","given":"Michael J"},{"family":"Coyle","given":"Edward F"}],"issued":{"date-parts":[["2008",1,1]]}}}],"schema":"https://github.com/citation-style-language/schema/raw/master/csl-citation.json"} </w:instrText>
      </w:r>
      <w:r w:rsidR="0030079A" w:rsidRPr="00165ED2">
        <w:rPr>
          <w:rFonts w:ascii="Times New Roman" w:hAnsi="Times New Roman" w:cs="Times New Roman"/>
          <w:bCs/>
          <w:sz w:val="24"/>
          <w:szCs w:val="24"/>
        </w:rPr>
        <w:fldChar w:fldCharType="separate"/>
      </w:r>
      <w:r w:rsidR="00CD4112" w:rsidRPr="00165ED2">
        <w:rPr>
          <w:rFonts w:ascii="Times New Roman" w:hAnsi="Times New Roman" w:cs="Times New Roman"/>
          <w:sz w:val="24"/>
        </w:rPr>
        <w:t>[1,2]</w:t>
      </w:r>
      <w:r w:rsidR="0030079A" w:rsidRPr="00165ED2">
        <w:rPr>
          <w:rFonts w:ascii="Times New Roman" w:hAnsi="Times New Roman" w:cs="Times New Roman"/>
          <w:bCs/>
          <w:sz w:val="24"/>
          <w:szCs w:val="24"/>
        </w:rPr>
        <w:fldChar w:fldCharType="end"/>
      </w:r>
      <w:r w:rsidR="000375DB" w:rsidRPr="00165ED2">
        <w:rPr>
          <w:rFonts w:ascii="Times New Roman" w:hAnsi="Times New Roman" w:cs="Times New Roman"/>
          <w:bCs/>
          <w:sz w:val="24"/>
          <w:szCs w:val="24"/>
        </w:rPr>
        <w:t>, he</w:t>
      </w:r>
      <w:r w:rsidR="0030079A" w:rsidRPr="00165ED2">
        <w:rPr>
          <w:rFonts w:ascii="Times New Roman" w:hAnsi="Times New Roman" w:cs="Times New Roman"/>
          <w:bCs/>
          <w:sz w:val="24"/>
          <w:szCs w:val="24"/>
        </w:rPr>
        <w:t>alth in the general population</w:t>
      </w:r>
      <w:r w:rsidR="000375DB" w:rsidRPr="00165ED2">
        <w:rPr>
          <w:rFonts w:ascii="Times New Roman" w:hAnsi="Times New Roman" w:cs="Times New Roman"/>
          <w:bCs/>
          <w:sz w:val="24"/>
          <w:szCs w:val="24"/>
        </w:rPr>
        <w:t xml:space="preserve">, </w:t>
      </w:r>
      <w:r w:rsidR="00DE1B51" w:rsidRPr="00165ED2">
        <w:rPr>
          <w:rFonts w:ascii="Times New Roman" w:hAnsi="Times New Roman" w:cs="Times New Roman"/>
          <w:bCs/>
          <w:sz w:val="24"/>
          <w:szCs w:val="24"/>
        </w:rPr>
        <w:t xml:space="preserve">and </w:t>
      </w:r>
      <w:r w:rsidR="000375DB" w:rsidRPr="00165ED2">
        <w:rPr>
          <w:rFonts w:ascii="Times New Roman" w:hAnsi="Times New Roman" w:cs="Times New Roman"/>
          <w:bCs/>
          <w:sz w:val="24"/>
          <w:szCs w:val="24"/>
        </w:rPr>
        <w:t>clinical outcomes in disease populations</w:t>
      </w:r>
      <w:r w:rsidR="0030079A" w:rsidRPr="00165ED2">
        <w:rPr>
          <w:rFonts w:ascii="Times New Roman" w:hAnsi="Times New Roman" w:cs="Times New Roman"/>
          <w:bCs/>
          <w:sz w:val="24"/>
          <w:szCs w:val="24"/>
        </w:rPr>
        <w:t xml:space="preserve"> </w:t>
      </w:r>
      <w:r w:rsidR="0030079A" w:rsidRPr="00165ED2">
        <w:rPr>
          <w:rFonts w:ascii="Times New Roman" w:hAnsi="Times New Roman" w:cs="Times New Roman"/>
          <w:bCs/>
          <w:sz w:val="24"/>
          <w:szCs w:val="24"/>
        </w:rPr>
        <w:fldChar w:fldCharType="begin"/>
      </w:r>
      <w:r w:rsidR="00BA5189" w:rsidRPr="00165ED2">
        <w:rPr>
          <w:rFonts w:ascii="Times New Roman" w:hAnsi="Times New Roman" w:cs="Times New Roman"/>
          <w:bCs/>
          <w:sz w:val="24"/>
          <w:szCs w:val="24"/>
        </w:rPr>
        <w:instrText xml:space="preserve"> ADDIN ZOTERO_ITEM CSL_CITATION {"citationID":"k0mpNODz","properties":{"formattedCitation":"[3,4]","plainCitation":"[3,4]","noteIndex":0},"citationItems":[{"id":190,"uris":["http://zotero.org/users/5056530/items/DBPBSDVA"],"itemData":{"id":190,"type":"article-journal","abstract":"BACKGROUND: Exercise capacity is known to be an important prognostic factor in patients with cardiovascular disease, but it is uncertain whether it predicts mortality equally well among healthy persons. There is also uncertainty regarding the predictive power of exercise capacity relative to other clinical and exercise-test variables.\nMETHODS: We studied a total of 6213 consecutive men referred for treadmill exercise testing for clinical reasons during a mean (+/-SD) of 6.2+/-3.7 years of follow-up. Subjects were classified into two groups: 3679 had an abnormal exercise-test result or a history of cardiovascular disease, or both, and 2534 had a normal exercise-test result and no history of cardiovascular disease. Overall mortality was the end point.\nRESULTS: There were a total of 1256 deaths during the follow-up period, resulting in an average annual mortality of 2.6 percent. Men who died were older than those who survived and had a lower maximal heart rate, lower maximal systolic and diastolic blood pressure, and lower exercise capacity. After adjustment for age, the peak exercise capacity measured in metabolic equivalents (MET) was the strongest predictor of the risk of death among both normal subjects and those with cardiovascular disease. Absolute peak exercise capacity was a stronger predictor of the risk of death than the percentage of the age-predicted value achieved, and there was no interaction between the use or nonuse of beta-blockade and the predictive power of exercise capacity. Each 1-MET increase in exercise capacity conferred a 12 percent improvement in survival.\nCONCLUSIONS: Exercise capacity is a more powerful predictor of mortality among men than other established risk factors for cardiovascular disease.","container-title":"The New England Journal of Medicine","DOI":"10.1056/NEJMoa011858","ISSN":"1533-4406","issue":"11","journalAbbreviation":"N. Engl. J. Med.","language":"eng","note":"PMID: 11893790","page":"793-801","source":"PubMed","title":"Exercise capacity and mortality among men referred for exercise testing","volume":"346","author":[{"family":"Myers","given":"Jonathan"},{"family":"Prakash","given":"Manish"},{"family":"Froelicher","given":"Victor"},{"family":"Do","given":"Dat"},{"family":"Partington","given":"Sara"},{"family":"Atwood","given":"J. Edwin"}],"issued":{"date-parts":[["2002",3,14]]}}},{"id":663,"uris":["http://zotero.org/users/5056530/items/ILNZDQKT"],"itemData":{"id":663,"type":"article-journal","abstract":"PURPOSE: To compare the contributions of fitness level and physical activity patterns to all-cause mortality.\nMETHODS: Of 6213 men referred for exercise testing between 1987 and 2000, 842 underwent an assessment of adulthood activity patterns. The predictive power of exercise capacity and activity patterns, along with clinical and exercise test data, were assessed for all-cause mortality during a mean (+/-SD) follow-up of 5.5 +/- 2 years.\nRESULTS: Expressing the data by age-adjusted quartiles, exercise capacity was a stronger predictor of mortality than was activity pattern (hazard ratio [HR] = 0.56; 95% confidence interval [CI]: 0.38 to 0.83; P &lt; 0.001). In a multivariate analysis that considered clinical characteristics, risk factors, exercise test data, and activity patterns, exercise capacity (HR per quartile = 0.62; CI: 0.47 to 0.82; P &lt; 0.001) and energy expenditure from adulthood recreational activity (HR per quartile = 0.72; 95% CI: 0.58 to 0.89; P = 0.002) were the only significant predictors of mortality; these two variables were stronger predictors than established risk factors such as smoking, hypertension, obesity, and diabetes. Age-adjusted mortality decreased per quartile increase in exercise capacity (HR for very low capacity = 1.0; HR for low = 0.59; HR for moderate = 0.46; HR for high = 0.28; P &lt; 0.001) and physical activity (HR for very low activity = 1.0; HR for low = 0.63; HR for moderate = 0.42; HR for high = 0.38; P &lt; 0.001). A 1000-kcal/wk increase in activity was approximately similar to a 1 metabolic equivalent increase in fitness; both conferred a mortality benefit of 20%.\nCONCLUSION: Exercise capacity determined from exercise testing and energy expenditure from weekly activity outperform other clinical and exercise test variables in predicting all-cause mortality.","container-title":"The American Journal of Medicine","DOI":"10.1016/j.amjmed.2004.06.047","ISSN":"0002-9343","issue":"12","journalAbbreviation":"Am. J. Med.","language":"eng","note":"PMID: 15629729","page":"912-918","source":"PubMed","title":"Fitness versus physical activity patterns in predicting mortality in men","volume":"117","author":[{"family":"Myers","given":"Jonathan"},{"family":"Kaykha","given":"Amir"},{"family":"George","given":"Sheela"},{"family":"Abella","given":"Joshua"},{"family":"Zaheer","given":"Naima"},{"family":"Lear","given":"Scott"},{"family":"Yamazaki","given":"Takuya"},{"family":"Froelicher","given":"Victor"}],"issued":{"date-parts":[["2004",12,15]]}}}],"schema":"https://github.com/citation-style-language/schema/raw/master/csl-citation.json"} </w:instrText>
      </w:r>
      <w:r w:rsidR="0030079A" w:rsidRPr="00165ED2">
        <w:rPr>
          <w:rFonts w:ascii="Times New Roman" w:hAnsi="Times New Roman" w:cs="Times New Roman"/>
          <w:bCs/>
          <w:sz w:val="24"/>
          <w:szCs w:val="24"/>
        </w:rPr>
        <w:fldChar w:fldCharType="separate"/>
      </w:r>
      <w:r w:rsidR="00CD4112" w:rsidRPr="00165ED2">
        <w:rPr>
          <w:rFonts w:ascii="Times New Roman" w:hAnsi="Times New Roman" w:cs="Times New Roman"/>
          <w:sz w:val="24"/>
        </w:rPr>
        <w:t>[3,4]</w:t>
      </w:r>
      <w:r w:rsidR="0030079A" w:rsidRPr="00165ED2">
        <w:rPr>
          <w:rFonts w:ascii="Times New Roman" w:hAnsi="Times New Roman" w:cs="Times New Roman"/>
          <w:bCs/>
          <w:sz w:val="24"/>
          <w:szCs w:val="24"/>
        </w:rPr>
        <w:fldChar w:fldCharType="end"/>
      </w:r>
      <w:r w:rsidR="000375DB" w:rsidRPr="00165ED2">
        <w:rPr>
          <w:rFonts w:ascii="Times New Roman" w:hAnsi="Times New Roman" w:cs="Times New Roman"/>
          <w:bCs/>
          <w:sz w:val="24"/>
          <w:szCs w:val="24"/>
        </w:rPr>
        <w:t xml:space="preserve">. Exercise intensity is, of course, a key factor that determines the tolerability of a given task. </w:t>
      </w:r>
      <w:r w:rsidRPr="00165ED2">
        <w:rPr>
          <w:rFonts w:ascii="Times New Roman" w:hAnsi="Times New Roman" w:cs="Times New Roman"/>
          <w:bCs/>
          <w:sz w:val="24"/>
          <w:szCs w:val="24"/>
        </w:rPr>
        <w:t>Moreover</w:t>
      </w:r>
      <w:r w:rsidR="000375DB" w:rsidRPr="00165ED2">
        <w:rPr>
          <w:rFonts w:ascii="Times New Roman" w:hAnsi="Times New Roman" w:cs="Times New Roman"/>
          <w:bCs/>
          <w:sz w:val="24"/>
          <w:szCs w:val="24"/>
        </w:rPr>
        <w:t xml:space="preserve">, for individuals or groups of individuals, partitioning the exercise intensity spectrum into </w:t>
      </w:r>
      <w:r w:rsidRPr="00165ED2">
        <w:rPr>
          <w:rFonts w:ascii="Times New Roman" w:hAnsi="Times New Roman" w:cs="Times New Roman"/>
          <w:bCs/>
          <w:sz w:val="24"/>
          <w:szCs w:val="24"/>
        </w:rPr>
        <w:t>domains</w:t>
      </w:r>
      <w:r w:rsidR="000375DB" w:rsidRPr="00165ED2">
        <w:rPr>
          <w:rFonts w:ascii="Times New Roman" w:hAnsi="Times New Roman" w:cs="Times New Roman"/>
          <w:bCs/>
          <w:sz w:val="24"/>
          <w:szCs w:val="24"/>
        </w:rPr>
        <w:t xml:space="preserve"> where the physiological responses to a given task share common qualitative characteristics is an effective approach that can yield insight into the physiological determinants of exercise tolerance</w:t>
      </w:r>
      <w:r w:rsidRPr="00165ED2">
        <w:rPr>
          <w:rFonts w:ascii="Times New Roman" w:hAnsi="Times New Roman" w:cs="Times New Roman"/>
          <w:bCs/>
          <w:sz w:val="24"/>
          <w:szCs w:val="24"/>
        </w:rPr>
        <w:t>.</w:t>
      </w:r>
      <w:r w:rsidR="000375DB" w:rsidRPr="00165ED2">
        <w:rPr>
          <w:rFonts w:ascii="Times New Roman" w:hAnsi="Times New Roman" w:cs="Times New Roman"/>
          <w:bCs/>
          <w:sz w:val="24"/>
          <w:szCs w:val="24"/>
        </w:rPr>
        <w:t xml:space="preserve"> </w:t>
      </w:r>
      <w:r w:rsidR="005B5DA6" w:rsidRPr="00165ED2">
        <w:rPr>
          <w:rFonts w:ascii="Times New Roman" w:hAnsi="Times New Roman" w:cs="Times New Roman"/>
          <w:bCs/>
          <w:sz w:val="24"/>
          <w:szCs w:val="24"/>
        </w:rPr>
        <w:t xml:space="preserve">Accordingly, the mechanisms of fatigue and determinants of exercise intolerance are not ubiquitous across the spectrum of exercise intensities </w:t>
      </w:r>
      <w:r w:rsidR="00BA5189" w:rsidRPr="00165ED2">
        <w:rPr>
          <w:rFonts w:ascii="Times New Roman" w:hAnsi="Times New Roman" w:cs="Times New Roman"/>
          <w:bCs/>
          <w:sz w:val="24"/>
          <w:szCs w:val="24"/>
        </w:rPr>
        <w:fldChar w:fldCharType="begin"/>
      </w:r>
      <w:r w:rsidR="00BA5189" w:rsidRPr="00165ED2">
        <w:rPr>
          <w:rFonts w:ascii="Times New Roman" w:hAnsi="Times New Roman" w:cs="Times New Roman"/>
          <w:bCs/>
          <w:sz w:val="24"/>
          <w:szCs w:val="24"/>
        </w:rPr>
        <w:instrText xml:space="preserve"> ADDIN ZOTERO_ITEM CSL_CITATION {"citationID":"zQxlVIMM","properties":{"formattedCitation":"[5]","plainCitation":"[5]","noteIndex":0},"citationItems":[{"id":809,"uris":["http://zotero.org/users/5056530/items/VLRJVQ2X"],"itemData":{"id":809,"type":"article-journal","abstract":"The gas exchange threshold and the critical power demarcate discrete exercise intensity domains. For the first time, we show that the limit of tolerance during whole body exercise within these domains is characterized by distinct metabolic and neuromuscular responses. Fatigue development during exercise greater than critical power is associated with the attainment of consistent “limiting” values of muscle metabolites, whereas substrate availability and limitations to muscle activation may constrain performance at lower intensities., Lactate or gas exchange threshold (GET) and critical power (CP) are closely associated with human exercise performance. We tested the hypothesis that the limit of tolerance (Tlim) during cycle exercise performed within the exercise intensity domains demarcated by GET and CP is linked to discrete muscle metabolic and neuromuscular responses. Eleven men performed a ramp incremental exercise test, 4–5 severe-intensity (SEV; &gt;CP) constant-work-rate (CWR) tests until Tlim, a heavy-intensity (HVY; &lt;CP but &gt;GET) CWR test until Tlim, and a moderate-intensity (MOD; &lt;GET) CWR test until Tlim. Muscle biopsies revealed that a similar (P &gt; 0.05) muscle metabolic milieu (i.e., low pH and [PCr] and high [lactate]) was attained at Tlim (approximately 2–14 min) for all SEV exercise bouts. The muscle metabolic perturbation was greater at Tlim following SEV compared with HVY, and also following SEV and HVY compared with MOD (all P &lt; 0.05). The normalized M-wave amplitude for the vastus lateralis (VL) muscle decreased to a similar extent following SEV (−38 ± 15%), HVY (−68 ± 24%), and MOD (−53 ± 29%), (P &gt; 0.05). Neural drive to the VL increased during SEV (4 ± 4%; P &lt; 0.05) but did not change during HVY or MOD (P &gt; 0.05). During SEV and HVY, but not MOD, the rates of change in M-wave amplitude and neural drive were correlated with changes in muscle metabolic ([PCr], [lactate]) and blood ionic/acid-base status ([lactate], [K+]) (P &lt; 0.05). The results of this study indicate that the metabolic and neuromuscular determinants of fatigue development differ according to the intensity domain in which the exercise is performed., NEW &amp; NOTEWORTHY The gas exchange threshold and the critical power demarcate discrete exercise intensity domains. For the first time, we show that the limit of tolerance during whole-body exercise within these domains is characterized by distinct metabolic and neuromuscular responses. Fatigue development during exercise greater than critical power is associated with the attainment of consistent “limiting” values of muscle metabolites, whereas substrate availability and limitations to muscle activation may constrain performance at lower intensities.","container-title":"Journal of Applied Physiology","DOI":"10.1152/japplphysiol.00942.2016","ISSN":"8750-7587","issue":"3","journalAbbreviation":"J Appl Physiol (1985)","note":"PMID: 28008101\nPMCID: PMC5429469","page":"446-459","source":"PubMed Central","title":"Muscle metabolic and neuromuscular determinants of fatigue during cycling in different exercise intensity domains","volume":"122","author":[{"family":"Black","given":"Matthew I."},{"family":"Jones","given":"Andrew M."},{"family":"Blackwell","given":"Jamie R."},{"family":"Bailey","given":"Stephen J."},{"family":"Wylie","given":"Lee J."},{"family":"McDonagh","given":"Sinead T. J."},{"family":"Thompson","given":"Christopher"},{"family":"Kelly","given":"James"},{"family":"Sumners","given":"Paul"},{"family":"Mileva","given":"Katya N."},{"family":"Bowtell","given":"Joanna L."},{"family":"Vanhatalo","given":"Anni"}],"issued":{"date-parts":[["2017",3,1]]}}}],"schema":"https://github.com/citation-style-language/schema/raw/master/csl-citation.json"} </w:instrText>
      </w:r>
      <w:r w:rsidR="00BA5189" w:rsidRPr="00165ED2">
        <w:rPr>
          <w:rFonts w:ascii="Times New Roman" w:hAnsi="Times New Roman" w:cs="Times New Roman"/>
          <w:bCs/>
          <w:sz w:val="24"/>
          <w:szCs w:val="24"/>
        </w:rPr>
        <w:fldChar w:fldCharType="separate"/>
      </w:r>
      <w:r w:rsidR="00CD4112" w:rsidRPr="00165ED2">
        <w:rPr>
          <w:rFonts w:ascii="Times New Roman" w:hAnsi="Times New Roman" w:cs="Times New Roman"/>
          <w:sz w:val="24"/>
        </w:rPr>
        <w:t>[5]</w:t>
      </w:r>
      <w:r w:rsidR="00BA5189" w:rsidRPr="00165ED2">
        <w:rPr>
          <w:rFonts w:ascii="Times New Roman" w:hAnsi="Times New Roman" w:cs="Times New Roman"/>
          <w:bCs/>
          <w:sz w:val="24"/>
          <w:szCs w:val="24"/>
        </w:rPr>
        <w:fldChar w:fldCharType="end"/>
      </w:r>
      <w:r w:rsidR="005B5DA6" w:rsidRPr="00165ED2">
        <w:rPr>
          <w:rFonts w:ascii="Times New Roman" w:hAnsi="Times New Roman" w:cs="Times New Roman"/>
          <w:bCs/>
          <w:sz w:val="24"/>
          <w:szCs w:val="24"/>
        </w:rPr>
        <w:t xml:space="preserve">. However, above a </w:t>
      </w:r>
      <w:r w:rsidR="0087282B" w:rsidRPr="00165ED2">
        <w:rPr>
          <w:rFonts w:ascii="Times New Roman" w:hAnsi="Times New Roman" w:cs="Times New Roman"/>
          <w:bCs/>
          <w:sz w:val="24"/>
          <w:szCs w:val="24"/>
        </w:rPr>
        <w:t>particular, individual-specific power output</w:t>
      </w:r>
      <w:r w:rsidR="005B5DA6" w:rsidRPr="00165ED2">
        <w:rPr>
          <w:rFonts w:ascii="Times New Roman" w:hAnsi="Times New Roman" w:cs="Times New Roman"/>
          <w:bCs/>
          <w:sz w:val="24"/>
          <w:szCs w:val="24"/>
        </w:rPr>
        <w:t xml:space="preserve">, </w:t>
      </w:r>
      <w:r w:rsidR="000375DB" w:rsidRPr="00165ED2">
        <w:rPr>
          <w:rFonts w:ascii="Times New Roman" w:hAnsi="Times New Roman" w:cs="Times New Roman"/>
          <w:bCs/>
          <w:sz w:val="24"/>
          <w:szCs w:val="24"/>
        </w:rPr>
        <w:t xml:space="preserve">the consistent feature of exercise </w:t>
      </w:r>
      <w:r w:rsidRPr="00165ED2">
        <w:rPr>
          <w:rFonts w:ascii="Times New Roman" w:hAnsi="Times New Roman" w:cs="Times New Roman"/>
          <w:bCs/>
          <w:sz w:val="24"/>
          <w:szCs w:val="24"/>
        </w:rPr>
        <w:t xml:space="preserve">intolerance </w:t>
      </w:r>
      <w:r w:rsidR="000375DB" w:rsidRPr="00165ED2">
        <w:rPr>
          <w:rFonts w:ascii="Times New Roman" w:hAnsi="Times New Roman" w:cs="Times New Roman"/>
          <w:bCs/>
          <w:sz w:val="24"/>
          <w:szCs w:val="24"/>
        </w:rPr>
        <w:t xml:space="preserve">(and hence, impending task failure), is the inability for pulmonary oxygen uptake </w:t>
      </w:r>
      <w:r w:rsidR="00F81405" w:rsidRPr="00165ED2">
        <w:rPr>
          <w:rFonts w:ascii="Times New Roman" w:eastAsiaTheme="minorEastAsia" w:hAnsi="Times New Roman" w:cs="Times New Roman"/>
          <w:bCs/>
          <w:sz w:val="24"/>
          <w:szCs w:val="24"/>
        </w:rPr>
        <w:t>(</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F81405" w:rsidRPr="00165ED2">
        <w:rPr>
          <w:rFonts w:ascii="Times New Roman" w:eastAsiaTheme="minorEastAsia" w:hAnsi="Times New Roman" w:cs="Times New Roman"/>
          <w:bCs/>
          <w:sz w:val="24"/>
          <w:szCs w:val="24"/>
        </w:rPr>
        <w:t>O</w:t>
      </w:r>
      <w:r w:rsidR="00F81405" w:rsidRPr="00165ED2">
        <w:rPr>
          <w:rFonts w:ascii="Times New Roman" w:eastAsiaTheme="minorEastAsia" w:hAnsi="Times New Roman" w:cs="Times New Roman"/>
          <w:bCs/>
          <w:sz w:val="24"/>
          <w:szCs w:val="24"/>
          <w:vertAlign w:val="subscript"/>
        </w:rPr>
        <w:t>2</w:t>
      </w:r>
      <w:r w:rsidR="00F81405" w:rsidRPr="00165ED2">
        <w:rPr>
          <w:rFonts w:ascii="Times New Roman" w:eastAsiaTheme="minorEastAsia" w:hAnsi="Times New Roman" w:cs="Times New Roman"/>
          <w:bCs/>
          <w:sz w:val="24"/>
          <w:szCs w:val="24"/>
        </w:rPr>
        <w:t>)</w:t>
      </w:r>
      <w:r w:rsidR="00AB1966" w:rsidRPr="00165ED2">
        <w:rPr>
          <w:rFonts w:ascii="Times New Roman" w:eastAsiaTheme="minorEastAsia" w:hAnsi="Times New Roman" w:cs="Times New Roman"/>
          <w:bCs/>
          <w:sz w:val="24"/>
          <w:szCs w:val="24"/>
        </w:rPr>
        <w:t xml:space="preserve"> and [lactate] (L</w:t>
      </w:r>
      <w:r w:rsidR="00AB1966" w:rsidRPr="00165ED2">
        <w:rPr>
          <w:rFonts w:ascii="Times New Roman" w:eastAsiaTheme="minorEastAsia" w:hAnsi="Times New Roman" w:cs="Times New Roman"/>
          <w:bCs/>
          <w:sz w:val="24"/>
          <w:szCs w:val="24"/>
          <w:vertAlign w:val="superscript"/>
        </w:rPr>
        <w:t>-</w:t>
      </w:r>
      <w:r w:rsidR="00AB1966" w:rsidRPr="00165ED2">
        <w:rPr>
          <w:rFonts w:ascii="Times New Roman" w:eastAsiaTheme="minorEastAsia" w:hAnsi="Times New Roman" w:cs="Times New Roman"/>
          <w:bCs/>
          <w:sz w:val="24"/>
          <w:szCs w:val="24"/>
        </w:rPr>
        <w:t>)</w:t>
      </w:r>
      <w:r w:rsidR="00F81405" w:rsidRPr="00165ED2">
        <w:rPr>
          <w:rFonts w:ascii="Times New Roman" w:eastAsiaTheme="minorEastAsia" w:hAnsi="Times New Roman" w:cs="Times New Roman"/>
          <w:bCs/>
          <w:sz w:val="24"/>
          <w:szCs w:val="24"/>
        </w:rPr>
        <w:t xml:space="preserve"> to attain a steady-state</w:t>
      </w:r>
      <w:r w:rsidR="00AF566B" w:rsidRPr="00165ED2">
        <w:rPr>
          <w:rFonts w:ascii="Times New Roman" w:eastAsiaTheme="minorEastAsia" w:hAnsi="Times New Roman" w:cs="Times New Roman"/>
          <w:bCs/>
          <w:sz w:val="24"/>
          <w:szCs w:val="24"/>
        </w:rPr>
        <w:t xml:space="preserve"> </w:t>
      </w:r>
      <w:r w:rsidR="00AF566B"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ruREeYcG","properties":{"formattedCitation":"[6\\uc0\\u8211{}9]","plainCitation":"[6–9]","noteIndex":0},"citationItems":[{"id":275,"uris":["http://zotero.org/users/5056530/items/7VGP3WU2"],"itemData":{"id":275,"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J."}],"issued":{"date-parts":[["1988",9]]}}},{"id":1256,"uris":["http://zotero.org/users/5056530/items/3BZG9QAN"],"itemData":{"id":1256,"type":"book","abstract":"\"In this fifth edition of Principles of Exercise Testing and Interpretation, as in earlier editions, we attempt to develop conceptual advances in the physiology and pathophysiology of exercise, particularly as related to the practice of medicine. The underlying theme of the book continues to be the recognition that the most important requirement for exercise performance is transport of oxygen to support the bioenergetic processes in the muscle cells (including, of course, the heart) and elimination of the carbon dioxide formed as a byproduct of exercise metabolism. Thus, appropriate cardiovascular and ven- tilatory responses are required to match those of muscle respiration in meeting the energy demands of exercise. As depicted by the logo on the book cover, normal exercise performance requires an efficient coupling of external to internal (cellular) respiration. Appropriate treatment of exercise intolerance requires that patients' symptoms be thought of in terms of a gas exchange defect between the cell and the environment. The defect may be in the lungs, heart, peripheral or pulmonary circulations, the muscles themselves, or there may be a combination of defects. Thus, we describe the pathophysiology in gas transport and exchange that affect any site in the cardio- respiratory coupling between the lungs and the muscles. We illustrate how cardiopulmonary exercise testing can provide the means for a critical evaluation by the clinician-scientist of the functional competency of each component in the coupling of cellular to external respiration, including the cardiovascular system. To achieve this, clinical cases are used to illustrate the wide spectrum of pathophysiology capable of causing exercise intolerance\"--Provided by publisher.","ISBN":"978-1-4698-7691-7","language":"en","note":"Google-Books-ID: Q1rZnQAACAAJ","number-of-pages":"588","publisher":"Wolters Kluwer Health","source":"Google Books","title":"Principles of Exercise Testing and Interpretation: Including Pathophysiology and Clinical Applications","title-short":"Principles of Exercise Testing and Interpretation","author":[{"family":"Wasserman","given":"Karlman"},{"family":"Hansen","given":"James E."},{"family":"Sietsema","given":"Kathy"},{"family":"Sue","given":"Darryl Y."},{"family":"MD","given":"William W. Stringer"},{"family":"Whipp","given":"Brian"},{"family":"MD","given":"Xing-Guo Sun"}],"issued":{"date-parts":[["2015",4,27]]}}},{"id":3098,"uris":["http://zotero.org/users/5056530/items/4HUF4V3M"],"itemData":{"id":3098,"type":"article-journal","abstract":"We hypothesize that the V[Combining Dot Above]O2 time constant (τV[Combining Dot Above]O2) determines exercise tolerance by defining the power output associated with a “critical threshold” of intramuscular metabolite accumulation (e.g. inorganic phosphate), above which muscle fatigue and work inefficiency are apparent. Thereafter, the V[Combining Dot Above]O2 “slow component”, and its consequences (increased pulmonary, circulatory and neuromuscular demands) determine performance limits.","container-title":"Exercise and Sport Sciences Reviews","DOI":"10.1249/JES.0000000000000267","ISSN":"0091-6331","language":"en-US","source":"journals.lww.com","title":"Bioenergetic Mechanisms Linking V[Combining Dot Above]O2 Kinetics and Exercise Tolerance","URL":"https://journals.lww.com/acsm-essr/Abstract/9000/Bioenergetic_Mechanisms_Linking_V_Combining_Dot.99696.aspx","author":[{"family":"Goulding","given":"Richie P."},{"family":"Rossiter","given":"Harry B."},{"family":"Marwood","given":"Simon"},{"family":"Ferguson","given":"Carrie"}],"accessed":{"date-parts":[["2021",7,20]]},"issued":{"date-parts":[["2021",7,15]]}}},{"id":622,"uris":["http://zotero.org/users/5056530/items/EWCCXQU6"],"itemData":{"id":622,"type":"article-journal","container-title":"Exercise and Sport Sciences Reviews","ISSN":"0091-6331","journalAbbreviation":"Exerc Sport Sci Rev","language":"eng","note":"PMID: 8744246","page":"35-71","source":"PubMed","title":"The slow component of oxygen uptake kinetics in humans","volume":"24","author":[{"family":"Gaesser","given":"G. A."},{"family":"Poole","given":"D. C."}],"issued":{"date-parts":[["1996"]]}}}],"schema":"https://github.com/citation-style-language/schema/raw/master/csl-citation.json"} </w:instrText>
      </w:r>
      <w:r w:rsidR="00AF566B"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szCs w:val="24"/>
        </w:rPr>
        <w:t>[6–9]</w:t>
      </w:r>
      <w:r w:rsidR="00AF566B" w:rsidRPr="00165ED2">
        <w:rPr>
          <w:rFonts w:ascii="Times New Roman" w:eastAsiaTheme="minorEastAsia" w:hAnsi="Times New Roman" w:cs="Times New Roman"/>
          <w:bCs/>
          <w:sz w:val="24"/>
          <w:szCs w:val="24"/>
        </w:rPr>
        <w:fldChar w:fldCharType="end"/>
      </w:r>
      <w:r w:rsidR="00F81405" w:rsidRPr="00165ED2">
        <w:rPr>
          <w:rFonts w:ascii="Times New Roman" w:eastAsiaTheme="minorEastAsia" w:hAnsi="Times New Roman" w:cs="Times New Roman"/>
          <w:bCs/>
          <w:sz w:val="24"/>
          <w:szCs w:val="24"/>
        </w:rPr>
        <w:t xml:space="preserve">. Thus, for each individual, there exists a range of intensities for which a steady-state in pulmonary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F81405" w:rsidRPr="00165ED2">
        <w:rPr>
          <w:rFonts w:ascii="Times New Roman" w:eastAsiaTheme="minorEastAsia" w:hAnsi="Times New Roman" w:cs="Times New Roman"/>
          <w:bCs/>
          <w:sz w:val="24"/>
          <w:szCs w:val="24"/>
        </w:rPr>
        <w:t>O</w:t>
      </w:r>
      <w:r w:rsidR="00F81405" w:rsidRPr="00165ED2">
        <w:rPr>
          <w:rFonts w:ascii="Times New Roman" w:eastAsiaTheme="minorEastAsia" w:hAnsi="Times New Roman" w:cs="Times New Roman"/>
          <w:bCs/>
          <w:sz w:val="24"/>
          <w:szCs w:val="24"/>
          <w:vertAlign w:val="subscript"/>
        </w:rPr>
        <w:t xml:space="preserve">2 </w:t>
      </w:r>
      <w:r w:rsidR="00F81405" w:rsidRPr="00165ED2">
        <w:rPr>
          <w:rFonts w:ascii="Times New Roman" w:eastAsiaTheme="minorEastAsia" w:hAnsi="Times New Roman" w:cs="Times New Roman"/>
          <w:bCs/>
          <w:sz w:val="24"/>
          <w:szCs w:val="24"/>
        </w:rPr>
        <w:t>is attainable, and a range for which it is not</w:t>
      </w:r>
      <w:r w:rsidR="00AF566B" w:rsidRPr="00165ED2">
        <w:rPr>
          <w:rFonts w:ascii="Times New Roman" w:eastAsiaTheme="minorEastAsia" w:hAnsi="Times New Roman" w:cs="Times New Roman"/>
          <w:bCs/>
          <w:sz w:val="24"/>
          <w:szCs w:val="24"/>
        </w:rPr>
        <w:t xml:space="preserve"> </w:t>
      </w:r>
      <w:r w:rsidR="00AF566B"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mVmTJo2e","properties":{"formattedCitation":"[6,9\\uc0\\u8211{}12]","plainCitation":"[6,9–12]","noteIndex":0},"citationItems":[{"id":275,"uris":["http://zotero.org/users/5056530/items/7VGP3WU2"],"itemData":{"id":275,"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J."}],"issued":{"date-parts":[["1988",9]]}}},{"id":622,"uris":["http://zotero.org/users/5056530/items/EWCCXQU6"],"itemData":{"id":622,"type":"article-journal","container-title":"Exercise and Sport Sciences Reviews","ISSN":"0091-6331","journalAbbreviation":"Exerc Sport Sci Rev","language":"eng","note":"PMID: 8744246","page":"35-71","source":"PubMed","title":"The slow component of oxygen uptake kinetics in humans","volume":"24","author":[{"family":"Gaesser","given":"G. A."},{"family":"Poole","given":"D. C."}],"issued":{"date-parts":[["1996"]]}}},{"id":9,"uris":["http://zotero.org/users/5056530/items/UM2PSSQP"],"itemData":{"id":9,"type":"article-journal","abstract":"PURPOSE: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B."}],"issued":{"date-parts":[["2020",5,20]]}}},{"id":568,"uris":["http://zotero.org/users/5056530/items/VSM3ND8J"],"itemData":{"id":568,"type":"article-journal","abstract":"For high-intensity muscular exercise, the time-to-exhaustion (t) increases as a predictable and hyperbolic function of decreasing power (P) or velocity (V ). This relationship is highly conserved across diverse species and different modes of exercise and is well described by two parameters: the \"critical power\" (CP or CV), which is the asymptote for power or velocity, and the curvature constant (W') of the relationship such that t = W'/(P - CP). CP represents the highest rate of energy transduction (oxidative ATP production, V˙O2) that can be sustained without continuously drawing on the energy store W' (composed in part of anaerobic energy sources and expressed in kilojoules). The limit of tolerance (time t) occurs when W' is depleted. The CP concept constitutes a practical framework in which to explore mechanisms of fatigue and help resolve crucial questions regarding the plasticity of exercise performance and muscular systems physiology. This brief review presents the practical and theoretical foundations for the CP concept, explores rigorous alternative mathematical approaches, and highlights exciting new evidence regarding its mechanistic bases and its broad applicability to human athletic performance.","container-title":"Medicine and Science in Sports and Exercise","DOI":"10.1249/MSS.0b013e3181d9cf7f","ISSN":"1530-0315","issue":"10","journalAbbreviation":"Med Sci Sports Exerc","language":"eng","note":"PMID: 20195180","page":"1876-1890","source":"PubMed","title":"Critical power: implications for determination of V˙O2max and exercise tolerance","title-short":"Critical power","volume":"42","author":[{"family":"Jones","given":"Andrew M."},{"family":"Vanhatalo","given":"Anni"},{"family":"Burnley","given":"Mark"},{"family":"Morton","given":"R. Hugh"},{"family":"Poole","given":"David C."}],"issued":{"date-parts":[["2010",10]]}}},{"id":559,"uris":["http://zotero.org/users/5056530/items/49K3C298"],"itemData":{"id":559,"type":"article-journal","abstract":": The hyperbolic form of the power-duration relationship is rigorous and highly conserved across species, forms of exercise, and individual muscles/muscle groups. For modalities such as cycling, the relationship resolves to two parameters, the asymptote for power (critical power [CP]) and the so-called W' (work doable above CP), which together predict the tolerable duration of exercise above CP. Crucially, the CP concept integrates sentinel physiological profiles-respiratory, metabolic, and contractile-within a coherent framework that has great scientific and practical utility. Rather than calibrating equivalent exercise intensities relative to metabolically distant parameters such as the lactate threshold or V˙O2max, setting the exercise intensity relative to CP unifies the profile of systemic and intramuscular responses and, if greater than CP, predicts the tolerable duration of exercise until W' is expended, V˙O2max is attained, and intolerance is manifested. CP may be regarded as a \"fatigue threshold\" in the sense that it separates exercise intensity domains within which the physiological responses to exercise can (&lt;CP) or cannot (&gt;CP) be stabilized. The CP concept therefore enables important insights into 1) the principal loci of fatigue development (central vs. peripheral) at different intensities of exercise and 2) mechanisms of cardiovascular and metabolic control and their modulation by factors such as O2 delivery. Practically, the CP concept has great potential application in optimizing athletic training programs and performance as well as improving the life quality for individuals enduring chronic disease.","container-title":"Medicine and Science in Sports and Exercise","DOI":"10.1249/MSS.0000000000000939","ISSN":"1530-0315","issue":"11","journalAbbreviation":"Med Sci Sports Exerc","language":"eng","note":"PMID: 27031742\nPMCID: PMC5070974","page":"2320-2334","source":"PubMed","title":"Critical Power: An Important Fatigue Threshold in Exercise Physiology","title-short":"Critical Power","volume":"48","author":[{"family":"Poole","given":"David C."},{"family":"Burnley","given":"Mark"},{"family":"Vanhatalo","given":"Anni"},{"family":"Rossiter","given":"Harry B."},{"family":"Jones","given":"Andrew M."}],"issued":{"date-parts":[["2016",11]]}}}],"schema":"https://github.com/citation-style-language/schema/raw/master/csl-citation.json"} </w:instrText>
      </w:r>
      <w:r w:rsidR="00AF566B"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szCs w:val="24"/>
        </w:rPr>
        <w:t>[6,9–12]</w:t>
      </w:r>
      <w:r w:rsidR="00AF566B" w:rsidRPr="00165ED2">
        <w:rPr>
          <w:rFonts w:ascii="Times New Roman" w:eastAsiaTheme="minorEastAsia" w:hAnsi="Times New Roman" w:cs="Times New Roman"/>
          <w:bCs/>
          <w:sz w:val="24"/>
          <w:szCs w:val="24"/>
        </w:rPr>
        <w:fldChar w:fldCharType="end"/>
      </w:r>
      <w:r w:rsidR="00B24CAD" w:rsidRPr="00165ED2">
        <w:rPr>
          <w:rFonts w:ascii="Times New Roman" w:eastAsiaTheme="minorEastAsia" w:hAnsi="Times New Roman" w:cs="Times New Roman"/>
          <w:bCs/>
          <w:sz w:val="24"/>
          <w:szCs w:val="24"/>
        </w:rPr>
        <w:t>, with the duration of sustainable exercise in the latter being significantly limited compared to the former</w:t>
      </w:r>
      <w:r w:rsidR="00F81405" w:rsidRPr="00165ED2">
        <w:rPr>
          <w:rFonts w:ascii="Times New Roman" w:eastAsiaTheme="minorEastAsia" w:hAnsi="Times New Roman" w:cs="Times New Roman"/>
          <w:bCs/>
          <w:sz w:val="24"/>
          <w:szCs w:val="24"/>
        </w:rPr>
        <w:t xml:space="preserve">. The threshold intensity that separates these two ranges of system behaviour, and its position relative to other landmarks of aerobic function (i.e. maximal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F81405" w:rsidRPr="00165ED2">
        <w:rPr>
          <w:rFonts w:ascii="Times New Roman" w:eastAsiaTheme="minorEastAsia" w:hAnsi="Times New Roman" w:cs="Times New Roman"/>
          <w:bCs/>
          <w:sz w:val="24"/>
          <w:szCs w:val="24"/>
        </w:rPr>
        <w:t>O</w:t>
      </w:r>
      <w:r w:rsidR="00F81405" w:rsidRPr="00165ED2">
        <w:rPr>
          <w:rFonts w:ascii="Times New Roman" w:eastAsiaTheme="minorEastAsia" w:hAnsi="Times New Roman" w:cs="Times New Roman"/>
          <w:bCs/>
          <w:sz w:val="24"/>
          <w:szCs w:val="24"/>
          <w:vertAlign w:val="subscript"/>
        </w:rPr>
        <w:t xml:space="preserve">2 </w:t>
      </w:r>
      <w:r w:rsidR="00F81405" w:rsidRPr="00165ED2">
        <w:rPr>
          <w:rFonts w:ascii="Times New Roman" w:eastAsiaTheme="minorEastAsia" w:hAnsi="Times New Roman" w:cs="Times New Roman"/>
          <w:bCs/>
          <w:sz w:val="24"/>
          <w:szCs w:val="24"/>
        </w:rPr>
        <w:t>[</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F81405" w:rsidRPr="00165ED2">
        <w:rPr>
          <w:rFonts w:ascii="Times New Roman" w:eastAsiaTheme="minorEastAsia" w:hAnsi="Times New Roman" w:cs="Times New Roman"/>
          <w:bCs/>
          <w:sz w:val="24"/>
          <w:szCs w:val="24"/>
        </w:rPr>
        <w:t>O</w:t>
      </w:r>
      <w:r w:rsidR="00F81405" w:rsidRPr="00165ED2">
        <w:rPr>
          <w:rFonts w:ascii="Times New Roman" w:eastAsiaTheme="minorEastAsia" w:hAnsi="Times New Roman" w:cs="Times New Roman"/>
          <w:bCs/>
          <w:sz w:val="24"/>
          <w:szCs w:val="24"/>
          <w:vertAlign w:val="subscript"/>
        </w:rPr>
        <w:t>2max</w:t>
      </w:r>
      <w:r w:rsidR="00F81405" w:rsidRPr="00165ED2">
        <w:rPr>
          <w:rFonts w:ascii="Times New Roman" w:eastAsiaTheme="minorEastAsia" w:hAnsi="Times New Roman" w:cs="Times New Roman"/>
          <w:bCs/>
          <w:sz w:val="24"/>
          <w:szCs w:val="24"/>
        </w:rPr>
        <w:t xml:space="preserve">] and the lactate threshold [LT]), is therefore a </w:t>
      </w:r>
      <w:r w:rsidR="00B24CAD" w:rsidRPr="00165ED2">
        <w:rPr>
          <w:rFonts w:ascii="Times New Roman" w:eastAsiaTheme="minorEastAsia" w:hAnsi="Times New Roman" w:cs="Times New Roman"/>
          <w:bCs/>
          <w:sz w:val="24"/>
          <w:szCs w:val="24"/>
        </w:rPr>
        <w:t xml:space="preserve">fundamental </w:t>
      </w:r>
      <w:r w:rsidR="00F81405" w:rsidRPr="00165ED2">
        <w:rPr>
          <w:rFonts w:ascii="Times New Roman" w:eastAsiaTheme="minorEastAsia" w:hAnsi="Times New Roman" w:cs="Times New Roman"/>
          <w:bCs/>
          <w:sz w:val="24"/>
          <w:szCs w:val="24"/>
        </w:rPr>
        <w:t xml:space="preserve">determinant of the ability to sustain exercise </w:t>
      </w:r>
      <w:r w:rsidR="00AF566B"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48lOXivm","properties":{"formattedCitation":"[6,13\\uc0\\u8211{}15]","plainCitation":"[6,13–15]","noteIndex":0},"citationItems":[{"id":275,"uris":["http://zotero.org/users/5056530/items/7VGP3WU2"],"itemData":{"id":275,"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J."}],"issued":{"date-parts":[["1988",9]]}}},{"id":826,"uris":["http://zotero.org/users/5056530/items/HA27VC82"],"itemData":{"id":826,"type":"article-journal","abstract":"It has been shown that the critical power (CP) in cycling estimated using a novel 3-min all-out protocol is reliable and closely matches the CP derived from conventional procedures. The purpose of this study was to assess the predictive validity of the all-out test CP estimate. We hypothesised that the all-out test CP would be significantly correlated with 16.1-km road time-trial (TT) performance and more strongly correlated with performance than the gas exchange threshold (GET), respiratory compensation point (RCP) and VO2 max. Ten club-level male cyclists (mean±SD: age 33.8±8.2 y, body mass 73.8±4.3 kg, VO2 max 60±4 ml·kg(-1)·min(-1)) performed a 10-mile road TT, a ramp incremental test to exhaustion, and two 3-min all-out tests, the first of which served as familiarisation. The 16.1-km TT performance (27.1±1.2 min) was significantly correlated with the CP (309±34 W; r = -0.83, P&lt;0.01) and total work done during the all-out test (70.9±6.5 kJ; r = -0.86, P&lt;0.01), the ramp incremental test peak power (433±30 W; r = -0.75, P&lt;0.05) and the RCP (315±29 W; r = -0.68, P&lt;0.05), but not with GET (151±32 W; r = -0.21) or the VO2 max (4.41±0.25 L·min(-1); r = -0.60). These data provide evidence for the predictive validity and practical performance relevance of the 3-min all-out test. The 3-min all-out test CP may represent a useful addition to the battery of tests employed by applied sport physiologists or coaches to track fitness and predict performance in atheletes.","container-title":"European Journal of Sport Science","DOI":"10.1080/17461391.2013.810306","ISSN":"1536-7290","issue":"3","journalAbbreviation":"Eur J Sport Sci","language":"eng","note":"PMID: 23802599","page":"217-223","source":"PubMed","title":"Critical power derived from a 3-min all-out test predicts 16.1-km road time-trial performance","volume":"14","author":[{"family":"Black","given":"Matthew I."},{"family":"Durant","given":"Jacob"},{"family":"Jones","given":"Andrew M."},{"family":"Vanhatalo","given":"Anni"}],"issued":{"date-parts":[["2014"]]}}},{"id":208,"uris":["http://zotero.org/users/5056530/items/5SW9UQIW"],"itemData":{"id":208,"type":"article-journal","abstract":"Tolerance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 Fourteen healthy men performed cycle ergometry protocols to the limit of tolerance: 1) an incremental ramp test; 2) a series of constant-P tests to determine V̇o2max, CP, and W′; and 3) repeated constant-P tests (WR6) normalized to a 6 min tlim for τV̇o2 and ΔV̇o2sc estimation. The WR6 tlim averaged 365 ± 16 s, and V̇o2max (4.18 ± 0.49 l/min) was achieved in every case. CP (range: 171–294 W) was inversely correlated with τV̇o2 (18–38 s; R2 = 0.90), and W′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1522-1601","issue":"6","language":"en","license":"Copyright © 2011 the American Physiological Society","note":"PMID: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B."}],"issued":{"date-parts":[["2011",6,1]]}}},{"id":277,"uris":["http://zotero.org/users/5056530/items/W4WQ58MJ"],"itemData":{"id":277,"type":"article-journal","abstract":"We tested the hypothesis that the asymptote of the hyperbolic relationship between work rate and time to exhaustion during muscular exercise, the \"critical power\" (CP), represents the highest constant work rate that can be sustained without a progressive loss of homeostasis [as assessed using (31)P magnetic resonance spectroscopy (MRS) measurements of muscle metabolites]. Six healthy male subjects initially completed single-leg knee-extension exercise at three to four different constant work rates to the limit of tolerance (range 3-18 min) for estimation of the CP (mean +/- SD, 20 +/- 2 W). Subsequently, the subjects exercised at work rates 10% below CP (&lt;CP) for 20 min and 10% above CP (&gt;CP) for as long as possible, while the metabolic responses in the contracting quadriceps muscle, i.e., phosphorylcreatine concentration ([PCr]), P(i) concentration ([P(i)]), and pH, were estimated using (31)P-MRS. All subjects completed 20 min of &lt;CP exercise without duress, whereas the limit of tolerance during &gt;CP exercise was 14.7 +/- 7.1 min. During &lt;CP exercise, stable values for [PCr], [P(i)], and pH were attained within 3 min after the onset of exercise, and there were no further significant changes in these variables (end-exercise values = 68 +/- 11% of baseline [PCr], 314 +/- 216% of baseline [P(i)], and pH 7.01 +/- 0.03). During &gt;CP exercise, however, [PCr] continued to fall to the point of exhaustion and [P(i)] and pH changed precipitously to values that are typically observed at the termination of high-intensity exhaustive exercise (end-exercise values = 26 +/- 16% of baseline [PCr], 564 +/- 167% of baseline [P(i)], and pH 6.87 +/- 0.10, all P &lt; 0.05 vs. &lt;CP exercise). These data support the hypothesis that the CP represents the highest constant work rate that can be sustained without a progressive depletion of muscle high-energy phosphates and a rapid accumulation of metabolites (i.e., H(+) concentration and [P(i)]), which have been associated with the fatigue process.","container-title":"American Journal of Physiology. Regulatory, Integrative and Comparative Physiology","DOI":"10.1152/ajpregu.00731.2007","ISSN":"0363-6119","issue":"2","journalAbbreviation":"Am. J. Physiol. Regul. Integr. Comp. Physiol.","language":"eng","note":"PMID: 18056980","page":"R585-593","source":"PubMed","title":"Muscle metabolic responses to exercise above and below the \"critical power\" assessed using 31P-MRS","volume":"294","author":[{"family":"Jones","given":"Andrew M."},{"family":"Wilkerson","given":"Daryl P."},{"family":"DiMenna","given":"Fred"},{"family":"Fulford","given":"Jonathan"},{"family":"Poole","given":"David C."}],"issued":{"date-parts":[["2008",2]]}}}],"schema":"https://github.com/citation-style-language/schema/raw/master/csl-citation.json"} </w:instrText>
      </w:r>
      <w:r w:rsidR="00AF566B"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szCs w:val="24"/>
        </w:rPr>
        <w:t>[6,13–15]</w:t>
      </w:r>
      <w:r w:rsidR="00AF566B" w:rsidRPr="00165ED2">
        <w:rPr>
          <w:rFonts w:ascii="Times New Roman" w:eastAsiaTheme="minorEastAsia" w:hAnsi="Times New Roman" w:cs="Times New Roman"/>
          <w:bCs/>
          <w:sz w:val="24"/>
          <w:szCs w:val="24"/>
        </w:rPr>
        <w:fldChar w:fldCharType="end"/>
      </w:r>
      <w:r w:rsidR="00AF566B" w:rsidRPr="00165ED2">
        <w:rPr>
          <w:rFonts w:ascii="Times New Roman" w:eastAsiaTheme="minorEastAsia" w:hAnsi="Times New Roman" w:cs="Times New Roman"/>
          <w:bCs/>
          <w:sz w:val="24"/>
          <w:szCs w:val="24"/>
        </w:rPr>
        <w:t>.</w:t>
      </w:r>
    </w:p>
    <w:p w14:paraId="2250ED82" w14:textId="74202871" w:rsidR="00F81405" w:rsidRPr="00165ED2" w:rsidRDefault="00F81405" w:rsidP="00C153E3">
      <w:pPr>
        <w:spacing w:line="480" w:lineRule="auto"/>
        <w:ind w:firstLine="720"/>
        <w:jc w:val="both"/>
        <w:rPr>
          <w:rFonts w:ascii="Times New Roman" w:hAnsi="Times New Roman" w:cs="Times New Roman"/>
          <w:bCs/>
          <w:sz w:val="24"/>
          <w:szCs w:val="24"/>
        </w:rPr>
      </w:pPr>
      <w:r w:rsidRPr="00165ED2">
        <w:rPr>
          <w:rFonts w:ascii="Times New Roman" w:hAnsi="Times New Roman" w:cs="Times New Roman"/>
          <w:bCs/>
          <w:sz w:val="24"/>
          <w:szCs w:val="24"/>
        </w:rPr>
        <w:t>T</w:t>
      </w:r>
      <w:r w:rsidR="008D1919" w:rsidRPr="00165ED2">
        <w:rPr>
          <w:rFonts w:ascii="Times New Roman" w:hAnsi="Times New Roman" w:cs="Times New Roman"/>
          <w:bCs/>
          <w:sz w:val="24"/>
          <w:szCs w:val="24"/>
        </w:rPr>
        <w:t xml:space="preserve">his threshold intensity </w:t>
      </w:r>
      <w:r w:rsidR="00B24CAD" w:rsidRPr="00165ED2">
        <w:rPr>
          <w:rFonts w:ascii="Times New Roman" w:hAnsi="Times New Roman" w:cs="Times New Roman"/>
          <w:bCs/>
          <w:sz w:val="24"/>
          <w:szCs w:val="24"/>
        </w:rPr>
        <w:t xml:space="preserve">can </w:t>
      </w:r>
      <w:r w:rsidR="008D1919" w:rsidRPr="00165ED2">
        <w:rPr>
          <w:rFonts w:ascii="Times New Roman" w:hAnsi="Times New Roman" w:cs="Times New Roman"/>
          <w:bCs/>
          <w:sz w:val="24"/>
          <w:szCs w:val="24"/>
        </w:rPr>
        <w:t xml:space="preserve">be </w:t>
      </w:r>
      <w:r w:rsidR="00B24CAD" w:rsidRPr="00165ED2">
        <w:rPr>
          <w:rFonts w:ascii="Times New Roman" w:hAnsi="Times New Roman" w:cs="Times New Roman"/>
          <w:bCs/>
          <w:sz w:val="24"/>
          <w:szCs w:val="24"/>
        </w:rPr>
        <w:t xml:space="preserve">determined </w:t>
      </w:r>
      <w:r w:rsidRPr="00165ED2">
        <w:rPr>
          <w:rFonts w:ascii="Times New Roman" w:hAnsi="Times New Roman" w:cs="Times New Roman"/>
          <w:bCs/>
          <w:sz w:val="24"/>
          <w:szCs w:val="24"/>
        </w:rPr>
        <w:t xml:space="preserve">by </w:t>
      </w:r>
      <w:r w:rsidR="00B24CAD" w:rsidRPr="00165ED2">
        <w:rPr>
          <w:rFonts w:ascii="Times New Roman" w:hAnsi="Times New Roman" w:cs="Times New Roman"/>
          <w:bCs/>
          <w:sz w:val="24"/>
          <w:szCs w:val="24"/>
        </w:rPr>
        <w:t xml:space="preserve">undertaking </w:t>
      </w:r>
      <w:r w:rsidR="008D1919" w:rsidRPr="00165ED2">
        <w:rPr>
          <w:rFonts w:ascii="Times New Roman" w:hAnsi="Times New Roman" w:cs="Times New Roman"/>
          <w:bCs/>
          <w:sz w:val="24"/>
          <w:szCs w:val="24"/>
        </w:rPr>
        <w:t xml:space="preserve">3-5 </w:t>
      </w:r>
      <w:r w:rsidRPr="00165ED2">
        <w:rPr>
          <w:rFonts w:ascii="Times New Roman" w:hAnsi="Times New Roman" w:cs="Times New Roman"/>
          <w:bCs/>
          <w:sz w:val="24"/>
          <w:szCs w:val="24"/>
        </w:rPr>
        <w:t xml:space="preserve">high-intensity </w:t>
      </w:r>
      <w:r w:rsidR="008D1919" w:rsidRPr="00165ED2">
        <w:rPr>
          <w:rFonts w:ascii="Times New Roman" w:hAnsi="Times New Roman" w:cs="Times New Roman"/>
          <w:bCs/>
          <w:sz w:val="24"/>
          <w:szCs w:val="24"/>
        </w:rPr>
        <w:t>constant-</w:t>
      </w:r>
      <w:r w:rsidRPr="00165ED2">
        <w:rPr>
          <w:rFonts w:ascii="Times New Roman" w:hAnsi="Times New Roman" w:cs="Times New Roman"/>
          <w:bCs/>
          <w:sz w:val="24"/>
          <w:szCs w:val="24"/>
        </w:rPr>
        <w:t>power output</w:t>
      </w:r>
      <w:r w:rsidR="008D1919" w:rsidRPr="00165ED2">
        <w:rPr>
          <w:rFonts w:ascii="Times New Roman" w:hAnsi="Times New Roman" w:cs="Times New Roman"/>
          <w:bCs/>
          <w:sz w:val="24"/>
          <w:szCs w:val="24"/>
        </w:rPr>
        <w:t xml:space="preserve"> </w:t>
      </w:r>
      <w:r w:rsidRPr="00165ED2">
        <w:rPr>
          <w:rFonts w:ascii="Times New Roman" w:hAnsi="Times New Roman" w:cs="Times New Roman"/>
          <w:bCs/>
          <w:sz w:val="24"/>
          <w:szCs w:val="24"/>
        </w:rPr>
        <w:t xml:space="preserve">cycle ergometer </w:t>
      </w:r>
      <w:r w:rsidR="008D1919" w:rsidRPr="00165ED2">
        <w:rPr>
          <w:rFonts w:ascii="Times New Roman" w:hAnsi="Times New Roman" w:cs="Times New Roman"/>
          <w:bCs/>
          <w:sz w:val="24"/>
          <w:szCs w:val="24"/>
        </w:rPr>
        <w:t>tests</w:t>
      </w:r>
      <w:r w:rsidRPr="00165ED2">
        <w:rPr>
          <w:rFonts w:ascii="Times New Roman" w:hAnsi="Times New Roman" w:cs="Times New Roman"/>
          <w:bCs/>
          <w:sz w:val="24"/>
          <w:szCs w:val="24"/>
        </w:rPr>
        <w:t xml:space="preserve"> to the point of task failure on separate day</w:t>
      </w:r>
      <w:r w:rsidR="005A113D" w:rsidRPr="00165ED2">
        <w:rPr>
          <w:rFonts w:ascii="Times New Roman" w:hAnsi="Times New Roman" w:cs="Times New Roman"/>
          <w:bCs/>
          <w:sz w:val="24"/>
          <w:szCs w:val="24"/>
        </w:rPr>
        <w:t>s</w:t>
      </w:r>
      <w:r w:rsidRPr="00165ED2">
        <w:rPr>
          <w:rFonts w:ascii="Times New Roman" w:hAnsi="Times New Roman" w:cs="Times New Roman"/>
          <w:bCs/>
          <w:sz w:val="24"/>
          <w:szCs w:val="24"/>
        </w:rPr>
        <w:t>. The tests should be selected to last no less than 2 and no mo</w:t>
      </w:r>
      <w:r w:rsidR="00AF566B" w:rsidRPr="00165ED2">
        <w:rPr>
          <w:rFonts w:ascii="Times New Roman" w:hAnsi="Times New Roman" w:cs="Times New Roman"/>
          <w:bCs/>
          <w:sz w:val="24"/>
          <w:szCs w:val="24"/>
        </w:rPr>
        <w:t xml:space="preserve">re than 15 minutes in duration </w:t>
      </w:r>
      <w:r w:rsidR="00AF566B" w:rsidRPr="00165ED2">
        <w:rPr>
          <w:rFonts w:ascii="Times New Roman" w:hAnsi="Times New Roman" w:cs="Times New Roman"/>
          <w:bCs/>
          <w:sz w:val="24"/>
          <w:szCs w:val="24"/>
        </w:rPr>
        <w:fldChar w:fldCharType="begin"/>
      </w:r>
      <w:r w:rsidR="007A3303" w:rsidRPr="00165ED2">
        <w:rPr>
          <w:rFonts w:ascii="Times New Roman" w:hAnsi="Times New Roman" w:cs="Times New Roman"/>
          <w:bCs/>
          <w:sz w:val="24"/>
          <w:szCs w:val="24"/>
        </w:rPr>
        <w:instrText xml:space="preserve"> ADDIN ZOTERO_ITEM CSL_CITATION {"citationID":"YEqlT9yc","properties":{"formattedCitation":"[16\\uc0\\u8211{}19]","plainCitation":"[16–19]","noteIndex":0},"citationItems":[{"id":245,"uris":["http://zotero.org/users/5056530/items/UVHDT6WA"],"itemData":{"id":245,"type":"article-journal","abstract":"SummaryThe basis of the critical power concept is that there is a hyperbolic relationship between power output and the time that the power output can be sustained. The relationship can be described based on the results of a series of 3 to 7 or more timed all-out predicting trials. Theoretically, the power asymptote of the relationship, CP (critical power), can be sustained without fatigue; in fact, exhaustion occurs after about 30 to 60 minutes of exercise at CP. Nevertheless, CP is related to the fatigue threshold, the ventilatory and lactate thresholds, and maximum oxygen uptake (V̇O2max), and it provides a measure of aerobic fitness. The second parameter of the relationship, AWC (anaerobic work capacity), is related to work performed in a 30-second Wingate test, work in intermittent high-intensity exercise, and oxygen deficit, and it provides a measure of anaerobic capacity. The accuracy of the parameter estimates may be enhanced by careful selection of the power outputs for the predicting trials and by performing a greater number of trials. These parameters provide fitness measures which are mode-specific, combine energy production and mechanical efficiency in 1 variable, and do not require the use of expensive equipment or invasive procedures. However, the attractiveness of the critical power concept diminishes if too many predicting trials are required for generation of parameter estimates with a reasonable degree of accuracy.","container-title":"Sports Medicine","DOI":"10.2165/00007256-199316040-00003","ISSN":"0112-1642, 1179-2035","issue":"4","journalAbbreviation":"Sports Medicine","language":"en","page":"237-254","source":"link.springer.com","title":"The Critical Power Concept","volume":"16","author":[{"family":"Hill","given":"David W."}],"issued":{"date-parts":[["1993",10,1]]}}},{"id":1215,"uris":["http://zotero.org/users/5056530/items/NRT2IJUE"],"itemData":{"id":1215,"type":"article-journal","abstract":"Muniz-Pumares, D, Karsten, B, Triska, C, and Glaister, M. Methodological approaches and related challenges associated with the determination of critical power and W'. J Strength Cond Res XX(X): 000-000, 2018-The relationship between exercise intensity and time to task failure (P-T relationship) is hyperbolic, and characterized by its asymptote (critical power [CP]) and curvature constant (W'). The determination of these parameters is of interest for researchers and practitioners, but the testing protocol for CP and W' determination has not yet been standardized. Conventionally, a series of constant work rate (CWR) tests to task failure have been used to construct the P-T relationship. However, the duration, number, and recovery between predictive CWR and the mathematical model (hyperbolic or derived linear models) are known to affect CP and W'. Moreover, repeating CWR may be deemed as a cumbersome and impractical protocol. Recently, CP and W' have been determined in field and laboratory settings using time trials, but the validity of these methods has raised concerns. Alternatively, a 3-minute all-out test (3MT) has been suggested, as it provides a simpler method for the determination of CP and W', whereby power output at the end of the test represents CP, and the amount of work performed above this end-test power equates to W'. However, the 3MT still requires an initial incremental test and may overestimate CP. The aim of this review is, therefore, to appraise current methods to estimate CP and W', providing guidelines and suggestions for future research where appropriate.","container-title":"Journal of Strength and Conditioning Research","DOI":"10.1519/JSC.0000000000002977","ISSN":"1533-4287","journalAbbreviation":"J Strength Cond Res","language":"eng","note":"PMID: 30531413","source":"PubMed","title":"Methodological Approaches and Related Challenges Associated With the Determination of Critical Power and W'","author":[{"family":"Muniz-Pumares","given":"Daniel"},{"family":"Karsten","given":"Bettina"},{"family":"Triska","given":"Christoph"},{"family":"Glaister","given":"Mark"}],"issued":{"date-parts":[["2018",12,7]]}}},{"id":600,"uris":["http://zotero.org/users/5056530/items/BBT27CB9"],"itemData":{"id":600,"type":"article-journal","abstract":"In cycling, critical power (CP) and work above CP (W') can be estimated through linear and nonlinear models. Despite the concept of CP representing the upper boundary of sustainable exercise, overestimations may be made as the models possess inherent limitations and the protocol design is not always appropriate.\nOBJECTIVES: To measure and compare CP and W' through the exponential (CPexp), 3-parameter hyperbolic (CP3-hyp), 2-parameter hyperbolic (CP2-hyp), linear (CPlinear), and linear 1/time (CP1/time) models, using different combinations of TTE trials of different durations (approximately 1-20min).\nDESIGN: Repeated measures.\nMETHODS: Thirteen healthy young cyclists (26±3years; 69.0±9.2kg; 174±10cm; 60.4±5.9mLkg-1min-1) performed five TTE trials on separate days. CP and W' were modeled using two, three, four, and/or five trials. All models were compared against a criterion method (CP3-hyp with five trials; confirmed using the leaving-one-out cross-validation analysis) using smallest worthwhile change (SWC) and concordance correlation coefficient (CCC) analyses.\nRESULTS: CP was considerably overestimated when only trials lasting less than 10min were included, independent of the mathematical model used. Following CCC analysis, a number of alternative methods were able to predict our criterion method with almost a perfect agreement. However, the application of other common approaches resulted in an overestimation of CP and underestimation of W', typically these methods only included TTE trials lasting less than 12min.\nCONCLUSIONS: Estimations from CP3-hyp were found to be the most accurate, independently of TTE range. Models that include two trials between 12 and 20min provide good agreement with the criterion method (for both CP and W').","container-title":"Journal of Science and Medicine in Sport","DOI":"10.1016/j.jsams.2017.11.015","ISSN":"1878-1861","journalAbbreviation":"J Sci Med Sport","language":"eng","note":"PMID: 29203319","source":"PubMed","title":"Critical power: How different protocols and models affect its determination","title-short":"Critical power","author":[{"family":"Mattioni Maturana","given":"Felipe"},{"family":"Fontana","given":"Federico Y."},{"family":"Pogliaghi","given":"Silvia"},{"family":"Passfield","given":"Louis"},{"family":"Murias","given":"Juan M."}],"issued":{"date-parts":[["2017",11,29]]}}},{"id":1070,"uris":["http://zotero.org/users/5056530/items/PKWBTRU7"],"itemData":{"id":1070,"type":"article-journal","abstract":"The maximal lactate steady state (MLSS) and the critical power (CP) are two widely used indices of the highest oxidative metabolic rate that can be sustained during continuous exercise and are often considered to be synonymous. However, while perhaps having similarities in principle, methodological differences in the assessment of these parameters typically result in MLSS occurring at a somewhat lower power output or running speed and exercise at CP being sustainable for no more than approximately 20-30 min. This has led to the view that CP overestimates the 'actual' maximal metabolic steady state and that MLSS should be considered the 'gold standard' metric for the evaluation of endurance exercise capacity. In this article we will present evidence consistent with the contrary conclusion: i.e., that (1) as presently defined, MLSS naturally underestimates the actual maximal metabolic steady state; and (2) CP alone represents the boundary between discrete exercise intensity domains within which the dynamic cardiorespiratory and muscle metabolic responses to exercise differ profoundly. While both MLSS and CP may have relevance for athletic training and performance, we urge that the distinction between the two concepts/metrics be better appreciated and that comparisons between MLSS and CP, undertaken in the mistaken belief that they are theoretically synonymous, is discontinued. CP represents the genuine boundary separating exercise in which physiological homeostasis can be maintained from exercise in which it cannot, and should be considered the gold standard when the goal is to determine the maximal metabolic steady state.","container-title":"Physiological Reports","DOI":"10.14814/phy2.14098","ISSN":"2051-817X","issue":"10","journalAbbreviation":"Physiol Rep","language":"eng","note":"PMID: 31124324\nPMCID: PMC6533178","page":"e14098","source":"PubMed","title":"The maximal metabolic steady state: redefining the 'gold standard'","title-short":"The maximal metabolic steady state","volume":"7","author":[{"family":"Jones","given":"Andrew M."},{"family":"Burnley","given":"Mark"},{"family":"Black","given":"Matthew I."},{"family":"Poole","given":"David C."},{"family":"Vanhatalo","given":"Anni"}],"issued":{"date-parts":[["2019",5]]}}}],"schema":"https://github.com/citation-style-language/schema/raw/master/csl-citation.json"} </w:instrText>
      </w:r>
      <w:r w:rsidR="00AF566B" w:rsidRPr="00165ED2">
        <w:rPr>
          <w:rFonts w:ascii="Times New Roman" w:hAnsi="Times New Roman" w:cs="Times New Roman"/>
          <w:bCs/>
          <w:sz w:val="24"/>
          <w:szCs w:val="24"/>
        </w:rPr>
        <w:fldChar w:fldCharType="separate"/>
      </w:r>
      <w:r w:rsidR="007A3303" w:rsidRPr="00165ED2">
        <w:rPr>
          <w:rFonts w:ascii="Times New Roman" w:hAnsi="Times New Roman" w:cs="Times New Roman"/>
          <w:sz w:val="24"/>
          <w:szCs w:val="24"/>
        </w:rPr>
        <w:t>[16–19]</w:t>
      </w:r>
      <w:r w:rsidR="00AF566B" w:rsidRPr="00165ED2">
        <w:rPr>
          <w:rFonts w:ascii="Times New Roman" w:hAnsi="Times New Roman" w:cs="Times New Roman"/>
          <w:bCs/>
          <w:sz w:val="24"/>
          <w:szCs w:val="24"/>
        </w:rPr>
        <w:fldChar w:fldCharType="end"/>
      </w:r>
      <w:r w:rsidRPr="00165ED2">
        <w:rPr>
          <w:rFonts w:ascii="Times New Roman" w:hAnsi="Times New Roman" w:cs="Times New Roman"/>
          <w:bCs/>
          <w:sz w:val="24"/>
          <w:szCs w:val="24"/>
        </w:rPr>
        <w:t xml:space="preserve">, </w:t>
      </w:r>
      <w:r w:rsidR="00CC3EA7" w:rsidRPr="00165ED2">
        <w:rPr>
          <w:rFonts w:ascii="Times New Roman" w:hAnsi="Times New Roman" w:cs="Times New Roman"/>
          <w:bCs/>
          <w:sz w:val="24"/>
          <w:szCs w:val="24"/>
        </w:rPr>
        <w:t xml:space="preserve">with </w:t>
      </w:r>
      <w:r w:rsidRPr="00165ED2">
        <w:rPr>
          <w:rFonts w:ascii="Times New Roman" w:hAnsi="Times New Roman" w:cs="Times New Roman"/>
          <w:bCs/>
          <w:sz w:val="24"/>
          <w:szCs w:val="24"/>
        </w:rPr>
        <w:t xml:space="preserve">the precise time to task failure and power output at which each test is conducted recorded. </w:t>
      </w:r>
      <w:r w:rsidR="00BA3C48" w:rsidRPr="00165ED2">
        <w:rPr>
          <w:rFonts w:ascii="Times New Roman" w:hAnsi="Times New Roman" w:cs="Times New Roman"/>
          <w:bCs/>
          <w:sz w:val="24"/>
          <w:szCs w:val="24"/>
        </w:rPr>
        <w:t xml:space="preserve">These durations are recommended for valid determination of this intensity, since it is essential that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87282B" w:rsidRPr="00165ED2">
        <w:rPr>
          <w:rFonts w:ascii="Times New Roman" w:eastAsiaTheme="minorEastAsia" w:hAnsi="Times New Roman" w:cs="Times New Roman"/>
          <w:bCs/>
          <w:sz w:val="24"/>
          <w:szCs w:val="24"/>
        </w:rPr>
        <w:t>O</w:t>
      </w:r>
      <w:r w:rsidR="0087282B" w:rsidRPr="00165ED2">
        <w:rPr>
          <w:rFonts w:ascii="Times New Roman" w:eastAsiaTheme="minorEastAsia" w:hAnsi="Times New Roman" w:cs="Times New Roman"/>
          <w:bCs/>
          <w:sz w:val="24"/>
          <w:szCs w:val="24"/>
          <w:vertAlign w:val="subscript"/>
        </w:rPr>
        <w:t>2max</w:t>
      </w:r>
      <w:r w:rsidR="0087282B" w:rsidRPr="00165ED2">
        <w:rPr>
          <w:rFonts w:ascii="Times New Roman" w:hAnsi="Times New Roman" w:cs="Times New Roman"/>
          <w:bCs/>
          <w:sz w:val="24"/>
          <w:szCs w:val="24"/>
        </w:rPr>
        <w:t xml:space="preserve"> is attained at the end of trial</w:t>
      </w:r>
      <w:r w:rsidR="00BA3C48" w:rsidRPr="00165ED2">
        <w:rPr>
          <w:rFonts w:ascii="Times New Roman" w:hAnsi="Times New Roman" w:cs="Times New Roman"/>
          <w:bCs/>
          <w:sz w:val="24"/>
          <w:szCs w:val="24"/>
        </w:rPr>
        <w:t xml:space="preserve"> in order to meet the requirement for all prediction trials to be performed within the severe-intensity domain</w:t>
      </w:r>
      <w:r w:rsidR="0087282B" w:rsidRPr="00165ED2">
        <w:rPr>
          <w:rFonts w:ascii="Times New Roman" w:hAnsi="Times New Roman" w:cs="Times New Roman"/>
          <w:bCs/>
          <w:sz w:val="24"/>
          <w:szCs w:val="24"/>
        </w:rPr>
        <w:t xml:space="preserve">. </w:t>
      </w:r>
      <w:r w:rsidRPr="00165ED2">
        <w:rPr>
          <w:rFonts w:ascii="Times New Roman" w:hAnsi="Times New Roman" w:cs="Times New Roman"/>
          <w:bCs/>
          <w:sz w:val="24"/>
          <w:szCs w:val="24"/>
        </w:rPr>
        <w:t xml:space="preserve">When time to task failure is plotted against </w:t>
      </w:r>
      <w:r w:rsidRPr="00165ED2">
        <w:rPr>
          <w:rFonts w:ascii="Times New Roman" w:hAnsi="Times New Roman" w:cs="Times New Roman"/>
          <w:bCs/>
          <w:sz w:val="24"/>
          <w:szCs w:val="24"/>
        </w:rPr>
        <w:lastRenderedPageBreak/>
        <w:t xml:space="preserve">power output, </w:t>
      </w:r>
      <w:r w:rsidR="005A113D" w:rsidRPr="00165ED2">
        <w:rPr>
          <w:rFonts w:ascii="Times New Roman" w:hAnsi="Times New Roman" w:cs="Times New Roman"/>
          <w:bCs/>
          <w:sz w:val="24"/>
          <w:szCs w:val="24"/>
        </w:rPr>
        <w:t>the</w:t>
      </w:r>
      <w:r w:rsidRPr="00165ED2">
        <w:rPr>
          <w:rFonts w:ascii="Times New Roman" w:hAnsi="Times New Roman" w:cs="Times New Roman"/>
          <w:bCs/>
          <w:sz w:val="24"/>
          <w:szCs w:val="24"/>
        </w:rPr>
        <w:t xml:space="preserve"> relationship is curvilinear, with the ability to sustain exercise falling away more rapidly at higher power outputs (Figure 1). This power-time relationship is well-described by a hyperbolic function</w:t>
      </w:r>
      <w:r w:rsidR="00AF566B" w:rsidRPr="00165ED2">
        <w:rPr>
          <w:rFonts w:ascii="Times New Roman" w:hAnsi="Times New Roman" w:cs="Times New Roman"/>
          <w:bCs/>
          <w:sz w:val="24"/>
          <w:szCs w:val="24"/>
        </w:rPr>
        <w:t xml:space="preserve"> </w:t>
      </w:r>
      <w:r w:rsidR="00AF566B" w:rsidRPr="00165ED2">
        <w:rPr>
          <w:rFonts w:ascii="Times New Roman" w:hAnsi="Times New Roman" w:cs="Times New Roman"/>
          <w:bCs/>
          <w:sz w:val="24"/>
          <w:szCs w:val="24"/>
        </w:rPr>
        <w:fldChar w:fldCharType="begin"/>
      </w:r>
      <w:r w:rsidR="007A3303" w:rsidRPr="00165ED2">
        <w:rPr>
          <w:rFonts w:ascii="Times New Roman" w:hAnsi="Times New Roman" w:cs="Times New Roman"/>
          <w:bCs/>
          <w:sz w:val="24"/>
          <w:szCs w:val="24"/>
        </w:rPr>
        <w:instrText xml:space="preserve"> ADDIN ZOTERO_ITEM CSL_CITATION {"citationID":"37UKo54c","properties":{"formattedCitation":"[20]","plainCitation":"[20]","noteIndex":0},"citationItems":[{"id":276,"uris":["http://zotero.org/users/5056530/items/JC2A2I8S"],"itemData":{"id":276,"type":"article-journal","abstract":"A new conception of dynamic or static muscular work tests is presented. The authors define the critical power of a muscular work from the notions of maximum work and maximum time of work. The work capacity is then considered in the case of dynamic work, and of continuous or intermittent static work. From the data presented it is possible to define the maximum amount of work that can be performed in a given time as well as the conditions of work performed without fatigue","container-title":"Ergonomics","DOI":"10.1080/00140136508930810","ISSN":"0014-0139","issue":"3","page":"329-338","source":"Taylor and Francis+NEJM","title":"The Work Capacity of a Synergic Muscular Group","volume":"8","author":[{"family":"Monod","given":"H."},{"family":"Scherrer","given":"J."}],"issued":{"date-parts":[["1965",7,1]]}}}],"schema":"https://github.com/citation-style-language/schema/raw/master/csl-citation.json"} </w:instrText>
      </w:r>
      <w:r w:rsidR="00AF566B" w:rsidRPr="00165ED2">
        <w:rPr>
          <w:rFonts w:ascii="Times New Roman" w:hAnsi="Times New Roman" w:cs="Times New Roman"/>
          <w:bCs/>
          <w:sz w:val="24"/>
          <w:szCs w:val="24"/>
        </w:rPr>
        <w:fldChar w:fldCharType="separate"/>
      </w:r>
      <w:r w:rsidR="007A3303" w:rsidRPr="00165ED2">
        <w:rPr>
          <w:rFonts w:ascii="Times New Roman" w:hAnsi="Times New Roman" w:cs="Times New Roman"/>
          <w:sz w:val="24"/>
        </w:rPr>
        <w:t>[20]</w:t>
      </w:r>
      <w:r w:rsidR="00AF566B" w:rsidRPr="00165ED2">
        <w:rPr>
          <w:rFonts w:ascii="Times New Roman" w:hAnsi="Times New Roman" w:cs="Times New Roman"/>
          <w:bCs/>
          <w:sz w:val="24"/>
          <w:szCs w:val="24"/>
        </w:rPr>
        <w:fldChar w:fldCharType="end"/>
      </w:r>
      <w:r w:rsidRPr="00165ED2">
        <w:rPr>
          <w:rFonts w:ascii="Times New Roman" w:hAnsi="Times New Roman" w:cs="Times New Roman"/>
          <w:bCs/>
          <w:sz w:val="24"/>
          <w:szCs w:val="24"/>
        </w:rPr>
        <w:t>, with an asymptote known as critical power</w:t>
      </w:r>
      <w:r w:rsidR="00C153E3" w:rsidRPr="00165ED2">
        <w:rPr>
          <w:rFonts w:ascii="Times New Roman" w:hAnsi="Times New Roman" w:cs="Times New Roman"/>
          <w:bCs/>
          <w:sz w:val="24"/>
          <w:szCs w:val="24"/>
        </w:rPr>
        <w:t xml:space="preserve"> (CP) and the curvature constant termed </w:t>
      </w:r>
      <w:r w:rsidR="00C153E3" w:rsidRPr="00165ED2">
        <w:rPr>
          <w:rFonts w:ascii="Times New Roman" w:hAnsi="Times New Roman" w:cs="Times New Roman"/>
          <w:bCs/>
          <w:i/>
          <w:iCs/>
          <w:sz w:val="24"/>
          <w:szCs w:val="24"/>
        </w:rPr>
        <w:t>W</w:t>
      </w:r>
      <w:r w:rsidR="000B05E0" w:rsidRPr="00165ED2">
        <w:rPr>
          <w:rFonts w:ascii="Times New Roman" w:eastAsia="MS Mincho" w:hAnsi="Times New Roman" w:cs="Times New Roman"/>
          <w:bCs/>
          <w:sz w:val="24"/>
          <w:szCs w:val="24"/>
        </w:rPr>
        <w:t>'</w:t>
      </w:r>
      <w:r w:rsidR="00C153E3" w:rsidRPr="00165ED2">
        <w:rPr>
          <w:rFonts w:ascii="Times New Roman" w:hAnsi="Times New Roman" w:cs="Times New Roman"/>
          <w:bCs/>
          <w:sz w:val="24"/>
          <w:szCs w:val="24"/>
        </w:rPr>
        <w:t xml:space="preserve"> (i.e., W prime)</w:t>
      </w:r>
      <w:r w:rsidRPr="00165ED2">
        <w:rPr>
          <w:rFonts w:ascii="Times New Roman" w:hAnsi="Times New Roman" w:cs="Times New Roman"/>
          <w:bCs/>
          <w:sz w:val="24"/>
          <w:szCs w:val="24"/>
        </w:rPr>
        <w:t xml:space="preserve">. </w:t>
      </w:r>
      <w:r w:rsidR="00C153E3" w:rsidRPr="00165ED2">
        <w:rPr>
          <w:rFonts w:ascii="Times New Roman" w:hAnsi="Times New Roman" w:cs="Times New Roman"/>
          <w:bCs/>
          <w:sz w:val="24"/>
          <w:szCs w:val="24"/>
        </w:rPr>
        <w:t>This relationship is described by the following equation:</w:t>
      </w:r>
    </w:p>
    <w:p w14:paraId="24053554" w14:textId="4004CBA2" w:rsidR="00F81405" w:rsidRPr="00165ED2" w:rsidRDefault="00F81405" w:rsidP="00F81405">
      <w:pPr>
        <w:spacing w:line="480" w:lineRule="auto"/>
        <w:ind w:firstLine="720"/>
        <w:jc w:val="both"/>
        <w:rPr>
          <w:rFonts w:ascii="Times New Roman" w:hAnsi="Times New Roman" w:cs="Times New Roman"/>
          <w:bCs/>
          <w:sz w:val="24"/>
          <w:szCs w:val="24"/>
        </w:rPr>
      </w:pPr>
      <m:oMathPara>
        <m:oMath>
          <m:r>
            <w:rPr>
              <w:rFonts w:ascii="Cambria Math" w:hAnsi="Cambria Math" w:cs="Times New Roman"/>
              <w:sz w:val="24"/>
              <w:szCs w:val="24"/>
            </w:rPr>
            <m:t>T=</m:t>
          </m:r>
          <m:sSup>
            <m:sSupPr>
              <m:ctrlPr>
                <w:rPr>
                  <w:rFonts w:ascii="Cambria Math" w:hAnsi="Cambria Math" w:cs="Times New Roman"/>
                  <w:bCs/>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/(P-CP)</m:t>
          </m:r>
        </m:oMath>
      </m:oMathPara>
    </w:p>
    <w:p w14:paraId="180B25E8" w14:textId="722FD0CF" w:rsidR="00F81405" w:rsidRPr="00165ED2" w:rsidRDefault="00F81405" w:rsidP="00F81405">
      <w:pPr>
        <w:spacing w:line="480" w:lineRule="auto"/>
        <w:ind w:firstLine="720"/>
        <w:jc w:val="both"/>
        <w:rPr>
          <w:rFonts w:ascii="Times New Roman" w:hAnsi="Times New Roman" w:cs="Times New Roman"/>
          <w:bCs/>
          <w:sz w:val="24"/>
          <w:szCs w:val="24"/>
        </w:rPr>
      </w:pPr>
      <w:r w:rsidRPr="00165ED2">
        <w:rPr>
          <w:rFonts w:ascii="Times New Roman" w:hAnsi="Times New Roman" w:cs="Times New Roman"/>
          <w:bCs/>
          <w:sz w:val="24"/>
          <w:szCs w:val="24"/>
        </w:rPr>
        <w:t xml:space="preserve">Where T is the tolerable duration </w:t>
      </w:r>
      <w:r w:rsidR="00C153E3" w:rsidRPr="00165ED2">
        <w:rPr>
          <w:rFonts w:ascii="Times New Roman" w:hAnsi="Times New Roman" w:cs="Times New Roman"/>
          <w:bCs/>
          <w:sz w:val="24"/>
          <w:szCs w:val="24"/>
        </w:rPr>
        <w:t xml:space="preserve">and </w:t>
      </w:r>
      <w:r w:rsidRPr="00165ED2">
        <w:rPr>
          <w:rFonts w:ascii="Times New Roman" w:hAnsi="Times New Roman" w:cs="Times New Roman"/>
          <w:bCs/>
          <w:sz w:val="24"/>
          <w:szCs w:val="24"/>
        </w:rPr>
        <w:t>P the power output of a given</w:t>
      </w:r>
      <w:r w:rsidR="005A113D" w:rsidRPr="00165ED2">
        <w:rPr>
          <w:rFonts w:ascii="Times New Roman" w:hAnsi="Times New Roman" w:cs="Times New Roman"/>
          <w:bCs/>
          <w:sz w:val="24"/>
          <w:szCs w:val="24"/>
        </w:rPr>
        <w:t xml:space="preserve"> exercise</w:t>
      </w:r>
      <w:r w:rsidRPr="00165ED2">
        <w:rPr>
          <w:rFonts w:ascii="Times New Roman" w:hAnsi="Times New Roman" w:cs="Times New Roman"/>
          <w:bCs/>
          <w:sz w:val="24"/>
          <w:szCs w:val="24"/>
        </w:rPr>
        <w:t xml:space="preserve"> task</w:t>
      </w:r>
      <w:r w:rsidR="00AF566B" w:rsidRPr="00165ED2">
        <w:rPr>
          <w:rFonts w:ascii="Times New Roman" w:hAnsi="Times New Roman" w:cs="Times New Roman"/>
          <w:bCs/>
          <w:sz w:val="24"/>
          <w:szCs w:val="24"/>
        </w:rPr>
        <w:t xml:space="preserve"> </w:t>
      </w:r>
      <w:r w:rsidR="00AF566B" w:rsidRPr="00165ED2">
        <w:rPr>
          <w:rFonts w:ascii="Times New Roman" w:hAnsi="Times New Roman" w:cs="Times New Roman"/>
          <w:bCs/>
          <w:sz w:val="24"/>
          <w:szCs w:val="24"/>
        </w:rPr>
        <w:fldChar w:fldCharType="begin"/>
      </w:r>
      <w:r w:rsidR="007A3303" w:rsidRPr="00165ED2">
        <w:rPr>
          <w:rFonts w:ascii="Times New Roman" w:hAnsi="Times New Roman" w:cs="Times New Roman"/>
          <w:bCs/>
          <w:sz w:val="24"/>
          <w:szCs w:val="24"/>
        </w:rPr>
        <w:instrText xml:space="preserve"> ADDIN ZOTERO_ITEM CSL_CITATION {"citationID":"VUJlCE1L","properties":{"formattedCitation":"[6,20,21]","plainCitation":"[6,20,21]","noteIndex":0},"citationItems":[{"id":275,"uris":["http://zotero.org/users/5056530/items/7VGP3WU2"],"itemData":{"id":275,"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J."}],"issued":{"date-parts":[["1988",9]]}}},{"id":276,"uris":["http://zotero.org/users/5056530/items/JC2A2I8S"],"itemData":{"id":276,"type":"article-journal","abstract":"A new conception of dynamic or static muscular work tests is presented. The authors define the critical power of a muscular work from the notions of maximum work and maximum time of work. The work capacity is then considered in the case of dynamic work, and of continuous or intermittent static work. From the data presented it is possible to define the maximum amount of work that can be performed in a given time as well as the conditions of work performed without fatigue","container-title":"Ergonomics","DOI":"10.1080/00140136508930810","ISSN":"0014-0139","issue":"3","page":"329-338","source":"Taylor and Francis+NEJM","title":"The Work Capacity of a Synergic Muscular Group","volume":"8","author":[{"family":"Monod","given":"H."},{"family":"Scherrer","given":"J."}],"issued":{"date-parts":[["1965",7,1]]}}},{"id":278,"uris":["http://zotero.org/users/5056530/items/KBSS4CTK"],"itemData":{"id":278,"type":"article-journal","container-title":"Ergonomics","DOI":"10.1080/00140138108924856","ISSN":"0014-0139","issue":"5","journalAbbreviation":"Ergonomics","language":"eng","note":"PMID: 7262059","page":"339-350","source":"PubMed","title":"Critical power as a measure of physical work capacity and anaerobic threshold","volume":"24","author":[{"family":"Moritani","given":"T."},{"family":"Nagata","given":"A."},{"family":"deVries","given":"H. A."},{"family":"Muro","given":"M."}],"issued":{"date-parts":[["1981",5]]}}}],"schema":"https://github.com/citation-style-language/schema/raw/master/csl-citation.json"} </w:instrText>
      </w:r>
      <w:r w:rsidR="00AF566B" w:rsidRPr="00165ED2">
        <w:rPr>
          <w:rFonts w:ascii="Times New Roman" w:hAnsi="Times New Roman" w:cs="Times New Roman"/>
          <w:bCs/>
          <w:sz w:val="24"/>
          <w:szCs w:val="24"/>
        </w:rPr>
        <w:fldChar w:fldCharType="separate"/>
      </w:r>
      <w:r w:rsidR="007A3303" w:rsidRPr="00165ED2">
        <w:rPr>
          <w:rFonts w:ascii="Times New Roman" w:hAnsi="Times New Roman" w:cs="Times New Roman"/>
          <w:sz w:val="24"/>
        </w:rPr>
        <w:t>[6,20,21]</w:t>
      </w:r>
      <w:r w:rsidR="00AF566B" w:rsidRPr="00165ED2">
        <w:rPr>
          <w:rFonts w:ascii="Times New Roman" w:hAnsi="Times New Roman" w:cs="Times New Roman"/>
          <w:bCs/>
          <w:sz w:val="24"/>
          <w:szCs w:val="24"/>
        </w:rPr>
        <w:fldChar w:fldCharType="end"/>
      </w:r>
      <w:r w:rsidR="00C153E3" w:rsidRPr="00165ED2">
        <w:rPr>
          <w:rFonts w:ascii="Times New Roman" w:hAnsi="Times New Roman" w:cs="Times New Roman"/>
          <w:bCs/>
          <w:sz w:val="24"/>
          <w:szCs w:val="24"/>
        </w:rPr>
        <w:t xml:space="preserve">. When intensity is measured in units of speed, the asymptote is termed critical speed (CS) and the curvature constant </w:t>
      </w:r>
      <w:r w:rsidR="00C153E3" w:rsidRPr="00165ED2">
        <w:rPr>
          <w:rFonts w:ascii="Times New Roman" w:hAnsi="Times New Roman" w:cs="Times New Roman"/>
          <w:bCs/>
          <w:i/>
          <w:iCs/>
          <w:sz w:val="24"/>
          <w:szCs w:val="24"/>
        </w:rPr>
        <w:t>D</w:t>
      </w:r>
      <w:r w:rsidR="00C153E3" w:rsidRPr="00165ED2">
        <w:rPr>
          <w:rFonts w:ascii="Times New Roman" w:hAnsi="Times New Roman" w:cs="Times New Roman"/>
          <w:bCs/>
          <w:sz w:val="24"/>
          <w:szCs w:val="24"/>
        </w:rPr>
        <w:t>’ (i.e.</w:t>
      </w:r>
      <w:r w:rsidR="0012567E" w:rsidRPr="00165ED2">
        <w:rPr>
          <w:rFonts w:ascii="Times New Roman" w:hAnsi="Times New Roman" w:cs="Times New Roman"/>
          <w:bCs/>
          <w:sz w:val="24"/>
          <w:szCs w:val="24"/>
        </w:rPr>
        <w:t>,</w:t>
      </w:r>
      <w:r w:rsidR="00C153E3" w:rsidRPr="00165ED2">
        <w:rPr>
          <w:rFonts w:ascii="Times New Roman" w:hAnsi="Times New Roman" w:cs="Times New Roman"/>
          <w:bCs/>
          <w:sz w:val="24"/>
          <w:szCs w:val="24"/>
        </w:rPr>
        <w:t xml:space="preserve"> with units of distance). </w:t>
      </w:r>
      <w:r w:rsidR="0009630A" w:rsidRPr="00165ED2">
        <w:rPr>
          <w:rFonts w:ascii="Times New Roman" w:hAnsi="Times New Roman" w:cs="Times New Roman"/>
          <w:bCs/>
          <w:sz w:val="24"/>
          <w:szCs w:val="24"/>
        </w:rPr>
        <w:t>T</w:t>
      </w:r>
      <w:r w:rsidR="00C153E3" w:rsidRPr="00165ED2">
        <w:rPr>
          <w:rFonts w:ascii="Times New Roman" w:hAnsi="Times New Roman" w:cs="Times New Roman"/>
          <w:bCs/>
          <w:sz w:val="24"/>
          <w:szCs w:val="24"/>
        </w:rPr>
        <w:t xml:space="preserve">his power-time relationship appears to be a universal feature of high-intensity exercise tolerance, being apparent in every species </w:t>
      </w:r>
      <w:r w:rsidR="00AF566B" w:rsidRPr="00165ED2">
        <w:rPr>
          <w:rFonts w:ascii="Times New Roman" w:hAnsi="Times New Roman" w:cs="Times New Roman"/>
          <w:bCs/>
          <w:sz w:val="24"/>
          <w:szCs w:val="24"/>
        </w:rPr>
        <w:fldChar w:fldCharType="begin"/>
      </w:r>
      <w:r w:rsidR="007A3303" w:rsidRPr="00165ED2">
        <w:rPr>
          <w:rFonts w:ascii="Times New Roman" w:hAnsi="Times New Roman" w:cs="Times New Roman"/>
          <w:bCs/>
          <w:sz w:val="24"/>
          <w:szCs w:val="24"/>
        </w:rPr>
        <w:instrText xml:space="preserve"> ADDIN ZOTERO_ITEM CSL_CITATION {"citationID":"ju3tCDvQ","properties":{"formattedCitation":"[22\\uc0\\u8211{}26]","plainCitation":"[22–26]","noteIndex":0},"citationItems":[{"id":280,"uris":["http://zotero.org/users/5056530/items/UUTN7VQW"],"itemData":{"id":280,"type":"article-journal","abstract":"Lungless salamanders (4.1 g) were exercised on a treadmill enclosed in a Plexiglas respirometer at a range of speeds (0.05-0.24 km/h). O2 consumption (VO2) was determined continuously by open-flow respirometry. At the onset of exercise VO2 increased to a \"steady state\" in approximately 2-5 min. VO2 (ml O2 X g-1 X h-1) increased linearly with speed (S), VO2 = 2.3 (S) + 0.1 (r2 = 0.74). The minimum cost of transport (2.3 ml O2 X g-1 X km-1) was three-fourths of that predicted for a vertebrate of the same mass. Maximum O2 consumption (VO2max) was attained at 0.16 km/h (maximum aerobic speed), where this VO2 was six to nine times above standard rates. The net rate of whole-body lactate production (WBL) was insignificant at slow speeds (less than 46% VO2max) but did increase at submaximal work loads (85% VO2max). The highest WBL (0.07 mg X g-1 X min-1) was measured at a speed (0.20 km/h) that exceeded the maximum aerobic speed. Salamanders sustained exercise at slow speeds for over 2 h. The greatest decline in endurance (i.e., from 120 to 10 min) occurred at speeds below the maximum aerobic speed, where being lungless may have little consequence. At fast rates of locomotion a limited VO2max was associated with a low maximum aerobic speed and a modest capacity for sustained activity.","container-title":"The American Journal of Physiology","ISSN":"0002-9513","issue":"4 Pt 2","journalAbbreviation":"Am. J. Physiol.","language":"eng","note":"PMID: 3766777","page":"R775-780","source":"PubMed","title":"Locomotion without lungs: energetics and performance of a lungless salamander","title-short":"Locomotion without lungs","volume":"251","author":[{"family":"Full","given":"R. J."}],"issued":{"date-parts":[["1986",10]]}}},{"id":281,"uris":["http://zotero.org/users/5056530/items/B7A3RFKG"],"itemData":{"id":281,"type":"article-journal","abstract":"To view the aerobic response to exercise, the ghost crab Ocypode guadichaudii was run in a treadmill respirometer at three velocities (0.13, 0.19, and 0.28 km/h) while oxygen consumption (VO2) was monitored. A steady-state VO2 that increased linearly with velocity was attained. VO2 transient periods at the beginning and end of exercise were extremely rapid with half times from 50 to 150 s. The magnitude of oxygen deficit and debt were small and both showed increases with an increase in velocity. Oxygen debt was measured at each velocity after 4-, 10-, and 20-min exercise bouts. No change in the magnitude of oxygen debt was observed with respect to exercise duration. Maximal VO2 was 11.9 times the average resting VO2. Oxygen uptake kinetics have shown only very sluggish and reduced rates in five other more sedentary crab species previously tested. The aerobic response pattern observed in the present study is more comparable to that of exercising mammals and highly aerobic ectothermic vertebrates. This suggests that the ghost crab meets the energy demand of sustained exercise by aerobic ATP production in contrast to many other crab species.","container-title":"The American Journal of Physiology","ISSN":"0002-9513","issue":"4","journalAbbreviation":"Am. J. Physiol.","language":"eng","note":"PMID: 6837768","page":"R530-536","source":"PubMed","title":"Aerobic response to exercise of the fastest land crab","volume":"244","author":[{"family":"Full","given":"R. J."},{"family":"Herreid","given":"C. F."}],"issued":{"date-parts":[["1983",4]]}}},{"id":566,"uris":["http://zotero.org/users/5056530/items/2WH5VEZZ"],"itemData":{"id":566,"type":"article-journal","abstract":"The power:time-to-fatigue relationship for high-intensity exercise in man is useful in determining anaerobic work capacity. The purpose of this study was to determine the nature of this relationship in horses. Eight Standardbred horses performed 5 or 6 run-to-fatigue trials on a treadmill. Exercise intensities were chosen to induce fatigue in 30 to 240 s. The order of trials was randomised for each horse, but balanced overall for the first 4 trials. The data for power (independent variable) and time-to-fatigue (dependent variable) were tested for goodness of fit to hyperbolic, linear and exponential equations by nonlinear regression. The best fit to the data was obtained using the hyperbolic relationship t = W'(P- phi PA) where t is the time to fatigue, W' is the anaerobic work capacity, P is the power and phi PA is the critical power value. The values for W' and phi PA were 47,000 +/- 500 J and 2490 +/- 150 watts, respectively. We conclude that the power:time-to-fatigue relationship of horses is hyperbolic and that this relationship may be useful in assessing anaerobic capacity of horses.","container-title":"Equine Veterinary Journal. Supplement","issue":"30","journalAbbreviation":"Equine Vet J Suppl","language":"eng","note":"PMID: 10659323","page":"586-590","source":"PubMed","title":"Hyperbolic relationship between time-to-fatigue and workload","author":[{"family":"Lauderdale","given":"M. A."},{"family":"Hinchcliff","given":"K. W."}],"issued":{"date-parts":[["1999",7]]}}},{"id":282,"uris":["http://zotero.org/users/5056530/items/4WKHHGM8"],"itemData":{"id":282,"type":"article-journal","abstract":"Critical speed (CS) constitutes an important metabolic and performance demarcator. However, active skeletal muscle blood flow distribution specifically surrounding CS remains unknown. We tested the hypotheses that CS could be accurately determined in the running rat and that measurement of hindlimb inter- and intramuscular blood flow below and above CS would support that the greatest muscle fibre recruitment above, relative to below, CS occurs in the predominantly glycolytic muscles. Seven male Sprague-Dawley rats performed five constant-speed tests to exhaustion at speeds between 95 and 115% of the speed that elicited to determine CS. Subsequent constant-speed tests were performed at speeds incrementally surrounding CS to determine time to exhaustion, V(O2), and hindlimb muscle blood flow distribution. Speed and time to exhaustion conformed to a hyperbolic relationship (r(2) = 0.92 ± 0.03) which corresponded to a linear 1/time function (r(2) = 0.93 ± 0.02) with a CS of 48.6 ± 1.0 m min(-1). Time to exhaustion below CS was </w:instrText>
      </w:r>
      <w:r w:rsidR="007A3303" w:rsidRPr="00165ED2">
        <w:rPr>
          <w:rFonts w:ascii="Cambria Math" w:hAnsi="Cambria Math" w:cs="Cambria Math"/>
          <w:bCs/>
          <w:sz w:val="24"/>
          <w:szCs w:val="24"/>
        </w:rPr>
        <w:instrText>∼</w:instrText>
      </w:r>
      <w:r w:rsidR="007A3303" w:rsidRPr="00165ED2">
        <w:rPr>
          <w:rFonts w:ascii="Times New Roman" w:hAnsi="Times New Roman" w:cs="Times New Roman"/>
          <w:bCs/>
          <w:sz w:val="24"/>
          <w:szCs w:val="24"/>
        </w:rPr>
        <w:instrText xml:space="preserve"> 5× greater (P &lt; 0.01) than that above. Below CS V(O2) stabilized at a submaximal value (58.5 ± 2.5 ml kg(-1) min(-1)) whereas above CS (81.7 ± 2.5 ml kg(-1) min(-1)) increased to (84.0 ± 1.8 ml kg(-1) min(-1), P &gt; 0.05 vs. above CS). The 11 individual muscles or muscle parts that evidenced the greatest blood flow increases above, relative to below, CS were composed of ≥ 69% Type IIb/d/x muscle fibres. Moreover, there was a significant correlation (P &lt; 0.05, r = 0.42) between the increased blood flow above expressed relative to below CS and the percentage Type IIb/d/x fibres found in the individual muscles or muscle parts. These data validate the powerful CS construct in the rat and identify that running above CS, relative to below CS, incurs disproportionate blood flow increases (indicative of recruitment) in predominantly highly glycolytic muscle fibres.","container-title":"The Journal of Physiology","DOI":"10.1113/jphysiol.2010.198382","ISSN":"1469-7793","issue":"Pt 24","journalAbbreviation":"J. Physiol. (Lond.)","language":"eng","note":"PMID: 20962004\nPMCID: PMC3036198","page":"5077-5087","source":"PubMed","title":"Critical speed in the rat: implications for hindlimb muscle blood flow distribution and fibre recruitment","title-short":"Critical speed in the rat","volume":"588","author":[{"family":"Copp","given":"Steven W."},{"family":"Hirai","given":"Daniel M."},{"family":"Musch","given":"Timothy I."},{"family":"Poole","given":"David C."}],"issued":{"date-parts":[["2010",12,15]]}}},{"id":283,"uris":["http://zotero.org/users/5056530/items/QA3789B2"],"itemData":{"id":283,"type":"article-journal","abstract":"With the generation of mouse models of human cardiovascular or neuromuscular disorders, the development of noninvasive methods to evaluate the physiological responses to exercise presents an important challenge. The possibility for determining critical speed (CS) in the mouse model was examined according to strain (CD1, C57BL/6J, FVB/N) and sex. Sixty mice performed four exhaustive runs on a treadmill to determine their CS. Twenty-one performed an incremental test to determine the velocity at the lactate threshold. CS was significantly different between the strains (P &lt; 0.0001) but not between sexes. Two measures of heritability showed that CS was partially heritable. CS was not significantly different from lactate threshold velocity. We conclude that CS, which reflects the aerobic capacity, can be determined in mice, as in humans and horses. Considering the intrastrain variability, CS could represent a valuable means for designing an optimal and individualized physical training in mice.","container-title":"Journal of Applied Physiology (Bethesda, Md.: 1985)","DOI":"10.1152/japplphysiol.00991.2004","ISSN":"8750-7587","issue":"4","journalAbbreviation":"J. Appl. Physiol.","language":"eng","note":"PMID: 15542571","page":"1258-1263","source":"PubMed","title":"Inter- and intrastrain variation in mouse critical running speed","volume":"98","author":[{"family":"Billat","given":"Veronique L."},{"family":"Mouisel","given":"Etienne"},{"family":"Roblot","given":"Natacha"},{"family":"Melki","given":"Judith"}],"issued":{"date-parts":[["2005",4]]}}}],"schema":"https://github.com/citation-style-language/schema/raw/master/csl-citation.json"} </w:instrText>
      </w:r>
      <w:r w:rsidR="00AF566B" w:rsidRPr="00165ED2">
        <w:rPr>
          <w:rFonts w:ascii="Times New Roman" w:hAnsi="Times New Roman" w:cs="Times New Roman"/>
          <w:bCs/>
          <w:sz w:val="24"/>
          <w:szCs w:val="24"/>
        </w:rPr>
        <w:fldChar w:fldCharType="separate"/>
      </w:r>
      <w:r w:rsidR="007A3303" w:rsidRPr="00165ED2">
        <w:rPr>
          <w:rFonts w:ascii="Times New Roman" w:hAnsi="Times New Roman" w:cs="Times New Roman"/>
          <w:sz w:val="24"/>
          <w:szCs w:val="24"/>
        </w:rPr>
        <w:t>[22–26]</w:t>
      </w:r>
      <w:r w:rsidR="00AF566B" w:rsidRPr="00165ED2">
        <w:rPr>
          <w:rFonts w:ascii="Times New Roman" w:hAnsi="Times New Roman" w:cs="Times New Roman"/>
          <w:bCs/>
          <w:sz w:val="24"/>
          <w:szCs w:val="24"/>
        </w:rPr>
        <w:fldChar w:fldCharType="end"/>
      </w:r>
      <w:r w:rsidR="00AF566B" w:rsidRPr="00165ED2">
        <w:rPr>
          <w:rFonts w:ascii="Times New Roman" w:hAnsi="Times New Roman" w:cs="Times New Roman"/>
          <w:bCs/>
          <w:sz w:val="24"/>
          <w:szCs w:val="24"/>
        </w:rPr>
        <w:t xml:space="preserve"> </w:t>
      </w:r>
      <w:r w:rsidR="00C153E3" w:rsidRPr="00165ED2">
        <w:rPr>
          <w:rFonts w:ascii="Times New Roman" w:hAnsi="Times New Roman" w:cs="Times New Roman"/>
          <w:bCs/>
          <w:sz w:val="24"/>
          <w:szCs w:val="24"/>
        </w:rPr>
        <w:t>and mode of exercise</w:t>
      </w:r>
      <w:r w:rsidR="00D33468" w:rsidRPr="00165ED2">
        <w:rPr>
          <w:rFonts w:ascii="Times New Roman" w:hAnsi="Times New Roman" w:cs="Times New Roman"/>
          <w:bCs/>
          <w:sz w:val="24"/>
          <w:szCs w:val="24"/>
        </w:rPr>
        <w:t xml:space="preserve"> (with appropriate units of force, torque or velocity</w:t>
      </w:r>
      <w:r w:rsidR="00AF566B" w:rsidRPr="00165ED2">
        <w:rPr>
          <w:rFonts w:ascii="Times New Roman" w:hAnsi="Times New Roman" w:cs="Times New Roman"/>
          <w:bCs/>
          <w:sz w:val="24"/>
          <w:szCs w:val="24"/>
        </w:rPr>
        <w:t xml:space="preserve">, </w:t>
      </w:r>
      <w:r w:rsidR="00AF566B" w:rsidRPr="00165ED2">
        <w:rPr>
          <w:rFonts w:ascii="Times New Roman" w:hAnsi="Times New Roman" w:cs="Times New Roman"/>
          <w:bCs/>
          <w:sz w:val="24"/>
          <w:szCs w:val="24"/>
        </w:rPr>
        <w:fldChar w:fldCharType="begin"/>
      </w:r>
      <w:r w:rsidR="007A3303" w:rsidRPr="00165ED2">
        <w:rPr>
          <w:rFonts w:ascii="Times New Roman" w:hAnsi="Times New Roman" w:cs="Times New Roman"/>
          <w:bCs/>
          <w:sz w:val="24"/>
          <w:szCs w:val="24"/>
        </w:rPr>
        <w:instrText xml:space="preserve"> ADDIN ZOTERO_ITEM CSL_CITATION {"citationID":"JiPxGCZb","properties":{"formattedCitation":"[15,27\\uc0\\u8211{}30]","plainCitation":"[15,27–30]","noteIndex":0},"citationItems":[{"id":277,"uris":["http://zotero.org/users/5056530/items/W4WQ58MJ"],"itemData":{"id":277,"type":"article-journal","abstract":"We tested the hypothesis that the asymptote of the hyperbolic relationship between work rate and time to exhaustion during muscular exercise, the \"critical power\" (CP), represents the highest constant work rate that can be sustained without a progressive loss of homeostasis [as assessed using (31)P magnetic resonance spectroscopy (MRS) measurements of muscle metabolites]. Six healthy male subjects initially completed single-leg knee-extension exercise at three to four different constant work rates to the limit of tolerance (range 3-18 min) for estimation of the CP (mean +/- SD, 20 +/- 2 W). Subsequently, the subjects exercised at work rates 10% below CP (&lt;CP) for 20 min and 10% above CP (&gt;CP) for as long as possible, while the metabolic responses in the contracting quadriceps muscle, i.e., phosphorylcreatine concentration ([PCr]), P(i) concentration ([P(i)]), and pH, were estimated using (31)P-MRS. All subjects completed 20 min of &lt;CP exercise without duress, whereas the limit of tolerance during &gt;CP exercise was 14.7 +/- 7.1 min. During &lt;CP exercise, stable values for [PCr], [P(i)], and pH were attained within 3 min after the onset of exercise, and there were no further significant changes in these variables (end-exercise values = 68 +/- 11% of baseline [PCr], 314 +/- 216% of baseline [P(i)], and pH 7.01 +/- 0.03). During &gt;CP exercise, however, [PCr] continued to fall to the point of exhaustion and [P(i)] and pH changed precipitously to values that are typically observed at the termination of high-intensity exhaustive exercise (end-exercise values = 26 +/- 16% of baseline [PCr], 564 +/- 167% of baseline [P(i)], and pH 6.87 +/- 0.10, all P &lt; 0.05 vs. &lt;CP exercise). These data support the hypothesis that the CP represents the highest constant work rate that can be sustained without a progressive depletion of muscle high-energy phosphates and a rapid accumulation of metabolites (i.e., H(+) concentration and [P(i)]), which have been associated with the fatigue process.","container-title":"American Journal of Physiology. Regulatory, Integrative and Comparative Physiology","DOI":"10.1152/ajpregu.00731.2007","ISSN":"0363-6119","issue":"2","journalAbbreviation":"Am. J. Physiol. Regul. Integr. Comp. Physiol.","language":"eng","note":"PMID: 18056980","page":"R585-593","source":"PubMed","title":"Muscle metabolic responses to exercise above and below the \"critical power\" assessed using 31P-MRS","volume":"294","author":[{"family":"Jones","given":"Andrew M."},{"family":"Wilkerson","given":"Daryl P."},{"family":"DiMenna","given":"Fred"},{"family":"Fulford","given":"Jonathan"},{"family":"Poole","given":"David C."}],"issued":{"date-parts":[["2008",2]]}}},{"id":279,"uris":["http://zotero.org/users/5056530/items/6UP964PU"],"itemData":{"id":279,"type":"article-journal","abstract":"To determine whether the asymptote of the torque-duration relationship (critical torque) could be estimated from the torque measured at the end of a series of maximal voluntary contractions (MVCs) of the quadriceps, eight healthy men performed eight laboratory tests. Following familiarization, subjects performed two tests in which they were required to perform 60 isometric MVCs over a period of 5 min (3 s contraction, 2 s rest), and five tests involving intermittent isometric contractions at approximately 35-60% MVC, each performed to task failure. Critical torque was determined using linear regression of the torque impulse and contraction time during the submaximal tests, and the end-test torque during the MVCs was calculated from the mean of the last six contractions of the test. During the MVCs voluntary torque declined from 263.9 +/- 44.6 to 77.8 +/- 17.8 N x m. The end-test torque was not different from the critical torque (77.9 +/- 15.9 N x m; 95% paired-sample confidence interval, -6.5 to 6.2 N x m). The root mean squared error of the estimation of critical torque from the end-test torque was 7.1 N x m. Twitch interpolation showed that voluntary activation declined from 90.9 +/- 6.5% to 66.9 +/- 13.1% (P &lt; 0.001), and the potentiated doublet response declined from 97.7 +/- 23.0 to 46.9 +/- 6.7 N.m (P &lt; 0.001) during the MVCs, indicating the development of both central and peripheral fatigue. These data indicate that fatigue during 5 min of intermittent isometric MVCs of the quadriceps leads to an end-test torque that closely approximates the critical torque.","container-title":"Journal of Applied Physiology (Bethesda, Md.: 1985)","DOI":"10.1152/japplphysiol.91474.2008","ISSN":"8750-7587","issue":"3","journalAbbreviation":"J. Appl. Physiol.","language":"eng","note":"PMID: 19150854","page":"975-983","source":"PubMed","title":"Estimation of critical torque using intermittent isometric maximal voluntary contractions of the quadriceps in humans","volume":"106","author":[{"family":"Burnley","given":"Mark"}],"issued":{"date-parts":[["2009",3]]}}},{"id":1115,"uris":["http://zotero.org/users/5056530/items/B895F8PG"],"itemData":{"id":1115,"type":"article-journal","abstract":"INTRODUCTION: Critical speed (CS) represents the highest intensity at which a physiological steady state may be reached. The aim of this study was to evaluate whether estimations of CS obtained from raw training data can predict performance and pacing in marathons.\nMETHODS: We investigated running activities logged into an online fitness platform by &gt;25,000 runners prior to big-city marathons. Each activity contained time, distance, and elevation every 100 m. We computed grade-adjusted pacing and the fastest pace recorded for a set of target distances (400, 800, 1000, 1500, 3000, 5000 m). CS was determined as the slope of the distance-time relationship using all combinations of, at least, three target distances.\nRESULTS: The relationship between distance and time was linear, irrespective of the target distances used (pooled mean ± standard deviation: R = 0.9999±0.0001). The estimated values of CS from all models were not different (3.74±0.08 m·s), and all models correlated with marathon performance (R = 0.672±0.036, error = 8.01±0.51%). CS from the model including 400, 800 and 5000 m best predicted performance (R = 0.695, error = 7.67%), and was used in further analysis. Runners completed the marathon at 84.8±13.6% CS, with faster runners competing at speeds closer to CS (93.0% CS for 150 min marathon times vs. 78.9% CS for 360 min marathon times). Runners who completed the first half of the marathon at &gt;94% of their CS, and particularly faster than CS, were more likely slowdown by more than 25% in the second half of race.\nCONCLUSION: This study suggests that estimations of CS from raw training data can successfully predict marathon performance and provide useful pacing information.","container-title":"Medicine and Science in Sports and Exercise","DOI":"10.1249/MSS.0000000000002412","ISSN":"1530-0315","journalAbbreviation":"Med Sci Sports Exerc","language":"eng","note":"PMID: 32472926","source":"PubMed","title":"Calculation of Critical Speed from Raw Training Data in Recreational Marathon Runners","author":[{"family":"Smyth","given":"Barry"},{"family":"Muniz-Pumares","given":"Daniel"}],"issued":{"date-parts":[["2020",5,27]]}}},{"id":551,"uris":["http://zotero.org/users/5056530/items/NVQW6QUB"],"itemData":{"id":551,"type":"article-journal","abstract":"In cycle exercise, it has been suggested that critical power, maximal lactate steady state, and lactate turnpoint all demarcate the transition between the heavy exercise domain (in which blood lactate is elevated above resting values but remains stable over time) and the very heavy exercise domain (in which blood lactate increases continuously throughout constant-intensity exercise). The purpose of the present study was to assess the level of agreement between critical velocity (CV), maximal lactate steady-state velocity (MLSSV), and lactate turnpoint velocity (LTPV) during treadmill running. Eight male subjects [mean (SD) age 28 (5) years, body mass 71.2 (8.0) kg, maximum oxygen uptake 54.9 (3.2) ml.kg(-1).min(-1)) performed an incremental treadmill test for the determination of LTPV (defined as a sudden and sustained increase in blood lactate concentration ([La]) at approximately equals 2.0-5.0 mM). The subjects returned to the laboratory on eight or nine occasions for the determination of CV and MLSSV. The CV was determined from four treadmill runs at velocities that were chosen to result in exhaustion within 2-12 min. The MLSSV was determined from four or five treadmill runs of up to 30 min duration and defined as the highest velocity at which blood [La] increased by no more than 1.0 mM after between 10 and 30 min of exercise. Analysis of variance revealed no significant differences between [mean (SD)] CV [14.4 (1.1) km.h(-1)], MLSSV [13.8 (1.1) km.h(-1)] and LTPV [13.7 (0.6) km.h(-1)]. However, the bias +/-95% limits of agreement for comparisons between CV and MLSSV [0.6 (2.2) km.h(-1)], CV and LTPV [0.7 (2.7) km.h(-1)], and MLSSV and LTPV [0.1 (1.8) km.h(-1)] suggest that the extent of disagreement is too great to allow one variable to be estimated accurately from another in individual subjects. Direct determination of MLSSV is necessary if precision is required in experimental studies.","container-title":"European Journal of Applied Physiology","DOI":"10.1007/s004210100384","ISSN":"1439-6319","issue":"1-2","journalAbbreviation":"Eur. J. Appl. Physiol.","language":"eng","note":"PMID: 11513315","page":"19-26","source":"PubMed","title":"The relationship between critical velocity, maximal lactate steady-state velocity and lactate turnpoint velocity in runners","volume":"85","author":[{"family":"Smith","given":"C. G."},{"family":"Jones","given":"A. M."}],"issued":{"date-parts":[["2001",7]]}}},{"id":189,"uris":["http://zotero.org/users/5056530/items/RREP6Q93"],"itemData":{"id":189,"type":"article-journal","abstract":"The purpose of this investigation was to test whether the concept of critical power used in previous studies could be applied to the field of competitive swimming as critical swimming velocity (vcrit). The vcrit, defined as the swimming velocity over a very long period of time without exhaustion, was expressed as the slope of a straight line between swimming distance (dlim) at each speed (with six predetermined speeds) and the duration (tlim). Nine trained college swimmers underwent tests in a swimming flume to measure vcrit at those velocities until the onset of fatigue. A regression analysis of dlim on tlim calculated for each swimmer showed linear relationships (r2 greater than 0.998, P less than 0.01), and the slope coefficient signifying vcrit ranged from 1.062 to 1.262 m.s-1 with a mean of 1.166 (SD 0.052) m.s-1. Maximal oxygen consumption (VO2max), oxygen consumption (VO2) at anaerobic threshold, and the swimming also velocity at the onset of blood lactate accumulation (vOBLA) were also determined during the incremental swimming test. The vcrit showed significant positive correlations with VO2 at anaerobic threshold (r = 0.818, P less than 0.01), vOBLA (r = 0.949, P less than 0.01) and mean velocity of 400 m freestyle (r = 0.864, P less than 0.01). These data suggested that vcrit could be adopted as an index of endurance performance in competitive swimmers.","container-title":"European Journal of Applied Physiology and Occupational Physiology","ISSN":"0301-5548","issue":"2","journalAbbreviation":"Eur J Appl Physiol Occup Physiol","language":"eng","note":"PMID: 1555562","page":"153-157","source":"PubMed","title":"Determination and validity of critical velocity as an index of swimming performance in the competitive swimmer","volume":"64","author":[{"family":"Wakayoshi","given":"K."},{"family":"Ikuta","given":"K."},{"family":"Yoshida","given":"T."},{"family":"Udo","given":"M."},{"family":"Moritani","given":"T."},{"family":"Mutoh","given":"Y."},{"family":"Miyashita","given":"M."}],"issued":{"date-parts":[["1992"]]}}}],"schema":"https://github.com/citation-style-language/schema/raw/master/csl-citation.json"} </w:instrText>
      </w:r>
      <w:r w:rsidR="00AF566B" w:rsidRPr="00165ED2">
        <w:rPr>
          <w:rFonts w:ascii="Times New Roman" w:hAnsi="Times New Roman" w:cs="Times New Roman"/>
          <w:bCs/>
          <w:sz w:val="24"/>
          <w:szCs w:val="24"/>
        </w:rPr>
        <w:fldChar w:fldCharType="separate"/>
      </w:r>
      <w:r w:rsidR="007A3303" w:rsidRPr="00165ED2">
        <w:rPr>
          <w:rFonts w:ascii="Times New Roman" w:hAnsi="Times New Roman" w:cs="Times New Roman"/>
          <w:sz w:val="24"/>
          <w:szCs w:val="24"/>
        </w:rPr>
        <w:t>[15,27–30]</w:t>
      </w:r>
      <w:r w:rsidR="00AF566B" w:rsidRPr="00165ED2">
        <w:rPr>
          <w:rFonts w:ascii="Times New Roman" w:hAnsi="Times New Roman" w:cs="Times New Roman"/>
          <w:bCs/>
          <w:sz w:val="24"/>
          <w:szCs w:val="24"/>
        </w:rPr>
        <w:fldChar w:fldCharType="end"/>
      </w:r>
      <w:r w:rsidR="00D33468" w:rsidRPr="00165ED2">
        <w:rPr>
          <w:rFonts w:ascii="Times New Roman" w:hAnsi="Times New Roman" w:cs="Times New Roman"/>
          <w:bCs/>
          <w:sz w:val="24"/>
          <w:szCs w:val="24"/>
        </w:rPr>
        <w:t>)</w:t>
      </w:r>
      <w:r w:rsidR="00C153E3" w:rsidRPr="00165ED2">
        <w:rPr>
          <w:rFonts w:ascii="Times New Roman" w:hAnsi="Times New Roman" w:cs="Times New Roman"/>
          <w:bCs/>
          <w:sz w:val="24"/>
          <w:szCs w:val="24"/>
        </w:rPr>
        <w:t xml:space="preserve"> in which it ha</w:t>
      </w:r>
      <w:r w:rsidR="00AF566B" w:rsidRPr="00165ED2">
        <w:rPr>
          <w:rFonts w:ascii="Times New Roman" w:hAnsi="Times New Roman" w:cs="Times New Roman"/>
          <w:bCs/>
          <w:sz w:val="24"/>
          <w:szCs w:val="24"/>
        </w:rPr>
        <w:t>s been studied</w:t>
      </w:r>
      <w:r w:rsidR="00C153E3" w:rsidRPr="00165ED2">
        <w:rPr>
          <w:rFonts w:ascii="Times New Roman" w:hAnsi="Times New Roman" w:cs="Times New Roman"/>
          <w:bCs/>
          <w:sz w:val="24"/>
          <w:szCs w:val="24"/>
        </w:rPr>
        <w:t>. This relationship can also be converted to its linear equivalents, either with work plotted against time:</w:t>
      </w:r>
    </w:p>
    <w:p w14:paraId="105F9FFC" w14:textId="5C168746" w:rsidR="00C153E3" w:rsidRPr="00165ED2" w:rsidRDefault="00C153E3" w:rsidP="00F81405">
      <w:pPr>
        <w:spacing w:line="480" w:lineRule="auto"/>
        <w:ind w:firstLine="720"/>
        <w:jc w:val="both"/>
        <w:rPr>
          <w:rFonts w:ascii="Times New Roman" w:hAnsi="Times New Roman" w:cs="Times New Roman"/>
          <w:bCs/>
          <w:sz w:val="24"/>
          <w:szCs w:val="24"/>
        </w:rPr>
      </w:pPr>
      <m:oMathPara>
        <m:oMath>
          <m:r>
            <w:rPr>
              <w:rFonts w:ascii="Cambria Math" w:hAnsi="Cambria Math" w:cs="Times New Roman"/>
              <w:sz w:val="24"/>
              <w:szCs w:val="24"/>
            </w:rPr>
            <m:t>W=CP∙T+W'</m:t>
          </m:r>
        </m:oMath>
      </m:oMathPara>
    </w:p>
    <w:p w14:paraId="64EC2D01" w14:textId="36B1A86C" w:rsidR="00C153E3" w:rsidRPr="00165ED2" w:rsidRDefault="00C153E3" w:rsidP="00F81405">
      <w:pPr>
        <w:spacing w:line="480" w:lineRule="auto"/>
        <w:ind w:firstLine="720"/>
        <w:jc w:val="both"/>
        <w:rPr>
          <w:rFonts w:ascii="Times New Roman" w:hAnsi="Times New Roman" w:cs="Times New Roman"/>
          <w:bCs/>
          <w:sz w:val="24"/>
          <w:szCs w:val="24"/>
        </w:rPr>
      </w:pPr>
      <w:r w:rsidRPr="00165ED2">
        <w:rPr>
          <w:rFonts w:ascii="Times New Roman" w:hAnsi="Times New Roman" w:cs="Times New Roman"/>
          <w:bCs/>
          <w:sz w:val="24"/>
          <w:szCs w:val="24"/>
        </w:rPr>
        <w:t xml:space="preserve">Where </w:t>
      </w:r>
      <w:r w:rsidR="00C83C72" w:rsidRPr="00165ED2">
        <w:rPr>
          <w:rFonts w:ascii="Times New Roman" w:hAnsi="Times New Roman" w:cs="Times New Roman"/>
          <w:bCs/>
          <w:sz w:val="24"/>
          <w:szCs w:val="24"/>
        </w:rPr>
        <w:t xml:space="preserve">W is work, </w:t>
      </w:r>
      <w:r w:rsidRPr="00165ED2">
        <w:rPr>
          <w:rFonts w:ascii="Times New Roman" w:hAnsi="Times New Roman" w:cs="Times New Roman"/>
          <w:bCs/>
          <w:sz w:val="24"/>
          <w:szCs w:val="24"/>
        </w:rPr>
        <w:t xml:space="preserve">CP the slope and </w:t>
      </w:r>
      <w:r w:rsidRPr="00165ED2">
        <w:rPr>
          <w:rFonts w:ascii="Times New Roman" w:hAnsi="Times New Roman" w:cs="Times New Roman"/>
          <w:bCs/>
          <w:i/>
          <w:iCs/>
          <w:sz w:val="24"/>
          <w:szCs w:val="24"/>
        </w:rPr>
        <w:t>W</w:t>
      </w:r>
      <w:r w:rsidR="000B05E0" w:rsidRPr="00165ED2">
        <w:rPr>
          <w:rFonts w:ascii="Times New Roman" w:eastAsia="MS Mincho" w:hAnsi="Times New Roman" w:cs="Times New Roman"/>
          <w:bCs/>
          <w:sz w:val="24"/>
          <w:szCs w:val="24"/>
        </w:rPr>
        <w:t>'</w:t>
      </w:r>
      <w:r w:rsidRPr="00165ED2">
        <w:rPr>
          <w:rFonts w:ascii="Times New Roman" w:hAnsi="Times New Roman" w:cs="Times New Roman"/>
          <w:bCs/>
          <w:sz w:val="24"/>
          <w:szCs w:val="24"/>
        </w:rPr>
        <w:t xml:space="preserve"> the intercept</w:t>
      </w:r>
      <w:r w:rsidR="005A113D" w:rsidRPr="00165ED2">
        <w:rPr>
          <w:rFonts w:ascii="Times New Roman" w:hAnsi="Times New Roman" w:cs="Times New Roman"/>
          <w:bCs/>
          <w:sz w:val="24"/>
          <w:szCs w:val="24"/>
        </w:rPr>
        <w:t xml:space="preserve"> of the equation</w:t>
      </w:r>
      <w:r w:rsidRPr="00165ED2">
        <w:rPr>
          <w:rFonts w:ascii="Times New Roman" w:hAnsi="Times New Roman" w:cs="Times New Roman"/>
          <w:bCs/>
          <w:sz w:val="24"/>
          <w:szCs w:val="24"/>
        </w:rPr>
        <w:t>, or with power plotted against the inverse of time:</w:t>
      </w:r>
    </w:p>
    <w:p w14:paraId="78368A1C" w14:textId="08447FA3" w:rsidR="00C83C72" w:rsidRPr="00165ED2" w:rsidRDefault="00C83C72" w:rsidP="00F81405">
      <w:pPr>
        <w:spacing w:line="48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P=W' ∙</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e>
          </m:d>
          <m:r>
            <w:rPr>
              <w:rFonts w:ascii="Cambria Math" w:hAnsi="Cambria Math" w:cs="Times New Roman"/>
              <w:sz w:val="24"/>
              <w:szCs w:val="24"/>
            </w:rPr>
            <m:t>+CP</m:t>
          </m:r>
        </m:oMath>
      </m:oMathPara>
    </w:p>
    <w:p w14:paraId="46E14AA9" w14:textId="4B50B1E4" w:rsidR="00AB1966" w:rsidRPr="00165ED2" w:rsidRDefault="00AB1966" w:rsidP="00AB1966">
      <w:pPr>
        <w:spacing w:line="480" w:lineRule="auto"/>
        <w:ind w:firstLine="720"/>
        <w:jc w:val="center"/>
        <w:rPr>
          <w:rFonts w:ascii="Times New Roman" w:hAnsi="Times New Roman" w:cs="Times New Roman"/>
          <w:bCs/>
          <w:sz w:val="24"/>
          <w:szCs w:val="24"/>
        </w:rPr>
      </w:pPr>
      <w:r w:rsidRPr="00165ED2">
        <w:rPr>
          <w:rFonts w:ascii="Times New Roman" w:eastAsiaTheme="minorEastAsia" w:hAnsi="Times New Roman" w:cs="Times New Roman"/>
          <w:sz w:val="24"/>
          <w:szCs w:val="24"/>
        </w:rPr>
        <w:t>or</w:t>
      </w:r>
    </w:p>
    <w:p w14:paraId="1466ED3E" w14:textId="439C2B74" w:rsidR="00C153E3" w:rsidRPr="00165ED2" w:rsidRDefault="00AB1966" w:rsidP="00AB1966">
      <w:pPr>
        <w:spacing w:line="48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/T +CP</m:t>
          </m:r>
        </m:oMath>
      </m:oMathPara>
    </w:p>
    <w:p w14:paraId="37A32812" w14:textId="0B61CC33" w:rsidR="00BA5189" w:rsidRPr="00165ED2" w:rsidRDefault="000B05E0" w:rsidP="00BA5189">
      <w:pPr>
        <w:spacing w:line="480" w:lineRule="auto"/>
        <w:jc w:val="both"/>
        <w:rPr>
          <w:rFonts w:ascii="Times New Roman" w:hAnsi="Times New Roman" w:cs="Times New Roman"/>
          <w:bCs/>
          <w:sz w:val="24"/>
          <w:szCs w:val="24"/>
        </w:rPr>
      </w:pPr>
      <w:r w:rsidRPr="00165ED2">
        <w:rPr>
          <w:rFonts w:ascii="Times New Roman" w:hAnsi="Times New Roman" w:cs="Times New Roman"/>
          <w:bCs/>
          <w:sz w:val="24"/>
          <w:szCs w:val="24"/>
        </w:rPr>
        <w:t>Where CP is the intercept and W</w:t>
      </w:r>
      <w:r w:rsidRPr="00165ED2">
        <w:rPr>
          <w:rFonts w:ascii="Times New Roman" w:eastAsia="MS Mincho" w:hAnsi="Times New Roman" w:cs="Times New Roman"/>
          <w:bCs/>
          <w:sz w:val="24"/>
          <w:szCs w:val="24"/>
        </w:rPr>
        <w:t>'</w:t>
      </w:r>
      <w:r w:rsidR="00C153E3" w:rsidRPr="00165ED2">
        <w:rPr>
          <w:rFonts w:ascii="Times New Roman" w:hAnsi="Times New Roman" w:cs="Times New Roman"/>
          <w:bCs/>
          <w:sz w:val="24"/>
          <w:szCs w:val="24"/>
        </w:rPr>
        <w:t xml:space="preserve"> is the slope of the </w:t>
      </w:r>
      <w:r w:rsidR="005A113D" w:rsidRPr="00165ED2">
        <w:rPr>
          <w:rFonts w:ascii="Times New Roman" w:hAnsi="Times New Roman" w:cs="Times New Roman"/>
          <w:bCs/>
          <w:sz w:val="24"/>
          <w:szCs w:val="24"/>
        </w:rPr>
        <w:t>equation</w:t>
      </w:r>
      <w:r w:rsidR="00C153E3" w:rsidRPr="00165ED2">
        <w:rPr>
          <w:rFonts w:ascii="Times New Roman" w:hAnsi="Times New Roman" w:cs="Times New Roman"/>
          <w:bCs/>
          <w:sz w:val="24"/>
          <w:szCs w:val="24"/>
        </w:rPr>
        <w:t>.</w:t>
      </w:r>
      <w:r w:rsidR="00D33468" w:rsidRPr="00165ED2">
        <w:rPr>
          <w:rFonts w:ascii="Times New Roman" w:hAnsi="Times New Roman" w:cs="Times New Roman"/>
          <w:bCs/>
          <w:sz w:val="24"/>
          <w:szCs w:val="24"/>
        </w:rPr>
        <w:t xml:space="preserve"> </w:t>
      </w:r>
    </w:p>
    <w:p w14:paraId="4A221D18" w14:textId="0BD9F66A" w:rsidR="00226EAD" w:rsidRPr="00165ED2" w:rsidRDefault="00D84351" w:rsidP="0097229B">
      <w:pPr>
        <w:spacing w:line="480" w:lineRule="auto"/>
        <w:ind w:firstLine="720"/>
        <w:jc w:val="both"/>
        <w:rPr>
          <w:rFonts w:ascii="Times New Roman" w:eastAsia="MS Mincho" w:hAnsi="Times New Roman" w:cs="Times New Roman"/>
          <w:bCs/>
          <w:sz w:val="24"/>
          <w:szCs w:val="24"/>
          <w:lang w:val="en-US"/>
        </w:rPr>
      </w:pPr>
      <w:r w:rsidRPr="00165ED2">
        <w:rPr>
          <w:rFonts w:ascii="Times New Roman" w:hAnsi="Times New Roman" w:cs="Times New Roman"/>
          <w:bCs/>
          <w:sz w:val="24"/>
          <w:szCs w:val="24"/>
        </w:rPr>
        <w:t>Since the seminal work by Professor David Poole and colleagues in the late 1980’s, it has been repeatedly demonstrated that CP reflect</w:t>
      </w:r>
      <w:r w:rsidR="00065397" w:rsidRPr="00165ED2">
        <w:rPr>
          <w:rFonts w:ascii="Times New Roman" w:hAnsi="Times New Roman" w:cs="Times New Roman"/>
          <w:bCs/>
          <w:sz w:val="24"/>
          <w:szCs w:val="24"/>
        </w:rPr>
        <w:t>s</w:t>
      </w:r>
      <w:r w:rsidRPr="00165ED2">
        <w:rPr>
          <w:rFonts w:ascii="Times New Roman" w:hAnsi="Times New Roman" w:cs="Times New Roman"/>
          <w:bCs/>
          <w:sz w:val="24"/>
          <w:szCs w:val="24"/>
        </w:rPr>
        <w:t xml:space="preserve"> the upper limit at which a metabolic steady </w:t>
      </w:r>
      <w:r w:rsidRPr="00165ED2">
        <w:rPr>
          <w:rFonts w:ascii="Times New Roman" w:hAnsi="Times New Roman" w:cs="Times New Roman"/>
          <w:bCs/>
          <w:sz w:val="24"/>
          <w:szCs w:val="24"/>
        </w:rPr>
        <w:lastRenderedPageBreak/>
        <w:t xml:space="preserve">state can be sustained. </w:t>
      </w:r>
      <w:r w:rsidR="00960B8E" w:rsidRPr="00165ED2">
        <w:rPr>
          <w:rFonts w:ascii="Times New Roman" w:hAnsi="Times New Roman" w:cs="Times New Roman"/>
          <w:bCs/>
          <w:sz w:val="24"/>
          <w:szCs w:val="24"/>
        </w:rPr>
        <w:t xml:space="preserve">The basis for this has been the ubiquity of steady state behaviour of </w:t>
      </w:r>
      <w:r w:rsidR="00BA5189" w:rsidRPr="00165ED2">
        <w:rPr>
          <w:rFonts w:ascii="Times New Roman" w:hAnsi="Times New Roman" w:cs="Times New Roman"/>
          <w:bCs/>
          <w:sz w:val="24"/>
          <w:szCs w:val="24"/>
        </w:rPr>
        <w:t>metabolic variables</w:t>
      </w:r>
      <w:r w:rsidR="00960B8E" w:rsidRPr="00165ED2">
        <w:rPr>
          <w:rFonts w:ascii="Times New Roman" w:hAnsi="Times New Roman" w:cs="Times New Roman"/>
          <w:bCs/>
          <w:sz w:val="24"/>
          <w:szCs w:val="24"/>
        </w:rPr>
        <w:t xml:space="preserve"> associated with aerobic function below</w:t>
      </w:r>
      <w:r w:rsidR="00BA5189" w:rsidRPr="00165ED2">
        <w:rPr>
          <w:rFonts w:ascii="Times New Roman" w:hAnsi="Times New Roman" w:cs="Times New Roman"/>
          <w:bCs/>
          <w:sz w:val="24"/>
          <w:szCs w:val="24"/>
        </w:rPr>
        <w:t>, but not above</w:t>
      </w:r>
      <w:r w:rsidR="00960B8E" w:rsidRPr="00165ED2">
        <w:rPr>
          <w:rFonts w:ascii="Times New Roman" w:hAnsi="Times New Roman" w:cs="Times New Roman"/>
          <w:bCs/>
          <w:sz w:val="24"/>
          <w:szCs w:val="24"/>
        </w:rPr>
        <w:t xml:space="preserve"> CP. For </w:t>
      </w:r>
      <w:r w:rsidR="00226EAD" w:rsidRPr="00165ED2">
        <w:rPr>
          <w:rFonts w:ascii="Times New Roman" w:hAnsi="Times New Roman" w:cs="Times New Roman"/>
          <w:bCs/>
          <w:sz w:val="24"/>
          <w:szCs w:val="24"/>
        </w:rPr>
        <w:t>example,</w:t>
      </w:r>
      <w:r w:rsidR="00960B8E" w:rsidRPr="00165ED2">
        <w:rPr>
          <w:rFonts w:ascii="Times New Roman" w:hAnsi="Times New Roman" w:cs="Times New Roman"/>
          <w:bCs/>
          <w:sz w:val="24"/>
          <w:szCs w:val="24"/>
        </w:rPr>
        <w:t xml:space="preserve">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960B8E" w:rsidRPr="00165ED2">
        <w:rPr>
          <w:rFonts w:ascii="Times New Roman" w:eastAsiaTheme="minorEastAsia" w:hAnsi="Times New Roman" w:cs="Times New Roman"/>
          <w:bCs/>
          <w:sz w:val="24"/>
          <w:szCs w:val="24"/>
        </w:rPr>
        <w:t>O</w:t>
      </w:r>
      <w:r w:rsidR="00960B8E" w:rsidRPr="00165ED2">
        <w:rPr>
          <w:rFonts w:ascii="Times New Roman" w:eastAsiaTheme="minorEastAsia" w:hAnsi="Times New Roman" w:cs="Times New Roman"/>
          <w:bCs/>
          <w:sz w:val="24"/>
          <w:szCs w:val="24"/>
          <w:vertAlign w:val="subscript"/>
        </w:rPr>
        <w:t xml:space="preserve">2 </w:t>
      </w:r>
      <w:r w:rsidR="00960B8E" w:rsidRPr="00165ED2">
        <w:rPr>
          <w:rFonts w:ascii="Times New Roman" w:hAnsi="Times New Roman" w:cs="Times New Roman"/>
          <w:bCs/>
          <w:sz w:val="24"/>
          <w:szCs w:val="24"/>
        </w:rPr>
        <w:t xml:space="preserve">rises to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960B8E" w:rsidRPr="00165ED2">
        <w:rPr>
          <w:rFonts w:ascii="Times New Roman" w:eastAsiaTheme="minorEastAsia" w:hAnsi="Times New Roman" w:cs="Times New Roman"/>
          <w:bCs/>
          <w:sz w:val="24"/>
          <w:szCs w:val="24"/>
        </w:rPr>
        <w:t>O</w:t>
      </w:r>
      <w:r w:rsidR="00960B8E" w:rsidRPr="00165ED2">
        <w:rPr>
          <w:rFonts w:ascii="Times New Roman" w:eastAsiaTheme="minorEastAsia" w:hAnsi="Times New Roman" w:cs="Times New Roman"/>
          <w:bCs/>
          <w:sz w:val="24"/>
          <w:szCs w:val="24"/>
          <w:vertAlign w:val="subscript"/>
        </w:rPr>
        <w:t xml:space="preserve">2max </w:t>
      </w:r>
      <w:r w:rsidR="00960B8E" w:rsidRPr="00165ED2">
        <w:rPr>
          <w:rFonts w:ascii="Times New Roman" w:hAnsi="Times New Roman" w:cs="Times New Roman"/>
          <w:bCs/>
          <w:sz w:val="24"/>
          <w:szCs w:val="24"/>
        </w:rPr>
        <w:t xml:space="preserve">during exercise above, but not at or below, CP </w:t>
      </w:r>
      <w:r w:rsidR="00BA5189" w:rsidRPr="00165ED2">
        <w:rPr>
          <w:rFonts w:ascii="Times New Roman" w:hAnsi="Times New Roman" w:cs="Times New Roman"/>
          <w:bCs/>
          <w:sz w:val="24"/>
          <w:szCs w:val="24"/>
        </w:rPr>
        <w:fldChar w:fldCharType="begin"/>
      </w:r>
      <w:r w:rsidR="00BA5189" w:rsidRPr="00165ED2">
        <w:rPr>
          <w:rFonts w:ascii="Times New Roman" w:hAnsi="Times New Roman" w:cs="Times New Roman"/>
          <w:bCs/>
          <w:sz w:val="24"/>
          <w:szCs w:val="24"/>
        </w:rPr>
        <w:instrText xml:space="preserve"> ADDIN ZOTERO_ITEM CSL_CITATION {"citationID":"wwerP8cW","properties":{"formattedCitation":"[6]","plainCitation":"[6]","noteIndex":0},"citationItems":[{"id":275,"uris":["http://zotero.org/users/5056530/items/7VGP3WU2"],"itemData":{"id":275,"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J."}],"issued":{"date-parts":[["1988",9]]}}}],"schema":"https://github.com/citation-style-language/schema/raw/master/csl-citation.json"} </w:instrText>
      </w:r>
      <w:r w:rsidR="00BA5189" w:rsidRPr="00165ED2">
        <w:rPr>
          <w:rFonts w:ascii="Times New Roman" w:hAnsi="Times New Roman" w:cs="Times New Roman"/>
          <w:bCs/>
          <w:sz w:val="24"/>
          <w:szCs w:val="24"/>
        </w:rPr>
        <w:fldChar w:fldCharType="separate"/>
      </w:r>
      <w:r w:rsidR="00CD4112" w:rsidRPr="00165ED2">
        <w:rPr>
          <w:rFonts w:ascii="Times New Roman" w:hAnsi="Times New Roman" w:cs="Times New Roman"/>
          <w:sz w:val="24"/>
        </w:rPr>
        <w:t>[6]</w:t>
      </w:r>
      <w:r w:rsidR="00BA5189" w:rsidRPr="00165ED2">
        <w:rPr>
          <w:rFonts w:ascii="Times New Roman" w:hAnsi="Times New Roman" w:cs="Times New Roman"/>
          <w:bCs/>
          <w:sz w:val="24"/>
          <w:szCs w:val="24"/>
        </w:rPr>
        <w:fldChar w:fldCharType="end"/>
      </w:r>
      <w:r w:rsidR="00960B8E" w:rsidRPr="00165ED2">
        <w:rPr>
          <w:rFonts w:ascii="Times New Roman" w:hAnsi="Times New Roman" w:cs="Times New Roman"/>
          <w:bCs/>
          <w:sz w:val="24"/>
          <w:szCs w:val="24"/>
        </w:rPr>
        <w:t>, accompanied by similarly inexorable trajectories of blood [lactate], [HCO</w:t>
      </w:r>
      <w:r w:rsidR="00960B8E" w:rsidRPr="00165ED2">
        <w:rPr>
          <w:rFonts w:ascii="Times New Roman" w:hAnsi="Times New Roman" w:cs="Times New Roman"/>
          <w:bCs/>
          <w:sz w:val="24"/>
          <w:szCs w:val="24"/>
          <w:vertAlign w:val="subscript"/>
        </w:rPr>
        <w:t>3</w:t>
      </w:r>
      <w:r w:rsidR="00960B8E" w:rsidRPr="00165ED2">
        <w:rPr>
          <w:rFonts w:ascii="Times New Roman" w:hAnsi="Times New Roman" w:cs="Times New Roman"/>
          <w:bCs/>
          <w:sz w:val="24"/>
          <w:szCs w:val="24"/>
          <w:vertAlign w:val="superscript"/>
        </w:rPr>
        <w:t>-</w:t>
      </w:r>
      <w:r w:rsidR="00960B8E" w:rsidRPr="00165ED2">
        <w:rPr>
          <w:rFonts w:ascii="Times New Roman" w:hAnsi="Times New Roman" w:cs="Times New Roman"/>
          <w:bCs/>
          <w:sz w:val="24"/>
          <w:szCs w:val="24"/>
        </w:rPr>
        <w:t>]</w:t>
      </w:r>
      <w:r w:rsidR="00226EAD" w:rsidRPr="00165ED2">
        <w:rPr>
          <w:rFonts w:ascii="Times New Roman" w:hAnsi="Times New Roman" w:cs="Times New Roman"/>
          <w:bCs/>
          <w:sz w:val="24"/>
          <w:szCs w:val="24"/>
        </w:rPr>
        <w:t xml:space="preserve"> and pH </w:t>
      </w:r>
      <w:r w:rsidR="00BA5189" w:rsidRPr="00165ED2">
        <w:rPr>
          <w:rFonts w:ascii="Times New Roman" w:hAnsi="Times New Roman" w:cs="Times New Roman"/>
          <w:bCs/>
          <w:sz w:val="24"/>
          <w:szCs w:val="24"/>
        </w:rPr>
        <w:fldChar w:fldCharType="begin"/>
      </w:r>
      <w:r w:rsidR="007A3303" w:rsidRPr="00165ED2">
        <w:rPr>
          <w:rFonts w:ascii="Times New Roman" w:hAnsi="Times New Roman" w:cs="Times New Roman"/>
          <w:bCs/>
          <w:sz w:val="24"/>
          <w:szCs w:val="24"/>
        </w:rPr>
        <w:instrText xml:space="preserve"> ADDIN ZOTERO_ITEM CSL_CITATION {"citationID":"dHPTf9nQ","properties":{"formattedCitation":"[6,31]","plainCitation":"[6,31]","noteIndex":0},"citationItems":[{"id":275,"uris":["http://zotero.org/users/5056530/items/7VGP3WU2"],"itemData":{"id":275,"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J."}],"issued":{"date-parts":[["1988",9]]}}},{"id":274,"uris":["http://zotero.org/users/5056530/items/VNEUXIGT"],"itemData":{"id":274,"type":"article-journal","abstract":"KEY POINTS: The power-asymptote (critical power; CP) of the hyperbolic power-time relationship for high-intensity exercise defines a threshold between steady-state and non-steady-state exercise intensities and the curvature constant (W') indicates a fixed capacity for work &gt;CP that is related to a loss of muscular efficiency. The present study reports novel evidence on the muscle metabolic underpinnings of CP and W' during whole-body exercise and their relationships to muscle fibre type. We show that the W' is not correlated with muscle fibre type distribution and that it represents an elevated energy contribution from both oxidative and glycolytic/glycogenolytic metabolism. We show that there is a positive correlation between CP and highly oxidative type I muscle fibres and that muscle metabolic steady-state is attainable &lt;CP but not &gt;CP. Our findings indicate a mechanistic link between the bioenergetic characteristics of muscle fibre types and the power-time relationship for high-intensity exercise.\nABSTRACT: We hypothesized that: (1) the critical power (CP) will represent a boundary separating steady-state from non-steady-state muscle metabolic responses during whole-body exercise and (2) that the CP and the curvature constant (W') of the power-time relationship for high-intensity exercise will be correlated with type I and type IIx muscle fibre distributions, respectively. Four men and four women performed a 3 min all-out cycling test for the estimation of CP and constant work rate (CWR) tests slightly &gt;CP until exhaustion (Tlim ), slightly &lt;CP for 24 min and until the &gt;CP Tlim isotime to test the first hypothesis. Eleven men performed 3 min all-out tests and donated muscle biopsies to test the second hypothesis. Below CP, muscle [PCr] [42.6 ± 7.1 vs. 49.4 ± 6.9 mmol (kg d.w.)(-1) ], [La(-) ] [34.8 ± 12.6 vs. 35.5 ± 13.2 mmol (kg d.w.)(-1) ] and pH (7.11 ± 0.08 vs. 7.10 ± 0.11) remained stable between </w:instrText>
      </w:r>
      <w:r w:rsidR="007A3303" w:rsidRPr="00165ED2">
        <w:rPr>
          <w:rFonts w:ascii="Cambria Math" w:hAnsi="Cambria Math" w:cs="Cambria Math"/>
          <w:bCs/>
          <w:sz w:val="24"/>
          <w:szCs w:val="24"/>
        </w:rPr>
        <w:instrText>∼</w:instrText>
      </w:r>
      <w:r w:rsidR="007A3303" w:rsidRPr="00165ED2">
        <w:rPr>
          <w:rFonts w:ascii="Times New Roman" w:hAnsi="Times New Roman" w:cs="Times New Roman"/>
          <w:bCs/>
          <w:sz w:val="24"/>
          <w:szCs w:val="24"/>
        </w:rPr>
        <w:instrText xml:space="preserve">12 and 24 min (P &gt; 0.05 for all), whereas these variables changed with time &gt;CP such that they were greater [[La(-) ] 95.6 ± 14.1 mmol (kg d.w.)(-1) ] and lower [[PCr] 24.2 ± 3.9 mmol (kg d.w.)(-1) ; pH 6.84 ± 0.06] (P &lt; 0.05) at Tlim (740 ± 186 s) than during the &lt;CP trial. The CP (234 ± 53 W) was correlated with muscle type I (r = 0.67, P = 0.025) and inversely correlated with muscle type IIx fibre proportion (r = -0.76, P = 0.01). There was no relationship between W' (19.4 ± 6.3 kJ) and muscle fibre type. These data indicate a mechanistic link between the bioenergetic characteristics of different muscle fibre types and the power-duration relationship. The CP reflects the bioenergetic characteristics of highly oxidative type I muscle fibres, such that a muscle metabolic steady-state is attainable below and not above CP.","container-title":"The Journal of Physiology","DOI":"10.1113/JP271879","ISSN":"1469-7793","issue":"15","journalAbbreviation":"J. Physiol. (Lond.)","language":"eng","note":"PMID: 26940850\nPMCID: PMC4967754","page":"4407-4423","source":"PubMed","title":"The mechanistic bases of the power-time relationship: muscle metabolic responses and relationships to muscle fibre type","title-short":"The mechanistic bases of the power-time relationship","volume":"594","author":[{"family":"Vanhatalo","given":"Anni"},{"family":"Black","given":"Matthew I."},{"family":"DiMenna","given":"Fred J."},{"family":"Blackwell","given":"Jamie R."},{"family":"Schmidt","given":"Jakob Friis"},{"family":"Thompson","given":"Christopher"},{"family":"Wylie","given":"Lee J."},{"family":"Mohr","given":"Magni"},{"family":"Bangsbo","given":"Jens"},{"family":"Krustrup","given":"Peter"},{"family":"Jones","given":"Andrew M."}],"issued":{"date-parts":[["2016",8,1]]}}}],"schema":"https://github.com/citation-style-language/schema/raw/master/csl-citation.json"} </w:instrText>
      </w:r>
      <w:r w:rsidR="00BA5189" w:rsidRPr="00165ED2">
        <w:rPr>
          <w:rFonts w:ascii="Times New Roman" w:hAnsi="Times New Roman" w:cs="Times New Roman"/>
          <w:bCs/>
          <w:sz w:val="24"/>
          <w:szCs w:val="24"/>
        </w:rPr>
        <w:fldChar w:fldCharType="separate"/>
      </w:r>
      <w:r w:rsidR="007A3303" w:rsidRPr="00165ED2">
        <w:rPr>
          <w:rFonts w:ascii="Times New Roman" w:hAnsi="Times New Roman" w:cs="Times New Roman"/>
          <w:sz w:val="24"/>
        </w:rPr>
        <w:t>[6,31]</w:t>
      </w:r>
      <w:r w:rsidR="00BA5189" w:rsidRPr="00165ED2">
        <w:rPr>
          <w:rFonts w:ascii="Times New Roman" w:hAnsi="Times New Roman" w:cs="Times New Roman"/>
          <w:bCs/>
          <w:sz w:val="24"/>
          <w:szCs w:val="24"/>
        </w:rPr>
        <w:fldChar w:fldCharType="end"/>
      </w:r>
      <w:r w:rsidR="00226EAD" w:rsidRPr="00165ED2">
        <w:rPr>
          <w:rFonts w:ascii="Times New Roman" w:hAnsi="Times New Roman" w:cs="Times New Roman"/>
          <w:bCs/>
          <w:sz w:val="24"/>
          <w:szCs w:val="24"/>
        </w:rPr>
        <w:t>.</w:t>
      </w:r>
      <w:r w:rsidR="00226EAD" w:rsidRPr="00165ED2">
        <w:rPr>
          <w:rFonts w:ascii="Times New Roman" w:eastAsiaTheme="minorEastAsia" w:hAnsi="Times New Roman" w:cs="Times New Roman"/>
          <w:bCs/>
          <w:sz w:val="24"/>
          <w:szCs w:val="24"/>
        </w:rPr>
        <w:t xml:space="preserve"> </w:t>
      </w:r>
      <w:r w:rsidR="006E3B69" w:rsidRPr="00165ED2">
        <w:rPr>
          <w:rFonts w:ascii="Times New Roman" w:eastAsiaTheme="minorEastAsia" w:hAnsi="Times New Roman" w:cs="Times New Roman"/>
          <w:bCs/>
          <w:sz w:val="24"/>
          <w:szCs w:val="24"/>
        </w:rPr>
        <w:t>Such</w:t>
      </w:r>
      <w:r w:rsidR="00226EAD" w:rsidRPr="00165ED2">
        <w:rPr>
          <w:rFonts w:ascii="Times New Roman" w:eastAsiaTheme="minorEastAsia" w:hAnsi="Times New Roman" w:cs="Times New Roman"/>
          <w:bCs/>
          <w:sz w:val="24"/>
          <w:szCs w:val="24"/>
        </w:rPr>
        <w:t xml:space="preserve"> findings were subsequently confirmed in different populations, including the elderly </w:t>
      </w:r>
      <w:r w:rsidR="00226EAD"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{"citationID":"aSU24bMf","properties":{"formattedCitation":"[32]","plainCitation":"[32]","noteIndex":0},"citationItems":[{"id":863,"uris":["http://zotero.org/users/5056530/items/YINMZEGF"],"itemData":{"id":863,"type":"article-journal","abstract":"The critical power (CP) of a muscle group or individual may represent the highest rate of work which can be performed for an extended period. We investigated this concept in young (n = 13, 24.5 years) and elderly (n = 12, 70.7 years) active men by first determining CP and then comparing responses elicited by 24 min of cycle exercise at power outputs (omega) corresponding to CP. Values from the final 2 min of the 24-min ride were expressed relative to maximal values established in a ramp test. CP for the elderly was only 65% that for the young, but on a relative basis, it was significantly higher both in terms of omega (67 vs 62% of omega max) and oxygen consumption (VO2) (91.5 vs 85.2% of maximum oxygen consumption). There were no group differences in relative values for ventilation (VE), heart rate or respiratory exchange ratio (R). During the 24-min ride, VO2 and R achieved a plateau in both groups, while VE, blood lactate and arterial PCO2 continued to change in the young. It was concluded that CP can be determined in active elderly men, but that CP may not represent a true non-fatiguing work rate in either young or elderly men.","container-title":"European Journal of Applied Physiology and Occupational Physiology","ISSN":"0301-5548","issue":"2","journalAbbreviation":"Eur J Appl Physiol Occup Physiol","language":"eng","note":"PMID: 1555567","page":"187-193","source":"PubMed","title":"Physiological responses of young and elderly men to prolonged exercise at critical power","volume":"64","author":[{"family":"Overend","given":"T. J."},{"family":"Cunningham","given":"D. A."},{"family":"Paterson","given":"D. H."},{"family":"Smith","given":"W. D."}],"issued":{"date-parts":[["1992"]]}}}],"schema":"https://github.com/citation-style-language/schema/raw/master/csl-citation.json"} </w:instrText>
      </w:r>
      <w:r w:rsidR="00226EAD"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[32]</w:t>
      </w:r>
      <w:r w:rsidR="00226EAD" w:rsidRPr="00165ED2">
        <w:rPr>
          <w:rFonts w:ascii="Times New Roman" w:eastAsiaTheme="minorEastAsia" w:hAnsi="Times New Roman" w:cs="Times New Roman"/>
          <w:bCs/>
          <w:sz w:val="24"/>
          <w:szCs w:val="24"/>
        </w:rPr>
        <w:fldChar w:fldCharType="end"/>
      </w:r>
      <w:r w:rsidR="00226EAD" w:rsidRPr="00165ED2">
        <w:rPr>
          <w:rFonts w:ascii="Times New Roman" w:eastAsiaTheme="minorEastAsia" w:hAnsi="Times New Roman" w:cs="Times New Roman"/>
          <w:bCs/>
          <w:sz w:val="24"/>
          <w:szCs w:val="24"/>
        </w:rPr>
        <w:t xml:space="preserve">, chronic heart failure </w:t>
      </w:r>
      <w:r w:rsidR="00226EAD"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{"citationID":"s5RC7urv","properties":{"formattedCitation":"[33]","plainCitation":"[33]","noteIndex":0},"citationItems":[{"id":325,"uris":["http://zotero.org/users/5056530/items/B8XGFPTN"],"itemData":{"id":325,"type":"article-journal","abstract":"INTRODUCTION: The highest power sustainable in VO2 and blood lactate steady-state conditions is named \"critical power\" (CP) and marks the upper limit for prolonged aerobic exercise performance. CP is thus of particular interest for continuous aerobic training prescription, but no data are available as to CP in chronic heart failure (CHF) patients, that is, a population in which aerobic training is a widely accepted nonpharmacologic treatment. The aim of this study was to evaluate CP in a group of CHF and in two groups of age-matched untrained (UT-N) and trained (TR-N) normal subjects.\nMETHODS: Fifteen untrained CHF, five UT-N, and five TR-N underwent one incremental and five very high/severe-intensity constant-power cardiopulmonary exercise tests (CPT). Power versus time to exhaustion data from CPT were fitted by a hyperbola, whose power asymptote is CP. Subsequently, all participants exercised at CP with blood lactate sampling every 2 min.\nRESULTS: CP was 80 ± 21, 129 ± 17, and 199 ± 35 W in CHF, UT-N, and TR-N, respectively (all comparisons P &lt; 0.005). These values corresponded to 66% ± 6%, 66% ± 6%, and 74% ± 3% of peak power in CHF, UT-N, and TR-N, respectively (TR-N vs both CHF and UT-N, P &lt; 0.05) and to 81% ± 26%, 91% ± 11%, and 83% ± 9% of HR reserve in CHF, UT-N, and TR-N, respectively (NS). All participants exercised for 30 min in VO2, blood lactate, ventilation, and HR steady-state conditions at CP but not at the lowest-power CPT (&gt;CP ~ 10%).\nCONCLUSIONS: The upper intensity limit for prolonged aerobic exercise, that is, CP, is equal to 65% of peak power in CHF patients. This finding provides a physiologically meaningful reference for continuous aerobic training prescription in this population.","container-title":"Medicine and Science in Sports and Exercise","DOI":"10.1249/MSS.0b013e3181bdc69d","ISSN":"1530-0315","issue":"4","journalAbbreviation":"Med Sci Sports Exerc","language":"eng","note":"PMID: 19952837","page":"633-639","source":"PubMed","title":"Upper intensity limit for prolonged aerobic exercise in chronic heart failure","volume":"42","author":[{"family":"Mezzani","given":"Alessandro"},{"family":"Corrà","given":"Ugo"},{"family":"Giordano","given":"Andrea"},{"family":"Colombo","given":"Silvia"},{"family":"Psaroudaki","given":"Marianna"},{"family":"Giannuzzi","given":"Pantaleo"}],"issued":{"date-parts":[["2010",4]]}}}],"schema":"https://github.com/citation-style-language/schema/raw/master/csl-citation.json"} </w:instrText>
      </w:r>
      <w:r w:rsidR="00226EAD"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[33]</w:t>
      </w:r>
      <w:r w:rsidR="00226EAD" w:rsidRPr="00165ED2">
        <w:rPr>
          <w:rFonts w:ascii="Times New Roman" w:eastAsiaTheme="minorEastAsia" w:hAnsi="Times New Roman" w:cs="Times New Roman"/>
          <w:bCs/>
          <w:sz w:val="24"/>
          <w:szCs w:val="24"/>
        </w:rPr>
        <w:fldChar w:fldCharType="end"/>
      </w:r>
      <w:r w:rsidR="00226EAD" w:rsidRPr="00165ED2">
        <w:rPr>
          <w:rFonts w:ascii="Times New Roman" w:eastAsiaTheme="minorEastAsia" w:hAnsi="Times New Roman" w:cs="Times New Roman"/>
          <w:bCs/>
          <w:sz w:val="24"/>
          <w:szCs w:val="24"/>
        </w:rPr>
        <w:t xml:space="preserve"> and chronic obstructive pulmonary disease patients </w:t>
      </w:r>
      <w:r w:rsidR="00226EAD"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{"citationID":"k6dbVbbp","properties":{"formattedCitation":"[34,35]","plainCitation":"[34,35]","noteIndex":0},"citationItems":[{"id":326,"uris":["http://zotero.org/users/5056530/items/GQUHKT4W"],"itemData":{"id":326,"type":"article-journal","abstract":"To characterize the determinants of the power-duration (W-t) relationship in patients with chronic obstructive pulmonary disease (COPD), we evaluated 8 nonhypoxemic patients (FEV(1) = 1.27 +/- 0.26 L) and 10 healthy controls. After an initial maximum-incremental exercise test on cycle ergometer (peak), the subjects underwent four high-intensity constant-load tests to the limit of tolerance (t), each on different days. The W-t relationship was found to be hyperbolic in both groups. Absolute values of both the critical power asymptote (theta(F)) and the curvature constant (W') were lower in patients than in control subjects. However, when expressed as percentage of peak work rate theta(F) was significantly higher in patients compared with control subjects (81.8 +/- 3.3% versus 67.5 +/- 3.7%, respectively, p &lt; 0.01). There were severe reductions in t in the patients that were consistently associated with higher breathlessness scores and V E/MVV ratios. Interestingly, all patients were able to sustain exercise at theta(F) for 20 min despite near-maximum physiological and subjective stresses. We conclude that the reductions of both parameters of the hyperbolic W-t relationship (theta(F) and W') in patients with COPD were due to the ventilatory constraints and their sensory consequences. Importantly, theta(F) separated a \"sustainable\" from a \"nonsustainable\" exercise-intensity domain: this parameter consistently occurred closer to peak work rate in patients than the healthy control subjects.","container-title":"American Journal of Respiratory and Critical Care Medicine","DOI":"10.1164/ajrccm.162.2.9907122","ISSN":"1073-449X","issue":"2 Pt 1","journalAbbreviation":"Am. J. Respir. Crit. Care Med.","language":"eng","note":"PMID: 10934077","page":"497-504","source":"PubMed","title":"Determinants of the exercise endurance capacity in patients with chronic obstructive pulmonary disease. The power-duration relationship","volume":"162","author":[{"family":"Neder","given":"J. A."},{"family":"Jones","given":"P. W."},{"family":"Nery","given":"L. E."},{"family":"Whipp","given":"B. J."}],"issued":{"date-parts":[["2000",8]]}}},{"id":862,"uris":["http://zotero.org/users/5056530/items/MZE3QEZB"],"itemData":{"id":862,"type":"article-journal","abstract":"The time to fatigue (t) in response to high-intensity constant-load exercise decreases hyperbolically with increasing power (W), at least in active and younger individuals [i.e. (W - thetaF)t = W', where thetaF is the critical power asymptote and W' is the curvature constant]. Little is known, however, about the combined effects of age and sedentarity on these parameters. We therefore evaluated 17 non-trained males (9 aged 60-75 years and 8 aged below 30 years) who underwent ramp-incremental cycle ergometry and, on different days, 4 high-intensity constant-load tests to t. Compared to their younger counterparts, the older subjects presented significantly lower maximum oxygen uptake (i.e. the maximum value of oxygen uptake attained at the end of a progressive exercise with the subject exerting a presumably maximal effort, muVO2), estimated lactate threshold (VO2thetaL), VO2thetaF, and W' (P &lt; 0.05). Interestingly, however, both VO2thetaL and VO2thetaF, when expressed as a percentage of muVO2, were higher in older than in younger men [61.8 (6.2)% versus 45.4 (4.6)% and 87.8 (7.3)% versus 79.0 (8.2)%, P &lt; 0.05, respectively]. Therefore, age was associated with an increase in the relative magnitude of the \"moderate\", sub-thetaL exercise-intensity domain (+30.4%), mainly at the expense of the \"very-heavy\", supra-thetaF domain (-56%). Our results demonstrate that age and sedentarity are associated with: (1) marked reductions in both the aerobic (thetaF) and anaerobic (W') determinants of the W/t relationship, and (2) changes in either the absolute or relative magnitudes of the exercise-intensity domains. These findings are consistent with the notion that endurance-related parameters are less diminished with ageing than the maximal capacity, thereby mitigating the deleterious effects of senescence in the functional capacity.","container-title":"European Journal of Applied Physiology","DOI":"10.1007/s004210000228","ISSN":"1439-6319","issue":"4","journalAbbreviation":"Eur. J. Appl. Physiol.","language":"eng","note":"PMID: 10958376","page":"326-332","source":"PubMed","title":"The effect of age on the power/duration relationship and the intensity-domain limits in sedentary men","volume":"82","author":[{"family":"Neder","given":"J. A."},{"family":"Jones","given":"P. W."},{"family":"Nery","given":"L. E."},{"family":"Whipp","given":"B. J."}],"issued":{"date-parts":[["2000",7]]}}}],"schema":"https://github.com/citation-style-language/schema/raw/master/csl-citation.json"} </w:instrText>
      </w:r>
      <w:r w:rsidR="00226EAD"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[34,35]</w:t>
      </w:r>
      <w:r w:rsidR="00226EAD" w:rsidRPr="00165ED2">
        <w:rPr>
          <w:rFonts w:ascii="Times New Roman" w:eastAsiaTheme="minorEastAsia" w:hAnsi="Times New Roman" w:cs="Times New Roman"/>
          <w:bCs/>
          <w:sz w:val="24"/>
          <w:szCs w:val="24"/>
        </w:rPr>
        <w:fldChar w:fldCharType="end"/>
      </w:r>
      <w:r w:rsidR="00CD4112" w:rsidRPr="00165ED2">
        <w:rPr>
          <w:rFonts w:ascii="Times New Roman" w:eastAsiaTheme="minorEastAsia" w:hAnsi="Times New Roman" w:cs="Times New Roman"/>
          <w:bCs/>
          <w:sz w:val="24"/>
          <w:szCs w:val="24"/>
        </w:rPr>
        <w:t>,</w:t>
      </w:r>
      <w:r w:rsidR="00226EAD" w:rsidRPr="00165ED2">
        <w:rPr>
          <w:rFonts w:ascii="Times New Roman" w:eastAsiaTheme="minorEastAsia" w:hAnsi="Times New Roman" w:cs="Times New Roman"/>
          <w:bCs/>
          <w:sz w:val="24"/>
          <w:szCs w:val="24"/>
        </w:rPr>
        <w:t xml:space="preserve"> and healthy children </w:t>
      </w:r>
      <w:r w:rsidR="00226EAD"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{"citationID":"bsDd7wVS","properties":{"formattedCitation":"[36]","plainCitation":"[36]","noteIndex":0},"citationItems":[{"id":777,"uris":["http://zotero.org/users/5056530/items/VP9JKILT"],"itemData":{"id":777,"type":"article-journal","abstract":"This study examined whether critical power (CP) in adolescents: (1) provides a landmark for maximal steady-state exercise; and (2) can be determined using 'all-out' exercise. Nine active 14-15 year olds (6 females, 3 males) performed five cycling tests: (1) a ramp test to determine VO(2peak); (2) up to four constant power output tests to determine CP; (3-4) constant power output exercise 10% above and 10% below CP; and (5) a 3 min all-out cycle test to establish the end power (EP) at 90 and 180 s of exercise. All participants completed 30 min of exercise below CP and were characterized by steady-state blood lactate and VO(2) profiles. In contrast, time to exhaustion during exercise above CP was 15.0 ± 7.0 min and characterized by an inexorable rise in blood lactate and a rise, stabilization (~91% VO(2peak)) and fall in VO(2) (~82% VO(2peak)) prior to exhaustion. Eight out of nine participants completed the 3 min test and their EPs at 90 s (148 ± 29 W) and 180 s (146 ± 30 W) were not different from CP (146 ± 27 W) (P = 0.98). The typical error of estimates for establishing CP using EP at 90 s or 180 s of the 3 min test were 25 W (19.7% CV) and 25 W (19.6% CV), respectively. CP in active adolescence provides a valid landmark for maximal steady-state exercise, although its estimation on an individual level using the 3 min all-out test may be of limited value. VO(2peak)","container-title":"European Journal of Applied Physiology","DOI":"10.1007/s00421-011-2088-8","ISSN":"1439-6327","issue":"4","journalAbbreviation":"Eur. J. Appl. Physiol.","language":"eng","note":"PMID: 21805336","page":"1359-1370","source":"PubMed","title":"Critical power in adolescents: physiological bases and assessment using all-out exercise","title-short":"Critical power in adolescents","volume":"112","author":[{"family":"Barker","given":"Alan R."},{"family":"Bond","given":"Bert"},{"family":"Toman","given":"Cali"},{"family":"Williams","given":"Craig A."},{"family":"Armstrong","given":"Neil"}],"issued":{"date-parts":[["2012",4]]}}}],"schema":"https://github.com/citation-style-language/schema/raw/master/csl-citation.json"} </w:instrText>
      </w:r>
      <w:r w:rsidR="00226EAD"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[36]</w:t>
      </w:r>
      <w:r w:rsidR="00226EAD" w:rsidRPr="00165ED2">
        <w:rPr>
          <w:rFonts w:ascii="Times New Roman" w:eastAsiaTheme="minorEastAsia" w:hAnsi="Times New Roman" w:cs="Times New Roman"/>
          <w:bCs/>
          <w:sz w:val="24"/>
          <w:szCs w:val="24"/>
        </w:rPr>
        <w:fldChar w:fldCharType="end"/>
      </w:r>
      <w:r w:rsidR="00226EAD" w:rsidRPr="00165ED2">
        <w:rPr>
          <w:rFonts w:ascii="Times New Roman" w:eastAsiaTheme="minorEastAsia" w:hAnsi="Times New Roman" w:cs="Times New Roman"/>
          <w:bCs/>
          <w:sz w:val="24"/>
          <w:szCs w:val="24"/>
        </w:rPr>
        <w:t>.</w:t>
      </w:r>
      <w:r w:rsidR="006E3B69" w:rsidRPr="00165ED2">
        <w:rPr>
          <w:rFonts w:ascii="Times New Roman" w:eastAsiaTheme="minorEastAsia" w:hAnsi="Times New Roman" w:cs="Times New Roman"/>
          <w:bCs/>
          <w:sz w:val="24"/>
          <w:szCs w:val="24"/>
        </w:rPr>
        <w:t xml:space="preserve"> More recently, non-invasive (</w:t>
      </w:r>
      <w:r w:rsidR="006E3B69" w:rsidRPr="00165ED2">
        <w:rPr>
          <w:rFonts w:ascii="Times New Roman" w:eastAsiaTheme="minorEastAsia" w:hAnsi="Times New Roman" w:cs="Times New Roman"/>
          <w:bCs/>
          <w:sz w:val="24"/>
          <w:szCs w:val="24"/>
          <w:vertAlign w:val="superscript"/>
        </w:rPr>
        <w:t>31</w:t>
      </w:r>
      <w:r w:rsidR="006E3B69" w:rsidRPr="00165ED2">
        <w:rPr>
          <w:rFonts w:ascii="Times New Roman" w:eastAsiaTheme="minorEastAsia" w:hAnsi="Times New Roman" w:cs="Times New Roman"/>
          <w:bCs/>
          <w:sz w:val="24"/>
          <w:szCs w:val="24"/>
        </w:rPr>
        <w:t>P-</w:t>
      </w:r>
      <w:r w:rsidR="005A3F39" w:rsidRPr="00165ED2">
        <w:rPr>
          <w:rFonts w:ascii="Times New Roman" w:eastAsiaTheme="minorEastAsia" w:hAnsi="Times New Roman" w:cs="Times New Roman"/>
          <w:bCs/>
          <w:sz w:val="24"/>
          <w:szCs w:val="24"/>
        </w:rPr>
        <w:t>magnetic resonance spectroscopy, near infrared spectroscopy</w:t>
      </w:r>
      <w:r w:rsidR="006E3B69" w:rsidRPr="00165ED2">
        <w:rPr>
          <w:rFonts w:ascii="Times New Roman" w:eastAsiaTheme="minorEastAsia" w:hAnsi="Times New Roman" w:cs="Times New Roman"/>
          <w:bCs/>
          <w:sz w:val="24"/>
          <w:szCs w:val="24"/>
        </w:rPr>
        <w:t xml:space="preserve">) and invasive (i.e. muscle biopsy) studies have </w:t>
      </w:r>
      <w:r w:rsidR="005A3F39" w:rsidRPr="00165ED2">
        <w:rPr>
          <w:rFonts w:ascii="Times New Roman" w:eastAsiaTheme="minorEastAsia" w:hAnsi="Times New Roman" w:cs="Times New Roman"/>
          <w:bCs/>
          <w:sz w:val="24"/>
          <w:szCs w:val="24"/>
        </w:rPr>
        <w:t>demonstrated</w:t>
      </w:r>
      <w:r w:rsidR="006E3B69" w:rsidRPr="00165ED2">
        <w:rPr>
          <w:rFonts w:ascii="Times New Roman" w:eastAsiaTheme="minorEastAsia" w:hAnsi="Times New Roman" w:cs="Times New Roman"/>
          <w:bCs/>
          <w:sz w:val="24"/>
          <w:szCs w:val="24"/>
        </w:rPr>
        <w:t xml:space="preserve"> the achievement of a steady state in the exercising muscle below, but not above CP, in muscle</w:t>
      </w:r>
      <w:r w:rsidR="005A3F39" w:rsidRPr="00165ED2">
        <w:rPr>
          <w:rFonts w:ascii="Times New Roman" w:eastAsiaTheme="minorEastAsia" w:hAnsi="Times New Roman" w:cs="Times New Roman"/>
          <w:bCs/>
          <w:sz w:val="24"/>
          <w:szCs w:val="24"/>
        </w:rPr>
        <w:t xml:space="preserve">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5A3F39" w:rsidRPr="00165ED2">
        <w:rPr>
          <w:rFonts w:ascii="Times New Roman" w:eastAsiaTheme="minorEastAsia" w:hAnsi="Times New Roman" w:cs="Times New Roman"/>
          <w:bCs/>
          <w:sz w:val="24"/>
          <w:szCs w:val="24"/>
        </w:rPr>
        <w:t>O</w:t>
      </w:r>
      <w:r w:rsidR="005A3F39" w:rsidRPr="00165ED2">
        <w:rPr>
          <w:rFonts w:ascii="Times New Roman" w:eastAsiaTheme="minorEastAsia" w:hAnsi="Times New Roman" w:cs="Times New Roman"/>
          <w:bCs/>
          <w:sz w:val="24"/>
          <w:szCs w:val="24"/>
          <w:vertAlign w:val="subscript"/>
        </w:rPr>
        <w:t>2</w:t>
      </w:r>
      <w:r w:rsidR="005A3F39" w:rsidRPr="00165ED2">
        <w:rPr>
          <w:rFonts w:ascii="Times New Roman" w:eastAsiaTheme="minorEastAsia" w:hAnsi="Times New Roman" w:cs="Times New Roman"/>
          <w:bCs/>
          <w:sz w:val="24"/>
          <w:szCs w:val="24"/>
        </w:rPr>
        <w:t xml:space="preserve">, </w:t>
      </w:r>
      <w:r w:rsidR="00BA5189" w:rsidRPr="00165ED2">
        <w:rPr>
          <w:rFonts w:ascii="Times New Roman" w:eastAsiaTheme="minorEastAsia" w:hAnsi="Times New Roman" w:cs="Times New Roman"/>
          <w:bCs/>
          <w:sz w:val="24"/>
          <w:szCs w:val="24"/>
        </w:rPr>
        <w:t>[phosphocreatine] (</w:t>
      </w:r>
      <w:r w:rsidR="006E3B69" w:rsidRPr="00165ED2">
        <w:rPr>
          <w:rFonts w:ascii="Times New Roman" w:eastAsiaTheme="minorEastAsia" w:hAnsi="Times New Roman" w:cs="Times New Roman"/>
          <w:bCs/>
          <w:sz w:val="24"/>
          <w:szCs w:val="24"/>
        </w:rPr>
        <w:t>[</w:t>
      </w:r>
      <w:proofErr w:type="spellStart"/>
      <w:r w:rsidR="006E3B69" w:rsidRPr="00165ED2">
        <w:rPr>
          <w:rFonts w:ascii="Times New Roman" w:eastAsiaTheme="minorEastAsia" w:hAnsi="Times New Roman" w:cs="Times New Roman"/>
          <w:bCs/>
          <w:sz w:val="24"/>
          <w:szCs w:val="24"/>
        </w:rPr>
        <w:t>PCr</w:t>
      </w:r>
      <w:proofErr w:type="spellEnd"/>
      <w:r w:rsidR="006E3B69" w:rsidRPr="00165ED2">
        <w:rPr>
          <w:rFonts w:ascii="Times New Roman" w:eastAsiaTheme="minorEastAsia" w:hAnsi="Times New Roman" w:cs="Times New Roman"/>
          <w:bCs/>
          <w:sz w:val="24"/>
          <w:szCs w:val="24"/>
        </w:rPr>
        <w:t>]</w:t>
      </w:r>
      <w:r w:rsidR="00BA5189" w:rsidRPr="00165ED2">
        <w:rPr>
          <w:rFonts w:ascii="Times New Roman" w:eastAsiaTheme="minorEastAsia" w:hAnsi="Times New Roman" w:cs="Times New Roman"/>
          <w:bCs/>
          <w:sz w:val="24"/>
          <w:szCs w:val="24"/>
        </w:rPr>
        <w:t>)</w:t>
      </w:r>
      <w:r w:rsidR="006E3B69" w:rsidRPr="00165ED2">
        <w:rPr>
          <w:rFonts w:ascii="Times New Roman" w:eastAsiaTheme="minorEastAsia" w:hAnsi="Times New Roman" w:cs="Times New Roman"/>
          <w:bCs/>
          <w:sz w:val="24"/>
          <w:szCs w:val="24"/>
        </w:rPr>
        <w:t>, [</w:t>
      </w:r>
      <w:r w:rsidR="00BA5189" w:rsidRPr="00165ED2">
        <w:rPr>
          <w:rFonts w:ascii="Times New Roman" w:eastAsiaTheme="minorEastAsia" w:hAnsi="Times New Roman" w:cs="Times New Roman"/>
          <w:bCs/>
          <w:sz w:val="24"/>
          <w:szCs w:val="24"/>
        </w:rPr>
        <w:t>inorganic phosphate] [</w:t>
      </w:r>
      <w:r w:rsidR="006E3B69" w:rsidRPr="00165ED2">
        <w:rPr>
          <w:rFonts w:ascii="Times New Roman" w:eastAsiaTheme="minorEastAsia" w:hAnsi="Times New Roman" w:cs="Times New Roman"/>
          <w:bCs/>
          <w:sz w:val="24"/>
          <w:szCs w:val="24"/>
        </w:rPr>
        <w:t xml:space="preserve">Pi], pH and muscle [lactate] </w:t>
      </w:r>
      <w:r w:rsidR="00BA5189"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{"citationID":"GzWW8FEa","properties":{"formattedCitation":"[15,31,37]","plainCitation":"[15,31,37]","noteIndex":0},"citationItems":[{"id":277,"uris":["http://zotero.org/users/5056530/items/W4WQ58MJ"],"itemData":{"id":277,"type":"article-journal","abstract":"We tested the hypothesis that the asymptote of the hyperbolic relationship between work rate and time to exhaustion during muscular exercise, the \"critical power\" (CP), represents the highest constant work rate that can be sustained without a progressive loss of homeostasis [as assessed using (31)P magnetic resonance spectroscopy (MRS) measurements of muscle metabolites]. Six healthy male subjects initially completed single-leg knee-extension exercise at three to four different constant work rates to the limit of tolerance (range 3-18 min) for estimation of the CP (mean +/- SD, 20 +/- 2 W). Subsequently, the subjects exercised at work rates 10% below CP (&lt;CP) for 20 min and 10% above CP (&gt;CP) for as long as possible, while the metabolic responses in the contracting quadriceps muscle, i.e., phosphorylcreatine concentration ([PCr]), P(i) concentration ([P(i)]), and pH, were estimated using (31)P-MRS. All subjects completed 20 min of &lt;CP exercise without duress, whereas the limit of tolerance during &gt;CP exercise was 14.7 +/- 7.1 min. During &lt;CP exercise, stable values for [PCr], [P(i)], and pH were attained within 3 min after the onset of exercise, and there were no further significant changes in these variables (end-exercise values = 68 +/- 11% of baseline [PCr], 314 +/- 216% of baseline [P(i)], and pH 7.01 +/- 0.03). During &gt;CP exercise, however, [PCr] continued to fall to the point of exhaustion and [P(i)] and pH changed precipitously to values that are typically observed at the termination of high-intensity exhaustive exercise (end-exercise values = 26 +/- 16% of baseline [PCr], 564 +/- 167% of baseline [P(i)], and pH 6.87 +/- 0.10, all P &lt; 0.05 vs. &lt;CP exercise). These data support the hypothesis that the CP represents the highest constant work rate that can be sustained without a progressive depletion of muscle high-energy phosphates and a rapid accumulation of metabolites (i.e., H(+) concentration and [P(i)]), which have been associated with the fatigue process.","container-title":"American Journal of Physiology. Regulatory, Integrative and Comparative Physiology","DOI":"10.1152/ajpregu.00731.2007","ISSN":"0363-6119","issue":"2","journalAbbreviation":"Am. J. Physiol. Regul. Integr. Comp. Physiol.","language":"eng","note":"PMID: 18056980","page":"R585-593","source":"PubMed","title":"Muscle metabolic responses to exercise above and below the \"critical power\" assessed using 31P-MRS","volume":"294","author":[{"family":"Jones","given":"Andrew M."},{"family":"Wilkerson","given":"Daryl P."},{"family":"DiMenna","given":"Fred"},{"family":"Fulford","given":"Jonathan"},{"family":"Poole","given":"David C."}],"issued":{"date-parts":[["2008",2]]}}},{"id":274,"uris":["http://zotero.org/users/5056530/items/VNEUXIGT"],"itemData":{"id":274,"type":"article-journal","abstract":"KEY POINTS: The power-asymptote (critical power; CP) of the hyperbolic power-time relationship for high-intensity exercise defines a threshold between steady-state and non-steady-state exercise intensities and the curvature constant (W') indicates a fixed capacity for work &gt;CP that is related to a loss of muscular efficiency. The present study reports novel evidence on the muscle metabolic underpinnings of CP and W' during whole-body exercise and their relationships to muscle fibre type. We show that the W' is not correlated with muscle fibre type distribution and that it represents an elevated energy contribution from both oxidative and glycolytic/glycogenolytic metabolism. We show that there is a positive correlation between CP and highly oxidative type I muscle fibres and that muscle metabolic steady-state is attainable &lt;CP but not &gt;CP. Our findings indicate a mechanistic link between the bioenergetic characteristics of muscle fibre types and the power-time relationship for high-intensity exercise.\nABSTRACT: We hypothesized that: (1) the critical power (CP) will represent a boundary separating steady-state from non-steady-state muscle metabolic responses during whole-body exercise and (2) that the CP and the curvature constant (W') of the power-time relationship for high-intensity exercise will be correlated with type I and type IIx muscle fibre distributions, respectively. Four men and four women performed a 3 min all-out cycling test for the estimation of CP and constant work rate (CWR) tests slightly &gt;CP until exhaustion (Tlim ), slightly &lt;CP for 24 min and until the &gt;CP Tlim isotime to test the first hypothesis. Eleven men performed 3 min all-out tests and donated muscle biopsies to test the second hypothesis. Below CP, muscle [PCr] [42.6 ± 7.1 vs. 49.4 ± 6.9 mmol (kg d.w.)(-1) ], [La(-) ] [34.8 ± 12.6 vs. 35.5 ± 13.2 mmol (kg d.w.)(-1) ] and pH (7.11 ± 0.08 vs. 7.10 ± 0.11) remained stable between </w:instrText>
      </w:r>
      <w:r w:rsidR="007A3303" w:rsidRPr="00165ED2">
        <w:rPr>
          <w:rFonts w:ascii="Cambria Math" w:eastAsiaTheme="minorEastAsia" w:hAnsi="Cambria Math" w:cs="Cambria Math"/>
          <w:bCs/>
          <w:sz w:val="24"/>
          <w:szCs w:val="24"/>
        </w:rPr>
        <w:instrText>∼</w:instrText>
      </w:r>
      <w:r w:rsidR="007A3303" w:rsidRPr="00165ED2">
        <w:rPr>
          <w:rFonts w:ascii="Times New Roman" w:eastAsiaTheme="minorEastAsia" w:hAnsi="Times New Roman" w:cs="Times New Roman"/>
          <w:bCs/>
          <w:sz w:val="24"/>
          <w:szCs w:val="24"/>
        </w:rPr>
        <w:instrText xml:space="preserve">12 and 24 min (P &gt; 0.05 for all), whereas these variables changed with time &gt;CP such that they were greater [[La(-) ] 95.6 ± 14.1 mmol (kg d.w.)(-1) ] and lower [[PCr] 24.2 ± 3.9 mmol (kg d.w.)(-1) ; pH 6.84 ± 0.06] (P &lt; 0.05) at Tlim (740 ± 186 s) than during the &lt;CP trial. The CP (234 ± 53 W) was correlated with muscle type I (r = 0.67, P = 0.025) and inversely correlated with muscle type IIx fibre proportion (r = -0.76, P = 0.01). There was no relationship between W' (19.4 ± 6.3 kJ) and muscle fibre type. These data indicate a mechanistic link between the bioenergetic characteristics of different muscle fibre types and the power-duration relationship. The CP reflects the bioenergetic characteristics of highly oxidative type I muscle fibres, such that a muscle metabolic steady-state is attainable below and not above CP.","container-title":"The Journal of Physiology","DOI":"10.1113/JP271879","ISSN":"1469-7793","issue":"15","journalAbbreviation":"J. Physiol. (Lond.)","language":"eng","note":"PMID: 26940850\nPMCID: PMC4967754","page":"4407-4423","source":"PubMed","title":"The mechanistic bases of the power-time relationship: muscle metabolic responses and relationships to muscle fibre type","title-short":"The mechanistic bases of the power-time relationship","volume":"594","author":[{"family":"Vanhatalo","given":"Anni"},{"family":"Black","given":"Matthew I."},{"family":"DiMenna","given":"Fred J."},{"family":"Blackwell","given":"Jamie R."},{"family":"Schmidt","given":"Jakob Friis"},{"family":"Thompson","given":"Christopher"},{"family":"Wylie","given":"Lee J."},{"family":"Mohr","given":"Magni"},{"family":"Bangsbo","given":"Jens"},{"family":"Krustrup","given":"Peter"},{"family":"Jones","given":"Andrew M."}],"issued":{"date-parts":[["2016",8,1]]}}},{"id":177,"uris":["http://zotero.org/users/5056530/items/JM6EASHA"],"itemData":{"id":177,"type":"article-journal","abstract":"Severe-intensity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M."}],"issued":{"date-parts":[["2010",4]]}}}],"schema":"https://github.com/citation-style-language/schema/raw/master/csl-citation.json"} </w:instrText>
      </w:r>
      <w:r w:rsidR="00BA5189"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[15,31,37]</w:t>
      </w:r>
      <w:r w:rsidR="00BA5189" w:rsidRPr="00165ED2">
        <w:rPr>
          <w:rFonts w:ascii="Times New Roman" w:eastAsiaTheme="minorEastAsia" w:hAnsi="Times New Roman" w:cs="Times New Roman"/>
          <w:bCs/>
          <w:sz w:val="24"/>
          <w:szCs w:val="24"/>
        </w:rPr>
        <w:fldChar w:fldCharType="end"/>
      </w:r>
      <w:r w:rsidR="005A3F39" w:rsidRPr="00165ED2">
        <w:rPr>
          <w:rFonts w:ascii="Times New Roman" w:eastAsiaTheme="minorEastAsia" w:hAnsi="Times New Roman" w:cs="Times New Roman"/>
          <w:bCs/>
          <w:sz w:val="24"/>
          <w:szCs w:val="24"/>
        </w:rPr>
        <w:t xml:space="preserve">; for review see </w:t>
      </w:r>
      <w:r w:rsidR="0097229B"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{"citationID":"uS8dC2jT","properties":{"formattedCitation":"[8,11,12]","plainCitation":"[8,11,12]","noteIndex":0},"citationItems":[{"id":3098,"uris":["http://zotero.org/users/5056530/items/4HUF4V3M"],"itemData":{"id":3098,"type":"article-journal","abstract":"We hypothesize that the V[Combining Dot Above]O2 time constant (τV[Combining Dot Above]O2) determines exercise tolerance by defining the power output associated with a “critical threshold” of intramuscular metabolite accumulation (e.g. inorganic phosphate), above which muscle fatigue and work inefficiency are apparent. Thereafter, the V[Combining Dot Above]O2 “slow component”, and its consequences (increased pulmonary, circulatory and neuromuscular demands) determine performance limits.","container-title":"Exercise and Sport Sciences Reviews","DOI":"10.1249/JES.0000000000000267","ISSN":"0091-6331","language":"en-US","source":"journals.lww.com","title":"Bioenergetic Mechanisms Linking V[Combining Dot Above]O2 Kinetics and Exercise Tolerance","URL":"https://journals.lww.com/acsm-essr/Abstract/9000/Bioenergetic_Mechanisms_Linking_V_Combining_Dot.99696.aspx","author":[{"family":"Goulding","given":"Richie P."},{"family":"Rossiter","given":"Harry B."},{"family":"Marwood","given":"Simon"},{"family":"Ferguson","given":"Carrie"}],"accessed":{"date-parts":[["2021",7,20]]},"issued":{"date-parts":[["2021",7,15]]}}},{"id":568,"uris":["http://zotero.org/users/5056530/items/VSM3ND8J"],"itemData":{"id":568,"type":"article-journal","abstract":"For high-intensity muscular exercise, the time-to-exhaustion (t) increases as a predictable and hyperbolic function of decreasing power (P) or velocity (V ). This relationship is highly conserved across diverse species and different modes of exercise and is well described by two parameters: the \"critical power\" (CP or CV), which is the asymptote for power or velocity, and the curvature constant (W') of the relationship such that t = W'/(P - CP). CP represents the highest rate of energy transduction (oxidative ATP production, V˙O2) that can be sustained without continuously drawing on the energy store W' (composed in part of anaerobic energy sources and expressed in kilojoules). The limit of tolerance (time t) occurs when W' is depleted. The CP concept constitutes a practical framework in which to explore mechanisms of fatigue and help resolve crucial questions regarding the plasticity of exercise performance and muscular systems physiology. This brief review presents the practical and theoretical foundations for the CP concept, explores rigorous alternative mathematical approaches, and highlights exciting new evidence regarding its mechanistic bases and its broad applicability to human athletic performance.","container-title":"Medicine and Science in Sports and Exercise","DOI":"10.1249/MSS.0b013e3181d9cf7f","ISSN":"1530-0315","issue":"10","journalAbbreviation":"Med Sci Sports Exerc","language":"eng","note":"PMID: 20195180","page":"1876-1890","source":"PubMed","title":"Critical power: implications for determination of V˙O2max and exercise tolerance","title-short":"Critical power","volume":"42","author":[{"family":"Jones","given":"Andrew M."},{"family":"Vanhatalo","given":"Anni"},{"family":"Burnley","given":"Mark"},{"family":"Morton","given":"R. Hugh"},{"family":"Poole","given":"David C."}],"issued":{"date-parts":[["2010",10]]}}},{"id":559,"uris":["http://zotero.org/users/5056530/items/49K3C298"],"itemData":{"id":559,"type":"article-journal","abstract":": The hyperbolic form of the power-duration relationship is rigorous and highly conserved across species, forms of exercise, and individual muscles/muscle groups. For modalities such as cycling, the relationship resolves to two parameters, the asymptote for power (critical power [CP]) and the so-called W' (work doable above CP), which together predict the tolerable duration of exercise above CP. Crucially, the CP concept integrates sentinel physiological profiles-respiratory, metabolic, and contractile-within a coherent framework that has great scientific and practical utility. Rather than calibrating equivalent exercise intensities relative to metabolically distant parameters such as the lactate threshold or V˙O2max, setting the exercise intensity relative to CP unifies the profile of systemic and intramuscular responses and, if greater than CP, predicts the tolerable duration of exercise until W' is expended, V˙O2max is attained, and intolerance is manifested. CP may be regarded as a \"fatigue threshold\" in the sense that it separates exercise intensity domains within which the physiological responses to exercise can (&lt;CP) or cannot (&gt;CP) be stabilized. The CP concept therefore enables important insights into 1) the principal loci of fatigue development (central vs. peripheral) at different intensities of exercise and 2) mechanisms of cardiovascular and metabolic control and their modulation by factors such as O2 delivery. Practically, the CP concept has great potential application in optimizing athletic training programs and performance as well as improving the life quality for individuals enduring chronic disease.","container-title":"Medicine and Science in Sports and Exercise","DOI":"10.1249/MSS.0000000000000939","ISSN":"1530-0315","issue":"11","journalAbbreviation":"Med Sci Sports Exerc","language":"eng","note":"PMID: 27031742\nPMCID: PMC5070974","page":"2320-2334","source":"PubMed","title":"Critical Power: An Important Fatigue Threshold in Exercise Physiology","title-short":"Critical Power","volume":"48","author":[{"family":"Poole","given":"David C."},{"family":"Burnley","given":"Mark"},{"family":"Vanhatalo","given":"Anni"},{"family":"Rossiter","given":"Harry B."},{"family":"Jones","given":"Andrew M."}],"issued":{"date-parts":[["2016",11]]}}}],"schema":"https://github.com/citation-style-language/schema/raw/master/csl-citation.json"} </w:instrText>
      </w:r>
      <w:r w:rsidR="0097229B"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[8,11,12]</w:t>
      </w:r>
      <w:r w:rsidR="0097229B" w:rsidRPr="00165ED2">
        <w:rPr>
          <w:rFonts w:ascii="Times New Roman" w:eastAsiaTheme="minorEastAsia" w:hAnsi="Times New Roman" w:cs="Times New Roman"/>
          <w:bCs/>
          <w:sz w:val="24"/>
          <w:szCs w:val="24"/>
        </w:rPr>
        <w:fldChar w:fldCharType="end"/>
      </w:r>
      <w:r w:rsidR="005A3F39" w:rsidRPr="00165ED2">
        <w:rPr>
          <w:rFonts w:ascii="Times New Roman" w:eastAsiaTheme="minorEastAsia" w:hAnsi="Times New Roman" w:cs="Times New Roman"/>
          <w:bCs/>
          <w:sz w:val="24"/>
          <w:szCs w:val="24"/>
        </w:rPr>
        <w:t>.</w:t>
      </w:r>
      <w:r w:rsidR="00065397" w:rsidRPr="00165ED2">
        <w:rPr>
          <w:rFonts w:ascii="Times New Roman" w:eastAsiaTheme="minorEastAsia" w:hAnsi="Times New Roman" w:cs="Times New Roman"/>
          <w:bCs/>
          <w:sz w:val="24"/>
          <w:szCs w:val="24"/>
        </w:rPr>
        <w:t xml:space="preserve"> </w:t>
      </w:r>
      <w:r w:rsidR="006A66AC" w:rsidRPr="00165ED2">
        <w:rPr>
          <w:rFonts w:ascii="Times New Roman" w:eastAsia="MS Mincho" w:hAnsi="Times New Roman" w:cs="Times New Roman"/>
          <w:bCs/>
          <w:sz w:val="24"/>
          <w:szCs w:val="24"/>
          <w:lang w:val="en-US"/>
        </w:rPr>
        <w:t xml:space="preserve">Critical speed (CS, an analogue of CP) has also been demonstrated to be a critical threshold for </w:t>
      </w:r>
      <w:r w:rsidR="00DE1B51" w:rsidRPr="00165ED2">
        <w:rPr>
          <w:rFonts w:ascii="Times New Roman" w:eastAsia="MS Mincho" w:hAnsi="Times New Roman" w:cs="Times New Roman"/>
          <w:bCs/>
          <w:sz w:val="24"/>
          <w:szCs w:val="24"/>
          <w:lang w:val="en-US"/>
        </w:rPr>
        <w:t>motor unit</w:t>
      </w:r>
      <w:r w:rsidR="006A66AC" w:rsidRPr="00165ED2">
        <w:rPr>
          <w:rFonts w:ascii="Times New Roman" w:eastAsia="MS Mincho" w:hAnsi="Times New Roman" w:cs="Times New Roman"/>
          <w:bCs/>
          <w:sz w:val="24"/>
          <w:szCs w:val="24"/>
          <w:lang w:val="en-US"/>
        </w:rPr>
        <w:t xml:space="preserve"> recruitment patterns</w:t>
      </w:r>
      <w:r w:rsidR="00C25214" w:rsidRPr="00165ED2">
        <w:rPr>
          <w:rFonts w:ascii="Times New Roman" w:eastAsia="MS Mincho" w:hAnsi="Times New Roman" w:cs="Times New Roman"/>
          <w:bCs/>
          <w:sz w:val="24"/>
          <w:szCs w:val="24"/>
          <w:lang w:val="en-US"/>
        </w:rPr>
        <w:t xml:space="preserve">, with </w:t>
      </w:r>
      <w:proofErr w:type="spellStart"/>
      <w:r w:rsidR="00C25214" w:rsidRPr="00165ED2">
        <w:rPr>
          <w:rFonts w:ascii="Times New Roman" w:eastAsia="MS Mincho" w:hAnsi="Times New Roman" w:cs="Times New Roman"/>
          <w:bCs/>
          <w:sz w:val="24"/>
          <w:szCs w:val="24"/>
          <w:lang w:val="en-US"/>
        </w:rPr>
        <w:t>Copp</w:t>
      </w:r>
      <w:proofErr w:type="spellEnd"/>
      <w:r w:rsidR="00C25214" w:rsidRPr="00165ED2">
        <w:rPr>
          <w:rFonts w:ascii="Times New Roman" w:eastAsia="MS Mincho" w:hAnsi="Times New Roman" w:cs="Times New Roman"/>
          <w:bCs/>
          <w:sz w:val="24"/>
          <w:szCs w:val="24"/>
          <w:lang w:val="en-US"/>
        </w:rPr>
        <w:t xml:space="preserve"> et al</w:t>
      </w:r>
      <w:r w:rsidR="0097229B" w:rsidRPr="00165ED2">
        <w:rPr>
          <w:rFonts w:ascii="Times New Roman" w:eastAsia="MS Mincho" w:hAnsi="Times New Roman" w:cs="Times New Roman"/>
          <w:bCs/>
          <w:sz w:val="24"/>
          <w:szCs w:val="24"/>
          <w:lang w:val="en-US"/>
        </w:rPr>
        <w:t>.</w:t>
      </w:r>
      <w:r w:rsidR="00C25214" w:rsidRPr="00165ED2">
        <w:rPr>
          <w:rFonts w:ascii="Times New Roman" w:eastAsia="MS Mincho" w:hAnsi="Times New Roman" w:cs="Times New Roman"/>
          <w:bCs/>
          <w:sz w:val="24"/>
          <w:szCs w:val="24"/>
          <w:lang w:val="en-US"/>
        </w:rPr>
        <w:t xml:space="preserve"> demonstrating that exercise above CS was accompanied by disproportionate increases in blood flow to </w:t>
      </w:r>
      <w:r w:rsidR="006A66AC" w:rsidRPr="00165ED2">
        <w:rPr>
          <w:rFonts w:ascii="Times New Roman" w:eastAsia="MS Mincho" w:hAnsi="Times New Roman" w:cs="Times New Roman"/>
          <w:bCs/>
          <w:sz w:val="24"/>
          <w:szCs w:val="24"/>
          <w:lang w:val="en-US"/>
        </w:rPr>
        <w:t xml:space="preserve"> </w:t>
      </w:r>
      <w:r w:rsidR="00C25214" w:rsidRPr="00165ED2">
        <w:rPr>
          <w:rFonts w:ascii="Times New Roman" w:eastAsia="MS Mincho" w:hAnsi="Times New Roman" w:cs="Times New Roman"/>
          <w:bCs/>
          <w:sz w:val="24"/>
          <w:szCs w:val="24"/>
          <w:lang w:val="en-US"/>
        </w:rPr>
        <w:t xml:space="preserve">type IIb/d/x </w:t>
      </w:r>
      <w:proofErr w:type="spellStart"/>
      <w:r w:rsidR="00C25214" w:rsidRPr="00165ED2">
        <w:rPr>
          <w:rFonts w:ascii="Times New Roman" w:eastAsia="MS Mincho" w:hAnsi="Times New Roman" w:cs="Times New Roman"/>
          <w:bCs/>
          <w:sz w:val="24"/>
          <w:szCs w:val="24"/>
          <w:lang w:val="en-US"/>
        </w:rPr>
        <w:t>fibres</w:t>
      </w:r>
      <w:proofErr w:type="spellEnd"/>
      <w:r w:rsidR="00C25214" w:rsidRPr="00165ED2">
        <w:rPr>
          <w:rFonts w:ascii="Times New Roman" w:eastAsia="MS Mincho" w:hAnsi="Times New Roman" w:cs="Times New Roman"/>
          <w:bCs/>
          <w:sz w:val="24"/>
          <w:szCs w:val="24"/>
          <w:lang w:val="en-US"/>
        </w:rPr>
        <w:t xml:space="preserve"> in the rat hindlimb muscle </w:t>
      </w:r>
      <w:r w:rsidR="006A66AC" w:rsidRPr="00165ED2">
        <w:rPr>
          <w:rFonts w:ascii="Times New Roman" w:eastAsia="MS Mincho" w:hAnsi="Times New Roman" w:cs="Times New Roman"/>
          <w:bCs/>
          <w:sz w:val="24"/>
          <w:szCs w:val="24"/>
          <w:lang w:val="en-US"/>
        </w:rPr>
        <w:fldChar w:fldCharType="begin"/>
      </w:r>
      <w:r w:rsidR="007A3303" w:rsidRPr="00165ED2">
        <w:rPr>
          <w:rFonts w:ascii="Times New Roman" w:eastAsia="MS Mincho" w:hAnsi="Times New Roman" w:cs="Times New Roman"/>
          <w:bCs/>
          <w:sz w:val="24"/>
          <w:szCs w:val="24"/>
          <w:lang w:val="en-US"/>
        </w:rPr>
        <w:instrText xml:space="preserve"> ADDIN ZOTERO_ITEM CSL_CITATION {"citationID":"WjS5xrF4","properties":{"formattedCitation":"[25]","plainCitation":"[25]","noteIndex":0},"citationItems":[{"id":282,"uris":["http://zotero.org/users/5056530/items/4WKHHGM8"],"itemData":{"id":282,"type":"article-journal","abstract":"Critical speed (CS) constitutes an important metabolic and performance demarcator. However, active skeletal muscle blood flow distribution specifically surrounding CS remains unknown. We tested the hypotheses that CS could be accurately determined in the running rat and that measurement of hindlimb inter- and intramuscular blood flow below and above CS would support that the greatest muscle fibre recruitment above, relative to below, CS occurs in the predominantly glycolytic muscles. Seven male Sprague-Dawley rats performed five constant-speed tests to exhaustion at speeds between 95 and 115% of the speed that elicited to determine CS. Subsequent constant-speed tests were performed at speeds incrementally surrounding CS to determine time to exhaustion, V(O2), and hindlimb muscle blood flow distribution. Speed and time to exhaustion conformed to a hyperbolic relationship (r(2) = 0.92 ± 0.03) which corresponded to a linear 1/time function (r(2) = 0.93 ± 0.02) with a CS of 48.6 ± 1.0 m min(-1). Time to exhaustion below CS was </w:instrText>
      </w:r>
      <w:r w:rsidR="007A3303" w:rsidRPr="00165ED2">
        <w:rPr>
          <w:rFonts w:ascii="Cambria Math" w:eastAsia="MS Mincho" w:hAnsi="Cambria Math" w:cs="Cambria Math"/>
          <w:bCs/>
          <w:sz w:val="24"/>
          <w:szCs w:val="24"/>
          <w:lang w:val="en-US"/>
        </w:rPr>
        <w:instrText>∼</w:instrText>
      </w:r>
      <w:r w:rsidR="007A3303" w:rsidRPr="00165ED2">
        <w:rPr>
          <w:rFonts w:ascii="Times New Roman" w:eastAsia="MS Mincho" w:hAnsi="Times New Roman" w:cs="Times New Roman"/>
          <w:bCs/>
          <w:sz w:val="24"/>
          <w:szCs w:val="24"/>
          <w:lang w:val="en-US"/>
        </w:rPr>
        <w:instrText xml:space="preserve"> 5× greater (P &lt; 0.01) than that above. Below CS V(O2) stabilized at a submaximal value (58.5 ± 2.5 ml kg(-1) min(-1)) whereas above CS (81.7 ± 2.5 ml kg(-1) min(-1)) increased to (84.0 ± 1.8 ml kg(-1) min(-1), P &gt; 0.05 vs. above CS). The 11 individual muscles or muscle parts that evidenced the greatest blood flow increases above, relative to below, CS were composed of ≥ 69% Type IIb/d/x muscle fibres. Moreover, there was a significant correlation (P &lt; 0.05, r = 0.42) between the increased blood flow above expressed relative to below CS and the percentage Type IIb/d/x fibres found in the individual muscles or muscle parts. These data validate the powerful CS construct in the rat and identify that running above CS, relative to below CS, incurs disproportionate blood flow increases (indicative of recruitment) in predominantly highly glycolytic muscle fibres.","container-title":"The Journal of Physiology","DOI":"10.1113/jphysiol.2010.198382","ISSN":"1469-7793","issue":"Pt 24","journalAbbreviation":"J. Physiol. (Lond.)","language":"eng","note":"PMID: 20962004\nPMCID: PMC3036198","page":"5077-5087","source":"PubMed","title":"Critical speed in the rat: implications for hindlimb muscle blood flow distribution and fibre recruitment","title-short":"Critical speed in the rat","volume":"588","author":[{"family":"Copp","given":"Steven W."},{"family":"Hirai","given":"Daniel M."},{"family":"Musch","given":"Timothy I."},{"family":"Poole","given":"David C."}],"issued":{"date-parts":[["2010",12,15]]}}}],"schema":"https://github.com/citation-style-language/schema/raw/master/csl-citation.json"} </w:instrText>
      </w:r>
      <w:r w:rsidR="006A66AC" w:rsidRPr="00165ED2">
        <w:rPr>
          <w:rFonts w:ascii="Times New Roman" w:eastAsia="MS Mincho" w:hAnsi="Times New Roman" w:cs="Times New Roman"/>
          <w:bCs/>
          <w:sz w:val="24"/>
          <w:szCs w:val="24"/>
          <w:lang w:val="en-US"/>
        </w:rPr>
        <w:fldChar w:fldCharType="separate"/>
      </w:r>
      <w:r w:rsidR="007A3303" w:rsidRPr="00165ED2">
        <w:rPr>
          <w:rFonts w:ascii="Times New Roman" w:hAnsi="Times New Roman" w:cs="Times New Roman"/>
          <w:sz w:val="24"/>
        </w:rPr>
        <w:t>[25]</w:t>
      </w:r>
      <w:r w:rsidR="006A66AC" w:rsidRPr="00165ED2">
        <w:rPr>
          <w:rFonts w:ascii="Times New Roman" w:eastAsia="MS Mincho" w:hAnsi="Times New Roman" w:cs="Times New Roman"/>
          <w:bCs/>
          <w:sz w:val="24"/>
          <w:szCs w:val="24"/>
          <w:lang w:val="en-US"/>
        </w:rPr>
        <w:fldChar w:fldCharType="end"/>
      </w:r>
      <w:r w:rsidR="0097229B" w:rsidRPr="00165ED2">
        <w:rPr>
          <w:rFonts w:ascii="Times New Roman" w:eastAsia="MS Mincho" w:hAnsi="Times New Roman" w:cs="Times New Roman"/>
          <w:bCs/>
          <w:sz w:val="24"/>
          <w:szCs w:val="24"/>
          <w:lang w:val="en-US"/>
        </w:rPr>
        <w:t>.</w:t>
      </w:r>
    </w:p>
    <w:p w14:paraId="0AF747A2" w14:textId="61BF2E2D" w:rsidR="00C153E3" w:rsidRPr="00165ED2" w:rsidRDefault="005A3F39" w:rsidP="00F81405">
      <w:pPr>
        <w:spacing w:line="480" w:lineRule="auto"/>
        <w:ind w:firstLine="720"/>
        <w:jc w:val="both"/>
        <w:rPr>
          <w:rFonts w:ascii="Times New Roman" w:hAnsi="Times New Roman" w:cs="Times New Roman"/>
          <w:bCs/>
          <w:sz w:val="24"/>
          <w:szCs w:val="24"/>
        </w:rPr>
      </w:pPr>
      <w:r w:rsidRPr="00165ED2">
        <w:rPr>
          <w:rFonts w:ascii="Times New Roman" w:eastAsiaTheme="minorEastAsia" w:hAnsi="Times New Roman" w:cs="Times New Roman"/>
          <w:bCs/>
          <w:sz w:val="24"/>
          <w:szCs w:val="24"/>
        </w:rPr>
        <w:t>Despite C</w:t>
      </w:r>
      <w:r w:rsidR="008F1729" w:rsidRPr="00165ED2">
        <w:rPr>
          <w:rFonts w:ascii="Times New Roman" w:eastAsiaTheme="minorEastAsia" w:hAnsi="Times New Roman" w:cs="Times New Roman"/>
          <w:bCs/>
          <w:sz w:val="24"/>
          <w:szCs w:val="24"/>
        </w:rPr>
        <w:t>P</w:t>
      </w:r>
      <w:r w:rsidRPr="00165ED2">
        <w:rPr>
          <w:rFonts w:ascii="Times New Roman" w:eastAsiaTheme="minorEastAsia" w:hAnsi="Times New Roman" w:cs="Times New Roman"/>
          <w:bCs/>
          <w:sz w:val="24"/>
          <w:szCs w:val="24"/>
        </w:rPr>
        <w:t xml:space="preserve">, and its analogues of external expression </w:t>
      </w:r>
      <w:r w:rsidR="008F1729" w:rsidRPr="00165ED2">
        <w:rPr>
          <w:rFonts w:ascii="Times New Roman" w:eastAsiaTheme="minorEastAsia" w:hAnsi="Times New Roman" w:cs="Times New Roman"/>
          <w:bCs/>
          <w:sz w:val="24"/>
          <w:szCs w:val="24"/>
        </w:rPr>
        <w:t>(i.e. critical speed, torque, force, etc</w:t>
      </w:r>
      <w:r w:rsidR="0099297F" w:rsidRPr="00165ED2">
        <w:rPr>
          <w:rFonts w:ascii="Times New Roman" w:eastAsiaTheme="minorEastAsia" w:hAnsi="Times New Roman" w:cs="Times New Roman"/>
          <w:bCs/>
          <w:sz w:val="24"/>
          <w:szCs w:val="24"/>
        </w:rPr>
        <w:t>.</w:t>
      </w:r>
      <w:r w:rsidR="008F1729" w:rsidRPr="00165ED2">
        <w:rPr>
          <w:rFonts w:ascii="Times New Roman" w:eastAsiaTheme="minorEastAsia" w:hAnsi="Times New Roman" w:cs="Times New Roman"/>
          <w:bCs/>
          <w:sz w:val="24"/>
          <w:szCs w:val="24"/>
        </w:rPr>
        <w:t xml:space="preserve">) being widely </w:t>
      </w:r>
      <w:r w:rsidR="0087282B" w:rsidRPr="00165ED2">
        <w:rPr>
          <w:rFonts w:ascii="Times New Roman" w:eastAsiaTheme="minorEastAsia" w:hAnsi="Times New Roman" w:cs="Times New Roman"/>
          <w:bCs/>
          <w:sz w:val="24"/>
          <w:szCs w:val="24"/>
        </w:rPr>
        <w:t xml:space="preserve">recognised as reflecting the threshold intensity above which </w:t>
      </w:r>
      <w:r w:rsidR="008F1729" w:rsidRPr="00165ED2">
        <w:rPr>
          <w:rFonts w:ascii="Times New Roman" w:eastAsiaTheme="minorEastAsia" w:hAnsi="Times New Roman" w:cs="Times New Roman"/>
          <w:bCs/>
          <w:sz w:val="24"/>
          <w:szCs w:val="24"/>
        </w:rPr>
        <w:t>a metabolic steady state can</w:t>
      </w:r>
      <w:r w:rsidR="0087282B" w:rsidRPr="00165ED2">
        <w:rPr>
          <w:rFonts w:ascii="Times New Roman" w:eastAsiaTheme="minorEastAsia" w:hAnsi="Times New Roman" w:cs="Times New Roman"/>
          <w:bCs/>
          <w:sz w:val="24"/>
          <w:szCs w:val="24"/>
        </w:rPr>
        <w:t>not</w:t>
      </w:r>
      <w:r w:rsidR="008F1729" w:rsidRPr="00165ED2">
        <w:rPr>
          <w:rFonts w:ascii="Times New Roman" w:eastAsiaTheme="minorEastAsia" w:hAnsi="Times New Roman" w:cs="Times New Roman"/>
          <w:bCs/>
          <w:sz w:val="24"/>
          <w:szCs w:val="24"/>
        </w:rPr>
        <w:t xml:space="preserve"> be sustained, its physiological antecedents have previously been </w:t>
      </w:r>
      <w:r w:rsidR="0009630A" w:rsidRPr="00165ED2">
        <w:rPr>
          <w:rFonts w:ascii="Times New Roman" w:eastAsiaTheme="minorEastAsia" w:hAnsi="Times New Roman" w:cs="Times New Roman"/>
          <w:bCs/>
          <w:sz w:val="24"/>
          <w:szCs w:val="24"/>
        </w:rPr>
        <w:t>obscure</w:t>
      </w:r>
      <w:r w:rsidR="008F1729" w:rsidRPr="00165ED2">
        <w:rPr>
          <w:rFonts w:ascii="Times New Roman" w:eastAsiaTheme="minorEastAsia" w:hAnsi="Times New Roman" w:cs="Times New Roman"/>
          <w:bCs/>
          <w:sz w:val="24"/>
          <w:szCs w:val="24"/>
        </w:rPr>
        <w:t xml:space="preserve">. </w:t>
      </w:r>
      <w:r w:rsidR="00F0213A" w:rsidRPr="00165ED2">
        <w:rPr>
          <w:rFonts w:ascii="Times New Roman" w:eastAsiaTheme="minorEastAsia" w:hAnsi="Times New Roman" w:cs="Times New Roman"/>
          <w:bCs/>
          <w:sz w:val="24"/>
          <w:szCs w:val="24"/>
        </w:rPr>
        <w:t xml:space="preserve">Tables 1 &amp; 2 detail interventional and observational approaches to understanding CP. </w:t>
      </w:r>
      <w:r w:rsidR="001C0B05" w:rsidRPr="00165ED2">
        <w:rPr>
          <w:rFonts w:ascii="Times New Roman" w:eastAsiaTheme="minorEastAsia" w:hAnsi="Times New Roman" w:cs="Times New Roman"/>
          <w:bCs/>
          <w:sz w:val="24"/>
          <w:szCs w:val="24"/>
        </w:rPr>
        <w:t>Prior to the year 20</w:t>
      </w:r>
      <w:r w:rsidR="00726BD5" w:rsidRPr="00165ED2">
        <w:rPr>
          <w:rFonts w:ascii="Times New Roman" w:eastAsiaTheme="minorEastAsia" w:hAnsi="Times New Roman" w:cs="Times New Roman"/>
          <w:bCs/>
          <w:sz w:val="24"/>
          <w:szCs w:val="24"/>
        </w:rPr>
        <w:t>1</w:t>
      </w:r>
      <w:r w:rsidR="001C0B05" w:rsidRPr="00165ED2">
        <w:rPr>
          <w:rFonts w:ascii="Times New Roman" w:eastAsiaTheme="minorEastAsia" w:hAnsi="Times New Roman" w:cs="Times New Roman"/>
          <w:bCs/>
          <w:sz w:val="24"/>
          <w:szCs w:val="24"/>
        </w:rPr>
        <w:t xml:space="preserve">0, intervention studies on CP were </w:t>
      </w:r>
      <w:r w:rsidR="00F0213A" w:rsidRPr="00165ED2">
        <w:rPr>
          <w:rFonts w:ascii="Times New Roman" w:eastAsiaTheme="minorEastAsia" w:hAnsi="Times New Roman" w:cs="Times New Roman"/>
          <w:bCs/>
          <w:sz w:val="24"/>
          <w:szCs w:val="24"/>
        </w:rPr>
        <w:t xml:space="preserve">scant, and </w:t>
      </w:r>
      <w:r w:rsidR="001C0B05" w:rsidRPr="00165ED2">
        <w:rPr>
          <w:rFonts w:ascii="Times New Roman" w:eastAsiaTheme="minorEastAsia" w:hAnsi="Times New Roman" w:cs="Times New Roman"/>
          <w:bCs/>
          <w:sz w:val="24"/>
          <w:szCs w:val="24"/>
        </w:rPr>
        <w:t xml:space="preserve">primarily confined to the effect of exercise training alongside additional measures of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99297F" w:rsidRPr="00165ED2">
        <w:rPr>
          <w:rFonts w:ascii="Times New Roman" w:eastAsiaTheme="minorEastAsia" w:hAnsi="Times New Roman" w:cs="Times New Roman"/>
          <w:bCs/>
          <w:sz w:val="24"/>
          <w:szCs w:val="24"/>
        </w:rPr>
        <w:t>O</w:t>
      </w:r>
      <w:r w:rsidR="0099297F" w:rsidRPr="00165ED2">
        <w:rPr>
          <w:rFonts w:ascii="Times New Roman" w:eastAsiaTheme="minorEastAsia" w:hAnsi="Times New Roman" w:cs="Times New Roman"/>
          <w:bCs/>
          <w:sz w:val="24"/>
          <w:szCs w:val="24"/>
          <w:vertAlign w:val="subscript"/>
        </w:rPr>
        <w:t>2max</w:t>
      </w:r>
      <w:r w:rsidR="0099297F" w:rsidRPr="00165ED2" w:rsidDel="0099297F">
        <w:rPr>
          <w:rFonts w:ascii="Times New Roman" w:eastAsiaTheme="minorEastAsia" w:hAnsi="Times New Roman" w:cs="Times New Roman"/>
          <w:bCs/>
          <w:sz w:val="24"/>
          <w:szCs w:val="24"/>
        </w:rPr>
        <w:t xml:space="preserve"> </w:t>
      </w:r>
      <w:r w:rsidR="001C0B05" w:rsidRPr="00165ED2">
        <w:rPr>
          <w:rFonts w:ascii="Times New Roman" w:eastAsiaTheme="minorEastAsia" w:hAnsi="Times New Roman" w:cs="Times New Roman"/>
          <w:bCs/>
          <w:sz w:val="24"/>
          <w:szCs w:val="24"/>
        </w:rPr>
        <w:t>and the gas exchange</w:t>
      </w:r>
      <w:r w:rsidR="0099297F" w:rsidRPr="00165ED2">
        <w:rPr>
          <w:rFonts w:ascii="Times New Roman" w:eastAsiaTheme="minorEastAsia" w:hAnsi="Times New Roman" w:cs="Times New Roman"/>
          <w:bCs/>
          <w:sz w:val="24"/>
          <w:szCs w:val="24"/>
        </w:rPr>
        <w:t xml:space="preserve"> threshold</w:t>
      </w:r>
      <w:r w:rsidR="001C0B05" w:rsidRPr="00165ED2">
        <w:rPr>
          <w:rFonts w:ascii="Times New Roman" w:eastAsiaTheme="minorEastAsia" w:hAnsi="Times New Roman" w:cs="Times New Roman"/>
          <w:bCs/>
          <w:sz w:val="24"/>
          <w:szCs w:val="24"/>
        </w:rPr>
        <w:t>/</w:t>
      </w:r>
      <w:r w:rsidR="0099297F" w:rsidRPr="00165ED2">
        <w:rPr>
          <w:rFonts w:ascii="Times New Roman" w:eastAsiaTheme="minorEastAsia" w:hAnsi="Times New Roman" w:cs="Times New Roman"/>
          <w:bCs/>
          <w:sz w:val="24"/>
          <w:szCs w:val="24"/>
        </w:rPr>
        <w:t xml:space="preserve">LT </w:t>
      </w:r>
      <w:r w:rsidR="001C0B05" w:rsidRPr="00165ED2">
        <w:rPr>
          <w:rFonts w:ascii="Times New Roman" w:eastAsiaTheme="minorEastAsia" w:hAnsi="Times New Roman" w:cs="Times New Roman"/>
          <w:bCs/>
          <w:sz w:val="24"/>
          <w:szCs w:val="24"/>
        </w:rPr>
        <w:t>only</w:t>
      </w:r>
      <w:r w:rsidR="00726BD5" w:rsidRPr="00165ED2">
        <w:rPr>
          <w:rFonts w:ascii="Times New Roman" w:eastAsiaTheme="minorEastAsia" w:hAnsi="Times New Roman" w:cs="Times New Roman"/>
          <w:bCs/>
          <w:sz w:val="24"/>
          <w:szCs w:val="24"/>
        </w:rPr>
        <w:t>, although one of the earliest studies on CP did show an independent effect of O</w:t>
      </w:r>
      <w:r w:rsidR="00726BD5" w:rsidRPr="00165ED2">
        <w:rPr>
          <w:rFonts w:ascii="Times New Roman" w:eastAsiaTheme="minorEastAsia" w:hAnsi="Times New Roman" w:cs="Times New Roman"/>
          <w:bCs/>
          <w:sz w:val="24"/>
          <w:szCs w:val="24"/>
          <w:vertAlign w:val="subscript"/>
        </w:rPr>
        <w:t>2</w:t>
      </w:r>
      <w:r w:rsidR="00726BD5" w:rsidRPr="00165ED2">
        <w:rPr>
          <w:rFonts w:ascii="Times New Roman" w:eastAsiaTheme="minorEastAsia" w:hAnsi="Times New Roman" w:cs="Times New Roman"/>
          <w:bCs/>
          <w:sz w:val="24"/>
          <w:szCs w:val="24"/>
        </w:rPr>
        <w:t xml:space="preserve"> availability on CP (albeit in just 2 participants; </w:t>
      </w:r>
      <w:r w:rsidR="0099297F" w:rsidRPr="00165ED2">
        <w:rPr>
          <w:rFonts w:ascii="Times New Roman" w:eastAsiaTheme="minorEastAsia" w:hAnsi="Times New Roman" w:cs="Times New Roman"/>
          <w:bCs/>
          <w:sz w:val="24"/>
          <w:szCs w:val="24"/>
        </w:rPr>
        <w:t xml:space="preserve"> </w:t>
      </w:r>
      <w:r w:rsidR="0099297F"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UKBEKOW5","properties":{"formattedCitation":"[21]","plainCitation":"[21]","noteIndex":0},"citationItems":[{"id":278,"uris":["http://zotero.org/users/5056530/items/KBSS4CTK"],"itemData":{"id":278,"type":"article-journal","container-title":"Ergonomics","DOI":"10.1080/00140138108924856","ISSN":"0014-0139","issue":"5","journalAbbreviation":"Ergonomics","language":"eng","note":"PMID: 7262059","page":"339-350","source":"PubMed","title":"Critical power as a measure of physical work capacity and anaerobic threshold","volume":"24","author":[{"family":"Moritani","given":"T."},{"family":"Nagata","given":"A."},{"family":"deVries","given":"H. A."},{"family":"Muro","given":"M."}],"issued":{"date-parts":[["1981",5]]}}}],"schema":"https://github.com/citation-style-language/schema/raw/master/csl-citation.json"} </w:instrText>
      </w:r>
      <w:r w:rsidR="0099297F"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[21]</w:t>
      </w:r>
      <w:r w:rsidR="0099297F" w:rsidRPr="00165ED2">
        <w:rPr>
          <w:rFonts w:ascii="Times New Roman" w:eastAsiaTheme="minorEastAsia" w:hAnsi="Times New Roman" w:cs="Times New Roman"/>
          <w:bCs/>
          <w:sz w:val="24"/>
          <w:szCs w:val="24"/>
        </w:rPr>
        <w:fldChar w:fldCharType="end"/>
      </w:r>
      <w:r w:rsidR="00726BD5" w:rsidRPr="00165ED2">
        <w:rPr>
          <w:rFonts w:ascii="Times New Roman" w:eastAsiaTheme="minorEastAsia" w:hAnsi="Times New Roman" w:cs="Times New Roman"/>
          <w:bCs/>
          <w:sz w:val="24"/>
          <w:szCs w:val="24"/>
        </w:rPr>
        <w:t xml:space="preserve">). Nevertheless, such findings supported the notion of CP as being a parameter of aerobic function </w:t>
      </w:r>
      <w:r w:rsidR="003E2849"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{"citationID":"XCzuiMDj","properties":{"formattedCitation":"[20]","plainCitation":"[20]","noteIndex":0},"citationItems":[{"id":276,"uris":["http://zotero.org/users/5056530/items/JC2A2I8S"],"itemData":{"id":276,"type":"article-journal","abstract":"A new conception of dynamic or static muscular work tests is presented. The authors define the critical power of a muscular work from the notions of maximum work and maximum time of work. The work capacity is then considered in the case of dynamic work, and of continuous or intermittent static work. From the data presented it is possible to define the maximum amount of work that can be performed in a given time as well as the conditions of work performed without fatigue","container-title":"Ergonomics","DOI":"10.1080/00140136508930810","ISSN":"0014-0139","issue":"3","page":"329-338","source":"Taylor and Francis+NEJM","title":"The Work Capacity of a Synergic Muscular Group","volume":"8","author":[{"family":"Monod","given":"H."},{"family":"Scherrer","given":"J."}],"issued":{"date-parts":[["1965",7,1]]}}}],"schema":"https://github.com/citation-style-language/schema/raw/master/csl-citation.json"} </w:instrText>
      </w:r>
      <w:r w:rsidR="003E2849"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[20]</w:t>
      </w:r>
      <w:r w:rsidR="003E2849" w:rsidRPr="00165ED2">
        <w:rPr>
          <w:rFonts w:ascii="Times New Roman" w:eastAsiaTheme="minorEastAsia" w:hAnsi="Times New Roman" w:cs="Times New Roman"/>
          <w:bCs/>
          <w:sz w:val="24"/>
          <w:szCs w:val="24"/>
        </w:rPr>
        <w:fldChar w:fldCharType="end"/>
      </w:r>
      <w:r w:rsidR="00726BD5" w:rsidRPr="00165ED2">
        <w:rPr>
          <w:rFonts w:ascii="Times New Roman" w:eastAsiaTheme="minorEastAsia" w:hAnsi="Times New Roman" w:cs="Times New Roman"/>
          <w:bCs/>
          <w:sz w:val="24"/>
          <w:szCs w:val="24"/>
        </w:rPr>
        <w:t>.  In contrast, since 2010</w:t>
      </w:r>
      <w:r w:rsidR="008F1729" w:rsidRPr="00165ED2">
        <w:rPr>
          <w:rFonts w:ascii="Times New Roman" w:eastAsiaTheme="minorEastAsia" w:hAnsi="Times New Roman" w:cs="Times New Roman"/>
          <w:bCs/>
          <w:sz w:val="24"/>
          <w:szCs w:val="24"/>
        </w:rPr>
        <w:t xml:space="preserve"> </w:t>
      </w:r>
      <w:r w:rsidR="00AB1966" w:rsidRPr="00165ED2">
        <w:rPr>
          <w:rFonts w:ascii="Times New Roman" w:eastAsiaTheme="minorEastAsia" w:hAnsi="Times New Roman" w:cs="Times New Roman"/>
          <w:bCs/>
          <w:sz w:val="24"/>
          <w:szCs w:val="24"/>
        </w:rPr>
        <w:t>multiple</w:t>
      </w:r>
      <w:r w:rsidR="008F1729" w:rsidRPr="00165ED2">
        <w:rPr>
          <w:rFonts w:ascii="Times New Roman" w:eastAsiaTheme="minorEastAsia" w:hAnsi="Times New Roman" w:cs="Times New Roman"/>
          <w:bCs/>
          <w:sz w:val="24"/>
          <w:szCs w:val="24"/>
        </w:rPr>
        <w:t xml:space="preserve"> experimental approaches have revealed those factors which, directly or indirectly, determine CP. </w:t>
      </w:r>
      <w:r w:rsidR="00D33468" w:rsidRPr="00165ED2">
        <w:rPr>
          <w:rFonts w:ascii="Times New Roman" w:hAnsi="Times New Roman" w:cs="Times New Roman"/>
          <w:bCs/>
          <w:sz w:val="24"/>
          <w:szCs w:val="24"/>
        </w:rPr>
        <w:t>The purpose of th</w:t>
      </w:r>
      <w:r w:rsidR="008F1729" w:rsidRPr="00165ED2">
        <w:rPr>
          <w:rFonts w:ascii="Times New Roman" w:hAnsi="Times New Roman" w:cs="Times New Roman"/>
          <w:bCs/>
          <w:sz w:val="24"/>
          <w:szCs w:val="24"/>
        </w:rPr>
        <w:t>e present</w:t>
      </w:r>
      <w:r w:rsidR="00D33468" w:rsidRPr="00165ED2">
        <w:rPr>
          <w:rFonts w:ascii="Times New Roman" w:hAnsi="Times New Roman" w:cs="Times New Roman"/>
          <w:bCs/>
          <w:sz w:val="24"/>
          <w:szCs w:val="24"/>
        </w:rPr>
        <w:t xml:space="preserve"> review is therefore to </w:t>
      </w:r>
      <w:r w:rsidR="008F1729" w:rsidRPr="00165ED2">
        <w:rPr>
          <w:rFonts w:ascii="Times New Roman" w:hAnsi="Times New Roman" w:cs="Times New Roman"/>
          <w:bCs/>
          <w:sz w:val="24"/>
          <w:szCs w:val="24"/>
        </w:rPr>
        <w:t xml:space="preserve">examine </w:t>
      </w:r>
      <w:r w:rsidR="00D33468" w:rsidRPr="00165ED2">
        <w:rPr>
          <w:rFonts w:ascii="Times New Roman" w:hAnsi="Times New Roman" w:cs="Times New Roman"/>
          <w:bCs/>
          <w:sz w:val="24"/>
          <w:szCs w:val="24"/>
        </w:rPr>
        <w:t xml:space="preserve">the physiological </w:t>
      </w:r>
      <w:r w:rsidR="005A113D" w:rsidRPr="00165ED2">
        <w:rPr>
          <w:rFonts w:ascii="Times New Roman" w:hAnsi="Times New Roman" w:cs="Times New Roman"/>
          <w:bCs/>
          <w:sz w:val="24"/>
          <w:szCs w:val="24"/>
        </w:rPr>
        <w:t xml:space="preserve">and </w:t>
      </w:r>
      <w:r w:rsidR="005A113D" w:rsidRPr="00165ED2">
        <w:rPr>
          <w:rFonts w:ascii="Times New Roman" w:hAnsi="Times New Roman" w:cs="Times New Roman"/>
          <w:bCs/>
          <w:sz w:val="24"/>
          <w:szCs w:val="24"/>
        </w:rPr>
        <w:lastRenderedPageBreak/>
        <w:t xml:space="preserve">biochemical </w:t>
      </w:r>
      <w:r w:rsidR="00D33468" w:rsidRPr="00165ED2">
        <w:rPr>
          <w:rFonts w:ascii="Times New Roman" w:hAnsi="Times New Roman" w:cs="Times New Roman"/>
          <w:bCs/>
          <w:sz w:val="24"/>
          <w:szCs w:val="24"/>
        </w:rPr>
        <w:t xml:space="preserve">underpinnings of this </w:t>
      </w:r>
      <w:r w:rsidR="00B41883" w:rsidRPr="00165ED2">
        <w:rPr>
          <w:rFonts w:ascii="Times New Roman" w:hAnsi="Times New Roman" w:cs="Times New Roman"/>
          <w:bCs/>
          <w:sz w:val="24"/>
          <w:szCs w:val="24"/>
        </w:rPr>
        <w:t xml:space="preserve">fundamental </w:t>
      </w:r>
      <w:r w:rsidR="00D33468" w:rsidRPr="00165ED2">
        <w:rPr>
          <w:rFonts w:ascii="Times New Roman" w:hAnsi="Times New Roman" w:cs="Times New Roman"/>
          <w:bCs/>
          <w:sz w:val="24"/>
          <w:szCs w:val="24"/>
        </w:rPr>
        <w:t>parameter</w:t>
      </w:r>
      <w:r w:rsidR="00B41883" w:rsidRPr="00165ED2">
        <w:rPr>
          <w:rFonts w:ascii="Times New Roman" w:hAnsi="Times New Roman" w:cs="Times New Roman"/>
          <w:bCs/>
          <w:sz w:val="24"/>
          <w:szCs w:val="24"/>
        </w:rPr>
        <w:t xml:space="preserve"> of exercise tolerance</w:t>
      </w:r>
      <w:r w:rsidR="00D33468" w:rsidRPr="00165ED2">
        <w:rPr>
          <w:rFonts w:ascii="Times New Roman" w:hAnsi="Times New Roman" w:cs="Times New Roman"/>
          <w:bCs/>
          <w:sz w:val="24"/>
          <w:szCs w:val="24"/>
        </w:rPr>
        <w:t xml:space="preserve">. Particular attention will be paid to evidence generated over the last </w:t>
      </w:r>
      <w:r w:rsidR="00F0213A" w:rsidRPr="00165ED2">
        <w:rPr>
          <w:rFonts w:ascii="Times New Roman" w:hAnsi="Times New Roman" w:cs="Times New Roman"/>
          <w:bCs/>
          <w:sz w:val="24"/>
          <w:szCs w:val="24"/>
        </w:rPr>
        <w:t>10 - 12</w:t>
      </w:r>
      <w:r w:rsidR="0097229B" w:rsidRPr="00165ED2">
        <w:rPr>
          <w:rFonts w:ascii="Times New Roman" w:hAnsi="Times New Roman" w:cs="Times New Roman"/>
          <w:bCs/>
          <w:sz w:val="24"/>
          <w:szCs w:val="24"/>
        </w:rPr>
        <w:t xml:space="preserve"> </w:t>
      </w:r>
      <w:r w:rsidR="00D33468" w:rsidRPr="00165ED2">
        <w:rPr>
          <w:rFonts w:ascii="Times New Roman" w:hAnsi="Times New Roman" w:cs="Times New Roman"/>
          <w:bCs/>
          <w:sz w:val="24"/>
          <w:szCs w:val="24"/>
        </w:rPr>
        <w:t xml:space="preserve">years </w:t>
      </w:r>
      <w:r w:rsidR="00377997" w:rsidRPr="00165ED2">
        <w:rPr>
          <w:rFonts w:ascii="Times New Roman" w:hAnsi="Times New Roman" w:cs="Times New Roman"/>
          <w:bCs/>
          <w:sz w:val="24"/>
          <w:szCs w:val="24"/>
        </w:rPr>
        <w:t xml:space="preserve">demonstrating </w:t>
      </w:r>
      <w:r w:rsidR="00D33468" w:rsidRPr="00165ED2">
        <w:rPr>
          <w:rFonts w:ascii="Times New Roman" w:hAnsi="Times New Roman" w:cs="Times New Roman"/>
          <w:bCs/>
          <w:sz w:val="24"/>
          <w:szCs w:val="24"/>
        </w:rPr>
        <w:t xml:space="preserve">that CP is a key parameter of aerobic function that can be </w:t>
      </w:r>
      <w:r w:rsidR="00377997" w:rsidRPr="00165ED2">
        <w:rPr>
          <w:rFonts w:ascii="Times New Roman" w:hAnsi="Times New Roman" w:cs="Times New Roman"/>
          <w:bCs/>
          <w:sz w:val="24"/>
          <w:szCs w:val="24"/>
        </w:rPr>
        <w:t xml:space="preserve">affected </w:t>
      </w:r>
      <w:r w:rsidR="00D33468" w:rsidRPr="00165ED2">
        <w:rPr>
          <w:rFonts w:ascii="Times New Roman" w:hAnsi="Times New Roman" w:cs="Times New Roman"/>
          <w:bCs/>
          <w:sz w:val="24"/>
          <w:szCs w:val="24"/>
        </w:rPr>
        <w:t>by any step in the O</w:t>
      </w:r>
      <w:r w:rsidR="00D33468" w:rsidRPr="00165ED2">
        <w:rPr>
          <w:rFonts w:ascii="Times New Roman" w:hAnsi="Times New Roman" w:cs="Times New Roman"/>
          <w:bCs/>
          <w:sz w:val="24"/>
          <w:szCs w:val="24"/>
          <w:vertAlign w:val="subscript"/>
        </w:rPr>
        <w:t>2</w:t>
      </w:r>
      <w:r w:rsidR="00D33468" w:rsidRPr="00165ED2">
        <w:rPr>
          <w:rFonts w:ascii="Times New Roman" w:hAnsi="Times New Roman" w:cs="Times New Roman"/>
          <w:bCs/>
          <w:sz w:val="24"/>
          <w:szCs w:val="24"/>
        </w:rPr>
        <w:t xml:space="preserve"> transport and utilization pathway.</w:t>
      </w:r>
    </w:p>
    <w:p w14:paraId="2963760D" w14:textId="67B4A504" w:rsidR="0082362C" w:rsidRPr="00165ED2" w:rsidRDefault="0082362C" w:rsidP="00F81405">
      <w:pPr>
        <w:spacing w:line="480" w:lineRule="auto"/>
        <w:ind w:firstLine="720"/>
        <w:jc w:val="both"/>
        <w:rPr>
          <w:rFonts w:ascii="Times New Roman" w:hAnsi="Times New Roman" w:cs="Times New Roman"/>
          <w:bCs/>
          <w:sz w:val="24"/>
          <w:szCs w:val="24"/>
        </w:rPr>
      </w:pPr>
    </w:p>
    <w:p w14:paraId="182B718F" w14:textId="4E82C805" w:rsidR="0082362C" w:rsidRPr="00165ED2" w:rsidRDefault="0082362C" w:rsidP="0082362C">
      <w:pPr>
        <w:spacing w:line="480" w:lineRule="auto"/>
        <w:ind w:firstLine="720"/>
        <w:jc w:val="center"/>
        <w:rPr>
          <w:rFonts w:ascii="Times New Roman" w:hAnsi="Times New Roman" w:cs="Times New Roman"/>
          <w:bCs/>
          <w:sz w:val="24"/>
          <w:szCs w:val="24"/>
        </w:rPr>
      </w:pPr>
      <w:r w:rsidRPr="00165ED2">
        <w:rPr>
          <w:rFonts w:ascii="Times New Roman" w:hAnsi="Times New Roman" w:cs="Times New Roman"/>
          <w:bCs/>
          <w:sz w:val="24"/>
          <w:szCs w:val="24"/>
        </w:rPr>
        <w:t>[INSERT TABLE 1 HERE]</w:t>
      </w:r>
    </w:p>
    <w:p w14:paraId="0A404016" w14:textId="0DF90F77" w:rsidR="0082362C" w:rsidRPr="00165ED2" w:rsidRDefault="0082362C" w:rsidP="0082362C">
      <w:pPr>
        <w:spacing w:line="480" w:lineRule="auto"/>
        <w:ind w:firstLine="720"/>
        <w:jc w:val="center"/>
        <w:rPr>
          <w:rFonts w:ascii="Times New Roman" w:hAnsi="Times New Roman" w:cs="Times New Roman"/>
          <w:bCs/>
          <w:sz w:val="24"/>
          <w:szCs w:val="24"/>
        </w:rPr>
      </w:pPr>
      <w:r w:rsidRPr="00165ED2">
        <w:rPr>
          <w:rFonts w:ascii="Times New Roman" w:hAnsi="Times New Roman" w:cs="Times New Roman"/>
          <w:bCs/>
          <w:sz w:val="24"/>
          <w:szCs w:val="24"/>
        </w:rPr>
        <w:t>[INSERT TABLE 2 HERE]</w:t>
      </w:r>
    </w:p>
    <w:p w14:paraId="26D30969" w14:textId="30E90FBA" w:rsidR="0082362C" w:rsidRPr="00165ED2" w:rsidRDefault="0082362C" w:rsidP="0082362C">
      <w:pPr>
        <w:spacing w:line="480" w:lineRule="auto"/>
        <w:ind w:firstLine="720"/>
        <w:jc w:val="center"/>
        <w:rPr>
          <w:rFonts w:ascii="Times New Roman" w:hAnsi="Times New Roman" w:cs="Times New Roman"/>
          <w:bCs/>
          <w:sz w:val="24"/>
          <w:szCs w:val="24"/>
        </w:rPr>
      </w:pPr>
    </w:p>
    <w:p w14:paraId="66EA6A6F" w14:textId="426555B5" w:rsidR="00A56F88" w:rsidRPr="00165ED2" w:rsidRDefault="00A56F88" w:rsidP="00012C55">
      <w:pPr>
        <w:pStyle w:val="ListParagraph"/>
        <w:numPr>
          <w:ilvl w:val="0"/>
          <w:numId w:val="5"/>
        </w:numPr>
        <w:spacing w:line="480" w:lineRule="auto"/>
        <w:jc w:val="both"/>
        <w:rPr>
          <w:rFonts w:ascii="Times New Roman" w:eastAsiaTheme="minorEastAsia" w:hAnsi="Times New Roman" w:cs="Times New Roman"/>
          <w:b/>
          <w:sz w:val="24"/>
          <w:szCs w:val="24"/>
        </w:rPr>
      </w:pPr>
      <w:r w:rsidRPr="00165ED2">
        <w:rPr>
          <w:rFonts w:ascii="Times New Roman" w:eastAsiaTheme="minorEastAsia" w:hAnsi="Times New Roman" w:cs="Times New Roman"/>
          <w:b/>
          <w:sz w:val="24"/>
          <w:szCs w:val="24"/>
        </w:rPr>
        <w:t>INTERACTION OF FACTORS DETERMINING CRITICAL POWER</w:t>
      </w:r>
    </w:p>
    <w:p w14:paraId="3CFBB0E9" w14:textId="2E0554A2" w:rsidR="00CE04AB" w:rsidRPr="00165ED2" w:rsidRDefault="00124898" w:rsidP="005A113D">
      <w:pPr>
        <w:spacing w:line="480" w:lineRule="auto"/>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 xml:space="preserve">That CP represents the </w:t>
      </w:r>
      <w:r w:rsidR="0087282B" w:rsidRPr="00165ED2">
        <w:rPr>
          <w:rFonts w:ascii="Times New Roman" w:eastAsiaTheme="minorEastAsia" w:hAnsi="Times New Roman" w:cs="Times New Roman"/>
          <w:bCs/>
          <w:sz w:val="24"/>
          <w:szCs w:val="24"/>
        </w:rPr>
        <w:t xml:space="preserve">threshold intensity above which </w:t>
      </w:r>
      <w:r w:rsidRPr="00165ED2">
        <w:rPr>
          <w:rFonts w:ascii="Times New Roman" w:eastAsiaTheme="minorEastAsia" w:hAnsi="Times New Roman" w:cs="Times New Roman"/>
          <w:bCs/>
          <w:sz w:val="24"/>
          <w:szCs w:val="24"/>
        </w:rPr>
        <w:t>exercise can</w:t>
      </w:r>
      <w:r w:rsidR="0087282B" w:rsidRPr="00165ED2">
        <w:rPr>
          <w:rFonts w:ascii="Times New Roman" w:eastAsiaTheme="minorEastAsia" w:hAnsi="Times New Roman" w:cs="Times New Roman"/>
          <w:bCs/>
          <w:sz w:val="24"/>
          <w:szCs w:val="24"/>
        </w:rPr>
        <w:t>not</w:t>
      </w:r>
      <w:r w:rsidRPr="00165ED2">
        <w:rPr>
          <w:rFonts w:ascii="Times New Roman" w:eastAsiaTheme="minorEastAsia" w:hAnsi="Times New Roman" w:cs="Times New Roman"/>
          <w:bCs/>
          <w:sz w:val="24"/>
          <w:szCs w:val="24"/>
        </w:rPr>
        <w:t xml:space="preserve"> be sustained in </w:t>
      </w:r>
      <w:r w:rsidR="0087282B" w:rsidRPr="00165ED2">
        <w:rPr>
          <w:rFonts w:ascii="Times New Roman" w:eastAsiaTheme="minorEastAsia" w:hAnsi="Times New Roman" w:cs="Times New Roman"/>
          <w:bCs/>
          <w:sz w:val="24"/>
          <w:szCs w:val="24"/>
        </w:rPr>
        <w:t>a</w:t>
      </w:r>
      <w:r w:rsidRPr="00165ED2">
        <w:rPr>
          <w:rFonts w:ascii="Times New Roman" w:eastAsiaTheme="minorEastAsia" w:hAnsi="Times New Roman" w:cs="Times New Roman"/>
          <w:bCs/>
          <w:sz w:val="24"/>
          <w:szCs w:val="24"/>
        </w:rPr>
        <w:t xml:space="preserve"> steady state </w:t>
      </w:r>
      <w:r w:rsidR="0097229B" w:rsidRPr="00165ED2">
        <w:rPr>
          <w:rFonts w:ascii="Times New Roman" w:eastAsiaTheme="minorEastAsia" w:hAnsi="Times New Roman" w:cs="Times New Roman"/>
          <w:bCs/>
          <w:sz w:val="24"/>
          <w:szCs w:val="24"/>
        </w:rPr>
        <w:t xml:space="preserve">indicates </w:t>
      </w:r>
      <w:r w:rsidRPr="00165ED2">
        <w:rPr>
          <w:rFonts w:ascii="Times New Roman" w:eastAsiaTheme="minorEastAsia" w:hAnsi="Times New Roman" w:cs="Times New Roman"/>
          <w:bCs/>
          <w:sz w:val="24"/>
          <w:szCs w:val="24"/>
        </w:rPr>
        <w:t>that it is a</w:t>
      </w:r>
      <w:r w:rsidR="00A56F88" w:rsidRPr="00165ED2">
        <w:rPr>
          <w:rFonts w:ascii="Times New Roman" w:eastAsiaTheme="minorEastAsia" w:hAnsi="Times New Roman" w:cs="Times New Roman"/>
          <w:bCs/>
          <w:sz w:val="24"/>
          <w:szCs w:val="24"/>
        </w:rPr>
        <w:t xml:space="preserve"> parameter of aerobic function. </w:t>
      </w:r>
      <w:r w:rsidRPr="00165ED2">
        <w:rPr>
          <w:rFonts w:ascii="Times New Roman" w:eastAsiaTheme="minorEastAsia" w:hAnsi="Times New Roman" w:cs="Times New Roman"/>
          <w:bCs/>
          <w:sz w:val="24"/>
          <w:szCs w:val="24"/>
        </w:rPr>
        <w:t>Consequently,</w:t>
      </w:r>
      <w:r w:rsidR="00A56F88" w:rsidRPr="00165ED2">
        <w:rPr>
          <w:rFonts w:ascii="Times New Roman" w:eastAsiaTheme="minorEastAsia" w:hAnsi="Times New Roman" w:cs="Times New Roman"/>
          <w:bCs/>
          <w:sz w:val="24"/>
          <w:szCs w:val="24"/>
        </w:rPr>
        <w:t xml:space="preserve"> it follows that CP may be affected by any step in the O</w:t>
      </w:r>
      <w:r w:rsidR="00A56F88" w:rsidRPr="00165ED2">
        <w:rPr>
          <w:rFonts w:ascii="Times New Roman" w:eastAsiaTheme="minorEastAsia" w:hAnsi="Times New Roman" w:cs="Times New Roman"/>
          <w:bCs/>
          <w:sz w:val="24"/>
          <w:szCs w:val="24"/>
          <w:vertAlign w:val="subscript"/>
        </w:rPr>
        <w:t xml:space="preserve">2 </w:t>
      </w:r>
      <w:r w:rsidR="00A56F88" w:rsidRPr="00165ED2">
        <w:rPr>
          <w:rFonts w:ascii="Times New Roman" w:eastAsiaTheme="minorEastAsia" w:hAnsi="Times New Roman" w:cs="Times New Roman"/>
          <w:bCs/>
          <w:sz w:val="24"/>
          <w:szCs w:val="24"/>
        </w:rPr>
        <w:t xml:space="preserve">transport and utilization cascade, from atmospheric air down to the muscle mitochondria themselves. Specifically, these steps include: 1) </w:t>
      </w:r>
      <w:r w:rsidR="004613FF" w:rsidRPr="00165ED2">
        <w:rPr>
          <w:rFonts w:ascii="Times New Roman" w:eastAsiaTheme="minorEastAsia" w:hAnsi="Times New Roman" w:cs="Times New Roman"/>
          <w:bCs/>
          <w:sz w:val="24"/>
          <w:szCs w:val="24"/>
        </w:rPr>
        <w:t>transport of atmospheric O</w:t>
      </w:r>
      <w:r w:rsidR="004613FF" w:rsidRPr="00165ED2">
        <w:rPr>
          <w:rFonts w:ascii="Times New Roman" w:eastAsiaTheme="minorEastAsia" w:hAnsi="Times New Roman" w:cs="Times New Roman"/>
          <w:bCs/>
          <w:sz w:val="24"/>
          <w:szCs w:val="24"/>
          <w:vertAlign w:val="subscript"/>
        </w:rPr>
        <w:t>2</w:t>
      </w:r>
      <w:r w:rsidR="004613FF" w:rsidRPr="00165ED2">
        <w:rPr>
          <w:rFonts w:ascii="Times New Roman" w:eastAsiaTheme="minorEastAsia" w:hAnsi="Times New Roman" w:cs="Times New Roman"/>
          <w:bCs/>
          <w:sz w:val="24"/>
          <w:szCs w:val="24"/>
        </w:rPr>
        <w:t xml:space="preserve"> into the blood via </w:t>
      </w:r>
      <w:r w:rsidR="00A56F88" w:rsidRPr="00165ED2">
        <w:rPr>
          <w:rFonts w:ascii="Times New Roman" w:eastAsiaTheme="minorEastAsia" w:hAnsi="Times New Roman" w:cs="Times New Roman"/>
          <w:bCs/>
          <w:sz w:val="24"/>
          <w:szCs w:val="24"/>
        </w:rPr>
        <w:t>pulmonary diffusi</w:t>
      </w:r>
      <w:r w:rsidR="004613FF" w:rsidRPr="00165ED2">
        <w:rPr>
          <w:rFonts w:ascii="Times New Roman" w:eastAsiaTheme="minorEastAsia" w:hAnsi="Times New Roman" w:cs="Times New Roman"/>
          <w:bCs/>
          <w:sz w:val="24"/>
          <w:szCs w:val="24"/>
        </w:rPr>
        <w:t>on</w:t>
      </w:r>
      <w:r w:rsidR="00A56F88" w:rsidRPr="00165ED2">
        <w:rPr>
          <w:rFonts w:ascii="Times New Roman" w:eastAsiaTheme="minorEastAsia" w:hAnsi="Times New Roman" w:cs="Times New Roman"/>
          <w:bCs/>
          <w:sz w:val="24"/>
          <w:szCs w:val="24"/>
        </w:rPr>
        <w:t>, 2)</w:t>
      </w:r>
      <w:r w:rsidR="004613FF" w:rsidRPr="00165ED2">
        <w:rPr>
          <w:rFonts w:ascii="Times New Roman" w:eastAsiaTheme="minorEastAsia" w:hAnsi="Times New Roman" w:cs="Times New Roman"/>
          <w:bCs/>
          <w:sz w:val="24"/>
          <w:szCs w:val="24"/>
        </w:rPr>
        <w:t xml:space="preserve"> bulk transport of O</w:t>
      </w:r>
      <w:r w:rsidR="004613FF" w:rsidRPr="00165ED2">
        <w:rPr>
          <w:rFonts w:ascii="Times New Roman" w:eastAsiaTheme="minorEastAsia" w:hAnsi="Times New Roman" w:cs="Times New Roman"/>
          <w:bCs/>
          <w:sz w:val="24"/>
          <w:szCs w:val="24"/>
          <w:vertAlign w:val="subscript"/>
        </w:rPr>
        <w:t>2</w:t>
      </w:r>
      <w:r w:rsidR="004613FF" w:rsidRPr="00165ED2">
        <w:rPr>
          <w:rFonts w:ascii="Times New Roman" w:eastAsiaTheme="minorEastAsia" w:hAnsi="Times New Roman" w:cs="Times New Roman"/>
          <w:bCs/>
          <w:sz w:val="24"/>
          <w:szCs w:val="24"/>
        </w:rPr>
        <w:t xml:space="preserve"> to the muscle via convection</w:t>
      </w:r>
      <w:r w:rsidR="00A56F88" w:rsidRPr="00165ED2">
        <w:rPr>
          <w:rFonts w:ascii="Times New Roman" w:eastAsiaTheme="minorEastAsia" w:hAnsi="Times New Roman" w:cs="Times New Roman"/>
          <w:bCs/>
          <w:sz w:val="24"/>
          <w:szCs w:val="24"/>
        </w:rPr>
        <w:t xml:space="preserve"> </w:t>
      </w:r>
      <w:r w:rsidR="004613FF" w:rsidRPr="00165ED2">
        <w:rPr>
          <w:rFonts w:ascii="Times New Roman" w:eastAsiaTheme="minorEastAsia" w:hAnsi="Times New Roman" w:cs="Times New Roman"/>
          <w:bCs/>
          <w:sz w:val="24"/>
          <w:szCs w:val="24"/>
        </w:rPr>
        <w:t xml:space="preserve">(i.e., </w:t>
      </w:r>
      <w:r w:rsidR="00A56F88" w:rsidRPr="00165ED2">
        <w:rPr>
          <w:rFonts w:ascii="Times New Roman" w:eastAsiaTheme="minorEastAsia" w:hAnsi="Times New Roman" w:cs="Times New Roman"/>
          <w:bCs/>
          <w:sz w:val="24"/>
          <w:szCs w:val="24"/>
        </w:rPr>
        <w:t>convective O</w:t>
      </w:r>
      <w:r w:rsidR="00A56F88" w:rsidRPr="00165ED2">
        <w:rPr>
          <w:rFonts w:ascii="Times New Roman" w:eastAsiaTheme="minorEastAsia" w:hAnsi="Times New Roman" w:cs="Times New Roman"/>
          <w:bCs/>
          <w:sz w:val="24"/>
          <w:szCs w:val="24"/>
          <w:vertAlign w:val="subscript"/>
        </w:rPr>
        <w:t>2</w:t>
      </w:r>
      <w:r w:rsidR="00A56F88" w:rsidRPr="00165ED2">
        <w:rPr>
          <w:rFonts w:ascii="Times New Roman" w:eastAsiaTheme="minorEastAsia" w:hAnsi="Times New Roman" w:cs="Times New Roman"/>
          <w:bCs/>
          <w:sz w:val="24"/>
          <w:szCs w:val="24"/>
        </w:rPr>
        <w:t xml:space="preserve"> delivery</w:t>
      </w:r>
      <w:r w:rsidR="004613FF" w:rsidRPr="00165ED2">
        <w:rPr>
          <w:rFonts w:ascii="Times New Roman" w:eastAsiaTheme="minorEastAsia" w:hAnsi="Times New Roman" w:cs="Times New Roman"/>
          <w:bCs/>
          <w:sz w:val="24"/>
          <w:szCs w:val="24"/>
        </w:rPr>
        <w:t>)</w:t>
      </w:r>
      <w:r w:rsidR="00A56F88" w:rsidRPr="00165ED2">
        <w:rPr>
          <w:rFonts w:ascii="Times New Roman" w:eastAsiaTheme="minorEastAsia" w:hAnsi="Times New Roman" w:cs="Times New Roman"/>
          <w:bCs/>
          <w:sz w:val="24"/>
          <w:szCs w:val="24"/>
        </w:rPr>
        <w:t>, 3) diffusi</w:t>
      </w:r>
      <w:r w:rsidR="004613FF" w:rsidRPr="00165ED2">
        <w:rPr>
          <w:rFonts w:ascii="Times New Roman" w:eastAsiaTheme="minorEastAsia" w:hAnsi="Times New Roman" w:cs="Times New Roman"/>
          <w:bCs/>
          <w:sz w:val="24"/>
          <w:szCs w:val="24"/>
        </w:rPr>
        <w:t>on of O</w:t>
      </w:r>
      <w:r w:rsidR="004613FF" w:rsidRPr="00165ED2">
        <w:rPr>
          <w:rFonts w:ascii="Times New Roman" w:eastAsiaTheme="minorEastAsia" w:hAnsi="Times New Roman" w:cs="Times New Roman"/>
          <w:bCs/>
          <w:sz w:val="24"/>
          <w:szCs w:val="24"/>
          <w:vertAlign w:val="subscript"/>
        </w:rPr>
        <w:t>2</w:t>
      </w:r>
      <w:r w:rsidR="004613FF" w:rsidRPr="00165ED2">
        <w:rPr>
          <w:rFonts w:ascii="Times New Roman" w:eastAsiaTheme="minorEastAsia" w:hAnsi="Times New Roman" w:cs="Times New Roman"/>
          <w:bCs/>
          <w:sz w:val="24"/>
          <w:szCs w:val="24"/>
        </w:rPr>
        <w:t xml:space="preserve"> from capillary to muscle mitochondria</w:t>
      </w:r>
      <w:r w:rsidR="00A56F88" w:rsidRPr="00165ED2">
        <w:rPr>
          <w:rFonts w:ascii="Times New Roman" w:eastAsiaTheme="minorEastAsia" w:hAnsi="Times New Roman" w:cs="Times New Roman"/>
          <w:bCs/>
          <w:sz w:val="24"/>
          <w:szCs w:val="24"/>
        </w:rPr>
        <w:t xml:space="preserve"> </w:t>
      </w:r>
      <w:r w:rsidR="004613FF" w:rsidRPr="00165ED2">
        <w:rPr>
          <w:rFonts w:ascii="Times New Roman" w:eastAsiaTheme="minorEastAsia" w:hAnsi="Times New Roman" w:cs="Times New Roman"/>
          <w:bCs/>
          <w:sz w:val="24"/>
          <w:szCs w:val="24"/>
        </w:rPr>
        <w:t xml:space="preserve">(i.e., diffusive </w:t>
      </w:r>
      <w:r w:rsidR="00A56F88" w:rsidRPr="00165ED2">
        <w:rPr>
          <w:rFonts w:ascii="Times New Roman" w:eastAsiaTheme="minorEastAsia" w:hAnsi="Times New Roman" w:cs="Times New Roman"/>
          <w:bCs/>
          <w:sz w:val="24"/>
          <w:szCs w:val="24"/>
        </w:rPr>
        <w:t>O</w:t>
      </w:r>
      <w:r w:rsidR="00A56F88" w:rsidRPr="00165ED2">
        <w:rPr>
          <w:rFonts w:ascii="Times New Roman" w:eastAsiaTheme="minorEastAsia" w:hAnsi="Times New Roman" w:cs="Times New Roman"/>
          <w:bCs/>
          <w:sz w:val="24"/>
          <w:szCs w:val="24"/>
          <w:vertAlign w:val="subscript"/>
        </w:rPr>
        <w:t>2</w:t>
      </w:r>
      <w:r w:rsidR="00A56F88" w:rsidRPr="00165ED2">
        <w:rPr>
          <w:rFonts w:ascii="Times New Roman" w:eastAsiaTheme="minorEastAsia" w:hAnsi="Times New Roman" w:cs="Times New Roman"/>
          <w:bCs/>
          <w:sz w:val="24"/>
          <w:szCs w:val="24"/>
        </w:rPr>
        <w:t xml:space="preserve"> delivery</w:t>
      </w:r>
      <w:r w:rsidR="004613FF" w:rsidRPr="00165ED2">
        <w:rPr>
          <w:rFonts w:ascii="Times New Roman" w:eastAsiaTheme="minorEastAsia" w:hAnsi="Times New Roman" w:cs="Times New Roman"/>
          <w:bCs/>
          <w:sz w:val="24"/>
          <w:szCs w:val="24"/>
        </w:rPr>
        <w:t>)</w:t>
      </w:r>
      <w:r w:rsidR="00A56F88" w:rsidRPr="00165ED2">
        <w:rPr>
          <w:rFonts w:ascii="Times New Roman" w:eastAsiaTheme="minorEastAsia" w:hAnsi="Times New Roman" w:cs="Times New Roman"/>
          <w:bCs/>
          <w:sz w:val="24"/>
          <w:szCs w:val="24"/>
        </w:rPr>
        <w:t xml:space="preserve">, and 4) </w:t>
      </w:r>
      <w:r w:rsidR="004613FF" w:rsidRPr="00165ED2">
        <w:rPr>
          <w:rFonts w:ascii="Times New Roman" w:eastAsiaTheme="minorEastAsia" w:hAnsi="Times New Roman" w:cs="Times New Roman"/>
          <w:bCs/>
          <w:sz w:val="24"/>
          <w:szCs w:val="24"/>
        </w:rPr>
        <w:t>the utilization of O</w:t>
      </w:r>
      <w:r w:rsidR="004613FF" w:rsidRPr="00165ED2">
        <w:rPr>
          <w:rFonts w:ascii="Times New Roman" w:eastAsiaTheme="minorEastAsia" w:hAnsi="Times New Roman" w:cs="Times New Roman"/>
          <w:bCs/>
          <w:sz w:val="24"/>
          <w:szCs w:val="24"/>
          <w:vertAlign w:val="subscript"/>
        </w:rPr>
        <w:t>2</w:t>
      </w:r>
      <w:r w:rsidR="004613FF" w:rsidRPr="00165ED2">
        <w:rPr>
          <w:rFonts w:ascii="Times New Roman" w:eastAsiaTheme="minorEastAsia" w:hAnsi="Times New Roman" w:cs="Times New Roman"/>
          <w:bCs/>
          <w:sz w:val="24"/>
          <w:szCs w:val="24"/>
        </w:rPr>
        <w:t xml:space="preserve"> by the muscle mitochondria</w:t>
      </w:r>
      <w:r w:rsidR="00A56F88" w:rsidRPr="00165ED2">
        <w:rPr>
          <w:rFonts w:ascii="Times New Roman" w:eastAsiaTheme="minorEastAsia" w:hAnsi="Times New Roman" w:cs="Times New Roman"/>
          <w:bCs/>
          <w:sz w:val="24"/>
          <w:szCs w:val="24"/>
        </w:rPr>
        <w:t xml:space="preserve"> (F</w:t>
      </w:r>
      <w:r w:rsidR="0097229B" w:rsidRPr="00165ED2">
        <w:rPr>
          <w:rFonts w:ascii="Times New Roman" w:eastAsiaTheme="minorEastAsia" w:hAnsi="Times New Roman" w:cs="Times New Roman"/>
          <w:bCs/>
          <w:sz w:val="24"/>
          <w:szCs w:val="24"/>
        </w:rPr>
        <w:t>igure 2</w:t>
      </w:r>
      <w:r w:rsidR="00A56F88" w:rsidRPr="00165ED2">
        <w:rPr>
          <w:rFonts w:ascii="Times New Roman" w:eastAsiaTheme="minorEastAsia" w:hAnsi="Times New Roman" w:cs="Times New Roman"/>
          <w:bCs/>
          <w:sz w:val="24"/>
          <w:szCs w:val="24"/>
        </w:rPr>
        <w:t>).</w:t>
      </w:r>
      <w:r w:rsidR="004613FF" w:rsidRPr="00165ED2">
        <w:rPr>
          <w:rFonts w:ascii="Times New Roman" w:eastAsiaTheme="minorEastAsia" w:hAnsi="Times New Roman" w:cs="Times New Roman"/>
          <w:bCs/>
          <w:sz w:val="24"/>
          <w:szCs w:val="24"/>
        </w:rPr>
        <w:t xml:space="preserve"> Whilst the respiratory system may constrain CP in chronic</w:t>
      </w:r>
      <w:r w:rsidR="00884298" w:rsidRPr="00165ED2">
        <w:rPr>
          <w:rFonts w:ascii="Times New Roman" w:eastAsiaTheme="minorEastAsia" w:hAnsi="Times New Roman" w:cs="Times New Roman"/>
          <w:bCs/>
          <w:sz w:val="24"/>
          <w:szCs w:val="24"/>
        </w:rPr>
        <w:t xml:space="preserve"> respiratory</w:t>
      </w:r>
      <w:r w:rsidR="004613FF" w:rsidRPr="00165ED2">
        <w:rPr>
          <w:rFonts w:ascii="Times New Roman" w:eastAsiaTheme="minorEastAsia" w:hAnsi="Times New Roman" w:cs="Times New Roman"/>
          <w:bCs/>
          <w:sz w:val="24"/>
          <w:szCs w:val="24"/>
        </w:rPr>
        <w:t xml:space="preserve"> disease conditions such as COPD</w:t>
      </w:r>
      <w:r w:rsidR="003F3944" w:rsidRPr="00165ED2">
        <w:rPr>
          <w:rFonts w:ascii="Times New Roman" w:eastAsiaTheme="minorEastAsia" w:hAnsi="Times New Roman" w:cs="Times New Roman"/>
          <w:bCs/>
          <w:sz w:val="24"/>
          <w:szCs w:val="24"/>
        </w:rPr>
        <w:t xml:space="preserv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O9A8K8P5","properties":{"formattedCitation":"[34,35,38\\uc0\\u8211{}42]","plainCitation":"[34,35,38–42]","noteIndex":0},"citationItems":[{"id":326,"uris":["http://zotero.org/users/5056530/items/GQUHKT4W"],"itemData":{"id":326,"type":"article-journal","abstract":"To characterize the determinants of the power-duration (W-t) relationship in patients with chronic obstructive pulmonary disease (COPD), we evaluated 8 nonhypoxemic patients (FEV(1) = 1.27 +/- 0.26 L) and 10 healthy controls. After an initial maximum-incremental exercise test on cycle ergometer (peak), the subjects underwent four high-intensity constant-load tests to the limit of tolerance (t), each on different days. The W-t relationship was found to be hyperbolic in both groups. Absolute values of both the critical power asymptote (theta(F)) and the curvature constant (W') were lower in patients than in control subjects. However, when expressed as percentage of peak work rate theta(F) was significantly higher in patients compared with control subjects (81.8 +/- 3.3% versus 67.5 +/- 3.7%, respectively, p &lt; 0.01). There were severe reductions in t in the patients that were consistently associated with higher breathlessness scores and V E/MVV ratios. Interestingly, all patients were able to sustain exercise at theta(F) for 20 min despite near-maximum physiological and subjective stresses. We conclude that the reductions of both parameters of the hyperbolic W-t relationship (theta(F) and W') in patients with COPD were due to the ventilatory constraints and their sensory consequences. Importantly, theta(F) separated a \"sustainable\" from a \"nonsustainable\" exercise-intensity domain: this parameter consistently occurred closer to peak work rate in patients than the healthy control subjects.","container-title":"American Journal of Respiratory and Critical Care Medicine","DOI":"10.1164/ajrccm.162.2.9907122","ISSN":"1073-449X","issue":"2 Pt 1","journalAbbreviation":"Am. J. Respir. Crit. Care Med.","language":"eng","note":"PMID: 10934077","page":"497-504","source":"PubMed","title":"Determinants of the exercise endurance capacity in patients with chronic obstructive pulmonary disease. The power-duration relationship","volume":"162","author":[{"family":"Neder","given":"J. A."},{"family":"Jones","given":"P. W."},{"family":"Nery","given":"L. E."},{"family":"Whipp","given":"B. J."}],"issued":{"date-parts":[["2000",8]]}}},{"id":862,"uris":["http://zotero.org/users/5056530/items/MZE3QEZB"],"itemData":{"id":862,"type":"article-journal","abstract":"The time to fatigue (t) in response to high-intensity constant-load exercise decreases hyperbolically with increasing power (W), at least in active and younger individuals [i.e. (W - thetaF)t = W', where thetaF is the critical power asymptote and W' is the curvature constant]. Little is known, however, about the combined effects of age and sedentarity on these parameters. We therefore evaluated 17 non-trained males (9 aged 60-75 years and 8 aged below 30 years) who underwent ramp-incremental cycle ergometry and, on different days, 4 high-intensity constant-load tests to t. Compared to their younger counterparts, the older subjects presented significantly lower maximum oxygen uptake (i.e. the maximum value of oxygen uptake attained at the end of a progressive exercise with the subject exerting a presumably maximal effort, muVO2), estimated lactate threshold (VO2thetaL), VO2thetaF, and W' (P &lt; 0.05). Interestingly, however, both VO2thetaL and VO2thetaF, when expressed as a percentage of muVO2, were higher in older than in younger men [61.8 (6.2)% versus 45.4 (4.6)% and 87.8 (7.3)% versus 79.0 (8.2)%, P &lt; 0.05, respectively]. Therefore, age was associated with an increase in the relative magnitude of the \"moderate\", sub-thetaL exercise-intensity domain (+30.4%), mainly at the expense of the \"very-heavy\", supra-thetaF domain (-56%). Our results demonstrate that age and sedentarity are associated with: (1) marked reductions in both the aerobic (thetaF) and anaerobic (W') determinants of the W/t relationship, and (2) changes in either the absolute or relative magnitudes of the exercise-intensity domains. These findings are consistent with the notion that endurance-related parameters are less diminished with ageing than the maximal capacity, thereby mitigating the deleterious effects of senescence in the functional capacity.","container-title":"European Journal of Applied Physiology","DOI":"10.1007/s004210000228","ISSN":"1439-6319","issue":"4","journalAbbreviation":"Eur. J. Appl. Physiol.","language":"eng","note":"PMID: 10958376","page":"326-332","source":"PubMed","title":"The effect of age on the power/duration relationship and the intensity-domain limits in sedentary men","volume":"82","author":[{"family":"Neder","given":"J. A."},{"family":"Jones","given":"P. W."},{"family":"Nery","given":"L. E."},{"family":"Whipp","given":"B. J."}],"issued":{"date-parts":[["2000",7]]}}},{"id":857,"uris":["http://zotero.org/users/5056530/items/JXBUZEP6"],"itemData":{"id":857,"type":"article-journal","abstract":"BACKGROUND: There has been no systemic investigation of the effects of training on endurance at different high-intensity work rates in patients with COPD to date.\nOBJECTIVES: We wanted to determine the effects of intense endurance training on tolerance to several high-intensity work rates and to establish the relationship between power (WR) and its tolerable duration (t) (t = W'/(WR - CP), being W', the curvature constant, thought to be reflective of anaerobic energy availability and/or tolerance to the uncomfortable sensations associated with the high-intensity exercise, and CP the critical power.\nMETHODS: We studied 27 patients: age 62 +/- 5 years; FEV(1) 1.2 +/- 0.2 liters. Before and after the intervention, the subjects randomly underwent 4 high-intensity constant WR exercise tests. The endurance times of the highest 3 tests were used.\nRESULTS: Ventilation reached approximately the same level in each of the tests. In response to the training, the average peak increased by 9 +/- 5% (p &lt; 0.0001), CP by 14 +/- 12% (p &lt; 0.0001) and W' 18 +/- 22% (p = 0.002). In 67% of the patients, CP increased, accompanied by changes in other related physiological variables of aerobic capacity. In the remaining 33%, W' increased but not CP. Smaller or no changes in the other variables of aerobic capacity were found in those subjects. This latter group was significantly older and had more hyperinflation (i.e. higher RV/TLC%).\nCONCLUSIONS: Our results suggest that neither an incremental nor a single endurance test at constant WR provides an adequate characterisation of exercise tolerance at other WRs. CP and W' appear to be important parameters characterizing exercise tolerance over a range high-intensity work rates and identifying two distinct types of response to training.","container-title":"Respiration; International Review of Thoracic Diseases","DOI":"10.1159/000072899","ISSN":"0025-7931","issue":"4","journalAbbreviation":"Respiration","language":"eng","note":"PMID: 14512671","page":"367-370","source":"PubMed","title":"Effects of training on the tolerance to high-intensity exercise in patients with severe COPD","volume":"70","author":[{"family":"Puente-Maestu","given":"Luis"},{"family":"SantaCruz","given":"Antonio"},{"family":"Vargas","given":"Teresa"},{"family":"Martínez-Abad","given":"Yolanda"},{"family":"Whipp","given":"Brian J."}],"issued":{"date-parts":[["2003",8]]}}},{"id":860,"uris":["http://zotero.org/users/5056530/items/G8VMCEA6"],"itemData":{"id":860,"type":"article-journal","abstract":"Constant work rate (CWR) exercise testing is highly responsive to therapeutic interventions and reveals physiological and functional benefits. No consensus exists, however, regarding optimal methods for selecting the pre-intervention work rate. We postulate that a CWR whose tolerated duration (tlim) is 6 minutes (WR6) may provide a useful interventional study baseline. WR6 can be extracted from the power-duration relationship, but requires 4 CWR tests. We sought to develop prediction algorithms for easier WR6 identification using backward stepwise linear regression, one in 69 COPD patients (FEV1 45 ± 15% pred) and another in 30 healthy subjects (HLTH), in whom cycle ergometer ramp incremental (RI) and CWR tests with tlim of </w:instrText>
      </w:r>
      <w:r w:rsidR="007A3303" w:rsidRPr="00165ED2">
        <w:rPr>
          <w:rFonts w:ascii="Cambria Math" w:eastAsiaTheme="minorEastAsia" w:hAnsi="Cambria Math" w:cs="Cambria Math"/>
          <w:bCs/>
          <w:sz w:val="24"/>
          <w:szCs w:val="24"/>
        </w:rPr>
        <w:instrText>∼</w:instrText>
      </w:r>
      <w:r w:rsidR="007A3303" w:rsidRPr="00165ED2">
        <w:rPr>
          <w:rFonts w:ascii="Times New Roman" w:eastAsiaTheme="minorEastAsia" w:hAnsi="Times New Roman" w:cs="Times New Roman"/>
          <w:bCs/>
          <w:sz w:val="24"/>
          <w:szCs w:val="24"/>
        </w:rPr>
        <w:instrText xml:space="preserve">6 minutes had been performed. Demographics, pulmonary function, and RI responses were used as predictors. We validated these algorithms against power-duration measurements in 27 COPD and 30 HLTH (critical power 43 ± 18W and 231 ± 43W; curvature constant 5.1 ± 2.7 kJ and 18.5 ± 3.1 kJ, respectively). This analysis revealed that, on average, only corrected peak work rate ( = WRpeak-1 min × WRslope) in RI was required to predict WR6 (COPD SEE = 5.0W; HLTH SEE = 5.6W; R(2) &gt; 0.96; p &lt; 0.001). In the validation set, predicted and actual WR6 were strongly correlated (COPD R(2) = 0.937; HLTH 0.978; p &lt; 0.001). However, in COPD, unlike in HLTH, there was a wide range of tlim values at predicted WR6: COPD 8.3 ± 4.1 min (range 3.6 to 22.2 min), and HLTH 5.5 ± 0.7 min (range 3.9 to 7.0 min). This analysis indicates that corrected WRpeak in an incremental test can yield an acceptable basis for calculating endurance testing work rate in HLTH, but not in COPD patients.","container-title":"COPD","DOI":"10.3109/15412555.2013.840572","ISSN":"1541-2563","issue":"3","journalAbbreviation":"COPD","language":"eng","note":"PMID: 24182350","page":"267-276","source":"PubMed","title":"Selecting constant work rates for endurance testing in COPD: the role of the power-duration relationship","title-short":"Selecting constant work rates for endurance testing in COPD","volume":"11","author":[{"family":"Vaart","given":"Hester","non-dropping-particle":"van der"},{"family":"Murgatroyd","given":"Scott R."},{"family":"Rossiter","given":"Harry B."},{"family":"Chen","given":"Carey"},{"family":"Casaburi","given":"Richard"},{"family":"Porszasz","given":"Janos"}],"issued":{"date-parts":[["2014",6]]}}},{"id":861,"uris":["http://zotero.org/users/5056530/items/JYJ2LMPP"],"itemData":{"id":861,"type":"article-journal","abstract":"Exercise critical power (CP) has been shown to represent the highest sustainable work rate (WR) in patients with chronic obstructive pulmonary disease (COPD). Parameter estimation, however, depends on 4 high-intensity tests performed, on different days, to the limit of tolerance (T(lim)). In order to establish a milder protocol that would be more suitable for disabled patients, we contrasted CP derived from 4, 3 and 2 tests (CP4, CP3 and CP2) in 8 males with moderate COPD. In addition, CP was calculated from 2 single-day tests performed on an inverse sequence (CP(2AB) and CP(2BA)): CP values within 5 W from CP4 were assumed as \"clinically-acceptable\" estimates. We found that [CP4-CP3] and [CP4-CP2] differences were within 5 W in 8 and 6 patients, respectively (95% confidence interval of the differences = -1.3 to 3.5 W and -11.5 to 6.5 W). There was a systematic decline on T(lim) when an exercise bout was performed after a previous test on the same day (P&lt;0.05). Consequently, substantial differences were found between CP4 and any of the CP estimates obtained from single-day tests. In conclusion, clinically-acceptable estimates of CP can be obtained by using 3 or, in most circumstances, 2 constant WR tests in patients with moderate COPD--provided that they are not performed on the same day.","container-title":"European Journal of Applied Physiology","DOI":"10.1007/s00421-005-0064-x","ISSN":"1439-6319","issue":"1","journalAbbreviation":"Eur. J. Appl. Physiol.","language":"eng","note":"PMID: 16249920","page":"59-65","source":"PubMed","title":"Alternative strategies for exercise critical power estimation in patients with COPD","volume":"96","author":[{"family":"Malaguti","given":"Carla"},{"family":"Nery","given":"Luiz E."},{"family":"Dal Corso","given":"Simone"},{"family":"De Fuccio","given":"Marcelo Bicalho"},{"family":"Lerario","given":"Maria Cristina"},{"family":"Cendon","given":"Sonia"},{"family":"Neder","given":"J. Alberto"}],"issued":{"date-parts":[["2006",1]]}}},{"id":3103,"uris":["http://zotero.org/users/5056530/items/2SC2Z73U"],"itemData":{"id":3103,"type":"article-journal","abstract":"PURPOSE: To investigated the impact of the ventilatory constraints in the power-duration relationship for upper limbs exercise in patients with chronic obstructive pulmonary disease (COPD).\nMETHODS: Eight patients with COPD and eight healthy subjects performed an arm incremental test on cycle ergometer and four constant workload tests (100%, 90%, 80% and 70% of peak workload). The power-duration (or critical power - CP) estimative was determined. The inspiratory capacity was measured before and after each test.\nRESULTS: There was no significant difference in the CP between patients and controls. Also, the curvature constant (WAT, work do able above CP) was similar between patients and control subjects. Finally, the limits of tolerance for all constant workload tests in the patients with COPD were closely associated with the presence of dynamic hyperinflation and ventilatory reserve.\nCONCLUSION: Despite patients typically showed more ventilatory stress compared with control subjects, the ventilatory constraints did not limit the sustained upper limbs exercise at the critical power.","container-title":"Respiratory Physiology &amp; Neurobiology","DOI":"10.1016/j.resp.2019.103280","ISSN":"1878-1519","journalAbbreviation":"Respir Physiol Neurobiol","language":"eng","note":"PMID: 31419486","page":"103280","source":"PubMed","title":"Critical power for the upper limb in patients with chronic obstructive pulmonary disease: A pilot study","title-short":"Critical power for the upper limb in patients with chronic obstructive pulmonary disease","volume":"270","author":[{"family":"Malaguti","given":"Carla"},{"family":"Dal Corso","given":"Simone"},{"family":"Colucci","given":"Eduardo"},{"family":"Stuchi","given":"Talita"},{"family":"Pulcheri","given":"Roberta"},{"family":"Nery","given":"Luiz Eduardo"}],"issued":{"date-parts":[["2019",12]]}}},{"id":1188,"uris":["http://zotero.org/users/5056530/items/WTEW6TJZ"],"itemData":{"id":1188,"type":"article-journal","abstract":"New Findings • What is the central question of this study? Is it possible for patients with chronic obstructive pulmonary disease to avoid ventilatory limitation during high-intensity exercise by using a fast-fluctuating sinusoidal exercise task? • What is the main finding and its importance? Sinusoidal exercise, with a cycle time of 60 s superimposed upon a mean work rate at critical power, resulted in minimal fluctuations in the exercise ventilation. Thus, high-intensity exercise, with excursions well above peak aerobic power, was sustained for up to 20 min in chronic obstructive pulmonary disease patients, and the end-exercise ventilation was less than peak. This exercise protocol may prove beneficial in rehabilitative exercise training programmes where large gains in skeletal muscle adaptation are the goal. During exercise at critical power (CP) in chronic obstructive pulmonary disease (COPD) patients, ventilation approaches its maximum. As a result of the slow ventilatory dynamics in COPD, ventilatory limitation during supramaximal exercise might be escaped using rapid sinusoidal forcing. Nine COPD patients [age, 60.2 ± 6.9 years; forced expiratory volume in the first second (FEV1), 42 ± 17% of predicted; and FEV1/FVC, 39 ± 12%] underwent an incremental cycle ergometer test and then four constant work rate cycle ergometer tests; tolerable duration (tlim) was recorded. Critical power was determined from constant work rate testing by linear regression of work rate versus 1/tlim. Patients then completed fast (FS; 60 s period) and slow (SS; 360 s period) sinusoidally fluctuating exercise tests with mean work rate at CP and peak at 120% of peak incremental test work rate, and one additional test at CP; each for a 20 min target. The value of tlim did not differ between CP (19.8 ± 0.6 min) and FS (19.0 ± 2.5 min), but was shorter in SS (13.2 ± 4.2 min; P &lt; 0.05). The sinusoidal ventilatory amplitude was minimal (37.4 ± 34.9 ml min−1 W−1) during FS but much larger during SS (189.6 ± 120.4 ml min−1 W−1). The total ventilatory response in SS reached 110 ± 8.0% of the incremental test peak, suggesting ventilatory limitation. Slow components in ventilation during constant work rate and FS exercises were detected in most subjects and contributed appreciably to the total response asymptote. The SS exercise was associated with higher mid-exercise lactate concentrations (5.2 ± 1.7, 7.6 ± 1.7 and 4.5 ± 1.3 mmol l−1 in FS, SS and CP). Large-amplitude, rapid sinusoidal fluctuation in work rate yields little fluctuation in ventilation despite reaching 120% of the incremental test peak work rate. This high-intensity exercise strategy might be suitable for programmes of rehabilitative exercise training in COPD.","container-title":"Experimental Physiology","DOI":"10.1113/expphysiol.2012.070375","ISSN":"1469-445X","issue":"6","language":"en","note":"_eprint: https://physoc.onlinelibrary.wiley.com/doi/pdf/10.1113/expphysiol.2012.070375","page":"1102-1114","source":"Wiley Online Library","title":"Sinusoidal high-intensity exercise does not elicit ventilatory limitation in chronic obstructive pulmonary disease","volume":"98","author":[{"family":"Porszasz","given":"Janos"},{"family":"Rambod","given":"Mehdi"},{"family":"Vaart","given":"Hester","dropping-particle":"van der"},{"family":"Rossiter","given":"Harry B."},{"family":"Ma","given":"Shuyi"},{"family":"Kiledjian","given":"Rafi"},{"family":"Casaburi","given":"Richard"}],"issued":{"date-parts":[["2013"]]}}}],"schema":"https://github.com/citation-style-language/schema/raw/master/csl-citation.json"}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szCs w:val="24"/>
        </w:rPr>
        <w:t>[34,35,38–42]</w:t>
      </w:r>
      <w:r w:rsidR="003F3944" w:rsidRPr="00165ED2">
        <w:rPr>
          <w:rFonts w:ascii="Times New Roman" w:eastAsiaTheme="minorEastAsia" w:hAnsi="Times New Roman" w:cs="Times New Roman"/>
          <w:bCs/>
          <w:sz w:val="24"/>
          <w:szCs w:val="24"/>
        </w:rPr>
        <w:fldChar w:fldCharType="end"/>
      </w:r>
      <w:r w:rsidR="004613FF" w:rsidRPr="00165ED2">
        <w:rPr>
          <w:rFonts w:ascii="Times New Roman" w:eastAsiaTheme="minorEastAsia" w:hAnsi="Times New Roman" w:cs="Times New Roman"/>
          <w:bCs/>
          <w:sz w:val="24"/>
          <w:szCs w:val="24"/>
        </w:rPr>
        <w:t>, in most young, healthy individuals, the respiratory system appears to be well-</w:t>
      </w:r>
      <w:r w:rsidR="00884298" w:rsidRPr="00165ED2">
        <w:rPr>
          <w:rFonts w:ascii="Times New Roman" w:eastAsiaTheme="minorEastAsia" w:hAnsi="Times New Roman" w:cs="Times New Roman"/>
          <w:bCs/>
          <w:sz w:val="24"/>
          <w:szCs w:val="24"/>
        </w:rPr>
        <w:t>ada</w:t>
      </w:r>
      <w:r w:rsidR="003E2849" w:rsidRPr="00165ED2">
        <w:rPr>
          <w:rFonts w:ascii="Times New Roman" w:eastAsiaTheme="minorEastAsia" w:hAnsi="Times New Roman" w:cs="Times New Roman"/>
          <w:bCs/>
          <w:sz w:val="24"/>
          <w:szCs w:val="24"/>
        </w:rPr>
        <w:t>pt</w:t>
      </w:r>
      <w:r w:rsidR="00884298" w:rsidRPr="00165ED2">
        <w:rPr>
          <w:rFonts w:ascii="Times New Roman" w:eastAsiaTheme="minorEastAsia" w:hAnsi="Times New Roman" w:cs="Times New Roman"/>
          <w:bCs/>
          <w:sz w:val="24"/>
          <w:szCs w:val="24"/>
        </w:rPr>
        <w:t xml:space="preserve">ed </w:t>
      </w:r>
      <w:r w:rsidR="004613FF" w:rsidRPr="00165ED2">
        <w:rPr>
          <w:rFonts w:ascii="Times New Roman" w:eastAsiaTheme="minorEastAsia" w:hAnsi="Times New Roman" w:cs="Times New Roman"/>
          <w:bCs/>
          <w:sz w:val="24"/>
          <w:szCs w:val="24"/>
        </w:rPr>
        <w:t>to ensure a highly efficient and appropriate homeostatic respo</w:t>
      </w:r>
      <w:r w:rsidR="003F3944" w:rsidRPr="00165ED2">
        <w:rPr>
          <w:rFonts w:ascii="Times New Roman" w:eastAsiaTheme="minorEastAsia" w:hAnsi="Times New Roman" w:cs="Times New Roman"/>
          <w:bCs/>
          <w:sz w:val="24"/>
          <w:szCs w:val="24"/>
        </w:rPr>
        <w:t xml:space="preserve">nse to high-intensity exercise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{"citationID":"pb4wF9cV","properties":{"formattedCitation":"[43]","plainCitation":"[43]","noteIndex":0},"citationItems":[{"id":3105,"uris":["http://zotero.org/users/5056530/items/KQMWFBJY"],"itemData":{"id":3105,"type":"article-journal","abstract":"In the healthy, untrained young adult, a case is made for a respiratory system (airways, pulmonary vasculature, lung parenchyma, respiratory muscles, and neural ventilatory control system) that is near ideally designed to ensure a highly efficient, homeostatic response to exercise of varying intensities and durations. Our aim was then to consider circumstances in which the intra/extrathoracic airways, pulmonary vasculature, respiratory muscles, and/or blood-gas distribution are underbuilt or inadequately regulated relative to the demands imposed by the cardiovascular system. In these instances, the respiratory system presents a significant limitation to O2 transport and contributes to the occurrence of locomotor muscle fatigue, inhibition of central locomotor output, and exercise performance. Most prominent in these examples of an \"underbuilt\" respiratory system are highly trained endurance athletes, with additional influences of sex, aging, hypoxic environments, and the highly inbred equine. We summarize by evaluating the relative influences of these respiratory system limitations on exercise performance and their impact on pathophysiology and provide recommendations for future investigation.","container-title":"Journal of Applied Physiology (Bethesda, Md.: 1985)","DOI":"10.1152/japplphysiol.00444.2020","ISSN":"1522-1601","issue":"6","journalAbbreviation":"J Appl Physiol (1985)","language":"eng","note":"PMID: 32790594\nPMCID: PMC7864246","page":"1235-1256","source":"PubMed","title":"Is the healthy respiratory system built just right, overbuilt, or underbuilt to meet the demands imposed by exercise?","volume":"129","author":[{"family":"Dempsey","given":"Jerome A."},{"family":"La Gerche","given":"Andre"},{"family":"Hull","given":"James H."}],"issued":{"date-parts":[["2020",12,1]]}}}],"schema":"https://github.com/citation-style-language/schema/raw/master/csl-citation.json"}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[43]</w:t>
      </w:r>
      <w:r w:rsidR="003F3944" w:rsidRPr="00165ED2">
        <w:rPr>
          <w:rFonts w:ascii="Times New Roman" w:eastAsiaTheme="minorEastAsia" w:hAnsi="Times New Roman" w:cs="Times New Roman"/>
          <w:bCs/>
          <w:sz w:val="24"/>
          <w:szCs w:val="24"/>
        </w:rPr>
        <w:fldChar w:fldCharType="end"/>
      </w:r>
      <w:r w:rsidR="004613FF" w:rsidRPr="00165ED2">
        <w:rPr>
          <w:rFonts w:ascii="Times New Roman" w:eastAsiaTheme="minorEastAsia" w:hAnsi="Times New Roman" w:cs="Times New Roman"/>
          <w:bCs/>
          <w:sz w:val="24"/>
          <w:szCs w:val="24"/>
        </w:rPr>
        <w:t>. Hence, the remainder of this review will focus on the impact of convective and diffusive O</w:t>
      </w:r>
      <w:r w:rsidR="004613FF" w:rsidRPr="00165ED2">
        <w:rPr>
          <w:rFonts w:ascii="Times New Roman" w:eastAsiaTheme="minorEastAsia" w:hAnsi="Times New Roman" w:cs="Times New Roman"/>
          <w:bCs/>
          <w:sz w:val="24"/>
          <w:szCs w:val="24"/>
          <w:vertAlign w:val="subscript"/>
        </w:rPr>
        <w:t>2</w:t>
      </w:r>
      <w:r w:rsidR="004613FF" w:rsidRPr="00165ED2">
        <w:rPr>
          <w:rFonts w:ascii="Times New Roman" w:eastAsiaTheme="minorEastAsia" w:hAnsi="Times New Roman" w:cs="Times New Roman"/>
          <w:bCs/>
          <w:sz w:val="24"/>
          <w:szCs w:val="24"/>
        </w:rPr>
        <w:t xml:space="preserve"> delivery and mitochondrial O</w:t>
      </w:r>
      <w:r w:rsidR="004613FF" w:rsidRPr="00165ED2">
        <w:rPr>
          <w:rFonts w:ascii="Times New Roman" w:eastAsiaTheme="minorEastAsia" w:hAnsi="Times New Roman" w:cs="Times New Roman"/>
          <w:bCs/>
          <w:sz w:val="24"/>
          <w:szCs w:val="24"/>
          <w:vertAlign w:val="subscript"/>
        </w:rPr>
        <w:t>2</w:t>
      </w:r>
      <w:r w:rsidR="004613FF" w:rsidRPr="00165ED2">
        <w:rPr>
          <w:rFonts w:ascii="Times New Roman" w:eastAsiaTheme="minorEastAsia" w:hAnsi="Times New Roman" w:cs="Times New Roman"/>
          <w:bCs/>
          <w:sz w:val="24"/>
          <w:szCs w:val="24"/>
        </w:rPr>
        <w:t xml:space="preserve"> utilization on CP</w:t>
      </w:r>
      <w:r w:rsidR="00A470CA" w:rsidRPr="00165ED2">
        <w:rPr>
          <w:rFonts w:ascii="Times New Roman" w:eastAsiaTheme="minorEastAsia" w:hAnsi="Times New Roman" w:cs="Times New Roman"/>
          <w:bCs/>
          <w:sz w:val="24"/>
          <w:szCs w:val="24"/>
        </w:rPr>
        <w:t>, downstream of the respiratory system</w:t>
      </w:r>
      <w:r w:rsidR="004613FF" w:rsidRPr="00165ED2">
        <w:rPr>
          <w:rFonts w:ascii="Times New Roman" w:eastAsiaTheme="minorEastAsia" w:hAnsi="Times New Roman" w:cs="Times New Roman"/>
          <w:bCs/>
          <w:sz w:val="24"/>
          <w:szCs w:val="24"/>
        </w:rPr>
        <w:t>.</w:t>
      </w:r>
    </w:p>
    <w:p w14:paraId="352C3057" w14:textId="06B010E7" w:rsidR="004613FF" w:rsidRPr="00165ED2" w:rsidRDefault="00012C55" w:rsidP="00012C55">
      <w:pPr>
        <w:spacing w:line="480" w:lineRule="auto"/>
        <w:ind w:firstLine="720"/>
        <w:jc w:val="both"/>
        <w:rPr>
          <w:rFonts w:ascii="Times New Roman" w:eastAsiaTheme="minorEastAsia" w:hAnsi="Times New Roman" w:cs="Times New Roman"/>
          <w:i/>
          <w:sz w:val="24"/>
          <w:szCs w:val="24"/>
        </w:rPr>
      </w:pPr>
      <w:r w:rsidRPr="00165ED2">
        <w:rPr>
          <w:rFonts w:ascii="Times New Roman" w:eastAsiaTheme="minorEastAsia" w:hAnsi="Times New Roman" w:cs="Times New Roman"/>
          <w:i/>
          <w:sz w:val="24"/>
          <w:szCs w:val="24"/>
        </w:rPr>
        <w:t>2.1 Convective oxygen delivery</w:t>
      </w:r>
    </w:p>
    <w:p w14:paraId="4232CE15" w14:textId="7D005CFE" w:rsidR="004613FF" w:rsidRPr="00165ED2" w:rsidRDefault="009E27E6" w:rsidP="005A113D">
      <w:pPr>
        <w:spacing w:line="480" w:lineRule="auto"/>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lastRenderedPageBreak/>
        <w:t>Convective O</w:t>
      </w:r>
      <w:r w:rsidRPr="00165ED2">
        <w:rPr>
          <w:rFonts w:ascii="Times New Roman" w:eastAsiaTheme="minorEastAsia" w:hAnsi="Times New Roman" w:cs="Times New Roman"/>
          <w:bCs/>
          <w:sz w:val="24"/>
          <w:szCs w:val="24"/>
          <w:vertAlign w:val="subscript"/>
        </w:rPr>
        <w:t xml:space="preserve">2 </w:t>
      </w:r>
      <w:r w:rsidRPr="00165ED2">
        <w:rPr>
          <w:rFonts w:ascii="Times New Roman" w:eastAsiaTheme="minorEastAsia" w:hAnsi="Times New Roman" w:cs="Times New Roman"/>
          <w:bCs/>
          <w:sz w:val="24"/>
          <w:szCs w:val="24"/>
        </w:rPr>
        <w:t>delivery refers to that achieved via bulk movement of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within the circulation to the exercising muscles. Convective O</w:t>
      </w:r>
      <w:r w:rsidRPr="00165ED2">
        <w:rPr>
          <w:rFonts w:ascii="Times New Roman" w:eastAsiaTheme="minorEastAsia" w:hAnsi="Times New Roman" w:cs="Times New Roman"/>
          <w:bCs/>
          <w:sz w:val="24"/>
          <w:szCs w:val="24"/>
          <w:vertAlign w:val="subscript"/>
        </w:rPr>
        <w:t xml:space="preserve">2 </w:t>
      </w:r>
      <w:r w:rsidRPr="00165ED2">
        <w:rPr>
          <w:rFonts w:ascii="Times New Roman" w:eastAsiaTheme="minorEastAsia" w:hAnsi="Times New Roman" w:cs="Times New Roman"/>
          <w:bCs/>
          <w:sz w:val="24"/>
          <w:szCs w:val="24"/>
        </w:rPr>
        <w:t xml:space="preserve">delivery </w:t>
      </w:r>
      <w:r w:rsidR="0092082E" w:rsidRPr="00165ED2">
        <w:rPr>
          <w:rFonts w:ascii="Times New Roman" w:eastAsiaTheme="minorEastAsia" w:hAnsi="Times New Roman" w:cs="Times New Roman"/>
          <w:bCs/>
          <w:sz w:val="24"/>
          <w:szCs w:val="24"/>
        </w:rPr>
        <w:t>(</w:t>
      </w:r>
      <m:oMath>
        <m:acc>
          <m:accPr>
            <m:chr m:val="̇"/>
            <m:ctrlPr>
              <w:rPr>
                <w:rFonts w:ascii="Cambria Math" w:eastAsiaTheme="minorEastAsia" w:hAnsi="Cambria Math" w:cs="Times New Roman"/>
                <w:bCs/>
                <w:i/>
                <w:sz w:val="24"/>
                <w:szCs w:val="24"/>
              </w:rPr>
            </m:ctrlPr>
          </m:accPr>
          <m:e>
            <m:r>
              <w:rPr>
                <w:rFonts w:ascii="Cambria Math" w:eastAsiaTheme="minorEastAsia" w:hAnsi="Cambria Math" w:cs="Times New Roman"/>
                <w:sz w:val="24"/>
                <w:szCs w:val="24"/>
              </w:rPr>
              <m:t>Q</m:t>
            </m:r>
          </m:e>
        </m:acc>
      </m:oMath>
      <w:r w:rsidR="0092082E" w:rsidRPr="00165ED2">
        <w:rPr>
          <w:rFonts w:ascii="Times New Roman" w:eastAsiaTheme="minorEastAsia" w:hAnsi="Times New Roman" w:cs="Times New Roman"/>
          <w:bCs/>
          <w:sz w:val="24"/>
          <w:szCs w:val="24"/>
        </w:rPr>
        <w:t>O</w:t>
      </w:r>
      <w:r w:rsidR="0092082E" w:rsidRPr="00165ED2">
        <w:rPr>
          <w:rFonts w:ascii="Times New Roman" w:eastAsiaTheme="minorEastAsia" w:hAnsi="Times New Roman" w:cs="Times New Roman"/>
          <w:bCs/>
          <w:sz w:val="24"/>
          <w:szCs w:val="24"/>
          <w:vertAlign w:val="subscript"/>
        </w:rPr>
        <w:t>2</w:t>
      </w:r>
      <w:r w:rsidR="003E2849" w:rsidRPr="00165ED2">
        <w:rPr>
          <w:rFonts w:ascii="Times New Roman" w:eastAsiaTheme="minorEastAsia" w:hAnsi="Times New Roman" w:cs="Times New Roman"/>
          <w:bCs/>
          <w:sz w:val="24"/>
          <w:szCs w:val="24"/>
        </w:rPr>
        <w:t>, L.min</w:t>
      </w:r>
      <w:r w:rsidR="003E2849" w:rsidRPr="00165ED2">
        <w:rPr>
          <w:rFonts w:ascii="Times New Roman" w:eastAsiaTheme="minorEastAsia" w:hAnsi="Times New Roman" w:cs="Times New Roman"/>
          <w:bCs/>
          <w:sz w:val="24"/>
          <w:szCs w:val="24"/>
          <w:vertAlign w:val="superscript"/>
        </w:rPr>
        <w:t>-1</w:t>
      </w:r>
      <w:r w:rsidR="0092082E" w:rsidRPr="00165ED2">
        <w:rPr>
          <w:rFonts w:ascii="Times New Roman" w:eastAsiaTheme="minorEastAsia" w:hAnsi="Times New Roman" w:cs="Times New Roman"/>
          <w:bCs/>
          <w:sz w:val="24"/>
          <w:szCs w:val="24"/>
        </w:rPr>
        <w:t xml:space="preserve">) </w:t>
      </w:r>
      <w:r w:rsidRPr="00165ED2">
        <w:rPr>
          <w:rFonts w:ascii="Times New Roman" w:eastAsiaTheme="minorEastAsia" w:hAnsi="Times New Roman" w:cs="Times New Roman"/>
          <w:bCs/>
          <w:sz w:val="24"/>
          <w:szCs w:val="24"/>
        </w:rPr>
        <w:t>can thus be defined mathematically as the product of cardiac output (CO</w:t>
      </w:r>
      <w:r w:rsidR="003E2849" w:rsidRPr="00165ED2">
        <w:rPr>
          <w:rFonts w:ascii="Times New Roman" w:eastAsiaTheme="minorEastAsia" w:hAnsi="Times New Roman" w:cs="Times New Roman"/>
          <w:bCs/>
          <w:sz w:val="24"/>
          <w:szCs w:val="24"/>
        </w:rPr>
        <w:t>, L.min</w:t>
      </w:r>
      <w:r w:rsidR="003E2849" w:rsidRPr="00165ED2">
        <w:rPr>
          <w:rFonts w:ascii="Times New Roman" w:eastAsiaTheme="minorEastAsia" w:hAnsi="Times New Roman" w:cs="Times New Roman"/>
          <w:bCs/>
          <w:sz w:val="24"/>
          <w:szCs w:val="24"/>
          <w:vertAlign w:val="superscript"/>
        </w:rPr>
        <w:t>-1</w:t>
      </w:r>
      <w:r w:rsidRPr="00165ED2">
        <w:rPr>
          <w:rFonts w:ascii="Times New Roman" w:eastAsiaTheme="minorEastAsia" w:hAnsi="Times New Roman" w:cs="Times New Roman"/>
          <w:bCs/>
          <w:sz w:val="24"/>
          <w:szCs w:val="24"/>
        </w:rPr>
        <w:t>) and arterial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content (Ca</w:t>
      </w:r>
      <w:r w:rsidRPr="00165ED2">
        <w:rPr>
          <w:rFonts w:ascii="Times New Roman" w:eastAsiaTheme="minorEastAsia" w:hAnsi="Times New Roman" w:cs="Times New Roman"/>
          <w:bCs/>
          <w:sz w:val="24"/>
          <w:szCs w:val="24"/>
          <w:vertAlign w:val="subscript"/>
        </w:rPr>
        <w:t>O2</w:t>
      </w:r>
      <w:r w:rsidR="003E2849" w:rsidRPr="00165ED2">
        <w:rPr>
          <w:rFonts w:ascii="Times New Roman" w:eastAsiaTheme="minorEastAsia" w:hAnsi="Times New Roman" w:cs="Times New Roman"/>
          <w:bCs/>
          <w:sz w:val="24"/>
          <w:szCs w:val="24"/>
        </w:rPr>
        <w:t>, mL O</w:t>
      </w:r>
      <w:r w:rsidR="003E2849" w:rsidRPr="00165ED2">
        <w:rPr>
          <w:rFonts w:ascii="Times New Roman" w:eastAsiaTheme="minorEastAsia" w:hAnsi="Times New Roman" w:cs="Times New Roman"/>
          <w:bCs/>
          <w:sz w:val="24"/>
          <w:szCs w:val="24"/>
          <w:vertAlign w:val="subscript"/>
        </w:rPr>
        <w:t>2</w:t>
      </w:r>
      <w:r w:rsidR="003E2849" w:rsidRPr="00165ED2">
        <w:rPr>
          <w:rFonts w:ascii="Times New Roman" w:eastAsiaTheme="minorEastAsia" w:hAnsi="Times New Roman" w:cs="Times New Roman"/>
          <w:bCs/>
          <w:sz w:val="24"/>
          <w:szCs w:val="24"/>
        </w:rPr>
        <w:t xml:space="preserve"> 100 mL</w:t>
      </w:r>
      <w:r w:rsidR="003E2849" w:rsidRPr="00165ED2">
        <w:rPr>
          <w:rFonts w:ascii="Times New Roman" w:eastAsiaTheme="minorEastAsia" w:hAnsi="Times New Roman" w:cs="Times New Roman"/>
          <w:bCs/>
          <w:sz w:val="24"/>
          <w:szCs w:val="24"/>
          <w:vertAlign w:val="superscript"/>
        </w:rPr>
        <w:t>-1</w:t>
      </w:r>
      <w:r w:rsidRPr="00165ED2">
        <w:rPr>
          <w:rFonts w:ascii="Times New Roman" w:eastAsiaTheme="minorEastAsia" w:hAnsi="Times New Roman" w:cs="Times New Roman"/>
          <w:bCs/>
          <w:sz w:val="24"/>
          <w:szCs w:val="24"/>
        </w:rPr>
        <w:t>):</w:t>
      </w:r>
    </w:p>
    <w:p w14:paraId="263FEDA7" w14:textId="3F2F35AA" w:rsidR="009E27E6" w:rsidRPr="00165ED2" w:rsidRDefault="000B2B2F" w:rsidP="005A113D">
      <w:pPr>
        <w:spacing w:line="480" w:lineRule="auto"/>
        <w:jc w:val="both"/>
        <w:rPr>
          <w:rFonts w:ascii="Times New Roman" w:eastAsiaTheme="minorEastAsia" w:hAnsi="Times New Roman" w:cs="Times New Roman"/>
          <w:bCs/>
          <w:sz w:val="24"/>
          <w:szCs w:val="24"/>
        </w:rPr>
      </w:pPr>
      <m:oMathPara>
        <m:oMath>
          <m:sSub>
            <m:sSubPr>
              <m:ctrlPr>
                <w:rPr>
                  <w:rFonts w:ascii="Cambria Math" w:eastAsiaTheme="minorEastAsia" w:hAnsi="Cambria Math" w:cs="Times New Roman"/>
                  <w:bCs/>
                  <w:i/>
                  <w:sz w:val="24"/>
                  <w:szCs w:val="24"/>
                </w:rPr>
              </m:ctrlPr>
            </m:sSubPr>
            <m:e>
              <m:acc>
                <m:accPr>
                  <m:chr m:val="̇"/>
                  <m:ctrlPr>
                    <w:rPr>
                      <w:rFonts w:ascii="Cambria Math" w:eastAsiaTheme="minorEastAsia" w:hAnsi="Cambria Math" w:cs="Times New Roman"/>
                      <w:bCs/>
                      <w:i/>
                      <w:sz w:val="24"/>
                      <w:szCs w:val="24"/>
                    </w:rPr>
                  </m:ctrlPr>
                </m:accPr>
                <m:e>
                  <m:r>
                    <w:rPr>
                      <w:rFonts w:ascii="Cambria Math" w:eastAsiaTheme="minorEastAsia" w:hAnsi="Cambria Math" w:cs="Times New Roman"/>
                      <w:sz w:val="24"/>
                      <w:szCs w:val="24"/>
                    </w:rPr>
                    <m:t>Q</m:t>
                  </m:r>
                </m:e>
              </m:acc>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=CO*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Ca</m:t>
              </m:r>
            </m:e>
            <m:sub>
              <m:r>
                <w:rPr>
                  <w:rFonts w:ascii="Cambria Math" w:eastAsiaTheme="minorEastAsia" w:hAnsi="Cambria Math" w:cs="Times New Roman"/>
                  <w:sz w:val="24"/>
                  <w:szCs w:val="24"/>
                </w:rPr>
                <m:t>O2</m:t>
              </m:r>
            </m:sub>
          </m:sSub>
        </m:oMath>
      </m:oMathPara>
    </w:p>
    <w:p w14:paraId="42F38BE3" w14:textId="5E6EC16D" w:rsidR="00660C0A" w:rsidRPr="00165ED2" w:rsidRDefault="00660C0A" w:rsidP="005A113D">
      <w:pPr>
        <w:spacing w:line="480" w:lineRule="auto"/>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Where Ca</w:t>
      </w:r>
      <w:r w:rsidRPr="00165ED2">
        <w:rPr>
          <w:rFonts w:ascii="Times New Roman" w:eastAsiaTheme="minorEastAsia" w:hAnsi="Times New Roman" w:cs="Times New Roman"/>
          <w:bCs/>
          <w:sz w:val="24"/>
          <w:szCs w:val="24"/>
          <w:vertAlign w:val="subscript"/>
        </w:rPr>
        <w:t xml:space="preserve">O2 </w:t>
      </w:r>
      <w:r w:rsidRPr="00165ED2">
        <w:rPr>
          <w:rFonts w:ascii="Times New Roman" w:eastAsiaTheme="minorEastAsia" w:hAnsi="Times New Roman" w:cs="Times New Roman"/>
          <w:bCs/>
          <w:sz w:val="24"/>
          <w:szCs w:val="24"/>
        </w:rPr>
        <w:t>is defined as:</w:t>
      </w:r>
    </w:p>
    <w:p w14:paraId="59FF666F" w14:textId="5511A0D9" w:rsidR="00660C0A" w:rsidRPr="00165ED2" w:rsidRDefault="000B2B2F" w:rsidP="005A113D">
      <w:pPr>
        <w:spacing w:line="480" w:lineRule="auto"/>
        <w:jc w:val="both"/>
        <w:rPr>
          <w:rFonts w:ascii="Times New Roman" w:eastAsiaTheme="minorEastAsia" w:hAnsi="Times New Roman" w:cs="Times New Roman"/>
          <w:bCs/>
          <w:sz w:val="24"/>
          <w:szCs w:val="24"/>
        </w:rPr>
      </w:pPr>
      <m:oMathPara>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Ca</m:t>
              </m:r>
            </m:e>
            <m:sub>
              <m:r>
                <w:rPr>
                  <w:rFonts w:ascii="Cambria Math" w:eastAsiaTheme="minorEastAsia" w:hAnsi="Cambria Math" w:cs="Times New Roman"/>
                  <w:sz w:val="24"/>
                  <w:szCs w:val="24"/>
                </w:rPr>
                <m:t>O2</m:t>
              </m:r>
            </m:sub>
          </m:sSub>
          <m:r>
            <w:rPr>
              <w:rFonts w:ascii="Cambria Math" w:eastAsiaTheme="minorEastAsia" w:hAnsi="Cambria Math" w:cs="Times New Roman"/>
              <w:sz w:val="24"/>
              <w:szCs w:val="24"/>
            </w:rPr>
            <m:t>=</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1.34*</m:t>
              </m:r>
              <m:d>
                <m:dPr>
                  <m:begChr m:val="["/>
                  <m:endChr m:val="]"/>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Hb</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Sa</m:t>
                  </m:r>
                </m:e>
                <m:sub>
                  <m:r>
                    <w:rPr>
                      <w:rFonts w:ascii="Cambria Math" w:eastAsiaTheme="minorEastAsia" w:hAnsi="Cambria Math" w:cs="Times New Roman"/>
                      <w:sz w:val="24"/>
                      <w:szCs w:val="24"/>
                    </w:rPr>
                    <m:t>O2</m:t>
                  </m:r>
                </m:sub>
              </m:sSub>
              <m:r>
                <w:rPr>
                  <w:rFonts w:ascii="Cambria Math" w:eastAsiaTheme="minorEastAsia" w:hAnsi="Cambria Math" w:cs="Times New Roman"/>
                  <w:sz w:val="24"/>
                  <w:szCs w:val="24"/>
                </w:rPr>
                <m:t>*0.01</m:t>
              </m:r>
            </m:e>
          </m:d>
          <m:r>
            <w:rPr>
              <w:rFonts w:ascii="Cambria Math" w:eastAsiaTheme="minorEastAsia" w:hAnsi="Cambria Math" w:cs="Times New Roman"/>
              <w:sz w:val="24"/>
              <w:szCs w:val="24"/>
            </w:rPr>
            <m:t>+(0.03*</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Pa</m:t>
              </m:r>
            </m:e>
            <m:sub>
              <m:r>
                <w:rPr>
                  <w:rFonts w:ascii="Cambria Math" w:eastAsiaTheme="minorEastAsia" w:hAnsi="Cambria Math" w:cs="Times New Roman"/>
                  <w:sz w:val="24"/>
                  <w:szCs w:val="24"/>
                </w:rPr>
                <m:t>O2</m:t>
              </m:r>
            </m:sub>
          </m:sSub>
          <m:r>
            <w:rPr>
              <w:rFonts w:ascii="Cambria Math" w:eastAsiaTheme="minorEastAsia" w:hAnsi="Cambria Math" w:cs="Times New Roman"/>
              <w:sz w:val="24"/>
              <w:szCs w:val="24"/>
            </w:rPr>
            <m:t>)</m:t>
          </m:r>
        </m:oMath>
      </m:oMathPara>
    </w:p>
    <w:p w14:paraId="616D5484" w14:textId="258F8D89" w:rsidR="00660C0A" w:rsidRPr="00165ED2" w:rsidRDefault="00660C0A" w:rsidP="005A113D">
      <w:pPr>
        <w:spacing w:line="480" w:lineRule="auto"/>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Where 1.3</w:t>
      </w:r>
      <w:r w:rsidR="00663A58" w:rsidRPr="00165ED2">
        <w:rPr>
          <w:rFonts w:ascii="Times New Roman" w:eastAsiaTheme="minorEastAsia" w:hAnsi="Times New Roman" w:cs="Times New Roman"/>
          <w:bCs/>
          <w:sz w:val="24"/>
          <w:szCs w:val="24"/>
        </w:rPr>
        <w:t>4</w:t>
      </w:r>
      <w:r w:rsidRPr="00165ED2">
        <w:rPr>
          <w:rFonts w:ascii="Times New Roman" w:eastAsiaTheme="minorEastAsia" w:hAnsi="Times New Roman" w:cs="Times New Roman"/>
          <w:bCs/>
          <w:sz w:val="24"/>
          <w:szCs w:val="24"/>
        </w:rPr>
        <w:t xml:space="preserve"> is </w:t>
      </w:r>
      <w:proofErr w:type="spellStart"/>
      <w:r w:rsidRPr="00165ED2">
        <w:rPr>
          <w:rFonts w:ascii="Times New Roman" w:eastAsiaTheme="minorEastAsia" w:hAnsi="Times New Roman" w:cs="Times New Roman"/>
          <w:bCs/>
          <w:sz w:val="24"/>
          <w:szCs w:val="24"/>
        </w:rPr>
        <w:t>Hüfner's</w:t>
      </w:r>
      <w:proofErr w:type="spellEnd"/>
      <w:r w:rsidRPr="00165ED2">
        <w:rPr>
          <w:rFonts w:ascii="Times New Roman" w:eastAsiaTheme="minorEastAsia" w:hAnsi="Times New Roman" w:cs="Times New Roman"/>
          <w:bCs/>
          <w:sz w:val="24"/>
          <w:szCs w:val="24"/>
        </w:rPr>
        <w:t xml:space="preserve"> constant describing the maximum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carrying capacity per gram of haemoglobin</w:t>
      </w:r>
      <w:r w:rsidR="008B115B" w:rsidRPr="00165ED2">
        <w:rPr>
          <w:rFonts w:ascii="Times New Roman" w:eastAsiaTheme="minorEastAsia" w:hAnsi="Times New Roman" w:cs="Times New Roman"/>
          <w:bCs/>
          <w:sz w:val="24"/>
          <w:szCs w:val="24"/>
        </w:rPr>
        <w:t xml:space="preserve"> (ml O</w:t>
      </w:r>
      <w:r w:rsidR="008B115B" w:rsidRPr="00165ED2">
        <w:rPr>
          <w:rFonts w:ascii="Times New Roman" w:eastAsiaTheme="minorEastAsia" w:hAnsi="Times New Roman" w:cs="Times New Roman"/>
          <w:bCs/>
          <w:sz w:val="24"/>
          <w:szCs w:val="24"/>
          <w:vertAlign w:val="subscript"/>
        </w:rPr>
        <w:t>2</w:t>
      </w:r>
      <w:r w:rsidR="008B115B" w:rsidRPr="00165ED2">
        <w:rPr>
          <w:rFonts w:ascii="Times New Roman" w:eastAsiaTheme="minorEastAsia" w:hAnsi="Times New Roman" w:cs="Times New Roman"/>
          <w:bCs/>
          <w:sz w:val="24"/>
          <w:szCs w:val="24"/>
        </w:rPr>
        <w:t xml:space="preserve"> g</w:t>
      </w:r>
      <w:r w:rsidR="008B115B" w:rsidRPr="00165ED2">
        <w:rPr>
          <w:rFonts w:ascii="Times New Roman" w:eastAsiaTheme="minorEastAsia" w:hAnsi="Times New Roman" w:cs="Times New Roman"/>
          <w:bCs/>
          <w:sz w:val="24"/>
          <w:szCs w:val="24"/>
          <w:vertAlign w:val="superscript"/>
        </w:rPr>
        <w:t>−1</w:t>
      </w:r>
      <w:r w:rsidR="008B115B" w:rsidRPr="00165ED2">
        <w:rPr>
          <w:rFonts w:ascii="Times New Roman" w:eastAsiaTheme="minorEastAsia" w:hAnsi="Times New Roman" w:cs="Times New Roman"/>
          <w:bCs/>
          <w:sz w:val="24"/>
          <w:szCs w:val="24"/>
        </w:rPr>
        <w:t xml:space="preserve"> Hb)</w:t>
      </w:r>
      <w:r w:rsidRPr="00165ED2">
        <w:rPr>
          <w:rFonts w:ascii="Times New Roman" w:eastAsiaTheme="minorEastAsia" w:hAnsi="Times New Roman" w:cs="Times New Roman"/>
          <w:bCs/>
          <w:sz w:val="24"/>
          <w:szCs w:val="24"/>
        </w:rPr>
        <w:t>, [Hb] is haemoglobin concentration</w:t>
      </w:r>
      <w:r w:rsidR="008B115B" w:rsidRPr="00165ED2">
        <w:rPr>
          <w:rFonts w:ascii="Times New Roman" w:eastAsiaTheme="minorEastAsia" w:hAnsi="Times New Roman" w:cs="Times New Roman"/>
          <w:bCs/>
          <w:sz w:val="24"/>
          <w:szCs w:val="24"/>
        </w:rPr>
        <w:t xml:space="preserve"> (g dl</w:t>
      </w:r>
      <w:r w:rsidR="008B115B" w:rsidRPr="00165ED2">
        <w:rPr>
          <w:rFonts w:ascii="Times New Roman" w:eastAsiaTheme="minorEastAsia" w:hAnsi="Times New Roman" w:cs="Times New Roman"/>
          <w:bCs/>
          <w:sz w:val="24"/>
          <w:szCs w:val="24"/>
          <w:vertAlign w:val="superscript"/>
        </w:rPr>
        <w:t>-1</w:t>
      </w:r>
      <w:r w:rsidR="008B115B" w:rsidRPr="00165ED2">
        <w:rPr>
          <w:rFonts w:ascii="Times New Roman" w:eastAsiaTheme="minorEastAsia" w:hAnsi="Times New Roman" w:cs="Times New Roman"/>
          <w:bCs/>
          <w:sz w:val="24"/>
          <w:szCs w:val="24"/>
        </w:rPr>
        <w:t>)</w:t>
      </w:r>
      <w:r w:rsidRPr="00165ED2">
        <w:rPr>
          <w:rFonts w:ascii="Times New Roman" w:eastAsiaTheme="minorEastAsia" w:hAnsi="Times New Roman" w:cs="Times New Roman"/>
          <w:bCs/>
          <w:sz w:val="24"/>
          <w:szCs w:val="24"/>
        </w:rPr>
        <w:t>, SaO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is the arterial saturation of Hb, 0.0</w:t>
      </w:r>
      <w:r w:rsidR="00624DC9" w:rsidRPr="00165ED2">
        <w:rPr>
          <w:rFonts w:ascii="Times New Roman" w:eastAsiaTheme="minorEastAsia" w:hAnsi="Times New Roman" w:cs="Times New Roman"/>
          <w:bCs/>
          <w:sz w:val="24"/>
          <w:szCs w:val="24"/>
        </w:rPr>
        <w:t>3</w:t>
      </w:r>
      <w:r w:rsidRPr="00165ED2">
        <w:rPr>
          <w:rFonts w:ascii="Times New Roman" w:eastAsiaTheme="minorEastAsia" w:hAnsi="Times New Roman" w:cs="Times New Roman"/>
          <w:bCs/>
          <w:sz w:val="24"/>
          <w:szCs w:val="24"/>
        </w:rPr>
        <w:t xml:space="preserve"> is the solubility coefficient of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at body temperature</w:t>
      </w:r>
      <w:r w:rsidR="008B115B" w:rsidRPr="00165ED2">
        <w:rPr>
          <w:rFonts w:ascii="Times New Roman" w:eastAsiaTheme="minorEastAsia" w:hAnsi="Times New Roman" w:cs="Times New Roman"/>
          <w:bCs/>
          <w:sz w:val="24"/>
          <w:szCs w:val="24"/>
        </w:rPr>
        <w:t xml:space="preserve"> (ml O</w:t>
      </w:r>
      <w:r w:rsidR="008B115B" w:rsidRPr="00165ED2">
        <w:rPr>
          <w:rFonts w:ascii="Times New Roman" w:eastAsiaTheme="minorEastAsia" w:hAnsi="Times New Roman" w:cs="Times New Roman"/>
          <w:bCs/>
          <w:sz w:val="24"/>
          <w:szCs w:val="24"/>
          <w:vertAlign w:val="subscript"/>
        </w:rPr>
        <w:t>2</w:t>
      </w:r>
      <w:r w:rsidR="008B115B" w:rsidRPr="00165ED2">
        <w:rPr>
          <w:rFonts w:ascii="Times New Roman" w:eastAsiaTheme="minorEastAsia" w:hAnsi="Times New Roman" w:cs="Times New Roman"/>
          <w:bCs/>
          <w:sz w:val="24"/>
          <w:szCs w:val="24"/>
        </w:rPr>
        <w:t xml:space="preserve"> 100 ml</w:t>
      </w:r>
      <w:r w:rsidR="008B115B" w:rsidRPr="00165ED2">
        <w:rPr>
          <w:rFonts w:ascii="Times New Roman" w:eastAsiaTheme="minorEastAsia" w:hAnsi="Times New Roman" w:cs="Times New Roman"/>
          <w:bCs/>
          <w:sz w:val="24"/>
          <w:szCs w:val="24"/>
          <w:vertAlign w:val="superscript"/>
        </w:rPr>
        <w:t>−1</w:t>
      </w:r>
      <w:r w:rsidR="008B115B" w:rsidRPr="00165ED2">
        <w:rPr>
          <w:rFonts w:ascii="Times New Roman" w:eastAsiaTheme="minorEastAsia" w:hAnsi="Times New Roman" w:cs="Times New Roman"/>
          <w:bCs/>
          <w:sz w:val="24"/>
          <w:szCs w:val="24"/>
        </w:rPr>
        <w:t xml:space="preserve"> plasma kPa</w:t>
      </w:r>
      <w:r w:rsidR="008B115B" w:rsidRPr="00165ED2">
        <w:rPr>
          <w:rFonts w:ascii="Times New Roman" w:eastAsiaTheme="minorEastAsia" w:hAnsi="Times New Roman" w:cs="Times New Roman"/>
          <w:bCs/>
          <w:sz w:val="24"/>
          <w:szCs w:val="24"/>
          <w:vertAlign w:val="superscript"/>
        </w:rPr>
        <w:t>−1</w:t>
      </w:r>
      <w:r w:rsidR="008B115B" w:rsidRPr="00165ED2">
        <w:rPr>
          <w:rFonts w:ascii="Times New Roman" w:eastAsiaTheme="minorEastAsia" w:hAnsi="Times New Roman" w:cs="Times New Roman"/>
          <w:bCs/>
          <w:sz w:val="24"/>
          <w:szCs w:val="24"/>
        </w:rPr>
        <w:t>)</w:t>
      </w:r>
      <w:r w:rsidRPr="00165ED2">
        <w:rPr>
          <w:rFonts w:ascii="Times New Roman" w:eastAsiaTheme="minorEastAsia" w:hAnsi="Times New Roman" w:cs="Times New Roman"/>
          <w:bCs/>
          <w:sz w:val="24"/>
          <w:szCs w:val="24"/>
        </w:rPr>
        <w:t>, and PaO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is the </w:t>
      </w:r>
      <w:r w:rsidR="00884298" w:rsidRPr="00165ED2">
        <w:rPr>
          <w:rFonts w:ascii="Times New Roman" w:eastAsiaTheme="minorEastAsia" w:hAnsi="Times New Roman" w:cs="Times New Roman"/>
          <w:bCs/>
          <w:sz w:val="24"/>
          <w:szCs w:val="24"/>
        </w:rPr>
        <w:t xml:space="preserve">arterial </w:t>
      </w:r>
      <w:r w:rsidRPr="00165ED2">
        <w:rPr>
          <w:rFonts w:ascii="Times New Roman" w:eastAsiaTheme="minorEastAsia" w:hAnsi="Times New Roman" w:cs="Times New Roman"/>
          <w:bCs/>
          <w:sz w:val="24"/>
          <w:szCs w:val="24"/>
        </w:rPr>
        <w:t>partial pressure of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w:t>
      </w:r>
      <w:r w:rsidR="008B115B" w:rsidRPr="00165ED2">
        <w:rPr>
          <w:rFonts w:ascii="Times New Roman" w:eastAsiaTheme="minorEastAsia" w:hAnsi="Times New Roman" w:cs="Times New Roman"/>
          <w:bCs/>
          <w:sz w:val="24"/>
          <w:szCs w:val="24"/>
        </w:rPr>
        <w:t>(</w:t>
      </w:r>
      <w:r w:rsidR="00663A58" w:rsidRPr="00165ED2">
        <w:rPr>
          <w:rFonts w:ascii="Times New Roman" w:eastAsiaTheme="minorEastAsia" w:hAnsi="Times New Roman" w:cs="Times New Roman"/>
          <w:bCs/>
          <w:sz w:val="24"/>
          <w:szCs w:val="24"/>
        </w:rPr>
        <w:t>mmHg</w:t>
      </w:r>
      <w:r w:rsidR="008B115B" w:rsidRPr="00165ED2">
        <w:rPr>
          <w:rFonts w:ascii="Times New Roman" w:eastAsiaTheme="minorEastAsia" w:hAnsi="Times New Roman" w:cs="Times New Roman"/>
          <w:bCs/>
          <w:sz w:val="24"/>
          <w:szCs w:val="24"/>
        </w:rPr>
        <w:t>)</w:t>
      </w:r>
      <w:r w:rsidRPr="00165ED2">
        <w:rPr>
          <w:rFonts w:ascii="Times New Roman" w:eastAsiaTheme="minorEastAsia" w:hAnsi="Times New Roman" w:cs="Times New Roman"/>
          <w:bCs/>
          <w:sz w:val="24"/>
          <w:szCs w:val="24"/>
        </w:rPr>
        <w:t xml:space="preserve">. This provides a measure of </w:t>
      </w:r>
      <w:r w:rsidR="008B115B" w:rsidRPr="00165ED2">
        <w:rPr>
          <w:rFonts w:ascii="Times New Roman" w:eastAsiaTheme="minorEastAsia" w:hAnsi="Times New Roman" w:cs="Times New Roman"/>
          <w:bCs/>
          <w:sz w:val="24"/>
          <w:szCs w:val="24"/>
        </w:rPr>
        <w:t xml:space="preserve">whole-body </w:t>
      </w:r>
      <w:r w:rsidRPr="00165ED2">
        <w:rPr>
          <w:rFonts w:ascii="Times New Roman" w:eastAsiaTheme="minorEastAsia" w:hAnsi="Times New Roman" w:cs="Times New Roman"/>
          <w:bCs/>
          <w:sz w:val="24"/>
          <w:szCs w:val="24"/>
        </w:rPr>
        <w:t>convective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delivery</w:t>
      </w:r>
      <w:r w:rsidR="008D7226" w:rsidRPr="00165ED2">
        <w:rPr>
          <w:rFonts w:ascii="Times New Roman" w:eastAsiaTheme="minorEastAsia" w:hAnsi="Times New Roman" w:cs="Times New Roman"/>
          <w:bCs/>
          <w:sz w:val="24"/>
          <w:szCs w:val="24"/>
        </w:rPr>
        <w:t>.</w:t>
      </w:r>
      <w:r w:rsidRPr="00165ED2">
        <w:rPr>
          <w:rFonts w:ascii="Times New Roman" w:eastAsiaTheme="minorEastAsia" w:hAnsi="Times New Roman" w:cs="Times New Roman"/>
          <w:bCs/>
          <w:sz w:val="24"/>
          <w:szCs w:val="24"/>
        </w:rPr>
        <w:t xml:space="preserve"> </w:t>
      </w:r>
      <w:r w:rsidR="008D7226" w:rsidRPr="00165ED2">
        <w:rPr>
          <w:rFonts w:ascii="Times New Roman" w:eastAsiaTheme="minorEastAsia" w:hAnsi="Times New Roman" w:cs="Times New Roman"/>
          <w:bCs/>
          <w:sz w:val="24"/>
          <w:szCs w:val="24"/>
        </w:rPr>
        <w:t>H</w:t>
      </w:r>
      <w:r w:rsidRPr="00165ED2">
        <w:rPr>
          <w:rFonts w:ascii="Times New Roman" w:eastAsiaTheme="minorEastAsia" w:hAnsi="Times New Roman" w:cs="Times New Roman"/>
          <w:bCs/>
          <w:sz w:val="24"/>
          <w:szCs w:val="24"/>
        </w:rPr>
        <w:t>owever, the O</w:t>
      </w:r>
      <w:r w:rsidRPr="00165ED2">
        <w:rPr>
          <w:rFonts w:ascii="Times New Roman" w:eastAsiaTheme="minorEastAsia" w:hAnsi="Times New Roman" w:cs="Times New Roman"/>
          <w:bCs/>
          <w:sz w:val="24"/>
          <w:szCs w:val="24"/>
          <w:vertAlign w:val="subscript"/>
        </w:rPr>
        <w:t xml:space="preserve">2 </w:t>
      </w:r>
      <w:r w:rsidRPr="00165ED2">
        <w:rPr>
          <w:rFonts w:ascii="Times New Roman" w:eastAsiaTheme="minorEastAsia" w:hAnsi="Times New Roman" w:cs="Times New Roman"/>
          <w:bCs/>
          <w:sz w:val="24"/>
          <w:szCs w:val="24"/>
        </w:rPr>
        <w:t xml:space="preserve">flux to each portion of the exercising muscles is not </w:t>
      </w:r>
      <w:r w:rsidR="008B115B" w:rsidRPr="00165ED2">
        <w:rPr>
          <w:rFonts w:ascii="Times New Roman" w:eastAsiaTheme="minorEastAsia" w:hAnsi="Times New Roman" w:cs="Times New Roman"/>
          <w:bCs/>
          <w:sz w:val="24"/>
          <w:szCs w:val="24"/>
        </w:rPr>
        <w:t>uniform</w:t>
      </w:r>
      <w:r w:rsidRPr="00165ED2">
        <w:rPr>
          <w:rFonts w:ascii="Times New Roman" w:eastAsiaTheme="minorEastAsia" w:hAnsi="Times New Roman" w:cs="Times New Roman"/>
          <w:bCs/>
          <w:sz w:val="24"/>
          <w:szCs w:val="24"/>
        </w:rPr>
        <w:t xml:space="preserve"> but varies according to regional metabolic demands, vascular control and fibre type</w:t>
      </w:r>
      <w:r w:rsidR="003F3944" w:rsidRPr="00165ED2">
        <w:rPr>
          <w:rFonts w:ascii="Times New Roman" w:eastAsiaTheme="minorEastAsia" w:hAnsi="Times New Roman" w:cs="Times New Roman"/>
          <w:bCs/>
          <w:sz w:val="24"/>
          <w:szCs w:val="24"/>
        </w:rPr>
        <w:t xml:space="preserv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{"citationID":"uTsSJuLz","properties":{"formattedCitation":"[44\\uc0\\u8211{}46]","plainCitation":"[44–46]","noteIndex":0},"citationItems":[{"id":233,"uris":["http://zotero.org/users/5056530/items/U3VIJP73"],"itemData":{"id":233,"type":"article-journal","abstract":"To test the hypothesis that, during exercise, substantial heterogeneity of muscle hemoglobin and myoglobin deoxygenation [deoxy(Hb + Mb)] dynamics exists and to determine whether such heterogeneity is associated with the speed of pulmonary O2 uptake (pV̇o2) kinetics, we adapted multi-optical fibers near-infrared spectroscopy (NIRS) to characterize the spatial distribution of muscle deoxygenation kinetics at exercise onset. Seven subjects performed cycle exercise transitions from unloaded to moderate [&lt;gas exchange threshold (GET)] and heavy (&gt;GET) work rates and the relative changes in deoxy(Hb + Mb), at 10 sites in the quadriceps, were sampled by NIRS. At exercise onset, the time delays in muscle deoxy(Hb + Mb) were spatially inhomogeneous [intersite coefficient of variation (CV), 3</w:instrText>
      </w:r>
      <w:r w:rsidR="007A3303" w:rsidRPr="00165ED2">
        <w:rPr>
          <w:rFonts w:ascii="Cambria Math" w:eastAsiaTheme="minorEastAsia" w:hAnsi="Cambria Math" w:cs="Cambria Math"/>
          <w:bCs/>
          <w:sz w:val="24"/>
          <w:szCs w:val="24"/>
        </w:rPr>
        <w:instrText>∼</w:instrText>
      </w:r>
      <w:r w:rsidR="007A3303" w:rsidRPr="00165ED2">
        <w:rPr>
          <w:rFonts w:ascii="Times New Roman" w:eastAsiaTheme="minorEastAsia" w:hAnsi="Times New Roman" w:cs="Times New Roman"/>
          <w:bCs/>
          <w:sz w:val="24"/>
          <w:szCs w:val="24"/>
        </w:rPr>
        <w:instrText>56% for &lt;GET, 2</w:instrText>
      </w:r>
      <w:r w:rsidR="007A3303" w:rsidRPr="00165ED2">
        <w:rPr>
          <w:rFonts w:ascii="Cambria Math" w:eastAsiaTheme="minorEastAsia" w:hAnsi="Cambria Math" w:cs="Cambria Math"/>
          <w:bCs/>
          <w:sz w:val="24"/>
          <w:szCs w:val="24"/>
        </w:rPr>
        <w:instrText>∼</w:instrText>
      </w:r>
      <w:r w:rsidR="007A3303" w:rsidRPr="00165ED2">
        <w:rPr>
          <w:rFonts w:ascii="Times New Roman" w:eastAsiaTheme="minorEastAsia" w:hAnsi="Times New Roman" w:cs="Times New Roman"/>
          <w:bCs/>
          <w:sz w:val="24"/>
          <w:szCs w:val="24"/>
        </w:rPr>
        <w:instrText>21% for &gt;GET]. The primary component kinetics (time constant) of muscle deoxy(Hb + Mb) reflecting increased O2 extraction were also spatially inhomogeneous (intersite CV, 6</w:instrText>
      </w:r>
      <w:r w:rsidR="007A3303" w:rsidRPr="00165ED2">
        <w:rPr>
          <w:rFonts w:ascii="Cambria Math" w:eastAsiaTheme="minorEastAsia" w:hAnsi="Cambria Math" w:cs="Cambria Math"/>
          <w:bCs/>
          <w:sz w:val="24"/>
          <w:szCs w:val="24"/>
        </w:rPr>
        <w:instrText>∼</w:instrText>
      </w:r>
      <w:r w:rsidR="007A3303" w:rsidRPr="00165ED2">
        <w:rPr>
          <w:rFonts w:ascii="Times New Roman" w:eastAsiaTheme="minorEastAsia" w:hAnsi="Times New Roman" w:cs="Times New Roman"/>
          <w:bCs/>
          <w:sz w:val="24"/>
          <w:szCs w:val="24"/>
        </w:rPr>
        <w:instrText>48% for &lt;GET, 7</w:instrText>
      </w:r>
      <w:r w:rsidR="007A3303" w:rsidRPr="00165ED2">
        <w:rPr>
          <w:rFonts w:ascii="Cambria Math" w:eastAsiaTheme="minorEastAsia" w:hAnsi="Cambria Math" w:cs="Cambria Math"/>
          <w:bCs/>
          <w:sz w:val="24"/>
          <w:szCs w:val="24"/>
        </w:rPr>
        <w:instrText>∼</w:instrText>
      </w:r>
      <w:r w:rsidR="007A3303" w:rsidRPr="00165ED2">
        <w:rPr>
          <w:rFonts w:ascii="Times New Roman" w:eastAsiaTheme="minorEastAsia" w:hAnsi="Times New Roman" w:cs="Times New Roman"/>
          <w:bCs/>
          <w:sz w:val="24"/>
          <w:szCs w:val="24"/>
        </w:rPr>
        <w:instrText xml:space="preserve">47% for &gt;GET) and faster (P &lt; 0.05) than those of phase 2 pV̇o2. However, the degree of dynamic intersite heterogeneity in muscle deoxygenation did not correlate significantly with phase 2 pV̇o2 kinetics. In conclusion, the dynamics of quadriceps microvascular oxygenation demonstrates substantial spatial heterogeneity that must arise from disparities in the relative kinetics of V̇o2 and O2 delivery increase across the regions sampled.","container-title":"Journal of Applied Physiology","DOI":"10.1152/japplphysiol.00627.2007","ISSN":"8750-7587, 1522-1601","issue":"6","language":"en","license":"Copyright © 2007 the American Physiological Society","note":"PMID: 17885024","page":"2049-2056","source":"jap.physiology.org","title":"Spatial heterogeneity of quadriceps muscle deoxygenation kinetics during cycle exercise","volume":"103","author":[{"family":"Koga","given":"Shunsaku"},{"family":"Poole","given":"David C."},{"family":"Ferreira","given":"Leonard F."},{"family":"Whipp","given":"Brian J."},{"family":"Kondo","given":"Narihiko"},{"family":"Saitoh","given":"Tadashi"},{"family":"Ohmae","given":"Etsuko"},{"family":"Barstow","given":"Thomas J."}],"issued":{"date-parts":[["2007",12,1]]}}},{"id":837,"uris":["http://zotero.org/users/5056530/items/35KZ822T"],"itemData":{"id":837,"type":"article-journal","abstract":"Resolving the bases for different physiological functioning or exercise performance within a population is dependent on our understanding of control mechanisms. For example, when most young healthy individuals run or cycle at moderate intensities, oxygen uptake (VO2) kinetics are rapid and the amplitude of the VO2 response is not constrained by O2 delivery. For this to occur, muscle O2 delivery (i.e., blood flow × arterial O2 concentration) must be coordinated superbly with muscle O2 requirements (VO2), the efficacy of which may differ among muscles and distinct fiber types. When the O2 transport system succumbs to the predations of aging or disease (emphysema, heart failure, and type 2 diabetes), muscle O2 delivery and O2 delivery-VO2 matching and, therefore, muscle contractile function become impaired. This forces greater influence of the upstream O2 transport pathway on muscle aerobic energy production, and the O2 delivery-VO2 relationship(s) assumes increased importance. This review is the first of its kind to bring a broad range of available techniques, mostly state of the art, including computer modeling, radiolabeled microspheres, positron emission tomography, magnetic resonance imaging, near-infrared spectroscopy, and phosphorescence quenching to resolve the O2 delivery-VO2 relationships and inherent heterogeneities at the whole body, interorgan, muscular, intramuscular, and microvascular/myocyte levels. Emphasis is placed on the following: 1) intact humans and animals as these provide the platform essential for framing and interpreting subsequent investigations, 2) contemporary findings using novel technological approaches to elucidate O2 delivery-VO2 heterogeneities in humans, and 3) future directions for investigating how normal physiological responses can be explained by O2 delivery-VO2 heterogeneities and the impact of aging/disease on these processes.","container-title":"Medicine and Science in Sports and Exercise","DOI":"10.1249/MSS.0000000000000178","ISSN":"1530-0315","issue":"5","journalAbbreviation":"Med Sci Sports Exerc","language":"eng","note":"PMID: 24091989","page":"860-876","source":"PubMed","title":"Dynamic heterogeneity of exercising muscle blood flow and O2 utilization","volume":"46","author":[{"family":"Koga","given":"Shunsaku"},{"family":"Rossiter","given":"Harry B."},{"family":"Heinonen","given":"Ilkka"},{"family":"Musch","given":"Timothy I."},{"family":"Poole","given":"David C."}],"issued":{"date-parts":[["2014"]]}}},{"id":1027,"uris":["http://zotero.org/users/5056530/items/C6ZCB47G"],"itemData":{"id":1027,"type":"article-journal","abstract":"The systematic increase in V˙O2 uptake and O2 extraction with increasing work rates conceals a substantial heterogeneity of O2 delivery (Q˙O2)-to- V˙O2 matching across and within muscles and other organs. We hypothesize that whether increased/decreased Q˙O2/V˙O2 heterogeneity can be judged as \"good\" or \"bad,\" for example, after exercise training or in aged individuals or with disease (heart failure, diabetes) depends on the resultant effects on O2 transport and contractile performance.","container-title":"Exercise and Sport Sciences Reviews","DOI":"10.1249/JES.0000000000000044","ISSN":"1538-3008","issue":"3","journalAbbreviation":"Exerc Sport Sci Rev","language":"eng","note":"PMID: 25688763\nPMCID: PMC4470710","page":"117-124","source":"PubMed","title":"Heterogeneity of Muscle Blood Flow and Metabolism: Influence of Exercise, Aging, and Disease States","title-short":"Heterogeneity of Muscle Blood Flow and Metabolism","volume":"43","author":[{"family":"Heinonen","given":"Ilkka"},{"family":"Koga","given":"Shunsaku"},{"family":"Kalliokoski","given":"Kari K."},{"family":"Musch","given":"Timothy I."},{"family":"Poole","given":"David C."}],"issued":{"date-parts":[["2015",7]]}}}],"schema":"https://github.com/citation-style-language/schema/raw/master/csl-citation.json"}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szCs w:val="24"/>
        </w:rPr>
        <w:t>[44–46]</w:t>
      </w:r>
      <w:r w:rsidR="003F3944" w:rsidRPr="00165ED2">
        <w:rPr>
          <w:rFonts w:ascii="Times New Roman" w:eastAsiaTheme="minorEastAsia" w:hAnsi="Times New Roman" w:cs="Times New Roman"/>
          <w:bCs/>
          <w:sz w:val="24"/>
          <w:szCs w:val="24"/>
        </w:rPr>
        <w:fldChar w:fldCharType="end"/>
      </w:r>
      <w:r w:rsidRPr="00165ED2">
        <w:rPr>
          <w:rFonts w:ascii="Times New Roman" w:eastAsiaTheme="minorEastAsia" w:hAnsi="Times New Roman" w:cs="Times New Roman"/>
          <w:bCs/>
          <w:sz w:val="24"/>
          <w:szCs w:val="24"/>
        </w:rPr>
        <w:t>.</w:t>
      </w:r>
    </w:p>
    <w:p w14:paraId="6F6397A6" w14:textId="7E73A083" w:rsidR="00851C4F" w:rsidRPr="00165ED2" w:rsidRDefault="00851C4F" w:rsidP="005A113D">
      <w:pPr>
        <w:spacing w:line="480" w:lineRule="auto"/>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ab/>
        <w:t>A convenient means by which to experimentally alter Ca</w:t>
      </w:r>
      <w:r w:rsidRPr="00165ED2">
        <w:rPr>
          <w:rFonts w:ascii="Times New Roman" w:eastAsiaTheme="minorEastAsia" w:hAnsi="Times New Roman" w:cs="Times New Roman"/>
          <w:bCs/>
          <w:sz w:val="24"/>
          <w:szCs w:val="24"/>
          <w:vertAlign w:val="subscript"/>
        </w:rPr>
        <w:t>O2</w:t>
      </w:r>
      <w:r w:rsidRPr="00165ED2">
        <w:rPr>
          <w:rFonts w:ascii="Times New Roman" w:eastAsiaTheme="minorEastAsia" w:hAnsi="Times New Roman" w:cs="Times New Roman"/>
          <w:bCs/>
          <w:sz w:val="24"/>
          <w:szCs w:val="24"/>
        </w:rPr>
        <w:t>, and hence, convective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delivery, is by varying the fraction of inspired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(FiO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w:t>
      </w:r>
      <w:r w:rsidR="008B115B" w:rsidRPr="00165ED2">
        <w:rPr>
          <w:rFonts w:ascii="Times New Roman" w:eastAsiaTheme="minorEastAsia" w:hAnsi="Times New Roman" w:cs="Times New Roman"/>
          <w:bCs/>
          <w:sz w:val="24"/>
          <w:szCs w:val="24"/>
        </w:rPr>
        <w:t>Although hypoxia-induced vasodilatation</w:t>
      </w:r>
      <w:r w:rsidR="003F3944" w:rsidRPr="00165ED2">
        <w:rPr>
          <w:rFonts w:ascii="Times New Roman" w:eastAsiaTheme="minorEastAsia" w:hAnsi="Times New Roman" w:cs="Times New Roman"/>
          <w:bCs/>
          <w:sz w:val="24"/>
          <w:szCs w:val="24"/>
        </w:rPr>
        <w:t xml:space="preserv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{"citationID":"RCG9vuBm","properties":{"formattedCitation":"[47]","plainCitation":"[47]","noteIndex":0},"citationItems":[{"id":671,"uris":["http://zotero.org/users/5056530/items/R72JQIZ8"],"itemData":{"id":671,"type":"article-journal","abstract":"The purpose of this study was to examine the interactions of adaptations in O2 transport and utilization under conditions of altered arterial O2 content (CaO2), during rest to exercise transitions. Simultaneous measures of alveolar (VO2alv) and leg (VO2mus) oxygen uptake and leg blood flow (LBF) responses were obtained in normoxic (FiO2 (inspired fraction of O2) = 0.21), hypoxic (FiO2 = 0.14), and hyperoxic (FiO2 = 0.70) gas breathing conditions. Six healthy subjects performed transitions in leg kicking exercise from rest to 48 +/- 3 W. LBF was measured continuously with pulsed and echo Doppler ultrasound methods, VO2alv was measured breath-by-breath at the mouth and VO2mus was determined from LBF and radial artery and femoral vein blood samples. Even though hypoxia reduced CaO2 to 175.9 +/- 5.0 from 193.2 +/- 5.0 mL/L in normoxia, and hyperoxia increased CaO2 to 205.5 +/- 4.1 mL/L, there were no differences in the absolute values of VO2alv or VO2mus across gas conditions at any of the rest or exercise time points. A reduction in leg O2 delivery in hypoxia at the onset of exercise was compensated by a nonsignificant increase in O2 extraction and later by small increases in LBF to maintain VO2mus. The dynamic response of VO2alv was slower in the hypoxic condition; however, hyperoxia did not affect the responses of oxygen delivery or uptake at the onset of moderate intensity leg kicking exercise. The finding of similar VO2mus responses at the onset of exercise for all gas conditions demonstrated that physiological adaptations in LBF and O2 extraction were possible, to counter significant alterations in CaO2. These results show the importance of the interplay between O2 supply and O2 utilization mechanisms in meeting the challenge provided by small alterations in O2 content at the onset of this submaximal exercise task.","container-title":"Canadian Journal of Physiology and Pharmacology","ISSN":"0008-4212","issue":"1","journalAbbreviation":"Can. J. Physiol. Pharmacol.","language":"eng","note":"PMID: 10741762","page":"67-74","source":"PubMed","title":"Effect of hyperoxia and hypoxia on leg blood flow and pulmonary and leg oxygen uptake at the onset of kicking exercise","volume":"78","author":[{"family":"MacDonald","given":"M. J."},{"family":"Tarnopolsky","given":"M. A."},{"family":"Hughson","given":"R. L."}],"issued":{"date-parts":[["2000",1]]}}}],"schema":"https://github.com/citation-style-language/schema/raw/master/csl-citation.json"}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[47]</w:t>
      </w:r>
      <w:r w:rsidR="003F3944" w:rsidRPr="00165ED2">
        <w:rPr>
          <w:rFonts w:ascii="Times New Roman" w:eastAsiaTheme="minorEastAsia" w:hAnsi="Times New Roman" w:cs="Times New Roman"/>
          <w:bCs/>
          <w:sz w:val="24"/>
          <w:szCs w:val="24"/>
        </w:rPr>
        <w:fldChar w:fldCharType="end"/>
      </w:r>
      <w:r w:rsidR="008B115B" w:rsidRPr="00165ED2">
        <w:rPr>
          <w:rFonts w:ascii="Times New Roman" w:eastAsiaTheme="minorEastAsia" w:hAnsi="Times New Roman" w:cs="Times New Roman"/>
          <w:bCs/>
          <w:sz w:val="24"/>
          <w:szCs w:val="24"/>
        </w:rPr>
        <w:t xml:space="preserve"> and hyperoxia-induced vasoconstriction</w:t>
      </w:r>
      <w:r w:rsidR="003F3944" w:rsidRPr="00165ED2">
        <w:rPr>
          <w:rFonts w:ascii="Times New Roman" w:eastAsiaTheme="minorEastAsia" w:hAnsi="Times New Roman" w:cs="Times New Roman"/>
          <w:bCs/>
          <w:sz w:val="24"/>
          <w:szCs w:val="24"/>
        </w:rPr>
        <w:t xml:space="preserv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{"citationID":"bSfXR4hm","properties":{"formattedCitation":"[48]","plainCitation":"[48]","noteIndex":0},"citationItems":[{"id":650,"uris":["http://zotero.org/users/5056530/items/DH9B8BHJ"],"itemData":{"id":650,"type":"article-journal","abstract":"These experiments were designed to investigate the effects of O2 breathing on limb blood flow and metabolism during exercise. Six subjects took part in the study. Four subjects breathed air or 100% O2 while pedaling a Krogh bicycle at 150 W (55-70% of maximal aerobic capacity). Two subjects breathed either 60% or 100% O2 while working at a power output at or slightly in excess of their maximal aerobic capacities. The major findings of the study were 1) leg blood flow is reduced during exercise when comparing hyperoxia with normoxia; 2) VO2 of the exercising limb is not different during hyperoxia; 3) O2 delivery to the leg (the product of blood flow and arteriovenous O2 difference) is not significantly different in the two conditions; and 4) blood pressure is not markedly affected in the experiments at 150 W. Since BP was not different during hyperoxia, at a time when flow was reduced by 11%, this suggests an increased resistance to flow in the exercising limb. In general, these findings are consistent with those reported for the in situ dog muscle but are at variance with results of experiments with humans, especially the reports indicating substantial increases in O2 uptake during hypertoxic conditions.","container-title":"Journal of Applied Physiology: Respiratory, Environmental and Exercise Physiology","DOI":"10.1152/jappl.1977.42.3.385","ISSN":"0161-7567","issue":"3","journalAbbreviation":"J Appl Physiol Respir Environ Exerc Physiol","language":"eng","note":"PMID: 838660","page":"385-390","source":"PubMed","title":"Effects of hyperoxia on leg blood flow and metabolism during exercise","volume":"42","author":[{"family":"Welch","given":"H. G."},{"family":"Bonde-Petersen","given":"F."},{"family":"Graham","given":"T."},{"family":"Klausen","given":"K."},{"family":"Secher","given":"N."}],"issued":{"date-parts":[["1977",3]]}}}],"schema":"https://github.com/citation-style-language/schema/raw/master/csl-citation.json"}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[48]</w:t>
      </w:r>
      <w:r w:rsidR="003F3944" w:rsidRPr="00165ED2">
        <w:rPr>
          <w:rFonts w:ascii="Times New Roman" w:eastAsiaTheme="minorEastAsia" w:hAnsi="Times New Roman" w:cs="Times New Roman"/>
          <w:bCs/>
          <w:sz w:val="24"/>
          <w:szCs w:val="24"/>
        </w:rPr>
        <w:fldChar w:fldCharType="end"/>
      </w:r>
      <w:r w:rsidR="008B115B" w:rsidRPr="00165ED2">
        <w:rPr>
          <w:rFonts w:ascii="Times New Roman" w:eastAsiaTheme="minorEastAsia" w:hAnsi="Times New Roman" w:cs="Times New Roman"/>
          <w:bCs/>
          <w:sz w:val="24"/>
          <w:szCs w:val="24"/>
        </w:rPr>
        <w:t xml:space="preserve"> </w:t>
      </w:r>
      <w:r w:rsidR="004C2F7C" w:rsidRPr="00165ED2">
        <w:rPr>
          <w:rFonts w:ascii="Times New Roman" w:eastAsiaTheme="minorEastAsia" w:hAnsi="Times New Roman" w:cs="Times New Roman"/>
          <w:bCs/>
          <w:sz w:val="24"/>
          <w:szCs w:val="24"/>
        </w:rPr>
        <w:t>often influence blood flow thereby helping to normalize muscle O</w:t>
      </w:r>
      <w:r w:rsidR="004C2F7C" w:rsidRPr="00165ED2">
        <w:rPr>
          <w:rFonts w:ascii="Times New Roman" w:eastAsiaTheme="minorEastAsia" w:hAnsi="Times New Roman" w:cs="Times New Roman"/>
          <w:bCs/>
          <w:sz w:val="24"/>
          <w:szCs w:val="24"/>
          <w:vertAlign w:val="subscript"/>
        </w:rPr>
        <w:t>2</w:t>
      </w:r>
      <w:r w:rsidR="004C2F7C" w:rsidRPr="00165ED2">
        <w:rPr>
          <w:rFonts w:ascii="Times New Roman" w:eastAsiaTheme="minorEastAsia" w:hAnsi="Times New Roman" w:cs="Times New Roman"/>
          <w:bCs/>
          <w:sz w:val="24"/>
          <w:szCs w:val="24"/>
        </w:rPr>
        <w:t xml:space="preserve"> delivery </w:t>
      </w:r>
      <w:r w:rsidR="003F3944" w:rsidRPr="00165ED2">
        <w:rPr>
          <w:rFonts w:ascii="Times New Roman" w:eastAsiaTheme="minorEastAsia" w:hAnsi="Times New Roman" w:cs="Times New Roman"/>
          <w:bCs/>
          <w:sz w:val="24"/>
          <w:szCs w:val="24"/>
        </w:rPr>
        <w:t>during exercise</w:t>
      </w:r>
      <w:r w:rsidR="008B115B" w:rsidRPr="00165ED2">
        <w:rPr>
          <w:rFonts w:ascii="Times New Roman" w:eastAsiaTheme="minorEastAsia" w:hAnsi="Times New Roman" w:cs="Times New Roman"/>
          <w:bCs/>
          <w:sz w:val="24"/>
          <w:szCs w:val="24"/>
        </w:rPr>
        <w:t xml:space="preserve">, </w:t>
      </w:r>
      <w:r w:rsidR="004C2F7C" w:rsidRPr="00165ED2">
        <w:rPr>
          <w:rFonts w:ascii="Times New Roman" w:eastAsiaTheme="minorEastAsia" w:hAnsi="Times New Roman" w:cs="Times New Roman"/>
          <w:bCs/>
          <w:sz w:val="24"/>
          <w:szCs w:val="24"/>
        </w:rPr>
        <w:t>many</w:t>
      </w:r>
      <w:r w:rsidR="008B115B" w:rsidRPr="00165ED2">
        <w:rPr>
          <w:rFonts w:ascii="Times New Roman" w:eastAsiaTheme="minorEastAsia" w:hAnsi="Times New Roman" w:cs="Times New Roman"/>
          <w:bCs/>
          <w:sz w:val="24"/>
          <w:szCs w:val="24"/>
        </w:rPr>
        <w:t xml:space="preserve"> studies that have quantified skeletal muscle O</w:t>
      </w:r>
      <w:r w:rsidR="008B115B" w:rsidRPr="00165ED2">
        <w:rPr>
          <w:rFonts w:ascii="Times New Roman" w:eastAsiaTheme="minorEastAsia" w:hAnsi="Times New Roman" w:cs="Times New Roman"/>
          <w:bCs/>
          <w:sz w:val="24"/>
          <w:szCs w:val="24"/>
          <w:vertAlign w:val="subscript"/>
        </w:rPr>
        <w:t>2</w:t>
      </w:r>
      <w:r w:rsidR="008B115B" w:rsidRPr="00165ED2">
        <w:rPr>
          <w:rFonts w:ascii="Times New Roman" w:eastAsiaTheme="minorEastAsia" w:hAnsi="Times New Roman" w:cs="Times New Roman"/>
          <w:bCs/>
          <w:sz w:val="24"/>
          <w:szCs w:val="24"/>
        </w:rPr>
        <w:t xml:space="preserve"> delivery under these conditions have demonstrated that </w:t>
      </w:r>
      <w:r w:rsidR="004C2F7C" w:rsidRPr="00165ED2">
        <w:rPr>
          <w:rFonts w:ascii="Times New Roman" w:eastAsiaTheme="minorEastAsia" w:hAnsi="Times New Roman" w:cs="Times New Roman"/>
          <w:bCs/>
          <w:sz w:val="24"/>
          <w:szCs w:val="24"/>
        </w:rPr>
        <w:t>hyperoxia can enhance</w:t>
      </w:r>
      <w:r w:rsidR="008B115B" w:rsidRPr="00165ED2">
        <w:rPr>
          <w:rFonts w:ascii="Times New Roman" w:eastAsiaTheme="minorEastAsia" w:hAnsi="Times New Roman" w:cs="Times New Roman"/>
          <w:bCs/>
          <w:sz w:val="24"/>
          <w:szCs w:val="24"/>
        </w:rPr>
        <w:t xml:space="preserve"> and hypoxia </w:t>
      </w:r>
      <w:r w:rsidR="004C2F7C" w:rsidRPr="00165ED2">
        <w:rPr>
          <w:rFonts w:ascii="Times New Roman" w:eastAsiaTheme="minorEastAsia" w:hAnsi="Times New Roman" w:cs="Times New Roman"/>
          <w:bCs/>
          <w:sz w:val="24"/>
          <w:szCs w:val="24"/>
        </w:rPr>
        <w:t>can impair</w:t>
      </w:r>
      <w:r w:rsidR="008B115B" w:rsidRPr="00165ED2">
        <w:rPr>
          <w:rFonts w:ascii="Times New Roman" w:eastAsiaTheme="minorEastAsia" w:hAnsi="Times New Roman" w:cs="Times New Roman"/>
          <w:bCs/>
          <w:sz w:val="24"/>
          <w:szCs w:val="24"/>
        </w:rPr>
        <w:t xml:space="preserve"> skeletal muscle O</w:t>
      </w:r>
      <w:r w:rsidR="008B115B" w:rsidRPr="00165ED2">
        <w:rPr>
          <w:rFonts w:ascii="Times New Roman" w:eastAsiaTheme="minorEastAsia" w:hAnsi="Times New Roman" w:cs="Times New Roman"/>
          <w:bCs/>
          <w:sz w:val="24"/>
          <w:szCs w:val="24"/>
          <w:vertAlign w:val="subscript"/>
        </w:rPr>
        <w:t>2</w:t>
      </w:r>
      <w:r w:rsidR="008B115B" w:rsidRPr="00165ED2">
        <w:rPr>
          <w:rFonts w:ascii="Times New Roman" w:eastAsiaTheme="minorEastAsia" w:hAnsi="Times New Roman" w:cs="Times New Roman"/>
          <w:bCs/>
          <w:sz w:val="24"/>
          <w:szCs w:val="24"/>
        </w:rPr>
        <w:t xml:space="preserve"> delivery during exercise</w:t>
      </w:r>
      <w:r w:rsidR="004C2F7C" w:rsidRPr="00165ED2">
        <w:rPr>
          <w:rFonts w:ascii="Times New Roman" w:eastAsiaTheme="minorEastAsia" w:hAnsi="Times New Roman" w:cs="Times New Roman"/>
          <w:bCs/>
          <w:sz w:val="24"/>
          <w:szCs w:val="24"/>
        </w:rPr>
        <w:t>, respectively</w:t>
      </w:r>
      <w:r w:rsidR="003F3944" w:rsidRPr="00165ED2">
        <w:rPr>
          <w:rFonts w:ascii="Times New Roman" w:eastAsiaTheme="minorEastAsia" w:hAnsi="Times New Roman" w:cs="Times New Roman"/>
          <w:bCs/>
          <w:sz w:val="24"/>
          <w:szCs w:val="24"/>
        </w:rPr>
        <w:t xml:space="preserv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{"citationID":"m30OKEV9","properties":{"formattedCitation":"[49\\uc0\\u8211{}54]","plainCitation":"[49–54]","noteIndex":0},"citationItems":[{"id":753,"uris":["http://zotero.org/users/5056530/items/H73P89GZ"],"itemData":{"id":753,"type":"article-journal","abstract":"The purpose of this study was to use 31P-magnetic resonance spectroscopy to examine the relationships among muscle PCr hydrolysis, intracellular H+ concentration accumulation, and muscle performance during incremental exercise during the inspiration of gas mixtures containing different fractions of inspired O2 (FIO2). We hypothesized that lower FIO2 would result in a greater disruption of intracellular homeostasis at submaximal workloads and thereby initiate an earlier onset of fatigue. Six subjects performed plantar flexion exercise on three separate occasions with the only variable altered for each exercise bout being the FIO2 (either 0.1, 0.21, or 1.00 O2 in balance N2). Work rate was increased (1-W increments starting at 0 W) every 2 min until exhaustion. Time to exhaustion (and thereby workload achieved) was significantly (P &lt; 0.05) greater as FIO2 was increased. Muscle phosphocreatine (PCr) concentration, Pi concentration, and pH at exhaustion were not significantly different among the three FIO2 conditions. However, muscle PCr concentration and pH were significantly reduced at identical submaximal workloads (and thereby equivalent rates of respiration) above 4-5 W during the lowest FIO2 condition compared with the other two FIO2 conditions. These results demonstrate that exhaustion during all FIO2 occurred when a particular intracellular environment was achieved and suggest that during the lowest FIO2 condition, the greater PCr hydrolysis and intracellular acidosis at submaximal workloads may have contributed to the significantly earlier time to exhaustion.","container-title":"Journal of Applied Physiology (Bethesda, Md.: 1985)","DOI":"10.1152/jappl.1999.86.4.1367","ISSN":"8750-7587","issue":"4","journalAbbreviation":"J. Appl. Physiol.","language":"eng","note":"PMID: 10194224","page":"1367-1373","source":"PubMed","title":"Human muscle performance and PCr hydrolysis with varied inspired oxygen fractions: a 31P-MRS study","title-short":"Human muscle performance and PCr hydrolysis with varied inspired oxygen fractions","volume":"86","author":[{"family":"Hogan","given":"M. C."},{"family":"Richardson","given":"R. S."},{"family":"Haseler","given":"L. J."}],"issued":{"date-parts":[["1999",4]]}}},{"id":302,"uris":["http://zotero.org/users/5056530/items/RZSMX5RW"],"itemData":{"id":302,"type":"article-journal","abstract":"31P-magnetic resonance spectroscopy was used to study phosphocreatine (PCr) onset kinetics in exercising human gastrocnemius muscle under varied fractions of inspired O(2) (F(IO(2))). Five male subjects performed three identical work bouts (5 min duration; order randomised) at a submaximal workload while breathing 0.1, 0.21 or 1.0 F(IO(2)). Either a single or double exponential model was fitted to the PCr kinetics. The phase I tau (0.1, 38.6 +/- 7.5; 0.21, 34.5 +/- 7.9; 1.0, 38.6 +/- 9.2 s) and amplitude, A(1) (0.1, 0.34 +/- 0.03; 0.21, 0.28 +/- 0.05; 1.0, 0.28 +/- 0.03,% fall in PCr) were invariant (both P &gt; 0.05) across F(IO(2)) trials. The initial rate of change in PCr hydrolysis at exercise onset, calculated as A(1)/tau(1) (%PCr reduction s(-1)), was the same across F(IO(2)) trials. A PCr slow component (phase II) was present at an F(IO(2)) of 0.1 and 0.21; however, breathing 1.0 F(IO(2)) ablated the slow component. The onset of the slow component resulted in a greater (P&lt; or = 0.05) overall percentage fall in PCr (both phase I and II) as F(IO(2)) decreased (0.43 +/- 0.05, 0.34 +/- 0.05, 0.28 +/- 0.03) for 0.1, 0.21 and 1.0 F(IO(2)), respectively. These data demonstrate that altering F(IO(2)) does not affect the initial phase I PCr onset kinetics, which supports the notion that O(2) driving pressure does not limit PCr kinetics at the onset of submaximal exercise. Thus, these data imply that the manner in which microvascular and intracellular P(O(2)) regulates PCr hydrolysis in exercising muscle is not due to the initial kinetic fall in PCr at exercise onset.","container-title":"The Journal of Physiology","DOI":"10.1113/jphysiol.2004.062042","ISSN":"0022-3751","issue":"Pt 3","journalAbbreviation":"J. Physiol. (Lond.)","language":"eng","note":"PMID: 15169844\nPMCID: PMC1665010","page":"985-992","source":"PubMed","title":"The role of oxygen in determining phosphocreatine onset kinetics in exercising humans","volume":"558","author":[{"family":"Haseler","given":"Luke J."},{"family":"Kindig","given":"Casey A."},{"family":"Richardson","given":"Russell S."},{"family":"Hogan","given":"Michael C."}],"issued":{"date-parts":[["2004",8,1]]}}},{"id":998,"uris":["http://zotero.org/users/5056530/items/W9HBL5QP"],"itemData":{"id":998,"type":"article-journal","abstract":"AIM: We examined the Fick components together with mitochondrial O2 affinity (p50mito ) in defining O2 extraction and O2 uptake during exercise with large and small muscle mass during normoxia (NORM) and hyperoxia (HYPER).\nMETHODS: Seven individuals performed 2 incremental exercise tests to exhaustion on a bicycle ergometer (BIKE) and 2 on a 1-legged knee extension ergometer (KE) in NORM or HYPER. Leg blood flow and VO2 were determined by thermodilution and the Fick method. Maximal ADP-stimulated mitochondrial respiration (OXPHOS) and p50mito were measured ex vivo in isolated mitochondria. Mitochondrial excess capacity in the leg was determined from OXPHOS in permeabilized fibres and muscle mass measured with magnetic resonance imaging in relation to peak leg O2 delivery.\nRESULTS: The ex vivo p50mito increased from 0.06 ± 0.02 to 0.17 ± 0.04 kPa with varying substrate supply and O2 flux rates from 9.84 ± 2.91 to 16.34 ± 4.07 pmol O2 ·s-1 ·μg-1 respectively. O2 extraction decreased from 83% in BIKE to 67% in KE as a function of a higher O2 delivery and lower mitochondrial excess capacity. There was a significant relationship between O2 extraction and mitochondrial excess capacity and p50mito that was unrelated to blood flow and mean transit time.\nCONCLUSION: O2 extraction varies with mitochondrial respiration rate, p50mito and O2 delivery. Mitochondrial excess capacity maintains a low p50mito which enhances O2 diffusion from microvessels to mitochondria during exercise.","container-title":"Acta Physiologica (Oxford, England)","DOI":"10.1111/apha.13110","ISSN":"1748-1716","issue":"1","journalAbbreviation":"Acta Physiol (Oxf)","language":"eng","note":"PMID: 29863764","page":"e13110","source":"PubMed","title":"Muscle mass and inspired oxygen influence oxygen extraction at maximal exercise: Role of mitochondrial oxygen affinity","title-short":"Muscle mass and inspired oxygen influence oxygen extraction at maximal exercise","volume":"225","author":[{"family":"Cardinale","given":"D. A."},{"family":"Larsen","given":"F. J."},{"family":"Jensen-Urstad","given":"M."},{"family":"Rullman","given":"E."},{"family":"Søndergaard","given":"H."},{"family":"Morales-Alamo","given":"D."},{"family":"Ekblom","given":"B."},{"family":"Calbet","given":"J. a. L."},{"family":"Boushel","given":"R."}],"issued":{"date-parts":[["2019"]]}}},{"id":667,"uris":["http://zotero.org/users/5056530/items/CDBPP79Q"],"itemData":{"id":667,"type":"article-journal","abstract":"We studied O2 transport in the leg to determine if hyperoxia will increase the maximal rate of O2 uptake (VO2max) in exercising muscle. An increase in inspired O2 fraction (FIO2) from 0.21 to 1.00 was postulated to have the following effects: 1) increase the leg VO2max by approximately 5-10%, 2) increase the maximal O2 delivery [arterial O2 concentration.flow (CaO2.Q] by approximately 10%, and 3) raise the leg VO2max in proportion to both the femoral venous PO2 and mean leg capillary PO2. To test these hypotheses, 11 men performed cycle exercise to the highest work rates (WRmax) they could achieve while breathing 100% O2 (hyperoxia), 21% O2 (normoxia), and 12% O2 (hypoxia). Leg VO2 was derived from duplicate measurements of femoral venous blood flow and CaO2 and femoral venous blood O2 concentrations (CVO2) at 20, 35, 50, 92, and 100% WRmax in each FIO2. Femoral venous leg Q (Qleg) was measured by the constant-infusion thermodilution technique, and leg O2 uptake (VO2) was determined by the Fick principle [VO2 = Qleg(CaO2-CVO2)]. Leg VO2max was the mean of duplicate values of VO2 at 100% WRmax for each FIO2. Hyperoxia increased leg VO2max by 8.1% (P = 0.016) and maximal O2 delivery by 10.9% (P = 0.05) without changing Qleg. There was a significant increase in femoral venous PO2 (P &lt; 0.001) that was proportionally greater than the increase in leg VO2max. The results support our first and second hypotheses, providing direct evidence that in normal subjects leg VO2max is limited by O2 supply during normoxia.(ABSTRACT TRUNCATED AT 250 WORDS)","container-title":"Journal of Applied Physiology (Bethesda, Md.: 1985)","DOI":"10.1152/jappl.1993.75.6.2586","ISSN":"8750-7587","issue":"6","journalAbbreviation":"J. Appl. Physiol.","language":"eng","note":"PMID: 8125878","page":"2586-2594","source":"PubMed","title":"Effects of hyperoxia on maximal leg O2 supply and utilization in men","volume":"75","author":[{"family":"Knight","given":"D. R."},{"family":"Schaffartzik","given":"W."},{"family":"Poole","given":"D. C."},{"family":"Hogan","given":"M. C."},{"family":"Bebout","given":"D. E."},{"family":"Wagner","given":"P. D."}],"issued":{"date-parts":[["1993",12]]}}},{"id":3107,"uris":["http://zotero.org/users/5056530/items/PRD8KZJD"],"itemData":{"id":3107,"type":"article-journal","abstract":"During submaximal exercise, muscle blood flow increases when arterial oxygen content (CaO2) is reduced. The increase in blood flow is brought about by elevating cardiac output (CO) and enhancing leg vascular conductance. Conversely, increased CaO2 elicits lower limb blood flow (LBF) and CO. During maximal exercise, the influence of CaO2 on muscle blood flow is modulated depending on the amount of muscle mass recruited. When a small muscle mass is activated and the pumping capacity of the heart is not limited, changes in CaO2 barely influence the level of blood flow attained at peak exercise. However, when a large muscle mass is engaged in the exercise, as occurs for example during cycling and running, muscle blood flow is decreased if maximal CO is reduced, as happens during exercise in severe hypoxia. In contrast, maximal muscle blood flow and CO are maintained at peak exercise when CaO2 is increased. As such, exercise intensity, muscle mass and CaO2 appear to be the critical factors determining muscle blood flow during exercise.","container-title":"Acta Physiologica Scandinavica","DOI":"10.1046/j.1365-201x.2000.00698.x","ISSN":"1365-201X","issue":"4","language":"en","note":"_eprint: https://onlinelibrary.wiley.com/doi/pdf/10.1046/j.1365-201x.2000.00698.x","page":"465-472","source":"Wiley Online Library","title":"Oxygen tension and content in the regulation of limb blood flow","volume":"168","author":[{"family":"Calbet","given":"J. a. L."}],"issued":{"date-parts":[["2000"]]}}},{"id":636,"uris":["http://zotero.org/users/5056530/items/FWS9D3MJ"],"itemData":{"id":636,"type":"article-journal","abstract":"This study was designed to investigate the role of tissue oxygenation in some of the factors that are thought to regulate muscle respiration and metabolism. Tissue oxygenation was altered by reductions in O2 delivery (muscle blood flow x arterial O2 content), induced by decreases in arterial PO2 (PaO2). O2 uptake (VO2) was measured in isolated in situ canine gastrocnemius at rest and while working at two stimulation intensities (isometric tetanic contractions at 0.5 and 1 contractions/s) on three separate occasions, with only the level of PaO2 (78, 30, and 21 Torr) being different for each occasion. Muscle blood flow was held constant (pump perfusion) at each work intensity for the three different levels of PaO2. Muscle biopsies were obtained at the end of each rest and work period. Muscle VO2 was significantly less (P less than 0.05) at both stimulation intensities for the hypoxemic conditions, whereas [ATP] was reduced only during the highest work intensity during both hypoxemic conditions (31% reduction at 21 Torr PaO2 and 17% at 30 Torr). For each level of PaO2, the relationships between the changes that occurred in VO2 and levels of phosphocreatine, ADP, and ATP/ADP.P(i) as the stimulation intensity was increased were significantly correlated; however, the slopes and intercepts of these lines were significantly different for each PaO2. Thus a greater change in any of the proposed regulators of tissue respiration (e.g., phosphocreatine, ADP) was required to achieve a given VO2 as PaO2 was decreased.(ABSTRACT TRUNCATED AT 250 WORDS)","container-title":"Journal of Applied Physiology (Bethesda, Md.: 1985)","DOI":"10.1152/jappl.1992.73.2.728","ISSN":"8750-7587","issue":"2","journalAbbreviation":"J. Appl. Physiol.","language":"eng","note":"PMID: 1400003","page":"728-736","source":"PubMed","title":"Role of O2 in regulating tissue respiration in dog muscle working in situ","volume":"73","author":[{"family":"Hogan","given":"M. C."},{"family":"Arthur","given":"P. G."},{"family":"Bebout","given":"D. E."},{"family":"Hochachka","given":"P. W."},{"family":"Wagner","given":"P. D."}],"issued":{"date-parts":[["1992",8]]}}}],"schema":"https://github.com/citation-style-language/schema/raw/master/csl-citation.json"}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szCs w:val="24"/>
        </w:rPr>
        <w:t>[49–54]</w:t>
      </w:r>
      <w:r w:rsidR="003F3944" w:rsidRPr="00165ED2">
        <w:rPr>
          <w:rFonts w:ascii="Times New Roman" w:eastAsiaTheme="minorEastAsia" w:hAnsi="Times New Roman" w:cs="Times New Roman"/>
          <w:bCs/>
          <w:sz w:val="24"/>
          <w:szCs w:val="24"/>
        </w:rPr>
        <w:fldChar w:fldCharType="end"/>
      </w:r>
      <w:r w:rsidR="009A2DFE" w:rsidRPr="00165ED2">
        <w:rPr>
          <w:rFonts w:ascii="Times New Roman" w:eastAsiaTheme="minorEastAsia" w:hAnsi="Times New Roman" w:cs="Times New Roman"/>
          <w:bCs/>
          <w:sz w:val="24"/>
          <w:szCs w:val="24"/>
        </w:rPr>
        <w:t xml:space="preserve">, thereby impacting upon </w:t>
      </w:r>
      <w:proofErr w:type="spellStart"/>
      <w:r w:rsidR="009A2DFE" w:rsidRPr="00165ED2">
        <w:rPr>
          <w:rFonts w:ascii="Times New Roman" w:eastAsiaTheme="minorEastAsia" w:hAnsi="Times New Roman" w:cs="Times New Roman"/>
          <w:bCs/>
          <w:sz w:val="24"/>
          <w:szCs w:val="24"/>
        </w:rPr>
        <w:t>intramyocyte</w:t>
      </w:r>
      <w:proofErr w:type="spellEnd"/>
      <w:r w:rsidR="009A2DFE" w:rsidRPr="00165ED2">
        <w:rPr>
          <w:rFonts w:ascii="Times New Roman" w:eastAsiaTheme="minorEastAsia" w:hAnsi="Times New Roman" w:cs="Times New Roman"/>
          <w:bCs/>
          <w:sz w:val="24"/>
          <w:szCs w:val="24"/>
        </w:rPr>
        <w:t xml:space="preserve"> </w:t>
      </w:r>
      <w:r w:rsidR="009A2DFE" w:rsidRPr="00165ED2">
        <w:rPr>
          <w:rFonts w:ascii="Times New Roman" w:eastAsiaTheme="minorEastAsia" w:hAnsi="Times New Roman" w:cs="Times New Roman"/>
          <w:i/>
          <w:sz w:val="24"/>
          <w:szCs w:val="24"/>
        </w:rPr>
        <w:t>P</w:t>
      </w:r>
      <w:r w:rsidR="009A2DFE" w:rsidRPr="00165ED2">
        <w:rPr>
          <w:rFonts w:ascii="Times New Roman" w:eastAsiaTheme="minorEastAsia" w:hAnsi="Times New Roman" w:cs="Times New Roman"/>
          <w:sz w:val="24"/>
          <w:szCs w:val="24"/>
        </w:rPr>
        <w:t>O</w:t>
      </w:r>
      <w:r w:rsidR="009A2DFE" w:rsidRPr="00165ED2">
        <w:rPr>
          <w:rFonts w:ascii="Times New Roman" w:eastAsiaTheme="minorEastAsia" w:hAnsi="Times New Roman" w:cs="Times New Roman"/>
          <w:sz w:val="24"/>
          <w:szCs w:val="24"/>
          <w:vertAlign w:val="subscript"/>
        </w:rPr>
        <w:t xml:space="preserve">2 </w:t>
      </w:r>
      <w:r w:rsidR="009A2DFE" w:rsidRPr="00165ED2">
        <w:rPr>
          <w:rFonts w:ascii="Times New Roman" w:eastAsiaTheme="minorEastAsia" w:hAnsi="Times New Roman" w:cs="Times New Roman"/>
          <w:sz w:val="24"/>
          <w:szCs w:val="24"/>
        </w:rPr>
        <w:t>(</w:t>
      </w:r>
      <w:r w:rsidR="009A2DFE" w:rsidRPr="00165ED2">
        <w:rPr>
          <w:rFonts w:ascii="Times New Roman" w:eastAsiaTheme="minorEastAsia" w:hAnsi="Times New Roman" w:cs="Times New Roman"/>
          <w:i/>
          <w:sz w:val="24"/>
          <w:szCs w:val="24"/>
        </w:rPr>
        <w:t>P</w:t>
      </w:r>
      <w:r w:rsidR="009A2DFE" w:rsidRPr="00165ED2">
        <w:rPr>
          <w:rFonts w:ascii="Times New Roman" w:eastAsiaTheme="minorEastAsia" w:hAnsi="Times New Roman" w:cs="Times New Roman"/>
          <w:sz w:val="24"/>
          <w:szCs w:val="24"/>
        </w:rPr>
        <w:t>O</w:t>
      </w:r>
      <w:r w:rsidR="009A2DFE" w:rsidRPr="00165ED2">
        <w:rPr>
          <w:rFonts w:ascii="Times New Roman" w:eastAsiaTheme="minorEastAsia" w:hAnsi="Times New Roman" w:cs="Times New Roman"/>
          <w:sz w:val="24"/>
          <w:szCs w:val="24"/>
          <w:vertAlign w:val="subscript"/>
        </w:rPr>
        <w:t>2im</w:t>
      </w:r>
      <w:r w:rsidR="009A2DFE" w:rsidRPr="00165ED2">
        <w:rPr>
          <w:rFonts w:ascii="Times New Roman" w:eastAsiaTheme="minorEastAsia" w:hAnsi="Times New Roman" w:cs="Times New Roman"/>
          <w:sz w:val="24"/>
          <w:szCs w:val="24"/>
        </w:rPr>
        <w:t>)</w:t>
      </w:r>
      <w:r w:rsidR="009A2DFE" w:rsidRPr="00165ED2">
        <w:rPr>
          <w:rFonts w:ascii="Times New Roman" w:eastAsiaTheme="minorEastAsia" w:hAnsi="Times New Roman" w:cs="Times New Roman"/>
          <w:sz w:val="24"/>
          <w:szCs w:val="24"/>
          <w:vertAlign w:val="subscript"/>
        </w:rPr>
        <w:t xml:space="preserve"> </w:t>
      </w:r>
      <w:r w:rsidR="009A2DFE" w:rsidRPr="00165ED2">
        <w:rPr>
          <w:rFonts w:ascii="Times New Roman" w:eastAsiaTheme="minorEastAsia" w:hAnsi="Times New Roman" w:cs="Times New Roman"/>
          <w:sz w:val="24"/>
          <w:szCs w:val="24"/>
          <w:vertAlign w:val="subscript"/>
        </w:rPr>
        <w:fldChar w:fldCharType="begin"/>
      </w:r>
      <w:r w:rsidR="007A3303" w:rsidRPr="00165ED2">
        <w:rPr>
          <w:rFonts w:ascii="Times New Roman" w:eastAsiaTheme="minorEastAsia" w:hAnsi="Times New Roman" w:cs="Times New Roman"/>
          <w:sz w:val="24"/>
          <w:szCs w:val="24"/>
          <w:vertAlign w:val="subscript"/>
        </w:rPr>
        <w:instrText xml:space="preserve"> ADDIN ZOTERO_ITEM CSL_CITATION {"citationID":"93xgfCUO","properties":{"formattedCitation":"[55]","plainCitation":"[55]","noteIndex":0},"citationItems":[{"id":996,"uris":["http://zotero.org/users/5056530/items/FZD7NPP8"],"itemData":{"id":996,"type":"article-journal","abstract":"It remains controversial whether lactate formation during progressive dynamic exercise from submaximal to maximal effort is due to muscle hypoxia. To study this question, we used direct measures of arterial and femoral venous lactate concentration, a thermodilution blood flow technique, phosphorus magnetic resonance spectroscopy (MRS), and myoglobin (Mb) saturation measured by 1H nuclear MRS in six trained subjects performing single-leg quadriceps exercise. We calculated net lactate efflux from the muscle and intracellular PO2 with subjects breathing room air and 12% O2. Data were obtained at 50, 75, 90, and 100% of quadriceps maximal O2 consumption at each fraction of inspired O2. Mb saturation was significantly lower in hypoxia than in normoxia [40 +/- 3 vs. 49 +/- 3% (SE)] throughout incremental exercise to maximal work rate. With the assumption of a PO2 at which 50% of Mb-binding sites are bound with O2 of 3.2 Torr, Mb-associated PO2 averaged 3.1 +/- 0.3 and 2.3 +/- 0.2 Torr in normoxia and hypoxia, respectively. Net blood lactate efflux was unrelated to intracellular PO2 across the range of incremental exercise to maximum (r = 0.03 and 0.07 in normoxia and hypoxia, respectively) but linearly related to O2 consumption (r = 0.97 and 0.99 in normoxia and hypoxia, respectively) with a greater slope in 12% O2. Net lactate efflux was also linearly related to intracellular pH (r = 0.94 and 0.98 in normoxia and hypoxia, respectively). These data suggest that with increasing work rate, at a given fraction of inspired O2, lactate efflux is unrelated to muscle cytoplasmic PO2, yet the efflux is higher in hypoxia. Catecholamine values from comparable studies are included and indicate that lactate efflux in hypoxia may be due to systemic rather than intracellular hypoxia.","container-title":"Journal of Applied Physiology (Bethesda, Md.: 1985)","DOI":"10.1152/jappl.1998.85.2.627","ISSN":"8750-7587","issue":"2","journalAbbreviation":"J. Appl. Physiol.","language":"eng","note":"PMID: 9688741","page":"627-634","source":"PubMed","title":"Lactate efflux from exercising human skeletal muscle: role of intracellular PO2","title-short":"Lactate efflux from exercising human skeletal muscle","volume":"85","author":[{"family":"Richardson","given":"R. S."},{"family":"Noyszewski","given":"E. A."},{"family":"Leigh","given":"J. S."},{"family":"Wagner","given":"P. D."}],"issued":{"date-parts":[["1998",8]]}}}],"schema":"https://github.com/citation-style-language/schema/raw/master/csl-citation.json"} </w:instrText>
      </w:r>
      <w:r w:rsidR="009A2DFE" w:rsidRPr="00165ED2">
        <w:rPr>
          <w:rFonts w:ascii="Times New Roman" w:eastAsiaTheme="minorEastAsia" w:hAnsi="Times New Roman" w:cs="Times New Roman"/>
          <w:sz w:val="24"/>
          <w:szCs w:val="24"/>
          <w:vertAlign w:val="subscript"/>
        </w:rPr>
        <w:fldChar w:fldCharType="separate"/>
      </w:r>
      <w:r w:rsidR="007A3303" w:rsidRPr="00165ED2">
        <w:rPr>
          <w:rFonts w:ascii="Times New Roman" w:hAnsi="Times New Roman" w:cs="Times New Roman"/>
          <w:sz w:val="24"/>
        </w:rPr>
        <w:t>[55]</w:t>
      </w:r>
      <w:r w:rsidR="009A2DFE" w:rsidRPr="00165ED2">
        <w:rPr>
          <w:rFonts w:ascii="Times New Roman" w:eastAsiaTheme="minorEastAsia" w:hAnsi="Times New Roman" w:cs="Times New Roman"/>
          <w:sz w:val="24"/>
          <w:szCs w:val="24"/>
          <w:vertAlign w:val="subscript"/>
        </w:rPr>
        <w:fldChar w:fldCharType="end"/>
      </w:r>
      <w:r w:rsidR="008B115B" w:rsidRPr="00165ED2">
        <w:rPr>
          <w:rFonts w:ascii="Times New Roman" w:eastAsiaTheme="minorEastAsia" w:hAnsi="Times New Roman" w:cs="Times New Roman"/>
          <w:bCs/>
          <w:sz w:val="24"/>
          <w:szCs w:val="24"/>
        </w:rPr>
        <w:t xml:space="preserve">. </w:t>
      </w:r>
      <w:r w:rsidR="000C5B42" w:rsidRPr="00165ED2">
        <w:rPr>
          <w:rFonts w:ascii="Times New Roman" w:eastAsiaTheme="minorEastAsia" w:hAnsi="Times New Roman" w:cs="Times New Roman"/>
          <w:bCs/>
          <w:sz w:val="24"/>
          <w:szCs w:val="24"/>
        </w:rPr>
        <w:t xml:space="preserve">Indeed, the early work of </w:t>
      </w:r>
      <w:proofErr w:type="spellStart"/>
      <w:r w:rsidR="000C5B42" w:rsidRPr="00165ED2">
        <w:rPr>
          <w:rFonts w:ascii="Times New Roman" w:eastAsiaTheme="minorEastAsia" w:hAnsi="Times New Roman" w:cs="Times New Roman"/>
          <w:bCs/>
          <w:sz w:val="24"/>
          <w:szCs w:val="24"/>
        </w:rPr>
        <w:t>Moritani</w:t>
      </w:r>
      <w:proofErr w:type="spellEnd"/>
      <w:r w:rsidR="000C5B42" w:rsidRPr="00165ED2">
        <w:rPr>
          <w:rFonts w:ascii="Times New Roman" w:eastAsiaTheme="minorEastAsia" w:hAnsi="Times New Roman" w:cs="Times New Roman"/>
          <w:bCs/>
          <w:sz w:val="24"/>
          <w:szCs w:val="24"/>
        </w:rPr>
        <w:t xml:space="preserve"> et al.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7D8VYx90","properties":{"formattedCitation":"[21]","plainCitation":"[21]","noteIndex":0},"citationItems":[{"id":278,"uris":["http://zotero.org/users/5056530/items/KBSS4CTK"],"itemData":{"id":278,"type":"article-journal","container-title":"Ergonomics","DOI":"10.1080/00140138108924856","ISSN":"0014-0139","issue":"5","journalAbbreviation":"Ergonomics","language":"eng","note":"PMID: 7262059","page":"339-350","source":"PubMed","title":"Critical power as a measure of physical work capacity and anaerobic threshold","volume":"24","author":[{"family":"Moritani","given":"T."},{"family":"Nagata","given":"A."},{"family":"deVries","given":"H. A."},{"family":"Muro","given":"M."}],"issued":{"date-parts":[["1981",5]]}}}],"schema":"https://github.com/citation-style-language/schema/raw/master/csl-citation.json"}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[21]</w:t>
      </w:r>
      <w:r w:rsidR="003F3944" w:rsidRPr="00165ED2">
        <w:rPr>
          <w:rFonts w:ascii="Times New Roman" w:eastAsiaTheme="minorEastAsia" w:hAnsi="Times New Roman" w:cs="Times New Roman"/>
          <w:bCs/>
          <w:sz w:val="24"/>
          <w:szCs w:val="24"/>
        </w:rPr>
        <w:fldChar w:fldCharType="end"/>
      </w:r>
      <w:r w:rsidR="003F3944" w:rsidRPr="00165ED2">
        <w:rPr>
          <w:rFonts w:ascii="Times New Roman" w:eastAsiaTheme="minorEastAsia" w:hAnsi="Times New Roman" w:cs="Times New Roman"/>
          <w:bCs/>
          <w:sz w:val="24"/>
          <w:szCs w:val="24"/>
        </w:rPr>
        <w:t xml:space="preserve"> </w:t>
      </w:r>
      <w:r w:rsidR="000C5B42" w:rsidRPr="00165ED2">
        <w:rPr>
          <w:rFonts w:ascii="Times New Roman" w:eastAsiaTheme="minorEastAsia" w:hAnsi="Times New Roman" w:cs="Times New Roman"/>
          <w:bCs/>
          <w:sz w:val="24"/>
          <w:szCs w:val="24"/>
        </w:rPr>
        <w:t>showed that, in a limited sample of two participants, inspiration of a hypoxic gas mixture (FiO</w:t>
      </w:r>
      <w:r w:rsidR="000C5B42" w:rsidRPr="00165ED2">
        <w:rPr>
          <w:rFonts w:ascii="Times New Roman" w:eastAsiaTheme="minorEastAsia" w:hAnsi="Times New Roman" w:cs="Times New Roman"/>
          <w:bCs/>
          <w:sz w:val="24"/>
          <w:szCs w:val="24"/>
          <w:vertAlign w:val="subscript"/>
        </w:rPr>
        <w:t>2</w:t>
      </w:r>
      <w:r w:rsidR="000C5B42" w:rsidRPr="00165ED2">
        <w:rPr>
          <w:rFonts w:ascii="Times New Roman" w:eastAsiaTheme="minorEastAsia" w:hAnsi="Times New Roman" w:cs="Times New Roman"/>
          <w:bCs/>
          <w:sz w:val="24"/>
          <w:szCs w:val="24"/>
        </w:rPr>
        <w:t xml:space="preserve"> 0.09) resulted in a reduc</w:t>
      </w:r>
      <w:r w:rsidR="00070BBF" w:rsidRPr="00165ED2">
        <w:rPr>
          <w:rFonts w:ascii="Times New Roman" w:eastAsiaTheme="minorEastAsia" w:hAnsi="Times New Roman" w:cs="Times New Roman"/>
          <w:bCs/>
          <w:sz w:val="24"/>
          <w:szCs w:val="24"/>
        </w:rPr>
        <w:t xml:space="preserve">ed </w:t>
      </w:r>
      <w:r w:rsidR="000C5B42" w:rsidRPr="00165ED2">
        <w:rPr>
          <w:rFonts w:ascii="Times New Roman" w:eastAsiaTheme="minorEastAsia" w:hAnsi="Times New Roman" w:cs="Times New Roman"/>
          <w:bCs/>
          <w:sz w:val="24"/>
          <w:szCs w:val="24"/>
        </w:rPr>
        <w:t xml:space="preserve">CP compared to </w:t>
      </w:r>
      <w:proofErr w:type="spellStart"/>
      <w:r w:rsidR="000C5B42" w:rsidRPr="00165ED2">
        <w:rPr>
          <w:rFonts w:ascii="Times New Roman" w:eastAsiaTheme="minorEastAsia" w:hAnsi="Times New Roman" w:cs="Times New Roman"/>
          <w:bCs/>
          <w:sz w:val="24"/>
          <w:szCs w:val="24"/>
        </w:rPr>
        <w:t>normoxia</w:t>
      </w:r>
      <w:proofErr w:type="spellEnd"/>
      <w:r w:rsidR="000C5B42" w:rsidRPr="00165ED2">
        <w:rPr>
          <w:rFonts w:ascii="Times New Roman" w:eastAsiaTheme="minorEastAsia" w:hAnsi="Times New Roman" w:cs="Times New Roman"/>
          <w:bCs/>
          <w:sz w:val="24"/>
          <w:szCs w:val="24"/>
        </w:rPr>
        <w:t xml:space="preserve"> (i.e. FiO</w:t>
      </w:r>
      <w:r w:rsidR="000C5B42" w:rsidRPr="00165ED2">
        <w:rPr>
          <w:rFonts w:ascii="Times New Roman" w:eastAsiaTheme="minorEastAsia" w:hAnsi="Times New Roman" w:cs="Times New Roman"/>
          <w:bCs/>
          <w:sz w:val="24"/>
          <w:szCs w:val="24"/>
          <w:vertAlign w:val="subscript"/>
        </w:rPr>
        <w:t>2</w:t>
      </w:r>
      <w:r w:rsidR="000C5B42" w:rsidRPr="00165ED2">
        <w:rPr>
          <w:rFonts w:ascii="Times New Roman" w:eastAsiaTheme="minorEastAsia" w:hAnsi="Times New Roman" w:cs="Times New Roman"/>
          <w:bCs/>
          <w:sz w:val="24"/>
          <w:szCs w:val="24"/>
        </w:rPr>
        <w:t xml:space="preserve"> 0.21</w:t>
      </w:r>
      <w:r w:rsidR="00070BBF" w:rsidRPr="00165ED2">
        <w:rPr>
          <w:rFonts w:ascii="Times New Roman" w:eastAsiaTheme="minorEastAsia" w:hAnsi="Times New Roman" w:cs="Times New Roman"/>
          <w:bCs/>
          <w:sz w:val="24"/>
          <w:szCs w:val="24"/>
        </w:rPr>
        <w:t xml:space="preserve">; hypoxia: 106 ± 6 W, versus </w:t>
      </w:r>
      <w:proofErr w:type="spellStart"/>
      <w:r w:rsidR="00070BBF" w:rsidRPr="00165ED2">
        <w:rPr>
          <w:rFonts w:ascii="Times New Roman" w:eastAsiaTheme="minorEastAsia" w:hAnsi="Times New Roman" w:cs="Times New Roman"/>
          <w:bCs/>
          <w:sz w:val="24"/>
          <w:szCs w:val="24"/>
        </w:rPr>
        <w:t>normoxia</w:t>
      </w:r>
      <w:proofErr w:type="spellEnd"/>
      <w:r w:rsidR="00070BBF" w:rsidRPr="00165ED2">
        <w:rPr>
          <w:rFonts w:ascii="Times New Roman" w:eastAsiaTheme="minorEastAsia" w:hAnsi="Times New Roman" w:cs="Times New Roman"/>
          <w:bCs/>
          <w:sz w:val="24"/>
          <w:szCs w:val="24"/>
        </w:rPr>
        <w:t>: 2</w:t>
      </w:r>
      <w:r w:rsidR="007A3303" w:rsidRPr="00165ED2">
        <w:rPr>
          <w:rFonts w:ascii="Times New Roman" w:eastAsiaTheme="minorEastAsia" w:hAnsi="Times New Roman" w:cs="Times New Roman"/>
          <w:bCs/>
          <w:sz w:val="24"/>
          <w:szCs w:val="24"/>
        </w:rPr>
        <w:t>14</w:t>
      </w:r>
      <w:r w:rsidR="00070BBF" w:rsidRPr="00165ED2">
        <w:rPr>
          <w:rFonts w:ascii="Times New Roman" w:eastAsiaTheme="minorEastAsia" w:hAnsi="Times New Roman" w:cs="Times New Roman"/>
          <w:bCs/>
          <w:sz w:val="24"/>
          <w:szCs w:val="24"/>
        </w:rPr>
        <w:t xml:space="preserve"> ± 4 W</w:t>
      </w:r>
      <w:r w:rsidR="000C5B42" w:rsidRPr="00165ED2">
        <w:rPr>
          <w:rFonts w:ascii="Times New Roman" w:eastAsiaTheme="minorEastAsia" w:hAnsi="Times New Roman" w:cs="Times New Roman"/>
          <w:bCs/>
          <w:sz w:val="24"/>
          <w:szCs w:val="24"/>
        </w:rPr>
        <w:t xml:space="preserve">). Under conditions of more moderate hypoxia </w:t>
      </w:r>
      <w:r w:rsidR="000C5B42" w:rsidRPr="00165ED2">
        <w:rPr>
          <w:rFonts w:ascii="Times New Roman" w:eastAsiaTheme="minorEastAsia" w:hAnsi="Times New Roman" w:cs="Times New Roman"/>
          <w:bCs/>
          <w:sz w:val="24"/>
          <w:szCs w:val="24"/>
        </w:rPr>
        <w:lastRenderedPageBreak/>
        <w:t>(FiO</w:t>
      </w:r>
      <w:r w:rsidR="000C5B42" w:rsidRPr="00165ED2">
        <w:rPr>
          <w:rFonts w:ascii="Times New Roman" w:eastAsiaTheme="minorEastAsia" w:hAnsi="Times New Roman" w:cs="Times New Roman"/>
          <w:bCs/>
          <w:sz w:val="24"/>
          <w:szCs w:val="24"/>
          <w:vertAlign w:val="subscript"/>
        </w:rPr>
        <w:t>2</w:t>
      </w:r>
      <w:r w:rsidR="000C5B42" w:rsidRPr="00165ED2">
        <w:rPr>
          <w:rFonts w:ascii="Times New Roman" w:eastAsiaTheme="minorEastAsia" w:hAnsi="Times New Roman" w:cs="Times New Roman"/>
          <w:bCs/>
          <w:sz w:val="24"/>
          <w:szCs w:val="24"/>
        </w:rPr>
        <w:t xml:space="preserve"> 0.15) and in a larger sample of 11 subjects, </w:t>
      </w:r>
      <w:proofErr w:type="spellStart"/>
      <w:r w:rsidR="000C5B42" w:rsidRPr="00165ED2">
        <w:rPr>
          <w:rFonts w:ascii="Times New Roman" w:eastAsiaTheme="minorEastAsia" w:hAnsi="Times New Roman" w:cs="Times New Roman"/>
          <w:bCs/>
          <w:sz w:val="24"/>
          <w:szCs w:val="24"/>
        </w:rPr>
        <w:t>Dekerle</w:t>
      </w:r>
      <w:proofErr w:type="spellEnd"/>
      <w:r w:rsidR="000C5B42" w:rsidRPr="00165ED2">
        <w:rPr>
          <w:rFonts w:ascii="Times New Roman" w:eastAsiaTheme="minorEastAsia" w:hAnsi="Times New Roman" w:cs="Times New Roman"/>
          <w:bCs/>
          <w:sz w:val="24"/>
          <w:szCs w:val="24"/>
        </w:rPr>
        <w:t xml:space="preserve"> et al.</w:t>
      </w:r>
      <w:r w:rsidR="003F3944" w:rsidRPr="00165ED2">
        <w:rPr>
          <w:rFonts w:ascii="Times New Roman" w:eastAsiaTheme="minorEastAsia" w:hAnsi="Times New Roman" w:cs="Times New Roman"/>
          <w:bCs/>
          <w:sz w:val="24"/>
          <w:szCs w:val="24"/>
        </w:rPr>
        <w:t xml:space="preserve">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{"citationID":"g12rBWl3","properties":{"formattedCitation":"[56]","plainCitation":"[56]","noteIndex":0},"citationItems":[{"id":675,"uris":["http://zotero.org/users/5056530/items/UD27HX7K"],"itemData":{"id":675,"type":"article-journal","abstract":"It remains uncertain as how the reduction in systemic oxygen transport limits high-intensity exercise tolerance. 11 participants (5 males; age 35 ± 10 years; peak [Formula: see text] 3.5 ± 0.4 L min(-1)) performed cycle ergometry to the limit of tolerance: (1) a ramp test to determine ventilatory threshold (VT) and peak [Formula: see text]; (2) three to four constant-load tests in order to model the linear P-t (-1) relationship for estimation of intercept (critical power; CP) and slope (AWC). All tests were performed in a random order under moderate hypoxia (FiO(2) = 0.15) and normoxia. The linearity of the P-t (-1) relationship was retained under hypoxia, with a systematic reduction in CP (220 ± 25 W vs. 190 ± 28 W; P &lt; 0.01) but no significant difference in AWC (11.7 ± 5.5 kJ vs. 12.1 ± 4.4 kJ; P &gt; 0.05). However, large individual variations in the change of the latter were observed (-36 to +66%). A significant relationship was found between the % change in CP (r = 0.80, P &lt; 0.01) and both peak [Formula: see text] (CP: r = -0.65, P &lt; 0.05) and VT values recorded under normoxia (CP: r = -0.65, P &lt; 0.05). The present study demonstrates the aerobic nature of the intercept of the P-t (-1) relationship, i.e. CP. However, the extreme within-individual changes in AWC do not support the original assumption that AWC reflects a finite energy store. Lower hypoxia-induced decrements in CP were observed in aerobically fitter participants. This study also demonstrates the greater ability these participants have to exercise at supra-CP but close to CP workloads under moderate hypoxia.","container-title":"European Journal of Applied Physiology","DOI":"10.1007/s00421-011-1979-z","ISSN":"1439-6327","issue":"1","journalAbbreviation":"Eur. J. Appl. Physiol.","language":"eng","note":"PMID: 21556815","page":"327-335","source":"PubMed","title":"Influence of moderate hypoxia on tolerance to high-intensity exercise","volume":"112","author":[{"family":"Dekerle","given":"J."},{"family":"Mucci","given":"P."},{"family":"Carter","given":"H."}],"issued":{"date-parts":[["2012",1]]}}}],"schema":"https://github.com/citation-style-language/schema/raw/master/csl-citation.json"}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[56]</w:t>
      </w:r>
      <w:r w:rsidR="003F3944" w:rsidRPr="00165ED2">
        <w:rPr>
          <w:rFonts w:ascii="Times New Roman" w:eastAsiaTheme="minorEastAsia" w:hAnsi="Times New Roman" w:cs="Times New Roman"/>
          <w:bCs/>
          <w:sz w:val="24"/>
          <w:szCs w:val="24"/>
        </w:rPr>
        <w:fldChar w:fldCharType="end"/>
      </w:r>
      <w:r w:rsidR="000C5B42" w:rsidRPr="00165ED2">
        <w:rPr>
          <w:rFonts w:ascii="Times New Roman" w:eastAsiaTheme="minorEastAsia" w:hAnsi="Times New Roman" w:cs="Times New Roman"/>
          <w:bCs/>
          <w:sz w:val="24"/>
          <w:szCs w:val="24"/>
        </w:rPr>
        <w:t xml:space="preserve"> found that CP was reduced by 30 W in hypoxia compared to </w:t>
      </w:r>
      <w:proofErr w:type="spellStart"/>
      <w:r w:rsidR="000C5B42" w:rsidRPr="00165ED2">
        <w:rPr>
          <w:rFonts w:ascii="Times New Roman" w:eastAsiaTheme="minorEastAsia" w:hAnsi="Times New Roman" w:cs="Times New Roman"/>
          <w:bCs/>
          <w:sz w:val="24"/>
          <w:szCs w:val="24"/>
        </w:rPr>
        <w:t>normoxia</w:t>
      </w:r>
      <w:proofErr w:type="spellEnd"/>
      <w:r w:rsidR="006756AC" w:rsidRPr="00165ED2">
        <w:rPr>
          <w:rFonts w:ascii="Times New Roman" w:eastAsiaTheme="minorEastAsia" w:hAnsi="Times New Roman" w:cs="Times New Roman"/>
          <w:bCs/>
          <w:sz w:val="24"/>
          <w:szCs w:val="24"/>
        </w:rPr>
        <w:t>, consequent to a reduction in arterial O</w:t>
      </w:r>
      <w:r w:rsidR="006756AC" w:rsidRPr="00165ED2">
        <w:rPr>
          <w:rFonts w:ascii="Times New Roman" w:eastAsiaTheme="minorEastAsia" w:hAnsi="Times New Roman" w:cs="Times New Roman"/>
          <w:bCs/>
          <w:sz w:val="24"/>
          <w:szCs w:val="24"/>
          <w:vertAlign w:val="subscript"/>
        </w:rPr>
        <w:t>2</w:t>
      </w:r>
      <w:r w:rsidR="006756AC" w:rsidRPr="00165ED2">
        <w:rPr>
          <w:rFonts w:ascii="Times New Roman" w:eastAsiaTheme="minorEastAsia" w:hAnsi="Times New Roman" w:cs="Times New Roman"/>
          <w:bCs/>
          <w:sz w:val="24"/>
          <w:szCs w:val="24"/>
        </w:rPr>
        <w:t xml:space="preserve"> saturation of 12%</w:t>
      </w:r>
      <w:r w:rsidR="000C5B42" w:rsidRPr="00165ED2">
        <w:rPr>
          <w:rFonts w:ascii="Times New Roman" w:eastAsiaTheme="minorEastAsia" w:hAnsi="Times New Roman" w:cs="Times New Roman"/>
          <w:bCs/>
          <w:sz w:val="24"/>
          <w:szCs w:val="24"/>
        </w:rPr>
        <w:t xml:space="preserve">. </w:t>
      </w:r>
      <w:r w:rsidR="006756AC" w:rsidRPr="00165ED2">
        <w:rPr>
          <w:rFonts w:ascii="Times New Roman" w:eastAsiaTheme="minorEastAsia" w:hAnsi="Times New Roman" w:cs="Times New Roman"/>
          <w:bCs/>
          <w:sz w:val="24"/>
          <w:szCs w:val="24"/>
        </w:rPr>
        <w:t>Notably, in this latter study</w:t>
      </w:r>
      <w:r w:rsidR="000C5B42" w:rsidRPr="00165ED2">
        <w:rPr>
          <w:rFonts w:ascii="Times New Roman" w:eastAsiaTheme="minorEastAsia" w:hAnsi="Times New Roman" w:cs="Times New Roman"/>
          <w:bCs/>
          <w:sz w:val="24"/>
          <w:szCs w:val="24"/>
        </w:rPr>
        <w:t xml:space="preserve">, the percentage decrement in CP between hypoxia and </w:t>
      </w:r>
      <w:proofErr w:type="spellStart"/>
      <w:r w:rsidR="000C5B42" w:rsidRPr="00165ED2">
        <w:rPr>
          <w:rFonts w:ascii="Times New Roman" w:eastAsiaTheme="minorEastAsia" w:hAnsi="Times New Roman" w:cs="Times New Roman"/>
          <w:bCs/>
          <w:sz w:val="24"/>
          <w:szCs w:val="24"/>
        </w:rPr>
        <w:t>normoxia</w:t>
      </w:r>
      <w:proofErr w:type="spellEnd"/>
      <w:r w:rsidR="000C5B42" w:rsidRPr="00165ED2">
        <w:rPr>
          <w:rFonts w:ascii="Times New Roman" w:eastAsiaTheme="minorEastAsia" w:hAnsi="Times New Roman" w:cs="Times New Roman"/>
          <w:bCs/>
          <w:sz w:val="24"/>
          <w:szCs w:val="24"/>
        </w:rPr>
        <w:t xml:space="preserve"> was correlated with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0C5B42" w:rsidRPr="00165ED2">
        <w:rPr>
          <w:rFonts w:ascii="Times New Roman" w:eastAsiaTheme="minorEastAsia" w:hAnsi="Times New Roman" w:cs="Times New Roman"/>
          <w:bCs/>
          <w:sz w:val="24"/>
          <w:szCs w:val="24"/>
        </w:rPr>
        <w:t>O</w:t>
      </w:r>
      <w:r w:rsidR="000C5B42" w:rsidRPr="00165ED2">
        <w:rPr>
          <w:rFonts w:ascii="Times New Roman" w:eastAsiaTheme="minorEastAsia" w:hAnsi="Times New Roman" w:cs="Times New Roman"/>
          <w:bCs/>
          <w:sz w:val="24"/>
          <w:szCs w:val="24"/>
          <w:vertAlign w:val="subscript"/>
        </w:rPr>
        <w:t xml:space="preserve">2max </w:t>
      </w:r>
      <w:r w:rsidR="000C5B42" w:rsidRPr="00165ED2">
        <w:rPr>
          <w:rFonts w:ascii="Times New Roman" w:eastAsiaTheme="minorEastAsia" w:hAnsi="Times New Roman" w:cs="Times New Roman"/>
          <w:bCs/>
          <w:sz w:val="24"/>
          <w:szCs w:val="24"/>
        </w:rPr>
        <w:t xml:space="preserve">in </w:t>
      </w:r>
      <w:proofErr w:type="spellStart"/>
      <w:r w:rsidR="000C5B42" w:rsidRPr="00165ED2">
        <w:rPr>
          <w:rFonts w:ascii="Times New Roman" w:eastAsiaTheme="minorEastAsia" w:hAnsi="Times New Roman" w:cs="Times New Roman"/>
          <w:bCs/>
          <w:sz w:val="24"/>
          <w:szCs w:val="24"/>
        </w:rPr>
        <w:t>normoxia</w:t>
      </w:r>
      <w:proofErr w:type="spellEnd"/>
      <w:r w:rsidR="000C5B42" w:rsidRPr="00165ED2">
        <w:rPr>
          <w:rFonts w:ascii="Times New Roman" w:eastAsiaTheme="minorEastAsia" w:hAnsi="Times New Roman" w:cs="Times New Roman"/>
          <w:bCs/>
          <w:sz w:val="24"/>
          <w:szCs w:val="24"/>
        </w:rPr>
        <w:t xml:space="preserve">, suggesting that those with the greatest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0C5B42" w:rsidRPr="00165ED2">
        <w:rPr>
          <w:rFonts w:ascii="Times New Roman" w:eastAsiaTheme="minorEastAsia" w:hAnsi="Times New Roman" w:cs="Times New Roman"/>
          <w:bCs/>
          <w:sz w:val="24"/>
          <w:szCs w:val="24"/>
        </w:rPr>
        <w:t>O</w:t>
      </w:r>
      <w:r w:rsidR="000C5B42" w:rsidRPr="00165ED2">
        <w:rPr>
          <w:rFonts w:ascii="Times New Roman" w:eastAsiaTheme="minorEastAsia" w:hAnsi="Times New Roman" w:cs="Times New Roman"/>
          <w:bCs/>
          <w:sz w:val="24"/>
          <w:szCs w:val="24"/>
          <w:vertAlign w:val="subscript"/>
        </w:rPr>
        <w:t xml:space="preserve">2max </w:t>
      </w:r>
      <w:r w:rsidR="000C5B42" w:rsidRPr="00165ED2">
        <w:rPr>
          <w:rFonts w:ascii="Times New Roman" w:eastAsiaTheme="minorEastAsia" w:hAnsi="Times New Roman" w:cs="Times New Roman"/>
          <w:bCs/>
          <w:sz w:val="24"/>
          <w:szCs w:val="24"/>
        </w:rPr>
        <w:t>values were better able to offset the reductions in convective O</w:t>
      </w:r>
      <w:r w:rsidR="000C5B42" w:rsidRPr="00165ED2">
        <w:rPr>
          <w:rFonts w:ascii="Times New Roman" w:eastAsiaTheme="minorEastAsia" w:hAnsi="Times New Roman" w:cs="Times New Roman"/>
          <w:bCs/>
          <w:sz w:val="24"/>
          <w:szCs w:val="24"/>
          <w:vertAlign w:val="subscript"/>
        </w:rPr>
        <w:t>2</w:t>
      </w:r>
      <w:r w:rsidR="000C5B42" w:rsidRPr="00165ED2">
        <w:rPr>
          <w:rFonts w:ascii="Times New Roman" w:eastAsiaTheme="minorEastAsia" w:hAnsi="Times New Roman" w:cs="Times New Roman"/>
          <w:bCs/>
          <w:sz w:val="24"/>
          <w:szCs w:val="24"/>
        </w:rPr>
        <w:t xml:space="preserve"> delivery brought about via hypoxia</w:t>
      </w:r>
      <w:r w:rsidR="00624DC9" w:rsidRPr="00165ED2">
        <w:rPr>
          <w:rFonts w:ascii="Times New Roman" w:eastAsiaTheme="minorEastAsia" w:hAnsi="Times New Roman" w:cs="Times New Roman"/>
          <w:bCs/>
          <w:sz w:val="24"/>
          <w:szCs w:val="24"/>
        </w:rPr>
        <w:t xml:space="preserve">. It is not known if such a protective effect remains in highly trained athletes where pulmonary limitations to high-intensity exercise are more likely </w:t>
      </w:r>
      <w:r w:rsidR="00624DC9"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{"citationID":"c6fklvYS","properties":{"formattedCitation":"[57,58]","plainCitation":"[57,58]","noteIndex":0},"citationItems":[{"id":3504,"uris":["http://zotero.org/users/5056530/items/M6NI5BVN"],"itemData":{"id":3504,"type":"article-journal","abstract":"It has been generally accepted that during exercise at sea level, the pulmonary system of normal, healthy individuals is capable of maintaining arterial oxygen tension at near resting levels. However, recent evidence questions whether this generalization applies to the highly trained endurance athlete who is capable of achieving very high levels of metabolic demand. Hence, the purpose of these experiments was to examine the relationship between maximal oxygen consumption (VO2max) and arterial oxygen-hemoglobin saturation (%SaO2) during short-term heavy exercise in trained athletes and untrained individuals. Ten trained distance runners and 7 untrained males exercised at 95% of VO2max for 3 min. Minute-by-minute measurement of %SaO2 was obtained via ear oximetry. The correlation coefficients between %SaO2 and VO2max during exercise were r = -0.68, r = -0.74, and r = -0.72 (P less than 0.05) for minutes 1 through 3, respectively. In general those individuals with the highest VO2max showed the greatest decrease in %SaO2. By comparison there was no difference (P greater than 0.05) in resting %SaO2 between the trained (96.3 +/- 0.2% [SE]) and the untrained (96.3 +/- 0.4%) subjects. However, at minute 3 of exercise, %SaO2 was significantly lower (P less than 0.05) in the trained subjects (87.0 +/- 0.7%) than in the untrained subjects (92.6 +/- 0.7%). These data demonstrate that arterial desaturation occurs in healthy, highly trained endurance athletes during heavy exercise and that the level of the arterial desaturation is inversely related to VO2max.","container-title":"Medicine and Science in Sports and Exercise","ISSN":"0195-9131","issue":"2","journalAbbreviation":"Med Sci Sports Exerc","language":"eng","note":"PMID: 3702644","page":"168-173","source":"PubMed","title":"Hemoglobin desaturation in highly trained athletes during heavy exercise","volume":"18","author":[{"family":"Williams","given":"J. H."},{"family":"Powers","given":"S. K."},{"family":"Stuart","given":"M. K."}],"issued":{"date-parts":[["1986",4]]}}},{"id":631,"uris":["http://zotero.org/users/5056530/items/VU3SRCRG"],"itemData":{"id":631,"type":"article-journal","abstract":"Recent evidence suggests that heavy exercise may lower the percentage of O2 bound to hemoglobin (%SaO2) by greater than or equal to 5% below resting values in some highly trained endurance athletes. We tested the hypothesis that pulmonary gas exchange limitations may restrict VO2max in highly trained athletes who exhibit exercise-induced hypoxemia. Twenty healthy male volunteers were divided into two groups according to their physical fitness status and the demonstration of exercise-induced reductions in %SaO2 less than or equal to 92%: 1) trained (T), mean VO2max = 56.5 ml.kg-1.min-1 (n = 13) and 2) highly trained (HT) with maximal exercise %SaO2 less than or equal to 92%, mean VO2max = 70.1 ml.kg-1.min-1 (n = 7). Subjects performed two incremental cycle ergometer exercise tests to determine VO2max at sea level under normoxic (21% O2) and mild hyperoxic conditions (26% O2). Mean %SaO2 during maximal exercise was significantly higher (P less than 0.05) during hyperoxia compared with normoxia in both the T group (94.1 vs. 96.1%) and the HT group (90.6 vs. 95.9%). Mean VO2max was significantly elevated (P less than 0.05) during hyperoxia compared with normoxia in the HT group (74.7 vs. 70.1 ml.kg-1.min-1). In contrast, in the T group, no mean difference (P less than 0.05) existed between treatments in VO2max (56.5 vs. 57.1 ml.kg-1.min-1). These data suggest that pulmonary gas exchange may contribute significantly to the limitation of VO2max in highly trained athletes who exhibit exercise-induced reductions in %SaO2 at sea level.(ABSTRACT TRUNCATED AT 250 WORDS)","container-title":"Journal of Applied Physiology (Bethesda, Md.: 1985)","DOI":"10.1152/jappl.1989.66.6.2491","ISSN":"8750-7587","issue":"6","journalAbbreviation":"J. Appl. Physiol.","language":"eng","note":"PMID: 2745310","page":"2491-2495","source":"PubMed","title":"Effects of incomplete pulmonary gas exchange on VO2 max","volume":"66","author":[{"family":"Powers","given":"S. K."},{"family":"Lawler","given":"J."},{"family":"Dempsey","given":"J. A."},{"family":"Dodd","given":"S."},{"family":"Landry","given":"G."}],"issued":{"date-parts":[["1989",6]]}}}],"schema":"https://github.com/citation-style-language/schema/raw/master/csl-citation.json"} </w:instrText>
      </w:r>
      <w:r w:rsidR="00624DC9"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[57,58]</w:t>
      </w:r>
      <w:r w:rsidR="00624DC9" w:rsidRPr="00165ED2">
        <w:rPr>
          <w:rFonts w:ascii="Times New Roman" w:eastAsiaTheme="minorEastAsia" w:hAnsi="Times New Roman" w:cs="Times New Roman"/>
          <w:bCs/>
          <w:sz w:val="24"/>
          <w:szCs w:val="24"/>
        </w:rPr>
        <w:fldChar w:fldCharType="end"/>
      </w:r>
      <w:r w:rsidR="00624DC9" w:rsidRPr="00165ED2">
        <w:rPr>
          <w:rFonts w:ascii="Times New Roman" w:eastAsiaTheme="minorEastAsia" w:hAnsi="Times New Roman" w:cs="Times New Roman"/>
          <w:bCs/>
          <w:sz w:val="24"/>
          <w:szCs w:val="24"/>
        </w:rPr>
        <w:t xml:space="preserve">, causing reductions in arterial saturation and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624DC9" w:rsidRPr="00165ED2">
        <w:rPr>
          <w:rFonts w:ascii="Times New Roman" w:eastAsiaTheme="minorEastAsia" w:hAnsi="Times New Roman" w:cs="Times New Roman"/>
          <w:bCs/>
          <w:sz w:val="24"/>
          <w:szCs w:val="24"/>
        </w:rPr>
        <w:t>O</w:t>
      </w:r>
      <w:r w:rsidR="00624DC9" w:rsidRPr="00165ED2">
        <w:rPr>
          <w:rFonts w:ascii="Times New Roman" w:eastAsiaTheme="minorEastAsia" w:hAnsi="Times New Roman" w:cs="Times New Roman"/>
          <w:bCs/>
          <w:sz w:val="24"/>
          <w:szCs w:val="24"/>
          <w:vertAlign w:val="subscript"/>
        </w:rPr>
        <w:t>2max</w:t>
      </w:r>
      <w:r w:rsidR="00624DC9" w:rsidRPr="00165ED2">
        <w:rPr>
          <w:rFonts w:ascii="Times New Roman" w:eastAsiaTheme="minorEastAsia" w:hAnsi="Times New Roman" w:cs="Times New Roman"/>
          <w:bCs/>
          <w:sz w:val="24"/>
          <w:szCs w:val="24"/>
        </w:rPr>
        <w:t xml:space="preserve"> even at modest simulated altitudes </w:t>
      </w:r>
      <w:r w:rsidR="00DB1888"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{"citationID":"MlPhvXFR","properties":{"formattedCitation":"[59]","plainCitation":"[59]","noteIndex":0},"citationItems":[{"id":3493,"uris":["http://zotero.org/users/5056530/items/6TD5KHPM"],"itemData":{"id":3493,"type":"article-journal","abstract":"This study utilized a hypobaric chamber to compare the effects of mild hypobaria (MH; 50 mmHg, approximately 580 m altitude) on blood O2 status and maximal O2 consumption (VO2max) in 9 untrained and 11 trained (T) cyclists with VO2max values of 51 +/- 3 and 77 +/- 1 ml.kg-1.min-1, respectively. In both groups, arterial O2 saturation (SaO2) decreased significantly during maximal exercise, and this effect was enhanced with MH. Both these responses were significantly greater in the T cyclists in whom the final SaO2 during MH was 86.5 +/- 0.9%. When the group data were combined, approximately 65% of the variance in SaO2 could be attributed to a widened alveolar-arterial Po2 difference. The arterial PO2 during maximal exercise at sea level in the T group was on the steeper portion of the hemoglobin-O2-loading curve (T, 68.3 +/- 1.3 Torr; untrained, 89.0 +/- 2.9 Torr) such that a similar decrease in arterial PO2 in the two groups in response to MH resulted in a significantly greater fall in both SaO2 and calculated O2 content in the T group. As a consequence, the VO2max fell significantly only in the T group (mean change, -6.8 +/- 1.5%; range, + 1.2 to - 12.3%), with approximately 70% of this decrease being due to a fall in O2 content. This is the lowest altitude reported to decrease VO2max, suggesting that T athletes are more susceptible to a fall in inspired PO2.","container-title":"Journal of Applied Physiology (Bethesda, Md.: 1985)","DOI":"10.1152/jappl.1996.80.6.2204","ISSN":"8750-7587","issue":"6","journalAbbreviation":"J Appl Physiol (1985)","language":"eng","note":"PMID: 8806931","page":"2204-2210","source":"PubMed","title":"Increased arterial desaturation in trained cyclists during maximal exercise at 580 m altitude","volume":"80","author":[{"family":"Gore","given":"C. J."},{"family":"Hahn","given":"A. G."},{"family":"Scroop","given":"G. C."},{"family":"Watson","given":"D. B."},{"family":"Norton","given":"K. I."},{"family":"Wood","given":"R. J."},{"family":"Campbell","given":"D. P."},{"family":"Emonson","given":"D. L."}],"issued":{"date-parts":[["1996",6]]}}}],"schema":"https://github.com/citation-style-language/schema/raw/master/csl-citation.json"} </w:instrText>
      </w:r>
      <w:r w:rsidR="00DB1888"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[59]</w:t>
      </w:r>
      <w:r w:rsidR="00DB1888" w:rsidRPr="00165ED2">
        <w:rPr>
          <w:rFonts w:ascii="Times New Roman" w:eastAsiaTheme="minorEastAsia" w:hAnsi="Times New Roman" w:cs="Times New Roman"/>
          <w:bCs/>
          <w:sz w:val="24"/>
          <w:szCs w:val="24"/>
        </w:rPr>
        <w:fldChar w:fldCharType="end"/>
      </w:r>
      <w:r w:rsidR="000C5B42" w:rsidRPr="00165ED2">
        <w:rPr>
          <w:rFonts w:ascii="Times New Roman" w:eastAsiaTheme="minorEastAsia" w:hAnsi="Times New Roman" w:cs="Times New Roman"/>
          <w:bCs/>
          <w:sz w:val="24"/>
          <w:szCs w:val="24"/>
        </w:rPr>
        <w:t>.</w:t>
      </w:r>
      <w:r w:rsidR="00BC28E8" w:rsidRPr="00165ED2">
        <w:rPr>
          <w:rFonts w:ascii="Times New Roman" w:eastAsiaTheme="minorEastAsia" w:hAnsi="Times New Roman" w:cs="Times New Roman"/>
          <w:bCs/>
          <w:sz w:val="24"/>
          <w:szCs w:val="24"/>
        </w:rPr>
        <w:t xml:space="preserve"> Similarly, </w:t>
      </w:r>
      <w:r w:rsidR="005174B6" w:rsidRPr="00165ED2">
        <w:rPr>
          <w:rFonts w:ascii="Times New Roman" w:eastAsiaTheme="minorEastAsia" w:hAnsi="Times New Roman" w:cs="Times New Roman"/>
          <w:bCs/>
          <w:sz w:val="24"/>
          <w:szCs w:val="24"/>
        </w:rPr>
        <w:t xml:space="preserve">however, </w:t>
      </w:r>
      <w:r w:rsidR="00BC28E8" w:rsidRPr="00165ED2">
        <w:rPr>
          <w:rFonts w:ascii="Times New Roman" w:eastAsiaTheme="minorEastAsia" w:hAnsi="Times New Roman" w:cs="Times New Roman"/>
          <w:bCs/>
          <w:sz w:val="24"/>
          <w:szCs w:val="24"/>
        </w:rPr>
        <w:t xml:space="preserve">Simpson et al. </w:t>
      </w:r>
      <w:r w:rsidR="003F3944"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{"citationID":"pUvQPFn7","properties":{"formattedCitation":"[60]","plainCitation":"[60]","noteIndex":0},"citationItems":[{"id":674,"uris":["http://zotero.org/users/5056530/items/B3PJNQI3"],"itemData":{"id":674,"type":"article-journal","abstract":"We investigated the influence of hypoxia on the asymptote (critical power, CP) and the curvature constant (W') of the hyperbolic power-duration relationship, as measured by both conventional and all-out testing procedures. 13 females completed 5 constant-power prediction trials and a 3-min all-out test to estimate CP and W', in both normoxia (N) and moderate hypoxia (H; FiO2=0.13). CP was significantly reduced in hypoxia compared to normoxia when estimated by conventional (H:132±17 vs. N:175±25 W; P&lt;0.001) and all-out methods (H:134±23 vs. N:172±30 W; P&lt;0.01). The W' was not significantly different in hypoxia compared to normoxia when established by conventional (H:12.3±2.7 vs. N:13.2±2.2 kJ) and all-out methods (H:12.0±2.6 vs. N:12.5±1.4 kJ). Estimates of CP and W' obtained with conventional and all-out methods were not significantly different either in normoxia or hypoxia. There was a significant relationship between the % change in CP relative to V̇(O2peak) and the % change in W' in normoxia compared to hypoxia (r=0.83, P&lt;0.001; conventional test). Changes in the W' in hypoxia are related to changes in the CP relative to V̇(O2peak), suggesting that the W' may not be defined simply as an 'anaerobic' energy store.","container-title":"International Journal of Sports Medicine","DOI":"10.1055/s-0034-1389943","ISSN":"1439-3964","issue":"2","journalAbbreviation":"Int J Sports Med","language":"eng","note":"PMID: 25329429","page":"113-119","source":"PubMed","title":"Influence of hypoxia on the power-duration relationship during high-intensity exercise","volume":"36","author":[{"family":"Simpson","given":"L. Parker"},{"family":"Jones","given":"A. M."},{"family":"Skiba","given":"P. F."},{"family":"Vanhatalo","given":"A."},{"family":"Wilkerson","given":"D."}],"issued":{"date-parts":[["2015",2]]}}}],"schema":"https://github.com/citation-style-language/schema/raw/master/csl-citation.json"}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[60]</w:t>
      </w:r>
      <w:r w:rsidR="003F3944" w:rsidRPr="00165ED2">
        <w:rPr>
          <w:rFonts w:ascii="Times New Roman" w:eastAsiaTheme="minorEastAsia" w:hAnsi="Times New Roman" w:cs="Times New Roman"/>
          <w:bCs/>
          <w:sz w:val="24"/>
          <w:szCs w:val="24"/>
        </w:rPr>
        <w:fldChar w:fldCharType="end"/>
      </w:r>
      <w:r w:rsidR="003F3944" w:rsidRPr="00165ED2">
        <w:rPr>
          <w:rFonts w:ascii="Times New Roman" w:eastAsiaTheme="minorEastAsia" w:hAnsi="Times New Roman" w:cs="Times New Roman"/>
          <w:bCs/>
          <w:sz w:val="24"/>
          <w:szCs w:val="24"/>
        </w:rPr>
        <w:t xml:space="preserve"> </w:t>
      </w:r>
      <w:r w:rsidR="00BC28E8" w:rsidRPr="00165ED2">
        <w:rPr>
          <w:rFonts w:ascii="Times New Roman" w:eastAsiaTheme="minorEastAsia" w:hAnsi="Times New Roman" w:cs="Times New Roman"/>
          <w:bCs/>
          <w:sz w:val="24"/>
          <w:szCs w:val="24"/>
        </w:rPr>
        <w:t>reported a reduction in CP of 4</w:t>
      </w:r>
      <w:r w:rsidR="00267AE6" w:rsidRPr="00165ED2">
        <w:rPr>
          <w:rFonts w:ascii="Times New Roman" w:eastAsiaTheme="minorEastAsia" w:hAnsi="Times New Roman" w:cs="Times New Roman"/>
          <w:bCs/>
          <w:sz w:val="24"/>
          <w:szCs w:val="24"/>
        </w:rPr>
        <w:t>3</w:t>
      </w:r>
      <w:r w:rsidR="00BC28E8" w:rsidRPr="00165ED2">
        <w:rPr>
          <w:rFonts w:ascii="Times New Roman" w:eastAsiaTheme="minorEastAsia" w:hAnsi="Times New Roman" w:cs="Times New Roman"/>
          <w:bCs/>
          <w:sz w:val="24"/>
          <w:szCs w:val="24"/>
        </w:rPr>
        <w:t xml:space="preserve"> W using an FiO</w:t>
      </w:r>
      <w:r w:rsidR="00BC28E8" w:rsidRPr="00165ED2">
        <w:rPr>
          <w:rFonts w:ascii="Times New Roman" w:eastAsiaTheme="minorEastAsia" w:hAnsi="Times New Roman" w:cs="Times New Roman"/>
          <w:bCs/>
          <w:sz w:val="24"/>
          <w:szCs w:val="24"/>
          <w:vertAlign w:val="subscript"/>
        </w:rPr>
        <w:t>2</w:t>
      </w:r>
      <w:r w:rsidR="00BC28E8" w:rsidRPr="00165ED2">
        <w:rPr>
          <w:rFonts w:ascii="Times New Roman" w:eastAsiaTheme="minorEastAsia" w:hAnsi="Times New Roman" w:cs="Times New Roman"/>
          <w:bCs/>
          <w:sz w:val="24"/>
          <w:szCs w:val="24"/>
        </w:rPr>
        <w:t xml:space="preserve"> of 0.13, a finding which was consistent when CP was </w:t>
      </w:r>
      <w:r w:rsidR="00267AE6" w:rsidRPr="00165ED2">
        <w:rPr>
          <w:rFonts w:ascii="Times New Roman" w:eastAsiaTheme="minorEastAsia" w:hAnsi="Times New Roman" w:cs="Times New Roman"/>
          <w:bCs/>
          <w:sz w:val="24"/>
          <w:szCs w:val="24"/>
        </w:rPr>
        <w:t xml:space="preserve">determined </w:t>
      </w:r>
      <w:r w:rsidR="00BC28E8" w:rsidRPr="00165ED2">
        <w:rPr>
          <w:rFonts w:ascii="Times New Roman" w:eastAsiaTheme="minorEastAsia" w:hAnsi="Times New Roman" w:cs="Times New Roman"/>
          <w:bCs/>
          <w:sz w:val="24"/>
          <w:szCs w:val="24"/>
        </w:rPr>
        <w:t xml:space="preserve">either via the conventional constant-load prediction trial method or via a 3-minute all-out test. Moreover, Valli et al. </w:t>
      </w:r>
      <w:r w:rsidR="003F3944"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{"citationID":"KANfCigx","properties":{"formattedCitation":"[61]","plainCitation":"[61]","noteIndex":0},"citationItems":[{"id":856,"uris":["http://zotero.org/users/5056530/items/8MVUX8K5"],"itemData":{"id":856,"type":"article-journal","abstract":"The relationship between work rate (WR) and its tolerable duration (t(LIM)) has not been investigated at high altitude (HA). At HA (5050 m) and at sea level (SL), six subjects therefore performed symptom-limited cycle-ergometry: an incremental test (IET) and three constant-WR tests (% of IET WR(max), HA and SL respectively: WR(1) 70±8%, 74±7%; WR(2) 86±14%, 88±10%; WR(3) 105±13%, 104±9%). The power asymptote (CP) and curvature constant (W') of the hyperbolic WR-t(LIM) relationship were reduced at HA compared to SL (CP: 81±21 vs. 123±38 W; W': 7.2±2.9 vs. 13.1±4.3 kJ). HA breathing reserve (estimated maximum voluntary ventilation minus end-exercise ventilation) was also compromised (WR(1): 25±25 vs. 50±18 l min(-1); WR(2): 4±23 vs. 38±23 l min(-1); WR(3): -3±18 vs. 32±24 l min(-1)) with near-maximal dyspnea levels (Borg) (WR(1): 7.2±1.2 vs. 4.8±1.3; WR(2): 8.8±0.8 vs. 5.3±1.2; WR(3): 9.3±1.0 vs. 5.3±1.5). The CP reduction is consistent with a reduced O(2) availability; that of W' with reduced muscle-venous O(2) storage, exacerbated by ventilatory limitation and dyspnea.","container-title":"Respiratory Physiology &amp; Neurobiology","DOI":"10.1016/j.resp.2011.05.014","ISSN":"1878-1519","issue":"3","journalAbbreviation":"Respir Physiol Neurobiol","language":"eng","note":"PMID: 21621651","page":"333-341","source":"PubMed","title":"Exercise intolerance at high altitude (5050 m): critical power and W'","title-short":"Exercise intolerance at high altitude (5050 m)","volume":"177","author":[{"family":"Valli","given":"G."},{"family":"Cogo","given":"A."},{"family":"Passino","given":"C."},{"family":"Bonardi","given":"D."},{"family":"Morici","given":"G."},{"family":"Fasano","given":"V."},{"family":"Agnesi","given":"M."},{"family":"Bernardi","given":"L."},{"family":"Ferrazza","given":"A. M."},{"family":"Ward","given":"S. A."},{"family":"Palange","given":"P."}],"issued":{"date-parts":[["2011",8,15]]}}}],"schema":"https://github.com/citation-style-language/schema/raw/master/csl-citation.json"}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[61]</w:t>
      </w:r>
      <w:r w:rsidR="003F3944" w:rsidRPr="00165ED2">
        <w:rPr>
          <w:rFonts w:ascii="Times New Roman" w:eastAsiaTheme="minorEastAsia" w:hAnsi="Times New Roman" w:cs="Times New Roman"/>
          <w:bCs/>
          <w:sz w:val="24"/>
          <w:szCs w:val="24"/>
        </w:rPr>
        <w:fldChar w:fldCharType="end"/>
      </w:r>
      <w:r w:rsidR="003F3944" w:rsidRPr="00165ED2">
        <w:rPr>
          <w:rFonts w:ascii="Times New Roman" w:eastAsiaTheme="minorEastAsia" w:hAnsi="Times New Roman" w:cs="Times New Roman"/>
          <w:bCs/>
          <w:sz w:val="24"/>
          <w:szCs w:val="24"/>
        </w:rPr>
        <w:t xml:space="preserve"> </w:t>
      </w:r>
      <w:r w:rsidR="00BC28E8" w:rsidRPr="00165ED2">
        <w:rPr>
          <w:rFonts w:ascii="Times New Roman" w:eastAsiaTheme="minorEastAsia" w:hAnsi="Times New Roman" w:cs="Times New Roman"/>
          <w:bCs/>
          <w:sz w:val="24"/>
          <w:szCs w:val="24"/>
        </w:rPr>
        <w:t>demonstrated that at an altitude of 5050 m (</w:t>
      </w:r>
      <w:r w:rsidR="00B93B97" w:rsidRPr="00165ED2">
        <w:rPr>
          <w:rFonts w:ascii="Times New Roman" w:eastAsiaTheme="minorEastAsia" w:hAnsi="Times New Roman" w:cs="Times New Roman"/>
          <w:bCs/>
          <w:sz w:val="24"/>
          <w:szCs w:val="24"/>
        </w:rPr>
        <w:t xml:space="preserve">equivalent </w:t>
      </w:r>
      <w:r w:rsidR="00BC28E8" w:rsidRPr="00165ED2">
        <w:rPr>
          <w:rFonts w:ascii="Times New Roman" w:eastAsiaTheme="minorEastAsia" w:hAnsi="Times New Roman" w:cs="Times New Roman"/>
          <w:bCs/>
          <w:sz w:val="24"/>
          <w:szCs w:val="24"/>
        </w:rPr>
        <w:t>FiO</w:t>
      </w:r>
      <w:r w:rsidR="00BC28E8" w:rsidRPr="00165ED2">
        <w:rPr>
          <w:rFonts w:ascii="Times New Roman" w:eastAsiaTheme="minorEastAsia" w:hAnsi="Times New Roman" w:cs="Times New Roman"/>
          <w:bCs/>
          <w:sz w:val="24"/>
          <w:szCs w:val="24"/>
          <w:vertAlign w:val="subscript"/>
        </w:rPr>
        <w:t>2</w:t>
      </w:r>
      <w:r w:rsidR="00BC28E8" w:rsidRPr="00165ED2">
        <w:rPr>
          <w:rFonts w:ascii="Times New Roman" w:eastAsiaTheme="minorEastAsia" w:hAnsi="Times New Roman" w:cs="Times New Roman"/>
          <w:bCs/>
          <w:sz w:val="24"/>
          <w:szCs w:val="24"/>
        </w:rPr>
        <w:t xml:space="preserve"> </w:t>
      </w:r>
      <w:r w:rsidR="00B93B97" w:rsidRPr="00165ED2">
        <w:rPr>
          <w:rFonts w:ascii="Times New Roman" w:eastAsiaTheme="minorEastAsia" w:hAnsi="Times New Roman" w:cs="Times New Roman"/>
          <w:bCs/>
          <w:sz w:val="24"/>
          <w:szCs w:val="24"/>
        </w:rPr>
        <w:t>~</w:t>
      </w:r>
      <w:r w:rsidR="00BC28E8" w:rsidRPr="00165ED2">
        <w:rPr>
          <w:rFonts w:ascii="Times New Roman" w:eastAsiaTheme="minorEastAsia" w:hAnsi="Times New Roman" w:cs="Times New Roman"/>
          <w:bCs/>
          <w:sz w:val="24"/>
          <w:szCs w:val="24"/>
        </w:rPr>
        <w:t xml:space="preserve">0.11) CP </w:t>
      </w:r>
      <w:r w:rsidR="00CD4112" w:rsidRPr="00165ED2">
        <w:rPr>
          <w:rFonts w:ascii="Times New Roman" w:eastAsiaTheme="minorEastAsia" w:hAnsi="Times New Roman" w:cs="Times New Roman"/>
          <w:bCs/>
          <w:sz w:val="24"/>
          <w:szCs w:val="24"/>
        </w:rPr>
        <w:t xml:space="preserve">was reduced </w:t>
      </w:r>
      <w:r w:rsidR="00BC28E8" w:rsidRPr="00165ED2">
        <w:rPr>
          <w:rFonts w:ascii="Times New Roman" w:eastAsiaTheme="minorEastAsia" w:hAnsi="Times New Roman" w:cs="Times New Roman"/>
          <w:bCs/>
          <w:sz w:val="24"/>
          <w:szCs w:val="24"/>
        </w:rPr>
        <w:t xml:space="preserve">by 42 W. </w:t>
      </w:r>
      <w:r w:rsidR="001E52D4" w:rsidRPr="00165ED2">
        <w:rPr>
          <w:rFonts w:ascii="Times New Roman" w:eastAsiaTheme="minorEastAsia" w:hAnsi="Times New Roman" w:cs="Times New Roman"/>
          <w:bCs/>
          <w:sz w:val="24"/>
          <w:szCs w:val="24"/>
        </w:rPr>
        <w:t xml:space="preserve">In </w:t>
      </w:r>
      <w:r w:rsidR="001B434A" w:rsidRPr="00165ED2">
        <w:rPr>
          <w:rFonts w:ascii="Times New Roman" w:eastAsiaTheme="minorEastAsia" w:hAnsi="Times New Roman" w:cs="Times New Roman"/>
          <w:bCs/>
          <w:sz w:val="24"/>
          <w:szCs w:val="24"/>
        </w:rPr>
        <w:t xml:space="preserve">all </w:t>
      </w:r>
      <w:r w:rsidR="001E52D4" w:rsidRPr="00165ED2">
        <w:rPr>
          <w:rFonts w:ascii="Times New Roman" w:eastAsiaTheme="minorEastAsia" w:hAnsi="Times New Roman" w:cs="Times New Roman"/>
          <w:bCs/>
          <w:sz w:val="24"/>
          <w:szCs w:val="24"/>
        </w:rPr>
        <w:t>of these studies, SaO</w:t>
      </w:r>
      <w:r w:rsidR="001E52D4" w:rsidRPr="00165ED2">
        <w:rPr>
          <w:rFonts w:ascii="Times New Roman" w:eastAsiaTheme="minorEastAsia" w:hAnsi="Times New Roman" w:cs="Times New Roman"/>
          <w:bCs/>
          <w:sz w:val="24"/>
          <w:szCs w:val="24"/>
          <w:vertAlign w:val="subscript"/>
        </w:rPr>
        <w:t xml:space="preserve">2 </w:t>
      </w:r>
      <w:r w:rsidR="001E52D4" w:rsidRPr="00165ED2">
        <w:rPr>
          <w:rFonts w:ascii="Times New Roman" w:eastAsiaTheme="minorEastAsia" w:hAnsi="Times New Roman" w:cs="Times New Roman"/>
          <w:bCs/>
          <w:sz w:val="24"/>
          <w:szCs w:val="24"/>
        </w:rPr>
        <w:t>was reduced either at rest or during exercise in hypoxia, providing indirect evidence that hypoxia impaired convective O</w:t>
      </w:r>
      <w:r w:rsidR="001E52D4" w:rsidRPr="00165ED2">
        <w:rPr>
          <w:rFonts w:ascii="Times New Roman" w:eastAsiaTheme="minorEastAsia" w:hAnsi="Times New Roman" w:cs="Times New Roman"/>
          <w:bCs/>
          <w:sz w:val="24"/>
          <w:szCs w:val="24"/>
          <w:vertAlign w:val="subscript"/>
        </w:rPr>
        <w:t>2</w:t>
      </w:r>
      <w:r w:rsidR="001E52D4" w:rsidRPr="00165ED2">
        <w:rPr>
          <w:rFonts w:ascii="Times New Roman" w:eastAsiaTheme="minorEastAsia" w:hAnsi="Times New Roman" w:cs="Times New Roman"/>
          <w:bCs/>
          <w:sz w:val="24"/>
          <w:szCs w:val="24"/>
        </w:rPr>
        <w:t xml:space="preserve"> delivery which contributed to the reduced CP in each study. </w:t>
      </w:r>
      <w:r w:rsidR="00C45D0F" w:rsidRPr="00165ED2">
        <w:rPr>
          <w:rFonts w:ascii="Times New Roman" w:eastAsiaTheme="minorEastAsia" w:hAnsi="Times New Roman" w:cs="Times New Roman"/>
          <w:bCs/>
          <w:sz w:val="24"/>
          <w:szCs w:val="24"/>
        </w:rPr>
        <w:t xml:space="preserve">These findings were subsequently extended to arm cycle ergometry by La Monica et al. </w:t>
      </w:r>
      <w:r w:rsidR="00C45D0F"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{"citationID":"hQpCcGsM","properties":{"formattedCitation":"[62]","plainCitation":"[62]","noteIndex":0},"citationItems":[{"id":676,"uris":["http://zotero.org/users/5056530/items/EIV8KZ4Z"],"itemData":{"id":676,"type":"article-journal","abstract":"PURPOSE: To evaluate the effects of moderate normobaric hypoxia on the parameters of the work-time relationship in the upper body.\nMETHODS: Twenty-one recreationally active men completed a graded exercise test in both normobaric hypoxia (H) and normoxia (N) to exhaustion on an arm ergometer to determine V̇O2peak and peak power output (PPO). Each participant completed four constant work-rate (CWR) arm-cranking tests at 90-120% PPO in both environmental conditions. Linear regression was used to estimate critical power (CP) and anaerobic working capacity (AWC) via work-time relationship during the CWR tests.\nRESULTS: H significantly reduced V̇O2peak (N: 2.34 ± 0.34 L vs. H: 2.27 ± 0.34 L, p = 0.041), PPO (N: 125.29 ± 17.98 W vs. H: 121.11 ± 17.98 W, p = 0.001), and CP (N: 90.22 ± 12.88 W vs. H: 85.26 ± 9.64 W, p = 0.042), but had no effect on AWC (N: 9.16 ± 2.81 kJ vs. H: 8.75 ± 3.23 kJ, p = 0.600).\nDISCUSSION: Moderate normobaric hypoxia appears to reduce CP in the upper body but has a variable effect on AWC.","container-title":"Respiratory Physiology &amp; Neurobiology","DOI":"10.1016/j.resp.2017.12.002","ISSN":"1878-1519","journalAbbreviation":"Respir Physiol Neurobiol","language":"eng","note":"PMID: 29247712","page":"1-6","source":"PubMed","title":"Effects of normobaric hypoxia on upper body critical power and anaerobic working capacity","volume":"249","author":[{"family":"La Monica","given":"Michael B."},{"family":"Fukuda","given":"David H."},{"family":"Starling-Smith","given":"Tristan M."},{"family":"Wang","given":"Ran"},{"family":"Hoffman","given":"Jay R."},{"family":"Stout","given":"Jeffrey R."}],"issued":{"date-parts":[["2017",12,13]]}}}],"schema":"https://github.com/citation-style-language/schema/raw/master/csl-citation.json"} </w:instrText>
      </w:r>
      <w:r w:rsidR="00C45D0F"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[62]</w:t>
      </w:r>
      <w:r w:rsidR="00C45D0F" w:rsidRPr="00165ED2">
        <w:rPr>
          <w:rFonts w:ascii="Times New Roman" w:eastAsiaTheme="minorEastAsia" w:hAnsi="Times New Roman" w:cs="Times New Roman"/>
          <w:bCs/>
          <w:sz w:val="24"/>
          <w:szCs w:val="24"/>
        </w:rPr>
        <w:fldChar w:fldCharType="end"/>
      </w:r>
      <w:r w:rsidR="00C45D0F" w:rsidRPr="00165ED2">
        <w:rPr>
          <w:rFonts w:ascii="Times New Roman" w:eastAsiaTheme="minorEastAsia" w:hAnsi="Times New Roman" w:cs="Times New Roman"/>
          <w:bCs/>
          <w:sz w:val="24"/>
          <w:szCs w:val="24"/>
        </w:rPr>
        <w:t xml:space="preserve">, who demonstrated that arm CP was reduced by 5 W in moderate (FiO2 0.14) </w:t>
      </w:r>
      <w:proofErr w:type="spellStart"/>
      <w:r w:rsidR="00C45D0F" w:rsidRPr="00165ED2">
        <w:rPr>
          <w:rFonts w:ascii="Times New Roman" w:eastAsiaTheme="minorEastAsia" w:hAnsi="Times New Roman" w:cs="Times New Roman"/>
          <w:bCs/>
          <w:sz w:val="24"/>
          <w:szCs w:val="24"/>
        </w:rPr>
        <w:t>normobaric</w:t>
      </w:r>
      <w:proofErr w:type="spellEnd"/>
      <w:r w:rsidR="00C45D0F" w:rsidRPr="00165ED2">
        <w:rPr>
          <w:rFonts w:ascii="Times New Roman" w:eastAsiaTheme="minorEastAsia" w:hAnsi="Times New Roman" w:cs="Times New Roman"/>
          <w:bCs/>
          <w:sz w:val="24"/>
          <w:szCs w:val="24"/>
        </w:rPr>
        <w:t xml:space="preserve"> hypoxia (~6% of </w:t>
      </w:r>
      <w:proofErr w:type="spellStart"/>
      <w:r w:rsidR="00C45D0F" w:rsidRPr="00165ED2">
        <w:rPr>
          <w:rFonts w:ascii="Times New Roman" w:eastAsiaTheme="minorEastAsia" w:hAnsi="Times New Roman" w:cs="Times New Roman"/>
          <w:bCs/>
          <w:sz w:val="24"/>
          <w:szCs w:val="24"/>
        </w:rPr>
        <w:t>normoxic</w:t>
      </w:r>
      <w:proofErr w:type="spellEnd"/>
      <w:r w:rsidR="00C45D0F" w:rsidRPr="00165ED2">
        <w:rPr>
          <w:rFonts w:ascii="Times New Roman" w:eastAsiaTheme="minorEastAsia" w:hAnsi="Times New Roman" w:cs="Times New Roman"/>
          <w:bCs/>
          <w:sz w:val="24"/>
          <w:szCs w:val="24"/>
        </w:rPr>
        <w:t xml:space="preserve"> CP).</w:t>
      </w:r>
      <w:r w:rsidR="001B434A" w:rsidRPr="00165ED2">
        <w:rPr>
          <w:rFonts w:ascii="Times New Roman" w:eastAsiaTheme="minorEastAsia" w:hAnsi="Times New Roman" w:cs="Times New Roman"/>
          <w:bCs/>
          <w:sz w:val="24"/>
          <w:szCs w:val="24"/>
        </w:rPr>
        <w:t xml:space="preserve">Whilst the </w:t>
      </w:r>
      <w:r w:rsidR="00C45D0F" w:rsidRPr="00165ED2">
        <w:rPr>
          <w:rFonts w:ascii="Times New Roman" w:eastAsiaTheme="minorEastAsia" w:hAnsi="Times New Roman" w:cs="Times New Roman"/>
          <w:bCs/>
          <w:sz w:val="24"/>
          <w:szCs w:val="24"/>
        </w:rPr>
        <w:t>magnitude</w:t>
      </w:r>
      <w:r w:rsidR="001B434A" w:rsidRPr="00165ED2">
        <w:rPr>
          <w:rFonts w:ascii="Times New Roman" w:eastAsiaTheme="minorEastAsia" w:hAnsi="Times New Roman" w:cs="Times New Roman"/>
          <w:bCs/>
          <w:sz w:val="24"/>
          <w:szCs w:val="24"/>
        </w:rPr>
        <w:t xml:space="preserve"> of the effect of hypoxia on CP in these studies varied with the fitness of the participants (see for example </w:t>
      </w:r>
      <w:proofErr w:type="spellStart"/>
      <w:r w:rsidR="001B434A" w:rsidRPr="00165ED2">
        <w:rPr>
          <w:rFonts w:ascii="Times New Roman" w:eastAsiaTheme="minorEastAsia" w:hAnsi="Times New Roman" w:cs="Times New Roman"/>
          <w:bCs/>
          <w:sz w:val="24"/>
          <w:szCs w:val="24"/>
        </w:rPr>
        <w:t>Dekerle</w:t>
      </w:r>
      <w:proofErr w:type="spellEnd"/>
      <w:r w:rsidR="001B434A" w:rsidRPr="00165ED2">
        <w:rPr>
          <w:rFonts w:ascii="Times New Roman" w:eastAsiaTheme="minorEastAsia" w:hAnsi="Times New Roman" w:cs="Times New Roman"/>
          <w:bCs/>
          <w:sz w:val="24"/>
          <w:szCs w:val="24"/>
        </w:rPr>
        <w:t xml:space="preserve"> et al. </w:t>
      </w:r>
      <w:r w:rsidR="001B434A"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{"citationID":"78rOIF7m","properties":{"formattedCitation":"[56]","plainCitation":"[56]","noteIndex":0},"citationItems":[{"id":675,"uris":["http://zotero.org/users/5056530/items/UD27HX7K"],"itemData":{"id":675,"type":"article-journal","abstract":"It remains uncertain as how the reduction in systemic oxygen transport limits high-intensity exercise tolerance. 11 participants (5 males; age 35 ± 10 years; peak [Formula: see text] 3.5 ± 0.4 L min(-1)) performed cycle ergometry to the limit of tolerance: (1) a ramp test to determine ventilatory threshold (VT) and peak [Formula: see text]; (2) three to four constant-load tests in order to model the linear P-t (-1) relationship for estimation of intercept (critical power; CP) and slope (AWC). All tests were performed in a random order under moderate hypoxia (FiO(2) = 0.15) and normoxia. The linearity of the P-t (-1) relationship was retained under hypoxia, with a systematic reduction in CP (220 ± 25 W vs. 190 ± 28 W; P &lt; 0.01) but no significant difference in AWC (11.7 ± 5.5 kJ vs. 12.1 ± 4.4 kJ; P &gt; 0.05). However, large individual variations in the change of the latter were observed (-36 to +66%). A significant relationship was found between the % change in CP (r = 0.80, P &lt; 0.01) and both peak [Formula: see text] (CP: r = -0.65, P &lt; 0.05) and VT values recorded under normoxia (CP: r = -0.65, P &lt; 0.05). The present study demonstrates the aerobic nature of the intercept of the P-t (-1) relationship, i.e. CP. However, the extreme within-individual changes in AWC do not support the original assumption that AWC reflects a finite energy store. Lower hypoxia-induced decrements in CP were observed in aerobically fitter participants. This study also demonstrates the greater ability these participants have to exercise at supra-CP but close to CP workloads under moderate hypoxia.","container-title":"European Journal of Applied Physiology","DOI":"10.1007/s00421-011-1979-z","ISSN":"1439-6327","issue":"1","journalAbbreviation":"Eur. J. Appl. Physiol.","language":"eng","note":"PMID: 21556815","page":"327-335","source":"PubMed","title":"Influence of moderate hypoxia on tolerance to high-intensity exercise","volume":"112","author":[{"family":"Dekerle","given":"J."},{"family":"Mucci","given":"P."},{"family":"Carter","given":"H."}],"issued":{"date-parts":[["2012",1]]}}}],"schema":"https://github.com/citation-style-language/schema/raw/master/csl-citation.json"} </w:instrText>
      </w:r>
      <w:r w:rsidR="001B434A"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[56]</w:t>
      </w:r>
      <w:r w:rsidR="001B434A" w:rsidRPr="00165ED2">
        <w:rPr>
          <w:rFonts w:ascii="Times New Roman" w:eastAsiaTheme="minorEastAsia" w:hAnsi="Times New Roman" w:cs="Times New Roman"/>
          <w:bCs/>
          <w:sz w:val="24"/>
          <w:szCs w:val="24"/>
        </w:rPr>
        <w:fldChar w:fldCharType="end"/>
      </w:r>
      <w:r w:rsidR="00F260F9" w:rsidRPr="00165ED2">
        <w:rPr>
          <w:rFonts w:ascii="Times New Roman" w:eastAsiaTheme="minorEastAsia" w:hAnsi="Times New Roman" w:cs="Times New Roman"/>
          <w:bCs/>
          <w:sz w:val="24"/>
          <w:szCs w:val="24"/>
        </w:rPr>
        <w:t>)</w:t>
      </w:r>
      <w:r w:rsidR="001B434A" w:rsidRPr="00165ED2">
        <w:rPr>
          <w:rFonts w:ascii="Times New Roman" w:eastAsiaTheme="minorEastAsia" w:hAnsi="Times New Roman" w:cs="Times New Roman"/>
          <w:bCs/>
          <w:sz w:val="24"/>
          <w:szCs w:val="24"/>
        </w:rPr>
        <w:t xml:space="preserve">, </w:t>
      </w:r>
      <w:r w:rsidR="0097229B" w:rsidRPr="00165ED2">
        <w:rPr>
          <w:rFonts w:ascii="Times New Roman" w:eastAsiaTheme="minorEastAsia" w:hAnsi="Times New Roman" w:cs="Times New Roman"/>
          <w:bCs/>
          <w:sz w:val="24"/>
          <w:szCs w:val="24"/>
        </w:rPr>
        <w:t xml:space="preserve">Townsend et al. </w:t>
      </w:r>
      <w:r w:rsidR="0097229B"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{"citationID":"fZh5YSFT","properties":{"formattedCitation":"[63]","plainCitation":"[63]","noteIndex":0},"citationItems":[{"id":3369,"uris":["http://zotero.org/users/5056530/items/ZHIVULZ7"],"itemData":{"id":3369,"type":"article-journal","abstract":"Purpose: Develop a prediction equation for critical power (CP) and work above CP (W') in hypoxia for use in the work-balance ([Formula: see text]) model. Methods: Nine trained male cyclists completed cycling time trials (TT; 12, 7, and 3 min) to determine CP and W' at five altitudes (250, 1,250, 2,250, 3,250, and 4,250 m). Least squares regression was used to predict CP and W' at altitude. A high-intensity intermittent test (HIIT) was performed at 250 and 2,250 m. Actual and predicted CP and W' were used to compute W' during HIIT using differential ([Formula: see text]) and integral ([Formula: see text]) forms of the [Formula: see text] model. Results: CP decreased at altitude (P &lt; 0.001) as described by 3rd order polynomial function (R2 = 0.99). W' decreased at 4,250 m only (P &lt; 0.001). A double-linear function characterized the effect of altitude on W' (R2 = 0.99). There was no significant effect of parameter input (actual vs. predicted CP and W') on modelled [Formula: see text] at 2,250 m (P = 0.24). [Formula: see text] returned higher values than [Formula: see text] throughout HIIT (P &lt; 0.001). During HIIT, [Formula: see text] was not different to 0 kJ at completion, at 250 m (0.7 ± 2.0 kJ; P = 0.33) and 2,250 m (-1.3 ± 3.5 kJ; P = 0.30). However, [Formula: see text] was lower than 0 kJ at 250 m (-0.9 ± 1.3 kJ; P = 0.058) and 2,250 m (-2.8 ± 2.8 kJ; P = 0.02). Conclusion: The altitude prediction equations for CP and W' developed in this study are suitable for use with the [Formula: see text] model in acute hypoxia. This enables the application of [Formula: see text] modelling to training prescription and competition analysis at altitude.","container-title":"Frontiers in Physiology","DOI":"10.3389/fphys.2017.00180","ISSN":"1664-042X","journalAbbreviation":"Front Physiol","language":"eng","note":"PMID: 28386237\nPMCID: PMC5362642","page":"180","source":"PubMed","title":"Prediction of Critical Power and W' in Hypoxia: Application to Work-Balance Modelling","title-short":"Prediction of Critical Power and W' in Hypoxia","volume":"8","author":[{"family":"Townsend","given":"Nathan E."},{"family":"Nichols","given":"David S."},{"family":"Skiba","given":"Philip F."},{"family":"Racinais","given":"Sebastien"},{"family":"Périard","given":"Julien D."}],"issued":{"date-parts":[["2017"]]}}}],"schema":"https://github.com/citation-style-language/schema/raw/master/csl-citation.json"} </w:instrText>
      </w:r>
      <w:r w:rsidR="0097229B"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[63]</w:t>
      </w:r>
      <w:r w:rsidR="0097229B" w:rsidRPr="00165ED2">
        <w:rPr>
          <w:rFonts w:ascii="Times New Roman" w:eastAsiaTheme="minorEastAsia" w:hAnsi="Times New Roman" w:cs="Times New Roman"/>
          <w:bCs/>
          <w:sz w:val="24"/>
          <w:szCs w:val="24"/>
        </w:rPr>
        <w:fldChar w:fldCharType="end"/>
      </w:r>
      <w:r w:rsidR="001B434A" w:rsidRPr="00165ED2">
        <w:rPr>
          <w:rFonts w:ascii="Times New Roman" w:eastAsiaTheme="minorEastAsia" w:hAnsi="Times New Roman" w:cs="Times New Roman"/>
          <w:bCs/>
          <w:sz w:val="24"/>
          <w:szCs w:val="24"/>
        </w:rPr>
        <w:t xml:space="preserve"> demonstrated a progressive reduction in CP with decreasing FiO</w:t>
      </w:r>
      <w:r w:rsidR="00C45D0F" w:rsidRPr="00165ED2">
        <w:rPr>
          <w:rFonts w:ascii="Times New Roman" w:eastAsiaTheme="minorEastAsia" w:hAnsi="Times New Roman" w:cs="Times New Roman"/>
          <w:bCs/>
          <w:sz w:val="24"/>
          <w:szCs w:val="24"/>
          <w:vertAlign w:val="subscript"/>
        </w:rPr>
        <w:t>2</w:t>
      </w:r>
      <w:r w:rsidR="00C45D0F" w:rsidRPr="00165ED2">
        <w:rPr>
          <w:rFonts w:ascii="Times New Roman" w:eastAsiaTheme="minorEastAsia" w:hAnsi="Times New Roman" w:cs="Times New Roman"/>
          <w:bCs/>
          <w:sz w:val="24"/>
          <w:szCs w:val="24"/>
        </w:rPr>
        <w:t xml:space="preserve">. </w:t>
      </w:r>
      <w:r w:rsidR="001E52D4" w:rsidRPr="00165ED2">
        <w:rPr>
          <w:rFonts w:ascii="Times New Roman" w:eastAsiaTheme="minorEastAsia" w:hAnsi="Times New Roman" w:cs="Times New Roman"/>
          <w:bCs/>
          <w:sz w:val="24"/>
          <w:szCs w:val="24"/>
        </w:rPr>
        <w:t>Hence, the extant literature is unanimously consistent with the notion that reductions in FiO</w:t>
      </w:r>
      <w:r w:rsidR="001E52D4" w:rsidRPr="00165ED2">
        <w:rPr>
          <w:rFonts w:ascii="Times New Roman" w:eastAsiaTheme="minorEastAsia" w:hAnsi="Times New Roman" w:cs="Times New Roman"/>
          <w:bCs/>
          <w:sz w:val="24"/>
          <w:szCs w:val="24"/>
          <w:vertAlign w:val="subscript"/>
        </w:rPr>
        <w:t>2</w:t>
      </w:r>
      <w:r w:rsidR="001E52D4" w:rsidRPr="00165ED2">
        <w:rPr>
          <w:rFonts w:ascii="Times New Roman" w:eastAsiaTheme="minorEastAsia" w:hAnsi="Times New Roman" w:cs="Times New Roman"/>
          <w:bCs/>
          <w:sz w:val="24"/>
          <w:szCs w:val="24"/>
        </w:rPr>
        <w:t xml:space="preserve"> (and by extension, convective O</w:t>
      </w:r>
      <w:r w:rsidR="001E52D4" w:rsidRPr="00165ED2">
        <w:rPr>
          <w:rFonts w:ascii="Times New Roman" w:eastAsiaTheme="minorEastAsia" w:hAnsi="Times New Roman" w:cs="Times New Roman"/>
          <w:bCs/>
          <w:sz w:val="24"/>
          <w:szCs w:val="24"/>
          <w:vertAlign w:val="subscript"/>
        </w:rPr>
        <w:t>2</w:t>
      </w:r>
      <w:r w:rsidR="001E52D4" w:rsidRPr="00165ED2">
        <w:rPr>
          <w:rFonts w:ascii="Times New Roman" w:eastAsiaTheme="minorEastAsia" w:hAnsi="Times New Roman" w:cs="Times New Roman"/>
          <w:bCs/>
          <w:sz w:val="24"/>
          <w:szCs w:val="24"/>
        </w:rPr>
        <w:t xml:space="preserve"> delivery) reduce CP.</w:t>
      </w:r>
      <w:r w:rsidR="001B434A" w:rsidRPr="00165ED2">
        <w:rPr>
          <w:rFonts w:ascii="Times New Roman" w:eastAsiaTheme="minorEastAsia" w:hAnsi="Times New Roman" w:cs="Times New Roman"/>
          <w:bCs/>
          <w:sz w:val="24"/>
          <w:szCs w:val="24"/>
        </w:rPr>
        <w:t xml:space="preserve"> </w:t>
      </w:r>
    </w:p>
    <w:p w14:paraId="4235DDD7" w14:textId="40A26A73" w:rsidR="00905415" w:rsidRPr="00165ED2" w:rsidRDefault="001E52D4" w:rsidP="00952A30">
      <w:pPr>
        <w:spacing w:line="480" w:lineRule="auto"/>
        <w:ind w:firstLine="720"/>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The consistency of the effects of hyperoxia on CP are similar to those of hypoxia.</w:t>
      </w:r>
      <w:r w:rsidR="000D0C83" w:rsidRPr="00165ED2">
        <w:rPr>
          <w:rFonts w:ascii="Times New Roman" w:eastAsiaTheme="minorEastAsia" w:hAnsi="Times New Roman" w:cs="Times New Roman"/>
          <w:bCs/>
          <w:sz w:val="24"/>
          <w:szCs w:val="24"/>
        </w:rPr>
        <w:t xml:space="preserve"> This was first de</w:t>
      </w:r>
      <w:r w:rsidR="003F3944" w:rsidRPr="00165ED2">
        <w:rPr>
          <w:rFonts w:ascii="Times New Roman" w:eastAsiaTheme="minorEastAsia" w:hAnsi="Times New Roman" w:cs="Times New Roman"/>
          <w:bCs/>
          <w:sz w:val="24"/>
          <w:szCs w:val="24"/>
        </w:rPr>
        <w:t xml:space="preserve">monstrated by </w:t>
      </w:r>
      <w:proofErr w:type="spellStart"/>
      <w:r w:rsidR="003F3944" w:rsidRPr="00165ED2">
        <w:rPr>
          <w:rFonts w:ascii="Times New Roman" w:eastAsiaTheme="minorEastAsia" w:hAnsi="Times New Roman" w:cs="Times New Roman"/>
          <w:bCs/>
          <w:sz w:val="24"/>
          <w:szCs w:val="24"/>
        </w:rPr>
        <w:t>Vanhatalo</w:t>
      </w:r>
      <w:proofErr w:type="spellEnd"/>
      <w:r w:rsidR="003F3944" w:rsidRPr="00165ED2">
        <w:rPr>
          <w:rFonts w:ascii="Times New Roman" w:eastAsiaTheme="minorEastAsia" w:hAnsi="Times New Roman" w:cs="Times New Roman"/>
          <w:bCs/>
          <w:sz w:val="24"/>
          <w:szCs w:val="24"/>
        </w:rPr>
        <w:t xml:space="preserve"> et al. </w:t>
      </w:r>
      <w:r w:rsidR="003F3944"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{"citationID":"MVPHuSWS","properties":{"formattedCitation":"[37]","plainCitation":"[37]","noteIndex":0},"citationItems":[{"id":177,"uris":["http://zotero.org/users/5056530/items/JM6EASHA"],"itemData":{"id":177,"type":"article-journal","abstract":"Severe-intensity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M."}],"issued":{"date-parts":[["2010",4]]}}}],"schema":"https://github.com/citation-style-language/schema/raw/master/csl-citation.json"} </w:instrText>
      </w:r>
      <w:r w:rsidR="003F3944"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[37]</w:t>
      </w:r>
      <w:r w:rsidR="003F3944" w:rsidRPr="00165ED2">
        <w:rPr>
          <w:rFonts w:ascii="Times New Roman" w:eastAsiaTheme="minorEastAsia" w:hAnsi="Times New Roman" w:cs="Times New Roman"/>
          <w:bCs/>
          <w:sz w:val="24"/>
          <w:szCs w:val="24"/>
        </w:rPr>
        <w:fldChar w:fldCharType="end"/>
      </w:r>
      <w:r w:rsidR="000D0C83" w:rsidRPr="00165ED2">
        <w:rPr>
          <w:rFonts w:ascii="Times New Roman" w:eastAsiaTheme="minorEastAsia" w:hAnsi="Times New Roman" w:cs="Times New Roman"/>
          <w:bCs/>
          <w:sz w:val="24"/>
          <w:szCs w:val="24"/>
        </w:rPr>
        <w:t>, who assessed the impact of an FiO</w:t>
      </w:r>
      <w:r w:rsidR="000D0C83" w:rsidRPr="00165ED2">
        <w:rPr>
          <w:rFonts w:ascii="Times New Roman" w:eastAsiaTheme="minorEastAsia" w:hAnsi="Times New Roman" w:cs="Times New Roman"/>
          <w:bCs/>
          <w:sz w:val="24"/>
          <w:szCs w:val="24"/>
          <w:vertAlign w:val="subscript"/>
        </w:rPr>
        <w:t>2</w:t>
      </w:r>
      <w:r w:rsidR="000D0C83" w:rsidRPr="00165ED2">
        <w:rPr>
          <w:rFonts w:ascii="Times New Roman" w:eastAsiaTheme="minorEastAsia" w:hAnsi="Times New Roman" w:cs="Times New Roman"/>
          <w:bCs/>
          <w:sz w:val="24"/>
          <w:szCs w:val="24"/>
        </w:rPr>
        <w:t xml:space="preserve"> of 0.7 on CP</w:t>
      </w:r>
      <w:r w:rsidR="00C33BAB" w:rsidRPr="00165ED2">
        <w:rPr>
          <w:rFonts w:ascii="Times New Roman" w:eastAsiaTheme="minorEastAsia" w:hAnsi="Times New Roman" w:cs="Times New Roman"/>
          <w:bCs/>
          <w:sz w:val="24"/>
          <w:szCs w:val="24"/>
        </w:rPr>
        <w:t xml:space="preserve"> </w:t>
      </w:r>
      <w:r w:rsidR="00122794" w:rsidRPr="00165ED2">
        <w:rPr>
          <w:rFonts w:ascii="Times New Roman" w:eastAsiaTheme="minorEastAsia" w:hAnsi="Times New Roman" w:cs="Times New Roman"/>
          <w:bCs/>
          <w:sz w:val="24"/>
          <w:szCs w:val="24"/>
        </w:rPr>
        <w:t>u</w:t>
      </w:r>
      <w:r w:rsidR="000D0C83" w:rsidRPr="00165ED2">
        <w:rPr>
          <w:rFonts w:ascii="Times New Roman" w:eastAsiaTheme="minorEastAsia" w:hAnsi="Times New Roman" w:cs="Times New Roman"/>
          <w:bCs/>
          <w:sz w:val="24"/>
          <w:szCs w:val="24"/>
        </w:rPr>
        <w:t>tilizing a single leg knee-extension exercise model</w:t>
      </w:r>
      <w:r w:rsidR="00122794" w:rsidRPr="00165ED2">
        <w:rPr>
          <w:rFonts w:ascii="Times New Roman" w:eastAsiaTheme="minorEastAsia" w:hAnsi="Times New Roman" w:cs="Times New Roman"/>
          <w:bCs/>
          <w:sz w:val="24"/>
          <w:szCs w:val="24"/>
        </w:rPr>
        <w:t>.</w:t>
      </w:r>
      <w:r w:rsidR="00C33BAB" w:rsidRPr="00165ED2">
        <w:rPr>
          <w:rFonts w:ascii="Times New Roman" w:eastAsiaTheme="minorEastAsia" w:hAnsi="Times New Roman" w:cs="Times New Roman"/>
          <w:bCs/>
          <w:sz w:val="24"/>
          <w:szCs w:val="24"/>
        </w:rPr>
        <w:t xml:space="preserve"> T</w:t>
      </w:r>
      <w:r w:rsidR="000D0C83" w:rsidRPr="00165ED2">
        <w:rPr>
          <w:rFonts w:ascii="Times New Roman" w:eastAsiaTheme="minorEastAsia" w:hAnsi="Times New Roman" w:cs="Times New Roman"/>
          <w:bCs/>
          <w:sz w:val="24"/>
          <w:szCs w:val="24"/>
        </w:rPr>
        <w:t xml:space="preserve">hese authors showed that </w:t>
      </w:r>
      <w:r w:rsidR="00122794" w:rsidRPr="00165ED2">
        <w:rPr>
          <w:rFonts w:ascii="Times New Roman" w:eastAsiaTheme="minorEastAsia" w:hAnsi="Times New Roman" w:cs="Times New Roman"/>
          <w:bCs/>
          <w:sz w:val="24"/>
          <w:szCs w:val="24"/>
        </w:rPr>
        <w:t xml:space="preserve">CP was increased in hyperoxia compared to </w:t>
      </w:r>
      <w:proofErr w:type="spellStart"/>
      <w:r w:rsidR="00122794" w:rsidRPr="00165ED2">
        <w:rPr>
          <w:rFonts w:ascii="Times New Roman" w:eastAsiaTheme="minorEastAsia" w:hAnsi="Times New Roman" w:cs="Times New Roman"/>
          <w:bCs/>
          <w:sz w:val="24"/>
          <w:szCs w:val="24"/>
        </w:rPr>
        <w:t>normoxia</w:t>
      </w:r>
      <w:proofErr w:type="spellEnd"/>
      <w:r w:rsidR="00122794" w:rsidRPr="00165ED2">
        <w:rPr>
          <w:rFonts w:ascii="Times New Roman" w:eastAsiaTheme="minorEastAsia" w:hAnsi="Times New Roman" w:cs="Times New Roman"/>
          <w:bCs/>
          <w:sz w:val="24"/>
          <w:szCs w:val="24"/>
        </w:rPr>
        <w:t xml:space="preserve">, with a concomitant increase in </w:t>
      </w:r>
      <w:r w:rsidR="000D0C83" w:rsidRPr="00165ED2">
        <w:rPr>
          <w:rFonts w:ascii="Times New Roman" w:eastAsiaTheme="minorEastAsia" w:hAnsi="Times New Roman" w:cs="Times New Roman"/>
          <w:bCs/>
          <w:sz w:val="24"/>
          <w:szCs w:val="24"/>
        </w:rPr>
        <w:t xml:space="preserve">muscle </w:t>
      </w:r>
      <w:r w:rsidR="000D0C83" w:rsidRPr="00165ED2">
        <w:rPr>
          <w:rFonts w:ascii="Times New Roman" w:eastAsiaTheme="minorEastAsia" w:hAnsi="Times New Roman" w:cs="Times New Roman"/>
          <w:bCs/>
          <w:sz w:val="24"/>
          <w:szCs w:val="24"/>
        </w:rPr>
        <w:lastRenderedPageBreak/>
        <w:t>oxygenation (as determined via near-infrared spectroscopy, NIRS)</w:t>
      </w:r>
      <w:r w:rsidR="000B0DC7" w:rsidRPr="00165ED2">
        <w:rPr>
          <w:rFonts w:ascii="Times New Roman" w:eastAsiaTheme="minorEastAsia" w:hAnsi="Times New Roman" w:cs="Times New Roman"/>
          <w:bCs/>
          <w:sz w:val="24"/>
          <w:szCs w:val="24"/>
        </w:rPr>
        <w:t xml:space="preserve">. The increase in CP </w:t>
      </w:r>
      <w:r w:rsidR="000D0C83" w:rsidRPr="00165ED2">
        <w:rPr>
          <w:rFonts w:ascii="Times New Roman" w:eastAsiaTheme="minorEastAsia" w:hAnsi="Times New Roman" w:cs="Times New Roman"/>
          <w:bCs/>
          <w:sz w:val="24"/>
          <w:szCs w:val="24"/>
        </w:rPr>
        <w:t xml:space="preserve">was </w:t>
      </w:r>
      <w:r w:rsidR="000B0DC7" w:rsidRPr="00165ED2">
        <w:rPr>
          <w:rFonts w:ascii="Times New Roman" w:eastAsiaTheme="minorEastAsia" w:hAnsi="Times New Roman" w:cs="Times New Roman"/>
          <w:bCs/>
          <w:sz w:val="24"/>
          <w:szCs w:val="24"/>
        </w:rPr>
        <w:t xml:space="preserve">accompanied by a slower rate of </w:t>
      </w:r>
      <w:r w:rsidR="00070BBF" w:rsidRPr="00165ED2">
        <w:rPr>
          <w:rFonts w:ascii="Times New Roman" w:eastAsiaTheme="minorEastAsia" w:hAnsi="Times New Roman" w:cs="Times New Roman"/>
          <w:bCs/>
          <w:sz w:val="24"/>
          <w:szCs w:val="24"/>
        </w:rPr>
        <w:t>change</w:t>
      </w:r>
      <w:r w:rsidR="000B0DC7" w:rsidRPr="00165ED2">
        <w:rPr>
          <w:rFonts w:ascii="Times New Roman" w:eastAsiaTheme="minorEastAsia" w:hAnsi="Times New Roman" w:cs="Times New Roman"/>
          <w:bCs/>
          <w:sz w:val="24"/>
          <w:szCs w:val="24"/>
        </w:rPr>
        <w:t xml:space="preserve"> in</w:t>
      </w:r>
      <w:r w:rsidR="000D0C83" w:rsidRPr="00165ED2">
        <w:rPr>
          <w:rFonts w:ascii="Times New Roman" w:eastAsiaTheme="minorEastAsia" w:hAnsi="Times New Roman" w:cs="Times New Roman"/>
          <w:bCs/>
          <w:sz w:val="24"/>
          <w:szCs w:val="24"/>
        </w:rPr>
        <w:t xml:space="preserve"> muscle  [</w:t>
      </w:r>
      <w:proofErr w:type="spellStart"/>
      <w:r w:rsidR="000D0C83" w:rsidRPr="00165ED2">
        <w:rPr>
          <w:rFonts w:ascii="Times New Roman" w:eastAsiaTheme="minorEastAsia" w:hAnsi="Times New Roman" w:cs="Times New Roman"/>
          <w:bCs/>
          <w:sz w:val="24"/>
          <w:szCs w:val="24"/>
        </w:rPr>
        <w:t>PCr</w:t>
      </w:r>
      <w:proofErr w:type="spellEnd"/>
      <w:r w:rsidR="000D0C83" w:rsidRPr="00165ED2">
        <w:rPr>
          <w:rFonts w:ascii="Times New Roman" w:eastAsiaTheme="minorEastAsia" w:hAnsi="Times New Roman" w:cs="Times New Roman"/>
          <w:bCs/>
          <w:sz w:val="24"/>
          <w:szCs w:val="24"/>
        </w:rPr>
        <w:t xml:space="preserve">], [ADP], [Pi], </w:t>
      </w:r>
      <w:r w:rsidR="00CD4112" w:rsidRPr="00165ED2">
        <w:rPr>
          <w:rFonts w:ascii="Times New Roman" w:eastAsiaTheme="minorEastAsia" w:hAnsi="Times New Roman" w:cs="Times New Roman"/>
          <w:bCs/>
          <w:sz w:val="24"/>
          <w:szCs w:val="24"/>
        </w:rPr>
        <w:t xml:space="preserve">and </w:t>
      </w:r>
      <w:proofErr w:type="spellStart"/>
      <w:r w:rsidR="000D0C83" w:rsidRPr="00165ED2">
        <w:rPr>
          <w:rFonts w:ascii="Times New Roman" w:eastAsiaTheme="minorEastAsia" w:hAnsi="Times New Roman" w:cs="Times New Roman"/>
          <w:bCs/>
          <w:sz w:val="24"/>
          <w:szCs w:val="24"/>
        </w:rPr>
        <w:t>p</w:t>
      </w:r>
      <w:r w:rsidR="00EC33B5" w:rsidRPr="00165ED2">
        <w:rPr>
          <w:rFonts w:ascii="Times New Roman" w:eastAsiaTheme="minorEastAsia" w:hAnsi="Times New Roman" w:cs="Times New Roman"/>
          <w:bCs/>
          <w:sz w:val="24"/>
          <w:szCs w:val="24"/>
        </w:rPr>
        <w:t>H</w:t>
      </w:r>
      <w:r w:rsidR="000B0DC7" w:rsidRPr="00165ED2">
        <w:rPr>
          <w:rFonts w:ascii="Times New Roman" w:eastAsiaTheme="minorEastAsia" w:hAnsi="Times New Roman" w:cs="Times New Roman"/>
          <w:bCs/>
          <w:sz w:val="24"/>
          <w:szCs w:val="24"/>
        </w:rPr>
        <w:t>.</w:t>
      </w:r>
      <w:proofErr w:type="spellEnd"/>
      <w:r w:rsidR="00EC33B5" w:rsidRPr="00165ED2">
        <w:rPr>
          <w:rFonts w:ascii="Times New Roman" w:eastAsiaTheme="minorEastAsia" w:hAnsi="Times New Roman" w:cs="Times New Roman"/>
          <w:bCs/>
          <w:sz w:val="24"/>
          <w:szCs w:val="24"/>
        </w:rPr>
        <w:t xml:space="preserve"> </w:t>
      </w:r>
      <w:r w:rsidR="00DF7B16" w:rsidRPr="00165ED2">
        <w:rPr>
          <w:rFonts w:ascii="Times New Roman" w:eastAsiaTheme="minorEastAsia" w:hAnsi="Times New Roman" w:cs="Times New Roman"/>
          <w:bCs/>
          <w:sz w:val="24"/>
          <w:szCs w:val="24"/>
        </w:rPr>
        <w:t>Subsequently, these findings for small muscle mass exercise were confirmed for large muscle mass exercise by Goulding et al.</w:t>
      </w:r>
      <w:r w:rsidR="00EC33B5" w:rsidRPr="00165ED2">
        <w:rPr>
          <w:rFonts w:ascii="Times New Roman" w:eastAsiaTheme="minorEastAsia" w:hAnsi="Times New Roman" w:cs="Times New Roman"/>
          <w:bCs/>
          <w:sz w:val="24"/>
          <w:szCs w:val="24"/>
        </w:rPr>
        <w:t xml:space="preserve"> </w:t>
      </w:r>
      <w:r w:rsidR="00EC33B5"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{"citationID":"iLMXt4aV","properties":{"formattedCitation":"[64,65]","plainCitation":"[64,65]","noteIndex":0},"citationItems":[{"id":1082,"uris":["http://zotero.org/users/5056530/items/CRA7TTMN"],"itemData":{"id":1082,"type":"article-journal","abstract":"NEW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EC33B5"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[64,65]</w:t>
      </w:r>
      <w:r w:rsidR="00EC33B5" w:rsidRPr="00165ED2">
        <w:rPr>
          <w:rFonts w:ascii="Times New Roman" w:eastAsiaTheme="minorEastAsia" w:hAnsi="Times New Roman" w:cs="Times New Roman"/>
          <w:bCs/>
          <w:sz w:val="24"/>
          <w:szCs w:val="24"/>
        </w:rPr>
        <w:fldChar w:fldCharType="end"/>
      </w:r>
      <w:r w:rsidR="00DF7B16" w:rsidRPr="00165ED2">
        <w:rPr>
          <w:rFonts w:ascii="Times New Roman" w:eastAsiaTheme="minorEastAsia" w:hAnsi="Times New Roman" w:cs="Times New Roman"/>
          <w:bCs/>
          <w:sz w:val="24"/>
          <w:szCs w:val="24"/>
        </w:rPr>
        <w:t xml:space="preserve">. Specifically, a </w:t>
      </w:r>
      <w:proofErr w:type="spellStart"/>
      <w:r w:rsidR="00DF7B16" w:rsidRPr="00165ED2">
        <w:rPr>
          <w:rFonts w:ascii="Times New Roman" w:eastAsiaTheme="minorEastAsia" w:hAnsi="Times New Roman" w:cs="Times New Roman"/>
          <w:bCs/>
          <w:sz w:val="24"/>
          <w:szCs w:val="24"/>
        </w:rPr>
        <w:t>hyperoxic</w:t>
      </w:r>
      <w:proofErr w:type="spellEnd"/>
      <w:r w:rsidR="00DF7B16" w:rsidRPr="00165ED2">
        <w:rPr>
          <w:rFonts w:ascii="Times New Roman" w:eastAsiaTheme="minorEastAsia" w:hAnsi="Times New Roman" w:cs="Times New Roman"/>
          <w:bCs/>
          <w:sz w:val="24"/>
          <w:szCs w:val="24"/>
        </w:rPr>
        <w:t xml:space="preserve"> inspirate (FiO</w:t>
      </w:r>
      <w:r w:rsidR="00DF7B16" w:rsidRPr="00165ED2">
        <w:rPr>
          <w:rFonts w:ascii="Times New Roman" w:eastAsiaTheme="minorEastAsia" w:hAnsi="Times New Roman" w:cs="Times New Roman"/>
          <w:bCs/>
          <w:sz w:val="24"/>
          <w:szCs w:val="24"/>
          <w:vertAlign w:val="subscript"/>
        </w:rPr>
        <w:t>2</w:t>
      </w:r>
      <w:r w:rsidR="00DF7B16" w:rsidRPr="00165ED2">
        <w:rPr>
          <w:rFonts w:ascii="Times New Roman" w:eastAsiaTheme="minorEastAsia" w:hAnsi="Times New Roman" w:cs="Times New Roman"/>
          <w:bCs/>
          <w:sz w:val="24"/>
          <w:szCs w:val="24"/>
        </w:rPr>
        <w:t xml:space="preserve"> of 0.5) resulted in increases in end-tidal </w:t>
      </w:r>
      <w:r w:rsidR="00DF7B16" w:rsidRPr="00165ED2">
        <w:rPr>
          <w:rFonts w:ascii="Times New Roman" w:eastAsiaTheme="minorEastAsia" w:hAnsi="Times New Roman" w:cs="Times New Roman"/>
          <w:bCs/>
          <w:i/>
          <w:iCs/>
          <w:sz w:val="24"/>
          <w:szCs w:val="24"/>
        </w:rPr>
        <w:t>P</w:t>
      </w:r>
      <w:r w:rsidR="00DF7B16" w:rsidRPr="00165ED2">
        <w:rPr>
          <w:rFonts w:ascii="Times New Roman" w:eastAsiaTheme="minorEastAsia" w:hAnsi="Times New Roman" w:cs="Times New Roman"/>
          <w:bCs/>
          <w:sz w:val="24"/>
          <w:szCs w:val="24"/>
        </w:rPr>
        <w:t>O</w:t>
      </w:r>
      <w:r w:rsidR="00DF7B16" w:rsidRPr="00165ED2">
        <w:rPr>
          <w:rFonts w:ascii="Times New Roman" w:eastAsiaTheme="minorEastAsia" w:hAnsi="Times New Roman" w:cs="Times New Roman"/>
          <w:bCs/>
          <w:sz w:val="24"/>
          <w:szCs w:val="24"/>
          <w:vertAlign w:val="subscript"/>
        </w:rPr>
        <w:t>2</w:t>
      </w:r>
      <w:r w:rsidR="00DF7B16" w:rsidRPr="00165ED2">
        <w:rPr>
          <w:rFonts w:ascii="Times New Roman" w:eastAsiaTheme="minorEastAsia" w:hAnsi="Times New Roman" w:cs="Times New Roman"/>
          <w:bCs/>
          <w:sz w:val="24"/>
          <w:szCs w:val="24"/>
        </w:rPr>
        <w:t xml:space="preserve"> (and, therefore, alveolar </w:t>
      </w:r>
      <w:r w:rsidR="00DF7B16" w:rsidRPr="00165ED2">
        <w:rPr>
          <w:rFonts w:ascii="Times New Roman" w:eastAsiaTheme="minorEastAsia" w:hAnsi="Times New Roman" w:cs="Times New Roman"/>
          <w:bCs/>
          <w:i/>
          <w:iCs/>
          <w:sz w:val="24"/>
          <w:szCs w:val="24"/>
        </w:rPr>
        <w:t>P</w:t>
      </w:r>
      <w:r w:rsidR="00DF7B16" w:rsidRPr="00165ED2">
        <w:rPr>
          <w:rFonts w:ascii="Times New Roman" w:eastAsiaTheme="minorEastAsia" w:hAnsi="Times New Roman" w:cs="Times New Roman"/>
          <w:bCs/>
          <w:sz w:val="24"/>
          <w:szCs w:val="24"/>
        </w:rPr>
        <w:t>O</w:t>
      </w:r>
      <w:r w:rsidR="00DF7B16" w:rsidRPr="00165ED2">
        <w:rPr>
          <w:rFonts w:ascii="Times New Roman" w:eastAsiaTheme="minorEastAsia" w:hAnsi="Times New Roman" w:cs="Times New Roman"/>
          <w:bCs/>
          <w:sz w:val="24"/>
          <w:szCs w:val="24"/>
          <w:vertAlign w:val="subscript"/>
        </w:rPr>
        <w:t>2</w:t>
      </w:r>
      <w:r w:rsidR="00DF7B16" w:rsidRPr="00165ED2">
        <w:rPr>
          <w:rFonts w:ascii="Times New Roman" w:eastAsiaTheme="minorEastAsia" w:hAnsi="Times New Roman" w:cs="Times New Roman"/>
          <w:bCs/>
          <w:sz w:val="24"/>
          <w:szCs w:val="24"/>
        </w:rPr>
        <w:t xml:space="preserve">) </w:t>
      </w:r>
      <w:r w:rsidR="00905415" w:rsidRPr="00165ED2">
        <w:rPr>
          <w:rFonts w:ascii="Times New Roman" w:eastAsiaTheme="minorEastAsia" w:hAnsi="Times New Roman" w:cs="Times New Roman"/>
          <w:bCs/>
          <w:sz w:val="24"/>
          <w:szCs w:val="24"/>
        </w:rPr>
        <w:t xml:space="preserve">and muscle oxygenation determined via NIRS both at rest and during exercise </w:t>
      </w:r>
      <w:r w:rsidR="00EC33B5"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{"citationID":"bogvVIvk","properties":{"formattedCitation":"[64,65]","plainCitation":"[64,65]","noteIndex":0},"citationItems":[{"id":1082,"uris":["http://zotero.org/users/5056530/items/CRA7TTMN"],"itemData":{"id":1082,"type":"article-journal","abstract":"NEW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EC33B5"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[64,65]</w:t>
      </w:r>
      <w:r w:rsidR="00EC33B5" w:rsidRPr="00165ED2">
        <w:rPr>
          <w:rFonts w:ascii="Times New Roman" w:eastAsiaTheme="minorEastAsia" w:hAnsi="Times New Roman" w:cs="Times New Roman"/>
          <w:bCs/>
          <w:sz w:val="24"/>
          <w:szCs w:val="24"/>
        </w:rPr>
        <w:fldChar w:fldCharType="end"/>
      </w:r>
      <w:r w:rsidR="00EC33B5" w:rsidRPr="00165ED2">
        <w:rPr>
          <w:rFonts w:ascii="Times New Roman" w:eastAsiaTheme="minorEastAsia" w:hAnsi="Times New Roman" w:cs="Times New Roman"/>
          <w:bCs/>
          <w:sz w:val="24"/>
          <w:szCs w:val="24"/>
        </w:rPr>
        <w:t xml:space="preserve">. </w:t>
      </w:r>
      <w:r w:rsidR="00905415" w:rsidRPr="00165ED2">
        <w:rPr>
          <w:rFonts w:ascii="Times New Roman" w:eastAsiaTheme="minorEastAsia" w:hAnsi="Times New Roman" w:cs="Times New Roman"/>
          <w:bCs/>
          <w:sz w:val="24"/>
          <w:szCs w:val="24"/>
        </w:rPr>
        <w:t xml:space="preserve">As a result, CP was enhanced during cycle exercise in hyperoxia versus </w:t>
      </w:r>
      <w:proofErr w:type="spellStart"/>
      <w:r w:rsidR="00905415" w:rsidRPr="00165ED2">
        <w:rPr>
          <w:rFonts w:ascii="Times New Roman" w:eastAsiaTheme="minorEastAsia" w:hAnsi="Times New Roman" w:cs="Times New Roman"/>
          <w:bCs/>
          <w:sz w:val="24"/>
          <w:szCs w:val="24"/>
        </w:rPr>
        <w:t>normoxia</w:t>
      </w:r>
      <w:proofErr w:type="spellEnd"/>
      <w:r w:rsidR="00905415" w:rsidRPr="00165ED2">
        <w:rPr>
          <w:rFonts w:ascii="Times New Roman" w:eastAsiaTheme="minorEastAsia" w:hAnsi="Times New Roman" w:cs="Times New Roman"/>
          <w:bCs/>
          <w:sz w:val="24"/>
          <w:szCs w:val="24"/>
        </w:rPr>
        <w:t xml:space="preserve"> in both the supine</w:t>
      </w:r>
      <w:r w:rsidR="00EC33B5" w:rsidRPr="00165ED2">
        <w:rPr>
          <w:rFonts w:ascii="Times New Roman" w:eastAsiaTheme="minorEastAsia" w:hAnsi="Times New Roman" w:cs="Times New Roman"/>
          <w:bCs/>
          <w:sz w:val="24"/>
          <w:szCs w:val="24"/>
        </w:rPr>
        <w:t xml:space="preserve"> </w:t>
      </w:r>
      <w:r w:rsidR="00EC33B5"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{"citationID":"zsCuT8Sg","properties":{"formattedCitation":"[64]","plainCitation":"[64]","noteIndex":0},"citationItems":[{"id":1082,"uris":["http://zotero.org/users/5056530/items/CRA7TTMN"],"itemData":{"id":1082,"type":"article-journal","abstract":"NEW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M."},{"family":"Marwood","given":"Simon"}],"issued":{"date-parts":[["2019",5,4]]}}}],"schema":"https://github.com/citation-style-language/schema/raw/master/csl-citation.json"} </w:instrText>
      </w:r>
      <w:r w:rsidR="00EC33B5"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[64]</w:t>
      </w:r>
      <w:r w:rsidR="00EC33B5" w:rsidRPr="00165ED2">
        <w:rPr>
          <w:rFonts w:ascii="Times New Roman" w:eastAsiaTheme="minorEastAsia" w:hAnsi="Times New Roman" w:cs="Times New Roman"/>
          <w:bCs/>
          <w:sz w:val="24"/>
          <w:szCs w:val="24"/>
        </w:rPr>
        <w:fldChar w:fldCharType="end"/>
      </w:r>
      <w:r w:rsidR="00905415" w:rsidRPr="00165ED2">
        <w:rPr>
          <w:rFonts w:ascii="Times New Roman" w:eastAsiaTheme="minorEastAsia" w:hAnsi="Times New Roman" w:cs="Times New Roman"/>
          <w:bCs/>
          <w:sz w:val="24"/>
          <w:szCs w:val="24"/>
        </w:rPr>
        <w:t xml:space="preserve"> and upright</w:t>
      </w:r>
      <w:r w:rsidR="00EC33B5" w:rsidRPr="00165ED2">
        <w:rPr>
          <w:rFonts w:ascii="Times New Roman" w:eastAsiaTheme="minorEastAsia" w:hAnsi="Times New Roman" w:cs="Times New Roman"/>
          <w:bCs/>
          <w:sz w:val="24"/>
          <w:szCs w:val="24"/>
        </w:rPr>
        <w:t xml:space="preserve"> </w:t>
      </w:r>
      <w:r w:rsidR="00EC33B5"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{"citationID":"AJIXbdeM","properties":{"formattedCitation":"[65]","plainCitation":"[65]","noteIndex":0},"citationItems":[{"id":1054,"uris":["http://zotero.org/users/5056530/items/AWRUGRC8"],"itemData":{"id":1054,"type":"article-journal","abstract":"Critical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EC33B5"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[65]</w:t>
      </w:r>
      <w:r w:rsidR="00EC33B5" w:rsidRPr="00165ED2">
        <w:rPr>
          <w:rFonts w:ascii="Times New Roman" w:eastAsiaTheme="minorEastAsia" w:hAnsi="Times New Roman" w:cs="Times New Roman"/>
          <w:bCs/>
          <w:sz w:val="24"/>
          <w:szCs w:val="24"/>
        </w:rPr>
        <w:fldChar w:fldCharType="end"/>
      </w:r>
      <w:r w:rsidR="00905415" w:rsidRPr="00165ED2">
        <w:rPr>
          <w:rFonts w:ascii="Times New Roman" w:eastAsiaTheme="minorEastAsia" w:hAnsi="Times New Roman" w:cs="Times New Roman"/>
          <w:bCs/>
          <w:sz w:val="24"/>
          <w:szCs w:val="24"/>
        </w:rPr>
        <w:t xml:space="preserve"> body positions, </w:t>
      </w:r>
      <w:r w:rsidR="00B93B97" w:rsidRPr="00165ED2">
        <w:rPr>
          <w:rFonts w:ascii="Times New Roman" w:eastAsiaTheme="minorEastAsia" w:hAnsi="Times New Roman" w:cs="Times New Roman"/>
          <w:bCs/>
          <w:sz w:val="24"/>
          <w:szCs w:val="24"/>
        </w:rPr>
        <w:t xml:space="preserve">with </w:t>
      </w:r>
      <w:r w:rsidR="00905415" w:rsidRPr="00165ED2">
        <w:rPr>
          <w:rFonts w:ascii="Times New Roman" w:eastAsiaTheme="minorEastAsia" w:hAnsi="Times New Roman" w:cs="Times New Roman"/>
          <w:bCs/>
          <w:sz w:val="24"/>
          <w:szCs w:val="24"/>
        </w:rPr>
        <w:t xml:space="preserve">the magnitude of improvement </w:t>
      </w:r>
      <w:r w:rsidR="00B93B97" w:rsidRPr="00165ED2">
        <w:rPr>
          <w:rFonts w:ascii="Times New Roman" w:eastAsiaTheme="minorEastAsia" w:hAnsi="Times New Roman" w:cs="Times New Roman"/>
          <w:bCs/>
          <w:sz w:val="24"/>
          <w:szCs w:val="24"/>
        </w:rPr>
        <w:t>be</w:t>
      </w:r>
      <w:r w:rsidR="00BD5C49" w:rsidRPr="00165ED2">
        <w:rPr>
          <w:rFonts w:ascii="Times New Roman" w:eastAsiaTheme="minorEastAsia" w:hAnsi="Times New Roman" w:cs="Times New Roman"/>
          <w:bCs/>
          <w:sz w:val="24"/>
          <w:szCs w:val="24"/>
        </w:rPr>
        <w:t>i</w:t>
      </w:r>
      <w:r w:rsidR="00B93B97" w:rsidRPr="00165ED2">
        <w:rPr>
          <w:rFonts w:ascii="Times New Roman" w:eastAsiaTheme="minorEastAsia" w:hAnsi="Times New Roman" w:cs="Times New Roman"/>
          <w:bCs/>
          <w:sz w:val="24"/>
          <w:szCs w:val="24"/>
        </w:rPr>
        <w:t>ng</w:t>
      </w:r>
      <w:r w:rsidR="00905415" w:rsidRPr="00165ED2">
        <w:rPr>
          <w:rFonts w:ascii="Times New Roman" w:eastAsiaTheme="minorEastAsia" w:hAnsi="Times New Roman" w:cs="Times New Roman"/>
          <w:bCs/>
          <w:sz w:val="24"/>
          <w:szCs w:val="24"/>
        </w:rPr>
        <w:t xml:space="preserve"> ~10% in both studies. Hence, studies have consistently shown that CP is sensitive to both increased</w:t>
      </w:r>
      <w:r w:rsidR="00EC33B5" w:rsidRPr="00165ED2">
        <w:rPr>
          <w:rFonts w:ascii="Times New Roman" w:eastAsiaTheme="minorEastAsia" w:hAnsi="Times New Roman" w:cs="Times New Roman"/>
          <w:bCs/>
          <w:sz w:val="24"/>
          <w:szCs w:val="24"/>
        </w:rPr>
        <w:t xml:space="preserve"> </w:t>
      </w:r>
      <w:r w:rsidR="00EC33B5"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{"citationID":"22cHsWlY","properties":{"formattedCitation":"[37,64,65]","plainCitation":"[37,64,65]","noteIndex":0},"citationItems":[{"id":177,"uris":["http://zotero.org/users/5056530/items/JM6EASHA"],"itemData":{"id":177,"type":"article-journal","abstract":"Severe-intensity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EC33B5"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[37,64,65]</w:t>
      </w:r>
      <w:r w:rsidR="00EC33B5" w:rsidRPr="00165ED2">
        <w:rPr>
          <w:rFonts w:ascii="Times New Roman" w:eastAsiaTheme="minorEastAsia" w:hAnsi="Times New Roman" w:cs="Times New Roman"/>
          <w:bCs/>
          <w:sz w:val="24"/>
          <w:szCs w:val="24"/>
        </w:rPr>
        <w:fldChar w:fldCharType="end"/>
      </w:r>
      <w:r w:rsidR="00905415" w:rsidRPr="00165ED2">
        <w:rPr>
          <w:rFonts w:ascii="Times New Roman" w:eastAsiaTheme="minorEastAsia" w:hAnsi="Times New Roman" w:cs="Times New Roman"/>
          <w:bCs/>
          <w:sz w:val="24"/>
          <w:szCs w:val="24"/>
        </w:rPr>
        <w:t xml:space="preserve"> and decreased </w:t>
      </w:r>
      <w:r w:rsidR="00EC33B5"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KHu3H9Uw","properties":{"formattedCitation":"[21,56,60\\uc0\\u8211{}62]","plainCitation":"[21,56,60–62]","noteIndex":0},"citationItems":[{"id":278,"uris":["http://zotero.org/users/5056530/items/KBSS4CTK"],"itemData":{"id":278,"type":"article-journal","container-title":"Ergonomics","DOI":"10.1080/00140138108924856","ISSN":"0014-0139","issue":"5","journalAbbreviation":"Ergonomics","language":"eng","note":"PMID: 7262059","page":"339-350","source":"PubMed","title":"Critical power as a measure of physical work capacity and anaerobic threshold","volume":"24","author":[{"family":"Moritani","given":"T."},{"family":"Nagata","given":"A."},{"family":"deVries","given":"H. A."},{"family":"Muro","given":"M."}],"issued":{"date-parts":[["1981",5]]}}},{"id":675,"uris":["http://zotero.org/users/5056530/items/UD27HX7K"],"itemData":{"id":675,"type":"article-journal","abstract":"It remains uncertain as how the reduction in systemic oxygen transport limits high-intensity exercise tolerance. 11 participants (5 males; age 35 ± 10 years; peak [Formula: see text] 3.5 ± 0.4 L min(-1)) performed cycle ergometry to the limit of tolerance: (1) a ramp test to determine ventilatory threshold (VT) and peak [Formula: see text]; (2) three to four constant-load tests in order to model the linear P-t (-1) relationship for estimation of intercept (critical power; CP) and slope (AWC). All tests were performed in a random order under moderate hypoxia (FiO(2) = 0.15) and normoxia. The linearity of the P-t (-1) relationship was retained under hypoxia, with a systematic reduction in CP (220 ± 25 W vs. 190 ± 28 W; P &lt; 0.01) but no significant difference in AWC (11.7 ± 5.5 kJ vs. 12.1 ± 4.4 kJ; P &gt; 0.05). However, large individual variations in the change of the latter were observed (-36 to +66%). A significant relationship was found between the % change in CP (r = 0.80, P &lt; 0.01) and both peak [Formula: see text] (CP: r = -0.65, P &lt; 0.05) and VT values recorded under normoxia (CP: r = -0.65, P &lt; 0.05). The present study demonstrates the aerobic nature of the intercept of the P-t (-1) relationship, i.e. CP. However, the extreme within-individual changes in AWC do not support the original assumption that AWC reflects a finite energy store. Lower hypoxia-induced decrements in CP were observed in aerobically fitter participants. This study also demonstrates the greater ability these participants have to exercise at supra-CP but close to CP workloads under moderate hypoxia.","container-title":"European Journal of Applied Physiology","DOI":"10.1007/s00421-011-1979-z","ISSN":"1439-6327","issue":"1","journalAbbreviation":"Eur. J. Appl. Physiol.","language":"eng","note":"PMID: 21556815","page":"327-335","source":"PubMed","title":"Influence of moderate hypoxia on tolerance to high-intensity exercise","volume":"112","author":[{"family":"Dekerle","given":"J."},{"family":"Mucci","given":"P."},{"family":"Carter","given":"H."}],"issued":{"date-parts":[["2012",1]]}}},{"id":674,"uris":["http://zotero.org/users/5056530/items/B3PJNQI3"],"itemData":{"id":674,"type":"article-journal","abstract":"We investigated the influence of hypoxia on the asymptote (critical power, CP) and the curvature constant (W') of the hyperbolic power-duration relationship, as measured by both conventional and all-out testing procedures. 13 females completed 5 constant-power prediction trials and a 3-min all-out test to estimate CP and W', in both normoxia (N) and moderate hypoxia (H; FiO2=0.13). CP was significantly reduced in hypoxia compared to normoxia when estimated by conventional (H:132±17 vs. N:175±25 W; P&lt;0.001) and all-out methods (H:134±23 vs. N:172±30 W; P&lt;0.01). The W' was not significantly different in hypoxia compared to normoxia when established by conventional (H:12.3±2.7 vs. N:13.2±2.2 kJ) and all-out methods (H:12.0±2.6 vs. N:12.5±1.4 kJ). Estimates of CP and W' obtained with conventional and all-out methods were not significantly different either in normoxia or hypoxia. There was a significant relationship between the % change in CP relative to V̇(O2peak) and the % change in W' in normoxia compared to hypoxia (r=0.83, P&lt;0.001; conventional test). Changes in the W' in hypoxia are related to changes in the CP relative to V̇(O2peak), suggesting that the W' may not be defined simply as an 'anaerobic' energy store.","container-title":"International Journal of Sports Medicine","DOI":"10.1055/s-0034-1389943","ISSN":"1439-3964","issue":"2","journalAbbreviation":"Int J Sports Med","language":"eng","note":"PMID: 25329429","page":"113-119","source":"PubMed","title":"Influence of hypoxia on the power-duration relationship during high-intensity exercise","volume":"36","author":[{"family":"Simpson","given":"L. Parker"},{"family":"Jones","given":"A. M."},{"family":"Skiba","given":"P. F."},{"family":"Vanhatalo","given":"A."},{"family":"Wilkerson","given":"D."}],"issued":{"date-parts":[["2015",2]]}}},{"id":856,"uris":["http://zotero.org/users/5056530/items/8MVUX8K5"],"itemData":{"id":856,"type":"article-journal","abstract":"The relationship between work rate (WR) and its tolerable duration (t(LIM)) has not been investigated at high altitude (HA). At HA (5050 m) and at sea level (SL), six subjects therefore performed symptom-limited cycle-ergometry: an incremental test (IET) and three constant-WR tests (% of IET WR(max), HA and SL respectively: WR(1) 70±8%, 74±7%; WR(2) 86±14%, 88±10%; WR(3) 105±13%, 104±9%). The power asymptote (CP) and curvature constant (W') of the hyperbolic WR-t(LIM) relationship were reduced at HA compared to SL (CP: 81±21 vs. 123±38 W; W': 7.2±2.9 vs. 13.1±4.3 kJ). HA breathing reserve (estimated maximum voluntary ventilation minus end-exercise ventilation) was also compromised (WR(1): 25±25 vs. 50±18 l min(-1); WR(2): 4±23 vs. 38±23 l min(-1); WR(3): -3±18 vs. 32±24 l min(-1)) with near-maximal dyspnea levels (Borg) (WR(1): 7.2±1.2 vs. 4.8±1.3; WR(2): 8.8±0.8 vs. 5.3±1.2; WR(3): 9.3±1.0 vs. 5.3±1.5). The CP reduction is consistent with a reduced O(2) availability; that of W' with reduced muscle-venous O(2) storage, exacerbated by ventilatory limitation and dyspnea.","container-title":"Respiratory Physiology &amp; Neurobiology","DOI":"10.1016/j.resp.2011.05.014","ISSN":"1878-1519","issue":"3","journalAbbreviation":"Respir Physiol Neurobiol","language":"eng","note":"PMID: 21621651","page":"333-341","source":"PubMed","title":"Exercise intolerance at high altitude (5050 m): critical power and W'","title-short":"Exercise intolerance at high altitude (5050 m)","volume":"177","author":[{"family":"Valli","given":"G."},{"family":"Cogo","given":"A."},{"family":"Passino","given":"C."},{"family":"Bonardi","given":"D."},{"family":"Morici","given":"G."},{"family":"Fasano","given":"V."},{"family":"Agnesi","given":"M."},{"family":"Bernardi","given":"L."},{"family":"Ferrazza","given":"A. M."},{"family":"Ward","given":"S. A."},{"family":"Palange","given":"P."}],"issued":{"date-parts":[["2011",8,15]]}}},{"id":676,"uris":["http://zotero.org/users/5056530/items/EIV8KZ4Z"],"itemData":{"id":676,"type":"article-journal","abstract":"PURPOSE: To evaluate the effects of moderate normobaric hypoxia on the parameters of the work-time relationship in the upper body.\nMETHODS: Twenty-one recreationally active men completed a graded exercise test in both normobaric hypoxia (H) and normoxia (N) to exhaustion on an arm ergometer to determine V̇O2peak and peak power output (PPO). Each participant completed four constant work-rate (CWR) arm-cranking tests at 90-120% PPO in both environmental conditions. Linear regression was used to estimate critical power (CP) and anaerobic working capacity (AWC) via work-time relationship during the CWR tests.\nRESULTS: H significantly reduced V̇O2peak (N: 2.34 ± 0.34 L vs. H: 2.27 ± 0.34 L, p = 0.041), PPO (N: 125.29 ± 17.98 W vs. H: 121.11 ± 17.98 W, p = 0.001), and CP (N: 90.22 ± 12.88 W vs. H: 85.26 ± 9.64 W, p = 0.042), but had no effect on AWC (N: 9.16 ± 2.81 kJ vs. H: 8.75 ± 3.23 kJ, p = 0.600).\nDISCUSSION: Moderate normobaric hypoxia appears to reduce CP in the upper body but has a variable effect on AWC.","container-title":"Respiratory Physiology &amp; Neurobiology","DOI":"10.1016/j.resp.2017.12.002","ISSN":"1878-1519","journalAbbreviation":"Respir Physiol Neurobiol","language":"eng","note":"PMID: 29247712","page":"1-6","source":"PubMed","title":"Effects of normobaric hypoxia on upper body critical power and anaerobic working capacity","volume":"249","author":[{"family":"La Monica","given":"Michael B."},{"family":"Fukuda","given":"David H."},{"family":"Starling-Smith","given":"Tristan M."},{"family":"Wang","given":"Ran"},{"family":"Hoffman","given":"Jay R."},{"family":"Stout","given":"Jeffrey R."}],"issued":{"date-parts":[["2017",12,13]]}}}],"schema":"https://github.com/citation-style-language/schema/raw/master/csl-citation.json"} </w:instrText>
      </w:r>
      <w:r w:rsidR="00EC33B5"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szCs w:val="24"/>
        </w:rPr>
        <w:t>[21,56,60–62]</w:t>
      </w:r>
      <w:r w:rsidR="00EC33B5" w:rsidRPr="00165ED2">
        <w:rPr>
          <w:rFonts w:ascii="Times New Roman" w:eastAsiaTheme="minorEastAsia" w:hAnsi="Times New Roman" w:cs="Times New Roman"/>
          <w:bCs/>
          <w:sz w:val="24"/>
          <w:szCs w:val="24"/>
        </w:rPr>
        <w:fldChar w:fldCharType="end"/>
      </w:r>
      <w:r w:rsidR="00EC33B5" w:rsidRPr="00165ED2">
        <w:rPr>
          <w:rFonts w:ascii="Times New Roman" w:eastAsiaTheme="minorEastAsia" w:hAnsi="Times New Roman" w:cs="Times New Roman"/>
          <w:bCs/>
          <w:sz w:val="24"/>
          <w:szCs w:val="24"/>
        </w:rPr>
        <w:t xml:space="preserve"> </w:t>
      </w:r>
      <w:r w:rsidR="00E16E1B" w:rsidRPr="00165ED2">
        <w:rPr>
          <w:rFonts w:ascii="Times New Roman" w:eastAsiaTheme="minorEastAsia" w:hAnsi="Times New Roman" w:cs="Times New Roman"/>
          <w:bCs/>
          <w:sz w:val="24"/>
          <w:szCs w:val="24"/>
        </w:rPr>
        <w:t>FiO</w:t>
      </w:r>
      <w:r w:rsidR="00E16E1B" w:rsidRPr="00165ED2">
        <w:rPr>
          <w:rFonts w:ascii="Times New Roman" w:eastAsiaTheme="minorEastAsia" w:hAnsi="Times New Roman" w:cs="Times New Roman"/>
          <w:bCs/>
          <w:sz w:val="24"/>
          <w:szCs w:val="24"/>
          <w:vertAlign w:val="subscript"/>
        </w:rPr>
        <w:t>2</w:t>
      </w:r>
      <w:r w:rsidR="00905415" w:rsidRPr="00165ED2">
        <w:rPr>
          <w:rFonts w:ascii="Times New Roman" w:eastAsiaTheme="minorEastAsia" w:hAnsi="Times New Roman" w:cs="Times New Roman"/>
          <w:bCs/>
          <w:sz w:val="24"/>
          <w:szCs w:val="24"/>
        </w:rPr>
        <w:t>.</w:t>
      </w:r>
    </w:p>
    <w:p w14:paraId="2429F870" w14:textId="2DD3E8F8" w:rsidR="00905415" w:rsidRPr="00165ED2" w:rsidRDefault="00905415" w:rsidP="00952A30">
      <w:pPr>
        <w:spacing w:line="480" w:lineRule="auto"/>
        <w:ind w:firstLine="720"/>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Another experimental intervention which has yielded insights into the dependency of CP on convective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delivery is via manipulations in the muscle contraction duty cycle. </w:t>
      </w:r>
      <w:r w:rsidR="00DE3754" w:rsidRPr="00165ED2">
        <w:rPr>
          <w:rFonts w:ascii="Times New Roman" w:eastAsiaTheme="minorEastAsia" w:hAnsi="Times New Roman" w:cs="Times New Roman"/>
          <w:bCs/>
          <w:sz w:val="24"/>
          <w:szCs w:val="24"/>
        </w:rPr>
        <w:t>Muscle contraction</w:t>
      </w:r>
      <w:r w:rsidR="00E16E1B" w:rsidRPr="00165ED2">
        <w:rPr>
          <w:rFonts w:ascii="Times New Roman" w:eastAsiaTheme="minorEastAsia" w:hAnsi="Times New Roman" w:cs="Times New Roman"/>
          <w:bCs/>
          <w:sz w:val="24"/>
          <w:szCs w:val="24"/>
        </w:rPr>
        <w:t>,</w:t>
      </w:r>
      <w:r w:rsidR="00DE3754" w:rsidRPr="00165ED2">
        <w:rPr>
          <w:rFonts w:ascii="Times New Roman" w:eastAsiaTheme="minorEastAsia" w:hAnsi="Times New Roman" w:cs="Times New Roman"/>
          <w:bCs/>
          <w:sz w:val="24"/>
          <w:szCs w:val="24"/>
        </w:rPr>
        <w:t xml:space="preserve"> </w:t>
      </w:r>
      <w:r w:rsidR="00E16E1B" w:rsidRPr="00165ED2">
        <w:rPr>
          <w:rFonts w:ascii="Times New Roman" w:eastAsiaTheme="minorEastAsia" w:hAnsi="Times New Roman" w:cs="Times New Roman"/>
          <w:bCs/>
          <w:sz w:val="24"/>
          <w:szCs w:val="24"/>
        </w:rPr>
        <w:t xml:space="preserve">particularly during small muscle mass exercise where compressive forces can be high, </w:t>
      </w:r>
      <w:r w:rsidR="00DE3754" w:rsidRPr="00165ED2">
        <w:rPr>
          <w:rFonts w:ascii="Times New Roman" w:eastAsiaTheme="minorEastAsia" w:hAnsi="Times New Roman" w:cs="Times New Roman"/>
          <w:bCs/>
          <w:sz w:val="24"/>
          <w:szCs w:val="24"/>
        </w:rPr>
        <w:t>increases intramuscular pressure, compresses blood vessels, increases impedance to flow and may cause temporary blood flow occlusion</w:t>
      </w:r>
      <w:r w:rsidR="004272CF" w:rsidRPr="00165ED2">
        <w:rPr>
          <w:rFonts w:ascii="Times New Roman" w:eastAsiaTheme="minorEastAsia" w:hAnsi="Times New Roman" w:cs="Times New Roman"/>
          <w:bCs/>
          <w:sz w:val="24"/>
          <w:szCs w:val="24"/>
        </w:rPr>
        <w:t xml:space="preserve"> </w:t>
      </w:r>
      <w:r w:rsidR="004272CF"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{"citationID":"PcwbjvHu","properties":{"formattedCitation":"[66\\uc0\\u8211{}69]","plainCitation":"[66–69]","noteIndex":0},"citationItems":[{"id":3110,"uris":["http://zotero.org/users/5056530/items/YGBXQCB6"],"itemData":{"id":3110,"type":"article-journal","abstract":"Previous studies in isolated muscle preparations have shown that muscle blood flow becomes compromised at higher contraction frequencies. The purpose of this study was to examine the effect of increases in contraction frequency and muscle tension on mean blood flow (MBF) during voluntary exercise in humans. Nine male subjects [23.6 +/- 3.7 (SD) yr] performed incremental knee extension exercise to exhaustion in the supine position at three contraction frequencies [40, 60, and 80 contractions/min (cpm)]. Mean blood velocity of the femoral artery was determined beat by beat using Doppler ultrasound. MBF was calculated by using the diameter of the femoral artery determined at rest using echo Doppler ultrasound. The work rate (WR) achieved at exhaustion was decreased (P &lt; 0.05) as contraction frequency increased (40 cpm, 16.2 +/- 1.4 W; 60 cpm, 14.8 +/- 1.4 W; 80 cpm, 13.2 +/- 1.3 W). MBF was similar across the contraction frequencies at rest and during the first WR stage but was higher (P &lt; 0.05) at 40 than 80 cpm at exercise intensities &gt;5 W. MBF was similar among contraction frequencies at exhaustion. In humans performing knee extension exercise in the supine position, muscle contraction frequency and/or muscle tension development may appreciably affect both the MBF and the amplitude of the contraction-to-contraction oscillations in muscle blood flow.","container-title":"Journal of Applied Physiology (Bethesda, Md.: 1985)","DOI":"10.1152/jappl.2001.91.2.671","ISSN":"8750-7587","issue":"2","journalAbbreviation":"J Appl Physiol (1985)","language":"eng","note":"PMID: 11457780","page":"671-679","source":"PubMed","title":"Effect of contraction frequency on leg blood flow during knee extension exercise in humans","volume":"91","author":[{"family":"Hoelting","given":"B. D."},{"family":"Scheuermann","given":"B. W."},{"family":"Barstow","given":"T. J."}],"issued":{"date-parts":[["2001",8]]}}},{"id":1177,"uris":["http://zotero.org/users/5056530/items/U3B3RSYI"],"itemData":{"id":1177,"type":"article-journal","abstract":"To test for evidence of a muscle pump effect during steady-state upright submaximal knee extension exercise, seven male subjects performed seven discontinuous, incremental exercise stages (3 min/stage) at 40 contractions/min, at work rates ranging to 60-75% peak aerobic work rate. Cardiac cycle-averaged muscle blood flow (MBF) responses and contraction-averaged blood flow responses were calculated from continuous Doppler sonography of the femoral artery. Net contribution of the muscle pump was estimated by the difference between mean exercise blood flow (MBFM) and early recovery blood flow (MBFR). MBFM rose in proportion with increases in power output with no significant difference between the two methods of calculating MBF. For stages 1 and 5, MBFM was greater than MBFR; for all others, MBFM was similar to MBFR. For the lighter work rates (stages 1-4), there was no significant difference between exercise and early recovery mean arterial pressure (MAP). During stages 5-7, MAP was significantly higher during exercise and fell significantly early in recovery. From these results we conclude that 1) at the lightest work rate, the muscle pump had a net positive effect on MBFM, 2) during steady-state moderate exercise (stages 2-4) the net effect of rhythmic muscle contraction was neutral (i.e., the impedance due to muscle contraction was exactly offset by the potential enhancement during relaxation), and 3) at the three higher work rates tested (stages 5-7), any enhancement to flow during relaxation was insufficient to fully compensate for the contraction-induced impedance to muscle perfusion. This necessitated a higher MAP to achieve the MBFM.","container-title":"Journal of Applied Physiology (Bethesda, Md.: 1985)","DOI":"10.1152/japplphysiol.00219.2004","ISSN":"8750-7587","issue":"4","journalAbbreviation":"J. Appl. Physiol.","language":"eng","note":"PMID: 15557016","page":"1575-1583","source":"PubMed","title":"Muscle contraction-blood flow interactions during upright knee extension exercise in humans","volume":"98","author":[{"family":"Lutjemeier","given":"Barbara J."},{"family":"Miura","given":"Akira"},{"family":"Scheuermann","given":"Barry W."},{"family":"Koga","given":"Shunsaku"},{"family":"Townsend","given":"Dana K."},{"family":"Barstow","given":"Thomas J."}],"issued":{"date-parts":[["2005",4]]}}},{"id":1175,"uris":["http://zotero.org/users/5056530/items/YJRDGBFM"],"itemData":{"id":1175,"type":"article-journal","abstract":"In five healthy males sustained isometric torques during elbow flexion, knee extension, and plantar flexion correlated positively with intramuscular tissue pressure (MTP) in the range 0-80% of the maximal voluntary contraction (MVC). During passive compression of the muscle at rest 133-Xenon muscle clearance stopped when MTP reached diastolic arterial pressure (DAP) indicating that the muscle vascular bed was occluded. However, during sustained contraction this relation between DAP, flow and MTP was not seen. In two cases 133-Xenon clearance from M. soleus did not stop in spite of an 80% maximal contraction and MTP stayed below DAP. In other cases MTP would reach as high as 240 mm Hg before clearance was zero. In the deeper parts of the muscles MTP during contraction was increased in relation to the more superficial parts. The means values for the % MVC that would stop MBF varied between 50 and 64% MVC for the investigated muscles. Mean rectified EMG (MEMG) showed a high correlation to MTP during sustained exhaustive contractions: When MEMG was kept constant MTP also remained constant while the exerted force decreased; when force was kept constant both MEMG and MTP increased in parallel. This demonstrated that muscle tissue compliance is decreasing during fatigue. Muscle ischemia occurring during sustained isometric contractions is partly due to the developed MTP, where especially the MTP around the veins in the deeper parts of the muscle can be considered of importance. However, ischemia is also affected by muscle fiber texture and anatomical distorsion of tissues.","container-title":"European Journal of Applied Physiology and Occupational Physiology","DOI":"10.1007/BF00429076","ISSN":"0301-5548","issue":"3","journalAbbreviation":"Eur J Appl Physiol Occup Physiol","language":"eng","note":"PMID: 6685038","page":"395-408","source":"PubMed","title":"Skeletal muscle tension, flow, pressure, and EMG during sustained isometric contractions in humans","volume":"51","author":[{"family":"Sadamoto","given":"T."},{"family":"Bonde-Petersen","given":"F."},{"family":"Suzuki","given":"Y."}],"issued":{"date-parts":[["1983"]]}}},{"id":1176,"uris":["http://zotero.org/users/5056530/items/U2QRZW89"],"itemData":{"id":1176,"type":"article-journal","abstract":"The purpose of this study was to measure the influences of muscle contraction and exercise intensity on brachial artery blood flow during incremental forearm wrist flexion exercise to fatigue. Twelve subjects performed incremental forearm exercise (increments of 0.1 W every 5 min) with their nondominant arms. Doppler waveforms and two-dimensional images of the brachial artery were recorded during the last 2 min of each stage. Exercise intensities were expressed as a percent of the maximal workload achieved (%WLmax). Blood flow was calculated during each of the concentric (CP), eccentric (EP), and recovery phases (RP) of the contraction cycle. Blood flow during the CP of the contraction did not increase above resting values (25.0 +/- 10.5 mL.min-1) at any intensity (100%WLmax = 21.6 +/- 6.5 mL.min-1). Conversely, blood flow during the EP and RP increased from 25.6 +/- 3.0 to 169.1 +/- 12.8 (P &lt; 0.05), and from 24.7 +/- 3.1 to 137.9 +/- 19.5 mL.min-1 (P &lt; 0.05), respectively from rest to maximal exercise. Time averaged blood flow increased linearly from rest to maximal exercise (75.3 +/- 26.3 to 334.6 +/- 141.6 mL.min-1, P &lt; 0.05). Thus, a significant impairment in blood flow occurs with concentric contractions during forearm dynamic exercise. The implications of a temporal disparity in blood flow to oxygen delivery and skeletal metabolism during exercise are discussed.","container-title":"Medicine and Science in Sports and Exercise","DOI":"10.1097/00005768-199708000-00006","ISSN":"0195-9131","issue":"8","journalAbbreviation":"Med Sci Sports Exerc","language":"eng","note":"PMID: 9268958","page":"1021-1027","source":"PubMed","title":"Temporal inhomogeneity in brachial artery blood flow during forearm exercise","volume":"29","author":[{"family":"Robergs","given":"R. A."},{"family":"Icenogle","given":"M. V."},{"family":"Hudson","given":"T. L."},{"family":"Greene","given":"E. R."}],"issued":{"date-parts":[["1997",8]]}}}],"schema":"https://github.com/citation-style-language/schema/raw/master/csl-citation.json"} </w:instrText>
      </w:r>
      <w:r w:rsidR="004272CF"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szCs w:val="24"/>
        </w:rPr>
        <w:t>[66–69]</w:t>
      </w:r>
      <w:r w:rsidR="004272CF" w:rsidRPr="00165ED2">
        <w:rPr>
          <w:rFonts w:ascii="Times New Roman" w:eastAsiaTheme="minorEastAsia" w:hAnsi="Times New Roman" w:cs="Times New Roman"/>
          <w:bCs/>
          <w:sz w:val="24"/>
          <w:szCs w:val="24"/>
        </w:rPr>
        <w:fldChar w:fldCharType="end"/>
      </w:r>
      <w:r w:rsidR="00DE3754" w:rsidRPr="00165ED2">
        <w:rPr>
          <w:rFonts w:ascii="Times New Roman" w:eastAsiaTheme="minorEastAsia" w:hAnsi="Times New Roman" w:cs="Times New Roman"/>
          <w:bCs/>
          <w:sz w:val="24"/>
          <w:szCs w:val="24"/>
        </w:rPr>
        <w:t>. Hence, the muscular contraction cycle yields rhythmic alterations in intramuscular pressure, and hence blood flow, with the majority of flow occurring during the relaxation phase of contraction</w:t>
      </w:r>
      <w:r w:rsidR="00E16E1B" w:rsidRPr="00165ED2">
        <w:rPr>
          <w:rFonts w:ascii="Times New Roman" w:eastAsiaTheme="minorEastAsia" w:hAnsi="Times New Roman" w:cs="Times New Roman"/>
          <w:bCs/>
          <w:sz w:val="24"/>
          <w:szCs w:val="24"/>
        </w:rPr>
        <w:t xml:space="preserve">, </w:t>
      </w:r>
      <w:r w:rsidR="004272CF"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{"citationID":"d8YcXB9U","properties":{"formattedCitation":"[69\\uc0\\u8211{}72]","plainCitation":"[69–72]","noteIndex":0},"citationItems":[{"id":1176,"uris":["http://zotero.org/users/5056530/items/U2QRZW89"],"itemData":{"id":1176,"type":"article-journal","abstract":"The purpose of this study was to measure the influences of muscle contraction and exercise intensity on brachial artery blood flow during incremental forearm wrist flexion exercise to fatigue. Twelve subjects performed incremental forearm exercise (increments of 0.1 W every 5 min) with their nondominant arms. Doppler waveforms and two-dimensional images of the brachial artery were recorded during the last 2 min of each stage. Exercise intensities were expressed as a percent of the maximal workload achieved (%WLmax). Blood flow was calculated during each of the concentric (CP), eccentric (EP), and recovery phases (RP) of the contraction cycle. Blood flow during the CP of the contraction did not increase above resting values (25.0 +/- 10.5 mL.min-1) at any intensity (100%WLmax = 21.6 +/- 6.5 mL.min-1). Conversely, blood flow during the EP and RP increased from 25.6 +/- 3.0 to 169.1 +/- 12.8 (P &lt; 0.05), and from 24.7 +/- 3.1 to 137.9 +/- 19.5 mL.min-1 (P &lt; 0.05), respectively from rest to maximal exercise. Time averaged blood flow increased linearly from rest to maximal exercise (75.3 +/- 26.3 to 334.6 +/- 141.6 mL.min-1, P &lt; 0.05). Thus, a significant impairment in blood flow occurs with concentric contractions during forearm dynamic exercise. The implications of a temporal disparity in blood flow to oxygen delivery and skeletal metabolism during exercise are discussed.","container-title":"Medicine and Science in Sports and Exercise","DOI":"10.1097/00005768-199708000-00006","ISSN":"0195-9131","issue":"8","journalAbbreviation":"Med Sci Sports Exerc","language":"eng","note":"PMID: 9268958","page":"1021-1027","source":"PubMed","title":"Temporal inhomogeneity in brachial artery blood flow during forearm exercise","volume":"29","author":[{"family":"Robergs","given":"R. A."},{"family":"Icenogle","given":"M. V."},{"family":"Hudson","given":"T. L."},{"family":"Greene","given":"E. R."}],"issued":{"date-parts":[["1997",8]]}}},{"id":342,"uris":["http://zotero.org/users/5056530/items/MRNPS4RH"],"itemData":{"id":342,"type":"article-journal","abstract":"Images\nnull","container-title":"The Journal of Physiology","ISSN":"0022-3751","issue":"3-4","journalAbbreviation":"J Physiol","note":"PMID: 15395021\nPMCID: PMC1392628","page":"402-411","source":"PubMed Central","title":"The blood flow through the human calf during rhythmic exercise","volume":"109","author":[{"family":"Barcroft","given":"H."},{"family":"Dornhorst","given":"A. C."}],"issued":{"date-parts":[["1949",9,15]]}}},{"id":341,"uris":["http://zotero.org/users/5056530/items/MZZ8N3C4"],"itemData":{"id":341,"type":"article-journal","abstract":"The effect of rhythmically performed muscle contractions on blood flow through muscles was investigated in the calf of cat. During a series of contractions, which had led to maximal dilatation of the resistance vessels, a considerable lowering of the pressure in a small vein from the contracting muscles could be demonstrated between contractions, despite the huge inflow. An optimal effect was obtained when the muscle nerve was stimulated with a short (200–300 msec) impulse train once per sec, a pattern mimicking that during running. Rhythmic contractions of this type led to a characteristic blood flow pattern through the muscles. Arterial inflow to the muscle vascular bed occurred only in between contractions, whereas nearly all the venous outflow from the muscles occurred during the contractions. The venous pressure reduction occurring between contractions implies a gain in effective perfusion pressure and a corresponding augmentation in blood flow through the muscles. Such an effect was found to be considerable in dependent limbs. Here average blood flow through the rhythmically contracting calf muscles could be as great as, or even greater than, the “free” flow in the immediate post-exercise period. This effect of the “muscle pump” may be of great importance also in the dependent limbs of man.","container-title":"Acta Physiologica Scandinavica","DOI":"10.1111/j.1748-1716.1970.tb04770.x","ISSN":"1365-201X","issue":"1","language":"en","page":"61-72","source":"Wiley Online Library","title":"Blood Flow through Limb Muscles during Heavy Rhythmic Exercise","volume":"80","author":[{"family":"Folkow","given":"B."},{"family":"Gaskell","given":"P."},{"family":"Waaler","given":"B. A."}],"issued":{"date-parts":[["1970",9,1]]}}},{"id":339,"uris":["http://zotero.org/users/5056530/items/9E5ATWJE"],"itemData":{"id":339,"type":"article-journal","abstract":"1. Pulsed bidirectional Doppler-ultrasound equipment was used to measure changes in blood velocities in the femoral artery on a beat to beat basis for consecutive contraction and relaxation phases during voluntary rhythmic exercise of the quadriceps muscle group in man. 2. Rapid and large fluctuations of blood velocities were found, being high during relaxation and low during contraction phases. At the onset of contraction phase, negative velocities were present, indicating retrograde flow. During the rest of the contraction phase, forward flow occurred comparable to the resting flow level even at high loads. 3. Estimated maximal flow to the whole leg during relaxation phase, calculated from these blood velocity measurements and vessel diameter (measured with echo-ultrasound equipment with high resolution) was in two of the subjects 3.32 l min-1 (female) and 5.97 l min-1 (male). When using computer tomography to estimate the volume of the quadriceps muscle group, the calculated maximum flow to this muscle group was 243 (female) and 257 (male) ml min-1 100 ml muscle-1. The time-averaged flow during exercise to the whole leg was 1.51 l min-1 (female) and 2.47 l min-1 (male). The calculated time-averaged flow to the quadriceps muscle group was 101 (female) and 98 (male) ml min-1 100 ml muscle-1. 4. The duration of post-contraction hyperaemia following such rhythmic exercise of up to 6 min duration and up to 75% maximum voluntary contraction was never in excess of 150 s.","container-title":"The Journal of Physiology","ISSN":"0022-3751","journalAbbreviation":"J. Physiol. (Lond.)","language":"eng","note":"PMID: 3255792\nPMCID: PMC1190975","page":"257-273","source":"PubMed","title":"Time course and magnitude of blood flow changes in the human quadriceps muscles during and following rhythmic exercise","volume":"405","author":[{"family":"Walløe","given":"L."},{"family":"Wesche","given":"J."}],"issued":{"date-parts":[["1988",11]]}}}],"schema":"https://github.com/citation-style-language/schema/raw/master/csl-citation.json"} </w:instrText>
      </w:r>
      <w:r w:rsidR="004272CF"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szCs w:val="24"/>
        </w:rPr>
        <w:t>[69–72]</w:t>
      </w:r>
      <w:r w:rsidR="004272CF" w:rsidRPr="00165ED2">
        <w:rPr>
          <w:rFonts w:ascii="Times New Roman" w:eastAsiaTheme="minorEastAsia" w:hAnsi="Times New Roman" w:cs="Times New Roman"/>
          <w:bCs/>
          <w:sz w:val="24"/>
          <w:szCs w:val="24"/>
        </w:rPr>
        <w:fldChar w:fldCharType="end"/>
      </w:r>
      <w:r w:rsidR="004272CF" w:rsidRPr="00165ED2">
        <w:rPr>
          <w:rFonts w:ascii="Times New Roman" w:eastAsiaTheme="minorEastAsia" w:hAnsi="Times New Roman" w:cs="Times New Roman"/>
          <w:bCs/>
          <w:sz w:val="24"/>
          <w:szCs w:val="24"/>
        </w:rPr>
        <w:t xml:space="preserve">. </w:t>
      </w:r>
      <w:r w:rsidR="00CA25CA" w:rsidRPr="00165ED2">
        <w:rPr>
          <w:rFonts w:ascii="Times New Roman" w:eastAsiaTheme="minorEastAsia" w:hAnsi="Times New Roman" w:cs="Times New Roman"/>
          <w:bCs/>
          <w:sz w:val="24"/>
          <w:szCs w:val="24"/>
        </w:rPr>
        <w:t xml:space="preserve">Utilizing small muscle mass handgrip exercise, </w:t>
      </w:r>
      <w:proofErr w:type="spellStart"/>
      <w:r w:rsidR="00DE3754" w:rsidRPr="00165ED2">
        <w:rPr>
          <w:rFonts w:ascii="Times New Roman" w:eastAsiaTheme="minorEastAsia" w:hAnsi="Times New Roman" w:cs="Times New Roman"/>
          <w:bCs/>
          <w:sz w:val="24"/>
          <w:szCs w:val="24"/>
        </w:rPr>
        <w:t>Broxterman</w:t>
      </w:r>
      <w:proofErr w:type="spellEnd"/>
      <w:r w:rsidR="00DE3754" w:rsidRPr="00165ED2">
        <w:rPr>
          <w:rFonts w:ascii="Times New Roman" w:eastAsiaTheme="minorEastAsia" w:hAnsi="Times New Roman" w:cs="Times New Roman"/>
          <w:bCs/>
          <w:sz w:val="24"/>
          <w:szCs w:val="24"/>
        </w:rPr>
        <w:t xml:space="preserve"> et al. </w:t>
      </w:r>
      <w:r w:rsidR="004272CF"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{"citationID":"Cnheue2P","properties":{"formattedCitation":"[73]","plainCitation":"[73]","noteIndex":0},"citationItems":[{"id":855,"uris":["http://zotero.org/users/5056530/items/WFIBGSJR"],"itemData":{"id":855,"type":"article-journal","abstract":"The highest sustainable rate of aerobic metabolism [critical power (CP)] and the finite amount of work that can be performed above CP (W’ [curvature constant]) were determined under two muscle contraction duty cycles. Eight men completed at least three constant-power handgrip tests to exhaustion to determine CP and W’ for 50% and 20% duty cycles, while brachial artery blood flow (Q̇BA) and deoxygenated-[hemoglobin + myoglobin] (deoxy-[Hb+Mb]) were measured. CP was lower for the 50% duty cycle (3.9 ± 0.9 W) than the 20% duty cycle (5.1 ± 0.8 W; p &lt; 0.001), while W’ was not significantly different (50% duty cycle: 452 ± 141 J vs. 20% duty cycle: 432 ± 130 J; p &gt; 0.05). At the same power output, Q̇BA and deoxy-[Hb + Mb] achieved higher end-exercise values for the 20% duty cycle (9.87 ± 1.73 ml·s−1; 51.7 ± 4.7 μM) than the 50% duty cycle (7.37 ± 1.76 ml·s−1, p &lt; 0.001; 44.3 ± 2.4 μM, p &lt; 0.03). These findings indicate that blood flow influences CP, but not W’.","container-title":"Respiratory Physiology &amp; Neurobiology","DOI":"10.1016/j.resp.2013.11.010","ISSN":"1569-9048","journalAbbreviation":"Respiratory Physiology &amp; Neurobiology","page":"102-111","source":"ScienceDirect","title":"Influence of duty cycle on the power-duration relationship: Observations and potential mechanisms","title-short":"Influence of duty cycle on the power-duration relationship","volume":"192","author":[{"literal":"Broxterman"},{"family":"Ade","given":"C. J."},{"family":"Wilcox","given":"S. L."},{"family":"Schlup","given":"S. J."},{"family":"Craig","given":"J. C."},{"family":"Barstow","given":"T. J."}],"issued":{"date-parts":[["2014",2,1]]}}}],"schema":"https://github.com/citation-style-language/schema/raw/master/csl-citation.json"} </w:instrText>
      </w:r>
      <w:r w:rsidR="004272CF"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[73]</w:t>
      </w:r>
      <w:r w:rsidR="004272CF" w:rsidRPr="00165ED2">
        <w:rPr>
          <w:rFonts w:ascii="Times New Roman" w:eastAsiaTheme="minorEastAsia" w:hAnsi="Times New Roman" w:cs="Times New Roman"/>
          <w:bCs/>
          <w:sz w:val="24"/>
          <w:szCs w:val="24"/>
        </w:rPr>
        <w:fldChar w:fldCharType="end"/>
      </w:r>
      <w:r w:rsidR="004272CF" w:rsidRPr="00165ED2">
        <w:rPr>
          <w:rFonts w:ascii="Times New Roman" w:eastAsiaTheme="minorEastAsia" w:hAnsi="Times New Roman" w:cs="Times New Roman"/>
          <w:bCs/>
          <w:sz w:val="24"/>
          <w:szCs w:val="24"/>
        </w:rPr>
        <w:t xml:space="preserve"> </w:t>
      </w:r>
      <w:r w:rsidR="00CA25CA" w:rsidRPr="00165ED2">
        <w:rPr>
          <w:rFonts w:ascii="Times New Roman" w:eastAsiaTheme="minorEastAsia" w:hAnsi="Times New Roman" w:cs="Times New Roman"/>
          <w:bCs/>
          <w:sz w:val="24"/>
          <w:szCs w:val="24"/>
        </w:rPr>
        <w:t>directly tested the hypothesis that alterations in the duty cycle would cause concomitant alterations in convective O</w:t>
      </w:r>
      <w:r w:rsidR="00CA25CA" w:rsidRPr="00165ED2">
        <w:rPr>
          <w:rFonts w:ascii="Times New Roman" w:eastAsiaTheme="minorEastAsia" w:hAnsi="Times New Roman" w:cs="Times New Roman"/>
          <w:bCs/>
          <w:sz w:val="24"/>
          <w:szCs w:val="24"/>
          <w:vertAlign w:val="subscript"/>
        </w:rPr>
        <w:t>2</w:t>
      </w:r>
      <w:r w:rsidR="00CA25CA" w:rsidRPr="00165ED2">
        <w:rPr>
          <w:rFonts w:ascii="Times New Roman" w:eastAsiaTheme="minorEastAsia" w:hAnsi="Times New Roman" w:cs="Times New Roman"/>
          <w:bCs/>
          <w:sz w:val="24"/>
          <w:szCs w:val="24"/>
        </w:rPr>
        <w:t xml:space="preserve"> delivery, and hence CP, by measuring brachial artery blood flow </w:t>
      </w:r>
      <w:r w:rsidR="007716A4" w:rsidRPr="00165ED2">
        <w:rPr>
          <w:rFonts w:ascii="Times New Roman" w:eastAsiaTheme="minorEastAsia" w:hAnsi="Times New Roman" w:cs="Times New Roman"/>
          <w:bCs/>
          <w:sz w:val="24"/>
          <w:szCs w:val="24"/>
        </w:rPr>
        <w:t xml:space="preserve">via </w:t>
      </w:r>
      <w:r w:rsidR="00C33BAB" w:rsidRPr="00165ED2">
        <w:rPr>
          <w:rFonts w:ascii="Times New Roman" w:eastAsiaTheme="minorEastAsia" w:hAnsi="Times New Roman" w:cs="Times New Roman"/>
          <w:bCs/>
          <w:sz w:val="24"/>
          <w:szCs w:val="24"/>
        </w:rPr>
        <w:t>D</w:t>
      </w:r>
      <w:r w:rsidR="007716A4" w:rsidRPr="00165ED2">
        <w:rPr>
          <w:rFonts w:ascii="Times New Roman" w:eastAsiaTheme="minorEastAsia" w:hAnsi="Times New Roman" w:cs="Times New Roman"/>
          <w:bCs/>
          <w:sz w:val="24"/>
          <w:szCs w:val="24"/>
        </w:rPr>
        <w:t xml:space="preserve">oppler ultrasound </w:t>
      </w:r>
      <w:r w:rsidR="00CA25CA" w:rsidRPr="00165ED2">
        <w:rPr>
          <w:rFonts w:ascii="Times New Roman" w:eastAsiaTheme="minorEastAsia" w:hAnsi="Times New Roman" w:cs="Times New Roman"/>
          <w:bCs/>
          <w:sz w:val="24"/>
          <w:szCs w:val="24"/>
        </w:rPr>
        <w:t xml:space="preserve">during exercise with a </w:t>
      </w:r>
      <w:r w:rsidR="00DE3754" w:rsidRPr="00165ED2">
        <w:rPr>
          <w:rFonts w:ascii="Times New Roman" w:eastAsiaTheme="minorEastAsia" w:hAnsi="Times New Roman" w:cs="Times New Roman"/>
          <w:bCs/>
          <w:sz w:val="24"/>
          <w:szCs w:val="24"/>
        </w:rPr>
        <w:t xml:space="preserve">20% and 50% duty cycle (i.e. muscle contraction comprised 20 and 50%, respectively, of the total contraction-relaxation cycle). </w:t>
      </w:r>
      <w:r w:rsidR="001B7EFC" w:rsidRPr="00165ED2">
        <w:rPr>
          <w:rFonts w:ascii="Times New Roman" w:eastAsiaTheme="minorEastAsia" w:hAnsi="Times New Roman" w:cs="Times New Roman"/>
          <w:bCs/>
          <w:sz w:val="24"/>
          <w:szCs w:val="24"/>
        </w:rPr>
        <w:t>Brachial artery blood flow, and thus, convective O</w:t>
      </w:r>
      <w:r w:rsidR="001B7EFC" w:rsidRPr="00165ED2">
        <w:rPr>
          <w:rFonts w:ascii="Times New Roman" w:eastAsiaTheme="minorEastAsia" w:hAnsi="Times New Roman" w:cs="Times New Roman"/>
          <w:bCs/>
          <w:sz w:val="24"/>
          <w:szCs w:val="24"/>
          <w:vertAlign w:val="subscript"/>
        </w:rPr>
        <w:t xml:space="preserve">2 </w:t>
      </w:r>
      <w:r w:rsidR="001B7EFC" w:rsidRPr="00165ED2">
        <w:rPr>
          <w:rFonts w:ascii="Times New Roman" w:eastAsiaTheme="minorEastAsia" w:hAnsi="Times New Roman" w:cs="Times New Roman"/>
          <w:bCs/>
          <w:sz w:val="24"/>
          <w:szCs w:val="24"/>
        </w:rPr>
        <w:t xml:space="preserve">delivery, was greater in the 20% duty cycle when compared to the 50% duty cycle, with a concomitant increase in </w:t>
      </w:r>
      <w:r w:rsidR="00DE3754" w:rsidRPr="00165ED2">
        <w:rPr>
          <w:rFonts w:ascii="Times New Roman" w:eastAsiaTheme="minorEastAsia" w:hAnsi="Times New Roman" w:cs="Times New Roman"/>
          <w:bCs/>
          <w:sz w:val="24"/>
          <w:szCs w:val="24"/>
        </w:rPr>
        <w:t>CP</w:t>
      </w:r>
      <w:r w:rsidR="00C33BAB" w:rsidRPr="00165ED2">
        <w:rPr>
          <w:rFonts w:ascii="Times New Roman" w:eastAsiaTheme="minorEastAsia" w:hAnsi="Times New Roman" w:cs="Times New Roman"/>
          <w:bCs/>
          <w:sz w:val="24"/>
          <w:szCs w:val="24"/>
        </w:rPr>
        <w:t xml:space="preserve"> </w:t>
      </w:r>
      <w:r w:rsidR="004272CF"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{"citationID":"szUyljDH","properties":{"formattedCitation":"[73]","plainCitation":"[73]","noteIndex":0},"citationItems":[{"id":855,"uris":["http://zotero.org/users/5056530/items/WFIBGSJR"],"itemData":{"id":855,"type":"article-journal","abstract":"The highest sustainable rate of aerobic metabolism [critical power (CP)] and the finite amount of work that can be performed above CP (W’ [curvature constant]) were determined under two muscle contraction duty cycles. Eight men completed at least three constant-power handgrip tests to exhaustion to determine CP and W’ for 50% and 20% duty cycles, while brachial artery blood flow (Q̇BA) and deoxygenated-[hemoglobin + myoglobin] (deoxy-[Hb+Mb]) were measured. CP was lower for the 50% duty cycle (3.9 ± 0.9 W) than the 20% duty cycle (5.1 ± 0.8 W; p &lt; 0.001), while W’ was not significantly different (50% duty cycle: 452 ± 141 J vs. 20% duty cycle: 432 ± 130 J; p &gt; 0.05). At the same power output, Q̇BA and deoxy-[Hb + Mb] achieved higher end-exercise values for the 20% duty cycle (9.87 ± 1.73 ml·s−1; 51.7 ± 4.7 μM) than the 50% duty cycle (7.37 ± 1.76 ml·s−1, p &lt; 0.001; 44.3 ± 2.4 μM, p &lt; 0.03). These findings indicate that blood flow influences CP, but not W’.","container-title":"Respiratory Physiology &amp; Neurobiology","DOI":"10.1016/j.resp.2013.11.010","ISSN":"1569-9048","journalAbbreviation":"Respiratory Physiology &amp; Neurobiology","page":"102-111","source":"ScienceDirect","title":"Influence of duty cycle on the power-duration relationship: Observations and potential mechanisms","title-short":"Influence of duty cycle on the power-duration relationship","volume":"192","author":[{"literal":"Broxterman"},{"family":"Ade","given":"C. J."},{"family":"Wilcox","given":"S. L."},{"family":"Schlup","given":"S. J."},{"family":"Craig","given":"J. C."},{"family":"Barstow","given":"T. J."}],"issued":{"date-parts":[["2014",2,1]]}}}],"schema":"https://github.com/citation-style-language/schema/raw/master/csl-citation.json"} </w:instrText>
      </w:r>
      <w:r w:rsidR="004272CF"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[73]</w:t>
      </w:r>
      <w:r w:rsidR="004272CF" w:rsidRPr="00165ED2">
        <w:rPr>
          <w:rFonts w:ascii="Times New Roman" w:eastAsiaTheme="minorEastAsia" w:hAnsi="Times New Roman" w:cs="Times New Roman"/>
          <w:bCs/>
          <w:sz w:val="24"/>
          <w:szCs w:val="24"/>
        </w:rPr>
        <w:fldChar w:fldCharType="end"/>
      </w:r>
      <w:r w:rsidR="00DE3754" w:rsidRPr="00165ED2">
        <w:rPr>
          <w:rFonts w:ascii="Times New Roman" w:eastAsiaTheme="minorEastAsia" w:hAnsi="Times New Roman" w:cs="Times New Roman"/>
          <w:bCs/>
          <w:sz w:val="24"/>
          <w:szCs w:val="24"/>
        </w:rPr>
        <w:t>.</w:t>
      </w:r>
    </w:p>
    <w:p w14:paraId="3148998D" w14:textId="608DAF24" w:rsidR="00EE37A9" w:rsidRPr="00165ED2" w:rsidRDefault="003B48EC" w:rsidP="00952A30">
      <w:pPr>
        <w:spacing w:line="480" w:lineRule="auto"/>
        <w:ind w:firstLine="720"/>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In extending the principle of altering convective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delivery to observe its effect on CP,  </w:t>
      </w:r>
      <w:proofErr w:type="spellStart"/>
      <w:r w:rsidRPr="00165ED2">
        <w:rPr>
          <w:rFonts w:ascii="Times New Roman" w:eastAsiaTheme="minorEastAsia" w:hAnsi="Times New Roman" w:cs="Times New Roman"/>
          <w:bCs/>
          <w:sz w:val="24"/>
          <w:szCs w:val="24"/>
        </w:rPr>
        <w:t>Broxterman</w:t>
      </w:r>
      <w:proofErr w:type="spellEnd"/>
      <w:r w:rsidRPr="00165ED2">
        <w:rPr>
          <w:rFonts w:ascii="Times New Roman" w:eastAsiaTheme="minorEastAsia" w:hAnsi="Times New Roman" w:cs="Times New Roman"/>
          <w:bCs/>
          <w:sz w:val="24"/>
          <w:szCs w:val="24"/>
        </w:rPr>
        <w:t xml:space="preserve"> et al. </w:t>
      </w:r>
      <w:r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{"citationID":"I4WiurPF","properties":{"formattedCitation":"[74,75]","plainCitation":"[74,75]","noteIndex":0},"citationItems":[{"id":338,"uris":["http://zotero.org/users/5056530/items/V3ACWEBB"],"itemData":{"id":338,"type":"article-journal","abstract":"It was previously (Monod H, Scherrer J. Ergonomics 8: 329-338, 1965) postulated that blood flow occlusion during exercise would reduce critical power (CP) to 0 Watts (W), while not altering the curvature constant (W'). We empirically assessed the influence of blood flow occlusion on CP, W', and muscle oxygenation characteristics. Ten healthy men (age: 24.8 ± 2.6 yr; height: 180 ± 5 cm; weight: 84.6 ± 10.1 kg) completed four constant-power handgrip exercise tests during both control blood flow (control) and blood flow occlusion (occlusion) for the determination of the power-duration relationship. Occlusion CP (-0.7 ± 0.4 W) was significantly (P &lt; 0.001) lower than control CP (4.1 ± 0.7 W) and significantly (P &lt; 0.001) lower than 0 W. Occlusion W' (808 ± 155 J) was significantly (P &lt; 0.001) different from control W' (558 ± 129 J), and all 10 subjects demonstrated an increased occlusion W' with a mean increase of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49%. The present findings support the aerobic nature of CP. The findings also demonstrate that the amount of work that can be performed above CP is constant for a given condition, but can vary across conditions. Moreover, this amount of work that can be performed above CP does not appear to be the determinant of W', but rather a consequence of the depletion of intramuscular energy stores and/or the accumulation of fatigue-inducing metabolites, which limit exercise tolerance and determine W'.","container-title":"Journal of Applied Physiology (Bethesda, Md.: 1985)","DOI":"10.1152/japplphysiol.00875.2014","ISSN":"1522-1601","issue":"7","journalAbbreviation":"J. Appl. Physiol.","language":"eng","note":"PMID: 25663673","page":"880-889","source":"PubMed","title":"Influence of blood flow occlusion on muscle oxygenation characteristics and the parameters of the power-duration relationship","volume":"118","author":[{"family":"Broxterman","given":""},{"family":"Ade","given":"C. J."},{"family":"Craig","given":"J. C."},{"family":"Wilcox","given":"S. L."},{"family":"Schlup","given":"S. J."},{"family":"Barstow","given":"T. J."}],"issued":{"date-parts":[["2015",4,1]]}}},{"id":854,"uris":["http://zotero.org/users/5056530/items/KQFG5TKS"],"itemData":{"id":854,"type":"article-journal","abstract":"It has previously been postulated that the anaerobic work capacity (W') may be utilized during resting blood flow occlusion in the absence of mechanical work. We tested the hypothesis that W' would not be utilized during an initial range of time following the onset of resting blood flow occlusion, after which W' would be utilized progressively more. Seven men completed blood flow occlusion constant power severe intensity handgrip exercise to task failure following 0, 300, 600, 900, and 1,200 s of resting blood flow occlusion. The work performed above critical power (CP) was not significantly different between the 0-, 300-, and 600-s conditions and was not significantly different from the total W' available. Significantly less work was performed above CP during the 1,200-s condition than the 900-s condition (P &lt; 0.05), while both conditions were significantly less than the 0-, 300-, and 600-s conditions (P &lt; 0.05). The work performed above CP during these conditions was significantly less than the total W' available (P &lt; 0.05). The utilization of W' during resting blood flow occlusion did not begin until 751 ± 118 s, after which time W' was progressively utilized. The current findings demonstrate that W' is not utilized during the initial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751 s of resting blood flow occlusion, but is progressively utilized thereafter, despite no mechanical work being performed. Thus, the utilization of W' is not exclusive to exercise, and a constant amount of work that can be performed above CP is not the determining mechanism of W'.","container-title":"American Journal of Physiology. Regulatory, Integrative and Comparative Physiology","DOI":"10.1152/ajpregu.00283.2015","ISSN":"1522-1490","issue":"6","journalAbbreviation":"Am. J. Physiol. Regul. Integr. Comp. Physiol.","language":"eng","note":"PMID: 26224689\nPMCID: PMC4591365","page":"R684-691","source":"PubMed","title":"The effect of resting blood flow occlusion on exercise tolerance and W'","volume":"309","author":[{"family":"Broxterman","given":""},{"family":"Craig","given":"Jesse C."},{"family":"Ade","given":"Carl J."},{"family":"Wilcox","given":"Samuel L."},{"family":"Barstow","given":"Thomas J."}],"issued":{"date-parts":[["2015",9,15]]}}}],"schema":"https://github.com/citation-style-language/schema/raw/master/csl-citation.json"} </w:instrText>
      </w:r>
      <w:r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[74,75]</w:t>
      </w:r>
      <w:r w:rsidRPr="00165ED2">
        <w:rPr>
          <w:rFonts w:ascii="Times New Roman" w:eastAsiaTheme="minorEastAsia" w:hAnsi="Times New Roman" w:cs="Times New Roman"/>
          <w:bCs/>
          <w:sz w:val="24"/>
          <w:szCs w:val="24"/>
        </w:rPr>
        <w:fldChar w:fldCharType="end"/>
      </w:r>
      <w:r w:rsidRPr="00165ED2">
        <w:rPr>
          <w:rFonts w:ascii="Times New Roman" w:eastAsiaTheme="minorEastAsia" w:hAnsi="Times New Roman" w:cs="Times New Roman"/>
          <w:bCs/>
          <w:sz w:val="24"/>
          <w:szCs w:val="24"/>
        </w:rPr>
        <w:t xml:space="preserve"> showed that during blood flow occlusion (which constrains 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w:t>
      </w:r>
      <w:r w:rsidRPr="00165ED2">
        <w:rPr>
          <w:rFonts w:ascii="Times New Roman" w:eastAsiaTheme="minorEastAsia" w:hAnsi="Times New Roman" w:cs="Times New Roman"/>
          <w:bCs/>
          <w:sz w:val="24"/>
          <w:szCs w:val="24"/>
        </w:rPr>
        <w:lastRenderedPageBreak/>
        <w:t>delivery to zero), CP was r</w:t>
      </w:r>
      <w:r w:rsidR="001F2437" w:rsidRPr="00165ED2">
        <w:rPr>
          <w:rFonts w:ascii="Times New Roman" w:eastAsiaTheme="minorEastAsia" w:hAnsi="Times New Roman" w:cs="Times New Roman"/>
          <w:bCs/>
          <w:sz w:val="24"/>
          <w:szCs w:val="24"/>
        </w:rPr>
        <w:t>ed</w:t>
      </w:r>
      <w:r w:rsidRPr="00165ED2">
        <w:rPr>
          <w:rFonts w:ascii="Times New Roman" w:eastAsiaTheme="minorEastAsia" w:hAnsi="Times New Roman" w:cs="Times New Roman"/>
          <w:bCs/>
          <w:sz w:val="24"/>
          <w:szCs w:val="24"/>
        </w:rPr>
        <w:t xml:space="preserve">uced to a negative value.  </w:t>
      </w:r>
      <w:r w:rsidR="008C59E0" w:rsidRPr="00165ED2">
        <w:rPr>
          <w:rFonts w:ascii="Times New Roman" w:eastAsiaTheme="minorEastAsia" w:hAnsi="Times New Roman" w:cs="Times New Roman"/>
          <w:bCs/>
          <w:sz w:val="24"/>
          <w:szCs w:val="24"/>
        </w:rPr>
        <w:t xml:space="preserve">Whilst a negative CP </w:t>
      </w:r>
      <w:r w:rsidR="001F2437" w:rsidRPr="00165ED2">
        <w:rPr>
          <w:rFonts w:ascii="Times New Roman" w:eastAsiaTheme="minorEastAsia" w:hAnsi="Times New Roman" w:cs="Times New Roman"/>
          <w:bCs/>
          <w:sz w:val="24"/>
          <w:szCs w:val="24"/>
        </w:rPr>
        <w:t>appears</w:t>
      </w:r>
      <w:r w:rsidR="008C59E0" w:rsidRPr="00165ED2">
        <w:rPr>
          <w:rFonts w:ascii="Times New Roman" w:eastAsiaTheme="minorEastAsia" w:hAnsi="Times New Roman" w:cs="Times New Roman"/>
          <w:bCs/>
          <w:sz w:val="24"/>
          <w:szCs w:val="24"/>
        </w:rPr>
        <w:t xml:space="preserve"> implausible, this finding </w:t>
      </w:r>
      <w:r w:rsidR="001F2437" w:rsidRPr="00165ED2">
        <w:rPr>
          <w:rFonts w:ascii="Times New Roman" w:eastAsiaTheme="minorEastAsia" w:hAnsi="Times New Roman" w:cs="Times New Roman"/>
          <w:bCs/>
          <w:sz w:val="24"/>
          <w:szCs w:val="24"/>
        </w:rPr>
        <w:t>demonstrates a reliance of CP on convective O</w:t>
      </w:r>
      <w:r w:rsidR="001F2437" w:rsidRPr="00165ED2">
        <w:rPr>
          <w:rFonts w:ascii="Times New Roman" w:eastAsiaTheme="minorEastAsia" w:hAnsi="Times New Roman" w:cs="Times New Roman"/>
          <w:bCs/>
          <w:sz w:val="24"/>
          <w:szCs w:val="24"/>
          <w:vertAlign w:val="subscript"/>
        </w:rPr>
        <w:t>2</w:t>
      </w:r>
      <w:r w:rsidR="001F2437" w:rsidRPr="00165ED2">
        <w:rPr>
          <w:rFonts w:ascii="Times New Roman" w:eastAsiaTheme="minorEastAsia" w:hAnsi="Times New Roman" w:cs="Times New Roman"/>
          <w:bCs/>
          <w:sz w:val="24"/>
          <w:szCs w:val="24"/>
        </w:rPr>
        <w:t xml:space="preserve"> delivery</w:t>
      </w:r>
      <w:r w:rsidR="001C45B2" w:rsidRPr="00165ED2">
        <w:rPr>
          <w:rFonts w:ascii="Times New Roman" w:eastAsiaTheme="minorEastAsia" w:hAnsi="Times New Roman" w:cs="Times New Roman"/>
          <w:bCs/>
          <w:sz w:val="24"/>
          <w:szCs w:val="24"/>
        </w:rPr>
        <w:t xml:space="preserve"> since there is no sustainable </w:t>
      </w:r>
      <w:r w:rsidR="003F67A4" w:rsidRPr="00165ED2">
        <w:rPr>
          <w:rFonts w:ascii="Times New Roman" w:eastAsiaTheme="minorEastAsia" w:hAnsi="Times New Roman" w:cs="Times New Roman"/>
          <w:bCs/>
          <w:sz w:val="24"/>
          <w:szCs w:val="24"/>
        </w:rPr>
        <w:t>oxidative metabolism without blood flow</w:t>
      </w:r>
      <w:r w:rsidR="001F2437" w:rsidRPr="00165ED2">
        <w:rPr>
          <w:rFonts w:ascii="Times New Roman" w:eastAsiaTheme="minorEastAsia" w:hAnsi="Times New Roman" w:cs="Times New Roman"/>
          <w:bCs/>
          <w:sz w:val="24"/>
          <w:szCs w:val="24"/>
        </w:rPr>
        <w:t>. R</w:t>
      </w:r>
      <w:r w:rsidR="008C59E0" w:rsidRPr="00165ED2">
        <w:rPr>
          <w:rFonts w:ascii="Times New Roman" w:eastAsiaTheme="minorEastAsia" w:hAnsi="Times New Roman" w:cs="Times New Roman"/>
          <w:bCs/>
          <w:sz w:val="24"/>
          <w:szCs w:val="24"/>
        </w:rPr>
        <w:t xml:space="preserve">esting </w:t>
      </w:r>
      <w:r w:rsidR="001F2437" w:rsidRPr="00165ED2">
        <w:rPr>
          <w:rFonts w:ascii="Times New Roman" w:eastAsiaTheme="minorEastAsia" w:hAnsi="Times New Roman" w:cs="Times New Roman"/>
          <w:bCs/>
          <w:sz w:val="24"/>
          <w:szCs w:val="24"/>
        </w:rPr>
        <w:t xml:space="preserve">(i.e. 0W) </w:t>
      </w:r>
      <w:r w:rsidR="008C59E0" w:rsidRPr="00165ED2">
        <w:rPr>
          <w:rFonts w:ascii="Times New Roman" w:eastAsiaTheme="minorEastAsia" w:hAnsi="Times New Roman" w:cs="Times New Roman"/>
          <w:bCs/>
          <w:sz w:val="24"/>
          <w:szCs w:val="24"/>
        </w:rPr>
        <w:t xml:space="preserve">occlusion results in </w:t>
      </w:r>
      <w:r w:rsidR="001C45B2" w:rsidRPr="00165ED2">
        <w:rPr>
          <w:rFonts w:ascii="Times New Roman" w:eastAsiaTheme="minorEastAsia" w:hAnsi="Times New Roman" w:cs="Times New Roman"/>
          <w:bCs/>
          <w:sz w:val="24"/>
          <w:szCs w:val="24"/>
        </w:rPr>
        <w:t xml:space="preserve">progressive </w:t>
      </w:r>
      <w:r w:rsidR="008C59E0" w:rsidRPr="00165ED2">
        <w:rPr>
          <w:rFonts w:ascii="Times New Roman" w:eastAsiaTheme="minorEastAsia" w:hAnsi="Times New Roman" w:cs="Times New Roman"/>
          <w:bCs/>
          <w:sz w:val="24"/>
          <w:szCs w:val="24"/>
        </w:rPr>
        <w:t>depletion of [</w:t>
      </w:r>
      <w:proofErr w:type="spellStart"/>
      <w:r w:rsidR="008C59E0" w:rsidRPr="00165ED2">
        <w:rPr>
          <w:rFonts w:ascii="Times New Roman" w:eastAsiaTheme="minorEastAsia" w:hAnsi="Times New Roman" w:cs="Times New Roman"/>
          <w:bCs/>
          <w:sz w:val="24"/>
          <w:szCs w:val="24"/>
        </w:rPr>
        <w:t>PCr</w:t>
      </w:r>
      <w:proofErr w:type="spellEnd"/>
      <w:r w:rsidR="008C59E0" w:rsidRPr="00165ED2">
        <w:rPr>
          <w:rFonts w:ascii="Times New Roman" w:eastAsiaTheme="minorEastAsia" w:hAnsi="Times New Roman" w:cs="Times New Roman"/>
          <w:bCs/>
          <w:sz w:val="24"/>
          <w:szCs w:val="24"/>
        </w:rPr>
        <w:t>] and muscle/capillary O</w:t>
      </w:r>
      <w:r w:rsidR="008C59E0" w:rsidRPr="00165ED2">
        <w:rPr>
          <w:rFonts w:ascii="Times New Roman" w:eastAsiaTheme="minorEastAsia" w:hAnsi="Times New Roman" w:cs="Times New Roman"/>
          <w:bCs/>
          <w:sz w:val="24"/>
          <w:szCs w:val="24"/>
          <w:vertAlign w:val="subscript"/>
        </w:rPr>
        <w:t>2</w:t>
      </w:r>
      <w:r w:rsidR="008C59E0" w:rsidRPr="00165ED2">
        <w:rPr>
          <w:rFonts w:ascii="Times New Roman" w:eastAsiaTheme="minorEastAsia" w:hAnsi="Times New Roman" w:cs="Times New Roman"/>
          <w:bCs/>
          <w:sz w:val="24"/>
          <w:szCs w:val="24"/>
        </w:rPr>
        <w:t xml:space="preserve"> stores</w:t>
      </w:r>
      <w:r w:rsidR="00C33BAB" w:rsidRPr="00165ED2">
        <w:rPr>
          <w:rFonts w:ascii="Times New Roman" w:eastAsiaTheme="minorEastAsia" w:hAnsi="Times New Roman" w:cs="Times New Roman"/>
          <w:bCs/>
          <w:sz w:val="24"/>
          <w:szCs w:val="24"/>
        </w:rPr>
        <w:t xml:space="preserve">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{"citationID":"fPSdhfn1","properties":{"formattedCitation":"[76,77]","plainCitation":"[76,77]","noteIndex":0},"citationItems":[{"id":3118,"uris":["http://zotero.org/users/5056530/items/VREDX8RR"],"itemData":{"id":3118,"type":"article-journal","abstract":"The purpose of this study was to determine whether the initial rate of hemoglobin and myoglobin deoxygenation during immediate postexercise ischemia, a reflection of muscle O2 consumption (VO2mus), can be a quantitative measure of muscle oxidative metabolism. The finger flexor muscles of five healthy men (aged 25-31 yr) were monitored by 31P-magnetic resonance spectroscopy for changes in phosphocreatine (PCr), Pi, and pH. Tests were conducted during 15 min of cuff ischemia and during 5 min of submaximal isotonic grip exercise at 10, 20, 30, and 40% of maximal voluntary contraction, one contraction every 4 s. The VO2mus changes were also monitored by near-infrared spectroscopy with continuous wave. The VO2mus during exercise was expressed relative to the resting value. The resting metabolic rate, calculated from the PCr breakdown rate after complete O2 depletion, was 0.0010 (SD) mM ATP/s. During submaximal exercise (pH &gt; 6.9), the VO2mus increased with a rise in intensity (0.036 +/- 0.011, 0.054 +/- 0.016, 0.062 +/- 0.012, and 0.067 +/- 0.020 mM ATP/s during 10, 20, 30, and 40% maximal voluntary contraction, respectively) and showed significant correlation with changes in both calculated ADP and PCr values (r2 = 0.98 and r2 = 0.99, respectively). In conclusion, because of the significant correlation with regulatory metabolites (ADP and PCr) of oxidative phosphorylation, O2 decline rate in immediate postexercise ischemia determined by near-infrared spectroscopy with continuous wave can be utilized for the quantitative evaluation of localized muscle oxidative metabolism.","container-title":"Journal of Applied Physiology (Bethesda, Md.: 1985)","DOI":"10.1152/jappl.1996.81.3.1410","ISSN":"8750-7587","issue":"3","journalAbbreviation":"J Appl Physiol (1985)","language":"eng","note":"PMID: 8889781","page":"1410-1417","source":"PubMed","title":"Noninvasive measures of oxidative metabolism on working human muscles by near-infrared spectroscopy","volume":"81","author":[{"family":"Hamaoka","given":"T."},{"family":"Iwane","given":"H."},{"family":"Shimomitsu","given":"T."},{"family":"Katsumura","given":"T."},{"family":"Murase","given":"N."},{"family":"Nishio","given":"S."},{"family":"Osada","given":"T."},{"family":"Kurosawa","given":"Y."},{"family":"Chance","given":"B."}],"issued":{"date-parts":[["1996",9]]}}},{"id":3383,"uris":["http://zotero.org/users/5056530/items/IVEFUB98"],"itemData":{"id":3383,"type":"article-journal","abstract":"The forearm muscles of five healthy males were monitored for changes in microvessel hemoglobin saturation (SO2-TRS) by near infrared time-resolved spectroscopy (NIRTRS) and changes in phosphorus metabolites by magnetic resonance spectroscopy (31P-MRS) during 12 min of resting arterial occlusion. Muscle oxygenation and phosphorus metabolites were also measured during grip exercises at varying intensities. Upon the initiation of occlusion, SO2-TRS fell progressively until it reached a plateau in the latter half of the occlusion. Phosphocreatine (PCr) began to decrease around 6 min after the initiation of arterial occlusion. The resting O2 store and O2 consumption were 295 μM and 0.95 μM/sec, respectively-values which reasonably agree with the reported results. A significant correlation was observed between the changes in SO2-TRS and PCr during exercise (r2 = 0.80, p &lt; 0.001). These results indicate that NIRTRS is able to provide reliable information about resting metabolism and oxidative rate during exercise. NIRTRS and MRS are useful to monitor oxygenation and energetics noninvasively in the human muscle.","container-title":"Optical Review","DOI":"10.1007/s10043-003-0493-x","ISSN":"1349-9432","issue":"5","journalAbbreviation":"OPT REV","language":"en","page":"493-497","source":"Springer Link","title":"Quantitative Evaluation of Oxygenation and Metabolism in the Human Skeletal Muscle","volume":"10","author":[{"family":"Hamaoka","given":"Takafumi"},{"family":"Osada","given":"Takuya"},{"family":"Murase","given":"Norio"},{"family":"Sako","given":"Takayuki"},{"family":"Higuchi","given":"Hiroyuki"},{"family":"Kurosawa","given":"Yuko"},{"family":"Miwa","given":"Mitsuharu"},{"family":"Katsumura","given":"Toshihito"},{"family":"Chance","given":"Britton"}],"issued":{"date-parts":[["2003",9,1]]}}}],"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[76,77]</w:t>
      </w:r>
      <w:r w:rsidR="005210C1" w:rsidRPr="00165ED2">
        <w:rPr>
          <w:rFonts w:ascii="Times New Roman" w:eastAsiaTheme="minorEastAsia" w:hAnsi="Times New Roman" w:cs="Times New Roman"/>
          <w:bCs/>
          <w:sz w:val="24"/>
          <w:szCs w:val="24"/>
        </w:rPr>
        <w:fldChar w:fldCharType="end"/>
      </w:r>
      <w:r w:rsidR="001F2437" w:rsidRPr="00165ED2">
        <w:rPr>
          <w:rFonts w:ascii="Times New Roman" w:eastAsiaTheme="minorEastAsia" w:hAnsi="Times New Roman" w:cs="Times New Roman"/>
          <w:bCs/>
          <w:sz w:val="24"/>
          <w:szCs w:val="24"/>
        </w:rPr>
        <w:t xml:space="preserve">, a feature consistent with </w:t>
      </w:r>
      <w:r w:rsidR="001C45B2" w:rsidRPr="00165ED2">
        <w:rPr>
          <w:rFonts w:ascii="Times New Roman" w:eastAsiaTheme="minorEastAsia" w:hAnsi="Times New Roman" w:cs="Times New Roman"/>
          <w:bCs/>
          <w:sz w:val="24"/>
          <w:szCs w:val="24"/>
        </w:rPr>
        <w:t xml:space="preserve">non-steady -state </w:t>
      </w:r>
      <w:r w:rsidR="001F2437" w:rsidRPr="00165ED2">
        <w:rPr>
          <w:rFonts w:ascii="Times New Roman" w:eastAsiaTheme="minorEastAsia" w:hAnsi="Times New Roman" w:cs="Times New Roman"/>
          <w:bCs/>
          <w:sz w:val="24"/>
          <w:szCs w:val="24"/>
        </w:rPr>
        <w:t>conditions</w:t>
      </w:r>
      <w:r w:rsidR="001C45B2" w:rsidRPr="00165ED2">
        <w:rPr>
          <w:rFonts w:ascii="Times New Roman" w:eastAsiaTheme="minorEastAsia" w:hAnsi="Times New Roman" w:cs="Times New Roman"/>
          <w:bCs/>
          <w:sz w:val="24"/>
          <w:szCs w:val="24"/>
        </w:rPr>
        <w:t xml:space="preserve"> </w:t>
      </w:r>
      <w:r w:rsidR="00C33BAB" w:rsidRPr="00165ED2">
        <w:rPr>
          <w:rFonts w:ascii="Times New Roman" w:eastAsiaTheme="minorEastAsia" w:hAnsi="Times New Roman" w:cs="Times New Roman"/>
          <w:bCs/>
          <w:sz w:val="24"/>
          <w:szCs w:val="24"/>
        </w:rPr>
        <w:fldChar w:fldCharType="begin"/>
      </w:r>
      <w:r w:rsidR="007A3303" w:rsidRPr="00165ED2">
        <w:rPr>
          <w:rFonts w:ascii="Times New Roman" w:eastAsiaTheme="minorEastAsia" w:hAnsi="Times New Roman" w:cs="Times New Roman"/>
          <w:bCs/>
          <w:sz w:val="24"/>
          <w:szCs w:val="24"/>
        </w:rPr>
        <w:instrText xml:space="preserve"> ADDIN ZOTERO_ITEM CSL_CITATION {"citationID":"flkfZ1bU","properties":{"formattedCitation":"[15]","plainCitation":"[15]","noteIndex":0},"citationItems":[{"id":277,"uris":["http://zotero.org/users/5056530/items/W4WQ58MJ"],"itemData":{"id":277,"type":"article-journal","abstract":"We tested the hypothesis that the asymptote of the hyperbolic relationship between work rate and time to exhaustion during muscular exercise, the \"critical power\" (CP), represents the highest constant work rate that can be sustained without a progressive loss of homeostasis [as assessed using (31)P magnetic resonance spectroscopy (MRS) measurements of muscle metabolites]. Six healthy male subjects initially completed single-leg knee-extension exercise at three to four different constant work rates to the limit of tolerance (range 3-18 min) for estimation of the CP (mean +/- SD, 20 +/- 2 W). Subsequently, the subjects exercised at work rates 10% below CP (&lt;CP) for 20 min and 10% above CP (&gt;CP) for as long as possible, while the metabolic responses in the contracting quadriceps muscle, i.e., phosphorylcreatine concentration ([PCr]), P(i) concentration ([P(i)]), and pH, were estimated using (31)P-MRS. All subjects completed 20 min of &lt;CP exercise without duress, whereas the limit of tolerance during &gt;CP exercise was 14.7 +/- 7.1 min. During &lt;CP exercise, stable values for [PCr], [P(i)], and pH were attained within 3 min after the onset of exercise, and there were no further significant changes in these variables (end-exercise values = 68 +/- 11% of baseline [PCr], 314 +/- 216% of baseline [P(i)], and pH 7.01 +/- 0.03). During &gt;CP exercise, however, [PCr] continued to fall to the point of exhaustion and [P(i)] and pH changed precipitously to values that are typically observed at the termination of high-intensity exhaustive exercise (end-exercise values = 26 +/- 16% of baseline [PCr], 564 +/- 167% of baseline [P(i)], and pH 6.87 +/- 0.10, all P &lt; 0.05 vs. &lt;CP exercise). These data support the hypothesis that the CP represents the highest constant work rate that can be sustained without a progressive depletion of muscle high-energy phosphates and a rapid accumulation of metabolites (i.e., H(+) concentration and [P(i)]), which have been associated with the fatigue process.","container-title":"American Journal of Physiology. Regulatory, Integrative and Comparative Physiology","DOI":"10.1152/ajpregu.00731.2007","ISSN":"0363-6119","issue":"2","journalAbbreviation":"Am. J. Physiol. Regul. Integr. Comp. Physiol.","language":"eng","note":"PMID: 18056980","page":"R585-593","source":"PubMed","title":"Muscle metabolic responses to exercise above and below the \"critical power\" assessed using 31P-MRS","volume":"294","author":[{"family":"Jones","given":"Andrew M."},{"family":"Wilkerson","given":"Daryl P."},{"family":"DiMenna","given":"Fred"},{"family":"Fulford","given":"Jonathan"},{"family":"Poole","given":"David C."}],"issued":{"date-parts":[["2008",2]]}}}],"schema":"https://github.com/citation-style-language/schema/raw/master/csl-citation.json"} </w:instrText>
      </w:r>
      <w:r w:rsidR="00C33BAB" w:rsidRPr="00165ED2">
        <w:rPr>
          <w:rFonts w:ascii="Times New Roman" w:eastAsiaTheme="minorEastAsia" w:hAnsi="Times New Roman" w:cs="Times New Roman"/>
          <w:bCs/>
          <w:sz w:val="24"/>
          <w:szCs w:val="24"/>
        </w:rPr>
        <w:fldChar w:fldCharType="separate"/>
      </w:r>
      <w:r w:rsidR="007A3303" w:rsidRPr="00165ED2">
        <w:rPr>
          <w:rFonts w:ascii="Times New Roman" w:hAnsi="Times New Roman" w:cs="Times New Roman"/>
          <w:sz w:val="24"/>
        </w:rPr>
        <w:t>[15]</w:t>
      </w:r>
      <w:r w:rsidR="00C33BAB" w:rsidRPr="00165ED2">
        <w:rPr>
          <w:rFonts w:ascii="Times New Roman" w:eastAsiaTheme="minorEastAsia" w:hAnsi="Times New Roman" w:cs="Times New Roman"/>
          <w:bCs/>
          <w:sz w:val="24"/>
          <w:szCs w:val="24"/>
        </w:rPr>
        <w:fldChar w:fldCharType="end"/>
      </w:r>
      <w:r w:rsidR="0032747A" w:rsidRPr="00165ED2">
        <w:rPr>
          <w:rFonts w:ascii="Times New Roman" w:eastAsiaTheme="minorEastAsia" w:hAnsi="Times New Roman" w:cs="Times New Roman"/>
          <w:bCs/>
          <w:sz w:val="24"/>
          <w:szCs w:val="24"/>
        </w:rPr>
        <w:t xml:space="preserve">. </w:t>
      </w:r>
      <w:r w:rsidR="007D14DF" w:rsidRPr="00165ED2">
        <w:rPr>
          <w:rFonts w:ascii="Times New Roman" w:eastAsiaTheme="minorEastAsia" w:hAnsi="Times New Roman" w:cs="Times New Roman"/>
          <w:bCs/>
          <w:sz w:val="24"/>
          <w:szCs w:val="24"/>
        </w:rPr>
        <w:t>Accordingly,</w:t>
      </w:r>
      <w:r w:rsidR="008F617D" w:rsidRPr="00165ED2">
        <w:rPr>
          <w:rFonts w:ascii="Times New Roman" w:eastAsiaTheme="minorEastAsia" w:hAnsi="Times New Roman" w:cs="Times New Roman"/>
          <w:bCs/>
          <w:sz w:val="24"/>
          <w:szCs w:val="24"/>
        </w:rPr>
        <w:t xml:space="preserve"> the magnitude of the negative CP during blood flow occlusion </w:t>
      </w:r>
      <w:r w:rsidR="007D14DF" w:rsidRPr="00165ED2">
        <w:rPr>
          <w:rFonts w:ascii="Times New Roman" w:eastAsiaTheme="minorEastAsia" w:hAnsi="Times New Roman" w:cs="Times New Roman"/>
          <w:bCs/>
          <w:sz w:val="24"/>
          <w:szCs w:val="24"/>
        </w:rPr>
        <w:t>would be expected to be proportional to the resting metabolic rate</w:t>
      </w:r>
      <w:r w:rsidR="00E16E1B" w:rsidRPr="00165ED2">
        <w:rPr>
          <w:rFonts w:ascii="Times New Roman" w:eastAsiaTheme="minorEastAsia" w:hAnsi="Times New Roman" w:cs="Times New Roman"/>
          <w:bCs/>
          <w:sz w:val="24"/>
          <w:szCs w:val="24"/>
        </w:rPr>
        <w:t>, and as such is entirely plausible</w:t>
      </w:r>
      <w:r w:rsidR="007D14DF" w:rsidRPr="00165ED2">
        <w:rPr>
          <w:rFonts w:ascii="Times New Roman" w:eastAsiaTheme="minorEastAsia" w:hAnsi="Times New Roman" w:cs="Times New Roman"/>
          <w:bCs/>
          <w:sz w:val="24"/>
          <w:szCs w:val="24"/>
        </w:rPr>
        <w:t xml:space="preserve">. </w:t>
      </w:r>
    </w:p>
    <w:p w14:paraId="24581509" w14:textId="3A4C3B53" w:rsidR="00EE37A9" w:rsidRPr="00165ED2" w:rsidRDefault="0032747A" w:rsidP="00F260F9">
      <w:pPr>
        <w:spacing w:line="480" w:lineRule="auto"/>
        <w:ind w:firstLine="720"/>
        <w:jc w:val="both"/>
        <w:rPr>
          <w:rFonts w:ascii="Times New Roman" w:eastAsiaTheme="minorEastAsia" w:hAnsi="Times New Roman" w:cs="Times New Roman"/>
          <w:bCs/>
          <w:sz w:val="24"/>
          <w:szCs w:val="24"/>
        </w:rPr>
      </w:pPr>
      <w:r w:rsidRPr="00165ED2">
        <w:rPr>
          <w:rFonts w:ascii="Times New Roman" w:eastAsiaTheme="minorEastAsia" w:hAnsi="Times New Roman" w:cs="Times New Roman"/>
          <w:bCs/>
          <w:sz w:val="24"/>
          <w:szCs w:val="24"/>
        </w:rPr>
        <w:t xml:space="preserve">These findings were recently extended by Hammer et al.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{"citationID":"S4dns5Rq","properties":{"formattedCitation":"[78]","plainCitation":"[78]","noteIndex":0},"citationItems":[{"id":1103,"uris":["http://zotero.org/users/5056530/items/99AUPVRN"],"itemData":{"id":1103,"type":"article-journal","abstract":"Key points The heavy-to-severe intensity exercise threshold (i.e. critical force) distinguishes between steady-state and progressive metabolic and neuromuscular responses to exercise. High levels of skeletal muscle sensory feedback related to peripheral fatigue development are thought to restrict motor unit activation and limit exercise tolerance. Utilizing limb blood flow occlusion, we demonstrate that critical force reflects an oxygen-delivery-dependent balance between motor unit activation and peripheral fatigue development. Our findings suggest that mechanisms which determine the total force-producing capacity of exercising skeletal muscle are significantly altered during blood flow occlusion. These findings may have widespread implications for exercise tolerance in patient populations who experience partial vascular occlusion or altered neuromuscular reflexes. Abstract High levels of muscle sensory feedback restrict motor unit activation and limit exercise tolerance. The roles of muscle fatigue development and motor unit activation in determining the heavy- to severe-intensity threshold (critical force; CF) remain unclear. This study utilized blood flow occlusion (OCC) to determine relationships between muscle fatigue development and motor unit activation during the determination of CF. We hypothesized that (1) OCC would exacerbate peripheral fatigue development and increase the rate of motor unit deactivation, and (2) blood flow reperfusion (REP) would result in muscle recovery and re-recruitment of motor units despite continuous maximal effort, (3) resulting in an end-exercise force not different from CF. Seven young, healthy subjects performed maximal-effort rhythmic handgrip exercise for 5 min under control conditions (CON) and during OCC and REP. Peripheral fatigue development and motor unit activation were measured via electrical stimulation and electromyography, respectively, during each test. OCC resulted in significantly greater peripheral fatigue development than CON (54.3 ± 34.8%; P &lt; 0.001). Motor unit deactivation was only observed during OCC (P &lt; 0.001). REP resulted in significant peripheral recovery (P &lt; 0.001) and the re-recruitment of motor units (P &lt; 0.001) to levels not different from CON. While OCC resulted in a significantly greater reduction in force production compared to CON (65.7 ± 35.6%; P &lt; 0.001), REP resulted in the restoration of maximal-effort force production (266 ± 19 N; P &lt; 0.001) to levels not different from CF (276 ± 55 N). These data suggest that CF reflects an oxygen-delivery-dependent balance between motor unit activation and peripheral fatigue development. Furthermore, this study established that mechanisms which determine the total force-producing capacity of exercising skeletal muscle are altered during OCC.","container-title":"The Journal of Physiology","DOI":"https://doi.org/10.1113/JP279925","ISSN":"1469-7793","issue":"19","language":"en","license":"© 2020 The Authors. The Journal of Physiology © 2020 The Physiological Society","note":"_eprint: https://physoc.onlinelibrary.wiley.com/doi/pdf/10.1113/JP279925","page":"4293-4306","source":"Wiley Online Library","title":"Influence of blood flow occlusion on muscular recruitment and fatigue during maximal-effort small muscle-mass exercise","volume":"598","author":[{"family":"Hammer","given":"Shane M."},{"family":"Alexander","given":"Andrew M."},{"family":"Didier","given":"Kaylin D."},{"family":"Barstow","given":"Thomas J."}],"issued":{"date-parts":[["2020"]]}}}],"schema":"https://github.com/citation-style-language/schema/raw/master/csl-citation.json"}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[78]</w:t>
      </w:r>
      <w:r w:rsidR="005210C1" w:rsidRPr="00165ED2">
        <w:rPr>
          <w:rFonts w:ascii="Times New Roman" w:eastAsiaTheme="minorEastAsia" w:hAnsi="Times New Roman" w:cs="Times New Roman"/>
          <w:bCs/>
          <w:sz w:val="24"/>
          <w:szCs w:val="24"/>
        </w:rPr>
        <w:fldChar w:fldCharType="end"/>
      </w:r>
      <w:r w:rsidR="005210C1" w:rsidRPr="00165ED2">
        <w:rPr>
          <w:rFonts w:ascii="Times New Roman" w:eastAsiaTheme="minorEastAsia" w:hAnsi="Times New Roman" w:cs="Times New Roman"/>
          <w:bCs/>
          <w:sz w:val="24"/>
          <w:szCs w:val="24"/>
        </w:rPr>
        <w:t xml:space="preserve"> </w:t>
      </w:r>
      <w:r w:rsidR="00A76404" w:rsidRPr="00165ED2">
        <w:rPr>
          <w:rFonts w:ascii="Times New Roman" w:eastAsiaTheme="minorEastAsia" w:hAnsi="Times New Roman" w:cs="Times New Roman"/>
          <w:bCs/>
          <w:sz w:val="24"/>
          <w:szCs w:val="24"/>
        </w:rPr>
        <w:t xml:space="preserve">where critical force (CF) was estimated </w:t>
      </w:r>
      <w:r w:rsidR="00CD4112" w:rsidRPr="00165ED2">
        <w:rPr>
          <w:rFonts w:ascii="Times New Roman" w:eastAsiaTheme="minorEastAsia" w:hAnsi="Times New Roman" w:cs="Times New Roman"/>
          <w:bCs/>
          <w:sz w:val="24"/>
          <w:szCs w:val="24"/>
        </w:rPr>
        <w:t xml:space="preserve">during the final minute of </w:t>
      </w:r>
      <w:r w:rsidR="00A76404" w:rsidRPr="00165ED2">
        <w:rPr>
          <w:rFonts w:ascii="Times New Roman" w:eastAsiaTheme="minorEastAsia" w:hAnsi="Times New Roman" w:cs="Times New Roman"/>
          <w:bCs/>
          <w:sz w:val="24"/>
          <w:szCs w:val="24"/>
        </w:rPr>
        <w:t>repeated handgrip MVC</w:t>
      </w:r>
      <w:r w:rsidR="003965E1" w:rsidRPr="00165ED2">
        <w:rPr>
          <w:rFonts w:ascii="Times New Roman" w:eastAsiaTheme="minorEastAsia" w:hAnsi="Times New Roman" w:cs="Times New Roman"/>
          <w:bCs/>
          <w:sz w:val="24"/>
          <w:szCs w:val="24"/>
        </w:rPr>
        <w:t xml:space="preserve"> efforts over a 5-minute duration. </w:t>
      </w:r>
      <w:r w:rsidRPr="00165ED2">
        <w:rPr>
          <w:rFonts w:ascii="Times New Roman" w:eastAsiaTheme="minorEastAsia" w:hAnsi="Times New Roman" w:cs="Times New Roman"/>
          <w:bCs/>
          <w:sz w:val="24"/>
          <w:szCs w:val="24"/>
        </w:rPr>
        <w:t xml:space="preserve">Under free-flowing conditions without occlusion, force progressively declined with time during the test until a plateau was reached in the final minute of the test, termed CF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{"citationID":"8JXZWfC4","properties":{"formattedCitation":"[78]","plainCitation":"[78]","noteIndex":0},"citationItems":[{"id":1103,"uris":["http://zotero.org/users/5056530/items/99AUPVRN"],"itemData":{"id":1103,"type":"article-journal","abstract":"Key points The heavy-to-severe intensity exercise threshold (i.e. critical force) distinguishes between steady-state and progressive metabolic and neuromuscular responses to exercise. High levels of skeletal muscle sensory feedback related to peripheral fatigue development are thought to restrict motor unit activation and limit exercise tolerance. Utilizing limb blood flow occlusion, we demonstrate that critical force reflects an oxygen-delivery-dependent balance between motor unit activation and peripheral fatigue development. Our findings suggest that mechanisms which determine the total force-producing capacity of exercising skeletal muscle are significantly altered during blood flow occlusion. These findings may have widespread implications for exercise tolerance in patient populations who experience partial vascular occlusion or altered neuromuscular reflexes. Abstract High levels of muscle sensory feedback restrict motor unit activation and limit exercise tolerance. The roles of muscle fatigue development and motor unit activation in determining the heavy- to severe-intensity threshold (critical force; CF) remain unclear. This study utilized blood flow occlusion (OCC) to determine relationships between muscle fatigue development and motor unit activation during the determination of CF. We hypothesized that (1) OCC would exacerbate peripheral fatigue development and increase the rate of motor unit deactivation, and (2) blood flow reperfusion (REP) would result in muscle recovery and re-recruitment of motor units despite continuous maximal effort, (3) resulting in an end-exercise force not different from CF. Seven young, healthy subjects performed maximal-effort rhythmic handgrip exercise for 5 min under control conditions (CON) and during OCC and REP. Peripheral fatigue development and motor unit activation were measured via electrical stimulation and electromyography, respectively, during each test. OCC resulted in significantly greater peripheral fatigue development than CON (54.3 ± 34.8%; P &lt; 0.001). Motor unit deactivation was only observed during OCC (P &lt; 0.001). REP resulted in significant peripheral recovery (P &lt; 0.001) and the re-recruitment of motor units (P &lt; 0.001) to levels not different from CON. While OCC resulted in a significantly greater reduction in force production compared to CON (65.7 ± 35.6%; P &lt; 0.001), REP resulted in the restoration of maximal-effort force production (266 ± 19 N; P &lt; 0.001) to levels not different from CF (276 ± 55 N). These data suggest that CF reflects an oxygen-delivery-dependent balance between motor unit activation and peripheral fatigue development. Furthermore, this study established that mechanisms which determine the total force-producing capacity of exercising skeletal muscle are altered during OCC.","container-title":"The Journal of Physiology","DOI":"https://doi.org/10.1113/JP279925","ISSN":"1469-7793","issue":"19","language":"en","license":"© 2020 The Authors. The Journal of Physiology © 2020 The Physiological Society","note":"_eprint: https://physoc.onlinelibrary.wiley.com/doi/pdf/10.1113/JP279925","page":"4293-4306","source":"Wiley Online Library","title":"Influence of blood flow occlusion on muscular recruitment and fatigue during maximal-effort small muscle-mass exercise","volume":"598","author":[{"family":"Hammer","given":"Shane M."},{"family":"Alexander","given":"Andrew M."},{"family":"Didier","given":"Kaylin D."},{"family":"Barstow","given":"Thomas J."}],"issued":{"date-parts":[["2020"]]}}}],"schema":"https://github.com/citation-style-language/schema/raw/master/csl-citation.json"}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[78]</w:t>
      </w:r>
      <w:r w:rsidR="005210C1" w:rsidRPr="00165ED2">
        <w:rPr>
          <w:rFonts w:ascii="Times New Roman" w:eastAsiaTheme="minorEastAsia" w:hAnsi="Times New Roman" w:cs="Times New Roman"/>
          <w:bCs/>
          <w:sz w:val="24"/>
          <w:szCs w:val="24"/>
        </w:rPr>
        <w:fldChar w:fldCharType="end"/>
      </w:r>
      <w:r w:rsidR="005210C1" w:rsidRPr="00165ED2">
        <w:rPr>
          <w:rFonts w:ascii="Times New Roman" w:eastAsiaTheme="minorEastAsia" w:hAnsi="Times New Roman" w:cs="Times New Roman"/>
          <w:bCs/>
          <w:sz w:val="24"/>
          <w:szCs w:val="24"/>
        </w:rPr>
        <w:t xml:space="preserve">. </w:t>
      </w:r>
      <w:r w:rsidRPr="00165ED2">
        <w:rPr>
          <w:rFonts w:ascii="Times New Roman" w:eastAsiaTheme="minorEastAsia" w:hAnsi="Times New Roman" w:cs="Times New Roman"/>
          <w:bCs/>
          <w:sz w:val="24"/>
          <w:szCs w:val="24"/>
        </w:rPr>
        <w:t xml:space="preserve">With muscle occlusion, however, force continuously declined with time, i.e., there was no plateau in force at end-exercise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{"citationID":"w6KjgF6d","properties":{"formattedCitation":"[78]","plainCitation":"[78]","noteIndex":0},"citationItems":[{"id":1103,"uris":["http://zotero.org/users/5056530/items/99AUPVRN"],"itemData":{"id":1103,"type":"article-journal","abstract":"Key points The heavy-to-severe intensity exercise threshold (i.e. critical force) distinguishes between steady-state and progressive metabolic and neuromuscular responses to exercise. High levels of skeletal muscle sensory feedback related to peripheral fatigue development are thought to restrict motor unit activation and limit exercise tolerance. Utilizing limb blood flow occlusion, we demonstrate that critical force reflects an oxygen-delivery-dependent balance between motor unit activation and peripheral fatigue development. Our findings suggest that mechanisms which determine the total force-producing capacity of exercising skeletal muscle are significantly altered during blood flow occlusion. These findings may have widespread implications for exercise tolerance in patient populations who experience partial vascular occlusion or altered neuromuscular reflexes. Abstract High levels of muscle sensory feedback restrict motor unit activation and limit exercise tolerance. The roles of muscle fatigue development and motor unit activation in determining the heavy- to severe-intensity threshold (critical force; CF) remain unclear. This study utilized blood flow occlusion (OCC) to determine relationships between muscle fatigue development and motor unit activation during the determination of CF. We hypothesized that (1) OCC would exacerbate peripheral fatigue development and increase the rate of motor unit deactivation, and (2) blood flow reperfusion (REP) would result in muscle recovery and re-recruitment of motor units despite continuous maximal effort, (3) resulting in an end-exercise force not different from CF. Seven young, healthy subjects performed maximal-effort rhythmic handgrip exercise for 5 min under control conditions (CON) and during OCC and REP. Peripheral fatigue development and motor unit activation were measured via electrical stimulation and electromyography, respectively, during each test. OCC resulted in significantly greater peripheral fatigue development than CON (54.3 ± 34.8%; P &lt; 0.001). Motor unit deactivation was only observed during OCC (P &lt; 0.001). REP resulted in significant peripheral recovery (P &lt; 0.001) and the re-recruitment of motor units (P &lt; 0.001) to levels not different from CON. While OCC resulted in a significantly greater reduction in force production compared to CON (65.7 ± 35.6%; P &lt; 0.001), REP resulted in the restoration of maximal-effort force production (266 ± 19 N; P &lt; 0.001) to levels not different from CF (276 ± 55 N). These data suggest that CF reflects an oxygen-delivery-dependent balance between motor unit activation and peripheral fatigue development. Furthermore, this study established that mechanisms which determine the total force-producing capacity of exercising skeletal muscle are altered during OCC.","container-title":"The Journal of Physiology","DOI":"https://doi.org/10.1113/JP279925","ISSN":"1469-7793","issue":"19","language":"en","license":"© 2020 The Authors. The Journal of Physiology © 2020 The Physiological Society","note":"_eprint: https://physoc.onlinelibrary.wiley.com/doi/pdf/10.1113/JP279925","page":"4293-4306","source":"Wiley Online Library","title":"Influence of blood flow occlusion on muscular recruitment and fatigue during maximal-effort small muscle-mass exercise","volume":"598","author":[{"family":"Hammer","given":"Shane M."},{"family":"Alexander","given":"Andrew M."},{"family":"Didier","given":"Kaylin D."},{"family":"Barstow","given":"Thomas J."}],"issued":{"date-parts":[["2020"]]}}}],"schema":"https://github.com/citation-style-language/schema/raw/master/csl-citation.json"}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[78]</w:t>
      </w:r>
      <w:r w:rsidR="005210C1" w:rsidRPr="00165ED2">
        <w:rPr>
          <w:rFonts w:ascii="Times New Roman" w:eastAsiaTheme="minorEastAsia" w:hAnsi="Times New Roman" w:cs="Times New Roman"/>
          <w:bCs/>
          <w:sz w:val="24"/>
          <w:szCs w:val="24"/>
        </w:rPr>
        <w:fldChar w:fldCharType="end"/>
      </w:r>
      <w:r w:rsidR="005210C1" w:rsidRPr="00165ED2">
        <w:rPr>
          <w:rFonts w:ascii="Times New Roman" w:eastAsiaTheme="minorEastAsia" w:hAnsi="Times New Roman" w:cs="Times New Roman"/>
          <w:bCs/>
          <w:sz w:val="24"/>
          <w:szCs w:val="24"/>
        </w:rPr>
        <w:t>.</w:t>
      </w:r>
      <w:r w:rsidR="00C33BAB" w:rsidRPr="00165ED2">
        <w:rPr>
          <w:rFonts w:ascii="Times New Roman" w:eastAsiaTheme="minorEastAsia" w:hAnsi="Times New Roman" w:cs="Times New Roman"/>
          <w:bCs/>
          <w:sz w:val="24"/>
          <w:szCs w:val="24"/>
        </w:rPr>
        <w:t xml:space="preserve"> </w:t>
      </w:r>
      <w:r w:rsidR="007D14DF" w:rsidRPr="00165ED2">
        <w:rPr>
          <w:rFonts w:ascii="Times New Roman" w:eastAsiaTheme="minorEastAsia" w:hAnsi="Times New Roman" w:cs="Times New Roman"/>
          <w:bCs/>
          <w:sz w:val="24"/>
          <w:szCs w:val="24"/>
        </w:rPr>
        <w:t>F</w:t>
      </w:r>
      <w:r w:rsidRPr="00165ED2">
        <w:rPr>
          <w:rFonts w:ascii="Times New Roman" w:eastAsiaTheme="minorEastAsia" w:hAnsi="Times New Roman" w:cs="Times New Roman"/>
          <w:bCs/>
          <w:sz w:val="24"/>
          <w:szCs w:val="24"/>
        </w:rPr>
        <w:t xml:space="preserve">ollowing subsequent reperfusion, force was able to recover to a level not significantly different from CF determined under free-flowing conditions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{"citationID":"A72fjl8s","properties":{"formattedCitation":"[78]","plainCitation":"[78]","noteIndex":0},"citationItems":[{"id":1103,"uris":["http://zotero.org/users/5056530/items/99AUPVRN"],"itemData":{"id":1103,"type":"article-journal","abstract":"Key points The heavy-to-severe intensity exercise threshold (i.e. critical force) distinguishes between steady-state and progressive metabolic and neuromuscular responses to exercise. High levels of skeletal muscle sensory feedback related to peripheral fatigue development are thought to restrict motor unit activation and limit exercise tolerance. Utilizing limb blood flow occlusion, we demonstrate that critical force reflects an oxygen-delivery-dependent balance between motor unit activation and peripheral fatigue development. Our findings suggest that mechanisms which determine the total force-producing capacity of exercising skeletal muscle are significantly altered during blood flow occlusion. These findings may have widespread implications for exercise tolerance in patient populations who experience partial vascular occlusion or altered neuromuscular reflexes. Abstract High levels of muscle sensory feedback restrict motor unit activation and limit exercise tolerance. The roles of muscle fatigue development and motor unit activation in determining the heavy- to severe-intensity threshold (critical force; CF) remain unclear. This study utilized blood flow occlusion (OCC) to determine relationships between muscle fatigue development and motor unit activation during the determination of CF. We hypothesized that (1) OCC would exacerbate peripheral fatigue development and increase the rate of motor unit deactivation, and (2) blood flow reperfusion (REP) would result in muscle recovery and re-recruitment of motor units despite continuous maximal effort, (3) resulting in an end-exercise force not different from CF. Seven young, healthy subjects performed maximal-effort rhythmic handgrip exercise for 5 min under control conditions (CON) and during OCC and REP. Peripheral fatigue development and motor unit activation were measured via electrical stimulation and electromyography, respectively, during each test. OCC resulted in significantly greater peripheral fatigue development than CON (54.3 ± 34.8%; P &lt; 0.001). Motor unit deactivation was only observed during OCC (P &lt; 0.001). REP resulted in significant peripheral recovery (P &lt; 0.001) and the re-recruitment of motor units (P &lt; 0.001) to levels not different from CON. While OCC resulted in a significantly greater reduction in force production compared to CON (65.7 ± 35.6%; P &lt; 0.001), REP resulted in the restoration of maximal-effort force production (266 ± 19 N; P &lt; 0.001) to levels not different from CF (276 ± 55 N). These data suggest that CF reflects an oxygen-delivery-dependent balance between motor unit activation and peripheral fatigue development. Furthermore, this study established that mechanisms which determine the total force-producing capacity of exercising skeletal muscle are altered during OCC.","container-title":"The Journal of Physiology","DOI":"https://doi.org/10.1113/JP279925","ISSN":"1469-7793","issue":"19","language":"en","license":"© 2020 The Authors. The Journal of Physiology © 2020 The Physiological Society","note":"_eprint: https://physoc.onlinelibrary.wiley.com/doi/pdf/10.1113/JP279925","page":"4293-4306","source":"Wiley Online Library","title":"Influence of blood flow occlusion on muscular recruitment and fatigue during maximal-effort small muscle-mass exercise","volume":"598","author":[{"family":"Hammer","given":"Shane M."},{"family":"Alexander","given":"Andrew M."},{"family":"Didier","given":"Kaylin D."},{"family":"Barstow","given":"Thomas J."}],"issued":{"date-parts":[["2020"]]}}}],"schema":"https://github.com/citation-style-language/schema/raw/master/csl-citation.json"}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[78]</w:t>
      </w:r>
      <w:r w:rsidR="005210C1" w:rsidRPr="00165ED2">
        <w:rPr>
          <w:rFonts w:ascii="Times New Roman" w:eastAsiaTheme="minorEastAsia" w:hAnsi="Times New Roman" w:cs="Times New Roman"/>
          <w:bCs/>
          <w:sz w:val="24"/>
          <w:szCs w:val="24"/>
        </w:rPr>
        <w:fldChar w:fldCharType="end"/>
      </w:r>
      <w:r w:rsidR="005210C1" w:rsidRPr="00165ED2">
        <w:rPr>
          <w:rFonts w:ascii="Times New Roman" w:eastAsiaTheme="minorEastAsia" w:hAnsi="Times New Roman" w:cs="Times New Roman"/>
          <w:bCs/>
          <w:sz w:val="24"/>
          <w:szCs w:val="24"/>
        </w:rPr>
        <w:t xml:space="preserve">. </w:t>
      </w:r>
      <w:r w:rsidR="00EE37A9" w:rsidRPr="00165ED2">
        <w:rPr>
          <w:rFonts w:ascii="Times New Roman" w:eastAsiaTheme="minorEastAsia" w:hAnsi="Times New Roman" w:cs="Times New Roman"/>
          <w:bCs/>
          <w:sz w:val="24"/>
          <w:szCs w:val="24"/>
        </w:rPr>
        <w:t xml:space="preserve">These authors also demonstrated that up to and including CF, end-exercise limb blood flow values were linearly related to the constant-force requirements of each task </w:t>
      </w:r>
      <w:r w:rsidR="00EE37A9"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{"citationID":"FcwZSSzl","properties":{"formattedCitation":"[79,80]","plainCitation":"[79,80]","noteIndex":0},"citationItems":[{"id":1174,"uris":["http://zotero.org/users/5056530/items/N2AXQ58E"],"itemData":{"id":1174,"type":"article-journal","abstract":"This study compared the brachial artery blood flow (Q̇BA) and microvascular oxygen delivery responses during handgrip exercise above vs. below critical force (CF; the isometric analog of critical power). Q̇BA and microvascular oxygen delivery are important determinants of oxygen utilization and metabolite accumulation during exercise, both of which increase progressively during exercise above CF. However the Q̇BA and microvascular oxygen delivery responses above vs. below CF remain unknown. We hypothesized that Q̇BA, deoxygenated-heme (deoxy-[heme]; an estimate of microvascular fractional oxygen extraction), and total-heme concentrations (total-[heme]; an estimate of changes in microvascular hematocrit) would demonstrate physiological maximums above CF despite increases in exercise intensity. Seven men and six women performed 1) a 5-min rhythmic isometric-handgrip maximal-effort test (MET) to determine CF and 2) two constant target-force tests above (severe-intensity; S1 and S2) and two constant target-force tests below (heavy-intensity; H1 and H2) CF. CF was 189.3 ± 16.7 N (29.7 ± 1.6%MVC). At end-exercise, Q̇BA was greater for tests above CF (S1: 418 ± 147 mL/min; S2: 403 ± 137 mL/min) compared to tests below CF (H1: 287 ± 97 mL/min; H2: 340 ± 116 mL/min; all p &lt; 0.05) but was not different between S1 and S2. Further, end-test Q̇BA during both tests above CF was not different from Q̇BA estimated at CF (392 ± 37 mL/min). At end-exercise, deoxy-[heme] was not different between tests above CF (S1: 150 ± 50 μM; S2: 155 ± 57 μM), but was greater during tests above CF compared to tests below CF (H1: 101 ± 24 μM; H2: 111 ± 21 μM; all p &lt; 0.05). At end-exercise, total-[heme] was not different between tests above CF (S1: 404 ± 58 μM; S2: 397 ± 73 μM), but was greater during tests above CF compared to H1 (352 ± 58 μM; p &lt; 0.01) but not H2 (371 ± 57 μM). These data suggest limb blood flow limitations exist and maximal levels of muscle microvascular oxygen delivery and extraction occur during exercise above, but not below, CF.","container-title":"Microvascular Research","DOI":"10.1016/j.mvr.2020.104002","ISSN":"0026-2862","journalAbbreviation":"Microvascular Research","language":"en","page":"104002","source":"ScienceDirect","title":"Limb blood flow and muscle oxygenation responses during handgrip exercise above vs. below critical force","volume":"131","author":[{"family":"Hammer","given":"Shane M."},{"family":"Alexander","given":"Andrew M."},{"family":"Didier","given":"Kaylin D."},{"family":"Huckaby","given":"Lillie M."},{"family":"Barstow","given":"Thomas J."}],"issued":{"date-parts":[["2020",9,1]]}}},{"id":3385,"uris":["http://zotero.org/users/5056530/items/PUGVQUTL"],"itemData":{"id":3385,"type":"article-journal","abstract":"We tested the hypothesis that limb vascular conductance (LVC) would increase during the immediate recovery phase of dynamic exercise above, but not below, critical power (CP) indicating a threshold for muscular contraction-induced impedance of limb blood flow (LBF). CP (115 ± 26 W) was determined in 7 men and 7 women who subsequently performed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5 min of near-supine cycling exercise both below and above CP. LVC demonstrated a greater increase during immediate recovery and remained significantly higher following exercise above, compared to below, CP (all p &lt; 0.001). Power output was associated with the immediate increases in LVC following exercise above, but not below, CP (p &lt; 0.001; r = 0.85). Additionally, variance in percent LBF impedance was significantly lower above (CV: 10.7 %), compared to below (CV: 53.2 %), CP (p &lt; 0.01). CP appears to represent a threshold above which the characteristics of LBF impedance by muscular contraction become intensity-dependent. These data suggest a critical level of LBF impedance relative to contraction intensity exists and, once attained, may promote the progressive metabolic and neuromuscular responses known to occur above CP.","container-title":"Respiratory Physiology &amp; Neurobiology","DOI":"10.1016/j.resp.2021.103718","ISSN":"1878-1519","journalAbbreviation":"Respir Physiol Neurobiol","language":"eng","note":"PMID: 34126260\nPMCID: PMC8877527","page":"103718","source":"PubMed","title":"Influence of muscular contraction on vascular conductance during exercise above versus below critical power","volume":"293","author":[{"family":"Hammer","given":"Shane M."},{"family":"Hammond","given":"Stephen T."},{"family":"Parr","given":"Shannon K."},{"family":"Alexander","given":"Andrew M."},{"family":"Turpin","given":"Vanessa-Rose G."},{"family":"White","given":"Zachary J."},{"family":"Didier","given":"Kaylin D."},{"family":"Smith","given":"Joshua R."},{"family":"Barstow","given":"Thomas J."},{"family":"Ade","given":"Carl J."}],"issued":{"date-parts":[["2021",11]]}}}],"schema":"https://github.com/citation-style-language/schema/raw/master/csl-citation.json"} </w:instrText>
      </w:r>
      <w:r w:rsidR="00EE37A9"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[79,80]</w:t>
      </w:r>
      <w:r w:rsidR="00EE37A9" w:rsidRPr="00165ED2">
        <w:rPr>
          <w:rFonts w:ascii="Times New Roman" w:eastAsiaTheme="minorEastAsia" w:hAnsi="Times New Roman" w:cs="Times New Roman"/>
          <w:bCs/>
          <w:sz w:val="24"/>
          <w:szCs w:val="24"/>
        </w:rPr>
        <w:fldChar w:fldCharType="end"/>
      </w:r>
      <w:r w:rsidR="00EE37A9" w:rsidRPr="00165ED2">
        <w:rPr>
          <w:rFonts w:ascii="Times New Roman" w:eastAsiaTheme="minorEastAsia" w:hAnsi="Times New Roman" w:cs="Times New Roman"/>
          <w:bCs/>
          <w:sz w:val="24"/>
          <w:szCs w:val="24"/>
        </w:rPr>
        <w:t>. However, during exercise slightly above CF, end-exercise brachial artery blood flow demonstrated a plateau, being no different from the blood flow values obtained during exercise at CF</w:t>
      </w:r>
      <w:r w:rsidR="00680711" w:rsidRPr="00165ED2">
        <w:rPr>
          <w:rFonts w:ascii="Times New Roman" w:eastAsiaTheme="minorEastAsia" w:hAnsi="Times New Roman" w:cs="Times New Roman"/>
          <w:bCs/>
          <w:sz w:val="24"/>
          <w:szCs w:val="24"/>
        </w:rPr>
        <w:t xml:space="preserve"> </w:t>
      </w:r>
      <w:r w:rsidR="0068071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{"citationID":"hosU1cVQ","properties":{"formattedCitation":"[79]","plainCitation":"[79]","noteIndex":0},"citationItems":[{"id":1174,"uris":["http://zotero.org/users/5056530/items/N2AXQ58E"],"itemData":{"id":1174,"type":"article-journal","abstract":"This study compared the brachial artery blood flow (Q̇BA) and microvascular oxygen delivery responses during handgrip exercise above vs. below critical force (CF; the isometric analog of critical power). Q̇BA and microvascular oxygen delivery are important determinants of oxygen utilization and metabolite accumulation during exercise, both of which increase progressively during exercise above CF. However the Q̇BA and microvascular oxygen delivery responses above vs. below CF remain unknown. We hypothesized that Q̇BA, deoxygenated-heme (deoxy-[heme]; an estimate of microvascular fractional oxygen extraction), and total-heme concentrations (total-[heme]; an estimate of changes in microvascular hematocrit) would demonstrate physiological maximums above CF despite increases in exercise intensity. Seven men and six women performed 1) a 5-min rhythmic isometric-handgrip maximal-effort test (MET) to determine CF and 2) two constant target-force tests above (severe-intensity; S1 and S2) and two constant target-force tests below (heavy-intensity; H1 and H2) CF. CF was 189.3 ± 16.7 N (29.7 ± 1.6%MVC). At end-exercise, Q̇BA was greater for tests above CF (S1: 418 ± 147 mL/min; S2: 403 ± 137 mL/min) compared to tests below CF (H1: 287 ± 97 mL/min; H2: 340 ± 116 mL/min; all p &lt; 0.05) but was not different between S1 and S2. Further, end-test Q̇BA during both tests above CF was not different from Q̇BA estimated at CF (392 ± 37 mL/min). At end-exercise, deoxy-[heme] was not different between tests above CF (S1: 150 ± 50 μM; S2: 155 ± 57 μM), but was greater during tests above CF compared to tests below CF (H1: 101 ± 24 μM; H2: 111 ± 21 μM; all p &lt; 0.05). At end-exercise, total-[heme] was not different between tests above CF (S1: 404 ± 58 μM; S2: 397 ± 73 μM), but was greater during tests above CF compared to H1 (352 ± 58 μM; p &lt; 0.01) but not H2 (371 ± 57 μM). These data suggest limb blood flow limitations exist and maximal levels of muscle microvascular oxygen delivery and extraction occur during exercise above, but not below, CF.","container-title":"Microvascular Research","DOI":"10.1016/j.mvr.2020.104002","ISSN":"0026-2862","journalAbbreviation":"Microvascular Research","language":"en","page":"104002","source":"ScienceDirect","title":"Limb blood flow and muscle oxygenation responses during handgrip exercise above vs. below critical force","volume":"131","author":[{"family":"Hammer","given":"Shane M."},{"family":"Alexander","given":"Andrew M."},{"family":"Didier","given":"Kaylin D."},{"family":"Huckaby","given":"Lillie M."},{"family":"Barstow","given":"Thomas J."}],"issued":{"date-parts":[["2020",9,1]]}}}],"schema":"https://github.com/citation-style-language/schema/raw/master/csl-citation.json"} </w:instrText>
      </w:r>
      <w:r w:rsidR="0068071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[79]</w:t>
      </w:r>
      <w:r w:rsidR="00680711" w:rsidRPr="00165ED2">
        <w:rPr>
          <w:rFonts w:ascii="Times New Roman" w:eastAsiaTheme="minorEastAsia" w:hAnsi="Times New Roman" w:cs="Times New Roman"/>
          <w:bCs/>
          <w:sz w:val="24"/>
          <w:szCs w:val="24"/>
        </w:rPr>
        <w:fldChar w:fldCharType="end"/>
      </w:r>
      <w:r w:rsidR="00EE37A9" w:rsidRPr="00165ED2">
        <w:rPr>
          <w:rFonts w:ascii="Times New Roman" w:eastAsiaTheme="minorEastAsia" w:hAnsi="Times New Roman" w:cs="Times New Roman"/>
          <w:bCs/>
          <w:sz w:val="24"/>
          <w:szCs w:val="24"/>
        </w:rPr>
        <w:t xml:space="preserve">. These findings were subsequently extended to large muscle mass, whole-body exercise by the same authors </w:t>
      </w:r>
      <w:r w:rsidR="00EE37A9"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{"citationID":"oq4Gke2c","properties":{"formattedCitation":"[80]","plainCitation":"[80]","noteIndex":0},"citationItems":[{"id":3385,"uris":["http://zotero.org/users/5056530/items/PUGVQUTL"],"itemData":{"id":3385,"type":"article-journal","abstract":"We tested the hypothesis that limb vascular conductance (LVC) would increase during the immediate recovery phase of dynamic exercise above, but not below, critical power (CP) indicating a threshold for muscular contraction-induced impedance of limb blood flow (LBF). CP (115 ± 26 W) was determined in 7 men and 7 women who subsequently performed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5 min of near-supine cycling exercise both below and above CP. LVC demonstrated a greater increase during immediate recovery and remained significantly higher following exercise above, compared to below, CP (all p &lt; 0.001). Power output was associated with the immediate increases in LVC following exercise above, but not below, CP (p &lt; 0.001; r = 0.85). Additionally, variance in percent LBF impedance was significantly lower above (CV: 10.7 %), compared to below (CV: 53.2 %), CP (p &lt; 0.01). CP appears to represent a threshold above which the characteristics of LBF impedance by muscular contraction become intensity-dependent. These data suggest a critical level of LBF impedance relative to contraction intensity exists and, once attained, may promote the progressive metabolic and neuromuscular responses known to occur above CP.","container-title":"Respiratory Physiology &amp; Neurobiology","DOI":"10.1016/j.resp.2021.103718","ISSN":"1878-1519","journalAbbreviation":"Respir Physiol Neurobiol","language":"eng","note":"PMID: 34126260\nPMCID: PMC8877527","page":"103718","source":"PubMed","title":"Influence of muscular contraction on vascular conductance during exercise above versus below critical power","volume":"293","author":[{"family":"Hammer","given":"Shane M."},{"family":"Hammond","given":"Stephen T."},{"family":"Parr","given":"Shannon K."},{"family":"Alexander","given":"Andrew M."},{"family":"Turpin","given":"Vanessa-Rose G."},{"family":"White","given":"Zachary J."},{"family":"Didier","given":"Kaylin D."},{"family":"Smith","given":"Joshua R."},{"family":"Barstow","given":"Thomas J."},{"family":"Ade","given":"Carl J."}],"issued":{"date-parts":[["2021",11]]}},"label":"page"}],"schema":"https://github.com/citation-style-language/schema/raw/master/csl-citation.json"} </w:instrText>
      </w:r>
      <w:r w:rsidR="00EE37A9"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[80]</w:t>
      </w:r>
      <w:r w:rsidR="00EE37A9" w:rsidRPr="00165ED2">
        <w:rPr>
          <w:rFonts w:ascii="Times New Roman" w:eastAsiaTheme="minorEastAsia" w:hAnsi="Times New Roman" w:cs="Times New Roman"/>
          <w:bCs/>
          <w:sz w:val="24"/>
          <w:szCs w:val="24"/>
        </w:rPr>
        <w:fldChar w:fldCharType="end"/>
      </w:r>
      <w:r w:rsidR="00EE37A9" w:rsidRPr="00165ED2">
        <w:rPr>
          <w:rFonts w:ascii="Times New Roman" w:eastAsiaTheme="minorEastAsia" w:hAnsi="Times New Roman" w:cs="Times New Roman"/>
          <w:bCs/>
          <w:sz w:val="24"/>
          <w:szCs w:val="24"/>
        </w:rPr>
        <w:t xml:space="preserve">. Specifically, leg blood flow and limb vascular conductance were determined using Doppler ultrasound and calibrated finger plethysmography during exercise above and below CP </w:t>
      </w:r>
      <w:r w:rsidR="00EE37A9"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{"citationID":"oIKNPFxn","properties":{"formattedCitation":"[80]","plainCitation":"[80]","noteIndex":0},"citationItems":[{"id":3385,"uris":["http://zotero.org/users/5056530/items/PUGVQUTL"],"itemData":{"id":3385,"type":"article-journal","abstract":"We tested the hypothesis that limb vascular conductance (LVC) would increase during the immediate recovery phase of dynamic exercise above, but not below, critical power (CP) indicating a threshold for muscular contraction-induced impedance of limb blood flow (LBF). CP (115 ± 26 W) was determined in 7 men and 7 women who subsequently performed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5 min of near-supine cycling exercise both below and above CP. LVC demonstrated a greater increase during immediate recovery and remained significantly higher following exercise above, compared to below, CP (all p &lt; 0.001). Power output was associated with the immediate increases in LVC following exercise above, but not below, CP (p &lt; 0.001; r = 0.85). Additionally, variance in percent LBF impedance was significantly lower above (CV: 10.7 %), compared to below (CV: 53.2 %), CP (p &lt; 0.01). CP appears to represent a threshold above which the characteristics of LBF impedance by muscular contraction become intensity-dependent. These data suggest a critical level of LBF impedance relative to contraction intensity exists and, once attained, may promote the progressive metabolic and neuromuscular responses known to occur above CP.","container-title":"Respiratory Physiology &amp; Neurobiology","DOI":"10.1016/j.resp.2021.103718","ISSN":"1878-1519","journalAbbreviation":"Respir Physiol Neurobiol","language":"eng","note":"PMID: 34126260\nPMCID: PMC8877527","page":"103718","source":"PubMed","title":"Influence of muscular contraction on vascular conductance during exercise above versus below critical power","volume":"293","author":[{"family":"Hammer","given":"Shane M."},{"family":"Hammond","given":"Stephen T."},{"family":"Parr","given":"Shannon K."},{"family":"Alexander","given":"Andrew M."},{"family":"Turpin","given":"Vanessa-Rose G."},{"family":"White","given":"Zachary J."},{"family":"Didier","given":"Kaylin D."},{"family":"Smith","given":"Joshua R."},{"family":"Barstow","given":"Thomas J."},{"family":"Ade","given":"Carl J."}],"issued":{"date-parts":[["2021",11]]}},"label":"page"}],"schema":"https://github.com/citation-style-language/schema/raw/master/csl-citation.json"} </w:instrText>
      </w:r>
      <w:r w:rsidR="00EE37A9"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[80]</w:t>
      </w:r>
      <w:r w:rsidR="00EE37A9" w:rsidRPr="00165ED2">
        <w:rPr>
          <w:rFonts w:ascii="Times New Roman" w:eastAsiaTheme="minorEastAsia" w:hAnsi="Times New Roman" w:cs="Times New Roman"/>
          <w:bCs/>
          <w:sz w:val="24"/>
          <w:szCs w:val="24"/>
        </w:rPr>
        <w:fldChar w:fldCharType="end"/>
      </w:r>
      <w:r w:rsidR="00EE37A9" w:rsidRPr="00165ED2">
        <w:rPr>
          <w:rFonts w:ascii="Times New Roman" w:eastAsiaTheme="minorEastAsia" w:hAnsi="Times New Roman" w:cs="Times New Roman"/>
          <w:bCs/>
          <w:sz w:val="24"/>
          <w:szCs w:val="24"/>
        </w:rPr>
        <w:t xml:space="preserve">. </w:t>
      </w:r>
      <w:r w:rsidR="00832B34" w:rsidRPr="00165ED2">
        <w:rPr>
          <w:rFonts w:ascii="Times New Roman" w:eastAsiaTheme="minorEastAsia" w:hAnsi="Times New Roman" w:cs="Times New Roman"/>
          <w:bCs/>
          <w:sz w:val="24"/>
          <w:szCs w:val="24"/>
        </w:rPr>
        <w:t>P</w:t>
      </w:r>
      <w:r w:rsidR="00EE37A9" w:rsidRPr="00165ED2">
        <w:rPr>
          <w:rFonts w:ascii="Times New Roman" w:eastAsiaTheme="minorEastAsia" w:hAnsi="Times New Roman" w:cs="Times New Roman"/>
          <w:bCs/>
          <w:sz w:val="24"/>
          <w:szCs w:val="24"/>
        </w:rPr>
        <w:t>ost-exercise increase</w:t>
      </w:r>
      <w:r w:rsidR="00832B34" w:rsidRPr="00165ED2">
        <w:rPr>
          <w:rFonts w:ascii="Times New Roman" w:eastAsiaTheme="minorEastAsia" w:hAnsi="Times New Roman" w:cs="Times New Roman"/>
          <w:bCs/>
          <w:sz w:val="24"/>
          <w:szCs w:val="24"/>
        </w:rPr>
        <w:t>s</w:t>
      </w:r>
      <w:r w:rsidR="00EE37A9" w:rsidRPr="00165ED2">
        <w:rPr>
          <w:rFonts w:ascii="Times New Roman" w:eastAsiaTheme="minorEastAsia" w:hAnsi="Times New Roman" w:cs="Times New Roman"/>
          <w:bCs/>
          <w:sz w:val="24"/>
          <w:szCs w:val="24"/>
        </w:rPr>
        <w:t xml:space="preserve"> in limb vascular conductance and leg blood flow post-exercise </w:t>
      </w:r>
      <w:r w:rsidR="00832B34" w:rsidRPr="00165ED2">
        <w:rPr>
          <w:rFonts w:ascii="Times New Roman" w:eastAsiaTheme="minorEastAsia" w:hAnsi="Times New Roman" w:cs="Times New Roman"/>
          <w:bCs/>
          <w:sz w:val="24"/>
          <w:szCs w:val="24"/>
        </w:rPr>
        <w:t xml:space="preserve">were </w:t>
      </w:r>
      <w:r w:rsidR="00EE37A9" w:rsidRPr="00165ED2">
        <w:rPr>
          <w:rFonts w:ascii="Times New Roman" w:eastAsiaTheme="minorEastAsia" w:hAnsi="Times New Roman" w:cs="Times New Roman"/>
          <w:bCs/>
          <w:sz w:val="24"/>
          <w:szCs w:val="24"/>
        </w:rPr>
        <w:t xml:space="preserve">observed following supra-CP but not sub-CP exercise </w:t>
      </w:r>
      <w:r w:rsidR="0068071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{"citationID":"SEDPWR5j","properties":{"formattedCitation":"[80]","plainCitation":"[80]","noteIndex":0},"citationItems":[{"id":3385,"uris":["http://zotero.org/users/5056530/items/PUGVQUTL"],"itemData":{"id":3385,"type":"article-journal","abstract":"We tested the hypothesis that limb vascular conductance (LVC) would increase during the immediate recovery phase of dynamic exercise above, but not below, critical power (CP) indicating a threshold for muscular contraction-induced impedance of limb blood flow (LBF). CP (115 ± 26 W) was determined in 7 men and 7 women who subsequently performed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5 min of near-supine cycling exercise both below and above CP. LVC demonstrated a greater increase during immediate recovery and remained significantly higher following exercise above, compared to below, CP (all p &lt; 0.001). Power output was associated with the immediate increases in LVC following exercise above, but not below, CP (p &lt; 0.001; r = 0.85). Additionally, variance in percent LBF impedance was significantly lower above (CV: 10.7 %), compared to below (CV: 53.2 %), CP (p &lt; 0.01). CP appears to represent a threshold above which the characteristics of LBF impedance by muscular contraction become intensity-dependent. These data suggest a critical level of LBF impedance relative to contraction intensity exists and, once attained, may promote the progressive metabolic and neuromuscular responses known to occur above CP.","container-title":"Respiratory Physiology &amp; Neurobiology","DOI":"10.1016/j.resp.2021.103718","ISSN":"1878-1519","journalAbbreviation":"Respir Physiol Neurobiol","language":"eng","note":"PMID: 34126260\nPMCID: PMC8877527","page":"103718","source":"PubMed","title":"Influence of muscular contraction on vascular conductance during exercise above versus below critical power","volume":"293","author":[{"family":"Hammer","given":"Shane M."},{"family":"Hammond","given":"Stephen T."},{"family":"Parr","given":"Shannon K."},{"family":"Alexander","given":"Andrew M."},{"family":"Turpin","given":"Vanessa-Rose G."},{"family":"White","given":"Zachary J."},{"family":"Didier","given":"Kaylin D."},{"family":"Smith","given":"Joshua R."},{"family":"Barstow","given":"Thomas J."},{"family":"Ade","given":"Carl J."}],"issued":{"date-parts":[["2021",11]]}},"label":"page"}],"schema":"https://github.com/citation-style-language/schema/raw/master/csl-citation.json"} </w:instrText>
      </w:r>
      <w:r w:rsidR="0068071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[80]</w:t>
      </w:r>
      <w:r w:rsidR="00680711" w:rsidRPr="00165ED2">
        <w:rPr>
          <w:rFonts w:ascii="Times New Roman" w:eastAsiaTheme="minorEastAsia" w:hAnsi="Times New Roman" w:cs="Times New Roman"/>
          <w:bCs/>
          <w:sz w:val="24"/>
          <w:szCs w:val="24"/>
        </w:rPr>
        <w:fldChar w:fldCharType="end"/>
      </w:r>
      <w:r w:rsidR="00680711" w:rsidRPr="00165ED2">
        <w:rPr>
          <w:rFonts w:ascii="Times New Roman" w:eastAsiaTheme="minorEastAsia" w:hAnsi="Times New Roman" w:cs="Times New Roman"/>
          <w:bCs/>
          <w:sz w:val="24"/>
          <w:szCs w:val="24"/>
        </w:rPr>
        <w:t xml:space="preserve">. </w:t>
      </w:r>
      <w:r w:rsidR="005174B6" w:rsidRPr="00165ED2">
        <w:rPr>
          <w:rFonts w:ascii="Times New Roman" w:eastAsiaTheme="minorEastAsia" w:hAnsi="Times New Roman" w:cs="Times New Roman"/>
          <w:bCs/>
          <w:sz w:val="24"/>
          <w:szCs w:val="24"/>
        </w:rPr>
        <w:t xml:space="preserve">The data of Hammer et al. </w:t>
      </w:r>
      <w:r w:rsidR="005174B6" w:rsidRPr="00165ED2">
        <w:rPr>
          <w:rFonts w:ascii="Times New Roman" w:eastAsiaTheme="minorEastAsia" w:hAnsi="Times New Roman" w:cs="Times New Roman"/>
          <w:bCs/>
          <w:sz w:val="24"/>
          <w:szCs w:val="24"/>
        </w:rPr>
        <w:fldChar w:fldCharType="begin"/>
      </w:r>
      <w:r w:rsidR="005174B6" w:rsidRPr="00165ED2">
        <w:rPr>
          <w:rFonts w:ascii="Times New Roman" w:eastAsiaTheme="minorEastAsia" w:hAnsi="Times New Roman" w:cs="Times New Roman"/>
          <w:bCs/>
          <w:sz w:val="24"/>
          <w:szCs w:val="24"/>
        </w:rPr>
        <w:instrText xml:space="preserve"> ADDIN ZOTERO_ITEM CSL_CITATION {"citationID":"vtUQkazp","properties":{"formattedCitation":"[79,80]","plainCitation":"[79,80]","noteIndex":0},"citationItems":[{"id":1174,"uris":["http://zotero.org/users/5056530/items/N2AXQ58E"],"itemData":{"id":1174,"type":"article-journal","abstract":"This study compared the brachial artery blood flow (Q̇BA) and microvascular oxygen delivery responses during handgrip exercise above vs. below critical force (CF; the isometric analog of critical power). Q̇BA and microvascular oxygen delivery are important determinants of oxygen utilization and metabolite accumulation during exercise, both of which increase progressively during exercise above CF. However the Q̇BA and microvascular oxygen delivery responses above vs. below CF remain unknown. We hypothesized that Q̇BA, deoxygenated-heme (deoxy-[heme]; an estimate of microvascular fractional oxygen extraction), and total-heme concentrations (total-[heme]; an estimate of changes in microvascular hematocrit) would demonstrate physiological maximums above CF despite increases in exercise intensity. Seven men and six women performed 1) a 5-min rhythmic isometric-handgrip maximal-effort test (MET) to determine CF and 2) two constant target-force tests above (severe-intensity; S1 and S2) and two constant target-force tests below (heavy-intensity; H1 and H2) CF. CF was 189.3 ± 16.7 N (29.7 ± 1.6%MVC). At end-exercise, Q̇BA was greater for tests above CF (S1: 418 ± 147 mL/min; S2: 403 ± 137 mL/min) compared to tests below CF (H1: 287 ± 97 mL/min; H2: 340 ± 116 mL/min; all p &lt; 0.05) but was not different between S1 and S2. Further, end-test Q̇BA during both tests above CF was not different from Q̇BA estimated at CF (392 ± 37 mL/min). At end-exercise, deoxy-[heme] was not different between tests above CF (S1: 150 ± 50 μM; S2: 155 ± 57 μM), but was greater during tests above CF compared to tests below CF (H1: 101 ± 24 μM; H2: 111 ± 21 μM; all p &lt; 0.05). At end-exercise, total-[heme] was not different between tests above CF (S1: 404 ± 58 μM; S2: 397 ± 73 μM), but was greater during tests above CF compared to H1 (352 ± 58 μM; p &lt; 0.01) but not H2 (371 ± 57 μM). These data suggest limb blood flow limitations exist and maximal levels of muscle microvascular oxygen delivery and extraction occur during exercise above, but not below, CF.","container-title":"Microvascular Research","DOI":"10.1016/j.mvr.2020.104002","ISSN":"0026-2862","journalAbbreviation":"Microvascular Research","language":"en","page":"104002","source":"ScienceDirect","title":"Limb blood flow and muscle oxygenation responses during handgrip exercise above vs. below critical force","volume":"131","author":[{"family":"Hammer","given":"Shane M."},{"family":"Alexander","given":"Andrew M."},{"family":"Didier","given":"Kaylin D."},{"family":"Huckaby","given":"Lillie M."},{"family":"Barstow","given":"Thomas J."}],"issued":{"date-parts":[["2020",9,1]]}}},{"id":3385,"uris":["http://zotero.org/users/5056530/items/PUGVQUTL"],"itemData":{"id":3385,"type":"article-journal","abstract":"We tested the hypothesis that limb vascular conductance (LVC) would increase during the immediate recovery phase of dynamic exercise above, but not below, critical power (CP) indicating a threshold for muscular contraction-induced impedance of limb blood flow (LBF). CP (115 ± 26 W) was determined in 7 men and 7 women who subsequently performed </w:instrText>
      </w:r>
      <w:r w:rsidR="005174B6" w:rsidRPr="00165ED2">
        <w:rPr>
          <w:rFonts w:ascii="Cambria Math" w:eastAsiaTheme="minorEastAsia" w:hAnsi="Cambria Math" w:cs="Cambria Math"/>
          <w:bCs/>
          <w:sz w:val="24"/>
          <w:szCs w:val="24"/>
        </w:rPr>
        <w:instrText>∼</w:instrText>
      </w:r>
      <w:r w:rsidR="005174B6" w:rsidRPr="00165ED2">
        <w:rPr>
          <w:rFonts w:ascii="Times New Roman" w:eastAsiaTheme="minorEastAsia" w:hAnsi="Times New Roman" w:cs="Times New Roman"/>
          <w:bCs/>
          <w:sz w:val="24"/>
          <w:szCs w:val="24"/>
        </w:rPr>
        <w:instrText xml:space="preserve">5 min of near-supine cycling exercise both below and above CP. LVC demonstrated a greater increase during immediate recovery and remained significantly higher following exercise above, compared to below, CP (all p &lt; 0.001). Power output was associated with the immediate increases in LVC following exercise above, but not below, CP (p &lt; 0.001; r = 0.85). Additionally, variance in percent LBF impedance was significantly lower above (CV: 10.7 %), compared to below (CV: 53.2 %), CP (p &lt; 0.01). CP appears to represent a threshold above which the characteristics of LBF impedance by muscular contraction become intensity-dependent. These data suggest a critical level of LBF impedance relative to contraction intensity exists and, once attained, may promote the progressive metabolic and neuromuscular responses known to occur above CP.","container-title":"Respiratory Physiology &amp; Neurobiology","DOI":"10.1016/j.resp.2021.103718","ISSN":"1878-1519","journalAbbreviation":"Respir Physiol Neurobiol","language":"eng","note":"PMID: 34126260\nPMCID: PMC8877527","page":"103718","source":"PubMed","title":"Influence of muscular contraction on vascular conductance during exercise above versus below critical power","volume":"293","author":[{"family":"Hammer","given":"Shane M."},{"family":"Hammond","given":"Stephen T."},{"family":"Parr","given":"Shannon K."},{"family":"Alexander","given":"Andrew M."},{"family":"Turpin","given":"Vanessa-Rose G."},{"family":"White","given":"Zachary J."},{"family":"Didier","given":"Kaylin D."},{"family":"Smith","given":"Joshua R."},{"family":"Barstow","given":"Thomas J."},{"family":"Ade","given":"Carl J."}],"issued":{"date-parts":[["2021",11]]}}}],"schema":"https://github.com/citation-style-language/schema/raw/master/csl-citation.json"} </w:instrText>
      </w:r>
      <w:r w:rsidR="005174B6" w:rsidRPr="00165ED2">
        <w:rPr>
          <w:rFonts w:ascii="Times New Roman" w:eastAsiaTheme="minorEastAsia" w:hAnsi="Times New Roman" w:cs="Times New Roman"/>
          <w:bCs/>
          <w:sz w:val="24"/>
          <w:szCs w:val="24"/>
        </w:rPr>
        <w:fldChar w:fldCharType="separate"/>
      </w:r>
      <w:r w:rsidR="005174B6" w:rsidRPr="00165ED2">
        <w:rPr>
          <w:rFonts w:ascii="Times New Roman" w:hAnsi="Times New Roman" w:cs="Times New Roman"/>
          <w:sz w:val="24"/>
        </w:rPr>
        <w:t>[79,80]</w:t>
      </w:r>
      <w:r w:rsidR="005174B6" w:rsidRPr="00165ED2">
        <w:rPr>
          <w:rFonts w:ascii="Times New Roman" w:eastAsiaTheme="minorEastAsia" w:hAnsi="Times New Roman" w:cs="Times New Roman"/>
          <w:bCs/>
          <w:sz w:val="24"/>
          <w:szCs w:val="24"/>
        </w:rPr>
        <w:fldChar w:fldCharType="end"/>
      </w:r>
      <w:r w:rsidR="005174B6" w:rsidRPr="00165ED2">
        <w:rPr>
          <w:rFonts w:ascii="Times New Roman" w:eastAsiaTheme="minorEastAsia" w:hAnsi="Times New Roman" w:cs="Times New Roman"/>
          <w:bCs/>
          <w:sz w:val="24"/>
          <w:szCs w:val="24"/>
        </w:rPr>
        <w:t xml:space="preserve"> are in contrast to observations in the running rat </w:t>
      </w:r>
      <w:r w:rsidR="005174B6" w:rsidRPr="00165ED2">
        <w:rPr>
          <w:rFonts w:ascii="Times New Roman" w:eastAsiaTheme="minorEastAsia" w:hAnsi="Times New Roman" w:cs="Times New Roman"/>
          <w:bCs/>
          <w:sz w:val="24"/>
          <w:szCs w:val="24"/>
        </w:rPr>
        <w:fldChar w:fldCharType="begin"/>
      </w:r>
      <w:r w:rsidR="005174B6" w:rsidRPr="00165ED2">
        <w:rPr>
          <w:rFonts w:ascii="Times New Roman" w:eastAsiaTheme="minorEastAsia" w:hAnsi="Times New Roman" w:cs="Times New Roman"/>
          <w:bCs/>
          <w:sz w:val="24"/>
          <w:szCs w:val="24"/>
        </w:rPr>
        <w:instrText xml:space="preserve"> ADDIN ZOTERO_ITEM CSL_CITATION {"citationID":"9aNhHbiH","properties":{"formattedCitation":"[25]","plainCitation":"[25]","noteIndex":0},"citationItems":[{"id":282,"uris":["http://zotero.org/users/5056530/items/4WKHHGM8"],"itemData":{"id":282,"type":"article-journal","abstract":"Critical speed (CS) constitutes an important metabolic and performance demarcator. However, active skeletal muscle blood flow distribution specifically surrounding CS remains unknown. We tested the hypotheses that CS could be accurately determined in the running rat and that measurement of hindlimb inter- and intramuscular blood flow below and above CS would support that the greatest muscle fibre recruitment above, relative to below, CS occurs in the predominantly glycolytic muscles. Seven male Sprague-Dawley rats performed five constant-speed tests to exhaustion at speeds between 95 and 115% of the speed that elicited to determine CS. Subsequent constant-speed tests were performed at speeds incrementally surrounding CS to determine time to exhaustion, V(O2), and hindlimb muscle blood flow distribution. Speed and time to exhaustion conformed to a hyperbolic relationship (r(2) = 0.92 ± 0.03) which corresponded to a linear 1/time function (r(2) = 0.93 ± 0.02) with a CS of 48.6 ± 1.0 m min(-1). Time to exhaustion below CS was </w:instrText>
      </w:r>
      <w:r w:rsidR="005174B6" w:rsidRPr="00165ED2">
        <w:rPr>
          <w:rFonts w:ascii="Cambria Math" w:eastAsiaTheme="minorEastAsia" w:hAnsi="Cambria Math" w:cs="Cambria Math"/>
          <w:bCs/>
          <w:sz w:val="24"/>
          <w:szCs w:val="24"/>
        </w:rPr>
        <w:instrText>∼</w:instrText>
      </w:r>
      <w:r w:rsidR="005174B6" w:rsidRPr="00165ED2">
        <w:rPr>
          <w:rFonts w:ascii="Times New Roman" w:eastAsiaTheme="minorEastAsia" w:hAnsi="Times New Roman" w:cs="Times New Roman"/>
          <w:bCs/>
          <w:sz w:val="24"/>
          <w:szCs w:val="24"/>
        </w:rPr>
        <w:instrText xml:space="preserve"> 5× greater (P &lt; 0.01) than that above. Below CS V(O2) stabilized at a submaximal value (58.5 ± 2.5 ml kg(-1) min(-1)) whereas above CS (81.7 ± 2.5 ml kg(-1) min(-1)) increased to (84.0 ± 1.8 ml kg(-1) min(-1), P &gt; 0.05 vs. above CS). The 11 individual muscles or muscle parts that evidenced the greatest blood flow increases above, relative to below, CS were composed of ≥ 69% Type IIb/d/x muscle fibres. Moreover, there was a significant correlation (P &lt; 0.05, r = 0.42) between the increased blood flow above expressed relative to below CS and the percentage Type IIb/d/x fibres found in the individual muscles or muscle parts. These data validate the powerful CS construct in the rat and identify that running above CS, relative to below CS, incurs disproportionate blood flow increases (indicative of recruitment) in predominantly highly glycolytic muscle fibres.","container-title":"The Journal of Physiology","DOI":"10.1113/jphysiol.2010.198382","ISSN":"1469-7793","issue":"Pt 24","journalAbbreviation":"J. Physiol. (Lond.)","language":"eng","note":"PMID: 20962004\nPMCID: PMC3036198","page":"5077-5087","source":"PubMed","title":"Critical speed in the rat: implications for hindlimb muscle blood flow distribution and fibre recruitment","title-short":"Critical speed in the rat","volume":"588","author":[{"family":"Copp","given":"Steven W."},{"family":"Hirai","given":"Daniel M."},{"family":"Musch","given":"Timothy I."},{"family":"Poole","given":"David C."}],"issued":{"date-parts":[["2010",12,15]]}}}],"schema":"https://github.com/citation-style-language/schema/raw/master/csl-citation.json"} </w:instrText>
      </w:r>
      <w:r w:rsidR="005174B6" w:rsidRPr="00165ED2">
        <w:rPr>
          <w:rFonts w:ascii="Times New Roman" w:eastAsiaTheme="minorEastAsia" w:hAnsi="Times New Roman" w:cs="Times New Roman"/>
          <w:bCs/>
          <w:sz w:val="24"/>
          <w:szCs w:val="24"/>
        </w:rPr>
        <w:fldChar w:fldCharType="separate"/>
      </w:r>
      <w:r w:rsidR="005174B6" w:rsidRPr="00165ED2">
        <w:rPr>
          <w:rFonts w:ascii="Times New Roman" w:hAnsi="Times New Roman" w:cs="Times New Roman"/>
          <w:sz w:val="24"/>
        </w:rPr>
        <w:t>[25]</w:t>
      </w:r>
      <w:r w:rsidR="005174B6" w:rsidRPr="00165ED2">
        <w:rPr>
          <w:rFonts w:ascii="Times New Roman" w:eastAsiaTheme="minorEastAsia" w:hAnsi="Times New Roman" w:cs="Times New Roman"/>
          <w:bCs/>
          <w:sz w:val="24"/>
          <w:szCs w:val="24"/>
        </w:rPr>
        <w:fldChar w:fldCharType="end"/>
      </w:r>
      <w:r w:rsidR="005174B6" w:rsidRPr="00165ED2">
        <w:rPr>
          <w:rFonts w:ascii="Times New Roman" w:eastAsiaTheme="minorEastAsia" w:hAnsi="Times New Roman" w:cs="Times New Roman"/>
          <w:bCs/>
          <w:sz w:val="24"/>
          <w:szCs w:val="24"/>
        </w:rPr>
        <w:t xml:space="preserve"> and from upright, incremental, large muscle mass exercise in humans </w:t>
      </w:r>
      <w:r w:rsidR="005174B6" w:rsidRPr="00165ED2">
        <w:rPr>
          <w:rFonts w:ascii="Times New Roman" w:eastAsiaTheme="minorEastAsia" w:hAnsi="Times New Roman" w:cs="Times New Roman"/>
          <w:bCs/>
          <w:sz w:val="24"/>
          <w:szCs w:val="24"/>
        </w:rPr>
        <w:fldChar w:fldCharType="begin"/>
      </w:r>
      <w:r w:rsidR="005174B6" w:rsidRPr="00165ED2">
        <w:rPr>
          <w:rFonts w:ascii="Times New Roman" w:eastAsiaTheme="minorEastAsia" w:hAnsi="Times New Roman" w:cs="Times New Roman"/>
          <w:bCs/>
          <w:sz w:val="24"/>
          <w:szCs w:val="24"/>
        </w:rPr>
        <w:instrText xml:space="preserve"> ADDIN ZOTERO_ITEM CSL_CITATION {"citationID":"D1q21pss","properties":{"formattedCitation":"[52,81]","plainCitation":"[52,81]","noteIndex":0},"citationItems":[{"id":667,"uris":["http://zotero.org/users/5056530/items/CDBPP79Q"],"itemData":{"id":667,"type":"article-journal","abstract":"We studied O2 transport in the leg to determine if hyperoxia will increase the maximal rate of O2 uptake (VO2max) in exercising muscle. An increase in inspired O2 fraction (FIO2) from 0.21 to 1.00 was postulated to have the following effects: 1) increase the leg VO2max by approximately 5-10%, 2) increase the maximal O2 delivery [arterial O2 concentration.flow (CaO2.Q] by approximately 10%, and 3) raise the leg VO2max in proportion to both the femoral venous PO2 and mean leg capillary PO2. To test these hypotheses, 11 men performed cycle exercise to the highest work rates (WRmax) they could achieve while breathing 100% O2 (hyperoxia), 21% O2 (normoxia), and 12% O2 (hypoxia). Leg VO2 was derived from duplicate measurements of femoral venous blood flow and CaO2 and femoral venous blood O2 concentrations (CVO2) at 20, 35, 50, 92, and 100% WRmax in each FIO2. Femoral venous leg Q (Qleg) was measured by the constant-infusion thermodilution technique, and leg O2 uptake (VO2) was determined by the Fick principle [VO2 = Qleg(CaO2-CVO2)]. Leg VO2max was the mean of duplicate values of VO2 at 100% WRmax for each FIO2. Hyperoxia increased leg VO2max by 8.1% (P = 0.016) and maximal O2 delivery by 10.9% (P = 0.05) without changing Qleg. There was a significant increase in femoral venous PO2 (P &lt; 0.001) that was proportionally greater than the increase in leg VO2max. The results support our first and second hypotheses, providing direct evidence that in normal subjects leg VO2max is limited by O2 supply during normoxia.(ABSTRACT TRUNCATED AT 250 WORDS)","container-title":"Journal of Applied Physiology (Bethesda, Md.: 1985)","DOI":"10.1152/jappl.1993.75.6.2586","ISSN":"8750-7587","issue":"6","journalAbbreviation":"J. Appl. Physiol.","language":"eng","note":"PMID: 8125878","page":"2586-2594","source":"PubMed","title":"Effects of hyperoxia on maximal leg O2 supply and utilization in men","volume":"75","author":[{"family":"Knight","given":"D. R."},{"family":"Schaffartzik","given":"W."},{"family":"Poole","given":"D. C."},{"family":"Hogan","given":"M. C."},{"family":"Bebout","given":"D. E."},{"family":"Wagner","given":"P. D."}],"issued":{"date-parts":[["1993",12]]}}},{"id":51,"uris":["http://zotero.org/users/5056530/items/8D2U8ZZP"],"itemData":{"id":51,"type":"article-journal","abstract":"During conventional cycle ergometry, as work rate (WR) is increased toward maximum, O2 extraction increases hyperbolically, typically achieving values of 80-90% at peak O2 uptake (VO2). In contrast, studies using isolated knee-extensor exercise report much higher mass-specific blood flows (Q) and lower maximal O2 extractions (approximately 70%), which have been interpreted as transit time limitation to O2 movement out of the muscle capillary. However, maximal achievable WR levels during conventional cycle ergometry are generally reached (over 10-15 min) after rapid increases in WR, whereas the reported knee-extensor studies have used only more lengthy protocols (45 min). The duration of these protocols may have prevented the attainment of high WR levels and thus high O2 extraction ratios. Accordingly, this investigation examined leg Q and O2 extraction responses during single-leg knee-extensor exercise incremented rapidly (steps of 15-25 W per 2- to 3-min interval), which produced fatigue in 13-15 min. Q and muscle VO2 increased linearly with WR to fatigue with Q-WR and VO2-WR slopes similar to those reported in previous knee-extensor studies. However, with the use of this protocol, very high maximal achievable WR [99 +/- 6 (SE) W] and muscle Q (385 +/- 26 ml.min-1 x 100 g-1) levels were attained, some 80% greater than previously reported. An O2 extraction of 84.6 +/- 2.1% was reached, giving a maximal VO2 of 60.2 +/- 5.8 ml.min-1 x 100 g-1. We conclude that, even under the high Q conditions of single-leg knee-extensor exercise, O2 extraction does not reach a plateau on the basis of short transit times and that previous conclusions to the contrary reflect failure to attain sufficiently high WR levels. Maximal VO2, Q, and O2 extraction in this model have yet to be defined.","container-title":"Journal of Applied Physiology (Bethesda, Md.: 1985)","DOI":"10.1152/jappl.1993.75.4.1911","ISSN":"8750-7587","issue":"4","journalAbbreviation":"J. Appl. Physiol.","language":"eng","note":"PMID: 8282650","page":"1911-1916","source":"PubMed","title":"High muscle blood flow in man: is maximal O2 extraction compromised?","title-short":"High muscle blood flow in man","volume":"75","author":[{"family":"Richardson","given":"R. S."},{"family":"Poole","given":"D. C."},{"family":"Knight","given":"D. R."},{"family":"Kurdak","given":"S. S."},{"family":"Hogan","given":"M. C."},{"family":"Grassi","given":"B."},{"family":"Johnson","given":"E. C."},{"family":"Kendrick","given":"K. F."},{"family":"Erickson","given":"B. K."},{"family":"Wagner","given":"P. D."}],"issued":{"date-parts":[["1993",10]]}}}],"schema":"https://github.com/citation-style-language/schema/raw/master/csl-citation.json"} </w:instrText>
      </w:r>
      <w:r w:rsidR="005174B6" w:rsidRPr="00165ED2">
        <w:rPr>
          <w:rFonts w:ascii="Times New Roman" w:eastAsiaTheme="minorEastAsia" w:hAnsi="Times New Roman" w:cs="Times New Roman"/>
          <w:bCs/>
          <w:sz w:val="24"/>
          <w:szCs w:val="24"/>
        </w:rPr>
        <w:fldChar w:fldCharType="separate"/>
      </w:r>
      <w:r w:rsidR="005174B6" w:rsidRPr="00165ED2">
        <w:rPr>
          <w:rFonts w:ascii="Times New Roman" w:hAnsi="Times New Roman" w:cs="Times New Roman"/>
          <w:sz w:val="24"/>
        </w:rPr>
        <w:t>[52,81]</w:t>
      </w:r>
      <w:r w:rsidR="005174B6" w:rsidRPr="00165ED2">
        <w:rPr>
          <w:rFonts w:ascii="Times New Roman" w:eastAsiaTheme="minorEastAsia" w:hAnsi="Times New Roman" w:cs="Times New Roman"/>
          <w:bCs/>
          <w:sz w:val="24"/>
          <w:szCs w:val="24"/>
        </w:rPr>
        <w:fldChar w:fldCharType="end"/>
      </w:r>
      <w:r w:rsidR="005174B6" w:rsidRPr="00165ED2">
        <w:rPr>
          <w:rFonts w:ascii="Times New Roman" w:eastAsiaTheme="minorEastAsia" w:hAnsi="Times New Roman" w:cs="Times New Roman"/>
          <w:bCs/>
          <w:sz w:val="24"/>
          <w:szCs w:val="24"/>
        </w:rPr>
        <w:t xml:space="preserve"> showing increases in </w:t>
      </w:r>
      <w:r w:rsidR="005174B6" w:rsidRPr="00165ED2">
        <w:rPr>
          <w:rFonts w:ascii="Times New Roman" w:eastAsiaTheme="minorEastAsia" w:hAnsi="Times New Roman" w:cs="Times New Roman"/>
          <w:bCs/>
          <w:sz w:val="24"/>
          <w:szCs w:val="24"/>
        </w:rPr>
        <w:lastRenderedPageBreak/>
        <w:t xml:space="preserve">limb blood flow up to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5174B6" w:rsidRPr="00165ED2">
        <w:rPr>
          <w:rFonts w:ascii="Times New Roman" w:eastAsiaTheme="minorEastAsia" w:hAnsi="Times New Roman" w:cs="Times New Roman"/>
          <w:bCs/>
          <w:sz w:val="24"/>
          <w:szCs w:val="24"/>
        </w:rPr>
        <w:t>O</w:t>
      </w:r>
      <w:r w:rsidR="005174B6" w:rsidRPr="00165ED2">
        <w:rPr>
          <w:rFonts w:ascii="Times New Roman" w:eastAsiaTheme="minorEastAsia" w:hAnsi="Times New Roman" w:cs="Times New Roman"/>
          <w:bCs/>
          <w:sz w:val="24"/>
          <w:szCs w:val="24"/>
          <w:vertAlign w:val="subscript"/>
        </w:rPr>
        <w:t>2max</w:t>
      </w:r>
      <w:r w:rsidR="005174B6" w:rsidRPr="00165ED2">
        <w:rPr>
          <w:rFonts w:ascii="Times New Roman" w:eastAsiaTheme="minorEastAsia" w:hAnsi="Times New Roman" w:cs="Times New Roman"/>
          <w:bCs/>
          <w:sz w:val="24"/>
          <w:szCs w:val="24"/>
        </w:rPr>
        <w:t>. Nevertheless,</w:t>
      </w:r>
      <w:r w:rsidR="00EE37A9" w:rsidRPr="00165ED2">
        <w:rPr>
          <w:rFonts w:ascii="Times New Roman" w:eastAsiaTheme="minorEastAsia" w:hAnsi="Times New Roman" w:cs="Times New Roman"/>
          <w:bCs/>
          <w:sz w:val="24"/>
          <w:szCs w:val="24"/>
        </w:rPr>
        <w:t xml:space="preserve"> these findings raise the intriguing possibility that </w:t>
      </w:r>
      <w:r w:rsidR="005174B6" w:rsidRPr="00165ED2">
        <w:rPr>
          <w:rFonts w:ascii="Times New Roman" w:eastAsiaTheme="minorEastAsia" w:hAnsi="Times New Roman" w:cs="Times New Roman"/>
          <w:bCs/>
          <w:sz w:val="24"/>
          <w:szCs w:val="24"/>
        </w:rPr>
        <w:t xml:space="preserve">in certain contexts, </w:t>
      </w:r>
      <w:r w:rsidR="00EE37A9" w:rsidRPr="00165ED2">
        <w:rPr>
          <w:rFonts w:ascii="Times New Roman" w:eastAsiaTheme="minorEastAsia" w:hAnsi="Times New Roman" w:cs="Times New Roman"/>
          <w:bCs/>
          <w:sz w:val="24"/>
          <w:szCs w:val="24"/>
        </w:rPr>
        <w:t>CF/CP represents a threshold in relative muscular force that limits skeletal muscle perfusion during exercise.</w:t>
      </w:r>
      <w:r w:rsidR="009F6EE7" w:rsidRPr="00165ED2">
        <w:rPr>
          <w:rFonts w:ascii="Times New Roman" w:eastAsiaTheme="minorEastAsia" w:hAnsi="Times New Roman" w:cs="Times New Roman"/>
          <w:bCs/>
          <w:sz w:val="24"/>
          <w:szCs w:val="24"/>
        </w:rPr>
        <w:t xml:space="preserve"> Moreover, the</w:t>
      </w:r>
      <w:r w:rsidR="00EE37A9" w:rsidRPr="00165ED2">
        <w:rPr>
          <w:rFonts w:ascii="Times New Roman" w:eastAsiaTheme="minorEastAsia" w:hAnsi="Times New Roman" w:cs="Times New Roman"/>
          <w:bCs/>
          <w:sz w:val="24"/>
          <w:szCs w:val="24"/>
        </w:rPr>
        <w:t xml:space="preserve"> extant literature</w:t>
      </w:r>
      <w:r w:rsidRPr="00165ED2">
        <w:rPr>
          <w:rFonts w:ascii="Times New Roman" w:eastAsiaTheme="minorEastAsia" w:hAnsi="Times New Roman" w:cs="Times New Roman"/>
          <w:bCs/>
          <w:sz w:val="24"/>
          <w:szCs w:val="24"/>
        </w:rPr>
        <w:t xml:space="preserve"> </w:t>
      </w:r>
      <w:r w:rsidR="009F6EE7" w:rsidRPr="00165ED2">
        <w:rPr>
          <w:rFonts w:ascii="Times New Roman" w:eastAsiaTheme="minorEastAsia" w:hAnsi="Times New Roman" w:cs="Times New Roman"/>
          <w:bCs/>
          <w:sz w:val="24"/>
          <w:szCs w:val="24"/>
        </w:rPr>
        <w:t>appears to be unanimously consistent with CP being determined, at least in part, by mechanisms related to convective O</w:t>
      </w:r>
      <w:r w:rsidR="009F6EE7" w:rsidRPr="00165ED2">
        <w:rPr>
          <w:rFonts w:ascii="Times New Roman" w:eastAsiaTheme="minorEastAsia" w:hAnsi="Times New Roman" w:cs="Times New Roman"/>
          <w:bCs/>
          <w:sz w:val="24"/>
          <w:szCs w:val="24"/>
          <w:vertAlign w:val="subscript"/>
        </w:rPr>
        <w:t>2</w:t>
      </w:r>
      <w:r w:rsidR="009F6EE7" w:rsidRPr="00165ED2">
        <w:rPr>
          <w:rFonts w:ascii="Times New Roman" w:eastAsiaTheme="minorEastAsia" w:hAnsi="Times New Roman" w:cs="Times New Roman"/>
          <w:bCs/>
          <w:sz w:val="24"/>
          <w:szCs w:val="24"/>
        </w:rPr>
        <w:t xml:space="preserve"> delivery. </w:t>
      </w:r>
    </w:p>
    <w:p w14:paraId="6AFF4161" w14:textId="16DFD486" w:rsidR="0032747A" w:rsidRPr="00165ED2" w:rsidRDefault="00012C55" w:rsidP="00012C55">
      <w:pPr>
        <w:spacing w:line="480" w:lineRule="auto"/>
        <w:ind w:firstLine="720"/>
        <w:jc w:val="both"/>
        <w:rPr>
          <w:rFonts w:ascii="Times New Roman" w:eastAsiaTheme="minorEastAsia" w:hAnsi="Times New Roman" w:cs="Times New Roman"/>
          <w:i/>
          <w:sz w:val="24"/>
          <w:szCs w:val="24"/>
        </w:rPr>
      </w:pPr>
      <w:r w:rsidRPr="00165ED2">
        <w:rPr>
          <w:rFonts w:ascii="Times New Roman" w:eastAsiaTheme="minorEastAsia" w:hAnsi="Times New Roman" w:cs="Times New Roman"/>
          <w:i/>
          <w:sz w:val="24"/>
          <w:szCs w:val="24"/>
        </w:rPr>
        <w:t xml:space="preserve">2.2 </w:t>
      </w:r>
      <w:r w:rsidR="0032747A" w:rsidRPr="00165ED2">
        <w:rPr>
          <w:rFonts w:ascii="Times New Roman" w:eastAsiaTheme="minorEastAsia" w:hAnsi="Times New Roman" w:cs="Times New Roman"/>
          <w:i/>
          <w:sz w:val="24"/>
          <w:szCs w:val="24"/>
        </w:rPr>
        <w:t>D</w:t>
      </w:r>
      <w:r w:rsidRPr="00165ED2">
        <w:rPr>
          <w:rFonts w:ascii="Times New Roman" w:eastAsiaTheme="minorEastAsia" w:hAnsi="Times New Roman" w:cs="Times New Roman"/>
          <w:i/>
          <w:sz w:val="24"/>
          <w:szCs w:val="24"/>
        </w:rPr>
        <w:t>iffusive oxygen transport</w:t>
      </w:r>
    </w:p>
    <w:p w14:paraId="57D57ECF" w14:textId="12C2DD89" w:rsidR="0032747A" w:rsidRPr="00165ED2" w:rsidRDefault="00D27C1D" w:rsidP="0032747A">
      <w:pPr>
        <w:spacing w:line="480" w:lineRule="auto"/>
        <w:jc w:val="both"/>
        <w:rPr>
          <w:rFonts w:ascii="Times New Roman" w:eastAsiaTheme="minorEastAsia" w:hAnsi="Times New Roman" w:cs="Times New Roman"/>
          <w:sz w:val="24"/>
          <w:szCs w:val="24"/>
        </w:rPr>
      </w:pPr>
      <w:r w:rsidRPr="00165ED2">
        <w:rPr>
          <w:rFonts w:ascii="Times New Roman" w:eastAsiaTheme="minorEastAsia" w:hAnsi="Times New Roman" w:cs="Times New Roman"/>
          <w:sz w:val="24"/>
          <w:szCs w:val="24"/>
        </w:rPr>
        <w:t>Diffusive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w:t>
      </w:r>
      <w:r w:rsidR="005210C1" w:rsidRPr="00165ED2">
        <w:rPr>
          <w:rFonts w:ascii="Times New Roman" w:eastAsiaTheme="minorEastAsia" w:hAnsi="Times New Roman" w:cs="Times New Roman"/>
          <w:sz w:val="24"/>
          <w:szCs w:val="24"/>
        </w:rPr>
        <w:t>transport refers to</w:t>
      </w:r>
      <w:r w:rsidRPr="00165ED2">
        <w:rPr>
          <w:rFonts w:ascii="Times New Roman" w:eastAsiaTheme="minorEastAsia" w:hAnsi="Times New Roman" w:cs="Times New Roman"/>
          <w:sz w:val="24"/>
          <w:szCs w:val="24"/>
        </w:rPr>
        <w:t xml:space="preserve"> </w:t>
      </w:r>
      <w:r w:rsidR="00832B34" w:rsidRPr="00165ED2">
        <w:rPr>
          <w:rFonts w:ascii="Times New Roman" w:eastAsiaTheme="minorEastAsia" w:hAnsi="Times New Roman" w:cs="Times New Roman"/>
          <w:sz w:val="24"/>
          <w:szCs w:val="24"/>
        </w:rPr>
        <w:t xml:space="preserve">the diffusive movement </w:t>
      </w:r>
      <w:r w:rsidRPr="00165ED2">
        <w:rPr>
          <w:rFonts w:ascii="Times New Roman" w:eastAsiaTheme="minorEastAsia" w:hAnsi="Times New Roman" w:cs="Times New Roman"/>
          <w:sz w:val="24"/>
          <w:szCs w:val="24"/>
        </w:rPr>
        <w:t>of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from the capillaries to the muscle mitochondria where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serves as the final electron acceptor for the electron transport system. This process is described mathematically via Fick’s law of diffusion:</w:t>
      </w:r>
    </w:p>
    <w:p w14:paraId="0430531C" w14:textId="6383F4AF" w:rsidR="00952A30" w:rsidRPr="00165ED2" w:rsidRDefault="000B2B2F" w:rsidP="00952A30">
      <w:pPr>
        <w:spacing w:line="480" w:lineRule="auto"/>
        <w:ind w:firstLine="72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bCs/>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m:oMathPara>
    </w:p>
    <w:p w14:paraId="584EB756" w14:textId="126F20CE" w:rsidR="00D27C1D" w:rsidRPr="00165ED2" w:rsidRDefault="00D27C1D" w:rsidP="00DC501F">
      <w:pPr>
        <w:spacing w:line="480" w:lineRule="auto"/>
        <w:ind w:firstLine="720"/>
        <w:jc w:val="both"/>
        <w:rPr>
          <w:rFonts w:ascii="Times New Roman" w:eastAsiaTheme="minorEastAsia" w:hAnsi="Times New Roman" w:cs="Times New Roman"/>
          <w:sz w:val="24"/>
          <w:szCs w:val="24"/>
        </w:rPr>
      </w:pPr>
      <w:r w:rsidRPr="00165ED2">
        <w:rPr>
          <w:rFonts w:ascii="Times New Roman" w:eastAsiaTheme="minorEastAsia" w:hAnsi="Times New Roman" w:cs="Times New Roman"/>
          <w:sz w:val="24"/>
          <w:szCs w:val="24"/>
        </w:rPr>
        <w:t xml:space="preserve">Where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Pr="00165ED2">
        <w:rPr>
          <w:rFonts w:ascii="Times New Roman" w:eastAsiaTheme="minorEastAsia" w:hAnsi="Times New Roman" w:cs="Times New Roman"/>
          <w:bCs/>
          <w:sz w:val="24"/>
          <w:szCs w:val="24"/>
        </w:rPr>
        <w:t>O</w:t>
      </w:r>
      <w:r w:rsidRPr="00165ED2">
        <w:rPr>
          <w:rFonts w:ascii="Times New Roman" w:eastAsiaTheme="minorEastAsia" w:hAnsi="Times New Roman" w:cs="Times New Roman"/>
          <w:bCs/>
          <w:sz w:val="24"/>
          <w:szCs w:val="24"/>
          <w:vertAlign w:val="subscript"/>
        </w:rPr>
        <w:t xml:space="preserve">2 </w:t>
      </w:r>
      <w:r w:rsidRPr="00165ED2">
        <w:rPr>
          <w:rFonts w:ascii="Times New Roman" w:eastAsiaTheme="minorEastAsia" w:hAnsi="Times New Roman" w:cs="Times New Roman"/>
          <w:sz w:val="24"/>
          <w:szCs w:val="24"/>
        </w:rPr>
        <w:t>corresponds to the rate of O</w:t>
      </w:r>
      <w:r w:rsidRPr="00165ED2">
        <w:rPr>
          <w:rFonts w:ascii="Times New Roman" w:eastAsiaTheme="minorEastAsia" w:hAnsi="Times New Roman" w:cs="Times New Roman"/>
          <w:sz w:val="24"/>
          <w:szCs w:val="24"/>
          <w:vertAlign w:val="subscript"/>
        </w:rPr>
        <w:t xml:space="preserve">2 </w:t>
      </w:r>
      <w:r w:rsidRPr="00165ED2">
        <w:rPr>
          <w:rFonts w:ascii="Times New Roman" w:eastAsiaTheme="minorEastAsia" w:hAnsi="Times New Roman" w:cs="Times New Roman"/>
          <w:sz w:val="24"/>
          <w:szCs w:val="24"/>
        </w:rPr>
        <w:t xml:space="preserve">flux, </w:t>
      </w:r>
      <w:r w:rsidRPr="00165ED2">
        <w:rPr>
          <w:rFonts w:ascii="Times New Roman" w:eastAsiaTheme="minorEastAsia" w:hAnsi="Times New Roman" w:cs="Times New Roman"/>
          <w:i/>
          <w:sz w:val="24"/>
          <w:szCs w:val="24"/>
        </w:rPr>
        <w:t>D</w:t>
      </w:r>
      <w:r w:rsidRPr="00165ED2">
        <w:rPr>
          <w:rFonts w:ascii="Times New Roman" w:eastAsiaTheme="minorEastAsia" w:hAnsi="Times New Roman" w:cs="Times New Roman"/>
          <w:sz w:val="24"/>
          <w:szCs w:val="24"/>
        </w:rPr>
        <w:t>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is the muscle diffusing capacity, and Δ</w:t>
      </w:r>
      <w:r w:rsidRPr="00165ED2">
        <w:rPr>
          <w:rFonts w:ascii="Times New Roman" w:eastAsiaTheme="minorEastAsia" w:hAnsi="Times New Roman" w:cs="Times New Roman"/>
          <w:i/>
          <w:sz w:val="24"/>
          <w:szCs w:val="24"/>
        </w:rPr>
        <w:t>P</w:t>
      </w:r>
      <w:r w:rsidRPr="00165ED2">
        <w:rPr>
          <w:rFonts w:ascii="Times New Roman" w:eastAsiaTheme="minorEastAsia" w:hAnsi="Times New Roman" w:cs="Times New Roman"/>
          <w:sz w:val="24"/>
          <w:szCs w:val="24"/>
        </w:rPr>
        <w:t>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is the partial pressure difference between the </w:t>
      </w:r>
      <w:r w:rsidR="00DC501F" w:rsidRPr="00165ED2">
        <w:rPr>
          <w:rFonts w:ascii="Times New Roman" w:eastAsiaTheme="minorEastAsia" w:hAnsi="Times New Roman" w:cs="Times New Roman"/>
          <w:sz w:val="24"/>
          <w:szCs w:val="24"/>
        </w:rPr>
        <w:t xml:space="preserve">capillary and </w:t>
      </w:r>
      <w:proofErr w:type="spellStart"/>
      <w:r w:rsidR="00DC501F" w:rsidRPr="00165ED2">
        <w:rPr>
          <w:rFonts w:ascii="Times New Roman" w:eastAsiaTheme="minorEastAsia" w:hAnsi="Times New Roman" w:cs="Times New Roman"/>
          <w:sz w:val="24"/>
          <w:szCs w:val="24"/>
        </w:rPr>
        <w:t>intram</w:t>
      </w:r>
      <w:r w:rsidR="00BC25D8" w:rsidRPr="00165ED2">
        <w:rPr>
          <w:rFonts w:ascii="Times New Roman" w:eastAsiaTheme="minorEastAsia" w:hAnsi="Times New Roman" w:cs="Times New Roman"/>
          <w:sz w:val="24"/>
          <w:szCs w:val="24"/>
        </w:rPr>
        <w:t>yocyte</w:t>
      </w:r>
      <w:proofErr w:type="spellEnd"/>
      <w:r w:rsidR="00DC501F" w:rsidRPr="00165ED2">
        <w:rPr>
          <w:rFonts w:ascii="Times New Roman" w:eastAsiaTheme="minorEastAsia" w:hAnsi="Times New Roman" w:cs="Times New Roman"/>
          <w:sz w:val="24"/>
          <w:szCs w:val="24"/>
        </w:rPr>
        <w:t xml:space="preserve"> spaces (</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 xml:space="preserve">2cap </w:t>
      </w:r>
      <w:r w:rsidR="00DC501F" w:rsidRPr="00165ED2">
        <w:rPr>
          <w:rFonts w:ascii="Times New Roman" w:eastAsiaTheme="minorEastAsia" w:hAnsi="Times New Roman" w:cs="Times New Roman"/>
          <w:sz w:val="24"/>
          <w:szCs w:val="24"/>
        </w:rPr>
        <w:t xml:space="preserve">and </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2im</w:t>
      </w:r>
      <w:r w:rsidR="00DC501F" w:rsidRPr="00165ED2">
        <w:rPr>
          <w:rFonts w:ascii="Times New Roman" w:eastAsiaTheme="minorEastAsia" w:hAnsi="Times New Roman" w:cs="Times New Roman"/>
          <w:sz w:val="24"/>
          <w:szCs w:val="24"/>
        </w:rPr>
        <w:t xml:space="preserve">, respectively). This relationship dictates that elevations in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DC501F" w:rsidRPr="00165ED2">
        <w:rPr>
          <w:rFonts w:ascii="Times New Roman" w:eastAsiaTheme="minorEastAsia" w:hAnsi="Times New Roman" w:cs="Times New Roman"/>
          <w:bCs/>
          <w:sz w:val="24"/>
          <w:szCs w:val="24"/>
        </w:rPr>
        <w:t>O</w:t>
      </w:r>
      <w:r w:rsidR="00DC501F" w:rsidRPr="00165ED2">
        <w:rPr>
          <w:rFonts w:ascii="Times New Roman" w:eastAsiaTheme="minorEastAsia" w:hAnsi="Times New Roman" w:cs="Times New Roman"/>
          <w:bCs/>
          <w:sz w:val="24"/>
          <w:szCs w:val="24"/>
          <w:vertAlign w:val="subscript"/>
        </w:rPr>
        <w:t xml:space="preserve">2 </w:t>
      </w:r>
      <w:r w:rsidR="00DC501F" w:rsidRPr="00165ED2">
        <w:rPr>
          <w:rFonts w:ascii="Times New Roman" w:eastAsiaTheme="minorEastAsia" w:hAnsi="Times New Roman" w:cs="Times New Roman"/>
          <w:bCs/>
          <w:sz w:val="24"/>
          <w:szCs w:val="24"/>
        </w:rPr>
        <w:t>must be established via changes in either 1) changes in the driving force for O</w:t>
      </w:r>
      <w:r w:rsidR="00DC501F" w:rsidRPr="00165ED2">
        <w:rPr>
          <w:rFonts w:ascii="Times New Roman" w:eastAsiaTheme="minorEastAsia" w:hAnsi="Times New Roman" w:cs="Times New Roman"/>
          <w:bCs/>
          <w:sz w:val="24"/>
          <w:szCs w:val="24"/>
          <w:vertAlign w:val="subscript"/>
        </w:rPr>
        <w:t>2</w:t>
      </w:r>
      <w:r w:rsidR="00DC501F" w:rsidRPr="00165ED2">
        <w:rPr>
          <w:rFonts w:ascii="Times New Roman" w:eastAsiaTheme="minorEastAsia" w:hAnsi="Times New Roman" w:cs="Times New Roman"/>
          <w:bCs/>
          <w:sz w:val="24"/>
          <w:szCs w:val="24"/>
        </w:rPr>
        <w:t xml:space="preserve"> diffusion (i.e., </w:t>
      </w:r>
      <w:r w:rsidR="00DC501F" w:rsidRPr="00165ED2">
        <w:rPr>
          <w:rFonts w:ascii="Times New Roman" w:eastAsiaTheme="minorEastAsia" w:hAnsi="Times New Roman" w:cs="Times New Roman"/>
          <w:sz w:val="24"/>
          <w:szCs w:val="24"/>
        </w:rPr>
        <w:t>Δ</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 xml:space="preserve">2 </w:t>
      </w:r>
      <w:r w:rsidR="00DC501F" w:rsidRPr="00165ED2">
        <w:rPr>
          <w:rFonts w:ascii="Times New Roman" w:eastAsiaTheme="minorEastAsia" w:hAnsi="Times New Roman" w:cs="Times New Roman"/>
          <w:sz w:val="24"/>
          <w:szCs w:val="24"/>
        </w:rPr>
        <w:t xml:space="preserve">= </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 xml:space="preserve">2cap </w:t>
      </w:r>
      <w:r w:rsidR="00DC501F" w:rsidRPr="00165ED2">
        <w:rPr>
          <w:rFonts w:ascii="Times New Roman" w:eastAsiaTheme="minorEastAsia" w:hAnsi="Times New Roman" w:cs="Times New Roman"/>
          <w:sz w:val="24"/>
          <w:szCs w:val="24"/>
        </w:rPr>
        <w:t xml:space="preserve">- </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2im</w:t>
      </w:r>
      <w:r w:rsidR="00DC501F" w:rsidRPr="00165ED2">
        <w:rPr>
          <w:rFonts w:ascii="Times New Roman" w:eastAsiaTheme="minorEastAsia" w:hAnsi="Times New Roman" w:cs="Times New Roman"/>
          <w:sz w:val="24"/>
          <w:szCs w:val="24"/>
        </w:rPr>
        <w:t xml:space="preserve">), and/or 2) changes in effective diffusing capacity (i.e., </w:t>
      </w:r>
      <w:r w:rsidR="00DC501F" w:rsidRPr="00165ED2">
        <w:rPr>
          <w:rFonts w:ascii="Times New Roman" w:eastAsiaTheme="minorEastAsia" w:hAnsi="Times New Roman" w:cs="Times New Roman"/>
          <w:i/>
          <w:sz w:val="24"/>
          <w:szCs w:val="24"/>
        </w:rPr>
        <w:t>D</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2</w:t>
      </w:r>
      <w:r w:rsidR="00DC501F" w:rsidRPr="00165ED2">
        <w:rPr>
          <w:rFonts w:ascii="Times New Roman" w:eastAsiaTheme="minorEastAsia" w:hAnsi="Times New Roman" w:cs="Times New Roman"/>
          <w:sz w:val="24"/>
          <w:szCs w:val="24"/>
        </w:rPr>
        <w:t>, determined primarily by the aggregate number of blood cells within capillaries adjacent to the myocyte at any given moment,</w:t>
      </w:r>
      <w:r w:rsidR="005210C1" w:rsidRPr="00165ED2">
        <w:rPr>
          <w:rFonts w:ascii="Times New Roman" w:eastAsiaTheme="minorEastAsia" w:hAnsi="Times New Roman" w:cs="Times New Roman"/>
          <w:sz w:val="24"/>
          <w:szCs w:val="24"/>
        </w:rPr>
        <w:t xml:space="preserve"> </w:t>
      </w:r>
      <w:r w:rsidR="005210C1"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{"citationID":"nwsb4Z5o","properties":{"formattedCitation":"[82,83]","plainCitation":"[82,83]","noteIndex":0},"citationItems":[{"id":162,"uris":["http://zotero.org/users/5056530/items/I7NV9HEI"],"itemData":{"id":162,"type":"article-journal","abstract":"A theoretical model is developed to investigate the role played by the particulate (two-phase) nature of blood on oxygen (O2) release in capillary-size vessels. Red cells flowing in single-file suspension through capillaries are modelled as evenly spaced, hemoglobin (Hb)-containing circular particles in a rectangular channel (two-dimensional case) or axisymmetric spheres in a circular tube (three-dimensional case). The model includes the free and Hb-facilitated transport of O2 and Hb-O2 kinetics inside the particles, diffusion of free O2 in the suspending phase, and a specified O2 tension at the capillary wall that drives the release of O2 from the particles as they traverse the capillary. The results are expressed in the form of a capillary mass transfer coefficient, an inverse resistance, that relates the spatial average flux of O2 out of the capillary to a driving force for O2 release. The results indicate that this coefficient depends significantly on particle spacing and clearance (channel size relative to particle size) but not significantly on the O2 tension at the capillary wall nor the eccentricity of the particles in the channel. It is also found that the capillary mass transfer coefficient can be several times smaller (more resistance) than that for a continuous Hb solution releasing O2. As a physiological application of the coefficients obtained, they are combined with a Krogh-type model for tissue, and the resulting analysis suggests that the fraction of total O2 transport resistance that resides inside the capillary is influenced significantly by the discrete nature of blood and can account for 30 to 70% of the total resistance to O2 transport from blood to tissue.","container-title":"Microvascular Research","ISSN":"0026-2862","issue":"2","journalAbbreviation":"Microvasc. Res.","language":"eng","note":"PMID: 3762425","page":"164-189","source":"PubMed","title":"A theoretical analysis of the effect of the particulate nature of blood on oxygen release in capillaries","volume":"32","author":[{"family":"Federspiel","given":"W. J."},{"family":"Popel","given":"A. S."}],"issued":{"date-parts":[["1986",9]]}}},{"id":161,"uris":["http://zotero.org/users/5056530/items/C78FUEZG"],"itemData":{"id":161,"type":"article-journal","abstract":"A recently introduced three-dimensional analytical model of O2 diffusion to heavily working muscle that considers myoglobin-facilitated O2 diffusion inside the muscle fiber and a carrier-free layer separating erythrocytes and fiber is able to furnish the following new insights in O2 supply to red muscle at high performance. 1) Fiber PO2 profiles are essentially flat, and the major PO2 gradients are located in the perierythrocytic region, in good agreement with experimental findings [T. E. J. Gayeski and C. R. Honig, Am. J. Physiol. 251 (Heart Circ. Physiol. 20): H789-H799, 1986]. No specialized anatomical pericapillary barrier structure is required to explain these results. 2) A functional barrier to O2 diffusion has been identified that consists of the carrier-free layer and of the pericapillary muscle fiber portions. There are three reasons that make these structures act as a diffusion barrier: a \"geometric reason,\" a \"diffusivity-related reason,\" and a \"myoglobin-related reason.\" 3) PO2 fields of adjacent red blood cells (RBCs) practically do not interact. 4) Small scale heterogeneities in capillary and RBC spacing are compensated for by high myoglobin-facilitated fiber diffusivity. Limiting factor for diffusional O2 transport is the number of RBCs present on the fiber surface.","container-title":"The American Journal of Physiology","ISSN":"0002-9513","issue":"1 Pt 2","journalAbbreviation":"Am. J. Physiol.","language":"eng","note":"PMID: 2375415","page":"H84-92","source":"PubMed","title":"Calculated intra- and extracellular PO2 gradients in heavily working red muscle","volume":"259","author":[{"family":"Groebe","given":"K."},{"family":"Thews","given":"G."}],"issued":{"date-parts":[["1990",7]]}}}],"schema":"https://github.com/citation-style-language/schema/raw/master/csl-citation.json"} </w:instrText>
      </w:r>
      <w:r w:rsidR="005210C1"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[82,83]</w:t>
      </w:r>
      <w:r w:rsidR="005210C1" w:rsidRPr="00165ED2">
        <w:rPr>
          <w:rFonts w:ascii="Times New Roman" w:eastAsiaTheme="minorEastAsia" w:hAnsi="Times New Roman" w:cs="Times New Roman"/>
          <w:sz w:val="24"/>
          <w:szCs w:val="24"/>
        </w:rPr>
        <w:fldChar w:fldCharType="end"/>
      </w:r>
      <w:r w:rsidR="00DC501F" w:rsidRPr="00165ED2">
        <w:rPr>
          <w:rFonts w:ascii="Times New Roman" w:eastAsiaTheme="minorEastAsia" w:hAnsi="Times New Roman" w:cs="Times New Roman"/>
          <w:sz w:val="24"/>
          <w:szCs w:val="24"/>
        </w:rPr>
        <w:t>).</w:t>
      </w:r>
    </w:p>
    <w:p w14:paraId="3B2EDBF5" w14:textId="79FE5371" w:rsidR="00DC501F" w:rsidRPr="00165ED2" w:rsidRDefault="00593D73" w:rsidP="00DC501F">
      <w:pPr>
        <w:spacing w:line="480" w:lineRule="auto"/>
        <w:ind w:firstLine="720"/>
        <w:jc w:val="both"/>
        <w:rPr>
          <w:rFonts w:ascii="Times New Roman" w:eastAsiaTheme="minorEastAsia" w:hAnsi="Times New Roman" w:cs="Times New Roman"/>
          <w:sz w:val="24"/>
          <w:szCs w:val="24"/>
        </w:rPr>
      </w:pPr>
      <w:r w:rsidRPr="00165ED2">
        <w:rPr>
          <w:rFonts w:ascii="Times New Roman" w:eastAsiaTheme="minorEastAsia" w:hAnsi="Times New Roman" w:cs="Times New Roman"/>
          <w:bCs/>
          <w:sz w:val="24"/>
          <w:szCs w:val="24"/>
        </w:rPr>
        <w:t xml:space="preserve">Fick’s Law of Diffusion </w:t>
      </w:r>
      <w:r w:rsidR="00DC501F" w:rsidRPr="00165ED2">
        <w:rPr>
          <w:rFonts w:ascii="Times New Roman" w:eastAsiaTheme="minorEastAsia" w:hAnsi="Times New Roman" w:cs="Times New Roman"/>
          <w:bCs/>
          <w:sz w:val="24"/>
          <w:szCs w:val="24"/>
        </w:rPr>
        <w:t>predicts that alterations in FiO</w:t>
      </w:r>
      <w:r w:rsidR="00DC501F" w:rsidRPr="00165ED2">
        <w:rPr>
          <w:rFonts w:ascii="Times New Roman" w:eastAsiaTheme="minorEastAsia" w:hAnsi="Times New Roman" w:cs="Times New Roman"/>
          <w:bCs/>
          <w:sz w:val="24"/>
          <w:szCs w:val="24"/>
          <w:vertAlign w:val="subscript"/>
        </w:rPr>
        <w:t>2</w:t>
      </w:r>
      <w:r w:rsidR="00DC501F" w:rsidRPr="00165ED2">
        <w:rPr>
          <w:rFonts w:ascii="Times New Roman" w:eastAsiaTheme="minorEastAsia" w:hAnsi="Times New Roman" w:cs="Times New Roman"/>
          <w:bCs/>
          <w:sz w:val="24"/>
          <w:szCs w:val="24"/>
        </w:rPr>
        <w:t xml:space="preserve"> will bring about </w:t>
      </w:r>
      <w:r w:rsidRPr="00165ED2">
        <w:rPr>
          <w:rFonts w:ascii="Times New Roman" w:eastAsiaTheme="minorEastAsia" w:hAnsi="Times New Roman" w:cs="Times New Roman"/>
          <w:bCs/>
          <w:sz w:val="24"/>
          <w:szCs w:val="24"/>
        </w:rPr>
        <w:t>concomitant alterations</w:t>
      </w:r>
      <w:r w:rsidR="00DC501F" w:rsidRPr="00165ED2">
        <w:rPr>
          <w:rFonts w:ascii="Times New Roman" w:eastAsiaTheme="minorEastAsia" w:hAnsi="Times New Roman" w:cs="Times New Roman"/>
          <w:bCs/>
          <w:sz w:val="24"/>
          <w:szCs w:val="24"/>
        </w:rPr>
        <w:t xml:space="preserve"> in CP via </w:t>
      </w:r>
      <w:r w:rsidR="00832B34" w:rsidRPr="00165ED2">
        <w:rPr>
          <w:rFonts w:ascii="Times New Roman" w:eastAsiaTheme="minorEastAsia" w:hAnsi="Times New Roman" w:cs="Times New Roman"/>
          <w:bCs/>
          <w:sz w:val="24"/>
          <w:szCs w:val="24"/>
        </w:rPr>
        <w:t xml:space="preserve">altered </w:t>
      </w:r>
      <w:r w:rsidR="00DC501F" w:rsidRPr="00165ED2">
        <w:rPr>
          <w:rFonts w:ascii="Times New Roman" w:eastAsiaTheme="minorEastAsia" w:hAnsi="Times New Roman" w:cs="Times New Roman"/>
          <w:bCs/>
          <w:sz w:val="24"/>
          <w:szCs w:val="24"/>
        </w:rPr>
        <w:t>O</w:t>
      </w:r>
      <w:r w:rsidR="00DC501F" w:rsidRPr="00165ED2">
        <w:rPr>
          <w:rFonts w:ascii="Times New Roman" w:eastAsiaTheme="minorEastAsia" w:hAnsi="Times New Roman" w:cs="Times New Roman"/>
          <w:bCs/>
          <w:sz w:val="24"/>
          <w:szCs w:val="24"/>
          <w:vertAlign w:val="subscript"/>
        </w:rPr>
        <w:t>2</w:t>
      </w:r>
      <w:r w:rsidR="00DC501F" w:rsidRPr="00165ED2">
        <w:rPr>
          <w:rFonts w:ascii="Times New Roman" w:eastAsiaTheme="minorEastAsia" w:hAnsi="Times New Roman" w:cs="Times New Roman"/>
          <w:bCs/>
          <w:sz w:val="24"/>
          <w:szCs w:val="24"/>
        </w:rPr>
        <w:t xml:space="preserve"> diffusion </w:t>
      </w:r>
      <w:r w:rsidR="00832B34" w:rsidRPr="00165ED2">
        <w:rPr>
          <w:rFonts w:ascii="Times New Roman" w:eastAsiaTheme="minorEastAsia" w:hAnsi="Times New Roman" w:cs="Times New Roman"/>
          <w:bCs/>
          <w:sz w:val="24"/>
          <w:szCs w:val="24"/>
        </w:rPr>
        <w:t>in addition to</w:t>
      </w:r>
      <w:r w:rsidR="00DC501F" w:rsidRPr="00165ED2">
        <w:rPr>
          <w:rFonts w:ascii="Times New Roman" w:eastAsiaTheme="minorEastAsia" w:hAnsi="Times New Roman" w:cs="Times New Roman"/>
          <w:bCs/>
          <w:sz w:val="24"/>
          <w:szCs w:val="24"/>
        </w:rPr>
        <w:t xml:space="preserve"> convection. For instance, hypoxia reduces and hyperoxia increases both estimated </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 xml:space="preserve">2cap </w:t>
      </w:r>
      <w:r w:rsidR="005210C1" w:rsidRPr="00165ED2">
        <w:rPr>
          <w:rFonts w:ascii="Times New Roman" w:eastAsiaTheme="minorEastAsia" w:hAnsi="Times New Roman" w:cs="Times New Roman"/>
          <w:sz w:val="24"/>
          <w:szCs w:val="24"/>
          <w:vertAlign w:val="subscript"/>
        </w:rPr>
        <w:fldChar w:fldCharType="begin"/>
      </w:r>
      <w:r w:rsidR="005174B6" w:rsidRPr="00165ED2">
        <w:rPr>
          <w:rFonts w:ascii="Times New Roman" w:eastAsiaTheme="minorEastAsia" w:hAnsi="Times New Roman" w:cs="Times New Roman"/>
          <w:sz w:val="24"/>
          <w:szCs w:val="24"/>
          <w:vertAlign w:val="subscript"/>
        </w:rPr>
        <w:instrText xml:space="preserve"> ADDIN ZOTERO_ITEM CSL_CITATION {"citationID":"gbmGClad","properties":{"formattedCitation":"[84]","plainCitation":"[84]","noteIndex":0},"citationItems":[{"id":666,"uris":["http://zotero.org/users/5056530/items/46EQMG96"],"itemData":{"id":666,"type":"article-journal","abstract":"Maximal O2 delivery and O2 uptake (VO2) per 100 g of active muscle mass are far greater during knee extensor (KE) than during cycle exercise: 73 and 60 ml. min-1. 100 g-1 (2.4 kg of muscle) (R. S. Richardson, D. R. Knight, D. C. Poole, S. S. Kurdak, M. C. Hogan, B. Grassi, and P. D. Wagner. Am. J. Physiol. 268 (Heart Circ. Physiol. 37): H1453-H1461, 1995) and 28 and 25 ml. min-1. 100 g-1 (7.5 kg of muscle) (D. R. Knight, W. Schaffartzik, H. J. Guy, R. Predilleto, M. C. Hogan, and P. D. Wagner. J. Appl. Physiol. 75: 2586-2593, 1993), respectively. Although this is evidence of muscle O2 supply dependence in itself, it raises the following question: With such high O2 delivery in KE, are the quadriceps still O2 supply dependent at maximal exercise? To answer this question, seven trained subjects performed maximum KE exercise in hypoxia [0.12 inspired O2 fraction (FIO2)], normoxia (0.21 FIO2), and hyperoxia (1.0 FIO2) in a balanced order. The protocol (after warm-up) was a square wave to a previously determined maximum work rate followed by incremental stages to ensure that a true maximum was achieved under each condition. Direct measures of arterial and venous blood O2 concentration in combination with a thermodilution blood flow technique allowed the determination of O2 delivery and muscle VO2. Maximal O2 delivery increased with inspired O2: 1.3 +/- 0.1, 1.6 +/- 0.2, and 1.9 +/- 0.2 l/min at 0.12, 0.21, and 1.0 FIO2, respectively (P &lt; 0.05). Maximal work rate was affected by variations in inspired O2 (-25 and +14% at 0.12 and 1.0 FIO2, respectively, compared with normoxia, P &lt; 0.05) as was maximal VO2 (VO2 max): 1.04 +/- 0.13, 1. 24 +/- 0.16, and 1.45 +/- 0.19 l/min at 0.12, 0.21, and 1.0 FIO2, respectively (P &lt; 0.05). Calculated mean capillary PO2 also varied with FIO2 (28.3 +/- 1.0, 34.8 +/- 2.0, and 40.7 +/- 1.9 Torr at 0.12, 0.21, and 1.0 FIO2, respectively, P &lt; 0.05) and was proportionally related to changes in VO2 max, supporting our previous finding that a decrease in O2 supply will proportionately decrease muscle VO2 max. As even in the isolated quadriceps (where normoxic O2 delivery is the highest recorded in humans) an increase in O2 supply by hyperoxia allows the achievement of a greater VO2 max, we conclude that, in normoxic conditions of isolated KE exercise, KE VO2 max in trained subjects is not limited by mitochondrial metabolic rate but, rather, by O2 supply.","container-title":"Journal of Applied Physiology (Bethesda, Md.: 1985)","DOI":"10.1152/jappl.1999.86.3.1048","ISSN":"8750-7587","issue":"3","journalAbbreviation":"J. Appl. Physiol.","language":"eng","note":"PMID: 10066722","page":"1048-1053","source":"PubMed","title":"Evidence of O2 supply-dependent VO2 max in the exercise-trained human quadriceps","volume":"86","author":[{"family":"Richardson","given":"R. S."},{"family":"Grassi","given":"B."},{"family":"Gavin","given":"T. P."},{"family":"Haseler","given":"L. J."},{"family":"Tagore","given":"K."},{"family":"Roca","given":"J."},{"family":"Wagner","given":"P. D."}],"issued":{"date-parts":[["1999",3]]}}}],"schema":"https://github.com/citation-style-language/schema/raw/master/csl-citation.json"} </w:instrText>
      </w:r>
      <w:r w:rsidR="005210C1" w:rsidRPr="00165ED2">
        <w:rPr>
          <w:rFonts w:ascii="Times New Roman" w:eastAsiaTheme="minorEastAsia" w:hAnsi="Times New Roman" w:cs="Times New Roman"/>
          <w:sz w:val="24"/>
          <w:szCs w:val="24"/>
          <w:vertAlign w:val="subscript"/>
        </w:rPr>
        <w:fldChar w:fldCharType="separate"/>
      </w:r>
      <w:r w:rsidR="005174B6" w:rsidRPr="00165ED2">
        <w:rPr>
          <w:rFonts w:ascii="Times New Roman" w:hAnsi="Times New Roman" w:cs="Times New Roman"/>
          <w:sz w:val="24"/>
        </w:rPr>
        <w:t>[84]</w:t>
      </w:r>
      <w:r w:rsidR="005210C1" w:rsidRPr="00165ED2">
        <w:rPr>
          <w:rFonts w:ascii="Times New Roman" w:eastAsiaTheme="minorEastAsia" w:hAnsi="Times New Roman" w:cs="Times New Roman"/>
          <w:sz w:val="24"/>
          <w:szCs w:val="24"/>
          <w:vertAlign w:val="subscript"/>
        </w:rPr>
        <w:fldChar w:fldCharType="end"/>
      </w:r>
      <w:r w:rsidR="005210C1" w:rsidRPr="00165ED2">
        <w:rPr>
          <w:rFonts w:ascii="Times New Roman" w:eastAsiaTheme="minorEastAsia" w:hAnsi="Times New Roman" w:cs="Times New Roman"/>
          <w:sz w:val="24"/>
          <w:szCs w:val="24"/>
          <w:vertAlign w:val="subscript"/>
        </w:rPr>
        <w:t xml:space="preserve"> </w:t>
      </w:r>
      <w:r w:rsidR="00DC501F" w:rsidRPr="00165ED2">
        <w:rPr>
          <w:rFonts w:ascii="Times New Roman" w:eastAsiaTheme="minorEastAsia" w:hAnsi="Times New Roman" w:cs="Times New Roman"/>
          <w:sz w:val="24"/>
          <w:szCs w:val="24"/>
        </w:rPr>
        <w:t xml:space="preserve">and </w:t>
      </w:r>
      <w:r w:rsidR="00DC501F" w:rsidRPr="00165ED2">
        <w:rPr>
          <w:rFonts w:ascii="Times New Roman" w:eastAsiaTheme="minorEastAsia" w:hAnsi="Times New Roman" w:cs="Times New Roman"/>
          <w:i/>
          <w:sz w:val="24"/>
          <w:szCs w:val="24"/>
        </w:rPr>
        <w:t>P</w:t>
      </w:r>
      <w:r w:rsidR="00DC501F" w:rsidRPr="00165ED2">
        <w:rPr>
          <w:rFonts w:ascii="Times New Roman" w:eastAsiaTheme="minorEastAsia" w:hAnsi="Times New Roman" w:cs="Times New Roman"/>
          <w:sz w:val="24"/>
          <w:szCs w:val="24"/>
        </w:rPr>
        <w:t>O</w:t>
      </w:r>
      <w:r w:rsidR="00DC501F" w:rsidRPr="00165ED2">
        <w:rPr>
          <w:rFonts w:ascii="Times New Roman" w:eastAsiaTheme="minorEastAsia" w:hAnsi="Times New Roman" w:cs="Times New Roman"/>
          <w:sz w:val="24"/>
          <w:szCs w:val="24"/>
          <w:vertAlign w:val="subscript"/>
        </w:rPr>
        <w:t xml:space="preserve">2im </w:t>
      </w:r>
      <w:r w:rsidR="005210C1" w:rsidRPr="00165ED2">
        <w:rPr>
          <w:rFonts w:ascii="Times New Roman" w:eastAsiaTheme="minorEastAsia" w:hAnsi="Times New Roman" w:cs="Times New Roman"/>
          <w:sz w:val="24"/>
          <w:szCs w:val="24"/>
          <w:vertAlign w:val="subscript"/>
        </w:rPr>
        <w:fldChar w:fldCharType="begin"/>
      </w:r>
      <w:r w:rsidR="005174B6" w:rsidRPr="00165ED2">
        <w:rPr>
          <w:rFonts w:ascii="Times New Roman" w:eastAsiaTheme="minorEastAsia" w:hAnsi="Times New Roman" w:cs="Times New Roman"/>
          <w:sz w:val="24"/>
          <w:szCs w:val="24"/>
          <w:vertAlign w:val="subscript"/>
        </w:rPr>
        <w:instrText xml:space="preserve"> ADDIN ZOTERO_ITEM CSL_CITATION {"citationID":"vqKXPzQl","properties":{"formattedCitation":"[85]","plainCitation":"[85]","noteIndex":0},"citationItems":[{"id":665,"uris":["http://zotero.org/users/5056530/items/EWE2QDC4"],"itemData":{"id":665,"type":"article-journal","abstract":"Previously, by measuring myoglobin-associated PO(2) (P(Mb)O(2)) during maximal exercise, we have demonstrated that 1) intracellular PO(2) is 10-fold less than calculated mean capillary PO(2) and 2) intracellular PO(2) and maximum O(2) uptake (VO(2 max)) fall proportionately in hypoxia. To further elucidate this relationship, five trained subjects performed maximum knee-extensor exercise under conditions of normoxia (21% O(2)), hypoxia (12% O(2)), and hyperoxia (100% O(2)) in balanced order. Quadriceps O(2) uptake (VO(2)) was calculated from arterial and venous blood O(2) concentrations and thermodilution blood flow measurements. Magnetic resonance spectroscopy was used to determine myoglobin desaturation, and an O(2) half-saturation pressure of 3.2 Torr was used to calculate P(Mb)O(2) from saturation. Skeletal muscle VO(2 max) at 12, 21, and 100% O(2) was 0.86 +/- 0.1, 1.08 +/- 0.2, and 1.28 +/- 0.2 ml. min(-1). ml(-1), respectively. The 100% O(2) values approached twice that previously reported in human skeletal muscle. P(Mb)O(2) values were 2.3 +/- 0.5, 3.0 +/- 0.7, and 4.1 +/- 0.7 Torr while the subjects breathed 12, 21, and 100% O(2), respectively. From 12 to 21% O(2), VO(2) and P(Mb)O(2) were again proportionately related. However, 100% O(2) increased VO(2 max) relatively less than P(Mb)O(2), suggesting an approach to maximal mitochondrial capacity with 100% O(2). These data 1) again demonstrate very low cytoplasmic PO(2) at VO(2 max), 2) are consistent with supply limitation of VO(2 max) of trained skeletal muscle, even in hyperoxia, and 3) reveal a disproportionate increase in intracellular PO(2) in hyperoxia, which may be interpreted as evidence that, in trained skeletal muscle, very high mitochondrial metabolic limits to muscle VO(2) are being approached.","container-title":"Journal of Applied Physiology (Bethesda, Md.: 1985)","DOI":"10.1152/jappl.1999.87.1.325","ISSN":"8750-7587","issue":"1","journalAbbreviation":"J. Appl. Physiol.","language":"eng","note":"PMID: 10409591","page":"325-331","source":"PubMed","title":"Cellular PO2 as a determinant of maximal mitochondrial O(2) consumption in trained human skeletal muscle","volume":"87","author":[{"family":"Richardson","given":"R. S."},{"family":"Leigh","given":"J. S."},{"family":"Wagner","given":"P. D."},{"family":"Noyszewski","given":"E. A."}],"issued":{"date-parts":[["1999",7]]}}}],"schema":"https://github.com/citation-style-language/schema/raw/master/csl-citation.json"} </w:instrText>
      </w:r>
      <w:r w:rsidR="005210C1" w:rsidRPr="00165ED2">
        <w:rPr>
          <w:rFonts w:ascii="Times New Roman" w:eastAsiaTheme="minorEastAsia" w:hAnsi="Times New Roman" w:cs="Times New Roman"/>
          <w:sz w:val="24"/>
          <w:szCs w:val="24"/>
          <w:vertAlign w:val="subscript"/>
        </w:rPr>
        <w:fldChar w:fldCharType="separate"/>
      </w:r>
      <w:r w:rsidR="005174B6" w:rsidRPr="00165ED2">
        <w:rPr>
          <w:rFonts w:ascii="Times New Roman" w:hAnsi="Times New Roman" w:cs="Times New Roman"/>
          <w:sz w:val="24"/>
        </w:rPr>
        <w:t>[85]</w:t>
      </w:r>
      <w:r w:rsidR="005210C1" w:rsidRPr="00165ED2">
        <w:rPr>
          <w:rFonts w:ascii="Times New Roman" w:eastAsiaTheme="minorEastAsia" w:hAnsi="Times New Roman" w:cs="Times New Roman"/>
          <w:sz w:val="24"/>
          <w:szCs w:val="24"/>
          <w:vertAlign w:val="subscript"/>
        </w:rPr>
        <w:fldChar w:fldCharType="end"/>
      </w:r>
      <w:r w:rsidR="00096B9C" w:rsidRPr="00165ED2">
        <w:rPr>
          <w:rFonts w:ascii="Times New Roman" w:eastAsiaTheme="minorEastAsia" w:hAnsi="Times New Roman" w:cs="Times New Roman"/>
          <w:sz w:val="24"/>
          <w:szCs w:val="24"/>
          <w:vertAlign w:val="subscript"/>
        </w:rPr>
        <w:t xml:space="preserve">, </w:t>
      </w:r>
      <w:r w:rsidR="00096B9C" w:rsidRPr="00165ED2">
        <w:rPr>
          <w:rFonts w:ascii="Times New Roman" w:eastAsiaTheme="minorEastAsia" w:hAnsi="Times New Roman" w:cs="Times New Roman"/>
          <w:sz w:val="24"/>
          <w:szCs w:val="24"/>
        </w:rPr>
        <w:t xml:space="preserve">though to differing extents such that </w:t>
      </w:r>
      <w:r w:rsidR="00096B9C" w:rsidRPr="00165ED2">
        <w:rPr>
          <w:rFonts w:ascii="Symbol" w:eastAsiaTheme="minorEastAsia" w:hAnsi="Symbol" w:cs="Times New Roman"/>
          <w:sz w:val="24"/>
          <w:szCs w:val="24"/>
        </w:rPr>
        <w:t></w:t>
      </w:r>
      <w:r w:rsidR="00096B9C" w:rsidRPr="00165ED2">
        <w:rPr>
          <w:rFonts w:ascii="Times New Roman" w:eastAsiaTheme="minorEastAsia" w:hAnsi="Times New Roman" w:cs="Times New Roman"/>
          <w:sz w:val="24"/>
          <w:szCs w:val="24"/>
        </w:rPr>
        <w:t>PO</w:t>
      </w:r>
      <w:r w:rsidR="00096B9C" w:rsidRPr="00165ED2">
        <w:rPr>
          <w:rFonts w:ascii="Times New Roman" w:eastAsiaTheme="minorEastAsia" w:hAnsi="Times New Roman" w:cs="Times New Roman"/>
          <w:sz w:val="24"/>
          <w:szCs w:val="24"/>
          <w:vertAlign w:val="subscript"/>
        </w:rPr>
        <w:t>2</w:t>
      </w:r>
      <w:r w:rsidR="00096B9C" w:rsidRPr="00165ED2">
        <w:rPr>
          <w:rFonts w:ascii="Times New Roman" w:eastAsiaTheme="minorEastAsia" w:hAnsi="Times New Roman" w:cs="Times New Roman"/>
          <w:sz w:val="24"/>
          <w:szCs w:val="24"/>
        </w:rPr>
        <w:t xml:space="preserve"> is reduced and increased, respectively. </w:t>
      </w:r>
      <w:r w:rsidR="00DC501F" w:rsidRPr="00165ED2">
        <w:rPr>
          <w:rFonts w:ascii="Times New Roman" w:eastAsiaTheme="minorEastAsia" w:hAnsi="Times New Roman" w:cs="Times New Roman"/>
          <w:sz w:val="24"/>
          <w:szCs w:val="24"/>
        </w:rPr>
        <w:t xml:space="preserve">Hence, in the studies reviewed in </w:t>
      </w:r>
      <w:r w:rsidR="00DC501F" w:rsidRPr="00165ED2">
        <w:rPr>
          <w:rFonts w:ascii="Times New Roman" w:eastAsiaTheme="minorEastAsia" w:hAnsi="Times New Roman" w:cs="Times New Roman"/>
          <w:i/>
          <w:sz w:val="24"/>
          <w:szCs w:val="24"/>
        </w:rPr>
        <w:t>Convective Oxygen Delivery</w:t>
      </w:r>
      <w:r w:rsidR="00DC501F" w:rsidRPr="00165ED2">
        <w:rPr>
          <w:rFonts w:ascii="Times New Roman" w:eastAsiaTheme="minorEastAsia" w:hAnsi="Times New Roman" w:cs="Times New Roman"/>
          <w:sz w:val="24"/>
          <w:szCs w:val="24"/>
        </w:rPr>
        <w:t xml:space="preserve"> wherein hypoxia reduced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Ashf9omT","properties":{"formattedCitation":"[21,56,60\\uc0\\u8211{}62]","plainCitation":"[21,56,60–62]","noteIndex":0},"citationItems":[{"id":278,"uris":["http://zotero.org/users/5056530/items/KBSS4CTK"],"itemData":{"id":278,"type":"article-journal","container-title":"Ergonomics","DOI":"10.1080/00140138108924856","ISSN":"0014-0139","issue":"5","journalAbbreviation":"Ergonomics","language":"eng","note":"PMID: 7262059","page":"339-350","source":"PubMed","title":"Critical power as a measure of physical work capacity and anaerobic threshold","volume":"24","author":[{"family":"Moritani","given":"T."},{"family":"Nagata","given":"A."},{"family":"deVries","given":"H. A."},{"family":"Muro","given":"M."}],"issued":{"date-parts":[["1981",5]]}}},{"id":675,"uris":["http://zotero.org/users/5056530/items/UD27HX7K"],"itemData":{"id":675,"type":"article-journal","abstract":"It remains uncertain as how the reduction in systemic oxygen transport limits high-intensity exercise tolerance. 11 participants (5 males; age 35 ± 10 years; peak [Formula: see text] 3.5 ± 0.4 L min(-1)) performed cycle ergometry to the limit of tolerance: (1) a ramp test to determine ventilatory threshold (VT) and peak [Formula: see text]; (2) three to four constant-load tests in order to model the linear P-t (-1) relationship for estimation of intercept (critical power; CP) and slope (AWC). All tests were performed in a random order under moderate hypoxia (FiO(2) = 0.15) and normoxia. The linearity of the P-t (-1) relationship was retained under hypoxia, with a systematic reduction in CP (220 ± 25 W vs. 190 ± 28 W; P &lt; 0.01) but no significant difference in AWC (11.7 ± 5.5 kJ vs. 12.1 ± 4.4 kJ; P &gt; 0.05). However, large individual variations in the change of the latter were observed (-36 to +66%). A significant relationship was found between the % change in CP (r = 0.80, P &lt; 0.01) and both peak [Formula: see text] (CP: r = -0.65, P &lt; 0.05) and VT values recorded under normoxia (CP: r = -0.65, P &lt; 0.05). The present study demonstrates the aerobic nature of the intercept of the P-t (-1) relationship, i.e. CP. However, the extreme within-individual changes in AWC do not support the original assumption that AWC reflects a finite energy store. Lower hypoxia-induced decrements in CP were observed in aerobically fitter participants. This study also demonstrates the greater ability these participants have to exercise at supra-CP but close to CP workloads under moderate hypoxia.","container-title":"European Journal of Applied Physiology","DOI":"10.1007/s00421-011-1979-z","ISSN":"1439-6327","issue":"1","journalAbbreviation":"Eur. J. Appl. Physiol.","language":"eng","note":"PMID: 21556815","page":"327-335","source":"PubMed","title":"Influence of moderate hypoxia on tolerance to high-intensity exercise","volume":"112","author":[{"family":"Dekerle","given":"J."},{"family":"Mucci","given":"P."},{"family":"Carter","given":"H."}],"issued":{"date-parts":[["2012",1]]}}},{"id":674,"uris":["http://zotero.org/users/5056530/items/B3PJNQI3"],"itemData":{"id":674,"type":"article-journal","abstract":"We investigated the influence of hypoxia on the asymptote (critical power, CP) and the curvature constant (W') of the hyperbolic power-duration relationship, as measured by both conventional and all-out testing procedures. 13 females completed 5 constant-power prediction trials and a 3-min all-out test to estimate CP and W', in both normoxia (N) and moderate hypoxia (H; FiO2=0.13). CP was significantly reduced in hypoxia compared to normoxia when estimated by conventional (H:132±17 vs. N:175±25 W; P&lt;0.001) and all-out methods (H:134±23 vs. N:172±30 W; P&lt;0.01). The W' was not significantly different in hypoxia compared to normoxia when established by conventional (H:12.3±2.7 vs. N:13.2±2.2 kJ) and all-out methods (H:12.0±2.6 vs. N:12.5±1.4 kJ). Estimates of CP and W' obtained with conventional and all-out methods were not significantly different either in normoxia or hypoxia. There was a significant relationship between the % change in CP relative to V̇(O2peak) and the % change in W' in normoxia compared to hypoxia (r=0.83, P&lt;0.001; conventional test). Changes in the W' in hypoxia are related to changes in the CP relative to V̇(O2peak), suggesting that the W' may not be defined simply as an 'anaerobic' energy store.","container-title":"International Journal of Sports Medicine","DOI":"10.1055/s-0034-1389943","ISSN":"1439-3964","issue":"2","journalAbbreviation":"Int J Sports Med","language":"eng","note":"PMID: 25329429","page":"113-119","source":"PubMed","title":"Influence of hypoxia on the power-duration relationship during high-intensity exercise","volume":"36","author":[{"family":"Simpson","given":"L. Parker"},{"family":"Jones","given":"A. M."},{"family":"Skiba","given":"P. F."},{"family":"Vanhatalo","given":"A."},{"family":"Wilkerson","given":"D."}],"issued":{"date-parts":[["2015",2]]}}},{"id":856,"uris":["http://zotero.org/users/5056530/items/8MVUX8K5"],"itemData":{"id":856,"type":"article-journal","abstract":"The relationship between work rate (WR) and its tolerable duration (t(LIM)) has not been investigated at high altitude (HA). At HA (5050 m) and at sea level (SL), six subjects therefore performed symptom-limited cycle-ergometry: an incremental test (IET) and three constant-WR tests (% of IET WR(max), HA and SL respectively: WR(1) 70±8%, 74±7%; WR(2) 86±14%, 88±10%; WR(3) 105±13%, 104±9%). The power asymptote (CP) and curvature constant (W') of the hyperbolic WR-t(LIM) relationship were reduced at HA compared to SL (CP: 81±21 vs. 123±38 W; W': 7.2±2.9 vs. 13.1±4.3 kJ). HA breathing reserve (estimated maximum voluntary ventilation minus end-exercise ventilation) was also compromised (WR(1): 25±25 vs. 50±18 l min(-1); WR(2): 4±23 vs. 38±23 l min(-1); WR(3): -3±18 vs. 32±24 l min(-1)) with near-maximal dyspnea levels (Borg) (WR(1): 7.2±1.2 vs. 4.8±1.3; WR(2): 8.8±0.8 vs. 5.3±1.2; WR(3): 9.3±1.0 vs. 5.3±1.5). The CP reduction is consistent with a reduced O(2) availability; that of W' with reduced muscle-venous O(2) storage, exacerbated by ventilatory limitation and dyspnea.","container-title":"Respiratory Physiology &amp; Neurobiology","DOI":"10.1016/j.resp.2011.05.014","ISSN":"1878-1519","issue":"3","journalAbbreviation":"Respir Physiol Neurobiol","language":"eng","note":"PMID: 21621651","page":"333-341","source":"PubMed","title":"Exercise intolerance at high altitude (5050 m): critical power and W'","title-short":"Exercise intolerance at high altitude (5050 m)","volume":"177","author":[{"family":"Valli","given":"G."},{"family":"Cogo","given":"A."},{"family":"Passino","given":"C."},{"family":"Bonardi","given":"D."},{"family":"Morici","given":"G."},{"family":"Fasano","given":"V."},{"family":"Agnesi","given":"M."},{"family":"Bernardi","given":"L."},{"family":"Ferrazza","given":"A. M."},{"family":"Ward","given":"S. A."},{"family":"Palange","given":"P."}],"issued":{"date-parts":[["2011",8,15]]}}},{"id":676,"uris":["http://zotero.org/users/5056530/items/EIV8KZ4Z"],"itemData":{"id":676,"type":"article-journal","abstract":"PURPOSE: To evaluate the effects of moderate normobaric hypoxia on the parameters of the work-time relationship in the upper body.\nMETHODS: Twenty-one recreationally active men completed a graded exercise test in both normobaric hypoxia (H) and normoxia (N) to exhaustion on an arm ergometer to determine V̇O2peak and peak power output (PPO). Each participant completed four constant work-rate (CWR) arm-cranking tests at 90-120% PPO in both environmental conditions. Linear regression was used to estimate critical power (CP) and anaerobic working capacity (AWC) via work-time relationship during the CWR tests.\nRESULTS: H significantly reduced V̇O2peak (N: 2.34 ± 0.34 L vs. H: 2.27 ± 0.34 L, p = 0.041), PPO (N: 125.29 ± 17.98 W vs. H: 121.11 ± 17.98 W, p = 0.001), and CP (N: 90.22 ± 12.88 W vs. H: 85.26 ± 9.64 W, p = 0.042), but had no effect on AWC (N: 9.16 ± 2.81 kJ vs. H: 8.75 ± 3.23 kJ, p = 0.600).\nDISCUSSION: Moderate normobaric hypoxia appears to reduce CP in the upper body but has a variable effect on AWC.","container-title":"Respiratory Physiology &amp; Neurobiology","DOI":"10.1016/j.resp.2017.12.002","ISSN":"1878-1519","journalAbbreviation":"Respir Physiol Neurobiol","language":"eng","note":"PMID: 29247712","page":"1-6","source":"PubMed","title":"Effects of normobaric hypoxia on upper body critical power and anaerobic working capacity","volume":"249","author":[{"family":"La Monica","given":"Michael B."},{"family":"Fukuda","given":"David H."},{"family":"Starling-Smith","given":"Tristan M."},{"family":"Wang","given":"Ran"},{"family":"Hoffman","given":"Jay R."},{"family":"Stout","given":"Jeffrey R."}],"issued":{"date-parts":[["2017",12,13]]}}}],"schema":"https://github.com/citation-style-language/schema/raw/master/csl-citation.json"}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szCs w:val="24"/>
        </w:rPr>
        <w:t>[21,56,60–62]</w:t>
      </w:r>
      <w:r w:rsidR="005210C1" w:rsidRPr="00165ED2">
        <w:rPr>
          <w:rFonts w:ascii="Times New Roman" w:eastAsiaTheme="minorEastAsia" w:hAnsi="Times New Roman" w:cs="Times New Roman"/>
          <w:bCs/>
          <w:sz w:val="24"/>
          <w:szCs w:val="24"/>
        </w:rPr>
        <w:fldChar w:fldCharType="end"/>
      </w:r>
      <w:r w:rsidR="005210C1" w:rsidRPr="00165ED2">
        <w:rPr>
          <w:rFonts w:ascii="Times New Roman" w:eastAsiaTheme="minorEastAsia" w:hAnsi="Times New Roman" w:cs="Times New Roman"/>
          <w:bCs/>
          <w:sz w:val="24"/>
          <w:szCs w:val="24"/>
        </w:rPr>
        <w:t xml:space="preserve"> </w:t>
      </w:r>
      <w:r w:rsidR="00DC501F" w:rsidRPr="00165ED2">
        <w:rPr>
          <w:rFonts w:ascii="Times New Roman" w:eastAsiaTheme="minorEastAsia" w:hAnsi="Times New Roman" w:cs="Times New Roman"/>
          <w:sz w:val="24"/>
          <w:szCs w:val="24"/>
        </w:rPr>
        <w:t xml:space="preserve">and hyperoxia increased CP </w:t>
      </w:r>
      <w:r w:rsidR="005210C1"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{"citationID":"NDfZBETE","properties":{"formattedCitation":"[37,64,65]","plainCitation":"[37,64,65]","noteIndex":0},"citationItems":[{"id":177,"uris":["http://zotero.org/users/5056530/items/JM6EASHA"],"itemData":{"id":177,"type":"article-journal","abstract":"Severe-intensity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5210C1"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[37,64,65]</w:t>
      </w:r>
      <w:r w:rsidR="005210C1" w:rsidRPr="00165ED2">
        <w:rPr>
          <w:rFonts w:ascii="Times New Roman" w:eastAsiaTheme="minorEastAsia" w:hAnsi="Times New Roman" w:cs="Times New Roman"/>
          <w:bCs/>
          <w:sz w:val="24"/>
          <w:szCs w:val="24"/>
        </w:rPr>
        <w:fldChar w:fldCharType="end"/>
      </w:r>
      <w:r w:rsidR="005210C1" w:rsidRPr="00165ED2">
        <w:rPr>
          <w:rFonts w:ascii="Times New Roman" w:eastAsiaTheme="minorEastAsia" w:hAnsi="Times New Roman" w:cs="Times New Roman"/>
          <w:bCs/>
          <w:sz w:val="24"/>
          <w:szCs w:val="24"/>
        </w:rPr>
        <w:t xml:space="preserve">, </w:t>
      </w:r>
      <w:r w:rsidR="00DC501F" w:rsidRPr="00165ED2">
        <w:rPr>
          <w:rFonts w:ascii="Times New Roman" w:eastAsiaTheme="minorEastAsia" w:hAnsi="Times New Roman" w:cs="Times New Roman"/>
          <w:sz w:val="24"/>
          <w:szCs w:val="24"/>
        </w:rPr>
        <w:t xml:space="preserve">it is also </w:t>
      </w:r>
      <w:r w:rsidR="005C3E03" w:rsidRPr="00165ED2">
        <w:rPr>
          <w:rFonts w:ascii="Times New Roman" w:eastAsiaTheme="minorEastAsia" w:hAnsi="Times New Roman" w:cs="Times New Roman"/>
          <w:sz w:val="24"/>
          <w:szCs w:val="24"/>
        </w:rPr>
        <w:t>probable</w:t>
      </w:r>
      <w:r w:rsidR="00DC501F" w:rsidRPr="00165ED2">
        <w:rPr>
          <w:rFonts w:ascii="Times New Roman" w:eastAsiaTheme="minorEastAsia" w:hAnsi="Times New Roman" w:cs="Times New Roman"/>
          <w:sz w:val="24"/>
          <w:szCs w:val="24"/>
        </w:rPr>
        <w:t xml:space="preserve"> that </w:t>
      </w:r>
      <w:r w:rsidRPr="00165ED2">
        <w:rPr>
          <w:rFonts w:ascii="Times New Roman" w:eastAsiaTheme="minorEastAsia" w:hAnsi="Times New Roman" w:cs="Times New Roman"/>
          <w:sz w:val="24"/>
          <w:szCs w:val="24"/>
        </w:rPr>
        <w:t xml:space="preserve">alterations </w:t>
      </w:r>
      <w:r w:rsidR="00DC501F" w:rsidRPr="00165ED2">
        <w:rPr>
          <w:rFonts w:ascii="Times New Roman" w:eastAsiaTheme="minorEastAsia" w:hAnsi="Times New Roman" w:cs="Times New Roman"/>
          <w:sz w:val="24"/>
          <w:szCs w:val="24"/>
        </w:rPr>
        <w:t xml:space="preserve">in the transcapillary driving force </w:t>
      </w:r>
      <w:r w:rsidR="00DC501F" w:rsidRPr="00165ED2">
        <w:rPr>
          <w:rFonts w:ascii="Times New Roman" w:eastAsiaTheme="minorEastAsia" w:hAnsi="Times New Roman" w:cs="Times New Roman"/>
          <w:sz w:val="24"/>
          <w:szCs w:val="24"/>
        </w:rPr>
        <w:lastRenderedPageBreak/>
        <w:t>for O</w:t>
      </w:r>
      <w:r w:rsidR="00DC501F" w:rsidRPr="00165ED2">
        <w:rPr>
          <w:rFonts w:ascii="Times New Roman" w:eastAsiaTheme="minorEastAsia" w:hAnsi="Times New Roman" w:cs="Times New Roman"/>
          <w:sz w:val="24"/>
          <w:szCs w:val="24"/>
          <w:vertAlign w:val="subscript"/>
        </w:rPr>
        <w:t>2</w:t>
      </w:r>
      <w:r w:rsidR="00DC501F" w:rsidRPr="00165ED2">
        <w:rPr>
          <w:rFonts w:ascii="Times New Roman" w:eastAsiaTheme="minorEastAsia" w:hAnsi="Times New Roman" w:cs="Times New Roman"/>
          <w:sz w:val="24"/>
          <w:szCs w:val="24"/>
        </w:rPr>
        <w:t xml:space="preserve"> flux, and thus diffusive O</w:t>
      </w:r>
      <w:r w:rsidR="00DC501F" w:rsidRPr="00165ED2">
        <w:rPr>
          <w:rFonts w:ascii="Times New Roman" w:eastAsiaTheme="minorEastAsia" w:hAnsi="Times New Roman" w:cs="Times New Roman"/>
          <w:sz w:val="24"/>
          <w:szCs w:val="24"/>
          <w:vertAlign w:val="subscript"/>
        </w:rPr>
        <w:t>2</w:t>
      </w:r>
      <w:r w:rsidR="00DC501F" w:rsidRPr="00165ED2">
        <w:rPr>
          <w:rFonts w:ascii="Times New Roman" w:eastAsiaTheme="minorEastAsia" w:hAnsi="Times New Roman" w:cs="Times New Roman"/>
          <w:sz w:val="24"/>
          <w:szCs w:val="24"/>
        </w:rPr>
        <w:t xml:space="preserve"> delivery,</w:t>
      </w:r>
      <w:r w:rsidR="00BC25D8" w:rsidRPr="00165ED2">
        <w:rPr>
          <w:rFonts w:ascii="Times New Roman" w:eastAsiaTheme="minorEastAsia" w:hAnsi="Times New Roman" w:cs="Times New Roman"/>
          <w:sz w:val="24"/>
          <w:szCs w:val="24"/>
        </w:rPr>
        <w:t xml:space="preserve"> </w:t>
      </w:r>
      <w:r w:rsidR="00DC501F" w:rsidRPr="00165ED2">
        <w:rPr>
          <w:rFonts w:ascii="Times New Roman" w:eastAsiaTheme="minorEastAsia" w:hAnsi="Times New Roman" w:cs="Times New Roman"/>
          <w:sz w:val="24"/>
          <w:szCs w:val="24"/>
        </w:rPr>
        <w:t>also contributed to the alterations in CP observed therein</w:t>
      </w:r>
      <w:r w:rsidR="00BC25D8" w:rsidRPr="00165ED2">
        <w:rPr>
          <w:rFonts w:ascii="Times New Roman" w:eastAsiaTheme="minorEastAsia" w:hAnsi="Times New Roman" w:cs="Times New Roman"/>
          <w:sz w:val="24"/>
          <w:szCs w:val="24"/>
        </w:rPr>
        <w:t xml:space="preserve">, likely via the alterations this would be expected to have on </w:t>
      </w:r>
      <w:r w:rsidR="00BC25D8" w:rsidRPr="00165ED2">
        <w:rPr>
          <w:rFonts w:ascii="Times New Roman" w:eastAsiaTheme="minorEastAsia" w:hAnsi="Times New Roman" w:cs="Times New Roman"/>
          <w:i/>
          <w:sz w:val="24"/>
          <w:szCs w:val="24"/>
        </w:rPr>
        <w:t>P</w:t>
      </w:r>
      <w:r w:rsidR="00BC25D8" w:rsidRPr="00165ED2">
        <w:rPr>
          <w:rFonts w:ascii="Times New Roman" w:eastAsiaTheme="minorEastAsia" w:hAnsi="Times New Roman" w:cs="Times New Roman"/>
          <w:sz w:val="24"/>
          <w:szCs w:val="24"/>
        </w:rPr>
        <w:t>O</w:t>
      </w:r>
      <w:r w:rsidR="00BC25D8" w:rsidRPr="00165ED2">
        <w:rPr>
          <w:rFonts w:ascii="Times New Roman" w:eastAsiaTheme="minorEastAsia" w:hAnsi="Times New Roman" w:cs="Times New Roman"/>
          <w:sz w:val="24"/>
          <w:szCs w:val="24"/>
          <w:vertAlign w:val="subscript"/>
        </w:rPr>
        <w:t xml:space="preserve">2im </w:t>
      </w:r>
      <w:r w:rsidR="00BC25D8" w:rsidRPr="00165ED2">
        <w:rPr>
          <w:rFonts w:ascii="Times New Roman" w:eastAsiaTheme="minorEastAsia" w:hAnsi="Times New Roman" w:cs="Times New Roman"/>
          <w:sz w:val="24"/>
          <w:szCs w:val="24"/>
          <w:vertAlign w:val="subscript"/>
        </w:rPr>
        <w:fldChar w:fldCharType="begin"/>
      </w:r>
      <w:r w:rsidR="007A3303" w:rsidRPr="00165ED2">
        <w:rPr>
          <w:rFonts w:ascii="Times New Roman" w:eastAsiaTheme="minorEastAsia" w:hAnsi="Times New Roman" w:cs="Times New Roman"/>
          <w:sz w:val="24"/>
          <w:szCs w:val="24"/>
          <w:vertAlign w:val="subscript"/>
        </w:rPr>
        <w:instrText xml:space="preserve"> ADDIN ZOTERO_ITEM CSL_CITATION {"citationID":"fgR7kTIm","properties":{"formattedCitation":"[55]","plainCitation":"[55]","noteIndex":0},"citationItems":[{"id":996,"uris":["http://zotero.org/users/5056530/items/FZD7NPP8"],"itemData":{"id":996,"type":"article-journal","abstract":"It remains controversial whether lactate formation during progressive dynamic exercise from submaximal to maximal effort is due to muscle hypoxia. To study this question, we used direct measures of arterial and femoral venous lactate concentration, a thermodilution blood flow technique, phosphorus magnetic resonance spectroscopy (MRS), and myoglobin (Mb) saturation measured by 1H nuclear MRS in six trained subjects performing single-leg quadriceps exercise. We calculated net lactate efflux from the muscle and intracellular PO2 with subjects breathing room air and 12% O2. Data were obtained at 50, 75, 90, and 100% of quadriceps maximal O2 consumption at each fraction of inspired O2. Mb saturation was significantly lower in hypoxia than in normoxia [40 +/- 3 vs. 49 +/- 3% (SE)] throughout incremental exercise to maximal work rate. With the assumption of a PO2 at which 50% of Mb-binding sites are bound with O2 of 3.2 Torr, Mb-associated PO2 averaged 3.1 +/- 0.3 and 2.3 +/- 0.2 Torr in normoxia and hypoxia, respectively. Net blood lactate efflux was unrelated to intracellular PO2 across the range of incremental exercise to maximum (r = 0.03 and 0.07 in normoxia and hypoxia, respectively) but linearly related to O2 consumption (r = 0.97 and 0.99 in normoxia and hypoxia, respectively) with a greater slope in 12% O2. Net lactate efflux was also linearly related to intracellular pH (r = 0.94 and 0.98 in normoxia and hypoxia, respectively). These data suggest that with increasing work rate, at a given fraction of inspired O2, lactate efflux is unrelated to muscle cytoplasmic PO2, yet the efflux is higher in hypoxia. Catecholamine values from comparable studies are included and indicate that lactate efflux in hypoxia may be due to systemic rather than intracellular hypoxia.","container-title":"Journal of Applied Physiology (Bethesda, Md.: 1985)","DOI":"10.1152/jappl.1998.85.2.627","ISSN":"8750-7587","issue":"2","journalAbbreviation":"J. Appl. Physiol.","language":"eng","note":"PMID: 9688741","page":"627-634","source":"PubMed","title":"Lactate efflux from exercising human skeletal muscle: role of intracellular PO2","title-short":"Lactate efflux from exercising human skeletal muscle","volume":"85","author":[{"family":"Richardson","given":"R. S."},{"family":"Noyszewski","given":"E. A."},{"family":"Leigh","given":"J. S."},{"family":"Wagner","given":"P. D."}],"issued":{"date-parts":[["1998",8]]}}}],"schema":"https://github.com/citation-style-language/schema/raw/master/csl-citation.json"} </w:instrText>
      </w:r>
      <w:r w:rsidR="00BC25D8" w:rsidRPr="00165ED2">
        <w:rPr>
          <w:rFonts w:ascii="Times New Roman" w:eastAsiaTheme="minorEastAsia" w:hAnsi="Times New Roman" w:cs="Times New Roman"/>
          <w:sz w:val="24"/>
          <w:szCs w:val="24"/>
          <w:vertAlign w:val="subscript"/>
        </w:rPr>
        <w:fldChar w:fldCharType="separate"/>
      </w:r>
      <w:r w:rsidR="007A3303" w:rsidRPr="00165ED2">
        <w:rPr>
          <w:rFonts w:ascii="Times New Roman" w:hAnsi="Times New Roman" w:cs="Times New Roman"/>
          <w:sz w:val="24"/>
        </w:rPr>
        <w:t>[55]</w:t>
      </w:r>
      <w:r w:rsidR="00BC25D8" w:rsidRPr="00165ED2">
        <w:rPr>
          <w:rFonts w:ascii="Times New Roman" w:eastAsiaTheme="minorEastAsia" w:hAnsi="Times New Roman" w:cs="Times New Roman"/>
          <w:sz w:val="24"/>
          <w:szCs w:val="24"/>
          <w:vertAlign w:val="subscript"/>
        </w:rPr>
        <w:fldChar w:fldCharType="end"/>
      </w:r>
      <w:r w:rsidR="00DC501F" w:rsidRPr="00165ED2">
        <w:rPr>
          <w:rFonts w:ascii="Times New Roman" w:eastAsiaTheme="minorEastAsia" w:hAnsi="Times New Roman" w:cs="Times New Roman"/>
          <w:sz w:val="24"/>
          <w:szCs w:val="24"/>
        </w:rPr>
        <w:t>.</w:t>
      </w:r>
    </w:p>
    <w:p w14:paraId="47894475" w14:textId="7BE4114C" w:rsidR="00615049" w:rsidRPr="00165ED2" w:rsidRDefault="00096B9C" w:rsidP="00DC501F">
      <w:pPr>
        <w:spacing w:line="480" w:lineRule="auto"/>
        <w:ind w:firstLine="720"/>
        <w:jc w:val="both"/>
        <w:rPr>
          <w:rFonts w:ascii="Times New Roman" w:eastAsiaTheme="minorEastAsia" w:hAnsi="Times New Roman" w:cs="Times New Roman"/>
          <w:sz w:val="24"/>
          <w:szCs w:val="24"/>
        </w:rPr>
      </w:pPr>
      <w:r w:rsidRPr="00165ED2">
        <w:rPr>
          <w:rFonts w:ascii="Times New Roman" w:eastAsiaTheme="minorEastAsia" w:hAnsi="Times New Roman" w:cs="Times New Roman"/>
          <w:sz w:val="24"/>
          <w:szCs w:val="24"/>
        </w:rPr>
        <w:t>Muscle capillarity is an important influence</w:t>
      </w:r>
      <w:r w:rsidR="00615049" w:rsidRPr="00165ED2">
        <w:rPr>
          <w:rFonts w:ascii="Times New Roman" w:eastAsiaTheme="minorEastAsia" w:hAnsi="Times New Roman" w:cs="Times New Roman"/>
          <w:sz w:val="24"/>
          <w:szCs w:val="24"/>
        </w:rPr>
        <w:t xml:space="preserve"> o</w:t>
      </w:r>
      <w:r w:rsidRPr="00165ED2">
        <w:rPr>
          <w:rFonts w:ascii="Times New Roman" w:eastAsiaTheme="minorEastAsia" w:hAnsi="Times New Roman" w:cs="Times New Roman"/>
          <w:sz w:val="24"/>
          <w:szCs w:val="24"/>
        </w:rPr>
        <w:t>n</w:t>
      </w:r>
      <w:r w:rsidR="00615049" w:rsidRPr="00165ED2">
        <w:rPr>
          <w:rFonts w:ascii="Times New Roman" w:eastAsiaTheme="minorEastAsia" w:hAnsi="Times New Roman" w:cs="Times New Roman"/>
          <w:sz w:val="24"/>
          <w:szCs w:val="24"/>
        </w:rPr>
        <w:t xml:space="preserve"> </w:t>
      </w:r>
      <w:r w:rsidR="00615049" w:rsidRPr="00165ED2">
        <w:rPr>
          <w:rFonts w:ascii="Times New Roman" w:eastAsiaTheme="minorEastAsia" w:hAnsi="Times New Roman" w:cs="Times New Roman"/>
          <w:i/>
          <w:sz w:val="24"/>
          <w:szCs w:val="24"/>
        </w:rPr>
        <w:t>D</w:t>
      </w:r>
      <w:r w:rsidR="00615049" w:rsidRPr="00165ED2">
        <w:rPr>
          <w:rFonts w:ascii="Times New Roman" w:eastAsiaTheme="minorEastAsia" w:hAnsi="Times New Roman" w:cs="Times New Roman"/>
          <w:sz w:val="24"/>
          <w:szCs w:val="24"/>
        </w:rPr>
        <w:t>O</w:t>
      </w:r>
      <w:r w:rsidR="00615049"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and thus diffusive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delivery, since </w:t>
      </w:r>
      <w:r w:rsidR="00B32430" w:rsidRPr="00165ED2">
        <w:rPr>
          <w:rFonts w:ascii="Times New Roman" w:eastAsiaTheme="minorEastAsia" w:hAnsi="Times New Roman" w:cs="Times New Roman"/>
          <w:sz w:val="24"/>
          <w:szCs w:val="24"/>
        </w:rPr>
        <w:t xml:space="preserve">it </w:t>
      </w:r>
      <w:r w:rsidR="0079187B" w:rsidRPr="00165ED2">
        <w:rPr>
          <w:rFonts w:ascii="Times New Roman" w:eastAsiaTheme="minorEastAsia" w:hAnsi="Times New Roman" w:cs="Times New Roman"/>
          <w:sz w:val="24"/>
          <w:szCs w:val="24"/>
        </w:rPr>
        <w:t>determines the number of</w:t>
      </w:r>
      <w:r w:rsidRPr="00165ED2">
        <w:rPr>
          <w:rFonts w:ascii="Times New Roman" w:eastAsiaTheme="minorEastAsia" w:hAnsi="Times New Roman" w:cs="Times New Roman"/>
          <w:sz w:val="24"/>
          <w:szCs w:val="24"/>
        </w:rPr>
        <w:t xml:space="preserve"> </w:t>
      </w:r>
      <w:r w:rsidR="0079187B" w:rsidRPr="00165ED2">
        <w:rPr>
          <w:rFonts w:ascii="Times New Roman" w:eastAsiaTheme="minorEastAsia" w:hAnsi="Times New Roman" w:cs="Times New Roman"/>
          <w:sz w:val="24"/>
          <w:szCs w:val="24"/>
        </w:rPr>
        <w:t xml:space="preserve">red blood cells adjacent to contracting fibres and thus </w:t>
      </w:r>
      <w:r w:rsidRPr="00165ED2">
        <w:rPr>
          <w:rFonts w:ascii="Times New Roman" w:eastAsiaTheme="minorEastAsia" w:hAnsi="Times New Roman" w:cs="Times New Roman"/>
          <w:sz w:val="24"/>
          <w:szCs w:val="24"/>
        </w:rPr>
        <w:t>the surface area available for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diffusion. </w:t>
      </w:r>
      <w:r w:rsidR="005210C1" w:rsidRPr="00165ED2">
        <w:rPr>
          <w:rFonts w:ascii="Times New Roman" w:eastAsiaTheme="minorEastAsia" w:hAnsi="Times New Roman" w:cs="Times New Roman"/>
          <w:sz w:val="24"/>
          <w:szCs w:val="24"/>
        </w:rPr>
        <w:t xml:space="preserve">Indeed, Mitchell et al. </w:t>
      </w:r>
      <w:r w:rsidR="005210C1"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{"citationID":"7j9DlXZS","properties":{"formattedCitation":"[86]","plainCitation":"[86]","noteIndex":0},"citationItems":[{"id":764,"uris":["http://zotero.org/users/5056530/items/QR2C7P5W"],"itemData":{"id":764,"type":"article-journal","abstract":"The asymptote (critical power; CP) and curvature constant (W′) of the hyperbolic power-duration relationship can predict performance within the severe-intensity exercise domain. However, the extent which these parameters relate to skeletal muscle morphology is less clear, particularly in endurance trained individuals who, relative to their lesser trained counterparts, possess skeletal muscles that can support high levels of oxygen transport and oxidative capacity i.e. elevated type I fiber proportion and cross-sectional area (CSA) and capillarity. Fourteen endurance trained males performed a maximal incremental test to determine peak oxygen uptake (V̇O2peak; 63.2 ± 4.1 ml.min-1.kg-1), maximal aerobic power (406 ± 63 W), and 3-5 constant load tests to task failure for the determination of CP (303 ± 52 W) and W' (17.0 ± 3.0 kJ). Skeletal muscle biopsies were obtained from the vastus lateralis and analyzed for % fiber type proportion, CSA and indices of capillarity. CP was positively correlated with the % proportion (r = 0.79; P = 0.001) and CSA (r = 0.73; P = 0.003) of type I fibers, capillary to fiber ratio (r = 0.88; P &lt; 0.001) and capillary contacts around type I fibers (r = 0.94; P &lt; 0.001) and type II fibers (r = 0.68; P = 0.008). W' was not correlated with any morphological variables. These data reveal a strong positive association between CP and skeletal muscle capillarity. Our findings support the assertion that CP is an important parameter of aerobic function and offer novel insights into the physiological bases of CP.","container-title":"Journal of Applied Physiology","DOI":"10.1152/japplphysiol.01126.2017","ISSN":"8750-7587","journalAbbreviation":"Journal of Applied Physiology","source":"physiology.org (Atypon)","title":"Critical power is positively related to skeletal muscle capillarity and type I muscle fibers in endurance trained individuals","URL":"https://www.physiology.org/doi/abs/10.1152/japplphysiol.01126.2017","author":[{"family":"Mitchell","given":"Emma A."},{"family":"Martin","given":"Neil Richard William"},{"family":"Bailey","given":"Stephen J."},{"family":"Ferguson","given":"Richard A."}],"accessed":{"date-parts":[["2018",8,8]]},"issued":{"date-parts":[["2018",6,7]]}}}],"schema":"https://github.com/citation-style-language/schema/raw/master/csl-citation.json"} </w:instrText>
      </w:r>
      <w:r w:rsidR="005210C1"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[86]</w:t>
      </w:r>
      <w:r w:rsidR="005210C1" w:rsidRPr="00165ED2">
        <w:rPr>
          <w:rFonts w:ascii="Times New Roman" w:eastAsiaTheme="minorEastAsia" w:hAnsi="Times New Roman" w:cs="Times New Roman"/>
          <w:sz w:val="24"/>
          <w:szCs w:val="24"/>
        </w:rPr>
        <w:fldChar w:fldCharType="end"/>
      </w:r>
      <w:r w:rsidR="005210C1" w:rsidRPr="00165ED2">
        <w:rPr>
          <w:rFonts w:ascii="Times New Roman" w:eastAsiaTheme="minorEastAsia" w:hAnsi="Times New Roman" w:cs="Times New Roman"/>
          <w:sz w:val="24"/>
          <w:szCs w:val="24"/>
        </w:rPr>
        <w:t xml:space="preserve"> </w:t>
      </w:r>
      <w:r w:rsidR="00615049" w:rsidRPr="00165ED2">
        <w:rPr>
          <w:rFonts w:ascii="Times New Roman" w:eastAsiaTheme="minorEastAsia" w:hAnsi="Times New Roman" w:cs="Times New Roman"/>
          <w:sz w:val="24"/>
          <w:szCs w:val="24"/>
        </w:rPr>
        <w:t>recently demonstrated a striking relationship between CP and skeletal muscle capillary density (</w:t>
      </w:r>
      <w:r w:rsidR="00615049" w:rsidRPr="00165ED2">
        <w:rPr>
          <w:rFonts w:ascii="Times New Roman" w:eastAsiaTheme="minorEastAsia" w:hAnsi="Times New Roman" w:cs="Times New Roman"/>
          <w:i/>
          <w:sz w:val="24"/>
          <w:szCs w:val="24"/>
        </w:rPr>
        <w:t>r</w:t>
      </w:r>
      <w:r w:rsidR="00615049" w:rsidRPr="00165ED2">
        <w:rPr>
          <w:rFonts w:ascii="Times New Roman" w:eastAsiaTheme="minorEastAsia" w:hAnsi="Times New Roman" w:cs="Times New Roman"/>
          <w:sz w:val="24"/>
          <w:szCs w:val="24"/>
        </w:rPr>
        <w:t xml:space="preserve"> = 0.50), capillary-to-fibre ratio (</w:t>
      </w:r>
      <w:r w:rsidR="00615049" w:rsidRPr="00165ED2">
        <w:rPr>
          <w:rFonts w:ascii="Times New Roman" w:eastAsiaTheme="minorEastAsia" w:hAnsi="Times New Roman" w:cs="Times New Roman"/>
          <w:i/>
          <w:sz w:val="24"/>
          <w:szCs w:val="24"/>
        </w:rPr>
        <w:t>r</w:t>
      </w:r>
      <w:r w:rsidR="00615049" w:rsidRPr="00165ED2">
        <w:rPr>
          <w:rFonts w:ascii="Times New Roman" w:eastAsiaTheme="minorEastAsia" w:hAnsi="Times New Roman" w:cs="Times New Roman"/>
          <w:sz w:val="24"/>
          <w:szCs w:val="24"/>
        </w:rPr>
        <w:t xml:space="preserve"> = 0.88), and capillary contacts per type 1 fibre (</w:t>
      </w:r>
      <w:r w:rsidR="00615049" w:rsidRPr="00165ED2">
        <w:rPr>
          <w:rFonts w:ascii="Times New Roman" w:eastAsiaTheme="minorEastAsia" w:hAnsi="Times New Roman" w:cs="Times New Roman"/>
          <w:i/>
          <w:sz w:val="24"/>
          <w:szCs w:val="24"/>
        </w:rPr>
        <w:t>r</w:t>
      </w:r>
      <w:r w:rsidR="00615049" w:rsidRPr="00165ED2">
        <w:rPr>
          <w:rFonts w:ascii="Times New Roman" w:eastAsiaTheme="minorEastAsia" w:hAnsi="Times New Roman" w:cs="Times New Roman"/>
          <w:sz w:val="24"/>
          <w:szCs w:val="24"/>
        </w:rPr>
        <w:t xml:space="preserve"> = 0.94) in a homogenous group of endurance-trained individuals</w:t>
      </w:r>
      <w:r w:rsidR="009A2DFE" w:rsidRPr="00165ED2">
        <w:rPr>
          <w:rFonts w:ascii="Times New Roman" w:eastAsiaTheme="minorEastAsia" w:hAnsi="Times New Roman" w:cs="Times New Roman"/>
          <w:sz w:val="24"/>
          <w:szCs w:val="24"/>
        </w:rPr>
        <w:t xml:space="preserve"> (63.2 ± 4.1 mL.kg</w:t>
      </w:r>
      <w:r w:rsidR="009A2DFE" w:rsidRPr="00165ED2">
        <w:rPr>
          <w:rFonts w:ascii="Times New Roman" w:eastAsiaTheme="minorEastAsia" w:hAnsi="Times New Roman" w:cs="Times New Roman"/>
          <w:sz w:val="24"/>
          <w:szCs w:val="24"/>
          <w:vertAlign w:val="superscript"/>
        </w:rPr>
        <w:t>-1</w:t>
      </w:r>
      <w:r w:rsidR="009A2DFE" w:rsidRPr="00165ED2">
        <w:rPr>
          <w:rFonts w:ascii="Times New Roman" w:eastAsiaTheme="minorEastAsia" w:hAnsi="Times New Roman" w:cs="Times New Roman"/>
          <w:sz w:val="24"/>
          <w:szCs w:val="24"/>
        </w:rPr>
        <w:t>.min</w:t>
      </w:r>
      <w:r w:rsidR="009A2DFE" w:rsidRPr="00165ED2">
        <w:rPr>
          <w:rFonts w:ascii="Times New Roman" w:eastAsiaTheme="minorEastAsia" w:hAnsi="Times New Roman" w:cs="Times New Roman"/>
          <w:sz w:val="24"/>
          <w:szCs w:val="24"/>
          <w:vertAlign w:val="superscript"/>
        </w:rPr>
        <w:t>-1</w:t>
      </w:r>
      <w:r w:rsidR="009A2DFE" w:rsidRPr="00165ED2">
        <w:rPr>
          <w:rFonts w:ascii="Times New Roman" w:eastAsiaTheme="minorEastAsia" w:hAnsi="Times New Roman" w:cs="Times New Roman"/>
          <w:sz w:val="24"/>
          <w:szCs w:val="24"/>
        </w:rPr>
        <w:t>, range: 58.7–72.2 mL.kg</w:t>
      </w:r>
      <w:r w:rsidR="009A2DFE" w:rsidRPr="00165ED2">
        <w:rPr>
          <w:rFonts w:ascii="Times New Roman" w:eastAsiaTheme="minorEastAsia" w:hAnsi="Times New Roman" w:cs="Times New Roman"/>
          <w:sz w:val="24"/>
          <w:szCs w:val="24"/>
          <w:vertAlign w:val="superscript"/>
        </w:rPr>
        <w:t>-1</w:t>
      </w:r>
      <w:r w:rsidR="009A2DFE" w:rsidRPr="00165ED2">
        <w:rPr>
          <w:rFonts w:ascii="Times New Roman" w:eastAsiaTheme="minorEastAsia" w:hAnsi="Times New Roman" w:cs="Times New Roman"/>
          <w:sz w:val="24"/>
          <w:szCs w:val="24"/>
        </w:rPr>
        <w:t>.min</w:t>
      </w:r>
      <w:r w:rsidR="009A2DFE" w:rsidRPr="00165ED2">
        <w:rPr>
          <w:rFonts w:ascii="Times New Roman" w:eastAsiaTheme="minorEastAsia" w:hAnsi="Times New Roman" w:cs="Times New Roman"/>
          <w:sz w:val="24"/>
          <w:szCs w:val="24"/>
          <w:vertAlign w:val="superscript"/>
        </w:rPr>
        <w:t>-1</w:t>
      </w:r>
      <w:r w:rsidR="009A2DFE" w:rsidRPr="00165ED2">
        <w:rPr>
          <w:rFonts w:ascii="Times New Roman" w:eastAsiaTheme="minorEastAsia" w:hAnsi="Times New Roman" w:cs="Times New Roman"/>
          <w:sz w:val="24"/>
          <w:szCs w:val="24"/>
        </w:rPr>
        <w:t>)</w:t>
      </w:r>
      <w:r w:rsidR="00615049" w:rsidRPr="00165ED2">
        <w:rPr>
          <w:rFonts w:ascii="Times New Roman" w:eastAsiaTheme="minorEastAsia" w:hAnsi="Times New Roman" w:cs="Times New Roman"/>
          <w:sz w:val="24"/>
          <w:szCs w:val="24"/>
        </w:rPr>
        <w:t xml:space="preserve">. </w:t>
      </w:r>
      <w:r w:rsidR="008C42CB" w:rsidRPr="00165ED2">
        <w:rPr>
          <w:rFonts w:ascii="Times New Roman" w:eastAsiaTheme="minorEastAsia" w:hAnsi="Times New Roman" w:cs="Times New Roman"/>
          <w:sz w:val="24"/>
          <w:szCs w:val="24"/>
        </w:rPr>
        <w:t>These findings indicate that enhancements to diffusive O</w:t>
      </w:r>
      <w:r w:rsidR="008C42CB" w:rsidRPr="00165ED2">
        <w:rPr>
          <w:rFonts w:ascii="Times New Roman" w:eastAsiaTheme="minorEastAsia" w:hAnsi="Times New Roman" w:cs="Times New Roman"/>
          <w:sz w:val="24"/>
          <w:szCs w:val="24"/>
          <w:vertAlign w:val="subscript"/>
        </w:rPr>
        <w:t>2</w:t>
      </w:r>
      <w:r w:rsidR="008C42CB" w:rsidRPr="00165ED2">
        <w:rPr>
          <w:rFonts w:ascii="Times New Roman" w:eastAsiaTheme="minorEastAsia" w:hAnsi="Times New Roman" w:cs="Times New Roman"/>
          <w:sz w:val="24"/>
          <w:szCs w:val="24"/>
        </w:rPr>
        <w:t xml:space="preserve"> flux enable a metabolic steady-state to be attained for a greater range of power outputs</w:t>
      </w:r>
      <w:r w:rsidR="00BC0C84" w:rsidRPr="00165ED2">
        <w:rPr>
          <w:rFonts w:ascii="Times New Roman" w:eastAsiaTheme="minorEastAsia" w:hAnsi="Times New Roman" w:cs="Times New Roman"/>
          <w:sz w:val="24"/>
          <w:szCs w:val="24"/>
        </w:rPr>
        <w:t xml:space="preserve"> (i.e. extending the range upwards)</w:t>
      </w:r>
      <w:r w:rsidR="008C42CB" w:rsidRPr="00165ED2">
        <w:rPr>
          <w:rFonts w:ascii="Times New Roman" w:eastAsiaTheme="minorEastAsia" w:hAnsi="Times New Roman" w:cs="Times New Roman"/>
          <w:sz w:val="24"/>
          <w:szCs w:val="24"/>
        </w:rPr>
        <w:t xml:space="preserve">, thus increasing CP. </w:t>
      </w:r>
      <w:r w:rsidR="008C42CB" w:rsidRPr="00165ED2" w:rsidDel="008C42CB">
        <w:rPr>
          <w:rFonts w:ascii="Times New Roman" w:eastAsiaTheme="minorEastAsia" w:hAnsi="Times New Roman" w:cs="Times New Roman"/>
          <w:sz w:val="24"/>
          <w:szCs w:val="24"/>
        </w:rPr>
        <w:t xml:space="preserve"> </w:t>
      </w:r>
    </w:p>
    <w:p w14:paraId="0D5E3C26" w14:textId="2393A3D4" w:rsidR="00E613A8" w:rsidRPr="00165ED2" w:rsidRDefault="00E613A8" w:rsidP="00E613A8">
      <w:pPr>
        <w:spacing w:line="480" w:lineRule="auto"/>
        <w:ind w:firstLine="720"/>
        <w:jc w:val="both"/>
        <w:rPr>
          <w:rFonts w:ascii="Times New Roman" w:eastAsiaTheme="minorEastAsia" w:hAnsi="Times New Roman" w:cs="Times New Roman"/>
          <w:sz w:val="24"/>
          <w:szCs w:val="24"/>
        </w:rPr>
      </w:pPr>
      <w:r w:rsidRPr="00165ED2">
        <w:rPr>
          <w:rFonts w:ascii="Times New Roman" w:eastAsiaTheme="minorEastAsia" w:hAnsi="Times New Roman" w:cs="Times New Roman"/>
          <w:sz w:val="24"/>
          <w:szCs w:val="24"/>
        </w:rPr>
        <w:t>Further insight into the role of diffusive factors in determining CP</w:t>
      </w:r>
      <w:r w:rsidR="00E40706" w:rsidRPr="00165ED2">
        <w:rPr>
          <w:rFonts w:ascii="Times New Roman" w:eastAsiaTheme="minorEastAsia" w:hAnsi="Times New Roman" w:cs="Times New Roman"/>
          <w:sz w:val="24"/>
          <w:szCs w:val="24"/>
        </w:rPr>
        <w:t>/CF</w:t>
      </w:r>
      <w:r w:rsidRPr="00165ED2">
        <w:rPr>
          <w:rFonts w:ascii="Times New Roman" w:eastAsiaTheme="minorEastAsia" w:hAnsi="Times New Roman" w:cs="Times New Roman"/>
          <w:sz w:val="24"/>
          <w:szCs w:val="24"/>
        </w:rPr>
        <w:t xml:space="preserve"> was provided by a series of experiments from </w:t>
      </w:r>
      <w:proofErr w:type="spellStart"/>
      <w:r w:rsidRPr="00165ED2">
        <w:rPr>
          <w:rFonts w:ascii="Times New Roman" w:eastAsiaTheme="minorEastAsia" w:hAnsi="Times New Roman" w:cs="Times New Roman"/>
          <w:sz w:val="24"/>
          <w:szCs w:val="24"/>
        </w:rPr>
        <w:t>Ansdell</w:t>
      </w:r>
      <w:proofErr w:type="spellEnd"/>
      <w:r w:rsidRPr="00165ED2">
        <w:rPr>
          <w:rFonts w:ascii="Times New Roman" w:eastAsiaTheme="minorEastAsia" w:hAnsi="Times New Roman" w:cs="Times New Roman"/>
          <w:sz w:val="24"/>
          <w:szCs w:val="24"/>
        </w:rPr>
        <w:t xml:space="preserve"> et al. that compared the power-duration relationship between the sexes during small- </w:t>
      </w:r>
      <w:r w:rsidR="005210C1"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{"citationID":"SJJhkJMD","properties":{"formattedCitation":"[87]","plainCitation":"[87]","noteIndex":0},"citationItems":[{"id":3126,"uris":["http://zotero.org/users/5056530/items/JTV964ZV"],"itemData":{"id":3126,"type":"article-journal","abstract":"Key points Females demonstrate greater fatigue resistance than males during contractions at intensities relative to maximum force. However, previous studies have not accounted for the influence of metabolic thresholds on fatigability. This study is the first to test whether sex differences in fatigability exist when exercise intensity is normalised relative to a metabolic threshold: the critical intensity derived from assessment of the intensity–duration relationship during intermittent, isometric knee extensor contractions. We show that critical intensity in females occurred at a higher percentage of maximum force compared to males. Furthermore, females demonstrated greater fatigue resistance at exercise intensities above and below this metabolic threshold. Our data suggest that the sex difference was mediated by lesser deoxygenation of the knee extensors during exercise. These data highlight the importance of accounting for metabolic thresholds when comparing fatigability between sexes, whilst emphasising the notion that male data are not generalisable to female populations. Abstract Females are less fatigable than males during isometric exercise at intensities relative to maximal voluntary contraction (MVC); however, whether a sex difference in fatigability exists when exercise is prescribed relative to a critical intensity is unknown. This study established the intensity–duration relationship, and compared fatigability and recovery between sexes following intermittent isometric contractions normalised to critical intensity. Twenty participants (10 females) completed four intermittent isometric knee extension trials to task failure to determine critical intensity and the curvature constant (W′), followed by fatiguing tasks at +10% and −10% relative to critical intensity. Neuromuscular assessments were completed at baseline and for 45 min post-exercise. Non-invasive neurostimulation, near-infrared spectroscopy, and non-invasive haemodynamic monitoring were used to elucidate the physiological mechanisms responsible for sex differences. Females demonstrated a greater critical intensity relative to MVC than males (25 ± 3 vs. 21 ± 2% MVC, P = 0.003), with no sex difference for W′ (18,206 ± 6331 vs. 18,756 ± 5762 N s, P = 0.850). Time to task failure was greater for females (62.37 ± 17.25 vs. 30.43 ± 12.75 min, P &lt; 0.001) during the +10% trial, and contractile function recovered faster post-exercise (P = 0.034). During the −10% trial females experienced less contractile dysfunction (P = 0.011). Throughout the +10% trial, females demonstrated lesser decreases in deoxyhaemoglobin (P = 0.007) and an attenuated exercise pressor reflex. These data show that a sex difference in fatigability exists even when exercise is matched for critical intensity. We propose that greater oxygen availability during exercise permits females to sustain a higher relative intensity than males, and is an explanatory factor for the sex difference in fatigability during intermittent, isometric contractions.","container-title":"The Journal of Physiology","DOI":"10.1113/JP278699","ISSN":"1469-7793","issue":"23","language":"en","note":"_eprint: https://physoc.onlinelibrary.wiley.com/doi/pdf/10.1113/JP278699","page":"5577-5595","source":"Wiley Online Library","title":"Sex differences in fatigability and recovery relative to the intensity–duration relationship","volume":"597","author":[{"family":"Ansdell","given":"Paul"},{"family":"Brownstein","given":"Callum G."},{"family":"Škarabot","given":"Jakob"},{"family":"Hicks","given":"Kirsty M."},{"family":"Howatson","given":"Glyn"},{"family":"Thomas","given":"Kevin"},{"family":"Hunter","given":"Sandra K."},{"family":"Goodall","given":"Stuart"}],"issued":{"date-parts":[["2019"]]}}}],"schema":"https://github.com/citation-style-language/schema/raw/master/csl-citation.json"} </w:instrText>
      </w:r>
      <w:r w:rsidR="005210C1"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[87]</w:t>
      </w:r>
      <w:r w:rsidR="005210C1"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xml:space="preserve"> and large-muscle mass exercise</w:t>
      </w:r>
      <w:r w:rsidR="0019249F" w:rsidRPr="00165ED2">
        <w:rPr>
          <w:rFonts w:ascii="Times New Roman" w:eastAsiaTheme="minorEastAsia" w:hAnsi="Times New Roman" w:cs="Times New Roman"/>
          <w:sz w:val="24"/>
          <w:szCs w:val="24"/>
        </w:rPr>
        <w:t xml:space="preserve">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{"citationID":"70DGqWGX","properties":{"formattedCitation":"[88]","plainCitation":"[88]","noteIndex":0},"citationItems":[{"id":3123,"uris":["http://zotero.org/users/5056530/items/R8CBGTYG"],"itemData":{"id":3123,"type":"article-journal","abstract":"Key points Knee-extensors demonstrate greater fatigue resistance in females compared to males during single-limb and whole-body exercise. For single-limb exercise, the intensity–duration relationship is different between sexes, with females sustaining a greater relative intensity of exercise. This study established the power–duration relationship during cycling, then assessed fatigability during critical power-matched exercise within the heavy and severe intensity domains. When critical power and the curvature constant were expressed relative to maximal ramp test power, no sex difference was observed. No sex difference in time to task failure was observed in either trial. During heavy and severe intensity cycling, females experienced lesser muscle de-oxygenation. Following both trials, females experienced lesser reductions in knee-extensor contractile function, and following heavy intensity exercise, females experienced less reduction in voluntary activation. These data demonstrate that whilst the relative power–duration relationship is not different between males and females, the mechanisms of fatigability during critical power-matched exercise are mediated by sex. Abstract Due to morphological differences, females demonstrate greater fatigue resistance of locomotor muscle during single-limb and whole-body exercise modalities. Whilst females sustain a greater relative intensity of single-limb, isometric exercise than males, limited investigation has been performed during whole-body exercise. Accordingly, this study established the power–duration relationship during cycling in 18 trained participants (eight females). Subsequently, constant-load exercise was performed at critical power (CP)-matched intensities within the heavy and severe domains, with the mechanisms of fatigability assessed via non-invasive neurostimulation, near-infrared spectroscopy and pulmonary gas exchange during and following exercise. Relative CP (72 ± 5 vs. 74 ± 2% Pmax, P = 0.210) and curvature constant (51 ± 11 vs. 52 ± 10 J Pmax−1, P = 0.733) of the power–duration relationship were similar between males and females. Subsequent heavy (P = 0.758) and severe intensity (P = 0.645) exercise time to task failures were not different between sexes. However, females experienced lesser reductions in contractile function at task failure (P ≤ 0.020), and greater vastus lateralis oxygenation (P ≤ 0.039) during both trials. Reductions in voluntary activation occurred following both trials (P &lt; 0.001), but were less in females following the heavy trial (P = 0.036). Furthermore, during the heavy intensity trial only, corticospinal excitability was reduced at the cortical (P = 0.020) and spinal (P = 0.036) levels, but these reductions were not sex-dependent. Other than a lower respiratory exchange ratio in the heavy trial for females (P = 0.039), no gas exchange variables differed between sexes (P ≥ 0.052). Collectively, these data demonstrate that whilst the relative power–duration relationship is not different between males and females, the mechanisms of fatigability during CP-matched exercise above and below CP are mediated by sex.","container-title":"The Journal of Physiology","DOI":"10.1113/JP280031","ISSN":"1469-7793","issue":"24","language":"en","note":"_eprint: https://physoc.onlinelibrary.wiley.com/doi/pdf/10.1113/JP280031","page":"5717-5737","source":"Wiley Online Library","title":"Sex differences in fatigability following exercise normalised to the power–duration relationship","volume":"598","author":[{"family":"Ansdell","given":"Paul"},{"family":"Škarabot","given":"Jakob"},{"family":"Atkinson","given":"Elliott"},{"family":"Corden","given":"Sarah"},{"family":"Tygart","given":"Amber"},{"family":"Hicks","given":"Kirsty M."},{"family":"Thomas","given":"Kevin"},{"family":"Hunter","given":"Sandra K."},{"family":"Howatson","given":"Glyn"},{"family":"Goodall","given":"Stuart"}],"issued":{"date-parts":[["2020"]]}}}],"schema":"https://github.com/citation-style-language/schema/raw/master/csl-citation.json"}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[88]</w:t>
      </w:r>
      <w:r w:rsidR="0019249F" w:rsidRPr="00165ED2">
        <w:rPr>
          <w:rFonts w:ascii="Times New Roman" w:eastAsiaTheme="minorEastAsia" w:hAnsi="Times New Roman" w:cs="Times New Roman"/>
          <w:sz w:val="24"/>
          <w:szCs w:val="24"/>
        </w:rPr>
        <w:fldChar w:fldCharType="end"/>
      </w:r>
      <w:r w:rsidR="0019249F" w:rsidRPr="00165ED2">
        <w:rPr>
          <w:rFonts w:ascii="Times New Roman" w:eastAsiaTheme="minorEastAsia" w:hAnsi="Times New Roman" w:cs="Times New Roman"/>
          <w:sz w:val="24"/>
          <w:szCs w:val="24"/>
        </w:rPr>
        <w:t>.</w:t>
      </w:r>
      <w:r w:rsidRPr="00165ED2">
        <w:rPr>
          <w:rFonts w:ascii="Times New Roman" w:eastAsiaTheme="minorEastAsia" w:hAnsi="Times New Roman" w:cs="Times New Roman"/>
          <w:sz w:val="24"/>
          <w:szCs w:val="24"/>
        </w:rPr>
        <w:t xml:space="preserve"> It was demonstrated that CF occurred at a greater relative percentage of the maximum voluntary contraction</w:t>
      </w:r>
      <w:r w:rsidR="00E40706" w:rsidRPr="00165ED2">
        <w:rPr>
          <w:rFonts w:ascii="Times New Roman" w:eastAsiaTheme="minorEastAsia" w:hAnsi="Times New Roman" w:cs="Times New Roman"/>
          <w:sz w:val="24"/>
          <w:szCs w:val="24"/>
        </w:rPr>
        <w:t xml:space="preserve"> (MVC)</w:t>
      </w:r>
      <w:r w:rsidRPr="00165ED2">
        <w:rPr>
          <w:rFonts w:ascii="Times New Roman" w:eastAsiaTheme="minorEastAsia" w:hAnsi="Times New Roman" w:cs="Times New Roman"/>
          <w:sz w:val="24"/>
          <w:szCs w:val="24"/>
        </w:rPr>
        <w:t xml:space="preserve"> in females compared to males during small-muscle mass, intermittent isometric single-leg knee extension exercise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{"citationID":"AdQl4Mhf","properties":{"formattedCitation":"[87]","plainCitation":"[87]","noteIndex":0},"citationItems":[{"id":3126,"uris":["http://zotero.org/users/5056530/items/JTV964ZV"],"itemData":{"id":3126,"type":"article-journal","abstract":"Key points Females demonstrate greater fatigue resistance than males during contractions at intensities relative to maximum force. However, previous studies have not accounted for the influence of metabolic thresholds on fatigability. This study is the first to test whether sex differences in fatigability exist when exercise intensity is normalised relative to a metabolic threshold: the critical intensity derived from assessment of the intensity–duration relationship during intermittent, isometric knee extensor contractions. We show that critical intensity in females occurred at a higher percentage of maximum force compared to males. Furthermore, females demonstrated greater fatigue resistance at exercise intensities above and below this metabolic threshold. Our data suggest that the sex difference was mediated by lesser deoxygenation of the knee extensors during exercise. These data highlight the importance of accounting for metabolic thresholds when comparing fatigability between sexes, whilst emphasising the notion that male data are not generalisable to female populations. Abstract Females are less fatigable than males during isometric exercise at intensities relative to maximal voluntary contraction (MVC); however, whether a sex difference in fatigability exists when exercise is prescribed relative to a critical intensity is unknown. This study established the intensity–duration relationship, and compared fatigability and recovery between sexes following intermittent isometric contractions normalised to critical intensity. Twenty participants (10 females) completed four intermittent isometric knee extension trials to task failure to determine critical intensity and the curvature constant (W′), followed by fatiguing tasks at +10% and −10% relative to critical intensity. Neuromuscular assessments were completed at baseline and for 45 min post-exercise. Non-invasive neurostimulation, near-infrared spectroscopy, and non-invasive haemodynamic monitoring were used to elucidate the physiological mechanisms responsible for sex differences. Females demonstrated a greater critical intensity relative to MVC than males (25 ± 3 vs. 21 ± 2% MVC, P = 0.003), with no sex difference for W′ (18,206 ± 6331 vs. 18,756 ± 5762 N s, P = 0.850). Time to task failure was greater for females (62.37 ± 17.25 vs. 30.43 ± 12.75 min, P &lt; 0.001) during the +10% trial, and contractile function recovered faster post-exercise (P = 0.034). During the −10% trial females experienced less contractile dysfunction (P = 0.011). Throughout the +10% trial, females demonstrated lesser decreases in deoxyhaemoglobin (P = 0.007) and an attenuated exercise pressor reflex. These data show that a sex difference in fatigability exists even when exercise is matched for critical intensity. We propose that greater oxygen availability during exercise permits females to sustain a higher relative intensity than males, and is an explanatory factor for the sex difference in fatigability during intermittent, isometric contractions.","container-title":"The Journal of Physiology","DOI":"10.1113/JP278699","ISSN":"1469-7793","issue":"23","language":"en","note":"_eprint: https://physoc.onlinelibrary.wiley.com/doi/pdf/10.1113/JP278699","page":"5577-5595","source":"Wiley Online Library","title":"Sex differences in fatigability and recovery relative to the intensity–duration relationship","volume":"597","author":[{"family":"Ansdell","given":"Paul"},{"family":"Brownstein","given":"Callum G."},{"family":"Škarabot","given":"Jakob"},{"family":"Hicks","given":"Kirsty M."},{"family":"Howatson","given":"Glyn"},{"family":"Thomas","given":"Kevin"},{"family":"Hunter","given":"Sandra K."},{"family":"Goodall","given":"Stuart"}],"issued":{"date-parts":[["2019"]]}}}],"schema":"https://github.com/citation-style-language/schema/raw/master/csl-citation.json"}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[87]</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Conversely, there were no differences observed in the relative percentage</w:t>
      </w:r>
      <w:r w:rsidR="00E40706" w:rsidRPr="00165ED2">
        <w:rPr>
          <w:rFonts w:ascii="Times New Roman" w:eastAsiaTheme="minorEastAsia" w:hAnsi="Times New Roman" w:cs="Times New Roman"/>
          <w:sz w:val="24"/>
          <w:szCs w:val="24"/>
        </w:rPr>
        <w:t xml:space="preserve"> of MVC</w:t>
      </w:r>
      <w:r w:rsidRPr="00165ED2">
        <w:rPr>
          <w:rFonts w:ascii="Times New Roman" w:eastAsiaTheme="minorEastAsia" w:hAnsi="Times New Roman" w:cs="Times New Roman"/>
          <w:sz w:val="24"/>
          <w:szCs w:val="24"/>
        </w:rPr>
        <w:t xml:space="preserve"> at which CP occurred between males and females during large-muscle mass dynamic cycle exercise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{"citationID":"4HvPZ81G","properties":{"formattedCitation":"[88]","plainCitation":"[88]","noteIndex":0},"citationItems":[{"id":3123,"uris":["http://zotero.org/users/5056530/items/R8CBGTYG"],"itemData":{"id":3123,"type":"article-journal","abstract":"Key points Knee-extensors demonstrate greater fatigue resistance in females compared to males during single-limb and whole-body exercise. For single-limb exercise, the intensity–duration relationship is different between sexes, with females sustaining a greater relative intensity of exercise. This study established the power–duration relationship during cycling, then assessed fatigability during critical power-matched exercise within the heavy and severe intensity domains. When critical power and the curvature constant were expressed relative to maximal ramp test power, no sex difference was observed. No sex difference in time to task failure was observed in either trial. During heavy and severe intensity cycling, females experienced lesser muscle de-oxygenation. Following both trials, females experienced lesser reductions in knee-extensor contractile function, and following heavy intensity exercise, females experienced less reduction in voluntary activation. These data demonstrate that whilst the relative power–duration relationship is not different between males and females, the mechanisms of fatigability during critical power-matched exercise are mediated by sex. Abstract Due to morphological differences, females demonstrate greater fatigue resistance of locomotor muscle during single-limb and whole-body exercise modalities. Whilst females sustain a greater relative intensity of single-limb, isometric exercise than males, limited investigation has been performed during whole-body exercise. Accordingly, this study established the power–duration relationship during cycling in 18 trained participants (eight females). Subsequently, constant-load exercise was performed at critical power (CP)-matched intensities within the heavy and severe domains, with the mechanisms of fatigability assessed via non-invasive neurostimulation, near-infrared spectroscopy and pulmonary gas exchange during and following exercise. Relative CP (72 ± 5 vs. 74 ± 2% Pmax, P = 0.210) and curvature constant (51 ± 11 vs. 52 ± 10 J Pmax−1, P = 0.733) of the power–duration relationship were similar between males and females. Subsequent heavy (P = 0.758) and severe intensity (P = 0.645) exercise time to task failures were not different between sexes. However, females experienced lesser reductions in contractile function at task failure (P ≤ 0.020), and greater vastus lateralis oxygenation (P ≤ 0.039) during both trials. Reductions in voluntary activation occurred following both trials (P &lt; 0.001), but were less in females following the heavy trial (P = 0.036). Furthermore, during the heavy intensity trial only, corticospinal excitability was reduced at the cortical (P = 0.020) and spinal (P = 0.036) levels, but these reductions were not sex-dependent. Other than a lower respiratory exchange ratio in the heavy trial for females (P = 0.039), no gas exchange variables differed between sexes (P ≥ 0.052). Collectively, these data demonstrate that whilst the relative power–duration relationship is not different between males and females, the mechanisms of fatigability during CP-matched exercise above and below CP are mediated by sex.","container-title":"The Journal of Physiology","DOI":"10.1113/JP280031","ISSN":"1469-7793","issue":"24","language":"en","note":"_eprint: https://physoc.onlinelibrary.wiley.com/doi/pdf/10.1113/JP280031","page":"5717-5737","source":"Wiley Online Library","title":"Sex differences in fatigability following exercise normalised to the power–duration relationship","volume":"598","author":[{"family":"Ansdell","given":"Paul"},{"family":"Škarabot","given":"Jakob"},{"family":"Atkinson","given":"Elliott"},{"family":"Corden","given":"Sarah"},{"family":"Tygart","given":"Amber"},{"family":"Hicks","given":"Kirsty M."},{"family":"Thomas","given":"Kevin"},{"family":"Hunter","given":"Sandra K."},{"family":"Howatson","given":"Glyn"},{"family":"Goodall","given":"Stuart"}],"issued":{"date-parts":[["2020"]]}}}],"schema":"https://github.com/citation-style-language/schema/raw/master/csl-citation.json"}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[88]</w:t>
      </w:r>
      <w:r w:rsidR="0019249F" w:rsidRPr="00165ED2">
        <w:rPr>
          <w:rFonts w:ascii="Times New Roman" w:eastAsiaTheme="minorEastAsia" w:hAnsi="Times New Roman" w:cs="Times New Roman"/>
          <w:sz w:val="24"/>
          <w:szCs w:val="24"/>
        </w:rPr>
        <w:fldChar w:fldCharType="end"/>
      </w:r>
      <w:r w:rsidR="0019249F" w:rsidRPr="00165ED2">
        <w:rPr>
          <w:rFonts w:ascii="Times New Roman" w:eastAsiaTheme="minorEastAsia" w:hAnsi="Times New Roman" w:cs="Times New Roman"/>
          <w:sz w:val="24"/>
          <w:szCs w:val="24"/>
        </w:rPr>
        <w:t xml:space="preserve">. </w:t>
      </w:r>
      <w:r w:rsidRPr="00165ED2">
        <w:rPr>
          <w:rFonts w:ascii="Times New Roman" w:eastAsiaTheme="minorEastAsia" w:hAnsi="Times New Roman" w:cs="Times New Roman"/>
          <w:sz w:val="24"/>
          <w:szCs w:val="24"/>
        </w:rPr>
        <w:t>Females have previously been demonstrated to possess a greater degree of capillarity in skeletal muscle and greater proportion of type I fibres when compared to males</w:t>
      </w:r>
      <w:r w:rsidR="0019249F" w:rsidRPr="00165ED2">
        <w:rPr>
          <w:rFonts w:ascii="Times New Roman" w:eastAsiaTheme="minorEastAsia" w:hAnsi="Times New Roman" w:cs="Times New Roman"/>
          <w:sz w:val="24"/>
          <w:szCs w:val="24"/>
        </w:rPr>
        <w:t xml:space="preserve">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{"citationID":"ZCIZ1q3H","properties":{"formattedCitation":"[89\\uc0\\u8211{}91]","plainCitation":"[89–91]","noteIndex":0},"citationItems":[{"id":3129,"uris":["http://zotero.org/users/5056530/items/ASJBHQ8S"],"itemData":{"id":3129,"type":"article-journal","abstract":"Substrate utilization across the leg during 90 min of bicycle exercise at 58% of peak oxygen uptake (VO(2 peak)) was studied in seven endurance-trained males and seven endurance-trained, eumenorrheic females by applying arteriovenous catheterization, stable isotopes, and muscle biopsies. The female and male groups were matched according to VO(2 peak) per kilogram of lean body mass, physical activity level, and training history of the subjects. All subjects consumed the same diet, well controlled in terms of nutrient composition as well as energy content, for 8 days preceding the experiment, and all females were tested in the midfollicular phase of the menstrual cycle. During exercise, respiratory exchange ratio (RER) and leg respiratory quotient (RQ) were similar in females and males. Myocellular triacylglycerol (TG) degradation was negligible in males but amounted to 12.4 +/- 3.2 mmol/kg dry wt in females and corresponded to 25.0 +/- 6.0 and 5.0 +/- 7.3% of total oxygen uptake in females and males, respectively (P &lt; 0.05). Utilization of plasma fatty acids (12.0 +/- 2.5 and 9.6 +/- 1.5%), blood glucose (13.6 +/- 1.5 and 14.3 +/- 1.5%), and glycogen (48.5 +/- 4.9 and 42.8 +/- 2.1%) were similar in females and males. Thus, in females, measured substrate oxidation accounted for 99% of the leg oxygen uptake, whereas in males 28% of leg oxygen uptake was unaccounted for in terms of measured oxidized lipid substrates. These findings may indicate that males utilized additional lipid sources, presumably very low density lipoprotein-TG or TG located between muscle fibers. On the basis of RER and leg RQ, it is concluded that no gender difference existed in the relative contribution from carbohydrate and lipids to the oxidative metabolism across the leg during submaximal exercise at the same relative workload. However, an effect of gender appears to occur in the utilization of the different lipid sources.","container-title":"American Journal of Physiology. Endocrinology and Metabolism","DOI":"10.1152/ajpendo.00266.2001","ISSN":"0193-1849","issue":"2","journalAbbreviation":"Am J Physiol Endocrinol Metab","language":"eng","note":"PMID: 11788377","page":"E435-447","source":"PubMed","title":"Gender differences in substrate utilization during submaximal exercise in endurance-trained subjects","volume":"282","author":[{"family":"Roepstorff","given":"Carsten"},{"family":"Steffensen","given":"Charlotte H."},{"family":"Madsen","given":"Marianne"},{"family":"Stallknecht","given":"Bente"},{"family":"Kanstrup","given":"Inge-Lis"},{"family":"Richter","given":"Erik A."},{"family":"Kiens","given":"Bente"}],"issued":{"date-parts":[["2002",2]]}}},{"id":3131,"uris":["http://zotero.org/users/5056530/items/2KY9T9C8"],"itemData":{"id":3131,"type":"article-journal","abstract":"The purpose of the present study was to describe the extent of the variation in some of the common characteristics of human skeletal muscle. A total of 418 biopsies was obtained from the vastus lateralis muscle of 270 healthy sedentary and 148 physically active individuals of both sexes. The lowest and highest proportion of type I muscle fiber observed were 15 and 85%, respectively. Coefficients of variation (CV) reached approximately 30% for the proportion of types I and IIA fibers and were two times higher for the proportion of type IIB fiber. The smallest and largest mean muscle fiber cross-sectional areas (CSA) were approximately 1,100 microns 2 and 9,500 microns 2, respectively. Mean CSA of the various fiber types exhibited CV of approximately 23%. CV reached 30% for the activity of creatine kinase, ranged between 28 and 41% for the glycolytic enzyme markers, and between 34 and 44% for the aerobic-oxidative enzyme markers. The mean proportion of type I fiber was lower in male than in female muscles, whereas the mean CSA of all fiber types was smaller in female than in male muscles. Levels of glycolytic enzyme markers were higher in male than in female skeletal muscles. However, activities of aerobic-oxidative enzyme markers were similar in males and females. These results reveal the existence of large interindividual variability and gender differences in the most common characteristics of the human skeletal muscle.","container-title":"The American Journal of Physiology","DOI":"10.1152/ajpendo.1989.257.4.E567","ISSN":"0002-9513","issue":"4 Pt 1","journalAbbreviation":"Am J Physiol","language":"eng","note":"PMID: 2529775","page":"E567-572","source":"PubMed","title":"Human variation in skeletal muscle fiber-type proportion and enzyme activities","volume":"257","author":[{"family":"Simoneau","given":"J. A."},{"family":"Bouchard","given":"C."}],"issued":{"date-parts":[["1989",10]]}}},{"id":3133,"uris":["http://zotero.org/users/5056530/items/V6L4P8LI"],"itemData":{"id":3133,"type":"article-journal","abstract":"This study presents data collected over the past 10 years on the muscle fiber type composition of the vastus lateralis muscle of young men and women. Biopsies were taken from the vastus lateralis muscle of 55 women (21.2+/-2.2 yr) and 95 men (21.5+/-2.4 yr) who had volunteered to participate in various research projects. Six fiber types (I, IC, IIC, IIA, IIAB, and IIB) were classified using mATPase histochemistry, and cross-sectional area was measured for the major fiber types (I, IIA, and IIB). Myosin heavy chain (MHC) content was determined electrophoretically on all of the samples from the men and on 26 samples from the women. With the exception of fiber Type IC, no significant differences were found between men and women for muscle fiber type distribution. The vastus lateralis muscle of both the men and women contained approximately 41% I, 1% IC, 1% IIC, 31% IIA, 6% IIAB, and 20% IIB. However, the cross-sectional area of all three major fiber types was larger for the men compared to the women. In addition, the Type IIA fibers were the largest for the men, whereas the Type I fibers tended to be the largest for the women. Therefore, gender differences were found with regard to the area occupied by each specific fiber type: IIA&gt;I&gt;IIB for the men and I&gt;IIA&gt;IIB for the women. These data establish normative values for the mATPase-based fiber type distribution and sizes in untrained young men and women.","container-title":"The Journal of Histochemistry and Cytochemistry: Official Journal of the Histochemistry Society","DOI":"10.1177/002215540004800506","ISSN":"0022-1554","issue":"5","journalAbbreviation":"J Histochem Cytochem","language":"eng","note":"PMID: 10769046","page":"623-629","source":"PubMed","title":"Fiber type composition of the vastus lateralis muscle of young men and women","volume":"48","author":[{"family":"Staron","given":"R. S."},{"family":"Hagerman","given":"F. C."},{"family":"Hikida","given":"R. S."},{"family":"Murray","given":"T. F."},{"family":"Hostler","given":"D. P."},{"family":"Crill","given":"M. T."},{"family":"Ragg","given":"K. E."},{"family":"Toma","given":"K."}],"issued":{"date-parts":[["2000",5]]}}}],"schema":"https://github.com/citation-style-language/schema/raw/master/csl-citation.json"}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szCs w:val="24"/>
        </w:rPr>
        <w:t>[89–91]</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suggesting a greater capacity for diffusive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transport. Moreover, during small-muscle mass knee extension exercise, far greater mass-specific rates of blood flow are achieved when compared to cycle exercise, and hence, diffusive rather than convective factors constrain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transport to muscle mitochondria</w:t>
      </w:r>
      <w:r w:rsidR="0019249F" w:rsidRPr="00165ED2">
        <w:rPr>
          <w:rFonts w:ascii="Times New Roman" w:eastAsiaTheme="minorEastAsia" w:hAnsi="Times New Roman" w:cs="Times New Roman"/>
          <w:sz w:val="24"/>
          <w:szCs w:val="24"/>
        </w:rPr>
        <w:t xml:space="preserve">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Ba1ds4rN","properties":{"formattedCitation":"[52,81,92\\uc0\\u8211{}97]","plainCitation":"[52,81,92–97]","noteIndex":0},"citationItems":[{"id":667,"uris":["http://zotero.org/users/5056530/items/CDBPP79Q"],"itemData":{"id":667,"type":"article-journal","abstract":"We studied O2 transport in the leg to determine if hyperoxia will increase the maximal rate of O2 uptake (VO2max) in exercising muscle. An increase in inspired O2 fraction (FIO2) from 0.21 to 1.00 was postulated to have the following effects: 1) increase the leg VO2max by approximately 5-10%, 2) increase the maximal O2 delivery [arterial O2 concentration.flow (CaO2.Q] by approximately 10%, and 3) raise the leg VO2max in proportion to both the femoral venous PO2 and mean leg capillary PO2. To test these hypotheses, 11 men performed cycle exercise to the highest work rates (WRmax) they could achieve while breathing 100% O2 (hyperoxia), 21% O2 (normoxia), and 12% O2 (hypoxia). Leg VO2 was derived from duplicate measurements of femoral venous blood flow and CaO2 and femoral venous blood O2 concentrations (CVO2) at 20, 35, 50, 92, and 100% WRmax in each FIO2. Femoral venous leg Q (Qleg) was measured by the constant-infusion thermodilution technique, and leg O2 uptake (VO2) was determined by the Fick principle [VO2 = Qleg(CaO2-CVO2)]. Leg VO2max was the mean of duplicate values of VO2 at 100% WRmax for each FIO2. Hyperoxia increased leg VO2max by 8.1% (P = 0.016) and maximal O2 delivery by 10.9% (P = 0.05) without changing Qleg. There was a significant increase in femoral venous PO2 (P &lt; 0.001) that was proportionally greater than the increase in leg VO2max. The results support our first and second hypotheses, providing direct evidence that in normal subjects leg VO2max is limited by O2 supply during normoxia.(ABSTRACT TRUNCATED AT 250 WORDS)","container-title":"Journal of Applied Physiology (Bethesda, Md.: 1985)","DOI":"10.1152/jappl.1993.75.6.2586","ISSN":"8750-7587","issue":"6","journalAbbreviation":"J. Appl. Physiol.","language":"eng","note":"PMID: 8125878","page":"2586-2594","source":"PubMed","title":"Effects of hyperoxia on maximal leg O2 supply and utilization in men","volume":"75","author":[{"family":"Knight","given":"D. R."},{"family":"Schaffartzik","given":"W."},{"family":"Poole","given":"D. C."},{"family":"Hogan","given":"M. C."},{"family":"Bebout","given":"D. E."},{"family":"Wagner","given":"P. D."}],"issued":{"date-parts":[["1993",12]]}}},{"id":3136,"uris":["http://zotero.org/users/5056530/items/E5UAEIHY"],"itemData":{"id":3136,"type":"article-journal","abstract":"In an attempt to approach a system of isolated exercising muscle in humans, a model has been developed that enables the study of muscle activity and metabolism over the quadriceps femoris (QF) muscles while the rest of the body remains relaxed. The simplest version includes the subject sitting on a table with a rod connecting the ankle and the pedal arm of a bicycle ergometer placed behind the subject. Exercise is performed by knee extension from a knee angle of 90 to approximately 170 degrees while flywheel momentum repositions the relaxed leg during flexion. Experiments where electromyographic recordings have been taken from biceps femoris, gastrocnemius, tibialis anterior, and other muscles in addition to QF indicate that only the QF is active and that there is an equal activation of the lateral, medial, and rectus femoris heads relative to maximum. Furthermore, virtually identical pulmonary O2 uptake (Vo2) during and without application of a pressure cuff below the knee emphasizes the inactivity of the lower leg muscles. The advantages of the model are that all external work can be localized to a single muscle group suitable for taking biopsies and that the blood flow in and sampling from the femoral vein are representative of the active muscles. Thus all measurements can be closely related to changes in the working muscle. Using this model we find that a linear relationship exists between external work and pulmonary Vo2 over the submaximal range and the maximal Vo2 per kilogram of muscle may be as much as twice as high as previously estimated.","container-title":"Journal of Applied Physiology (Bethesda, Md.: 1985)","DOI":"10.1152/jappl.1985.59.5.1647","ISSN":"8750-7587","issue":"5","journalAbbreviation":"J Appl Physiol (1985)","language":"eng","note":"PMID: 4066596","page":"1647-1653","source":"PubMed","title":"Dynamic knee extension as model for study of isolated exercising muscle in humans","volume":"59","author":[{"family":"Andersen","given":"P."},{"family":"Adams","given":"R. P."},{"family":"Sjøgaard","given":"G."},{"family":"Thorboe","given":"A."},{"family":"Saltin","given":"B."}],"issued":{"date-parts":[["1985",11]]}}},{"id":3138,"uris":["http://zotero.org/users/5056530/items/4XSMB9FE"],"itemData":{"id":3138,"type":"article-journal","abstract":"This study examined the effects of prior heavy-intensity exercise on the adjustment of pulmonary oxygen uptake (VO(2p)) and muscle deoxygenation Δ[HHb] during the transition to subsequent heavy-intensity cycling (CE) or knee-extension (KE) exercise. Nine young adults (aged 24 ± 5 years) performed 4 repetitions of repeated bouts of heavy-intensity exercise separated by light-intensity CE and KE, which included 6 min of baseline exercise, a 6-min step of heavy-intensity exercise (H1), 6-min recovery, and a 6-min step of heavy-intensity exercise (H2). Exercise was performed at 50 r·min(-1) or contractions per minute per leg. Oxygen uptake (VO(2)) mean response time was </w:instrText>
      </w:r>
      <w:r w:rsidR="005174B6" w:rsidRPr="00165ED2">
        <w:rPr>
          <w:rFonts w:ascii="Cambria Math" w:eastAsiaTheme="minorEastAsia" w:hAnsi="Cambria Math" w:cs="Cambria Math"/>
          <w:sz w:val="24"/>
          <w:szCs w:val="24"/>
        </w:rPr>
        <w:instrText>∼</w:instrText>
      </w:r>
      <w:r w:rsidR="005174B6" w:rsidRPr="00165ED2">
        <w:rPr>
          <w:rFonts w:ascii="Times New Roman" w:eastAsiaTheme="minorEastAsia" w:hAnsi="Times New Roman" w:cs="Times New Roman"/>
          <w:sz w:val="24"/>
          <w:szCs w:val="24"/>
        </w:rPr>
        <w:instrText xml:space="preserve">20% faster (p &lt; 0.05) during H2 compared with H1 in both modalities. Phase 2 time constants (τ) were not different between heavy bouts of CE (H1, 29.6 ± 6.5 s; H2, 28.0 ± 4.6 s) or KE exercise (H1, 31.6 ± 6.7 s; H2, 29.8 ± 5.6 s). The VO(2) slow component amplitude was lower (p &lt; 0.05) in H2 in both modalities (CE, 0.19 ± 0.06 L·min(-1); KE, 0.12 ± 0.07 L·min(-1)) compared with H1 (CE, 0.29 ± 0.09 L·min(-1); KE, 0.18 ± 0.07 L·min(-1)), with the contribution of the slow component to the total VO(2) response reduced (p &lt; 0.05) in H2 during both exercise modes. The effective τHHb was similar between bouts for CE (H1, 18.2 ± 3.0 s; H2, 18.0 ± 3.6 s) and KE exercise (H1, 26.0 ± 7.0 s; H2, 24.0 ± 5.8 s). The ΔHHb slow component was reduced during H2 in both CE and KE (p &lt; 0.05). In conclusion, phase 2 VO(2p) was unchanged with priming exercise; however, a faster mean response time of VO(2p) during the heavy-intensity exercise preceded by a priming heavy-intensity exercise was attributed to a smaller slow component and reduced muscle deoxygenation indicative of improved muscle O(2) delivery during the second bout of exercise.","container-title":"Applied physiology, nutrition, and metabolism = Physiologie appliquee, nutrition et metabolisme","DOI":"10.1139/h11-143","ISSN":"1715-5320","issue":"1","journalAbbreviation":"Appl Physiol Nutr Metab","language":"eng","note":"PMID: 22269026","page":"138-148","source":"Europe PMC","title":"Effects of prior heavy-intensity exercise on oxygen uptake and muscle deoxygenation kinetics of a subsequent heavy-intensity cycling and knee-extension exercise","volume":"37","author":[{"family":"Cleland","given":"Sarah Margaret"},{"family":"Murias","given":"Juan Manuel"},{"family":"Kowalchuk","given":"John Michael"},{"family":"Paterson","given":"Donald Hugh"}],"issued":{"date-parts":[["2012",2,1]]}}},{"id":202,"uris":["http://zotero.org/users/5056530/items/EGEMQRBP"],"itemData":{"id":202,"type":"article-journal","abstract":"To investigate recruitment of slow-twitch (ST) and fast-twitch (FT) muscle fibres, as well as the involvement of the various quadriceps femoris muscle portions during repeated, intense, one-legged knee-extensor exercise, 12 healthy male subjects performed two 3-min exercise bouts at approximately 110% maximum thigh O2 consumption (EX1 and EX2) separated by 6 min rest. Single-fibre metabolites were determined in successive muscle biopsies obtained from the vastus lateralis muscle (n = 6) and intra-muscular temperatures were continuously measured at six quadriceps muscle sites (n = 6). Creatine phosphate (CP) had decreased (P &lt; 0.05) by 27, 73 and 88% in ST fibres and 25, 71 and 89% in FT fibres after 15 and 180 s of EX1 and after 180 s of EX2, respectively. CP was below resting mean-1 SD in 15, 46, 84 and 100% of the ST fibres and 9, 48, 85 and 100% of the FT fibres at rest, after 15 and 180 s of EX1 and after 180 s of EX2, respectively. A significant muscle temperature increase (deltaTm) occurred within 2-4 s at all quadriceps muscle sites. DeltaTm varied less than 10% between sites during EX1, but was 23% higher (P &lt; 0.05) in the vastus lateralis than in the rectus femoris muscle during EX2. DeltaTm in the vastus lateralis was 101 and 109% of the mean quadriceps value during EX1 and EX2, respectively. We conclude that both fibre types and all quadriceps muscle portions are recruited at the onset of intense knee-extensor exercise, that essentially all quadriceps muscle fibres are activated during repeated intense exercise and that metabolic measurements in the vastus lateralis muscle provide a good indication of the whole-quadriceps muscle metabolism during repeated, intense, one-legged knee-extensor exercise.","container-title":"Pflugers Archiv: European Journal of Physiology","DOI":"10.1007/s00424-004-1304-3","ISSN":"0031-6768","issue":"1","journalAbbreviation":"Pflugers Arch.","language":"eng","note":"PMID: 15290298","page":"56-65","source":"PubMed","title":"Recruitment of fibre types and quadriceps muscle portions during repeated, intense knee-extensor exercise in humans","volume":"449","author":[{"family":"Krustrup","given":"Peter"},{"family":"Söderlund","given":"Karin"},{"family":"Mohr","given":"Magni"},{"family":"González-Alonso","given":"José"},{"family":"Bangsbo","given":"Jens"}],"issued":{"date-parts":[["2004",10]]}}},{"id":586,"uris":["http://zotero.org/users/5056530/items/4VJU7FV6"],"itemData":{"id":586,"type":"article-journal","abstract":"The knee extension exercise (KE) model engenders different muscle and fiber recruitment patterns, blood flow, and energetic responses compared with conventional cycle ergometry (CE). This investigation had two aims: 1) to test the hypothesis that upright two-leg KE and CE in the same subjects would yield fundamentally different pulmonary O(2) uptake (pVo(2)) kinetics and 2) to characterize the muscle blood flow, muscle Vo(2) (mVo(2)), and pVo(2) kinetics during KE to investigate the rate-limiting factor(s) of pVo(2) on kinetics and muscle energetics and their mechanistic bases after the onset of heavy exercise. Six subjects performed KE and CE transitions from unloaded to moderate [&lt; ventilatory threshold (VT)] and heavy (&gt;VT) exercise. In addition to pVo(2) during CE and KE, simultaneous pulsed and echo Doppler methods, combined with blood sampling from the femoral vein, were used to quantify the precise temporal profiles of femoral artery blood flow (LBF) and mVo(2) at the onset of KE. First, the gain (amplitude/work rate) of the primary component of pVo(2) for both moderate and heavy exercise was higher during KE ( approximately 12 ml.W(-1).min(-1)) compared with CE ( approximately 10), but the time constants for the primary component did not differ. Furthermore, the mean response time (MRT) and the contribution of the slow component to the overall response for heavy KE were significantly greater than for CE. Second, the time constant for the primary component of mVo(2) during heavy KE [25.8 +/- 9.0 s (SD)] was not significantly different from that of the phase II pVo(2). Moreover, the slow component of pVo(2) evident for the heavy KE reflected the gradual increase in mVo(2). The initial LBF kinetics after onset of KE were significantly faster than the phase II pVo(2) kinetics (moderate: time constant LBF = 8.0 +/- 3.5 s, pVo(2) = 32.7 +/- 5.6 s, P &lt; 0.05; heavy: LBF = 9.7 +/- 2.0 s, pVo(2) = 29.9 +/- 7.9 s, P &lt; 0.05). The MRT of LBF was also significantly faster than that of pVo(2). These data demonstrate that the energetics (as gain) for KE are greater than for CE, but the kinetics of adjustment (as time constant for the primary component) are similar. Furthermore, the kinetics of muscle blood flow during KE are faster than those of pVo(2), consistent with an intramuscular limitation to Vo(2) kinetics, i.e., a microvascular O(2) delivery-to-O(2) requirement mismatch or oxidative enzyme inertia.","container-title":"American Journal of Physiology. Regulatory, Integrative and Comparative Physiology","DOI":"10.1152/ajpregu.00147.2004","ISSN":"0363-6119","issue":"1","journalAbbreviation":"Am. J. Physiol. Regul. Integr. Comp. Physiol.","language":"eng","note":"PMID: 15331378","page":"R212-220","source":"PubMed","title":"Comparison of oxygen uptake kinetics during knee extension and cycle exercise","volume":"288","author":[{"family":"Koga","given":"Shunsaku"},{"family":"Poole","given":"David C."},{"family":"Shiojiri","given":"Tomoyuki"},{"family":"Kondo","given":"Narihiko"},{"family":"Fukuba","given":"Yoshiyuki"},{"family":"Miura","given":"Akira"},{"family":"Barstow","given":"Thomas J."}],"issued":{"date-parts":[["2005",1]]}}},{"id":1081,"uris":["http://zotero.org/users/5056530/items/KFB5KWXE"],"itemData":{"id":1081,"type":"article-journal","abstract":"Relative perfusion of active muscles is greater during knee extension ergometry (KE) than cycle ergometry (CE). This provides the opportunity to investigate the effects of increased O2 delivery (Q̇o2) on deoxygenation heterogeneity among quadriceps muscles and pulmonary oxygen uptake (V̇o2) kinetics. Using time-resolved near-infrared spectroscopy, we hypothesized that compared with CE the superficial vastus lateralis (VL), superficial rectus femoris, and deep VL in KE would have 1) a smaller amplitude of the exercise-induced increase in deoxy[Hb + Mb] (related to the balance between V̇o2 and Q̇o2); 2) a greater amplitude of total[Hb + Mb] (related to the diffusive O2 conductance); 3) a greater homogeneity of regional muscle deoxy[Hb + Mb]; and 4) no difference in pulmonary V̇o2 kinetics. Eight participants performed square-wave KE and CE exercise from 20 W to heavy work rates. Deoxy[Hb + Mb] amplitude was less for all muscle regions in KE (P &lt; 0.05: superficial, KE 17–24 vs. CE 19–40; deep, KE 19 vs. CE 26 μM). Furthermore, the amplitude of total[Hb + Mb] was greater for KE than CE at all muscle sites (P &lt; 0.05: superficial, KE, 7–21 vs. CE, 1–16; deep, KE, 11 vs. CE, −3 μM). Although the amplitude and heterogeneity of deoxy[Hb + Mb] were significantly lower in KE than CE during the first minute of exercise, the pulmonary V̇o2 kinetics was not different for KE and CE. These data show that the microvascular Q̇o2 to V̇o2 ratio, and thus tissue oxygenation, was greater in KE than CE. This suggests that pulmonary and muscle V̇o2 kinetics in young healthy humans are not limited by Q̇o2 during heavy-intensity cycling.","container-title":"American Journal of Physiology-Regulatory, Integrative and Comparative Physiology","DOI":"10.1152/ajpregu.00015.2019","ISSN":"0363-6119","issue":"1","journalAbbreviation":"American Journal of Physiology-Regulatory, Integrative and Comparative Physiology","page":"R203-R213","source":"physiology.org (Atypon)","title":"Unaltered V̇o2 kinetics despite greater muscle oxygenation during heavy-intensity two-legged knee extension versus cycle exercise in humans","volume":"317","author":[{"family":"Koga","given":"Shunsaku"},{"family":"Okushima","given":"Dai"},{"family":"Poole","given":"David C."},{"family":"Rossiter","given":"Harry B."},{"family":"Kondo","given":"Narihiko"},{"family":"Barstow","given":"Thomas J."}],"issued":{"date-parts":[["2019",5,1]]}}},{"id":526,"uris":["http://zotero.org/users/5056530/items/HV3Q7F2A"],"itemData":{"id":526,"type":"article-journal","abstract":"The assumption that cellular oxygen pressure (PO2) is close to zero in maximally exercising muscle is essential for the hypothesis that O2 transport between blood and mitochondria has a finite conductance that determines maximum O2 consumption. The unique combination of isolated human quadriceps exercise, direct measures of arterial, femoral venous PO2, and 1H nuclear magnetic resonance spectroscopy to detect myoglobin desaturation enabled this assumption to be tested in six trained men while breathing room air (normoxic, N) and 12% O2 (hypoxic, H). Within 20 s of exercise onset partial myoglobin desaturation was evident even at 50% of maximum O2 consumption, was significantly greater in H than N, and was then constant at an average of 51 +/- 3% (N) and 60 +/- 3% (H) throughout the incremental exercise protocol to maximum work rate. Assuming a myoglobin PO2 where 50% of myoglobin binding sites are bound with O2 of 3.2 mmHg, myoglobin-associated PO2 averaged 3.1 +/- .3 (N) and 2.1 +/- .2 mmHg (H). At maximal exercise, measurements of arterial PO2 (115 +/- 4 [N] and 46 +/- 1 mmHg [H]) and femoral venous PO2 (22 +/- 1.6 [N] and 17 +/- 1.3 mmHg [H]) resulted in calculated mean capillary PO2 values of 38 +/- 2 (N) and 30 +/- 2 mmHg(H). Thus, for the first time, large differences in PO2 between blood and intracellular tissue have been demonstrated in intact normal human muscle and are found over a wide range of exercise intensities. These data are consistent with an O2 diffusion limitation across the 1-5-microns path-length from red cell to the sarcolemma that plays a role in determining maximal muscle O2 uptake in normal humans.","container-title":"The Journal of Clinical Investigation","DOI":"10.1172/JCI118237","ISSN":"0021-9738","issue":"4","journalAbbreviation":"J. Clin. Invest.","language":"eng","note":"PMID: 7560083\nPMCID: PMC185828","page":"1916-1926","source":"PubMed","title":"Myoglobin O2 desaturation during exercise. Evidence of limited O2 transport","volume":"96","author":[{"family":"Richardson","given":"R. S."},{"family":"Noyszewski","given":"E. A."},{"family":"Kendrick","given":"K. F."},{"family":"Leigh","given":"J. S."},{"family":"Wagner","given":"P. D."}],"issued":{"date-parts":[["1995",10]]}}},{"id":51,"uris":["http://zotero.org/users/5056530/items/8D2U8ZZP"],"itemData":{"id":51,"type":"article-journal","abstract":"During conventional cycle ergometry, as work rate (WR) is increased toward maximum, O2 extraction increases hyperbolically, typically achieving values of 80-90% at peak O2 uptake (VO2). In contrast, studies using isolated knee-extensor exercise report much higher mass-specific blood flows (Q) and lower maximal O2 extractions (approximately 70%), which have been interpreted as transit time limitation to O2 movement out of the muscle capillary. However, maximal achievable WR levels during conventional cycle ergometry are generally reached (over 10-15 min) after rapid increases in WR, whereas the reported knee-extensor studies have used only more lengthy protocols (45 min). The duration of these protocols may have prevented the attainment of high WR levels and thus high O2 extraction ratios. Accordingly, this investigation examined leg Q and O2 extraction responses during single-leg knee-extensor exercise incremented rapidly (steps of 15-25 W per 2- to 3-min interval), which produced fatigue in 13-15 min. Q and muscle VO2 increased linearly with WR to fatigue with Q-WR and VO2-WR slopes similar to those reported in previous knee-extensor studies. However, with the use of this protocol, very high maximal achievable WR [99 +/- 6 (SE) W] and muscle Q (385 +/- 26 ml.min-1 x 100 g-1) levels were attained, some 80% greater than previously reported. An O2 extraction of 84.6 +/- 2.1% was reached, giving a maximal VO2 of 60.2 +/- 5.8 ml.min-1 x 100 g-1. We conclude that, even under the high Q conditions of single-leg knee-extensor exercise, O2 extraction does not reach a plateau on the basis of short transit times and that previous conclusions to the contrary reflect failure to attain sufficiently high WR levels. Maximal VO2, Q, and O2 extraction in this model have yet to be defined.","container-title":"Journal of Applied Physiology (Bethesda, Md.: 1985)","DOI":"10.1152/jappl.1993.75.4.1911","ISSN":"8750-7587","issue":"4","journalAbbreviation":"J. Appl. Physiol.","language":"eng","note":"PMID: 8282650","page":"1911-1916","source":"PubMed","title":"High muscle blood flow in man: is maximal O2 extraction compromised?","title-short":"High muscle blood flow in man","volume":"75","author":[{"family":"Richardson","given":"R. S."},{"family":"Poole","given":"D. C."},{"family":"Knight","given":"D. R."},{"family":"Kurdak","given":"S. S."},{"family":"Hogan","given":"M. C."},{"family":"Grassi","given":"B."},{"family":"Johnson","given":"E. C."},{"family":"Kendrick","given":"K. F."},{"family":"Erickson","given":"B. K."},{"family":"Wagner","given":"P. D."}],"issued":{"date-parts":[["1993",10]]}}}],"schema":"https://github.com/citation-style-language/schema/raw/master/csl-citation.json"}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szCs w:val="24"/>
        </w:rPr>
        <w:t>[52,81,92–97]</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xml:space="preserve">. These authors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{"citationID":"BedqBbsW","properties":{"formattedCitation":"[87,88]","plainCitation":"[87,88]","noteIndex":0},"citationItems":[{"id":3126,"uris":["http://zotero.org/users/5056530/items/JTV964ZV"],"itemData":{"id":3126,"type":"article-journal","abstract":"Key points Females demonstrate greater fatigue resistance than males during contractions at intensities relative to maximum force. However, previous studies have not accounted for the influence of metabolic thresholds on fatigability. This study is the first to test whether sex differences in fatigability exist when exercise intensity is normalised relative to a metabolic threshold: the critical intensity derived from assessment of the intensity–duration relationship during intermittent, isometric knee extensor contractions. We show that critical intensity in females occurred at a higher percentage of maximum force compared to males. Furthermore, females demonstrated greater fatigue resistance at exercise intensities above and below this metabolic threshold. Our data suggest that the sex difference was mediated by lesser deoxygenation of the knee extensors during exercise. These data highlight the importance of accounting for metabolic thresholds when comparing fatigability between sexes, whilst emphasising the notion that male data are not generalisable to female populations. Abstract Females are less fatigable than males during isometric exercise at intensities relative to maximal voluntary contraction (MVC); however, whether a sex difference in fatigability exists when exercise is prescribed relative to a critical intensity is unknown. This study established the intensity–duration relationship, and compared fatigability and recovery between sexes following intermittent isometric contractions normalised to critical intensity. Twenty participants (10 females) completed four intermittent isometric knee extension trials to task failure to determine critical intensity and the curvature constant (W′), followed by fatiguing tasks at +10% and −10% relative to critical intensity. Neuromuscular assessments were completed at baseline and for 45 min post-exercise. Non-invasive neurostimulation, near-infrared spectroscopy, and non-invasive haemodynamic monitoring were used to elucidate the physiological mechanisms responsible for sex differences. Females demonstrated a greater critical intensity relative to MVC than males (25 ± 3 vs. 21 ± 2% MVC, P = 0.003), with no sex difference for W′ (18,206 ± 6331 vs. 18,756 ± 5762 N s, P = 0.850). Time to task failure was greater for females (62.37 ± 17.25 vs. 30.43 ± 12.75 min, P &lt; 0.001) during the +10% trial, and contractile function recovered faster post-exercise (P = 0.034). During the −10% trial females experienced less contractile dysfunction (P = 0.011). Throughout the +10% trial, females demonstrated lesser decreases in deoxyhaemoglobin (P = 0.007) and an attenuated exercise pressor reflex. These data show that a sex difference in fatigability exists even when exercise is matched for critical intensity. We propose that greater oxygen availability during exercise permits females to sustain a higher relative intensity than males, and is an explanatory factor for the sex difference in fatigability during intermittent, isometric contractions.","container-title":"The Journal of Physiology","DOI":"10.1113/JP278699","ISSN":"1469-7793","issue":"23","language":"en","note":"_eprint: https://physoc.onlinelibrary.wiley.com/doi/pdf/10.1113/JP278699","page":"5577-5595","source":"Wiley Online Library","title":"Sex differences in fatigability and recovery relative to the intensity–duration relationship","volume":"597","author":[{"family":"Ansdell","given":"Paul"},{"family":"Brownstein","given":"Callum G."},{"family":"Škarabot","given":"Jakob"},{"family":"Hicks","given":"Kirsty M."},{"family":"Howatson","given":"Glyn"},{"family":"Thomas","given":"Kevin"},{"family":"Hunter","given":"Sandra K."},{"family":"Goodall","given":"Stuart"}],"issued":{"date-parts":[["2019"]]}}},{"id":3123,"uris":["http://zotero.org/users/5056530/items/R8CBGTYG"],"itemData":{"id":3123,"type":"article-journal","abstract":"Key points Knee-extensors demonstrate greater fatigue resistance in females compared to males during single-limb and whole-body exercise. For single-limb exercise, the intensity–duration relationship is different between sexes, with females sustaining a greater relative intensity of exercise. This study established the power–duration relationship during cycling, then assessed fatigability during critical power-matched exercise within the heavy and severe intensity domains. When critical power and the curvature constant were expressed relative to maximal ramp test power, no sex difference was observed. No sex difference in time to task failure was observed in either trial. During heavy and severe intensity cycling, females experienced lesser muscle de-oxygenation. Following both trials, females experienced lesser reductions in knee-extensor contractile function, and following heavy intensity exercise, females experienced less reduction in voluntary activation. These data demonstrate that whilst the relative power–duration relationship is not different between males and females, the mechanisms of fatigability during critical power-matched exercise are mediated by sex. Abstract Due to morphological differences, females demonstrate greater fatigue resistance of locomotor muscle during single-limb and whole-body exercise modalities. Whilst females sustain a greater relative intensity of single-limb, isometric exercise than males, limited investigation has been performed during whole-body exercise. Accordingly, this study established the power–duration relationship during cycling in 18 trained participants (eight females). Subsequently, constant-load exercise was performed at critical power (CP)-matched intensities within the heavy and severe domains, with the mechanisms of fatigability assessed via non-invasive neurostimulation, near-infrared spectroscopy and pulmonary gas exchange during and following exercise. Relative CP (72 ± 5 vs. 74 ± 2% Pmax, P = 0.210) and curvature constant (51 ± 11 vs. 52 ± 10 J Pmax−1, P = 0.733) of the power–duration relationship were similar between males and females. Subsequent heavy (P = 0.758) and severe intensity (P = 0.645) exercise time to task failures were not different between sexes. However, females experienced lesser reductions in contractile function at task failure (P ≤ 0.020), and greater vastus lateralis oxygenation (P ≤ 0.039) during both trials. Reductions in voluntary activation occurred following both trials (P &lt; 0.001), but were less in females following the heavy trial (P = 0.036). Furthermore, during the heavy intensity trial only, corticospinal excitability was reduced at the cortical (P = 0.020) and spinal (P = 0.036) levels, but these reductions were not sex-dependent. Other than a lower respiratory exchange ratio in the heavy trial for females (P = 0.039), no gas exchange variables differed between sexes (P ≥ 0.052). Collectively, these data demonstrate that whilst the relative power–duration relationship is not different between males and females, the mechanisms of fatigability during CP-matched exercise above and below CP are mediated by sex.","container-title":"The Journal of Physiology","DOI":"10.1113/JP280031","ISSN":"1469-7793","issue":"24","language":"en","note":"_eprint: https://physoc.onlinelibrary.wiley.com/doi/pdf/10.1113/JP280031","page":"5717-5737","source":"Wiley Online Library","title":"Sex differences in fatigability following exercise normalised to the power–duration relationship","volume":"598","author":[{"family":"Ansdell","given":"Paul"},{"family":"Škarabot","given":"Jakob"},{"family":"Atkinson","given":"Elliott"},{"family":"Corden","given":"Sarah"},{"family":"Tygart","given":"Amber"},{"family":"Hicks","given":"Kirsty M."},{"family":"Thomas","given":"Kevin"},{"family":"Hunter","given":"Sandra K."},{"family":"Howatson","given":"Glyn"},{"family":"Goodall","given":"Stuart"}],"issued":{"date-parts":[["2020"]]}}}],"schema":"https://github.com/citation-style-language/schema/raw/master/csl-citation.json"}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[87,88]</w:t>
      </w:r>
      <w:r w:rsidR="0019249F" w:rsidRPr="00165ED2">
        <w:rPr>
          <w:rFonts w:ascii="Times New Roman" w:eastAsiaTheme="minorEastAsia" w:hAnsi="Times New Roman" w:cs="Times New Roman"/>
          <w:sz w:val="24"/>
          <w:szCs w:val="24"/>
        </w:rPr>
        <w:fldChar w:fldCharType="end"/>
      </w:r>
      <w:r w:rsidR="0019249F" w:rsidRPr="00165ED2">
        <w:rPr>
          <w:rFonts w:ascii="Times New Roman" w:eastAsiaTheme="minorEastAsia" w:hAnsi="Times New Roman" w:cs="Times New Roman"/>
          <w:sz w:val="24"/>
          <w:szCs w:val="24"/>
        </w:rPr>
        <w:t xml:space="preserve"> </w:t>
      </w:r>
      <w:r w:rsidR="00E40706" w:rsidRPr="00165ED2">
        <w:rPr>
          <w:rFonts w:ascii="Times New Roman" w:eastAsiaTheme="minorEastAsia" w:hAnsi="Times New Roman" w:cs="Times New Roman"/>
          <w:sz w:val="24"/>
          <w:szCs w:val="24"/>
        </w:rPr>
        <w:t xml:space="preserve">consequently </w:t>
      </w:r>
      <w:r w:rsidRPr="00165ED2">
        <w:rPr>
          <w:rFonts w:ascii="Times New Roman" w:eastAsiaTheme="minorEastAsia" w:hAnsi="Times New Roman" w:cs="Times New Roman"/>
          <w:sz w:val="24"/>
          <w:szCs w:val="24"/>
        </w:rPr>
        <w:t xml:space="preserve">interpreted their findings to indicate that during single-limb exercise where </w:t>
      </w:r>
      <w:r w:rsidRPr="00165ED2">
        <w:rPr>
          <w:rFonts w:ascii="Times New Roman" w:eastAsiaTheme="minorEastAsia" w:hAnsi="Times New Roman" w:cs="Times New Roman"/>
          <w:sz w:val="24"/>
          <w:szCs w:val="24"/>
        </w:rPr>
        <w:lastRenderedPageBreak/>
        <w:t>convective factors are not li</w:t>
      </w:r>
      <w:r w:rsidR="006B43A5" w:rsidRPr="00165ED2">
        <w:rPr>
          <w:rFonts w:ascii="Times New Roman" w:eastAsiaTheme="minorEastAsia" w:hAnsi="Times New Roman" w:cs="Times New Roman"/>
          <w:sz w:val="24"/>
          <w:szCs w:val="24"/>
        </w:rPr>
        <w:t>miting, the sex difference in CF</w:t>
      </w:r>
      <w:r w:rsidRPr="00165ED2">
        <w:rPr>
          <w:rFonts w:ascii="Times New Roman" w:eastAsiaTheme="minorEastAsia" w:hAnsi="Times New Roman" w:cs="Times New Roman"/>
          <w:sz w:val="24"/>
          <w:szCs w:val="24"/>
        </w:rPr>
        <w:t xml:space="preserve"> arises due to a greater skeletal muscle diffusive capacity of females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{"citationID":"TICgp4Yg","properties":{"formattedCitation":"[87,88]","plainCitation":"[87,88]","noteIndex":0},"citationItems":[{"id":3126,"uris":["http://zotero.org/users/5056530/items/JTV964ZV"],"itemData":{"id":3126,"type":"article-journal","abstract":"Key points Females demonstrate greater fatigue resistance than males during contractions at intensities relative to maximum force. However, previous studies have not accounted for the influence of metabolic thresholds on fatigability. This study is the first to test whether sex differences in fatigability exist when exercise intensity is normalised relative to a metabolic threshold: the critical intensity derived from assessment of the intensity–duration relationship during intermittent, isometric knee extensor contractions. We show that critical intensity in females occurred at a higher percentage of maximum force compared to males. Furthermore, females demonstrated greater fatigue resistance at exercise intensities above and below this metabolic threshold. Our data suggest that the sex difference was mediated by lesser deoxygenation of the knee extensors during exercise. These data highlight the importance of accounting for metabolic thresholds when comparing fatigability between sexes, whilst emphasising the notion that male data are not generalisable to female populations. Abstract Females are less fatigable than males during isometric exercise at intensities relative to maximal voluntary contraction (MVC); however, whether a sex difference in fatigability exists when exercise is prescribed relative to a critical intensity is unknown. This study established the intensity–duration relationship, and compared fatigability and recovery between sexes following intermittent isometric contractions normalised to critical intensity. Twenty participants (10 females) completed four intermittent isometric knee extension trials to task failure to determine critical intensity and the curvature constant (W′), followed by fatiguing tasks at +10% and −10% relative to critical intensity. Neuromuscular assessments were completed at baseline and for 45 min post-exercise. Non-invasive neurostimulation, near-infrared spectroscopy, and non-invasive haemodynamic monitoring were used to elucidate the physiological mechanisms responsible for sex differences. Females demonstrated a greater critical intensity relative to MVC than males (25 ± 3 vs. 21 ± 2% MVC, P = 0.003), with no sex difference for W′ (18,206 ± 6331 vs. 18,756 ± 5762 N s, P = 0.850). Time to task failure was greater for females (62.37 ± 17.25 vs. 30.43 ± 12.75 min, P &lt; 0.001) during the +10% trial, and contractile function recovered faster post-exercise (P = 0.034). During the −10% trial females experienced less contractile dysfunction (P = 0.011). Throughout the +10% trial, females demonstrated lesser decreases in deoxyhaemoglobin (P = 0.007) and an attenuated exercise pressor reflex. These data show that a sex difference in fatigability exists even when exercise is matched for critical intensity. We propose that greater oxygen availability during exercise permits females to sustain a higher relative intensity than males, and is an explanatory factor for the sex difference in fatigability during intermittent, isometric contractions.","container-title":"The Journal of Physiology","DOI":"10.1113/JP278699","ISSN":"1469-7793","issue":"23","language":"en","note":"_eprint: https://physoc.onlinelibrary.wiley.com/doi/pdf/10.1113/JP278699","page":"5577-5595","source":"Wiley Online Library","title":"Sex differences in fatigability and recovery relative to the intensity–duration relationship","volume":"597","author":[{"family":"Ansdell","given":"Paul"},{"family":"Brownstein","given":"Callum G."},{"family":"Škarabot","given":"Jakob"},{"family":"Hicks","given":"Kirsty M."},{"family":"Howatson","given":"Glyn"},{"family":"Thomas","given":"Kevin"},{"family":"Hunter","given":"Sandra K."},{"family":"Goodall","given":"Stuart"}],"issued":{"date-parts":[["2019"]]}}},{"id":3123,"uris":["http://zotero.org/users/5056530/items/R8CBGTYG"],"itemData":{"id":3123,"type":"article-journal","abstract":"Key points Knee-extensors demonstrate greater fatigue resistance in females compared to males during single-limb and whole-body exercise. For single-limb exercise, the intensity–duration relationship is different between sexes, with females sustaining a greater relative intensity of exercise. This study established the power–duration relationship during cycling, then assessed fatigability during critical power-matched exercise within the heavy and severe intensity domains. When critical power and the curvature constant were expressed relative to maximal ramp test power, no sex difference was observed. No sex difference in time to task failure was observed in either trial. During heavy and severe intensity cycling, females experienced lesser muscle de-oxygenation. Following both trials, females experienced lesser reductions in knee-extensor contractile function, and following heavy intensity exercise, females experienced less reduction in voluntary activation. These data demonstrate that whilst the relative power–duration relationship is not different between males and females, the mechanisms of fatigability during critical power-matched exercise are mediated by sex. Abstract Due to morphological differences, females demonstrate greater fatigue resistance of locomotor muscle during single-limb and whole-body exercise modalities. Whilst females sustain a greater relative intensity of single-limb, isometric exercise than males, limited investigation has been performed during whole-body exercise. Accordingly, this study established the power–duration relationship during cycling in 18 trained participants (eight females). Subsequently, constant-load exercise was performed at critical power (CP)-matched intensities within the heavy and severe domains, with the mechanisms of fatigability assessed via non-invasive neurostimulation, near-infrared spectroscopy and pulmonary gas exchange during and following exercise. Relative CP (72 ± 5 vs. 74 ± 2% Pmax, P = 0.210) and curvature constant (51 ± 11 vs. 52 ± 10 J Pmax−1, P = 0.733) of the power–duration relationship were similar between males and females. Subsequent heavy (P = 0.758) and severe intensity (P = 0.645) exercise time to task failures were not different between sexes. However, females experienced lesser reductions in contractile function at task failure (P ≤ 0.020), and greater vastus lateralis oxygenation (P ≤ 0.039) during both trials. Reductions in voluntary activation occurred following both trials (P &lt; 0.001), but were less in females following the heavy trial (P = 0.036). Furthermore, during the heavy intensity trial only, corticospinal excitability was reduced at the cortical (P = 0.020) and spinal (P = 0.036) levels, but these reductions were not sex-dependent. Other than a lower respiratory exchange ratio in the heavy trial for females (P = 0.039), no gas exchange variables differed between sexes (P ≥ 0.052). Collectively, these data demonstrate that whilst the relative power–duration relationship is not different between males and females, the mechanisms of fatigability during CP-matched exercise above and below CP are mediated by sex.","container-title":"The Journal of Physiology","DOI":"10.1113/JP280031","ISSN":"1469-7793","issue":"24","language":"en","note":"_eprint: https://physoc.onlinelibrary.wiley.com/doi/pdf/10.1113/JP280031","page":"5717-5737","source":"Wiley Online Library","title":"Sex differences in fatigability following exercise normalised to the power–duration relationship","volume":"598","author":[{"family":"Ansdell","given":"Paul"},{"family":"Škarabot","given":"Jakob"},{"family":"Atkinson","given":"Elliott"},{"family":"Corden","given":"Sarah"},{"family":"Tygart","given":"Amber"},{"family":"Hicks","given":"Kirsty M."},{"family":"Thomas","given":"Kevin"},{"family":"Hunter","given":"Sandra K."},{"family":"Howatson","given":"Glyn"},{"family":"Goodall","given":"Stuart"}],"issued":{"date-parts":[["2020"]]}}}],"schema":"https://github.com/citation-style-language/schema/raw/master/csl-citation.json"}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[87,88]</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Conversely, during dynamic cycle exercise where muscle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delivery is constrained by the central nervous system to prevent a dangerous fall in mean arterial pressure </w:t>
      </w:r>
      <w:r w:rsidR="0019249F" w:rsidRPr="00165ED2">
        <w:rPr>
          <w:rFonts w:ascii="Times New Roman" w:eastAsiaTheme="minorEastAsia" w:hAnsi="Times New Roman" w:cs="Times New Roman"/>
          <w:sz w:val="24"/>
          <w:szCs w:val="24"/>
        </w:rPr>
        <w:fldChar w:fldCharType="begin"/>
      </w:r>
      <w:r w:rsidR="00624DC9" w:rsidRPr="00165ED2">
        <w:rPr>
          <w:rFonts w:ascii="Times New Roman" w:eastAsiaTheme="minorEastAsia" w:hAnsi="Times New Roman" w:cs="Times New Roman"/>
          <w:sz w:val="24"/>
          <w:szCs w:val="24"/>
        </w:rPr>
        <w:instrText xml:space="preserve"> ADDIN ZOTERO_ITEM CSL_CITATION {"citationID":"RrgFX2hz","properties":{"formattedCitation":"[98]","plainCitation":"[98]","noteIndex":0},"citationItems":[{"id":3139,"uris":["http://zotero.org/users/5056530/items/UN9QIYDS"],"itemData":{"id":3139,"type":"article-journal","abstract":"It has been considered whether during whole body exercise the increase in cardiac output is large enough to support skeletal muscle blood flow. This review addresses four lines of evidence for a flow limitation to skeletal muscles during whole body exercise. First, even though during exercise the blood flow achieved by the arms is lower than that achieved by the legs (</w:instrText>
      </w:r>
      <w:r w:rsidR="00624DC9" w:rsidRPr="00165ED2">
        <w:rPr>
          <w:rFonts w:ascii="Cambria Math" w:eastAsiaTheme="minorEastAsia" w:hAnsi="Cambria Math" w:cs="Cambria Math"/>
          <w:sz w:val="24"/>
          <w:szCs w:val="24"/>
        </w:rPr>
        <w:instrText>∼</w:instrText>
      </w:r>
      <w:r w:rsidR="00624DC9" w:rsidRPr="00165ED2">
        <w:rPr>
          <w:rFonts w:ascii="Times New Roman" w:eastAsiaTheme="minorEastAsia" w:hAnsi="Times New Roman" w:cs="Times New Roman"/>
          <w:sz w:val="24"/>
          <w:szCs w:val="24"/>
        </w:rPr>
        <w:instrText xml:space="preserve">160 vs. </w:instrText>
      </w:r>
      <w:r w:rsidR="00624DC9" w:rsidRPr="00165ED2">
        <w:rPr>
          <w:rFonts w:ascii="Cambria Math" w:eastAsiaTheme="minorEastAsia" w:hAnsi="Cambria Math" w:cs="Cambria Math"/>
          <w:sz w:val="24"/>
          <w:szCs w:val="24"/>
        </w:rPr>
        <w:instrText>∼</w:instrText>
      </w:r>
      <w:r w:rsidR="00624DC9" w:rsidRPr="00165ED2">
        <w:rPr>
          <w:rFonts w:ascii="Times New Roman" w:eastAsiaTheme="minorEastAsia" w:hAnsi="Times New Roman" w:cs="Times New Roman"/>
          <w:sz w:val="24"/>
          <w:szCs w:val="24"/>
        </w:rPr>
        <w:instrText xml:space="preserve">385 ml·min(-1)·100 g(-1)), the muscle mass that can be perfused with such flow is limited by the capacity to increase cardiac output (42 l/min, highest recorded value). Secondly, activation of the exercise pressor reflex during fatiguing work with one muscle group limits flow to other muscle groups. Another line of evidence comes from evaluation of regional blood flow during exercise where there is a discrepancy between flow to a muscle group when it is working exclusively and when it works together with other muscles. Finally, regulation of peripheral resistance by sympathetic vasoconstriction in active muscles by the arterial baroreflex is critical for blood pressure regulation during exercise. Together, these findings indicate that during whole body exercise muscle blood flow is subordinate to the control of blood pressure.","container-title":"Journal of Applied Physiology (Bethesda, Md.: 1985)","DOI":"10.1152/japplphysiol.00674.2015","ISSN":"1522-1601","issue":"2","journalAbbreviation":"J Appl Physiol (1985)","language":"eng","note":"PMID: 27311439\nPMCID: PMC5007320","page":"376-390","source":"PubMed","title":"Cardiovascular control during whole body exercise","volume":"121","author":[{"family":"Volianitis","given":"Stefanos"},{"family":"Secher","given":"Niels H."}],"issued":{"date-parts":[["2016",8,1]]}}}],"schema":"https://github.com/citation-style-language/schema/raw/master/csl-citation.json"}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624DC9" w:rsidRPr="00165ED2">
        <w:rPr>
          <w:rFonts w:ascii="Times New Roman" w:hAnsi="Times New Roman" w:cs="Times New Roman"/>
          <w:sz w:val="24"/>
        </w:rPr>
        <w:t>[98]</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convective O</w:t>
      </w:r>
      <w:r w:rsidRPr="00165ED2">
        <w:rPr>
          <w:rFonts w:ascii="Times New Roman" w:eastAsiaTheme="minorEastAsia" w:hAnsi="Times New Roman" w:cs="Times New Roman"/>
          <w:sz w:val="24"/>
          <w:szCs w:val="24"/>
          <w:vertAlign w:val="subscript"/>
        </w:rPr>
        <w:t xml:space="preserve">2 </w:t>
      </w:r>
      <w:r w:rsidRPr="00165ED2">
        <w:rPr>
          <w:rFonts w:ascii="Times New Roman" w:eastAsiaTheme="minorEastAsia" w:hAnsi="Times New Roman" w:cs="Times New Roman"/>
          <w:sz w:val="24"/>
          <w:szCs w:val="24"/>
        </w:rPr>
        <w:t xml:space="preserve">delivery may be relatively more important in determining CP than muscle diffusive capacity, leading to the lack of a sex difference in this mode of exercise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{"citationID":"jnJ0TcZm","properties":{"formattedCitation":"[87,88]","plainCitation":"[87,88]","noteIndex":0},"citationItems":[{"id":3126,"uris":["http://zotero.org/users/5056530/items/JTV964ZV"],"itemData":{"id":3126,"type":"article-journal","abstract":"Key points Females demonstrate greater fatigue resistance than males during contractions at intensities relative to maximum force. However, previous studies have not accounted for the influence of metabolic thresholds on fatigability. This study is the first to test whether sex differences in fatigability exist when exercise intensity is normalised relative to a metabolic threshold: the critical intensity derived from assessment of the intensity–duration relationship during intermittent, isometric knee extensor contractions. We show that critical intensity in females occurred at a higher percentage of maximum force compared to males. Furthermore, females demonstrated greater fatigue resistance at exercise intensities above and below this metabolic threshold. Our data suggest that the sex difference was mediated by lesser deoxygenation of the knee extensors during exercise. These data highlight the importance of accounting for metabolic thresholds when comparing fatigability between sexes, whilst emphasising the notion that male data are not generalisable to female populations. Abstract Females are less fatigable than males during isometric exercise at intensities relative to maximal voluntary contraction (MVC); however, whether a sex difference in fatigability exists when exercise is prescribed relative to a critical intensity is unknown. This study established the intensity–duration relationship, and compared fatigability and recovery between sexes following intermittent isometric contractions normalised to critical intensity. Twenty participants (10 females) completed four intermittent isometric knee extension trials to task failure to determine critical intensity and the curvature constant (W′), followed by fatiguing tasks at +10% and −10% relative to critical intensity. Neuromuscular assessments were completed at baseline and for 45 min post-exercise. Non-invasive neurostimulation, near-infrared spectroscopy, and non-invasive haemodynamic monitoring were used to elucidate the physiological mechanisms responsible for sex differences. Females demonstrated a greater critical intensity relative to MVC than males (25 ± 3 vs. 21 ± 2% MVC, P = 0.003), with no sex difference for W′ (18,206 ± 6331 vs. 18,756 ± 5762 N s, P = 0.850). Time to task failure was greater for females (62.37 ± 17.25 vs. 30.43 ± 12.75 min, P &lt; 0.001) during the +10% trial, and contractile function recovered faster post-exercise (P = 0.034). During the −10% trial females experienced less contractile dysfunction (P = 0.011). Throughout the +10% trial, females demonstrated lesser decreases in deoxyhaemoglobin (P = 0.007) and an attenuated exercise pressor reflex. These data show that a sex difference in fatigability exists even when exercise is matched for critical intensity. We propose that greater oxygen availability during exercise permits females to sustain a higher relative intensity than males, and is an explanatory factor for the sex difference in fatigability during intermittent, isometric contractions.","container-title":"The Journal of Physiology","DOI":"10.1113/JP278699","ISSN":"1469-7793","issue":"23","language":"en","note":"_eprint: https://physoc.onlinelibrary.wiley.com/doi/pdf/10.1113/JP278699","page":"5577-5595","source":"Wiley Online Library","title":"Sex differences in fatigability and recovery relative to the intensity–duration relationship","volume":"597","author":[{"family":"Ansdell","given":"Paul"},{"family":"Brownstein","given":"Callum G."},{"family":"Škarabot","given":"Jakob"},{"family":"Hicks","given":"Kirsty M."},{"family":"Howatson","given":"Glyn"},{"family":"Thomas","given":"Kevin"},{"family":"Hunter","given":"Sandra K."},{"family":"Goodall","given":"Stuart"}],"issued":{"date-parts":[["2019"]]}}},{"id":3123,"uris":["http://zotero.org/users/5056530/items/R8CBGTYG"],"itemData":{"id":3123,"type":"article-journal","abstract":"Key points Knee-extensors demonstrate greater fatigue resistance in females compared to males during single-limb and whole-body exercise. For single-limb exercise, the intensity–duration relationship is different between sexes, with females sustaining a greater relative intensity of exercise. This study established the power–duration relationship during cycling, then assessed fatigability during critical power-matched exercise within the heavy and severe intensity domains. When critical power and the curvature constant were expressed relative to maximal ramp test power, no sex difference was observed. No sex difference in time to task failure was observed in either trial. During heavy and severe intensity cycling, females experienced lesser muscle de-oxygenation. Following both trials, females experienced lesser reductions in knee-extensor contractile function, and following heavy intensity exercise, females experienced less reduction in voluntary activation. These data demonstrate that whilst the relative power–duration relationship is not different between males and females, the mechanisms of fatigability during critical power-matched exercise are mediated by sex. Abstract Due to morphological differences, females demonstrate greater fatigue resistance of locomotor muscle during single-limb and whole-body exercise modalities. Whilst females sustain a greater relative intensity of single-limb, isometric exercise than males, limited investigation has been performed during whole-body exercise. Accordingly, this study established the power–duration relationship during cycling in 18 trained participants (eight females). Subsequently, constant-load exercise was performed at critical power (CP)-matched intensities within the heavy and severe domains, with the mechanisms of fatigability assessed via non-invasive neurostimulation, near-infrared spectroscopy and pulmonary gas exchange during and following exercise. Relative CP (72 ± 5 vs. 74 ± 2% Pmax, P = 0.210) and curvature constant (51 ± 11 vs. 52 ± 10 J Pmax−1, P = 0.733) of the power–duration relationship were similar between males and females. Subsequent heavy (P = 0.758) and severe intensity (P = 0.645) exercise time to task failures were not different between sexes. However, females experienced lesser reductions in contractile function at task failure (P ≤ 0.020), and greater vastus lateralis oxygenation (P ≤ 0.039) during both trials. Reductions in voluntary activation occurred following both trials (P &lt; 0.001), but were less in females following the heavy trial (P = 0.036). Furthermore, during the heavy intensity trial only, corticospinal excitability was reduced at the cortical (P = 0.020) and spinal (P = 0.036) levels, but these reductions were not sex-dependent. Other than a lower respiratory exchange ratio in the heavy trial for females (P = 0.039), no gas exchange variables differed between sexes (P ≥ 0.052). Collectively, these data demonstrate that whilst the relative power–duration relationship is not different between males and females, the mechanisms of fatigability during CP-matched exercise above and below CP are mediated by sex.","container-title":"The Journal of Physiology","DOI":"10.1113/JP280031","ISSN":"1469-7793","issue":"24","language":"en","note":"_eprint: https://physoc.onlinelibrary.wiley.com/doi/pdf/10.1113/JP280031","page":"5717-5737","source":"Wiley Online Library","title":"Sex differences in fatigability following exercise normalised to the power–duration relationship","volume":"598","author":[{"family":"Ansdell","given":"Paul"},{"family":"Škarabot","given":"Jakob"},{"family":"Atkinson","given":"Elliott"},{"family":"Corden","given":"Sarah"},{"family":"Tygart","given":"Amber"},{"family":"Hicks","given":"Kirsty M."},{"family":"Thomas","given":"Kevin"},{"family":"Hunter","given":"Sandra K."},{"family":"Howatson","given":"Glyn"},{"family":"Goodall","given":"Stuart"}],"issued":{"date-parts":[["2020"]]}}}],"schema":"https://github.com/citation-style-language/schema/raw/master/csl-citation.json"}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[87,88]</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w:t>
      </w:r>
    </w:p>
    <w:p w14:paraId="04761917" w14:textId="326493E0" w:rsidR="00E613A8" w:rsidRPr="00165ED2" w:rsidRDefault="005F6FF4" w:rsidP="005F6FF4">
      <w:pPr>
        <w:spacing w:line="480" w:lineRule="auto"/>
        <w:ind w:firstLine="720"/>
        <w:jc w:val="both"/>
        <w:rPr>
          <w:rFonts w:ascii="Times New Roman" w:eastAsiaTheme="minorEastAsia" w:hAnsi="Times New Roman" w:cs="Times New Roman"/>
          <w:sz w:val="24"/>
          <w:szCs w:val="24"/>
        </w:rPr>
      </w:pPr>
      <w:r w:rsidRPr="00165ED2">
        <w:rPr>
          <w:rFonts w:ascii="Times New Roman" w:eastAsiaTheme="minorEastAsia" w:hAnsi="Times New Roman" w:cs="Times New Roman"/>
          <w:sz w:val="24"/>
          <w:szCs w:val="24"/>
        </w:rPr>
        <w:t>Utilizing measurements of brachial artery blood flow via Doppler ultrasound and NIRS to determine muscle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extraction, </w:t>
      </w:r>
      <w:proofErr w:type="spellStart"/>
      <w:r w:rsidRPr="00165ED2">
        <w:rPr>
          <w:rFonts w:ascii="Times New Roman" w:eastAsiaTheme="minorEastAsia" w:hAnsi="Times New Roman" w:cs="Times New Roman"/>
          <w:sz w:val="24"/>
          <w:szCs w:val="24"/>
        </w:rPr>
        <w:t>Broxterman</w:t>
      </w:r>
      <w:proofErr w:type="spellEnd"/>
      <w:r w:rsidRPr="00165ED2">
        <w:rPr>
          <w:rFonts w:ascii="Times New Roman" w:eastAsiaTheme="minorEastAsia" w:hAnsi="Times New Roman" w:cs="Times New Roman"/>
          <w:sz w:val="24"/>
          <w:szCs w:val="24"/>
        </w:rPr>
        <w:t xml:space="preserve"> et al.</w:t>
      </w:r>
      <w:r w:rsidR="0019249F" w:rsidRPr="00165ED2">
        <w:rPr>
          <w:rFonts w:ascii="Times New Roman" w:eastAsiaTheme="minorEastAsia" w:hAnsi="Times New Roman" w:cs="Times New Roman"/>
          <w:sz w:val="24"/>
          <w:szCs w:val="24"/>
        </w:rPr>
        <w:t xml:space="preserve"> </w:t>
      </w:r>
      <w:r w:rsidR="0019249F" w:rsidRPr="00165ED2">
        <w:rPr>
          <w:rFonts w:ascii="Times New Roman" w:eastAsiaTheme="minorEastAsia" w:hAnsi="Times New Roman" w:cs="Times New Roman"/>
          <w:sz w:val="24"/>
          <w:szCs w:val="24"/>
        </w:rPr>
        <w:fldChar w:fldCharType="begin"/>
      </w:r>
      <w:r w:rsidR="00624DC9" w:rsidRPr="00165ED2">
        <w:rPr>
          <w:rFonts w:ascii="Times New Roman" w:eastAsiaTheme="minorEastAsia" w:hAnsi="Times New Roman" w:cs="Times New Roman"/>
          <w:sz w:val="24"/>
          <w:szCs w:val="24"/>
        </w:rPr>
        <w:instrText xml:space="preserve"> ADDIN ZOTERO_ITEM CSL_CITATION {"citationID":"ie0VzxRC","properties":{"formattedCitation":"[73]","plainCitation":"[73]","noteIndex":0},"citationItems":[{"id":855,"uris":["http://zotero.org/users/5056530/items/WFIBGSJR"],"itemData":{"id":855,"type":"article-journal","abstract":"The highest sustainable rate of aerobic metabolism [critical power (CP)] and the finite amount of work that can be performed above CP (W’ [curvature constant]) were determined under two muscle contraction duty cycles. Eight men completed at least three constant-power handgrip tests to exhaustion to determine CP and W’ for 50% and 20% duty cycles, while brachial artery blood flow (Q̇BA) and deoxygenated-[hemoglobin + myoglobin] (deoxy-[Hb+Mb]) were measured. CP was lower for the 50% duty cycle (3.9 ± 0.9 W) than the 20% duty cycle (5.1 ± 0.8 W; p &lt; 0.001), while W’ was not significantly different (50% duty cycle: 452 ± 141 J vs. 20% duty cycle: 432 ± 130 J; p &gt; 0.05). At the same power output, Q̇BA and deoxy-[Hb + Mb] achieved higher end-exercise values for the 20% duty cycle (9.87 ± 1.73 ml·s−1; 51.7 ± 4.7 μM) than the 50% duty cycle (7.37 ± 1.76 ml·s−1, p &lt; 0.001; 44.3 ± 2.4 μM, p &lt; 0.03). These findings indicate that blood flow influences CP, but not W’.","container-title":"Respiratory Physiology &amp; Neurobiology","DOI":"10.1016/j.resp.2013.11.010","ISSN":"1569-9048","journalAbbreviation":"Respiratory Physiology &amp; Neurobiology","page":"102-111","source":"ScienceDirect","title":"Influence of duty cycle on the power-duration relationship: Observations and potential mechanisms","title-short":"Influence of duty cycle on the power-duration relationship","volume":"192","author":[{"literal":"Broxterman"},{"family":"Ade","given":"C. J."},{"family":"Wilcox","given":"S. L."},{"family":"Schlup","given":"S. J."},{"family":"Craig","given":"J. C."},{"family":"Barstow","given":"T. J."}],"issued":{"date-parts":[["2014",2,1]]}}}],"schema":"https://github.com/citation-style-language/schema/raw/master/csl-citation.json"}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624DC9" w:rsidRPr="00165ED2">
        <w:rPr>
          <w:rFonts w:ascii="Times New Roman" w:hAnsi="Times New Roman" w:cs="Times New Roman"/>
          <w:sz w:val="24"/>
        </w:rPr>
        <w:t>[73]</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xml:space="preserve"> were able to estimate muscle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Pr="00165ED2">
        <w:rPr>
          <w:rFonts w:ascii="Times New Roman" w:eastAsiaTheme="minorEastAsia" w:hAnsi="Times New Roman" w:cs="Times New Roman"/>
          <w:bCs/>
          <w:sz w:val="24"/>
          <w:szCs w:val="24"/>
        </w:rPr>
        <w:t>O</w:t>
      </w:r>
      <w:r w:rsidRPr="00165ED2">
        <w:rPr>
          <w:rFonts w:ascii="Times New Roman" w:eastAsiaTheme="minorEastAsia" w:hAnsi="Times New Roman" w:cs="Times New Roman"/>
          <w:bCs/>
          <w:sz w:val="24"/>
          <w:szCs w:val="24"/>
          <w:vertAlign w:val="subscript"/>
        </w:rPr>
        <w:t>2</w:t>
      </w:r>
      <w:r w:rsidRPr="00165ED2">
        <w:rPr>
          <w:rFonts w:ascii="Times New Roman" w:eastAsiaTheme="minorEastAsia" w:hAnsi="Times New Roman" w:cs="Times New Roman"/>
          <w:bCs/>
          <w:sz w:val="24"/>
          <w:szCs w:val="24"/>
        </w:rPr>
        <w:t xml:space="preserve"> and thereby estimate the contributions of enhanced convective and diffusive O</w:t>
      </w:r>
      <w:r w:rsidRPr="00165ED2">
        <w:rPr>
          <w:rFonts w:ascii="Times New Roman" w:eastAsiaTheme="minorEastAsia" w:hAnsi="Times New Roman" w:cs="Times New Roman"/>
          <w:bCs/>
          <w:sz w:val="24"/>
          <w:szCs w:val="24"/>
          <w:vertAlign w:val="subscript"/>
        </w:rPr>
        <w:t xml:space="preserve">2 </w:t>
      </w:r>
      <w:r w:rsidRPr="00165ED2">
        <w:rPr>
          <w:rFonts w:ascii="Times New Roman" w:eastAsiaTheme="minorEastAsia" w:hAnsi="Times New Roman" w:cs="Times New Roman"/>
          <w:bCs/>
          <w:sz w:val="24"/>
          <w:szCs w:val="24"/>
        </w:rPr>
        <w:t xml:space="preserve">delivery to the changes in CP they observed between 20% and 50% duty cycles (discussed in </w:t>
      </w:r>
      <w:r w:rsidRPr="00165ED2">
        <w:rPr>
          <w:rFonts w:ascii="Times New Roman" w:eastAsiaTheme="minorEastAsia" w:hAnsi="Times New Roman" w:cs="Times New Roman"/>
          <w:i/>
          <w:sz w:val="24"/>
          <w:szCs w:val="24"/>
        </w:rPr>
        <w:t>Convective Oxygen Delivery</w:t>
      </w:r>
      <w:r w:rsidRPr="00165ED2">
        <w:rPr>
          <w:rFonts w:ascii="Times New Roman" w:eastAsiaTheme="minorEastAsia" w:hAnsi="Times New Roman" w:cs="Times New Roman"/>
          <w:sz w:val="24"/>
          <w:szCs w:val="24"/>
        </w:rPr>
        <w:t xml:space="preserve">). These authors demonstrated that the increase in </w:t>
      </w:r>
      <w:r w:rsidRPr="00165ED2">
        <w:rPr>
          <w:rFonts w:ascii="Times New Roman" w:eastAsiaTheme="minorEastAsia" w:hAnsi="Times New Roman" w:cs="Times New Roman"/>
          <w:i/>
          <w:sz w:val="24"/>
          <w:szCs w:val="24"/>
        </w:rPr>
        <w:t>D</w:t>
      </w:r>
      <w:r w:rsidRPr="00165ED2">
        <w:rPr>
          <w:rFonts w:ascii="Times New Roman" w:eastAsiaTheme="minorEastAsia" w:hAnsi="Times New Roman" w:cs="Times New Roman"/>
          <w:sz w:val="24"/>
          <w:szCs w:val="24"/>
        </w:rPr>
        <w:t>O</w:t>
      </w:r>
      <w:r w:rsidRPr="00165ED2">
        <w:rPr>
          <w:rFonts w:ascii="Times New Roman" w:eastAsiaTheme="minorEastAsia" w:hAnsi="Times New Roman" w:cs="Times New Roman"/>
          <w:sz w:val="24"/>
          <w:szCs w:val="24"/>
          <w:vertAlign w:val="subscript"/>
        </w:rPr>
        <w:t xml:space="preserve">2 </w:t>
      </w:r>
      <w:r w:rsidRPr="00165ED2">
        <w:rPr>
          <w:rFonts w:ascii="Times New Roman" w:eastAsiaTheme="minorEastAsia" w:hAnsi="Times New Roman" w:cs="Times New Roman"/>
          <w:sz w:val="24"/>
          <w:szCs w:val="24"/>
        </w:rPr>
        <w:t>in the 20% versus the 50% duty cycle was approximately double the increase in convective O</w:t>
      </w:r>
      <w:r w:rsidRPr="00165ED2">
        <w:rPr>
          <w:rFonts w:ascii="Times New Roman" w:eastAsiaTheme="minorEastAsia" w:hAnsi="Times New Roman" w:cs="Times New Roman"/>
          <w:sz w:val="24"/>
          <w:szCs w:val="24"/>
          <w:vertAlign w:val="subscript"/>
        </w:rPr>
        <w:t>2</w:t>
      </w:r>
      <w:r w:rsidRPr="00165ED2">
        <w:rPr>
          <w:rFonts w:ascii="Times New Roman" w:eastAsiaTheme="minorEastAsia" w:hAnsi="Times New Roman" w:cs="Times New Roman"/>
          <w:sz w:val="24"/>
          <w:szCs w:val="24"/>
        </w:rPr>
        <w:t xml:space="preserve"> delivery that occurred between the same trials (i.e., +69% versus +34%, respectively)</w:t>
      </w:r>
      <w:r w:rsidR="00E40706" w:rsidRPr="00165ED2">
        <w:rPr>
          <w:rFonts w:ascii="Times New Roman" w:eastAsiaTheme="minorEastAsia" w:hAnsi="Times New Roman" w:cs="Times New Roman"/>
          <w:sz w:val="24"/>
          <w:szCs w:val="24"/>
        </w:rPr>
        <w:t>, implicating changes in diffusive, rather than convective, O</w:t>
      </w:r>
      <w:r w:rsidR="00E40706" w:rsidRPr="00165ED2">
        <w:rPr>
          <w:rFonts w:ascii="Times New Roman" w:eastAsiaTheme="minorEastAsia" w:hAnsi="Times New Roman" w:cs="Times New Roman"/>
          <w:sz w:val="24"/>
          <w:szCs w:val="24"/>
          <w:vertAlign w:val="subscript"/>
        </w:rPr>
        <w:t>2</w:t>
      </w:r>
      <w:r w:rsidR="00E40706" w:rsidRPr="00165ED2">
        <w:rPr>
          <w:rFonts w:ascii="Times New Roman" w:eastAsiaTheme="minorEastAsia" w:hAnsi="Times New Roman" w:cs="Times New Roman"/>
          <w:sz w:val="24"/>
          <w:szCs w:val="24"/>
        </w:rPr>
        <w:t xml:space="preserve"> delivery as being a more important determinant of CP</w:t>
      </w:r>
      <w:r w:rsidR="00B32430" w:rsidRPr="00165ED2">
        <w:rPr>
          <w:rFonts w:ascii="Times New Roman" w:eastAsiaTheme="minorEastAsia" w:hAnsi="Times New Roman" w:cs="Times New Roman"/>
          <w:sz w:val="24"/>
          <w:szCs w:val="24"/>
        </w:rPr>
        <w:t xml:space="preserve"> in this situation</w:t>
      </w:r>
      <w:r w:rsidR="00E40706" w:rsidRPr="00165ED2">
        <w:rPr>
          <w:rFonts w:ascii="Times New Roman" w:eastAsiaTheme="minorEastAsia" w:hAnsi="Times New Roman" w:cs="Times New Roman"/>
          <w:sz w:val="24"/>
          <w:szCs w:val="24"/>
        </w:rPr>
        <w:t>.</w:t>
      </w:r>
      <w:r w:rsidRPr="00165ED2">
        <w:rPr>
          <w:rFonts w:ascii="Times New Roman" w:eastAsiaTheme="minorEastAsia" w:hAnsi="Times New Roman" w:cs="Times New Roman"/>
          <w:sz w:val="24"/>
          <w:szCs w:val="24"/>
        </w:rPr>
        <w:t xml:space="preserve"> These authors suggested that the shorter duty cycle would have facilitated higher red blood cell velocity </w:t>
      </w:r>
      <w:r w:rsidR="0019249F" w:rsidRPr="00165ED2">
        <w:rPr>
          <w:rFonts w:ascii="Times New Roman" w:eastAsiaTheme="minorEastAsia" w:hAnsi="Times New Roman" w:cs="Times New Roman"/>
          <w:sz w:val="24"/>
          <w:szCs w:val="24"/>
        </w:rPr>
        <w:t>and</w:t>
      </w:r>
      <w:r w:rsidRPr="00165ED2">
        <w:rPr>
          <w:rFonts w:ascii="Times New Roman" w:eastAsiaTheme="minorEastAsia" w:hAnsi="Times New Roman" w:cs="Times New Roman"/>
          <w:sz w:val="24"/>
          <w:szCs w:val="24"/>
        </w:rPr>
        <w:t xml:space="preserve"> </w:t>
      </w:r>
      <w:r w:rsidR="008C42CB" w:rsidRPr="00165ED2">
        <w:rPr>
          <w:rFonts w:ascii="Times New Roman" w:eastAsiaTheme="minorEastAsia" w:hAnsi="Times New Roman" w:cs="Times New Roman"/>
          <w:sz w:val="24"/>
          <w:szCs w:val="24"/>
        </w:rPr>
        <w:t xml:space="preserve">therefore </w:t>
      </w:r>
      <w:r w:rsidRPr="00165ED2">
        <w:rPr>
          <w:rFonts w:ascii="Times New Roman" w:eastAsiaTheme="minorEastAsia" w:hAnsi="Times New Roman" w:cs="Times New Roman"/>
          <w:sz w:val="24"/>
          <w:szCs w:val="24"/>
        </w:rPr>
        <w:t>increased the surface area of the capillary involved in gas exchange (i.e. longitudinal capillary recruitment,</w:t>
      </w:r>
      <w:r w:rsidR="005B1C20" w:rsidRPr="00165ED2">
        <w:rPr>
          <w:rFonts w:ascii="Times New Roman" w:eastAsiaTheme="minorEastAsia" w:hAnsi="Times New Roman" w:cs="Times New Roman"/>
          <w:sz w:val="24"/>
          <w:szCs w:val="24"/>
        </w:rPr>
        <w:t xml:space="preserve"> </w:t>
      </w:r>
      <w:r w:rsidR="0019249F" w:rsidRPr="00165ED2">
        <w:rPr>
          <w:rFonts w:ascii="Times New Roman" w:eastAsiaTheme="minorEastAsia" w:hAnsi="Times New Roman" w:cs="Times New Roman"/>
          <w:sz w:val="24"/>
          <w:szCs w:val="24"/>
        </w:rPr>
        <w:fldChar w:fldCharType="begin"/>
      </w:r>
      <w:r w:rsidR="00624DC9" w:rsidRPr="00165ED2">
        <w:rPr>
          <w:rFonts w:ascii="Times New Roman" w:eastAsiaTheme="minorEastAsia" w:hAnsi="Times New Roman" w:cs="Times New Roman"/>
          <w:sz w:val="24"/>
          <w:szCs w:val="24"/>
        </w:rPr>
        <w:instrText xml:space="preserve"> ADDIN ZOTERO_ITEM CSL_CITATION {"citationID":"E0It4cv9","properties":{"formattedCitation":"[99]","plainCitation":"[99]","noteIndex":0},"citationItems":[{"id":1033,"uris":["http://zotero.org/users/5056530/items/5YNWUIQK"],"itemData":{"id":1033,"type":"article-journal","abstract":"The O(2) requirements of contracting skeletal muscle may increase 100-fold above rest. In 1919, August Krogh's brilliant insights recognized the capillary as the principal site for this increased blood-myocyte O(2) flux. Based on the premise that most capillaries did not sustain RBC flux at rest, Krogh proposed that capillary recruitment [i.e. initiation of red blood cell (RBC) flux in previously non-flowing capillaries] increased the capillary surface area available for O(2) flux and reduced mean capillary-to-mitochondrial diffusion distances. More modern experimental approaches reveal that most muscle capillaries may support RBC flux at rest. Thus, rather than contraction-induced capillary recruitment per se, increased RBC flux and haematocrit within already-flowing capillaries probably elevate perfusive and diffusive O(2) conductances and hence blood-myocyte O(2) flux. Additional surface area for O(2) exchange is recruited but, crucially, this may occur along the length of already-flowing capillaries (i.e. longitudinal recruitment). Today, the capillary is still considered the principal site for O(2) and substrate delivery to contracting skeletal muscle. Indeed, the presence of very low intramyocyte O(2) partial pressures (PO(2)s) and the absence of intramyocyte PO(2) gradients, whilst refuting the relevance of diffusion distances, place an even greater importance on capillary hemodynamics. This emergent picture calls for a paradigm-shift in our understanding of the function of capillaries by de-emphasizing de novo'capillary recruitment'. Diseases such as heart failure impair blood-myocyte O(2) flux, in part, by decreasing the proportion of RBC-flowing capillaries. Knowledge of capillary function in healthy muscle is requisite for identification of pathology and efficient design of therapeutic treatments.","container-title":"Acta Physiologica (Oxford, England)","DOI":"10.1111/j.1748-1716.2010.02246.x","ISSN":"1748-1716","issue":"3","journalAbbreviation":"Acta Physiol (Oxf)","language":"eng","note":"PMID: 21199399\nPMCID: PMC3115447","page":"293-310","source":"PubMed","title":"Dynamics of muscle microcirculatory and blood-myocyte O(2) flux during contractions","volume":"202","author":[{"family":"Poole","given":"D. C."},{"family":"Copp","given":"S. W."},{"family":"Hirai","given":"D. M."},{"family":"Musch","given":"T. I."}],"issued":{"date-parts":[["2011",7]]}}}],"schema":"https://github.com/citation-style-language/schema/raw/master/csl-citation.json"}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624DC9" w:rsidRPr="00165ED2">
        <w:rPr>
          <w:rFonts w:ascii="Times New Roman" w:hAnsi="Times New Roman" w:cs="Times New Roman"/>
          <w:sz w:val="24"/>
        </w:rPr>
        <w:t>[99]</w:t>
      </w:r>
      <w:r w:rsidR="0019249F" w:rsidRPr="00165ED2">
        <w:rPr>
          <w:rFonts w:ascii="Times New Roman" w:eastAsiaTheme="minorEastAsia" w:hAnsi="Times New Roman" w:cs="Times New Roman"/>
          <w:sz w:val="24"/>
          <w:szCs w:val="24"/>
        </w:rPr>
        <w:fldChar w:fldCharType="end"/>
      </w:r>
      <w:r w:rsidRPr="00165ED2">
        <w:rPr>
          <w:rFonts w:ascii="Times New Roman" w:eastAsiaTheme="minorEastAsia" w:hAnsi="Times New Roman" w:cs="Times New Roman"/>
          <w:sz w:val="24"/>
          <w:szCs w:val="24"/>
        </w:rPr>
        <w:t xml:space="preserve">), thereby enhancing </w:t>
      </w:r>
      <w:r w:rsidRPr="00165ED2">
        <w:rPr>
          <w:rFonts w:ascii="Times New Roman" w:eastAsiaTheme="minorEastAsia" w:hAnsi="Times New Roman" w:cs="Times New Roman"/>
          <w:i/>
          <w:sz w:val="24"/>
          <w:szCs w:val="24"/>
        </w:rPr>
        <w:t>D</w:t>
      </w:r>
      <w:r w:rsidRPr="00165ED2">
        <w:rPr>
          <w:rFonts w:ascii="Times New Roman" w:eastAsiaTheme="minorEastAsia" w:hAnsi="Times New Roman" w:cs="Times New Roman"/>
          <w:sz w:val="24"/>
          <w:szCs w:val="24"/>
        </w:rPr>
        <w:t>O</w:t>
      </w:r>
      <w:r w:rsidRPr="00165ED2">
        <w:rPr>
          <w:rFonts w:ascii="Times New Roman" w:eastAsiaTheme="minorEastAsia" w:hAnsi="Times New Roman" w:cs="Times New Roman"/>
          <w:sz w:val="24"/>
          <w:szCs w:val="24"/>
          <w:vertAlign w:val="subscript"/>
        </w:rPr>
        <w:t xml:space="preserve">2 </w:t>
      </w:r>
      <w:r w:rsidRPr="00165ED2">
        <w:rPr>
          <w:rFonts w:ascii="Times New Roman" w:eastAsiaTheme="minorEastAsia" w:hAnsi="Times New Roman" w:cs="Times New Roman"/>
          <w:sz w:val="24"/>
          <w:szCs w:val="24"/>
        </w:rPr>
        <w:t xml:space="preserve">and contributing to the increased CP. Interestingly, this observation is also consistent with the suppositions of </w:t>
      </w:r>
      <w:proofErr w:type="spellStart"/>
      <w:r w:rsidRPr="00165ED2">
        <w:rPr>
          <w:rFonts w:ascii="Times New Roman" w:eastAsiaTheme="minorEastAsia" w:hAnsi="Times New Roman" w:cs="Times New Roman"/>
          <w:sz w:val="24"/>
          <w:szCs w:val="24"/>
        </w:rPr>
        <w:t>Ansdell</w:t>
      </w:r>
      <w:proofErr w:type="spellEnd"/>
      <w:r w:rsidRPr="00165ED2">
        <w:rPr>
          <w:rFonts w:ascii="Times New Roman" w:eastAsiaTheme="minorEastAsia" w:hAnsi="Times New Roman" w:cs="Times New Roman"/>
          <w:sz w:val="24"/>
          <w:szCs w:val="24"/>
        </w:rPr>
        <w:t xml:space="preserve"> et al. </w:t>
      </w:r>
      <w:r w:rsidR="0019249F" w:rsidRPr="00165ED2">
        <w:rPr>
          <w:rFonts w:ascii="Times New Roman" w:eastAsiaTheme="minorEastAsia" w:hAnsi="Times New Roman" w:cs="Times New Roman"/>
          <w:sz w:val="24"/>
          <w:szCs w:val="24"/>
        </w:rPr>
        <w:fldChar w:fldCharType="begin"/>
      </w:r>
      <w:r w:rsidR="005174B6" w:rsidRPr="00165ED2">
        <w:rPr>
          <w:rFonts w:ascii="Times New Roman" w:eastAsiaTheme="minorEastAsia" w:hAnsi="Times New Roman" w:cs="Times New Roman"/>
          <w:sz w:val="24"/>
          <w:szCs w:val="24"/>
        </w:rPr>
        <w:instrText xml:space="preserve"> ADDIN ZOTERO_ITEM CSL_CITATION {"citationID":"utxdV8vd","properties":{"formattedCitation":"[87,88]","plainCitation":"[87,88]","noteIndex":0},"citationItems":[{"id":3126,"uris":["http://zotero.org/users/5056530/items/JTV964ZV"],"itemData":{"id":3126,"type":"article-journal","abstract":"Key points Females demonstrate greater fatigue resistance than males during contractions at intensities relative to maximum force. However, previous studies have not accounted for the influence of metabolic thresholds on fatigability. This study is the first to test whether sex differences in fatigability exist when exercise intensity is normalised relative to a metabolic threshold: the critical intensity derived from assessment of the intensity–duration relationship during intermittent, isometric knee extensor contractions. We show that critical intensity in females occurred at a higher percentage of maximum force compared to males. Furthermore, females demonstrated greater fatigue resistance at exercise intensities above and below this metabolic threshold. Our data suggest that the sex difference was mediated by lesser deoxygenation of the knee extensors during exercise. These data highlight the importance of accounting for metabolic thresholds when comparing fatigability between sexes, whilst emphasising the notion that male data are not generalisable to female populations. Abstract Females are less fatigable than males during isometric exercise at intensities relative to maximal voluntary contraction (MVC); however, whether a sex difference in fatigability exists when exercise is prescribed relative to a critical intensity is unknown. This study established the intensity–duration relationship, and compared fatigability and recovery between sexes following intermittent isometric contractions normalised to critical intensity. Twenty participants (10 females) completed four intermittent isometric knee extension trials to task failure to determine critical intensity and the curvature constant (W′), followed by fatiguing tasks at +10% and −10% relative to critical intensity. Neuromuscular assessments were completed at baseline and for 45 min post-exercise. Non-invasive neurostimulation, near-infrared spectroscopy, and non-invasive haemodynamic monitoring were used to elucidate the physiological mechanisms responsible for sex differences. Females demonstrated a greater critical intensity relative to MVC than males (25 ± 3 vs. 21 ± 2% MVC, P = 0.003), with no sex difference for W′ (18,206 ± 6331 vs. 18,756 ± 5762 N s, P = 0.850). Time to task failure was greater for females (62.37 ± 17.25 vs. 30.43 ± 12.75 min, P &lt; 0.001) during the +10% trial, and contractile function recovered faster post-exercise (P = 0.034). During the −10% trial females experienced less contractile dysfunction (P = 0.011). Throughout the +10% trial, females demonstrated lesser decreases in deoxyhaemoglobin (P = 0.007) and an attenuated exercise pressor reflex. These data show that a sex difference in fatigability exists even when exercise is matched for critical intensity. We propose that greater oxygen availability during exercise permits females to sustain a higher relative intensity than males, and is an explanatory factor for the sex difference in fatigability during intermittent, isometric contractions.","container-title":"The Journal of Physiology","DOI":"10.1113/JP278699","ISSN":"1469-7793","issue":"23","language":"en","note":"_eprint: https://physoc.onlinelibrary.wiley.com/doi/pdf/10.1113/JP278699","page":"5577-5595","source":"Wiley Online Library","title":"Sex differences in fatigability and recovery relative to the intensity–duration relationship","volume":"597","author":[{"family":"Ansdell","given":"Paul"},{"family":"Brownstein","given":"Callum G."},{"family":"Škarabot","given":"Jakob"},{"family":"Hicks","given":"Kirsty M."},{"family":"Howatson","given":"Glyn"},{"family":"Thomas","given":"Kevin"},{"family":"Hunter","given":"Sandra K."},{"family":"Goodall","given":"Stuart"}],"issued":{"date-parts":[["2019"]]}}},{"id":3123,"uris":["http://zotero.org/users/5056530/items/R8CBGTYG"],"itemData":{"id":3123,"type":"article-journal","abstract":"Key points Knee-extensors demonstrate greater fatigue resistance in females compared to males during single-limb and whole-body exercise. For single-limb exercise, the intensity–duration relationship is different between sexes, with females sustaining a greater relative intensity of exercise. This study established the power–duration relationship during cycling, then assessed fatigability during critical power-matched exercise within the heavy and severe intensity domains. When critical power and the curvature constant were expressed relative to maximal ramp test power, no sex difference was observed. No sex difference in time to task failure was observed in either trial. During heavy and severe intensity cycling, females experienced lesser muscle de-oxygenation. Following both trials, females experienced lesser reductions in knee-extensor contractile function, and following heavy intensity exercise, females experienced less reduction in voluntary activation. These data demonstrate that whilst the relative power–duration relationship is not different between males and females, the mechanisms of fatigability during critical power-matched exercise are mediated by sex. Abstract Due to morphological differences, females demonstrate greater fatigue resistance of locomotor muscle during single-limb and whole-body exercise modalities. Whilst females sustain a greater relative intensity of single-limb, isometric exercise than males, limited investigation has been performed during whole-body exercise. Accordingly, this study established the power–duration relationship during cycling in 18 trained participants (eight females). Subsequently, constant-load exercise was performed at critical power (CP)-matched intensities within the heavy and severe domains, with the mechanisms of fatigability assessed via non-invasive neurostimulation, near-infrared spectroscopy and pulmonary gas exchange during and following exercise. Relative CP (72 ± 5 vs. 74 ± 2% Pmax, P = 0.210) and curvature constant (51 ± 11 vs. 52 ± 10 J Pmax−1, P = 0.733) of the power–duration relationship were similar between males and females. Subsequent heavy (P = 0.758) and severe intensity (P = 0.645) exercise time to task failures were not different between sexes. However, females experienced lesser reductions in contractile function at task failure (P ≤ 0.020), and greater vastus lateralis oxygenation (P ≤ 0.039) during both trials. Reductions in voluntary activation occurred following both trials (P &lt; 0.001), but were less in females following the heavy trial (P = 0.036). Furthermore, during the heavy intensity trial only, corticospinal excitability was reduced at the cortical (P = 0.020) and spinal (P = 0.036) levels, but these reductions were not sex-dependent. Other than a lower respiratory exchange ratio in the heavy trial for females (P = 0.039), no gas exchange variables differed between sexes (P ≥ 0.052). Collectively, these data demonstrate that whilst the relative power–duration relationship is not different between males and females, the mechanisms of fatigability during CP-matched exercise above and below CP are mediated by sex.","container-title":"The Journal of Physiology","DOI":"10.1113/JP280031","ISSN":"1469-7793","issue":"24","language":"en","note":"_eprint: https://physoc.onlinelibrary.wiley.com/doi/pdf/10.1113/JP280031","page":"5717-5737","source":"Wiley Online Library","title":"Sex differences in fatigability following exercise normalised to the power–duration relationship","volume":"598","author":[{"family":"Ansdell","given":"Paul"},{"family":"Škarabot","given":"Jakob"},{"family":"Atkinson","given":"Elliott"},{"family":"Corden","given":"Sarah"},{"family":"Tygart","given":"Amber"},{"family":"Hicks","given":"Kirsty M."},{"family":"Thomas","given":"Kevin"},{"family":"Hunter","given":"Sandra K."},{"family":"Howatson","given":"Glyn"},{"family":"Goodall","given":"Stuart"}],"issued":{"date-parts":[["2020"]]}}}],"schema":"https://github.com/citation-style-language/schema/raw/master/csl-citation.json"}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5174B6" w:rsidRPr="00165ED2">
        <w:rPr>
          <w:rFonts w:ascii="Times New Roman" w:hAnsi="Times New Roman" w:cs="Times New Roman"/>
          <w:sz w:val="24"/>
        </w:rPr>
        <w:t>[87,88]</w:t>
      </w:r>
      <w:r w:rsidR="0019249F" w:rsidRPr="00165ED2">
        <w:rPr>
          <w:rFonts w:ascii="Times New Roman" w:eastAsiaTheme="minorEastAsia" w:hAnsi="Times New Roman" w:cs="Times New Roman"/>
          <w:sz w:val="24"/>
          <w:szCs w:val="24"/>
        </w:rPr>
        <w:fldChar w:fldCharType="end"/>
      </w:r>
      <w:r w:rsidR="0019249F" w:rsidRPr="00165ED2">
        <w:rPr>
          <w:rFonts w:ascii="Times New Roman" w:eastAsiaTheme="minorEastAsia" w:hAnsi="Times New Roman" w:cs="Times New Roman"/>
          <w:sz w:val="24"/>
          <w:szCs w:val="24"/>
        </w:rPr>
        <w:t xml:space="preserve"> </w:t>
      </w:r>
      <w:r w:rsidRPr="00165ED2">
        <w:rPr>
          <w:rFonts w:ascii="Times New Roman" w:eastAsiaTheme="minorEastAsia" w:hAnsi="Times New Roman" w:cs="Times New Roman"/>
          <w:sz w:val="24"/>
          <w:szCs w:val="24"/>
        </w:rPr>
        <w:t xml:space="preserve">noted above, </w:t>
      </w:r>
      <w:r w:rsidR="0019249F" w:rsidRPr="00165ED2">
        <w:rPr>
          <w:rFonts w:ascii="Times New Roman" w:eastAsiaTheme="minorEastAsia" w:hAnsi="Times New Roman" w:cs="Times New Roman"/>
          <w:sz w:val="24"/>
          <w:szCs w:val="24"/>
        </w:rPr>
        <w:t xml:space="preserve">namely </w:t>
      </w:r>
      <w:r w:rsidRPr="00165ED2">
        <w:rPr>
          <w:rFonts w:ascii="Times New Roman" w:eastAsiaTheme="minorEastAsia" w:hAnsi="Times New Roman" w:cs="Times New Roman"/>
          <w:sz w:val="24"/>
          <w:szCs w:val="24"/>
        </w:rPr>
        <w:t xml:space="preserve">that diffusive factors may be more important for constraining CP during small versus large-muscle mass exercise. </w:t>
      </w:r>
      <w:r w:rsidR="00E40706" w:rsidRPr="00165ED2">
        <w:rPr>
          <w:rFonts w:ascii="Times New Roman" w:eastAsiaTheme="minorEastAsia" w:hAnsi="Times New Roman" w:cs="Times New Roman"/>
          <w:sz w:val="24"/>
          <w:szCs w:val="24"/>
        </w:rPr>
        <w:t xml:space="preserve">That </w:t>
      </w:r>
      <w:r w:rsidR="00C56BA7" w:rsidRPr="00165ED2">
        <w:rPr>
          <w:rFonts w:ascii="Times New Roman" w:eastAsiaTheme="minorEastAsia" w:hAnsi="Times New Roman" w:cs="Times New Roman"/>
          <w:i/>
          <w:sz w:val="24"/>
          <w:szCs w:val="24"/>
        </w:rPr>
        <w:t>D</w:t>
      </w:r>
      <w:r w:rsidR="00C56BA7" w:rsidRPr="00165ED2">
        <w:rPr>
          <w:rFonts w:ascii="Times New Roman" w:eastAsiaTheme="minorEastAsia" w:hAnsi="Times New Roman" w:cs="Times New Roman"/>
          <w:sz w:val="24"/>
          <w:szCs w:val="24"/>
        </w:rPr>
        <w:t>O</w:t>
      </w:r>
      <w:r w:rsidR="00C56BA7" w:rsidRPr="00165ED2">
        <w:rPr>
          <w:rFonts w:ascii="Times New Roman" w:eastAsiaTheme="minorEastAsia" w:hAnsi="Times New Roman" w:cs="Times New Roman"/>
          <w:sz w:val="24"/>
          <w:szCs w:val="24"/>
          <w:vertAlign w:val="subscript"/>
        </w:rPr>
        <w:t>2</w:t>
      </w:r>
      <w:r w:rsidR="00C56BA7" w:rsidRPr="00165ED2">
        <w:rPr>
          <w:rFonts w:ascii="Times New Roman" w:eastAsiaTheme="minorEastAsia" w:hAnsi="Times New Roman" w:cs="Times New Roman"/>
          <w:sz w:val="24"/>
          <w:szCs w:val="24"/>
        </w:rPr>
        <w:t xml:space="preserve"> </w:t>
      </w:r>
      <w:r w:rsidR="00E40706" w:rsidRPr="00165ED2">
        <w:rPr>
          <w:rFonts w:ascii="Times New Roman" w:eastAsiaTheme="minorEastAsia" w:hAnsi="Times New Roman" w:cs="Times New Roman"/>
          <w:sz w:val="24"/>
          <w:szCs w:val="24"/>
        </w:rPr>
        <w:t>is an independent determinant of</w:t>
      </w:r>
      <w:r w:rsidR="00C56BA7" w:rsidRPr="00165ED2">
        <w:rPr>
          <w:rFonts w:ascii="Times New Roman" w:eastAsiaTheme="minorEastAsia" w:hAnsi="Times New Roman" w:cs="Times New Roman"/>
          <w:sz w:val="24"/>
          <w:szCs w:val="24"/>
        </w:rPr>
        <w:t xml:space="preserve"> CP </w:t>
      </w:r>
      <w:r w:rsidR="00E40706" w:rsidRPr="00165ED2">
        <w:rPr>
          <w:rFonts w:ascii="Times New Roman" w:eastAsiaTheme="minorEastAsia" w:hAnsi="Times New Roman" w:cs="Times New Roman"/>
          <w:sz w:val="24"/>
          <w:szCs w:val="24"/>
        </w:rPr>
        <w:t xml:space="preserve">was </w:t>
      </w:r>
      <w:r w:rsidR="00C56BA7" w:rsidRPr="00165ED2">
        <w:rPr>
          <w:rFonts w:ascii="Times New Roman" w:eastAsiaTheme="minorEastAsia" w:hAnsi="Times New Roman" w:cs="Times New Roman"/>
          <w:sz w:val="24"/>
          <w:szCs w:val="24"/>
        </w:rPr>
        <w:t>recently confirmed by Colburn et al.</w:t>
      </w:r>
      <w:r w:rsidR="0019249F" w:rsidRPr="00165ED2">
        <w:rPr>
          <w:rFonts w:ascii="Times New Roman" w:eastAsiaTheme="minorEastAsia" w:hAnsi="Times New Roman" w:cs="Times New Roman"/>
          <w:sz w:val="24"/>
          <w:szCs w:val="24"/>
        </w:rPr>
        <w:t xml:space="preserve"> </w:t>
      </w:r>
      <w:r w:rsidR="0019249F" w:rsidRPr="00165ED2">
        <w:rPr>
          <w:rFonts w:ascii="Times New Roman" w:eastAsiaTheme="minorEastAsia" w:hAnsi="Times New Roman" w:cs="Times New Roman"/>
          <w:sz w:val="24"/>
          <w:szCs w:val="24"/>
        </w:rPr>
        <w:fldChar w:fldCharType="begin"/>
      </w:r>
      <w:r w:rsidR="00624DC9" w:rsidRPr="00165ED2">
        <w:rPr>
          <w:rFonts w:ascii="Times New Roman" w:eastAsiaTheme="minorEastAsia" w:hAnsi="Times New Roman" w:cs="Times New Roman"/>
          <w:sz w:val="24"/>
          <w:szCs w:val="24"/>
        </w:rPr>
        <w:instrText xml:space="preserve"> ADDIN ZOTERO_ITEM CSL_CITATION {"citationID":"vuZivL6g","properties":{"formattedCitation":"[100]","plainCitation":"[100]","noteIndex":0},"citationItems":[{"id":3142,"uris":["http://zotero.org/users/5056530/items/JPNJAANY"],"itemData":{"id":3142,"type":"article-journal","abstract":"Key points Oral sulphonylureas, widely prescribed for diabetes, inhibit pancreatic ATP-sensitive K+ (KATP) channels to increase insulin release. However, KATP channels are also located within vascular (endothelium and smooth muscle) and muscle (cardiac and skeletal) tissue. We evaluated left ventricular function at rest, maximal aerobic capacity (O2max) and submaximal exercise tolerance (i.e. speed–duration relationship) during treadmill running in rats, before and after systemic KATP channel inhibition via glibenclamide. Glibenclamide impaired critical speed proportionally more than O2max but did not alter resting cardiac output. Vascular KATP channel function (topical glibenclamide superfused onto hindlimb skeletal muscle) resolved a decreased blood flow and interstitial PO2 during twitch contractions reflecting impaired O2 delivery-to-utilization matching. Our findings demonstrate that systemic KATP channel inhibition reduces O2max and critical speed during treadmill running in rats due, in part, to impaired convective and diffusive O2 delivery, and thus O2, especially within fast-twitch oxidative skeletal muscle. Abstract Vascular ATP-sensitive K+ (KATP) channels support skeletal muscle blood flow and microvascular oxygen delivery-to-utilization matching during exercise. However, oral sulphonylurea treatment for diabetes inhibits pancreatic KATP channels to enhance insulin release. Herein we tested the hypotheses that: i) systemic KATP channel inhibition via glibenclamide (GLI; 10 mg kg−1 i.p.) would decrease cardiac output at rest (echocardiography), maximal aerobic capacity (O2max) and the speed–duration relationship (i.e. lower critical speed (CS)) during treadmill running; and ii) local KATP channel inhibition (5 mg kg−1 GLI superfusion) would decrease blood flow (15 µm microspheres), interstitial space oxygen pressures (PO2is; phosphorescence quenching) and convective and diffusive O2 transport (O2 and DO2, respectively; Fick Principle and Law of Diffusion) in contracting fast-twitch oxidative mixed gastrocnemius muscle (MG: 9% type I+IIa fibres). At rest, GLI slowed left ventricular relaxation (2.11 ± 0.59 vs. 1.70 ± 0.23 cm s−1) and decreased heart rate (321 ± 23 vs. 304 ± 22 bpm, both P &lt; 0.05) while cardiac output remained unaltered (219 ± 64 vs. 197 ± 39 ml min−1, P &gt; 0.05). During exercise, GLI reduced O2max (71.5 ± 3.1 vs. 67.9 ± 4.8 ml kg−1 min−1) and CS (35.9 ± 2.4 vs. 31.9 ± 3.1 m min−1, both P &lt; 0.05). Local KATP channel inhibition decreased MG blood flow (52 ± 25 vs. 34 ± 13 ml min−1 100 g tissue−1) and PO2isnadir (5.9 ± 0.9 vs. 4.7 ± 1.1 mmHg) during twitch contractions. Furthermore, MG O2 was reduced via impaired O2 and DO2 (P &lt; 0.05 for each). Collectively, these data support that vascular KATP channels help sustain submaximal exercise tolerance in healthy rats. For patients taking sulfonylureas, KATP channel inhibition may exacerbate exercise intolerance.","container-title":"The Journal of Physiology","DOI":"10.1113/JP280232","ISSN":"1469-7793","issue":"21","language":"en","note":"_eprint: https://physoc.onlinelibrary.wiley.com/doi/pdf/10.1113/JP280232","page":"4843-4858","source":"Wiley Online Library","title":"Vascular ATP-sensitive K+ channels support maximal aerobic capacity and critical speed via convective and diffusive O2 transport","volume":"598","author":[{"family":"Colburn","given":"Trenton D."},{"family":"Weber","given":"Ramona E."},{"family":"Hageman","given":"K. Sue"},{"family":"Caldwell","given":"Jacob T."},{"family":"Schulze","given":"Kiana M."},{"family":"Ade","given":"Carl J."},{"family":"Behnke","given":"Brad J."},{"family":"Poole","given":"David C."},{"family":"Musch","given":"Timothy I."}],"issued":{"date-parts":[["2020"]]}}}],"schema":"https://github.com/citation-style-language/schema/raw/master/csl-citation.json"}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624DC9" w:rsidRPr="00165ED2">
        <w:rPr>
          <w:rFonts w:ascii="Times New Roman" w:hAnsi="Times New Roman" w:cs="Times New Roman"/>
          <w:sz w:val="24"/>
        </w:rPr>
        <w:t>[100]</w:t>
      </w:r>
      <w:r w:rsidR="0019249F" w:rsidRPr="00165ED2">
        <w:rPr>
          <w:rFonts w:ascii="Times New Roman" w:eastAsiaTheme="minorEastAsia" w:hAnsi="Times New Roman" w:cs="Times New Roman"/>
          <w:sz w:val="24"/>
          <w:szCs w:val="24"/>
        </w:rPr>
        <w:fldChar w:fldCharType="end"/>
      </w:r>
      <w:r w:rsidR="00C56BA7" w:rsidRPr="00165ED2">
        <w:rPr>
          <w:rFonts w:ascii="Times New Roman" w:eastAsiaTheme="minorEastAsia" w:hAnsi="Times New Roman" w:cs="Times New Roman"/>
          <w:sz w:val="24"/>
          <w:szCs w:val="24"/>
        </w:rPr>
        <w:t>. Specifically, the vascular ATP-sensitive K</w:t>
      </w:r>
      <w:r w:rsidR="00C56BA7" w:rsidRPr="00165ED2">
        <w:rPr>
          <w:rFonts w:ascii="Times New Roman" w:eastAsiaTheme="minorEastAsia" w:hAnsi="Times New Roman" w:cs="Times New Roman"/>
          <w:sz w:val="24"/>
          <w:szCs w:val="24"/>
          <w:vertAlign w:val="superscript"/>
        </w:rPr>
        <w:t>+</w:t>
      </w:r>
      <w:r w:rsidR="00C56BA7" w:rsidRPr="00165ED2">
        <w:rPr>
          <w:rFonts w:ascii="Times New Roman" w:eastAsiaTheme="minorEastAsia" w:hAnsi="Times New Roman" w:cs="Times New Roman"/>
          <w:sz w:val="24"/>
          <w:szCs w:val="24"/>
        </w:rPr>
        <w:t xml:space="preserve"> channel inhibitor </w:t>
      </w:r>
      <w:proofErr w:type="spellStart"/>
      <w:r w:rsidR="00C56BA7" w:rsidRPr="00165ED2">
        <w:rPr>
          <w:rFonts w:ascii="Times New Roman" w:eastAsiaTheme="minorEastAsia" w:hAnsi="Times New Roman" w:cs="Times New Roman"/>
          <w:sz w:val="24"/>
          <w:szCs w:val="24"/>
        </w:rPr>
        <w:t>glibenclamide</w:t>
      </w:r>
      <w:proofErr w:type="spellEnd"/>
      <w:r w:rsidR="00C56BA7" w:rsidRPr="00165ED2">
        <w:rPr>
          <w:rFonts w:ascii="Times New Roman" w:eastAsiaTheme="minorEastAsia" w:hAnsi="Times New Roman" w:cs="Times New Roman"/>
          <w:sz w:val="24"/>
          <w:szCs w:val="24"/>
        </w:rPr>
        <w:t xml:space="preserve"> decreased CS in rats, and this was accompanied by a 25% decrease in </w:t>
      </w:r>
      <w:r w:rsidR="00C56BA7" w:rsidRPr="00165ED2">
        <w:rPr>
          <w:rFonts w:ascii="Times New Roman" w:eastAsiaTheme="minorEastAsia" w:hAnsi="Times New Roman" w:cs="Times New Roman"/>
          <w:i/>
          <w:sz w:val="24"/>
          <w:szCs w:val="24"/>
        </w:rPr>
        <w:t>D</w:t>
      </w:r>
      <w:r w:rsidR="00C56BA7" w:rsidRPr="00165ED2">
        <w:rPr>
          <w:rFonts w:ascii="Times New Roman" w:eastAsiaTheme="minorEastAsia" w:hAnsi="Times New Roman" w:cs="Times New Roman"/>
          <w:sz w:val="24"/>
          <w:szCs w:val="24"/>
        </w:rPr>
        <w:t>O</w:t>
      </w:r>
      <w:r w:rsidR="00C56BA7" w:rsidRPr="00165ED2">
        <w:rPr>
          <w:rFonts w:ascii="Times New Roman" w:eastAsiaTheme="minorEastAsia" w:hAnsi="Times New Roman" w:cs="Times New Roman"/>
          <w:sz w:val="24"/>
          <w:szCs w:val="24"/>
          <w:vertAlign w:val="subscript"/>
        </w:rPr>
        <w:t>2</w:t>
      </w:r>
      <w:r w:rsidR="00C56BA7" w:rsidRPr="00165ED2">
        <w:rPr>
          <w:rFonts w:ascii="Times New Roman" w:eastAsiaTheme="minorEastAsia" w:hAnsi="Times New Roman" w:cs="Times New Roman"/>
          <w:sz w:val="24"/>
          <w:szCs w:val="24"/>
        </w:rPr>
        <w:t xml:space="preserve"> determined from measurements of skeletal muscle blood flow, arterial O</w:t>
      </w:r>
      <w:r w:rsidR="00C56BA7" w:rsidRPr="00165ED2">
        <w:rPr>
          <w:rFonts w:ascii="Times New Roman" w:eastAsiaTheme="minorEastAsia" w:hAnsi="Times New Roman" w:cs="Times New Roman"/>
          <w:sz w:val="24"/>
          <w:szCs w:val="24"/>
          <w:vertAlign w:val="subscript"/>
        </w:rPr>
        <w:t>2</w:t>
      </w:r>
      <w:r w:rsidR="00C56BA7" w:rsidRPr="00165ED2">
        <w:rPr>
          <w:rFonts w:ascii="Times New Roman" w:eastAsiaTheme="minorEastAsia" w:hAnsi="Times New Roman" w:cs="Times New Roman"/>
          <w:sz w:val="24"/>
          <w:szCs w:val="24"/>
        </w:rPr>
        <w:t xml:space="preserve"> content, and interstitial and microvascular O</w:t>
      </w:r>
      <w:r w:rsidR="00C56BA7" w:rsidRPr="00165ED2">
        <w:rPr>
          <w:rFonts w:ascii="Times New Roman" w:eastAsiaTheme="minorEastAsia" w:hAnsi="Times New Roman" w:cs="Times New Roman"/>
          <w:sz w:val="24"/>
          <w:szCs w:val="24"/>
          <w:vertAlign w:val="subscript"/>
        </w:rPr>
        <w:t>2</w:t>
      </w:r>
      <w:r w:rsidR="00C56BA7" w:rsidRPr="00165ED2">
        <w:rPr>
          <w:rFonts w:ascii="Times New Roman" w:eastAsiaTheme="minorEastAsia" w:hAnsi="Times New Roman" w:cs="Times New Roman"/>
          <w:sz w:val="24"/>
          <w:szCs w:val="24"/>
        </w:rPr>
        <w:t xml:space="preserve"> pressures </w:t>
      </w:r>
      <w:r w:rsidR="0019249F" w:rsidRPr="00165ED2">
        <w:rPr>
          <w:rFonts w:ascii="Times New Roman" w:eastAsiaTheme="minorEastAsia" w:hAnsi="Times New Roman" w:cs="Times New Roman"/>
          <w:sz w:val="24"/>
          <w:szCs w:val="24"/>
        </w:rPr>
        <w:fldChar w:fldCharType="begin"/>
      </w:r>
      <w:r w:rsidR="00624DC9" w:rsidRPr="00165ED2">
        <w:rPr>
          <w:rFonts w:ascii="Times New Roman" w:eastAsiaTheme="minorEastAsia" w:hAnsi="Times New Roman" w:cs="Times New Roman"/>
          <w:sz w:val="24"/>
          <w:szCs w:val="24"/>
        </w:rPr>
        <w:instrText xml:space="preserve"> ADDIN ZOTERO_ITEM CSL_CITATION {"citationID":"YTvzEfJy","properties":{"formattedCitation":"[100]","plainCitation":"[100]","noteIndex":0},"citationItems":[{"id":3142,"uris":["http://zotero.org/users/5056530/items/JPNJAANY"],"itemData":{"id":3142,"type":"article-journal","abstract":"Key points Oral sulphonylureas, widely prescribed for diabetes, inhibit pancreatic ATP-sensitive K+ (KATP) channels to increase insulin release. However, KATP channels are also located within vascular (endothelium and smooth muscle) and muscle (cardiac and skeletal) tissue. We evaluated left ventricular function at rest, maximal aerobic capacity (O2max) and submaximal exercise tolerance (i.e. speed–duration relationship) during treadmill running in rats, before and after systemic KATP channel inhibition via glibenclamide. Glibenclamide impaired critical speed proportionally more than O2max but did not alter resting cardiac output. Vascular KATP channel function (topical glibenclamide superfused onto hindlimb skeletal muscle) resolved a decreased blood flow and interstitial PO2 during twitch contractions reflecting impaired O2 delivery-to-utilization matching. Our findings demonstrate that systemic KATP channel inhibition reduces O2max and critical speed during treadmill running in rats due, in part, to impaired convective and diffusive O2 delivery, and thus O2, especially within fast-twitch oxidative skeletal muscle. Abstract Vascular ATP-sensitive K+ (KATP) channels support skeletal muscle blood flow and microvascular oxygen delivery-to-utilization matching during exercise. However, oral sulphonylurea treatment for diabetes inhibits pancreatic KATP channels to enhance insulin release. Herein we tested the hypotheses that: i) systemic KATP channel inhibition via glibenclamide (GLI; 10 mg kg−1 i.p.) would decrease cardiac output at rest (echocardiography), maximal aerobic capacity (O2max) and the speed–duration relationship (i.e. lower critical speed (CS)) during treadmill running; and ii) local KATP channel inhibition (5 mg kg−1 GLI superfusion) would decrease blood flow (15 µm microspheres), interstitial space oxygen pressures (PO2is; phosphorescence quenching) and convective and diffusive O2 transport (O2 and DO2, respectively; Fick Principle and Law of Diffusion) in contracting fast-twitch oxidative mixed gastrocnemius muscle (MG: 9% type I+IIa fibres). At rest, GLI slowed left ventricular relaxation (2.11 ± 0.59 vs. 1.70 ± 0.23 cm s−1) and decreased heart rate (321 ± 23 vs. 304 ± 22 bpm, both P &lt; 0.05) while cardiac output remained unaltered (219 ± 64 vs. 197 ± 39 ml min−1, P &gt; 0.05). During exercise, GLI reduced O2max (71.5 ± 3.1 vs. 67.9 ± 4.8 ml kg−1 min−1) and CS (35.9 ± 2.4 vs. 31.9 ± 3.1 m min−1, both P &lt; 0.05). Local KATP channel inhibition decreased MG blood flow (52 ± 25 vs. 34 ± 13 ml min−1 100 g tissue−1) and PO2isnadir (5.9 ± 0.9 vs. 4.7 ± 1.1 mmHg) during twitch contractions. Furthermore, MG O2 was reduced via impaired O2 and DO2 (P &lt; 0.05 for each). Collectively, these data support that vascular KATP channels help sustain submaximal exercise tolerance in healthy rats. For patients taking sulfonylureas, KATP channel inhibition may exacerbate exercise intolerance.","container-title":"The Journal of Physiology","DOI":"10.1113/JP280232","ISSN":"1469-7793","issue":"21","language":"en","note":"_eprint: https://physoc.onlinelibrary.wiley.com/doi/pdf/10.1113/JP280232","page":"4843-4858","source":"Wiley Online Library","title":"Vascular ATP-sensitive K+ channels support maximal aerobic capacity and critical speed via convective and diffusive O2 transport","volume":"598","author":[{"family":"Colburn","given":"Trenton D."},{"family":"Weber","given":"Ramona E."},{"family":"Hageman","given":"K. Sue"},{"family":"Caldwell","given":"Jacob T."},{"family":"Schulze","given":"Kiana M."},{"family":"Ade","given":"Carl J."},{"family":"Behnke","given":"Brad J."},{"family":"Poole","given":"David C."},{"family":"Musch","given":"Timothy I."}],"issued":{"date-parts":[["2020"]]}}}],"schema":"https://github.com/citation-style-language/schema/raw/master/csl-citation.json"} </w:instrText>
      </w:r>
      <w:r w:rsidR="0019249F" w:rsidRPr="00165ED2">
        <w:rPr>
          <w:rFonts w:ascii="Times New Roman" w:eastAsiaTheme="minorEastAsia" w:hAnsi="Times New Roman" w:cs="Times New Roman"/>
          <w:sz w:val="24"/>
          <w:szCs w:val="24"/>
        </w:rPr>
        <w:fldChar w:fldCharType="separate"/>
      </w:r>
      <w:r w:rsidR="00624DC9" w:rsidRPr="00165ED2">
        <w:rPr>
          <w:rFonts w:ascii="Times New Roman" w:hAnsi="Times New Roman" w:cs="Times New Roman"/>
          <w:sz w:val="24"/>
        </w:rPr>
        <w:t>[100]</w:t>
      </w:r>
      <w:r w:rsidR="0019249F" w:rsidRPr="00165ED2">
        <w:rPr>
          <w:rFonts w:ascii="Times New Roman" w:eastAsiaTheme="minorEastAsia" w:hAnsi="Times New Roman" w:cs="Times New Roman"/>
          <w:sz w:val="24"/>
          <w:szCs w:val="24"/>
        </w:rPr>
        <w:fldChar w:fldCharType="end"/>
      </w:r>
      <w:r w:rsidR="0019249F" w:rsidRPr="00165ED2">
        <w:rPr>
          <w:rFonts w:ascii="Times New Roman" w:eastAsiaTheme="minorEastAsia" w:hAnsi="Times New Roman" w:cs="Times New Roman"/>
          <w:sz w:val="24"/>
          <w:szCs w:val="24"/>
        </w:rPr>
        <w:t xml:space="preserve">. </w:t>
      </w:r>
      <w:r w:rsidR="002D0312" w:rsidRPr="00165ED2">
        <w:rPr>
          <w:rFonts w:ascii="Times New Roman" w:eastAsiaTheme="minorEastAsia" w:hAnsi="Times New Roman" w:cs="Times New Roman"/>
          <w:sz w:val="24"/>
          <w:szCs w:val="24"/>
        </w:rPr>
        <w:lastRenderedPageBreak/>
        <w:t>Collectively, therefore, there is now a growing body of evidence to indicate that CP can be influenced by factors dictating the rate of diffusion of O</w:t>
      </w:r>
      <w:r w:rsidR="002D0312" w:rsidRPr="00165ED2">
        <w:rPr>
          <w:rFonts w:ascii="Times New Roman" w:eastAsiaTheme="minorEastAsia" w:hAnsi="Times New Roman" w:cs="Times New Roman"/>
          <w:sz w:val="24"/>
          <w:szCs w:val="24"/>
          <w:vertAlign w:val="subscript"/>
        </w:rPr>
        <w:t>2</w:t>
      </w:r>
      <w:r w:rsidR="002D0312" w:rsidRPr="00165ED2">
        <w:rPr>
          <w:rFonts w:ascii="Times New Roman" w:eastAsiaTheme="minorEastAsia" w:hAnsi="Times New Roman" w:cs="Times New Roman"/>
          <w:sz w:val="24"/>
          <w:szCs w:val="24"/>
        </w:rPr>
        <w:t xml:space="preserve"> from capillary to mitochondria.</w:t>
      </w:r>
    </w:p>
    <w:p w14:paraId="26CC735C" w14:textId="03AE02B6" w:rsidR="00615049" w:rsidRPr="00165ED2" w:rsidRDefault="00012C55" w:rsidP="00012C55">
      <w:pPr>
        <w:spacing w:line="480" w:lineRule="auto"/>
        <w:ind w:firstLine="720"/>
        <w:jc w:val="both"/>
        <w:rPr>
          <w:rFonts w:ascii="Times New Roman" w:eastAsiaTheme="minorEastAsia" w:hAnsi="Times New Roman" w:cs="Times New Roman"/>
          <w:bCs/>
          <w:i/>
          <w:sz w:val="24"/>
          <w:szCs w:val="24"/>
        </w:rPr>
      </w:pPr>
      <w:r w:rsidRPr="00165ED2">
        <w:rPr>
          <w:rFonts w:ascii="Times New Roman" w:eastAsiaTheme="minorEastAsia" w:hAnsi="Times New Roman" w:cs="Times New Roman"/>
          <w:bCs/>
          <w:i/>
          <w:sz w:val="24"/>
          <w:szCs w:val="24"/>
        </w:rPr>
        <w:t>2.3 Oxygen utilization</w:t>
      </w:r>
    </w:p>
    <w:p w14:paraId="150AE126" w14:textId="27992FAB" w:rsidR="002D0312" w:rsidRPr="00165ED2" w:rsidRDefault="002D0312" w:rsidP="00F91527">
      <w:pPr>
        <w:spacing w:line="480" w:lineRule="auto"/>
        <w:jc w:val="both"/>
        <w:rPr>
          <w:rFonts w:ascii="Times New Roman" w:hAnsi="Times New Roman" w:cs="Times New Roman"/>
          <w:sz w:val="24"/>
          <w:szCs w:val="24"/>
          <w:lang w:val="en-US"/>
        </w:rPr>
      </w:pPr>
      <w:r w:rsidRPr="00165ED2">
        <w:rPr>
          <w:rFonts w:ascii="Times New Roman" w:eastAsiaTheme="minorEastAsia" w:hAnsi="Times New Roman" w:cs="Times New Roman"/>
          <w:bCs/>
          <w:sz w:val="24"/>
          <w:szCs w:val="24"/>
        </w:rPr>
        <w:t xml:space="preserve">A </w:t>
      </w:r>
      <w:r w:rsidR="001F2457" w:rsidRPr="00165ED2">
        <w:rPr>
          <w:rFonts w:ascii="Times New Roman" w:eastAsiaTheme="minorEastAsia" w:hAnsi="Times New Roman" w:cs="Times New Roman"/>
          <w:bCs/>
          <w:sz w:val="24"/>
          <w:szCs w:val="24"/>
        </w:rPr>
        <w:t>sentinel</w:t>
      </w:r>
      <w:r w:rsidR="00B3012B" w:rsidRPr="00165ED2">
        <w:rPr>
          <w:rFonts w:ascii="Times New Roman" w:eastAsiaTheme="minorEastAsia" w:hAnsi="Times New Roman" w:cs="Times New Roman"/>
          <w:bCs/>
          <w:sz w:val="24"/>
          <w:szCs w:val="24"/>
        </w:rPr>
        <w:t xml:space="preserve"> </w:t>
      </w:r>
      <w:r w:rsidRPr="00165ED2">
        <w:rPr>
          <w:rFonts w:ascii="Times New Roman" w:eastAsiaTheme="minorEastAsia" w:hAnsi="Times New Roman" w:cs="Times New Roman"/>
          <w:bCs/>
          <w:sz w:val="24"/>
          <w:szCs w:val="24"/>
        </w:rPr>
        <w:t xml:space="preserve">parameter defining the skeletal muscle bioenergetics system is the time constant of the fundamental phase of muscle </w:t>
      </w:r>
      <w:r w:rsidRPr="00165ED2">
        <w:rPr>
          <w:rFonts w:ascii="Times New Roman" w:hAnsi="Times New Roman" w:cs="Times New Roman"/>
          <w:sz w:val="24"/>
          <w:szCs w:val="24"/>
          <w:lang w:val="en-US"/>
        </w:rPr>
        <w:t>V̇O</w:t>
      </w:r>
      <w:r w:rsidRPr="00165ED2">
        <w:rPr>
          <w:rFonts w:ascii="Times New Roman" w:hAnsi="Times New Roman" w:cs="Times New Roman"/>
          <w:sz w:val="24"/>
          <w:szCs w:val="24"/>
          <w:vertAlign w:val="subscript"/>
          <w:lang w:val="en-US"/>
        </w:rPr>
        <w:t>2</w:t>
      </w:r>
      <w:r w:rsidRPr="00165ED2">
        <w:rPr>
          <w:rFonts w:ascii="Times New Roman" w:hAnsi="Times New Roman" w:cs="Times New Roman"/>
          <w:sz w:val="24"/>
          <w:szCs w:val="24"/>
          <w:lang w:val="en-US"/>
        </w:rPr>
        <w:t xml:space="preserve"> kinetics (i.e., τ</w:t>
      </w:r>
      <w:r w:rsidRPr="00165ED2">
        <w:rPr>
          <w:rFonts w:ascii="Times New Roman" w:hAnsi="Times New Roman" w:cs="Times New Roman"/>
          <w:sz w:val="24"/>
          <w:szCs w:val="24"/>
          <w:vertAlign w:val="subscript"/>
          <w:lang w:val="en-US"/>
        </w:rPr>
        <w:t>V̇O2</w:t>
      </w:r>
      <w:r w:rsidR="001571D6" w:rsidRPr="00165ED2">
        <w:rPr>
          <w:rFonts w:ascii="Times New Roman" w:hAnsi="Times New Roman" w:cs="Times New Roman"/>
          <w:sz w:val="24"/>
          <w:szCs w:val="24"/>
          <w:lang w:val="en-US"/>
        </w:rPr>
        <w:t>), which is</w:t>
      </w:r>
      <w:r w:rsidRPr="00165ED2">
        <w:rPr>
          <w:rFonts w:ascii="Times New Roman" w:hAnsi="Times New Roman" w:cs="Times New Roman"/>
          <w:sz w:val="24"/>
          <w:szCs w:val="24"/>
          <w:lang w:val="en-US"/>
        </w:rPr>
        <w:t xml:space="preserve"> reflective of the time taken to attain 63% of the V̇O</w:t>
      </w:r>
      <w:r w:rsidRPr="00165ED2">
        <w:rPr>
          <w:rFonts w:ascii="Times New Roman" w:hAnsi="Times New Roman" w:cs="Times New Roman"/>
          <w:sz w:val="24"/>
          <w:szCs w:val="24"/>
          <w:vertAlign w:val="subscript"/>
          <w:lang w:val="en-US"/>
        </w:rPr>
        <w:t xml:space="preserve">2 </w:t>
      </w:r>
      <w:r w:rsidRPr="00165ED2">
        <w:rPr>
          <w:rFonts w:ascii="Times New Roman" w:hAnsi="Times New Roman" w:cs="Times New Roman"/>
          <w:sz w:val="24"/>
          <w:szCs w:val="24"/>
          <w:lang w:val="en-US"/>
        </w:rPr>
        <w:t>amplitude in response t</w:t>
      </w:r>
      <w:r w:rsidR="001571D6" w:rsidRPr="00165ED2">
        <w:rPr>
          <w:rFonts w:ascii="Times New Roman" w:hAnsi="Times New Roman" w:cs="Times New Roman"/>
          <w:sz w:val="24"/>
          <w:szCs w:val="24"/>
          <w:lang w:val="en-US"/>
        </w:rPr>
        <w:t>o a change in metabolic demand</w:t>
      </w:r>
      <w:r w:rsidRPr="00165ED2">
        <w:rPr>
          <w:rFonts w:ascii="Times New Roman" w:hAnsi="Times New Roman" w:cs="Times New Roman"/>
          <w:sz w:val="24"/>
          <w:szCs w:val="24"/>
          <w:lang w:val="en-US"/>
        </w:rPr>
        <w:t xml:space="preserve"> </w:t>
      </w:r>
      <w:r w:rsidR="0019249F"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vGfuyiED","properties":{"formattedCitation":"[101\\uc0\\u8211{}104]","plainCitation":"[101–104]","noteIndex":0},"citationItems":[{"id":493,"uris":["http://zotero.org/users/5056530/items/BX9B8B7R"],"itemData":{"id":493,"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M."}],"issued":{"date-parts":[["2012",4]]}}},{"id":457,"uris":["http://zotero.org/users/5056530/items/VHQAUGQ7"],"itemData":{"id":457,"type":"article-journal","abstract":"An analysis of previously published data obtained by our group on patients characterized by markedly slower pulmonary VO₂ kinetics (heart transplant recipients, patients with mitochondrial myopathies, patients with McArdle disease) was carried out in order to suggest that slow VO₂ kinetics should not be considered the direct cause, but rather a marker, of impaired exercise tolerance. For a given ATP turnover rate, faster (or slower) VO₂ kinetics are associated with smaller (or greater) muscle [PCr] decreases. The latter, however, should not be taken per se responsible for the higher (or lower) exercise tolerance, but should be considered within the general concept of \"metabolic stability\". Good muscle metabolic stability at a given ATP turnover rate (~power output) is associated with relatively smaller decreases, compared to rest, in [PCr] and in the Gibbs free energy of ATP hydrolysis, as well as with relatively smaller increases in [Pi], [ADP(free)], [AMP(free)], and [IMP(free)], metabolites directly related to fatigue. Disturbances in muscle metabolic stability can affect muscle function in various ways, whereas good metabolic stability is associated with less fatigue and higher exercise tolerance. Smaller [PCr] decreases, however, are strictly associated with a faster VO₂ kinetics. Thus, faster VO₂ kinetics may simply be an \"epiphenomenon\" of a relatively higher metabolic stability, which would then represent the relevant variable in terms of fatigue and exercise tolerance.","container-title":"European Journal of Applied Physiology","DOI":"10.1007/s00421-010-1609-1","ISSN":"1439-6327","issue":"3","journalAbbreviation":"Eur. J. Appl. Physiol.","language":"eng","note":"PMID: 20821336","page":"345-355","source":"PubMed","title":"Slow VO₂ kinetics during moderate-intensity exercise as markers of lower metabolic stability and lower exercise tolerance","volume":"111","author":[{"family":"Grassi","given":"Bruno"},{"family":"Porcelli","given":"Simone"},{"family":"Salvadego","given":"Desy"},{"family":"Zoladz","given":"Jerzy A."}],"issued":{"date-parts":[["2011",3]]}}},{"id":108,"uris":["http://zotero.org/users/5056530/items/Q9HNHHXX"],"itemData":{"id":108,"type":"article-journal","abstract":"Muscle O2 uptake (VO2) kinetics in response to an augmented energetic requirement (on-transition) has never been directly determined in humans. We have developed a constant-infusion thermodilution technique that allowed rapid measurements of leg blood flow (Qleg) and, in conjunction with frequent serial measurement of arteriovenous O2 content difference across the leg [(Ca - Cv)O2leg], permitted the determination of the VO2 of the leg (VO2leg) at 3- to 4-s time intervals. VO2leg kinetics during the on-transition was taken as a close approximation of muscle VO2 (VO2mus) kinetics. Alveolar VO2 (VO2A), Qleg, leg O2 delivery [(Q.CaO2leg)], (Ca - Cv)O2leg, and VO2leg kinetics were determined in six trained subjects [age 22.8 +/- 4.4 (SD) yr; maximal O2 uptake 59.1 +/- 5.3 ml.kg-1.min-1] during the transition from unloaded pedaling to a workload (loaded pedaling; LP) (183 +/- 20 W) well below the previously determined ventilatory threshold. For all variables, two distinct phases were recognized. During the first 10-15 s of loaded pedaling (phase I), VO2A, Qleg, and (Q.CaO2)leg increased rapidly, whereas VO2leg increased only slightly and (Ca - Cv)O2leg actually decreased. After phase I, all variables showed a monoexponential increase (phase II), with similar time courses [slightly faster for (Ca - CV)O2leg]. In a consideration of both phases, the half times of the responses among variables were not significantly different: 25.5 +/- 2.6 s for VO2A, 26.6 +/- 7.6 s for Qleg, 26.9 +/- 8.3 s for (Q.CaO2leg, 23.5 +/- 1.3 s for (Ca - Cv)O2leg, and 27.9 +/- 5.7 s for VO2leg. We conclude that during the on-transition the kinetics of VO2A and VO2leg, as measured by these methods, are similar. The analysis of the early phase (first 10-15 s) of the on-transition indicates that bulk delivery of O2 to the working muscles is not limiting VO2leg kinetics. However, the present results cannot discriminate between maldistribution of blood flow/VO2 vs. inertia the intracellular oxidative machinery as the limiting factor.","container-title":"Journal of Applied Physiology (Bethesda, Md.: 1985)","ISSN":"8750-7587","issue":"3","journalAbbreviation":"J. Appl. Physiol.","language":"eng","note":"PMID: 8964765","page":"988-998","source":"PubMed","title":"Muscle O2 uptake kinetics in humans: implications for metabolic control","title-short":"Muscle O2 uptake kinetics in humans","volume":"80","author":[{"family":"Grassi","given":"B."},{"family":"Poole","given":"D. C."},{"family":"Richardson","given":"R. S."},{"family":"Knight","given":"D. R."},{"family":"Erickson","given":"B. K."},{"family":"Wagner","given":"P. D."}],"issued":{"date-parts":[["1996",3]]}}},{"id":169,"uris":["http://zotero.org/users/5056530/items/V8V82EFQ"],"itemData":{"id":169,"type":"chapter","abstract":"The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Physiology","ISBN":"978-0-470-65071-4","language":"en","license":"Copyright © 2011 American Physiological Society. All rights reserved.","note":"DOI: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19249F"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szCs w:val="24"/>
        </w:rPr>
        <w:t>[101–104]</w:t>
      </w:r>
      <w:r w:rsidR="0019249F" w:rsidRPr="00165ED2">
        <w:rPr>
          <w:rFonts w:ascii="Times New Roman" w:hAnsi="Times New Roman" w:cs="Times New Roman"/>
          <w:sz w:val="24"/>
          <w:szCs w:val="24"/>
          <w:lang w:val="en-US"/>
        </w:rPr>
        <w:fldChar w:fldCharType="end"/>
      </w:r>
      <w:r w:rsidR="0019249F" w:rsidRPr="00165ED2">
        <w:rPr>
          <w:rFonts w:ascii="Times New Roman" w:hAnsi="Times New Roman" w:cs="Times New Roman"/>
          <w:sz w:val="24"/>
          <w:szCs w:val="24"/>
          <w:lang w:val="en-US"/>
        </w:rPr>
        <w:t>,</w:t>
      </w:r>
      <w:r w:rsidRPr="00165ED2">
        <w:rPr>
          <w:rFonts w:ascii="Times New Roman" w:hAnsi="Times New Roman" w:cs="Times New Roman"/>
          <w:sz w:val="24"/>
          <w:szCs w:val="24"/>
          <w:lang w:val="en-US"/>
        </w:rPr>
        <w:t xml:space="preserve"> </w:t>
      </w:r>
      <w:r w:rsidR="001571D6" w:rsidRPr="00165ED2">
        <w:rPr>
          <w:rFonts w:ascii="Times New Roman" w:hAnsi="Times New Roman" w:cs="Times New Roman"/>
          <w:sz w:val="24"/>
          <w:szCs w:val="24"/>
          <w:lang w:val="en-US"/>
        </w:rPr>
        <w:t>and</w:t>
      </w:r>
      <w:r w:rsidRPr="00165ED2">
        <w:rPr>
          <w:rFonts w:ascii="Times New Roman" w:hAnsi="Times New Roman" w:cs="Times New Roman"/>
          <w:sz w:val="24"/>
          <w:szCs w:val="24"/>
          <w:lang w:val="en-US"/>
        </w:rPr>
        <w:t xml:space="preserve"> is closely reflected by the pulmonary τ</w:t>
      </w:r>
      <w:r w:rsidRPr="00165ED2">
        <w:rPr>
          <w:rFonts w:ascii="Times New Roman" w:hAnsi="Times New Roman" w:cs="Times New Roman"/>
          <w:sz w:val="24"/>
          <w:szCs w:val="24"/>
          <w:vertAlign w:val="subscript"/>
          <w:lang w:val="en-US"/>
        </w:rPr>
        <w:t xml:space="preserve">V̇O2 </w:t>
      </w:r>
      <w:r w:rsidR="0019249F" w:rsidRPr="00165ED2">
        <w:rPr>
          <w:rFonts w:ascii="Times New Roman" w:hAnsi="Times New Roman" w:cs="Times New Roman"/>
          <w:sz w:val="24"/>
          <w:szCs w:val="24"/>
          <w:vertAlign w:val="subscript"/>
          <w:lang w:val="en-US"/>
        </w:rPr>
        <w:fldChar w:fldCharType="begin"/>
      </w:r>
      <w:r w:rsidR="00624DC9" w:rsidRPr="00165ED2">
        <w:rPr>
          <w:rFonts w:ascii="Times New Roman" w:hAnsi="Times New Roman" w:cs="Times New Roman"/>
          <w:sz w:val="24"/>
          <w:szCs w:val="24"/>
          <w:vertAlign w:val="subscript"/>
          <w:lang w:val="en-US"/>
        </w:rPr>
        <w:instrText xml:space="preserve"> ADDIN ZOTERO_ITEM CSL_CITATION {"citationID":"AI78scWY","properties":{"formattedCitation":"[103]","plainCitation":"[103]","noteIndex":0},"citationItems":[{"id":108,"uris":["http://zotero.org/users/5056530/items/Q9HNHHXX"],"itemData":{"id":108,"type":"article-journal","abstract":"Muscle O2 uptake (VO2) kinetics in response to an augmented energetic requirement (on-transition) has never been directly determined in humans. We have developed a constant-infusion thermodilution technique that allowed rapid measurements of leg blood flow (Qleg) and, in conjunction with frequent serial measurement of arteriovenous O2 content difference across the leg [(Ca - Cv)O2leg], permitted the determination of the VO2 of the leg (VO2leg) at 3- to 4-s time intervals. VO2leg kinetics during the on-transition was taken as a close approximation of muscle VO2 (VO2mus) kinetics. Alveolar VO2 (VO2A), Qleg, leg O2 delivery [(Q.CaO2leg)], (Ca - Cv)O2leg, and VO2leg kinetics were determined in six trained subjects [age 22.8 +/- 4.4 (SD) yr; maximal O2 uptake 59.1 +/- 5.3 ml.kg-1.min-1] during the transition from unloaded pedaling to a workload (loaded pedaling; LP) (183 +/- 20 W) well below the previously determined ventilatory threshold. For all variables, two distinct phases were recognized. During the first 10-15 s of loaded pedaling (phase I), VO2A, Qleg, and (Q.CaO2)leg increased rapidly, whereas VO2leg increased only slightly and (Ca - Cv)O2leg actually decreased. After phase I, all variables showed a monoexponential increase (phase II), with similar time courses [slightly faster for (Ca - CV)O2leg]. In a consideration of both phases, the half times of the responses among variables were not significantly different: 25.5 +/- 2.6 s for VO2A, 26.6 +/- 7.6 s for Qleg, 26.9 +/- 8.3 s for (Q.CaO2leg, 23.5 +/- 1.3 s for (Ca - Cv)O2leg, and 27.9 +/- 5.7 s for VO2leg. We conclude that during the on-transition the kinetics of VO2A and VO2leg, as measured by these methods, are similar. The analysis of the early phase (first 10-15 s) of the on-transition indicates that bulk delivery of O2 to the working muscles is not limiting VO2leg kinetics. However, the present results cannot discriminate between maldistribution of blood flow/VO2 vs. inertia the intracellular oxidative machinery as the limiting factor.","container-title":"Journal of Applied Physiology (Bethesda, Md.: 1985)","ISSN":"8750-7587","issue":"3","journalAbbreviation":"J. Appl. Physiol.","language":"eng","note":"PMID: 8964765","page":"988-998","source":"PubMed","title":"Muscle O2 uptake kinetics in humans: implications for metabolic control","title-short":"Muscle O2 uptake kinetics in humans","volume":"80","author":[{"family":"Grassi","given":"B."},{"family":"Poole","given":"D. C."},{"family":"Richardson","given":"R. S."},{"family":"Knight","given":"D. R."},{"family":"Erickson","given":"B. K."},{"family":"Wagner","given":"P. D."}],"issued":{"date-parts":[["1996",3]]}}}],"schema":"https://github.com/citation-style-language/schema/raw/master/csl-citation.json"} </w:instrText>
      </w:r>
      <w:r w:rsidR="0019249F" w:rsidRPr="00165ED2">
        <w:rPr>
          <w:rFonts w:ascii="Times New Roman" w:hAnsi="Times New Roman" w:cs="Times New Roman"/>
          <w:sz w:val="24"/>
          <w:szCs w:val="24"/>
          <w:vertAlign w:val="subscript"/>
          <w:lang w:val="en-US"/>
        </w:rPr>
        <w:fldChar w:fldCharType="separate"/>
      </w:r>
      <w:r w:rsidR="00624DC9" w:rsidRPr="00165ED2">
        <w:rPr>
          <w:rFonts w:ascii="Times New Roman" w:hAnsi="Times New Roman" w:cs="Times New Roman"/>
          <w:sz w:val="24"/>
        </w:rPr>
        <w:t>[103]</w:t>
      </w:r>
      <w:r w:rsidR="0019249F" w:rsidRPr="00165ED2">
        <w:rPr>
          <w:rFonts w:ascii="Times New Roman" w:hAnsi="Times New Roman" w:cs="Times New Roman"/>
          <w:sz w:val="24"/>
          <w:szCs w:val="24"/>
          <w:vertAlign w:val="subscript"/>
          <w:lang w:val="en-US"/>
        </w:rPr>
        <w:fldChar w:fldCharType="end"/>
      </w:r>
      <w:r w:rsidRPr="00165ED2">
        <w:rPr>
          <w:rFonts w:ascii="Times New Roman" w:hAnsi="Times New Roman" w:cs="Times New Roman"/>
          <w:sz w:val="24"/>
          <w:szCs w:val="24"/>
          <w:lang w:val="en-US"/>
        </w:rPr>
        <w:t>.</w:t>
      </w:r>
      <w:r w:rsidR="001571D6" w:rsidRPr="00165ED2">
        <w:rPr>
          <w:rFonts w:ascii="Times New Roman" w:hAnsi="Times New Roman" w:cs="Times New Roman"/>
          <w:sz w:val="24"/>
          <w:szCs w:val="24"/>
          <w:lang w:val="en-US"/>
        </w:rPr>
        <w:t xml:space="preserve"> </w:t>
      </w:r>
      <w:r w:rsidR="00B32430" w:rsidRPr="00165ED2">
        <w:rPr>
          <w:rFonts w:ascii="Times New Roman" w:hAnsi="Times New Roman" w:cs="Times New Roman"/>
          <w:sz w:val="24"/>
          <w:szCs w:val="24"/>
          <w:lang w:val="en-US"/>
        </w:rPr>
        <w:t>Pulmonary</w:t>
      </w:r>
      <w:r w:rsidR="00707496" w:rsidRPr="00165ED2">
        <w:rPr>
          <w:rFonts w:ascii="Times New Roman" w:hAnsi="Times New Roman" w:cs="Times New Roman"/>
          <w:sz w:val="24"/>
          <w:szCs w:val="24"/>
          <w:lang w:val="en-US"/>
        </w:rPr>
        <w:t xml:space="preserve"> τ</w:t>
      </w:r>
      <w:r w:rsidR="00707496" w:rsidRPr="00165ED2">
        <w:rPr>
          <w:rFonts w:ascii="Times New Roman" w:hAnsi="Times New Roman" w:cs="Times New Roman"/>
          <w:sz w:val="24"/>
          <w:szCs w:val="24"/>
          <w:vertAlign w:val="subscript"/>
          <w:lang w:val="en-US"/>
        </w:rPr>
        <w:t xml:space="preserve">V̇O2 </w:t>
      </w:r>
      <w:r w:rsidR="00707496" w:rsidRPr="00165ED2">
        <w:rPr>
          <w:rFonts w:ascii="Times New Roman" w:hAnsi="Times New Roman" w:cs="Times New Roman"/>
          <w:sz w:val="24"/>
          <w:szCs w:val="24"/>
          <w:lang w:val="en-US"/>
        </w:rPr>
        <w:t xml:space="preserve">is </w:t>
      </w:r>
      <w:r w:rsidR="00B32430" w:rsidRPr="00165ED2">
        <w:rPr>
          <w:rFonts w:ascii="Times New Roman" w:hAnsi="Times New Roman" w:cs="Times New Roman"/>
          <w:sz w:val="24"/>
          <w:szCs w:val="24"/>
          <w:lang w:val="en-US"/>
        </w:rPr>
        <w:t xml:space="preserve">therefore </w:t>
      </w:r>
      <w:r w:rsidR="00707496" w:rsidRPr="00165ED2">
        <w:rPr>
          <w:rFonts w:ascii="Times New Roman" w:hAnsi="Times New Roman" w:cs="Times New Roman"/>
          <w:sz w:val="24"/>
          <w:szCs w:val="24"/>
          <w:lang w:val="en-US"/>
        </w:rPr>
        <w:t xml:space="preserve">a highly convenient assay of the </w:t>
      </w:r>
      <w:r w:rsidR="0024482A" w:rsidRPr="00165ED2">
        <w:rPr>
          <w:rFonts w:ascii="Times New Roman" w:hAnsi="Times New Roman" w:cs="Times New Roman"/>
          <w:sz w:val="24"/>
          <w:szCs w:val="24"/>
          <w:lang w:val="en-US"/>
        </w:rPr>
        <w:t xml:space="preserve">time course of </w:t>
      </w:r>
      <w:r w:rsidR="00B32430" w:rsidRPr="00165ED2">
        <w:rPr>
          <w:rFonts w:ascii="Times New Roman" w:hAnsi="Times New Roman" w:cs="Times New Roman"/>
          <w:sz w:val="24"/>
          <w:szCs w:val="24"/>
          <w:lang w:val="en-US"/>
        </w:rPr>
        <w:t>changes in</w:t>
      </w:r>
      <w:r w:rsidR="0024482A" w:rsidRPr="00165ED2">
        <w:rPr>
          <w:rFonts w:ascii="Times New Roman" w:hAnsi="Times New Roman" w:cs="Times New Roman"/>
          <w:sz w:val="24"/>
          <w:szCs w:val="24"/>
          <w:lang w:val="en-US"/>
        </w:rPr>
        <w:t xml:space="preserve"> oxidative phosphorylation</w:t>
      </w:r>
      <w:r w:rsidR="00B32430" w:rsidRPr="00165ED2">
        <w:rPr>
          <w:rFonts w:ascii="Times New Roman" w:hAnsi="Times New Roman" w:cs="Times New Roman"/>
          <w:sz w:val="24"/>
          <w:szCs w:val="24"/>
          <w:lang w:val="en-US"/>
        </w:rPr>
        <w:t xml:space="preserve"> that occur</w:t>
      </w:r>
      <w:r w:rsidR="0096591B" w:rsidRPr="00165ED2">
        <w:rPr>
          <w:rFonts w:ascii="Times New Roman" w:hAnsi="Times New Roman" w:cs="Times New Roman"/>
          <w:sz w:val="24"/>
          <w:szCs w:val="24"/>
          <w:lang w:val="en-US"/>
        </w:rPr>
        <w:t xml:space="preserve"> </w:t>
      </w:r>
      <w:r w:rsidR="00B32430" w:rsidRPr="00165ED2">
        <w:rPr>
          <w:rFonts w:ascii="Times New Roman" w:hAnsi="Times New Roman" w:cs="Times New Roman"/>
          <w:sz w:val="24"/>
          <w:szCs w:val="24"/>
          <w:lang w:val="en-US"/>
        </w:rPr>
        <w:t>at the onset of exercise or during changes in metabolic rate</w:t>
      </w:r>
      <w:r w:rsidR="0024482A" w:rsidRPr="00165ED2">
        <w:rPr>
          <w:rFonts w:ascii="Times New Roman" w:hAnsi="Times New Roman" w:cs="Times New Roman"/>
          <w:sz w:val="24"/>
          <w:szCs w:val="24"/>
          <w:lang w:val="en-US"/>
        </w:rPr>
        <w:t xml:space="preserve">.  </w:t>
      </w:r>
      <w:r w:rsidR="001571D6" w:rsidRPr="00165ED2">
        <w:rPr>
          <w:rFonts w:ascii="Times New Roman" w:hAnsi="Times New Roman" w:cs="Times New Roman"/>
          <w:sz w:val="24"/>
          <w:szCs w:val="24"/>
          <w:lang w:val="en-US"/>
        </w:rPr>
        <w:t>At the onset of exercise, therefore, th</w:t>
      </w:r>
      <w:r w:rsidR="0024482A" w:rsidRPr="00165ED2">
        <w:rPr>
          <w:rFonts w:ascii="Times New Roman" w:hAnsi="Times New Roman" w:cs="Times New Roman"/>
          <w:sz w:val="24"/>
          <w:szCs w:val="24"/>
          <w:lang w:val="en-US"/>
        </w:rPr>
        <w:t>e</w:t>
      </w:r>
      <w:r w:rsidR="001571D6" w:rsidRPr="00165ED2">
        <w:rPr>
          <w:rFonts w:ascii="Times New Roman" w:hAnsi="Times New Roman" w:cs="Times New Roman"/>
          <w:sz w:val="24"/>
          <w:szCs w:val="24"/>
          <w:lang w:val="en-US"/>
        </w:rPr>
        <w:t xml:space="preserve"> delayed response of pulmonary and muscle V̇O</w:t>
      </w:r>
      <w:r w:rsidR="001571D6" w:rsidRPr="00165ED2">
        <w:rPr>
          <w:rFonts w:ascii="Times New Roman" w:hAnsi="Times New Roman" w:cs="Times New Roman"/>
          <w:sz w:val="24"/>
          <w:szCs w:val="24"/>
          <w:vertAlign w:val="subscript"/>
          <w:lang w:val="en-US"/>
        </w:rPr>
        <w:t>2</w:t>
      </w:r>
      <w:r w:rsidR="001571D6" w:rsidRPr="00165ED2">
        <w:rPr>
          <w:rFonts w:ascii="Times New Roman" w:hAnsi="Times New Roman" w:cs="Times New Roman"/>
          <w:sz w:val="24"/>
          <w:szCs w:val="24"/>
          <w:lang w:val="en-US"/>
        </w:rPr>
        <w:t xml:space="preserve"> kinetics</w:t>
      </w:r>
      <w:r w:rsidR="00B3012B" w:rsidRPr="00165ED2">
        <w:rPr>
          <w:rFonts w:ascii="Times New Roman" w:hAnsi="Times New Roman" w:cs="Times New Roman"/>
          <w:sz w:val="24"/>
          <w:szCs w:val="24"/>
          <w:lang w:val="en-US"/>
        </w:rPr>
        <w:t xml:space="preserve"> that is encapsulated by the parameter τ</w:t>
      </w:r>
      <w:r w:rsidR="00B3012B" w:rsidRPr="00165ED2">
        <w:rPr>
          <w:rFonts w:ascii="Times New Roman" w:hAnsi="Times New Roman" w:cs="Times New Roman"/>
          <w:sz w:val="24"/>
          <w:szCs w:val="24"/>
          <w:vertAlign w:val="subscript"/>
          <w:lang w:val="en-US"/>
        </w:rPr>
        <w:t>V̇O2</w:t>
      </w:r>
      <w:r w:rsidR="00B3012B" w:rsidRPr="00165ED2">
        <w:rPr>
          <w:rFonts w:ascii="Times New Roman" w:hAnsi="Times New Roman" w:cs="Times New Roman"/>
          <w:sz w:val="24"/>
          <w:szCs w:val="24"/>
          <w:lang w:val="en-US"/>
        </w:rPr>
        <w:t xml:space="preserve"> </w:t>
      </w:r>
      <w:r w:rsidR="001571D6" w:rsidRPr="00165ED2">
        <w:rPr>
          <w:rFonts w:ascii="Times New Roman" w:hAnsi="Times New Roman" w:cs="Times New Roman"/>
          <w:sz w:val="24"/>
          <w:szCs w:val="24"/>
          <w:lang w:val="en-US"/>
        </w:rPr>
        <w:t>necessitates a</w:t>
      </w:r>
      <w:r w:rsidR="001F2457" w:rsidRPr="00165ED2">
        <w:rPr>
          <w:rFonts w:ascii="Times New Roman" w:hAnsi="Times New Roman" w:cs="Times New Roman"/>
          <w:sz w:val="24"/>
          <w:szCs w:val="24"/>
          <w:lang w:val="en-US"/>
        </w:rPr>
        <w:t>n</w:t>
      </w:r>
      <w:r w:rsidR="001571D6" w:rsidRPr="00165ED2">
        <w:rPr>
          <w:rFonts w:ascii="Times New Roman" w:hAnsi="Times New Roman" w:cs="Times New Roman"/>
          <w:sz w:val="24"/>
          <w:szCs w:val="24"/>
          <w:lang w:val="en-US"/>
        </w:rPr>
        <w:t xml:space="preserve"> energy deficit that must be met via </w:t>
      </w:r>
      <w:r w:rsidR="001571D6" w:rsidRPr="00165ED2">
        <w:rPr>
          <w:rFonts w:ascii="Times New Roman" w:eastAsia="MS Mincho" w:hAnsi="Times New Roman" w:cs="Times New Roman"/>
          <w:sz w:val="24"/>
          <w:szCs w:val="24"/>
          <w:lang w:val="en-US"/>
        </w:rPr>
        <w:t>a reduction in O</w:t>
      </w:r>
      <w:r w:rsidR="001571D6" w:rsidRPr="00165ED2">
        <w:rPr>
          <w:rFonts w:ascii="Times New Roman" w:eastAsia="MS Mincho" w:hAnsi="Times New Roman" w:cs="Times New Roman"/>
          <w:sz w:val="24"/>
          <w:szCs w:val="24"/>
          <w:vertAlign w:val="subscript"/>
          <w:lang w:val="en-US"/>
        </w:rPr>
        <w:t>2</w:t>
      </w:r>
      <w:r w:rsidR="001571D6" w:rsidRPr="00165ED2">
        <w:rPr>
          <w:rFonts w:ascii="Times New Roman" w:eastAsia="MS Mincho" w:hAnsi="Times New Roman" w:cs="Times New Roman"/>
          <w:sz w:val="24"/>
          <w:szCs w:val="24"/>
          <w:lang w:val="en-US"/>
        </w:rPr>
        <w:t xml:space="preserve"> stores and </w:t>
      </w:r>
      <w:r w:rsidR="00B32430" w:rsidRPr="00165ED2">
        <w:rPr>
          <w:rFonts w:ascii="Times New Roman" w:eastAsia="MS Mincho" w:hAnsi="Times New Roman" w:cs="Times New Roman"/>
          <w:sz w:val="24"/>
          <w:szCs w:val="24"/>
          <w:lang w:val="en-US"/>
        </w:rPr>
        <w:t xml:space="preserve">an increased rate of </w:t>
      </w:r>
      <w:r w:rsidR="001571D6" w:rsidRPr="00165ED2">
        <w:rPr>
          <w:rFonts w:ascii="Times New Roman" w:eastAsia="MS Mincho" w:hAnsi="Times New Roman" w:cs="Times New Roman"/>
          <w:sz w:val="24"/>
          <w:szCs w:val="24"/>
          <w:lang w:val="en-US"/>
        </w:rPr>
        <w:t xml:space="preserve">substrate-level phosphorylation </w:t>
      </w:r>
      <w:r w:rsidR="0019249F" w:rsidRPr="00165ED2">
        <w:rPr>
          <w:rFonts w:ascii="Times New Roman" w:eastAsia="MS Mincho" w:hAnsi="Times New Roman" w:cs="Times New Roman"/>
          <w:sz w:val="24"/>
          <w:szCs w:val="24"/>
          <w:lang w:val="en-US"/>
        </w:rPr>
        <w:fldChar w:fldCharType="begin"/>
      </w:r>
      <w:r w:rsidR="00624DC9" w:rsidRPr="00165ED2">
        <w:rPr>
          <w:rFonts w:ascii="Times New Roman" w:eastAsia="MS Mincho" w:hAnsi="Times New Roman" w:cs="Times New Roman"/>
          <w:sz w:val="24"/>
          <w:szCs w:val="24"/>
          <w:lang w:val="en-US"/>
        </w:rPr>
        <w:instrText xml:space="preserve"> ADDIN ZOTERO_ITEM CSL_CITATION {"citationID":"2ZGwD7E4","properties":{"formattedCitation":"[103,105,106]","plainCitation":"[103,105,106]","noteIndex":0},"citationItems":[{"id":108,"uris":["http://zotero.org/users/5056530/items/Q9HNHHXX"],"itemData":{"id":108,"type":"article-journal","abstract":"Muscle O2 uptake (VO2) kinetics in response to an augmented energetic requirement (on-transition) has never been directly determined in humans. We have developed a constant-infusion thermodilution technique that allowed rapid measurements of leg blood flow (Qleg) and, in conjunction with frequent serial measurement of arteriovenous O2 content difference across the leg [(Ca - Cv)O2leg], permitted the determination of the VO2 of the leg (VO2leg) at 3- to 4-s time intervals. VO2leg kinetics during the on-transition was taken as a close approximation of muscle VO2 (VO2mus) kinetics. Alveolar VO2 (VO2A), Qleg, leg O2 delivery [(Q.CaO2leg)], (Ca - Cv)O2leg, and VO2leg kinetics were determined in six trained subjects [age 22.8 +/- 4.4 (SD) yr; maximal O2 uptake 59.1 +/- 5.3 ml.kg-1.min-1] during the transition from unloaded pedaling to a workload (loaded pedaling; LP) (183 +/- 20 W) well below the previously determined ventilatory threshold. For all variables, two distinct phases were recognized. During the first 10-15 s of loaded pedaling (phase I), VO2A, Qleg, and (Q.CaO2)leg increased rapidly, whereas VO2leg increased only slightly and (Ca - Cv)O2leg actually decreased. After phase I, all variables showed a monoexponential increase (phase II), with similar time courses [slightly faster for (Ca - CV)O2leg]. In a consideration of both phases, the half times of the responses among variables were not significantly different: 25.5 +/- 2.6 s for VO2A, 26.6 +/- 7.6 s for Qleg, 26.9 +/- 8.3 s for (Q.CaO2leg, 23.5 +/- 1.3 s for (Ca - Cv)O2leg, and 27.9 +/- 5.7 s for VO2leg. We conclude that during the on-transition the kinetics of VO2A and VO2leg, as measured by these methods, are similar. The analysis of the early phase (first 10-15 s) of the on-transition indicates that bulk delivery of O2 to the working muscles is not limiting VO2leg kinetics. However, the present results cannot discriminate between maldistribution of blood flow/VO2 vs. inertia the intracellular oxidative machinery as the limiting factor.","container-title":"Journal of Applied Physiology (Bethesda, Md.: 1985)","ISSN":"8750-7587","issue":"3","journalAbbreviation":"J. Appl. Physiol.","language":"eng","note":"PMID: 8964765","page":"988-998","source":"PubMed","title":"Muscle O2 uptake kinetics in humans: implications for metabolic control","title-short":"Muscle O2 uptake kinetics in humans","volume":"80","author":[{"family":"Grassi","given":"B."},{"family":"Poole","given":"D. C."},{"family":"Richardson","given":"R. S."},{"family":"Knight","given":"D. R."},{"family":"Erickson","given":"B. K."},{"family":"Wagner","given":"P. D."}],"issued":{"date-parts":[["1996",3]]}}},{"id":115,"uris":["http://zotero.org/users/5056530/items/DGGPP8BV"],"itemData":{"id":115,"type":"article-journal","container-title":"Journal of Applied Physiology","ISSN":"0021-8987","issue":"2","journalAbbreviation":"J Appl Physiol","language":"eng","note":"PMID: 5539892","page":"261-263","source":"PubMed","title":"Rate constant for the kinetics of oxygen uptake during light exercise","volume":"30","author":[{"family":"Whipp","given":"B. J."}],"issued":{"date-parts":[["1971",2]]}}},{"id":114,"uris":["http://zotero.org/users/5056530/items/5FE2QZJU"],"itemData":{"id":114,"type":"article-journal","abstract":"To determine the precise nonsteady-state characteristics of ventilation (VE), O2 uptake (VO2), and CO2 output (VCO2) during moderate-intensity exercise, six subjects each underwent eight repetitions of 100-W constant-load cycling. The tests were preceded either by rest or unloaded cycling (\"0\" W). An early component of VE, VO2, and VCO2 responses, which was obscured on any single test by the breath-to-breath fluctuations, became apparent when the several repetitions were averaged. These early responses were abrupt when the work was instituted from rest but were much slower and smaller from the 0-W base line and corresponded to the phase of cardiodynamic gas exchange. Some 20 s after the onset of the work a further monoexponential increase to steady state occurred in all three variables, the time constants of which did not differ between the two types of test. Consequently, the exponential behavior of VE, VO2, and VCO2 in response to moderate exercise is best described by a model that incorporates only the second phase of the response.","container-title":"Journal of Applied Physiology: Respiratory, Environmental and Exercise Physiology","ISSN":"0161-7567","issue":"6","journalAbbreviation":"J Appl Physiol Respir Environ Exerc Physiol","language":"eng","note":"PMID: 6809716","page":"1506-1513","source":"PubMed","title":"Parameters of ventilatory and gas exchange dynamics during exercise","volume":"52","author":[{"family":"Whipp","given":"B. J."},{"family":"Ward","given":"S. A."},{"family":"Lamarra","given":"N."},{"family":"Davis","given":"J. A."},{"family":"Wasserman","given":"K."}],"issued":{"date-parts":[["1982",6]]}}}],"schema":"https://github.com/citation-style-language/schema/raw/master/csl-citation.json"} </w:instrText>
      </w:r>
      <w:r w:rsidR="0019249F" w:rsidRPr="00165ED2">
        <w:rPr>
          <w:rFonts w:ascii="Times New Roman" w:eastAsia="MS Mincho" w:hAnsi="Times New Roman" w:cs="Times New Roman"/>
          <w:sz w:val="24"/>
          <w:szCs w:val="24"/>
          <w:lang w:val="en-US"/>
        </w:rPr>
        <w:fldChar w:fldCharType="separate"/>
      </w:r>
      <w:r w:rsidR="00624DC9" w:rsidRPr="00165ED2">
        <w:rPr>
          <w:rFonts w:ascii="Times New Roman" w:hAnsi="Times New Roman" w:cs="Times New Roman"/>
          <w:sz w:val="24"/>
        </w:rPr>
        <w:t>[103,105,106]</w:t>
      </w:r>
      <w:r w:rsidR="0019249F" w:rsidRPr="00165ED2">
        <w:rPr>
          <w:rFonts w:ascii="Times New Roman" w:eastAsia="MS Mincho" w:hAnsi="Times New Roman" w:cs="Times New Roman"/>
          <w:sz w:val="24"/>
          <w:szCs w:val="24"/>
          <w:lang w:val="en-US"/>
        </w:rPr>
        <w:fldChar w:fldCharType="end"/>
      </w:r>
      <w:r w:rsidR="001571D6" w:rsidRPr="00165ED2">
        <w:rPr>
          <w:rFonts w:ascii="Times New Roman" w:eastAsia="MS Mincho" w:hAnsi="Times New Roman" w:cs="Times New Roman"/>
          <w:sz w:val="24"/>
          <w:szCs w:val="24"/>
          <w:lang w:val="en-US"/>
        </w:rPr>
        <w:t>. This “O</w:t>
      </w:r>
      <w:r w:rsidR="001571D6" w:rsidRPr="00165ED2">
        <w:rPr>
          <w:rFonts w:ascii="Times New Roman" w:eastAsia="MS Mincho" w:hAnsi="Times New Roman" w:cs="Times New Roman"/>
          <w:sz w:val="24"/>
          <w:szCs w:val="24"/>
          <w:vertAlign w:val="subscript"/>
          <w:lang w:val="en-US"/>
        </w:rPr>
        <w:t>2</w:t>
      </w:r>
      <w:r w:rsidR="001571D6" w:rsidRPr="00165ED2">
        <w:rPr>
          <w:rFonts w:ascii="Times New Roman" w:eastAsia="MS Mincho" w:hAnsi="Times New Roman" w:cs="Times New Roman"/>
          <w:sz w:val="24"/>
          <w:szCs w:val="24"/>
          <w:lang w:val="en-US"/>
        </w:rPr>
        <w:t xml:space="preserve"> deficit</w:t>
      </w:r>
      <w:r w:rsidR="00B32430" w:rsidRPr="00165ED2">
        <w:rPr>
          <w:rFonts w:ascii="Times New Roman" w:eastAsia="MS Mincho" w:hAnsi="Times New Roman" w:cs="Times New Roman"/>
          <w:sz w:val="24"/>
          <w:szCs w:val="24"/>
          <w:lang w:val="en-US"/>
        </w:rPr>
        <w:t>”</w:t>
      </w:r>
      <w:r w:rsidR="001571D6" w:rsidRPr="00165ED2">
        <w:rPr>
          <w:rFonts w:ascii="Times New Roman" w:eastAsia="MS Mincho" w:hAnsi="Times New Roman" w:cs="Times New Roman"/>
          <w:sz w:val="24"/>
          <w:szCs w:val="24"/>
          <w:lang w:val="en-US"/>
        </w:rPr>
        <w:t xml:space="preserve"> is a function of </w:t>
      </w:r>
      <w:r w:rsidR="001571D6" w:rsidRPr="00165ED2">
        <w:rPr>
          <w:rFonts w:ascii="Times New Roman" w:hAnsi="Times New Roman" w:cs="Times New Roman"/>
          <w:sz w:val="24"/>
          <w:szCs w:val="24"/>
          <w:lang w:val="en-US"/>
        </w:rPr>
        <w:t>τ</w:t>
      </w:r>
      <w:r w:rsidR="001571D6" w:rsidRPr="00165ED2">
        <w:rPr>
          <w:rFonts w:ascii="Times New Roman" w:hAnsi="Times New Roman" w:cs="Times New Roman"/>
          <w:sz w:val="24"/>
          <w:szCs w:val="24"/>
          <w:vertAlign w:val="subscript"/>
          <w:lang w:val="en-US"/>
        </w:rPr>
        <w:t xml:space="preserve">V̇O2 </w:t>
      </w:r>
      <w:r w:rsidR="001571D6" w:rsidRPr="00165ED2">
        <w:rPr>
          <w:rFonts w:ascii="Times New Roman" w:hAnsi="Times New Roman" w:cs="Times New Roman"/>
          <w:sz w:val="24"/>
          <w:szCs w:val="24"/>
          <w:lang w:val="en-US"/>
        </w:rPr>
        <w:t>and the steady-state increment V̇O</w:t>
      </w:r>
      <w:r w:rsidR="001571D6" w:rsidRPr="00165ED2">
        <w:rPr>
          <w:rFonts w:ascii="Times New Roman" w:hAnsi="Times New Roman" w:cs="Times New Roman"/>
          <w:sz w:val="24"/>
          <w:szCs w:val="24"/>
          <w:vertAlign w:val="subscript"/>
          <w:lang w:val="en-US"/>
        </w:rPr>
        <w:t>2</w:t>
      </w:r>
      <w:r w:rsidR="001571D6" w:rsidRPr="00165ED2">
        <w:rPr>
          <w:rFonts w:ascii="Times New Roman" w:hAnsi="Times New Roman" w:cs="Times New Roman"/>
          <w:sz w:val="24"/>
          <w:szCs w:val="24"/>
          <w:lang w:val="en-US"/>
        </w:rPr>
        <w:t xml:space="preserve">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{"citationID":"11kE416K","properties":{"formattedCitation":"[105]","plainCitation":"[105]","noteIndex":0},"citationItems":[{"id":115,"uris":["http://zotero.org/users/5056530/items/DGGPP8BV"],"itemData":{"id":115,"type":"article-journal","container-title":"Journal of Applied Physiology","ISSN":"0021-8987","issue":"2","journalAbbreviation":"J Appl Physiol","language":"eng","note":"PMID: 5539892","page":"261-263","source":"PubMed","title":"Rate constant for the kinetics of oxygen uptake during light exercise","volume":"30","author":[{"family":"Whipp","given":"B. J."}],"issued":{"date-parts":[["1971",2]]}}}],"schema":"https://github.com/citation-style-language/schema/raw/master/csl-citation.json"}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[105]</w:t>
      </w:r>
      <w:r w:rsidR="00CB50A3" w:rsidRPr="00165ED2">
        <w:rPr>
          <w:rFonts w:ascii="Times New Roman" w:hAnsi="Times New Roman" w:cs="Times New Roman"/>
          <w:sz w:val="24"/>
          <w:szCs w:val="24"/>
          <w:lang w:val="en-US"/>
        </w:rPr>
        <w:fldChar w:fldCharType="end"/>
      </w:r>
      <w:r w:rsidR="001571D6" w:rsidRPr="00165ED2">
        <w:rPr>
          <w:rFonts w:ascii="Times New Roman" w:hAnsi="Times New Roman" w:cs="Times New Roman"/>
          <w:sz w:val="24"/>
          <w:szCs w:val="24"/>
          <w:lang w:val="en-US"/>
        </w:rPr>
        <w:t xml:space="preserve">, at least for work rates where a steady-state is rapidly attained.  </w:t>
      </w:r>
      <w:r w:rsidR="001571D6" w:rsidRPr="00165ED2">
        <w:rPr>
          <w:rFonts w:ascii="Times New Roman" w:eastAsia="MS Mincho" w:hAnsi="Times New Roman" w:cs="Times New Roman"/>
          <w:sz w:val="24"/>
          <w:szCs w:val="24"/>
          <w:lang w:val="en-US"/>
        </w:rPr>
        <w:t>The magnitude of this O</w:t>
      </w:r>
      <w:r w:rsidR="001571D6" w:rsidRPr="00165ED2">
        <w:rPr>
          <w:rFonts w:ascii="Times New Roman" w:eastAsia="MS Mincho" w:hAnsi="Times New Roman" w:cs="Times New Roman"/>
          <w:sz w:val="24"/>
          <w:szCs w:val="24"/>
          <w:vertAlign w:val="subscript"/>
          <w:lang w:val="en-US"/>
        </w:rPr>
        <w:t>2</w:t>
      </w:r>
      <w:r w:rsidR="001571D6" w:rsidRPr="00165ED2">
        <w:rPr>
          <w:rFonts w:ascii="Times New Roman" w:eastAsia="MS Mincho" w:hAnsi="Times New Roman" w:cs="Times New Roman"/>
          <w:sz w:val="24"/>
          <w:szCs w:val="24"/>
          <w:lang w:val="en-US"/>
        </w:rPr>
        <w:t xml:space="preserve"> deficit at exercise onset is critical, since</w:t>
      </w:r>
      <w:r w:rsidR="001571D6" w:rsidRPr="00165ED2">
        <w:rPr>
          <w:rFonts w:ascii="Times New Roman" w:hAnsi="Times New Roman" w:cs="Times New Roman"/>
          <w:sz w:val="24"/>
          <w:szCs w:val="24"/>
          <w:lang w:val="en-US"/>
        </w:rPr>
        <w:t xml:space="preserve"> it determines 1) the degree of reliance on nonoxidative sources of energy provision (</w:t>
      </w:r>
      <w:r w:rsidR="0038203D" w:rsidRPr="00165ED2">
        <w:rPr>
          <w:rFonts w:ascii="Times New Roman" w:hAnsi="Times New Roman" w:cs="Times New Roman"/>
          <w:sz w:val="24"/>
          <w:szCs w:val="24"/>
          <w:lang w:val="en-US"/>
        </w:rPr>
        <w:t xml:space="preserve">i.e., </w:t>
      </w:r>
      <w:r w:rsidR="001571D6" w:rsidRPr="00165ED2">
        <w:rPr>
          <w:rFonts w:ascii="Times New Roman" w:hAnsi="Times New Roman" w:cs="Times New Roman"/>
          <w:sz w:val="24"/>
          <w:szCs w:val="24"/>
          <w:lang w:val="en-US"/>
        </w:rPr>
        <w:t>depletion of [</w:t>
      </w:r>
      <w:proofErr w:type="spellStart"/>
      <w:r w:rsidR="001571D6" w:rsidRPr="00165ED2">
        <w:rPr>
          <w:rFonts w:ascii="Times New Roman" w:hAnsi="Times New Roman" w:cs="Times New Roman"/>
          <w:sz w:val="24"/>
          <w:szCs w:val="24"/>
          <w:lang w:val="en-US"/>
        </w:rPr>
        <w:t>PCr</w:t>
      </w:r>
      <w:proofErr w:type="spellEnd"/>
      <w:r w:rsidR="001571D6" w:rsidRPr="00165ED2">
        <w:rPr>
          <w:rFonts w:ascii="Times New Roman" w:hAnsi="Times New Roman" w:cs="Times New Roman"/>
          <w:sz w:val="24"/>
          <w:szCs w:val="24"/>
          <w:lang w:val="en-US"/>
        </w:rPr>
        <w:t xml:space="preserve">] and [glycogen] </w:t>
      </w:r>
      <w:r w:rsidR="0038203D" w:rsidRPr="00165ED2">
        <w:rPr>
          <w:rFonts w:ascii="Times New Roman" w:hAnsi="Times New Roman" w:cs="Times New Roman"/>
          <w:sz w:val="24"/>
          <w:szCs w:val="24"/>
          <w:lang w:val="en-US"/>
        </w:rPr>
        <w:t>and</w:t>
      </w:r>
      <w:r w:rsidR="001571D6" w:rsidRPr="00165ED2">
        <w:rPr>
          <w:rFonts w:ascii="Times New Roman" w:hAnsi="Times New Roman" w:cs="Times New Roman"/>
          <w:sz w:val="24"/>
          <w:szCs w:val="24"/>
          <w:lang w:val="en-US"/>
        </w:rPr>
        <w:t xml:space="preserve"> </w:t>
      </w:r>
      <w:r w:rsidR="0038203D" w:rsidRPr="00165ED2">
        <w:rPr>
          <w:rFonts w:ascii="Times New Roman" w:hAnsi="Times New Roman" w:cs="Times New Roman"/>
          <w:sz w:val="24"/>
          <w:szCs w:val="24"/>
          <w:lang w:val="en-US"/>
        </w:rPr>
        <w:t xml:space="preserve">consequent </w:t>
      </w:r>
      <w:r w:rsidR="001571D6" w:rsidRPr="00165ED2">
        <w:rPr>
          <w:rFonts w:ascii="Times New Roman" w:hAnsi="Times New Roman" w:cs="Times New Roman"/>
          <w:sz w:val="24"/>
          <w:szCs w:val="24"/>
          <w:lang w:val="en-US"/>
        </w:rPr>
        <w:t>accumulation of [L</w:t>
      </w:r>
      <w:r w:rsidR="001571D6" w:rsidRPr="00165ED2">
        <w:rPr>
          <w:rFonts w:ascii="Times New Roman" w:hAnsi="Times New Roman" w:cs="Times New Roman"/>
          <w:sz w:val="24"/>
          <w:szCs w:val="24"/>
          <w:vertAlign w:val="superscript"/>
          <w:lang w:val="en-US"/>
        </w:rPr>
        <w:t>-</w:t>
      </w:r>
      <w:r w:rsidR="001571D6" w:rsidRPr="00165ED2">
        <w:rPr>
          <w:rFonts w:ascii="Times New Roman" w:hAnsi="Times New Roman" w:cs="Times New Roman"/>
          <w:sz w:val="24"/>
          <w:szCs w:val="24"/>
          <w:lang w:val="en-US"/>
        </w:rPr>
        <w:t>] and [H</w:t>
      </w:r>
      <w:r w:rsidR="001571D6" w:rsidRPr="00165ED2">
        <w:rPr>
          <w:rFonts w:ascii="Times New Roman" w:hAnsi="Times New Roman" w:cs="Times New Roman"/>
          <w:sz w:val="24"/>
          <w:szCs w:val="24"/>
          <w:vertAlign w:val="superscript"/>
          <w:lang w:val="en-US"/>
        </w:rPr>
        <w:t>+</w:t>
      </w:r>
      <w:r w:rsidR="001571D6" w:rsidRPr="00165ED2">
        <w:rPr>
          <w:rFonts w:ascii="Times New Roman" w:hAnsi="Times New Roman" w:cs="Times New Roman"/>
          <w:sz w:val="24"/>
          <w:szCs w:val="24"/>
          <w:lang w:val="en-US"/>
        </w:rPr>
        <w:t xml:space="preserve">]), 2) the magnitude of metabolic perturbation incurred </w:t>
      </w:r>
      <w:r w:rsidR="00CB50A3" w:rsidRPr="00165ED2">
        <w:rPr>
          <w:rFonts w:ascii="Times New Roman" w:hAnsi="Times New Roman" w:cs="Times New Roman"/>
          <w:sz w:val="24"/>
          <w:szCs w:val="24"/>
          <w:lang w:val="en-US"/>
        </w:rPr>
        <w:t xml:space="preserve">during the rest-to-work transition </w:t>
      </w:r>
      <w:r w:rsidR="001571D6" w:rsidRPr="00165ED2">
        <w:rPr>
          <w:rFonts w:ascii="Times New Roman" w:hAnsi="Times New Roman" w:cs="Times New Roman"/>
          <w:sz w:val="24"/>
          <w:szCs w:val="24"/>
          <w:lang w:val="en-US"/>
        </w:rPr>
        <w:t>(i.e., Δ[</w:t>
      </w:r>
      <w:proofErr w:type="spellStart"/>
      <w:r w:rsidR="001571D6" w:rsidRPr="00165ED2">
        <w:rPr>
          <w:rFonts w:ascii="Times New Roman" w:hAnsi="Times New Roman" w:cs="Times New Roman"/>
          <w:sz w:val="24"/>
          <w:szCs w:val="24"/>
          <w:lang w:val="en-US"/>
        </w:rPr>
        <w:t>PCr</w:t>
      </w:r>
      <w:proofErr w:type="spellEnd"/>
      <w:r w:rsidR="001571D6" w:rsidRPr="00165ED2">
        <w:rPr>
          <w:rFonts w:ascii="Times New Roman" w:hAnsi="Times New Roman" w:cs="Times New Roman"/>
          <w:sz w:val="24"/>
          <w:szCs w:val="24"/>
          <w:lang w:val="en-US"/>
        </w:rPr>
        <w:t>], Δ[ADP], Δ[Pi], extracellular [K</w:t>
      </w:r>
      <w:r w:rsidR="001571D6" w:rsidRPr="00165ED2">
        <w:rPr>
          <w:rFonts w:ascii="Times New Roman" w:hAnsi="Times New Roman" w:cs="Times New Roman"/>
          <w:sz w:val="24"/>
          <w:szCs w:val="24"/>
          <w:vertAlign w:val="superscript"/>
          <w:lang w:val="en-US"/>
        </w:rPr>
        <w:t>+</w:t>
      </w:r>
      <w:r w:rsidR="001571D6" w:rsidRPr="00165ED2">
        <w:rPr>
          <w:rFonts w:ascii="Times New Roman" w:hAnsi="Times New Roman" w:cs="Times New Roman"/>
          <w:sz w:val="24"/>
          <w:szCs w:val="24"/>
          <w:lang w:val="en-US"/>
        </w:rPr>
        <w:t>] accumulation,</w:t>
      </w:r>
      <w:r w:rsidR="001571D6" w:rsidRPr="00165ED2">
        <w:rPr>
          <w:rFonts w:ascii="Times New Roman" w:eastAsia="MS Mincho" w:hAnsi="Times New Roman" w:cs="Times New Roman"/>
          <w:sz w:val="24"/>
          <w:szCs w:val="24"/>
          <w:lang w:val="en-US"/>
        </w:rPr>
        <w:t xml:space="preserve"> loss of sarcoplasmic Ca</w:t>
      </w:r>
      <w:r w:rsidR="001571D6" w:rsidRPr="00165ED2">
        <w:rPr>
          <w:rFonts w:ascii="Times New Roman" w:eastAsia="MS Mincho" w:hAnsi="Times New Roman" w:cs="Times New Roman"/>
          <w:sz w:val="24"/>
          <w:szCs w:val="24"/>
          <w:vertAlign w:val="superscript"/>
          <w:lang w:val="en-US"/>
        </w:rPr>
        <w:t>2+</w:t>
      </w:r>
      <w:r w:rsidR="001571D6" w:rsidRPr="00165ED2">
        <w:rPr>
          <w:rFonts w:ascii="Times New Roman" w:eastAsia="MS Mincho" w:hAnsi="Times New Roman" w:cs="Times New Roman"/>
          <w:sz w:val="24"/>
          <w:szCs w:val="24"/>
          <w:lang w:val="en-US"/>
        </w:rPr>
        <w:t xml:space="preserve"> release and sensitivity</w:t>
      </w:r>
      <w:r w:rsidR="001571D6" w:rsidRPr="00165ED2">
        <w:rPr>
          <w:rFonts w:ascii="Times New Roman" w:hAnsi="Times New Roman" w:cs="Times New Roman"/>
          <w:sz w:val="24"/>
          <w:szCs w:val="24"/>
          <w:lang w:val="en-US"/>
        </w:rPr>
        <w:t xml:space="preserve">), 3) the extent of fatigue induction sustained, and 4) the loss of skeletal muscle efficiency induced during the rest-to exercise transition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JsVQ3fjW","properties":{"formattedCitation":"[8,10,14,101,102,104,107\\uc0\\u8211{}110]","plainCitation":"[8,10,14,101,102,104,107–110]","noteIndex":0},"citationItems":[{"id":3098,"uris":["http://zotero.org/users/5056530/items/4HUF4V3M"],"itemData":{"id":3098,"type":"article-journal","abstract":"We hypothesize that the V[Combining Dot Above]O2 time constant (τV[Combining Dot Above]O2) determines exercise tolerance by defining the power output associated with a “critical threshold” of intramuscular metabolite accumulation (e.g. inorganic phosphate), above which muscle fatigue and work inefficiency are apparent. Thereafter, the V[Combining Dot Above]O2 “slow component”, and its consequences (increased pulmonary, circulatory and neuromuscular demands) determine performance limits.","container-title":"Exercise and Sport Sciences Reviews","DOI":"10.1249/JES.0000000000000267","ISSN":"0091-6331","language":"en-US","source":"journals.lww.com","title":"Bioenergetic Mechanisms Linking V[Combining Dot Above]O2 Kinetics and Exercise Tolerance","URL":"https://journals.lww.com/acsm-essr/Abstract/9000/Bioenergetic_Mechanisms_Linking_V_Combining_Dot.99696.aspx","author":[{"family":"Goulding","given":"Richie P."},{"family":"Rossiter","given":"Harry B."},{"family":"Marwood","given":"Simon"},{"family":"Ferguson","given":"Carrie"}],"accessed":{"date-parts":[["2021",7,20]]},"issued":{"date-parts":[["2021",7,15]]}}},{"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B."}],"issued":{"date-parts":[["2020",5,20]]}}},{"id":208,"uris":["http://zotero.org/users/5056530/items/5SW9UQIW"],"itemData":{"id":208,"type":"article-journal","abstract":"Tolerance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 Fourteen healthy men performed cycle ergometry protocols to the limit of tolerance: 1) an incremental ramp test; 2) a series of constant-P tests to determine V̇o2max, CP, and W′; and 3) repeated constant-P tests (WR6) normalized to a 6 min tlim for τV̇o2 and ΔV̇o2sc estimation. The WR6 tlim averaged 365 ± 16 s, and V̇o2max (4.18 ± 0.49 l/min) was achieved in every case. CP (range: 171–294 W) was inversely correlated with τV̇o2 (18–38 s; R2 = 0.90), and W′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1522-1601","issue":"6","language":"en","license":"Copyright © 2011 the American Physiological Society","note":"PMID: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B."}],"issued":{"date-parts":[["2011",6,1]]}}},{"id":493,"uris":["http://zotero.org/users/5056530/items/BX9B8B7R"],"itemData":{"id":493,"type":"article-journal","abstract":"Muscular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M."}],"issued":{"date-parts":[["2012",4]]}}},{"id":457,"uris":["http://zotero.org/users/5056530/items/VHQAUGQ7"],"itemData":{"id":457,"type":"article-journal","abstract":"An analysis of previously published data obtained by our group on patients characterized by markedly slower pulmonary VO₂ kinetics (heart transplant recipients, patients with mitochondrial myopathies, patients with McArdle disease) was carried out in order to suggest that slow VO₂ kinetics should not be considered the direct cause, but rather a marker, of impaired exercise tolerance. For a given ATP turnover rate, faster (or slower) VO₂ kinetics are associated with smaller (or greater) muscle [PCr] decreases. The latter, however, should not be taken per se responsible for the higher (or lower) exercise tolerance, but should be considered within the general concept of \"metabolic stability\". Good muscle metabolic stability at a given ATP turnover rate (~power output) is associated with relatively smaller decreases, compared to rest, in [PCr] and in the Gibbs free energy of ATP hydrolysis, as well as with relatively smaller increases in [Pi], [ADP(free)], [AMP(free)], and [IMP(free)], metabolites directly related to fatigue. Disturbances in muscle metabolic stability can affect muscle function in various ways, whereas good metabolic stability is associated with less fatigue and higher exercise tolerance. Smaller [PCr] decreases, however, are strictly associated with a faster VO₂ kinetics. Thus, faster VO₂ kinetics may simply be an \"epiphenomenon\" of a relatively higher metabolic stability, which would then represent the relevant variable in terms of fatigue and exercise tolerance.","container-title":"European Journal of Applied Physiology","DOI":"10.1007/s00421-010-1609-1","ISSN":"1439-6327","issue":"3","journalAbbreviation":"Eur. J. Appl. Physiol.","language":"eng","note":"PMID: 20821336","page":"345-355","source":"PubMed","title":"Slow VO₂ kinetics during moderate-intensity exercise as markers of lower metabolic stability and lower exercise tolerance","volume":"111","author":[{"family":"Grassi","given":"Bruno"},{"family":"Porcelli","given":"Simone"},{"family":"Salvadego","given":"Desy"},{"family":"Zoladz","given":"Jerzy A."}],"issued":{"date-parts":[["2011",3]]}}},{"id":169,"uris":["http://zotero.org/users/5056530/items/V8V82EFQ"],"itemData":{"id":169,"type":"chapter","abstract":"The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Physiology","ISBN":"978-0-470-65071-4","language":"en","license":"Copyright © 2011 American Physiological Society. All rights reserved.","note":"DOI: 10.1002/cphy.c090010","publisher":"John Wiley &amp; Sons, Inc.","source":"Wiley Online Library","title":"Exercise: Kinetic Considerations for Gas Exchange","title-short":"Exercise","URL":"http://onlinelibrary.wiley.com/doi/10.1002/cphy.c090010/abstract","author":[{"family":"Rossiter","given":"Harry B."}],"issued":{"date-parts":[["2010"]]}}},{"id":25,"uris":["http://zotero.org/users/5056530/items/2C57N2GQ"],"itemData":{"id":25,"type":"article-journal","abstract":"During constant-power output (PO) exercise above lactate threshold (LT), pulmonary O2 uptake (V̇o2p) features a developing slow component (V̇o2pSC). This progressive increase in O2 cost of exercise is suggested to be related to the effects of muscle fatigue development. We hypothesized that peripheral muscle fatigue as assessed by contractile impairment would be associated with the V̇o2pSC. Eleven healthy men were recruited to perform four constant-PO tests at an intensity corresponding to </w:instrText>
      </w:r>
      <w:r w:rsidR="00624DC9" w:rsidRPr="00165ED2">
        <w:rPr>
          <w:rFonts w:ascii="Cambria Math" w:hAnsi="Cambria Math" w:cs="Cambria Math"/>
          <w:sz w:val="24"/>
          <w:szCs w:val="24"/>
          <w:lang w:val="en-US"/>
        </w:rPr>
        <w:instrText>∼</w:instrText>
      </w:r>
      <w:r w:rsidR="00624DC9" w:rsidRPr="00165ED2">
        <w:rPr>
          <w:rFonts w:ascii="Times New Roman" w:hAnsi="Times New Roman" w:cs="Times New Roman"/>
          <w:sz w:val="24"/>
          <w:szCs w:val="24"/>
          <w:lang w:val="en-US"/>
        </w:rPr>
        <w:instrText xml:space="preserve">Δ60 (very heavy, VH) where Δ is 60% of the difference between LT and peak V̇o2p. The VH exercise was completed for each of 3, 8, 13, and 18 min (i.e., VH3, VH8, VH13, VH18) with each preceded by 3 min of cycling at 20 W. Peripheral muscle fatigue was assessed via pre- vs. postexercise measurements of quadriceps torque in response to brief trains of electrical stimulation delivered at low (10 Hz) and high (50 Hz) frequencies. During exercise, breath-by-breath V̇o2p was measured by mass spectrometry and volume turbine. The magnitude of V̇o2pSC increased (P &lt; 0.05) from 224 ± 81 ml/min at VH3 to 520 ± 119, 625 ± 134, and 678 ± 156 ml/min at VH8, VH13, and VH18, respectively. The ratio of the low-to-high frequency (10/50 Hz) response was reduced (P &lt; 0.05) at VH3 (−12 ± 9%) and further reduced (P &lt; 0.05) at VH8 (−25 ± 11%), VH13 (−42 ± 19%), and VH18 (−46 ± 16%), mirroring the temporal pattern of V̇o2pSC development. The reduction in 10/50 Hz ratio was correlated (P &lt; 0.001, r2 = 0.69) with V̇o2pSC amplitude. The temporal and quantitative association of decrements in muscle torque production and V̇o2pSC suggest a common physiological mechanism between skeletal muscle fatigue and loss of muscle efficiency.","container-title":"Journal of Applied Physiology","DOI":"10.1152/japplphysiol.00249.2016","ISSN":"8750-7587","issue":"2","journalAbbreviation":"Journal of Applied Physiology","note":"publisher: American Physiological Society","page":"493-502","source":"journals.physiology.org (Atypon)","title":"The slow component of pulmonary O2 uptake accompanies peripheral muscle fatigue during high-intensity exercise","volume":"121","author":[{"family":"Keir","given":"Daniel A."},{"family":"Copithorne","given":"David B."},{"family":"Hodgson","given":"Michael D."},{"family":"Pogliaghi","given":"Silvia"},{"family":"Rice","given":"Charles L."},{"family":"Kowalchuk","given":"John M."}],"issued":{"date-parts":[["2016",6,23]]}}},{"id":28,"uris":["http://zotero.org/users/5056530/items/FENJCZ5X"],"itemData":{"id":28,"type":"article-journal","abstract":"PURPOSE: In theory, a slow oxygen uptake ([Formula: see text]) kinetics leads to a greater accumulation of anaerobic by-products, which can, in turn, induce more neuromuscular fatigue. However, the existence of this relationship has never been tested.\nMETHODS: After two sessions to measure peak [Formula: see text], peak power output (POpeak), and [Formula: see text] kinetics responses in the unfatigued state (τ [Formula: see text] MOD), 10 healthy young adults performed a 6-min cycling bout at 80% POpeak (INT6-min). [Formula: see text] kinetics responses were also measured during INT6-min. Neuromuscular fatigue was measured isometrically pre- and post-INT6-min (immediately post- and 15-s post-INT6-min) with an innovative cycle ergometer.\nRESULTS: Maximal voluntary contraction (MVC) force, high-frequency doublet amplitude, and the ratio of low- to high-frequency doublet amplitudes decreased by 34 ± 7, 43 ± 11, and 31 ± 13%, respectively (all P &lt; 0.01). A significant Spearman's rank correlation was observed between the change in low-frequency doublet force (ΔDb10) immediately after INT6-min and both τ [Formula: see text] MOD and τ [Formula: see text] INT6-min (ρ = -0.68 and ρ = -0.67, both P &lt; 0.05). When considering the largest responses from the two neuromuscular evaluations post-INT6-min, significant correlations were also found between τ [Formula: see text] MOD and ΔDb10 (ρ = -0.74; P &lt; 0.05) and between τ[Formula: see text] INT6-min and both ΔDb10 and low-frequency fatigue (ρ = -0.70 and ρ = -0.66; both P &lt; 0.05).\nCONCLUSION: The present results suggest that subjects with slow [Formula: see text] kinetics experience more peripheral fatigue, in particular more excitation-contraction coupling failure, likely due to a greater accumulation of protons and/or inorganic phosphates.","container-title":"European Journal of Applied Physiology","DOI":"10.1007/s00421-017-3585-1","ISSN":"1439-6327","issue":"5","journalAbbreviation":"Eur. J. Appl. Physiol.","language":"eng","note":"PMID: 28357580","page":"969-978","source":"PubMed","title":"The relationship between oxygen uptake kinetics and neuromuscular fatigue in high-intensity cycling exercise","volume":"117","author":[{"family":"Temesi","given":"John"},{"family":"Mattioni Maturana","given":"Felipe"},{"family":"Peyrard","given":"Arthur"},{"family":"Piucco","given":"Tatiane"},{"family":"Murias","given":"Juan M."},{"family":"Millet","given":"Guillaume Y."}],"issued":{"date-parts":[["2017",5]]}}},{"id":167,"uris":["http://zotero.org/users/5056530/items/C3URDR9A"],"itemData":{"id":167,"type":"article-journal","abstract":"The mechanisms determining exercise intolerance are poorly understood. A reduction in work efficiency in the form of an additional energy cost and oxygen requirement occurs during high-intensity exercise and contributes to exercise limitation. Muscle fatigue and subsequent recruitment of poorly efficient muscle fibres has been proposed to mediate this decline. These data demonstrate in humans, that muscle fatigue, generated in the initial minutes of exercise, is correlated with the increasing energy demands of high-intensity exercise. Surprisingly, however, while muscle fatigue reached a plateau, oxygen uptake continued to increase throughout 8 min of exercise. This suggests that additional recruitment of inefficient muscle fibres may not be the sole mechanism contributing to the decline in work efficiency during high-intensity exercise.","container-title":"The Journal of Physiology","DOI":"10.1113/jphysiol.2010.197723","ISSN":"1469-7793","issue":"Pt 3","journalAbbreviation":"J. Physiol. (Lond.)","language":"eng","note":"PMID: 21135050\nPMCID: PMC3055554","page":"727-739","source":"PubMed","title":"Skeletal muscle fatigue precedes the slow component of oxygen uptake kinetics during exercise in humans","volume":"589","author":[{"family":"Cannon","given":"Daniel T."},{"family":"White","given":"Ailish C."},{"family":"Andriano","given":"Melina F."},{"family":"Kolkhorst","given":"Fred W."},{"family":"Rossiter","given":"Harry B."}],"issued":{"date-parts":[["2011",2,1]]}}},{"id":1111,"uris":["http://zotero.org/users/5056530/items/4KG9YSPN"],"itemData":{"id":1111,"type":"article-journal","abstract":"Computer simulations, using the \"Pi double-threshold\" mechanism of muscle fatigue postulated previously (the first threshold initiating progressive reduction in work efficiency and the second threshold resulting in exercise intolerance), demonstrated that several parameters of the skeletal muscle bioenergetic system can affect the maximum oxygen consumption (V̇O2max), critical power (CP) and oxygen consumption (V̇O2) on-kinetics in skeletal muscle. Simulations and experimental observations together demonstrate that endurance exercise training increases oxidative phosphorylation (OXPHOS) activity and/or each-step activation (ESA) intensity, the latter especially in the early stages of training. Here, new computer simulations demonstrate that an endurance training-induced increase in OXPHOS activity and decrease in peak Pi (Pipeak), at which exercise is terminated because of exercise intolerance, result in increased V̇O2max and CP, speeding of the primary phase II of V̇O2 on-kinetics and decrease of the V̇O2 slow component magnitude, consistent with their observed behavior in vivo. It is possible, but remains unknown, whether there is a contribution to this behavior of an increase in the critical Pi (Picrit), above which the additional ATP usage underlying the slow component begins, and decrease in the activity of the additional ATP usage (kadd). Thus, we offer a mechanism, involving Pi accumulation, Picrit and Pipeak, of the training-induced adaptations in V̇O2max, CP, and the primary and slow component phases of V̇O2 on-kinetics that was absent in the literature.","container-title":"Journal of Applied Physiology","DOI":"10.1152/japplphysiol.00745.2020","ISSN":"8750-7587","note":"publisher: American Physiological Society","source":"journals.physiology.org (Atypon)","title":"Factors determining training-induced changes in V̇O2max, critical power and V̇O2 on-kinetics in skeletal muscle","URL":"https://journals.physiology.org/doi/abs/10.1152/japplphysiol.00745.2020","author":[{"family":"Korzeniewski","given":"Bernard"},{"family":"Rossiter","given":"Harry B."}],"accessed":{"date-parts":[["2020",11,25]]},"issued":{"date-parts":[["2020",11,19]]}}}],"schema":"https://github.com/citation-style-language/schema/raw/master/csl-citation.json"}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szCs w:val="24"/>
        </w:rPr>
        <w:t>[8,10,14,101,102,104,107–110]</w:t>
      </w:r>
      <w:r w:rsidR="00CB50A3" w:rsidRPr="00165ED2">
        <w:rPr>
          <w:rFonts w:ascii="Times New Roman" w:hAnsi="Times New Roman" w:cs="Times New Roman"/>
          <w:sz w:val="24"/>
          <w:szCs w:val="24"/>
          <w:lang w:val="en-US"/>
        </w:rPr>
        <w:fldChar w:fldCharType="end"/>
      </w:r>
      <w:r w:rsidR="001571D6" w:rsidRPr="00165ED2">
        <w:rPr>
          <w:rFonts w:ascii="Times New Roman" w:hAnsi="Times New Roman" w:cs="Times New Roman"/>
          <w:sz w:val="24"/>
          <w:szCs w:val="24"/>
          <w:lang w:val="en-US"/>
        </w:rPr>
        <w:t xml:space="preserve">. </w:t>
      </w:r>
      <w:r w:rsidR="00701BC5" w:rsidRPr="00165ED2">
        <w:rPr>
          <w:rFonts w:ascii="Times New Roman" w:hAnsi="Times New Roman" w:cs="Times New Roman"/>
          <w:sz w:val="24"/>
          <w:szCs w:val="24"/>
          <w:lang w:val="en-US"/>
        </w:rPr>
        <w:t>V̇O</w:t>
      </w:r>
      <w:r w:rsidR="00701BC5" w:rsidRPr="00165ED2">
        <w:rPr>
          <w:rFonts w:ascii="Times New Roman" w:hAnsi="Times New Roman" w:cs="Times New Roman"/>
          <w:sz w:val="24"/>
          <w:szCs w:val="24"/>
          <w:vertAlign w:val="subscript"/>
          <w:lang w:val="en-US"/>
        </w:rPr>
        <w:t>2</w:t>
      </w:r>
      <w:r w:rsidR="00701BC5" w:rsidRPr="00165ED2">
        <w:rPr>
          <w:rFonts w:ascii="Times New Roman" w:hAnsi="Times New Roman" w:cs="Times New Roman"/>
          <w:sz w:val="24"/>
          <w:szCs w:val="24"/>
          <w:lang w:val="en-US"/>
        </w:rPr>
        <w:t xml:space="preserve"> kinetics would therefore appear to be central in setting the tolerability of exercise. </w:t>
      </w:r>
      <w:r w:rsidR="001571D6" w:rsidRPr="00165ED2">
        <w:rPr>
          <w:rFonts w:ascii="Times New Roman" w:hAnsi="Times New Roman" w:cs="Times New Roman"/>
          <w:sz w:val="24"/>
          <w:szCs w:val="24"/>
          <w:lang w:val="en-US"/>
        </w:rPr>
        <w:t>Indeed, very</w:t>
      </w:r>
      <w:r w:rsidRPr="00165ED2">
        <w:rPr>
          <w:rFonts w:ascii="Times New Roman" w:hAnsi="Times New Roman" w:cs="Times New Roman"/>
          <w:sz w:val="24"/>
          <w:szCs w:val="24"/>
          <w:lang w:val="en-US"/>
        </w:rPr>
        <w:t xml:space="preserve"> low τ</w:t>
      </w:r>
      <w:r w:rsidRPr="00165ED2">
        <w:rPr>
          <w:rFonts w:ascii="Times New Roman" w:hAnsi="Times New Roman" w:cs="Times New Roman"/>
          <w:sz w:val="24"/>
          <w:szCs w:val="24"/>
          <w:vertAlign w:val="subscript"/>
          <w:lang w:val="en-US"/>
        </w:rPr>
        <w:t>V̇O2</w:t>
      </w:r>
      <w:r w:rsidRPr="00165ED2">
        <w:rPr>
          <w:rFonts w:ascii="Times New Roman" w:hAnsi="Times New Roman" w:cs="Times New Roman"/>
          <w:sz w:val="24"/>
          <w:szCs w:val="24"/>
          <w:lang w:val="en-US"/>
        </w:rPr>
        <w:t xml:space="preserve"> values (i.e., fast V̇O</w:t>
      </w:r>
      <w:r w:rsidRPr="00165ED2">
        <w:rPr>
          <w:rFonts w:ascii="Times New Roman" w:hAnsi="Times New Roman" w:cs="Times New Roman"/>
          <w:sz w:val="24"/>
          <w:szCs w:val="24"/>
          <w:vertAlign w:val="subscript"/>
          <w:lang w:val="en-US"/>
        </w:rPr>
        <w:t>2</w:t>
      </w:r>
      <w:r w:rsidRPr="00165ED2">
        <w:rPr>
          <w:rFonts w:ascii="Times New Roman" w:hAnsi="Times New Roman" w:cs="Times New Roman"/>
          <w:sz w:val="24"/>
          <w:szCs w:val="24"/>
          <w:lang w:val="en-US"/>
        </w:rPr>
        <w:t xml:space="preserve"> kinetics) are </w:t>
      </w:r>
      <w:r w:rsidR="00CB50A3" w:rsidRPr="00165ED2">
        <w:rPr>
          <w:rFonts w:ascii="Times New Roman" w:hAnsi="Times New Roman" w:cs="Times New Roman"/>
          <w:sz w:val="24"/>
          <w:szCs w:val="24"/>
          <w:lang w:val="en-US"/>
        </w:rPr>
        <w:t>observed</w:t>
      </w:r>
      <w:r w:rsidRPr="00165ED2">
        <w:rPr>
          <w:rFonts w:ascii="Times New Roman" w:hAnsi="Times New Roman" w:cs="Times New Roman"/>
          <w:sz w:val="24"/>
          <w:szCs w:val="24"/>
          <w:lang w:val="en-US"/>
        </w:rPr>
        <w:t xml:space="preserve"> in endurance athletes</w:t>
      </w:r>
      <w:r w:rsidR="00F91527" w:rsidRPr="00165ED2">
        <w:rPr>
          <w:rFonts w:ascii="Times New Roman" w:hAnsi="Times New Roman" w:cs="Times New Roman"/>
          <w:sz w:val="24"/>
          <w:szCs w:val="24"/>
          <w:lang w:val="en-US"/>
        </w:rPr>
        <w:t xml:space="preserve">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{"citationID":"zbX0fzkK","properties":{"formattedCitation":"[111]","plainCitation":"[111]","noteIndex":0},"citationItems":[{"id":556,"uris":["http://zotero.org/users/5056530/items/4BBZN2ZS"],"itemData":{"id":556,"type":"article-journal","container-title":"International journal of Sports Science &amp; Coaching","issue":"2","page":"101–116","source":"Google Scholar","title":"The Physiology of the World Record Holder for the Women's Marathon","volume":"1","author":[{"family":"Jones","given":"Andrew M."}],"issued":{"date-parts":[["2006"]]}}}],"schema":"https://github.com/citation-style-language/schema/raw/master/csl-citation.json"}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[111]</w:t>
      </w:r>
      <w:r w:rsidR="00CB50A3" w:rsidRPr="00165ED2">
        <w:rPr>
          <w:rFonts w:ascii="Times New Roman" w:hAnsi="Times New Roman" w:cs="Times New Roman"/>
          <w:sz w:val="24"/>
          <w:szCs w:val="24"/>
          <w:lang w:val="en-US"/>
        </w:rPr>
        <w:fldChar w:fldCharType="end"/>
      </w:r>
      <w:r w:rsidR="00F91527" w:rsidRPr="00165ED2">
        <w:rPr>
          <w:rFonts w:ascii="Times New Roman" w:hAnsi="Times New Roman" w:cs="Times New Roman"/>
          <w:sz w:val="24"/>
          <w:szCs w:val="24"/>
          <w:lang w:val="en-US"/>
        </w:rPr>
        <w:t xml:space="preserve"> </w:t>
      </w:r>
      <w:r w:rsidRPr="00165ED2">
        <w:rPr>
          <w:rFonts w:ascii="Times New Roman" w:hAnsi="Times New Roman" w:cs="Times New Roman"/>
          <w:sz w:val="24"/>
          <w:szCs w:val="24"/>
          <w:lang w:val="en-US"/>
        </w:rPr>
        <w:t>and trained individuals</w:t>
      </w:r>
      <w:r w:rsidR="00F91527" w:rsidRPr="00165ED2">
        <w:rPr>
          <w:rFonts w:ascii="Times New Roman" w:hAnsi="Times New Roman" w:cs="Times New Roman"/>
          <w:sz w:val="24"/>
          <w:szCs w:val="24"/>
          <w:lang w:val="en-US"/>
        </w:rPr>
        <w:t xml:space="preserve">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{"citationID":"3Se248PI","properties":{"formattedCitation":"[112]","plainCitation":"[112]","noteIndex":0},"citationItems":[{"id":121,"uris":["http://zotero.org/users/5056530/items/7XXB9SVW"],"itemData":{"id":121,"type":"article-journal","abstract":"PURPOSE: To test the hypotheses that: 1) the time constant for the fast component of .VO2 kinetics (tau1) at exercise onset would be faster in trained than in untrained subjects for both moderate and heavy exercise, and that 2) tau1 would become progressively slower in untrained subjects at higher power outputs but be invariant in trained subjects.\nMETHODS: Eight untrained subjects (.VO2peak: 42.9 +/- 5.1 mL.kg-1.min-1) and seven trained cyclists (.VO2peak: 66.6 +/- 2.5 mL.kg-1.min-1) completed square-wave transitions to power outputs requiring 60% and 80% of gas exchange threshold (GET), and 50% of the difference between GET and .VO2 peak (50%Delta) from a baseline of \"unloaded\" cycling. .VO2 was measured breath-by-breath and individual responses were modeled using nonlinear regression techniques.\nRESULTS: A repeated measures ANOVA revealed that the tau1 was significantly smaller (i.e., the kinetics were faster) in the trained compared with the untrained subjects and that tau1 became significantly greater (i.e., the kinetics were slowed) at higher power outputs both in the untrained (60%GET: 17.8 +/- 3.8 s, 80%GET: 21.5 +/- 6.6 s, and 50%Delta: 23.5 +/- 2.8 s) and the trained (60%GET: 8.9 +/- 1.3 s, 80%GET: 11.7 +/- 2.5 s, and 50%Delta: 15.2 +/- 2.0 s) subjects (P &lt; 0.05).\nCONCLUSION: Phase II .VO2 kinetics became progressively slower at higher power outputs in both trained and untrained subjects. That a greater tau1 was evident at a higher power output within the moderate exercise intensity domain (&lt;GET), where O2 availability is presumed not to be limiting, indicates that the slowing of the phase II .VO2 kinetics may be attributed to other factors besides O2 availability such as the recruitment of higher threshold motor units.","container-title":"Medicine and Science in Sports and Exercise","DOI":"10.1249/01.MSS.0000113473.48220.20","ISSN":"0195-9131","issue":"2","journalAbbreviation":"Med Sci Sports Exerc","language":"eng","note":"PMID: 14767244","page":"225-232","source":"PubMed","title":"Effects of training status and exercise intensity on phase II VO2 kinetics","volume":"36","author":[{"family":"Koppo","given":"Katrien"},{"family":"Bouckaert","given":"Jacques"},{"family":"Jones","given":"Andrew M."}],"issued":{"date-parts":[["2004",2]]}}}],"schema":"https://github.com/citation-style-language/schema/raw/master/csl-citation.json"}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[112]</w:t>
      </w:r>
      <w:r w:rsidR="00CB50A3" w:rsidRPr="00165ED2">
        <w:rPr>
          <w:rFonts w:ascii="Times New Roman" w:hAnsi="Times New Roman" w:cs="Times New Roman"/>
          <w:sz w:val="24"/>
          <w:szCs w:val="24"/>
          <w:lang w:val="en-US"/>
        </w:rPr>
        <w:fldChar w:fldCharType="end"/>
      </w:r>
      <w:r w:rsidRPr="00165ED2">
        <w:rPr>
          <w:rFonts w:ascii="Times New Roman" w:hAnsi="Times New Roman" w:cs="Times New Roman"/>
          <w:sz w:val="24"/>
          <w:szCs w:val="24"/>
          <w:lang w:val="en-US"/>
        </w:rPr>
        <w:t>, whereas very large τ</w:t>
      </w:r>
      <w:r w:rsidRPr="00165ED2">
        <w:rPr>
          <w:rFonts w:ascii="Times New Roman" w:hAnsi="Times New Roman" w:cs="Times New Roman"/>
          <w:sz w:val="24"/>
          <w:szCs w:val="24"/>
          <w:vertAlign w:val="subscript"/>
          <w:lang w:val="en-US"/>
        </w:rPr>
        <w:t>V̇O2</w:t>
      </w:r>
      <w:r w:rsidRPr="00165ED2">
        <w:rPr>
          <w:rFonts w:ascii="Times New Roman" w:hAnsi="Times New Roman" w:cs="Times New Roman"/>
          <w:sz w:val="24"/>
          <w:szCs w:val="24"/>
          <w:lang w:val="en-US"/>
        </w:rPr>
        <w:t xml:space="preserve"> values (i.e., slow V̇O</w:t>
      </w:r>
      <w:r w:rsidRPr="00165ED2">
        <w:rPr>
          <w:rFonts w:ascii="Times New Roman" w:hAnsi="Times New Roman" w:cs="Times New Roman"/>
          <w:sz w:val="24"/>
          <w:szCs w:val="24"/>
          <w:vertAlign w:val="subscript"/>
          <w:lang w:val="en-US"/>
        </w:rPr>
        <w:t>2</w:t>
      </w:r>
      <w:r w:rsidRPr="00165ED2">
        <w:rPr>
          <w:rFonts w:ascii="Times New Roman" w:hAnsi="Times New Roman" w:cs="Times New Roman"/>
          <w:sz w:val="24"/>
          <w:szCs w:val="24"/>
          <w:lang w:val="en-US"/>
        </w:rPr>
        <w:t xml:space="preserve"> kinetics) are </w:t>
      </w:r>
      <w:r w:rsidR="00CB50A3" w:rsidRPr="00165ED2">
        <w:rPr>
          <w:rFonts w:ascii="Times New Roman" w:hAnsi="Times New Roman" w:cs="Times New Roman"/>
          <w:sz w:val="24"/>
          <w:szCs w:val="24"/>
          <w:lang w:val="en-US"/>
        </w:rPr>
        <w:t>observed</w:t>
      </w:r>
      <w:r w:rsidRPr="00165ED2">
        <w:rPr>
          <w:rFonts w:ascii="Times New Roman" w:hAnsi="Times New Roman" w:cs="Times New Roman"/>
          <w:sz w:val="24"/>
          <w:szCs w:val="24"/>
          <w:lang w:val="en-US"/>
        </w:rPr>
        <w:t xml:space="preserve"> in the elderly</w:t>
      </w:r>
      <w:r w:rsidR="00F91527" w:rsidRPr="00165ED2">
        <w:rPr>
          <w:rFonts w:ascii="Times New Roman" w:hAnsi="Times New Roman" w:cs="Times New Roman"/>
          <w:sz w:val="24"/>
          <w:szCs w:val="24"/>
          <w:lang w:val="en-US"/>
        </w:rPr>
        <w:t xml:space="preserve">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{"citationID":"tLXbDBGO","properties":{"formattedCitation":"[113]","plainCitation":"[113]","noteIndex":0},"citationItems":[{"id":730,"uris":["http://zotero.org/users/5056530/items/FFXHY2B3"],"itemData":{"id":730,"type":"article-journal","abstract":"The goal of this study was to examine the time-course of changes in oxygen uptake kinetics (τVO(2p)) during step-transitions from 20 W to moderate-intensity cycling in response to endurance-training in older (O) and young (Y) women. Six O (69 ± 7 years) and 8 Y (25 ± 5 years) were tested pre-training, and at 3, 6, 9, and 12 weeks of training. VO(2p) was measured breath-by-breath using a mass spectrometer. Changes in deoxygenated-hemoglobin concentration of the vastus lateralis (∆[HHb]) were measured by near-infrared spectroscopy in Y (but this was not possible in O). VO(2p) and ∆[HHb] were modeled with a mono-exponential. Training was performed on a cycle-ergometer three times per week for 45 min at ~70% of VO(2 peak). Pre-training τVO(2p) was greater (p &lt; 0.05) in O (55 ± 16 s) than Y (31 ± 8 s). After 3 weeks training, τVO(2p) decreased (p &lt; 0.05) in both O (35 ± 12 s) and Y (22 ± 4 s). A pre-training \"overshoot\" in the normalized ∆[HHb]/VO(2p) ratio relative to the subsequent steady-state level (interpreted as a mismatch of local O(2) delivery to muscle VO(2)) was observed in Y. Three weeks of training resulted in that \"overshoot\" being abolished. Thus there was a training-induced speeding of VO(2) kinetics in O and Y. In the Y this appeared to be the result of improved matching of local O(2) delivery to muscle VO(2). In O, inadequate systemic O(2) distribution (as indirectly expressed by the arterial-venous O(2) difference/VO(2p) ratio) seemed to play a role for the initial slower rate of adjustment in VO(2p).","container-title":"European Journal of Applied Physiology","DOI":"10.1007/s00421-010-1649-6","ISSN":"1439-6327","issue":"2","journalAbbreviation":"Eur. J. Appl. Physiol.","language":"eng","note":"PMID: 20857137","page":"235-243","source":"PubMed","title":"Speeding of VO2 kinetics in response to endurance-training in older and young women","volume":"111","author":[{"family":"Murias","given":"Juan M."},{"family":"Kowalchuk","given":"John M."},{"family":"Paterson","given":"Donald H."}],"issued":{"date-parts":[["2011",2]]}}}],"schema":"https://github.com/citation-style-language/schema/raw/master/csl-citation.json"}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[113]</w:t>
      </w:r>
      <w:r w:rsidR="00CB50A3" w:rsidRPr="00165ED2">
        <w:rPr>
          <w:rFonts w:ascii="Times New Roman" w:hAnsi="Times New Roman" w:cs="Times New Roman"/>
          <w:sz w:val="24"/>
          <w:szCs w:val="24"/>
          <w:lang w:val="en-US"/>
        </w:rPr>
        <w:fldChar w:fldCharType="end"/>
      </w:r>
      <w:r w:rsidRPr="00165ED2">
        <w:rPr>
          <w:rFonts w:ascii="Times New Roman" w:hAnsi="Times New Roman" w:cs="Times New Roman"/>
          <w:sz w:val="24"/>
          <w:szCs w:val="24"/>
          <w:lang w:val="en-US"/>
        </w:rPr>
        <w:t xml:space="preserve"> and chronically ill</w:t>
      </w:r>
      <w:r w:rsidR="00F91527" w:rsidRPr="00165ED2">
        <w:rPr>
          <w:rFonts w:ascii="Times New Roman" w:hAnsi="Times New Roman" w:cs="Times New Roman"/>
          <w:sz w:val="24"/>
          <w:szCs w:val="24"/>
          <w:lang w:val="en-US"/>
        </w:rPr>
        <w:t xml:space="preserve">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{"citationID":"FBqa3EuR","properties":{"formattedCitation":"[102]","plainCitation":"[102]","noteIndex":0},"citationItems":[{"id":457,"uris":["http://zotero.org/users/5056530/items/VHQAUGQ7"],"itemData":{"id":457,"type":"article-journal","abstract":"An analysis of previously published data obtained by our group on patients characterized by markedly slower pulmonary VO₂ kinetics (heart transplant recipients, patients with mitochondrial myopathies, patients with McArdle disease) was carried out in order to suggest that slow VO₂ kinetics should not be considered the direct cause, but rather a marker, of impaired exercise tolerance. For a given ATP turnover rate, faster (or slower) VO₂ kinetics are associated with smaller (or greater) muscle [PCr] decreases. The latter, however, should not be taken per se responsible for the higher (or lower) exercise tolerance, but should be considered within the general concept of \"metabolic stability\". Good muscle metabolic stability at a given ATP turnover rate (~power output) is associated with relatively smaller decreases, compared to rest, in [PCr] and in the Gibbs free energy of ATP hydrolysis, as well as with relatively smaller increases in [Pi], [ADP(free)], [AMP(free)], and [IMP(free)], metabolites directly related to fatigue. Disturbances in muscle metabolic stability can affect muscle function in various ways, whereas good metabolic stability is associated with less fatigue and higher exercise tolerance. Smaller [PCr] decreases, however, are strictly associated with a faster VO₂ kinetics. Thus, faster VO₂ kinetics may simply be an \"epiphenomenon\" of a relatively higher metabolic stability, which would then represent the relevant variable in terms of fatigue and exercise tolerance.","container-title":"European Journal of Applied Physiology","DOI":"10.1007/s00421-010-1609-1","ISSN":"1439-6327","issue":"3","journalAbbreviation":"Eur. J. Appl. Physiol.","language":"eng","note":"PMID: 20821336","page":"345-355","source":"PubMed","title":"Slow VO₂ kinetics during moderate-intensity exercise as markers of lower metabolic stability and lower exercise tolerance","volume":"111","author":[{"family":"Grassi","given":"Bruno"},{"family":"Porcelli","given":"Simone"},{"family":"Salvadego","given":"Desy"},{"family":"Zoladz","given":"Jerzy A."}],"issued":{"date-parts":[["2011",3]]}}}],"schema":"https://github.com/citation-style-language/schema/raw/master/csl-citation.json"}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[102]</w:t>
      </w:r>
      <w:r w:rsidR="00CB50A3" w:rsidRPr="00165ED2">
        <w:rPr>
          <w:rFonts w:ascii="Times New Roman" w:hAnsi="Times New Roman" w:cs="Times New Roman"/>
          <w:sz w:val="24"/>
          <w:szCs w:val="24"/>
          <w:lang w:val="en-US"/>
        </w:rPr>
        <w:fldChar w:fldCharType="end"/>
      </w:r>
      <w:r w:rsidRPr="00165ED2">
        <w:rPr>
          <w:rFonts w:ascii="Times New Roman" w:hAnsi="Times New Roman" w:cs="Times New Roman"/>
          <w:sz w:val="24"/>
          <w:szCs w:val="24"/>
          <w:lang w:val="en-US"/>
        </w:rPr>
        <w:t>.</w:t>
      </w:r>
      <w:r w:rsidR="005B1C20" w:rsidRPr="00165ED2">
        <w:rPr>
          <w:rFonts w:ascii="Times New Roman" w:hAnsi="Times New Roman" w:cs="Times New Roman"/>
          <w:sz w:val="24"/>
          <w:szCs w:val="24"/>
          <w:lang w:val="en-US"/>
        </w:rPr>
        <w:t xml:space="preserve"> </w:t>
      </w:r>
      <w:r w:rsidR="00CC0CE1" w:rsidRPr="00165ED2">
        <w:rPr>
          <w:rFonts w:ascii="Times New Roman" w:hAnsi="Times New Roman" w:cs="Times New Roman"/>
          <w:sz w:val="24"/>
          <w:szCs w:val="24"/>
          <w:lang w:val="en-US"/>
        </w:rPr>
        <w:t>However, until relatively recently, an independent role for τ</w:t>
      </w:r>
      <w:r w:rsidR="00CC0CE1" w:rsidRPr="00165ED2">
        <w:rPr>
          <w:rFonts w:ascii="Times New Roman" w:hAnsi="Times New Roman" w:cs="Times New Roman"/>
          <w:sz w:val="24"/>
          <w:szCs w:val="24"/>
          <w:vertAlign w:val="subscript"/>
          <w:lang w:val="en-US"/>
        </w:rPr>
        <w:t xml:space="preserve">V̇O2 </w:t>
      </w:r>
      <w:r w:rsidR="00CC0CE1" w:rsidRPr="00165ED2">
        <w:rPr>
          <w:rFonts w:ascii="Times New Roman" w:hAnsi="Times New Roman" w:cs="Times New Roman"/>
          <w:sz w:val="24"/>
          <w:szCs w:val="24"/>
          <w:lang w:val="en-US"/>
        </w:rPr>
        <w:t xml:space="preserve">in determining CP had not been considered. </w:t>
      </w:r>
    </w:p>
    <w:p w14:paraId="2E963637" w14:textId="72EE2A5F" w:rsidR="00F91527" w:rsidRPr="00165ED2" w:rsidRDefault="001571D6" w:rsidP="00E85202">
      <w:pPr>
        <w:spacing w:line="480" w:lineRule="auto"/>
        <w:ind w:firstLine="720"/>
        <w:jc w:val="both"/>
        <w:rPr>
          <w:rFonts w:ascii="Times New Roman" w:hAnsi="Times New Roman" w:cs="Times New Roman"/>
          <w:sz w:val="24"/>
        </w:rPr>
      </w:pPr>
      <w:r w:rsidRPr="00165ED2">
        <w:rPr>
          <w:rFonts w:ascii="Times New Roman" w:eastAsiaTheme="minorEastAsia" w:hAnsi="Times New Roman" w:cs="Times New Roman"/>
          <w:bCs/>
          <w:sz w:val="24"/>
          <w:szCs w:val="24"/>
          <w:lang w:val="en-US"/>
        </w:rPr>
        <w:lastRenderedPageBreak/>
        <w:t xml:space="preserve">Murgatroyd et al. </w:t>
      </w:r>
      <w:r w:rsidR="00CB50A3" w:rsidRPr="00165ED2">
        <w:rPr>
          <w:rFonts w:ascii="Times New Roman" w:eastAsiaTheme="minorEastAsia" w:hAnsi="Times New Roman" w:cs="Times New Roman"/>
          <w:bCs/>
          <w:sz w:val="24"/>
          <w:szCs w:val="24"/>
          <w:lang w:val="en-US"/>
        </w:rPr>
        <w:fldChar w:fldCharType="begin"/>
      </w:r>
      <w:r w:rsidR="007A3303" w:rsidRPr="00165ED2">
        <w:rPr>
          <w:rFonts w:ascii="Times New Roman" w:eastAsiaTheme="minorEastAsia" w:hAnsi="Times New Roman" w:cs="Times New Roman"/>
          <w:bCs/>
          <w:sz w:val="24"/>
          <w:szCs w:val="24"/>
          <w:lang w:val="en-US"/>
        </w:rPr>
        <w:instrText xml:space="preserve"> ADDIN ZOTERO_ITEM CSL_CITATION {"citationID":"A9nmL4wP","properties":{"formattedCitation":"[14]","plainCitation":"[14]","noteIndex":0},"citationItems":[{"id":208,"uris":["http://zotero.org/users/5056530/items/5SW9UQIW"],"itemData":{"id":208,"type":"article-journal","abstract":"Tolerance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 Fourteen healthy men performed cycle ergometry protocols to the limit of tolerance: 1) an incremental ramp test; 2) a series of constant-P tests to determine V̇o2max, CP, and W′; and 3) repeated constant-P tests (WR6) normalized to a 6 min tlim for τV̇o2 and ΔV̇o2sc estimation. The WR6 tlim averaged 365 ± 16 s, and V̇o2max (4.18 ± 0.49 l/min) was achieved in every case. CP (range: 171–294 W) was inversely correlated with τV̇o2 (18–38 s; R2 = 0.90), and W′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1522-1601","issue":"6","language":"en","license":"Copyright © 2011 the American Physiological Society","note":"PMID: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B."}],"issued":{"date-parts":[["2011",6,1]]}}}],"schema":"https://github.com/citation-style-language/schema/raw/master/csl-citation.json"} </w:instrText>
      </w:r>
      <w:r w:rsidR="00CB50A3" w:rsidRPr="00165ED2">
        <w:rPr>
          <w:rFonts w:ascii="Times New Roman" w:eastAsiaTheme="minorEastAsia" w:hAnsi="Times New Roman" w:cs="Times New Roman"/>
          <w:bCs/>
          <w:sz w:val="24"/>
          <w:szCs w:val="24"/>
          <w:lang w:val="en-US"/>
        </w:rPr>
        <w:fldChar w:fldCharType="separate"/>
      </w:r>
      <w:r w:rsidR="007A3303" w:rsidRPr="00165ED2">
        <w:rPr>
          <w:rFonts w:ascii="Times New Roman" w:hAnsi="Times New Roman" w:cs="Times New Roman"/>
          <w:sz w:val="24"/>
        </w:rPr>
        <w:t>[14]</w:t>
      </w:r>
      <w:r w:rsidR="00CB50A3" w:rsidRPr="00165ED2">
        <w:rPr>
          <w:rFonts w:ascii="Times New Roman" w:eastAsiaTheme="minorEastAsia" w:hAnsi="Times New Roman" w:cs="Times New Roman"/>
          <w:bCs/>
          <w:sz w:val="24"/>
          <w:szCs w:val="24"/>
          <w:lang w:val="en-US"/>
        </w:rPr>
        <w:fldChar w:fldCharType="end"/>
      </w:r>
      <w:r w:rsidR="00CB50A3" w:rsidRPr="00165ED2">
        <w:rPr>
          <w:rFonts w:ascii="Times New Roman" w:eastAsiaTheme="minorEastAsia" w:hAnsi="Times New Roman" w:cs="Times New Roman"/>
          <w:bCs/>
          <w:sz w:val="24"/>
          <w:szCs w:val="24"/>
          <w:lang w:val="en-US"/>
        </w:rPr>
        <w:t xml:space="preserve"> </w:t>
      </w:r>
      <w:r w:rsidRPr="00165ED2">
        <w:rPr>
          <w:rFonts w:ascii="Times New Roman" w:eastAsiaTheme="minorEastAsia" w:hAnsi="Times New Roman" w:cs="Times New Roman"/>
          <w:bCs/>
          <w:sz w:val="24"/>
          <w:szCs w:val="24"/>
          <w:lang w:val="en-US"/>
        </w:rPr>
        <w:t>characterized relationships between τ</w:t>
      </w:r>
      <w:r w:rsidRPr="00165ED2">
        <w:rPr>
          <w:rFonts w:ascii="Times New Roman" w:eastAsiaTheme="minorEastAsia" w:hAnsi="Times New Roman" w:cs="Times New Roman"/>
          <w:bCs/>
          <w:sz w:val="24"/>
          <w:szCs w:val="24"/>
          <w:vertAlign w:val="subscript"/>
          <w:lang w:val="en-US"/>
        </w:rPr>
        <w:t>V̇O2</w:t>
      </w:r>
      <w:r w:rsidRPr="00165ED2">
        <w:rPr>
          <w:rFonts w:ascii="Times New Roman" w:eastAsiaTheme="minorEastAsia" w:hAnsi="Times New Roman" w:cs="Times New Roman"/>
          <w:bCs/>
          <w:sz w:val="24"/>
          <w:szCs w:val="24"/>
          <w:lang w:val="en-US"/>
        </w:rPr>
        <w:t xml:space="preserve"> and CP by normalizing exercise intensity across individuals such that the tolerable duration of exercise was uniform (6 minutes). They demonstrated a strong, inverse correlation between τ</w:t>
      </w:r>
      <w:r w:rsidRPr="00165ED2">
        <w:rPr>
          <w:rFonts w:ascii="Times New Roman" w:eastAsiaTheme="minorEastAsia" w:hAnsi="Times New Roman" w:cs="Times New Roman"/>
          <w:bCs/>
          <w:sz w:val="24"/>
          <w:szCs w:val="24"/>
          <w:vertAlign w:val="subscript"/>
          <w:lang w:val="en-US"/>
        </w:rPr>
        <w:t xml:space="preserve">V̇O2 </w:t>
      </w:r>
      <w:r w:rsidRPr="00165ED2">
        <w:rPr>
          <w:rFonts w:ascii="Times New Roman" w:eastAsiaTheme="minorEastAsia" w:hAnsi="Times New Roman" w:cs="Times New Roman"/>
          <w:bCs/>
          <w:sz w:val="24"/>
          <w:szCs w:val="24"/>
          <w:lang w:val="en-US"/>
        </w:rPr>
        <w:t xml:space="preserve">and CP ( </w:t>
      </w:r>
      <w:r w:rsidR="008B2D94" w:rsidRPr="00165ED2">
        <w:rPr>
          <w:rFonts w:ascii="Times New Roman" w:eastAsiaTheme="minorEastAsia" w:hAnsi="Times New Roman" w:cs="Times New Roman"/>
          <w:bCs/>
          <w:sz w:val="24"/>
          <w:szCs w:val="24"/>
          <w:lang w:val="en-US"/>
        </w:rPr>
        <w:t xml:space="preserve">r </w:t>
      </w:r>
      <w:r w:rsidRPr="00165ED2">
        <w:rPr>
          <w:rFonts w:ascii="Times New Roman" w:eastAsiaTheme="minorEastAsia" w:hAnsi="Times New Roman" w:cs="Times New Roman"/>
          <w:bCs/>
          <w:sz w:val="24"/>
          <w:szCs w:val="24"/>
          <w:lang w:val="en-US"/>
        </w:rPr>
        <w:t>= 0.9</w:t>
      </w:r>
      <w:r w:rsidR="008B2D94" w:rsidRPr="00165ED2">
        <w:rPr>
          <w:rFonts w:ascii="Times New Roman" w:eastAsiaTheme="minorEastAsia" w:hAnsi="Times New Roman" w:cs="Times New Roman"/>
          <w:bCs/>
          <w:sz w:val="24"/>
          <w:szCs w:val="24"/>
          <w:lang w:val="en-US"/>
        </w:rPr>
        <w:t>5</w:t>
      </w:r>
      <w:r w:rsidRPr="00165ED2">
        <w:rPr>
          <w:rFonts w:ascii="Times New Roman" w:eastAsiaTheme="minorEastAsia" w:hAnsi="Times New Roman" w:cs="Times New Roman"/>
          <w:bCs/>
          <w:sz w:val="24"/>
          <w:szCs w:val="24"/>
          <w:lang w:val="en-US"/>
        </w:rPr>
        <w:t xml:space="preserve">), consistent with the notion that </w:t>
      </w:r>
      <w:r w:rsidRPr="00165ED2">
        <w:rPr>
          <w:rFonts w:ascii="Times New Roman" w:hAnsi="Times New Roman" w:cs="Times New Roman"/>
          <w:sz w:val="24"/>
          <w:szCs w:val="24"/>
          <w:lang w:val="en-US"/>
        </w:rPr>
        <w:t>τ</w:t>
      </w:r>
      <w:r w:rsidRPr="00165ED2">
        <w:rPr>
          <w:rFonts w:ascii="Times New Roman" w:hAnsi="Times New Roman" w:cs="Times New Roman"/>
          <w:sz w:val="24"/>
          <w:szCs w:val="24"/>
          <w:vertAlign w:val="subscript"/>
          <w:lang w:val="en-US"/>
        </w:rPr>
        <w:t xml:space="preserve">V̇O2 </w:t>
      </w:r>
      <w:r w:rsidRPr="00165ED2">
        <w:rPr>
          <w:rFonts w:ascii="Times New Roman" w:hAnsi="Times New Roman" w:cs="Times New Roman"/>
          <w:sz w:val="24"/>
          <w:szCs w:val="24"/>
          <w:lang w:val="en-US"/>
        </w:rPr>
        <w:t>has</w:t>
      </w:r>
      <w:r w:rsidRPr="00165ED2">
        <w:rPr>
          <w:rFonts w:ascii="Times New Roman" w:hAnsi="Times New Roman" w:cs="Times New Roman"/>
          <w:sz w:val="24"/>
          <w:szCs w:val="24"/>
          <w:vertAlign w:val="subscript"/>
          <w:lang w:val="en-US"/>
        </w:rPr>
        <w:t xml:space="preserve"> </w:t>
      </w:r>
      <w:r w:rsidRPr="00165ED2">
        <w:rPr>
          <w:rFonts w:ascii="Times New Roman" w:hAnsi="Times New Roman" w:cs="Times New Roman"/>
          <w:sz w:val="24"/>
          <w:szCs w:val="24"/>
          <w:lang w:val="en-US"/>
        </w:rPr>
        <w:t>an independent role in determining CP. Moreover, when this analysis was extended across human populations spanning the extremes of aerobic function (i.e., healthy young trained individuals, young inactive individuals, healthy elderly, and chronic obstructive pulmonary disease patients), the relationship between τ</w:t>
      </w:r>
      <w:r w:rsidRPr="00165ED2">
        <w:rPr>
          <w:rFonts w:ascii="Times New Roman" w:hAnsi="Times New Roman" w:cs="Times New Roman"/>
          <w:sz w:val="24"/>
          <w:szCs w:val="24"/>
          <w:vertAlign w:val="subscript"/>
          <w:lang w:val="en-US"/>
        </w:rPr>
        <w:t xml:space="preserve">V̇O2 </w:t>
      </w:r>
      <w:r w:rsidRPr="00165ED2">
        <w:rPr>
          <w:rFonts w:ascii="Times New Roman" w:hAnsi="Times New Roman" w:cs="Times New Roman"/>
          <w:sz w:val="24"/>
          <w:szCs w:val="24"/>
          <w:lang w:val="en-US"/>
        </w:rPr>
        <w:t>and CP w</w:t>
      </w:r>
      <w:r w:rsidR="00CB50A3" w:rsidRPr="00165ED2">
        <w:rPr>
          <w:rFonts w:ascii="Times New Roman" w:hAnsi="Times New Roman" w:cs="Times New Roman"/>
          <w:sz w:val="24"/>
          <w:szCs w:val="24"/>
          <w:lang w:val="en-US"/>
        </w:rPr>
        <w:t xml:space="preserve">as strong, inverse, and linear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{"citationID":"ST5mySPn","properties":{"formattedCitation":"[104]","plainCitation":"[104]","noteIndex":0},"citationItems":[{"id":169,"uris":["http://zotero.org/users/5056530/items/V8V82EFQ"],"itemData":{"id":169,"type":"chapter","abstract":"The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Physiology","ISBN":"978-0-470-65071-4","language":"en","license":"Copyright © 2011 American Physiological Society. All rights reserved.","note":"DOI: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[104]</w:t>
      </w:r>
      <w:r w:rsidR="00CB50A3" w:rsidRPr="00165ED2">
        <w:rPr>
          <w:rFonts w:ascii="Times New Roman" w:hAnsi="Times New Roman" w:cs="Times New Roman"/>
          <w:sz w:val="24"/>
          <w:szCs w:val="24"/>
          <w:lang w:val="en-US"/>
        </w:rPr>
        <w:fldChar w:fldCharType="end"/>
      </w:r>
      <w:r w:rsidRPr="00165ED2">
        <w:rPr>
          <w:rFonts w:ascii="Times New Roman" w:hAnsi="Times New Roman" w:cs="Times New Roman"/>
          <w:sz w:val="24"/>
          <w:szCs w:val="24"/>
          <w:lang w:val="en-US"/>
        </w:rPr>
        <w:t xml:space="preserve">. These authors interpreted this relationship </w:t>
      </w:r>
      <w:r w:rsidR="00CC0CE1" w:rsidRPr="00165ED2">
        <w:rPr>
          <w:rFonts w:ascii="Times New Roman" w:hAnsi="Times New Roman" w:cs="Times New Roman"/>
          <w:sz w:val="24"/>
          <w:szCs w:val="24"/>
          <w:lang w:val="en-US"/>
        </w:rPr>
        <w:t xml:space="preserve">causally: </w:t>
      </w:r>
      <w:r w:rsidRPr="00165ED2">
        <w:rPr>
          <w:rFonts w:ascii="Times New Roman" w:hAnsi="Times New Roman" w:cs="Times New Roman"/>
          <w:sz w:val="24"/>
        </w:rPr>
        <w:t>by minimizing the reliance on substrate level phosphorylation</w:t>
      </w:r>
      <w:r w:rsidR="00CC0CE1" w:rsidRPr="00165ED2">
        <w:rPr>
          <w:rFonts w:ascii="Times New Roman" w:hAnsi="Times New Roman" w:cs="Times New Roman"/>
          <w:sz w:val="24"/>
        </w:rPr>
        <w:t>,</w:t>
      </w:r>
      <w:r w:rsidRPr="00165ED2">
        <w:rPr>
          <w:rFonts w:ascii="Times New Roman" w:hAnsi="Times New Roman" w:cs="Times New Roman"/>
          <w:sz w:val="24"/>
        </w:rPr>
        <w:t xml:space="preserve"> and hence the accumulation of fatigue-related metabolites during the transition, </w:t>
      </w:r>
      <w:r w:rsidR="00CC0CE1" w:rsidRPr="00165ED2">
        <w:rPr>
          <w:rFonts w:ascii="Times New Roman" w:hAnsi="Times New Roman" w:cs="Times New Roman"/>
          <w:sz w:val="24"/>
        </w:rPr>
        <w:t xml:space="preserve">a lower </w:t>
      </w:r>
      <w:r w:rsidR="00CC0CE1" w:rsidRPr="00165ED2">
        <w:rPr>
          <w:rFonts w:ascii="Times New Roman" w:hAnsi="Times New Roman" w:cs="Times New Roman"/>
          <w:sz w:val="24"/>
          <w:szCs w:val="24"/>
          <w:lang w:val="en-US"/>
        </w:rPr>
        <w:t>τ</w:t>
      </w:r>
      <w:r w:rsidR="00CC0CE1" w:rsidRPr="00165ED2">
        <w:rPr>
          <w:rFonts w:ascii="Times New Roman" w:hAnsi="Times New Roman" w:cs="Times New Roman"/>
          <w:sz w:val="24"/>
          <w:szCs w:val="24"/>
          <w:vertAlign w:val="subscript"/>
          <w:lang w:val="en-US"/>
        </w:rPr>
        <w:t xml:space="preserve">V̇O2 </w:t>
      </w:r>
      <w:r w:rsidR="00CC0CE1" w:rsidRPr="00165ED2">
        <w:rPr>
          <w:rFonts w:ascii="Times New Roman" w:hAnsi="Times New Roman" w:cs="Times New Roman"/>
          <w:sz w:val="24"/>
          <w:szCs w:val="24"/>
          <w:lang w:val="en-US"/>
        </w:rPr>
        <w:t>(i.e.</w:t>
      </w:r>
      <w:r w:rsidR="00CC0CE1" w:rsidRPr="00165ED2">
        <w:rPr>
          <w:rFonts w:ascii="Times New Roman" w:hAnsi="Times New Roman" w:cs="Times New Roman"/>
          <w:sz w:val="24"/>
          <w:szCs w:val="24"/>
          <w:vertAlign w:val="subscript"/>
          <w:lang w:val="en-US"/>
        </w:rPr>
        <w:t xml:space="preserve"> </w:t>
      </w:r>
      <w:r w:rsidRPr="00165ED2">
        <w:rPr>
          <w:rFonts w:ascii="Times New Roman" w:hAnsi="Times New Roman" w:cs="Times New Roman"/>
          <w:sz w:val="24"/>
        </w:rPr>
        <w:t>faster V̇O</w:t>
      </w:r>
      <w:r w:rsidRPr="00165ED2">
        <w:rPr>
          <w:rFonts w:ascii="Times New Roman" w:hAnsi="Times New Roman" w:cs="Times New Roman"/>
          <w:sz w:val="24"/>
          <w:vertAlign w:val="subscript"/>
        </w:rPr>
        <w:t xml:space="preserve">2 </w:t>
      </w:r>
      <w:r w:rsidRPr="00165ED2">
        <w:rPr>
          <w:rFonts w:ascii="Times New Roman" w:hAnsi="Times New Roman" w:cs="Times New Roman"/>
          <w:sz w:val="24"/>
        </w:rPr>
        <w:t>kinetics</w:t>
      </w:r>
      <w:r w:rsidR="00CC0CE1" w:rsidRPr="00165ED2">
        <w:rPr>
          <w:rFonts w:ascii="Times New Roman" w:hAnsi="Times New Roman" w:cs="Times New Roman"/>
          <w:sz w:val="24"/>
        </w:rPr>
        <w:t>)</w:t>
      </w:r>
      <w:r w:rsidRPr="00165ED2">
        <w:rPr>
          <w:rFonts w:ascii="Times New Roman" w:hAnsi="Times New Roman" w:cs="Times New Roman"/>
          <w:sz w:val="24"/>
        </w:rPr>
        <w:t xml:space="preserve"> allows a higher power production to be achieved for a given magnitude of O</w:t>
      </w:r>
      <w:r w:rsidRPr="00165ED2">
        <w:rPr>
          <w:rFonts w:ascii="Times New Roman" w:hAnsi="Times New Roman" w:cs="Times New Roman"/>
          <w:sz w:val="24"/>
          <w:vertAlign w:val="subscript"/>
        </w:rPr>
        <w:t>2</w:t>
      </w:r>
      <w:r w:rsidRPr="00165ED2">
        <w:rPr>
          <w:rFonts w:ascii="Times New Roman" w:hAnsi="Times New Roman" w:cs="Times New Roman"/>
          <w:sz w:val="24"/>
        </w:rPr>
        <w:t xml:space="preserve"> deficit accumulation. </w:t>
      </w:r>
      <w:r w:rsidR="00603EAD" w:rsidRPr="00165ED2">
        <w:rPr>
          <w:rFonts w:ascii="Times New Roman" w:hAnsi="Times New Roman" w:cs="Times New Roman"/>
          <w:sz w:val="24"/>
        </w:rPr>
        <w:t>CP represents the upper limit of the metabolic steady state, and by extension also signifies the upper limit of an O</w:t>
      </w:r>
      <w:r w:rsidR="00603EAD" w:rsidRPr="00165ED2">
        <w:rPr>
          <w:rFonts w:ascii="Times New Roman" w:hAnsi="Times New Roman" w:cs="Times New Roman"/>
          <w:sz w:val="24"/>
          <w:vertAlign w:val="subscript"/>
        </w:rPr>
        <w:t>2</w:t>
      </w:r>
      <w:r w:rsidR="00603EAD" w:rsidRPr="00165ED2">
        <w:rPr>
          <w:rFonts w:ascii="Times New Roman" w:hAnsi="Times New Roman" w:cs="Times New Roman"/>
          <w:sz w:val="24"/>
        </w:rPr>
        <w:t xml:space="preserve"> deficit below which muscle fatigue, reduction in work efficiency and the O</w:t>
      </w:r>
      <w:r w:rsidR="00603EAD" w:rsidRPr="00165ED2">
        <w:rPr>
          <w:rFonts w:ascii="Times New Roman" w:hAnsi="Times New Roman" w:cs="Times New Roman"/>
          <w:sz w:val="24"/>
          <w:vertAlign w:val="subscript"/>
        </w:rPr>
        <w:t>2</w:t>
      </w:r>
      <w:r w:rsidR="00603EAD" w:rsidRPr="00165ED2">
        <w:rPr>
          <w:rFonts w:ascii="Times New Roman" w:hAnsi="Times New Roman" w:cs="Times New Roman"/>
          <w:sz w:val="24"/>
        </w:rPr>
        <w:t xml:space="preserve"> deficit itself will stabilise. All else being equal</w:t>
      </w:r>
      <w:r w:rsidR="005B1C20" w:rsidRPr="00165ED2">
        <w:rPr>
          <w:rFonts w:ascii="Times New Roman" w:hAnsi="Times New Roman" w:cs="Times New Roman"/>
          <w:sz w:val="24"/>
        </w:rPr>
        <w:t>,</w:t>
      </w:r>
      <w:r w:rsidR="00603EAD" w:rsidRPr="00165ED2">
        <w:rPr>
          <w:rFonts w:ascii="Times New Roman" w:hAnsi="Times New Roman" w:cs="Times New Roman"/>
          <w:sz w:val="24"/>
        </w:rPr>
        <w:t xml:space="preserve"> therefore, faster V̇O</w:t>
      </w:r>
      <w:r w:rsidR="00603EAD" w:rsidRPr="00165ED2">
        <w:rPr>
          <w:rFonts w:ascii="Times New Roman" w:hAnsi="Times New Roman" w:cs="Times New Roman"/>
          <w:sz w:val="24"/>
          <w:vertAlign w:val="subscript"/>
        </w:rPr>
        <w:t xml:space="preserve">2 </w:t>
      </w:r>
      <w:r w:rsidR="00603EAD" w:rsidRPr="00165ED2">
        <w:rPr>
          <w:rFonts w:ascii="Times New Roman" w:hAnsi="Times New Roman" w:cs="Times New Roman"/>
          <w:sz w:val="24"/>
        </w:rPr>
        <w:t xml:space="preserve">kinetics will result in a higher CP. </w:t>
      </w:r>
      <w:r w:rsidR="0022035E" w:rsidRPr="00165ED2">
        <w:rPr>
          <w:rFonts w:ascii="Times New Roman" w:hAnsi="Times New Roman" w:cs="Times New Roman"/>
          <w:sz w:val="24"/>
        </w:rPr>
        <w:t xml:space="preserve">However, </w:t>
      </w:r>
      <w:r w:rsidR="0022035E" w:rsidRPr="00165ED2">
        <w:rPr>
          <w:rFonts w:ascii="Times New Roman" w:eastAsia="Calibri" w:hAnsi="Times New Roman" w:cs="Times New Roman"/>
          <w:sz w:val="24"/>
          <w:szCs w:val="24"/>
        </w:rPr>
        <w:t xml:space="preserve">despite the strong rationale and cross-sectional evidence supporting a mechanistic link between </w:t>
      </w:r>
      <w:r w:rsidR="0022035E" w:rsidRPr="00165ED2">
        <w:rPr>
          <w:rFonts w:ascii="Times New Roman" w:hAnsi="Times New Roman" w:cs="Times New Roman"/>
          <w:sz w:val="24"/>
        </w:rPr>
        <w:t>τ</w:t>
      </w:r>
      <w:r w:rsidR="0022035E" w:rsidRPr="00165ED2">
        <w:rPr>
          <w:rFonts w:ascii="Times New Roman" w:hAnsi="Times New Roman" w:cs="Times New Roman"/>
          <w:sz w:val="24"/>
          <w:vertAlign w:val="subscript"/>
        </w:rPr>
        <w:t xml:space="preserve">V̇O2 </w:t>
      </w:r>
      <w:r w:rsidR="0022035E" w:rsidRPr="00165ED2">
        <w:rPr>
          <w:rFonts w:ascii="Times New Roman" w:hAnsi="Times New Roman" w:cs="Times New Roman"/>
          <w:sz w:val="24"/>
        </w:rPr>
        <w:t>and CP</w:t>
      </w:r>
      <w:r w:rsidR="0022035E" w:rsidRPr="00165ED2">
        <w:rPr>
          <w:rFonts w:ascii="Times New Roman" w:eastAsia="Calibri" w:hAnsi="Times New Roman" w:cs="Times New Roman"/>
          <w:sz w:val="24"/>
          <w:szCs w:val="24"/>
        </w:rPr>
        <w:t>, until recently, this hypothesis had not received direct experimental scrutiny.</w:t>
      </w:r>
    </w:p>
    <w:p w14:paraId="7F325EEC" w14:textId="6ECFEF12" w:rsidR="0038203D" w:rsidRPr="00165ED2" w:rsidRDefault="0022035E" w:rsidP="0038203D">
      <w:pPr>
        <w:spacing w:line="480" w:lineRule="auto"/>
        <w:ind w:firstLine="720"/>
        <w:jc w:val="both"/>
        <w:rPr>
          <w:rFonts w:ascii="Times New Roman" w:eastAsia="Calibri" w:hAnsi="Times New Roman" w:cs="Times New Roman"/>
          <w:sz w:val="24"/>
          <w:szCs w:val="24"/>
        </w:rPr>
      </w:pPr>
      <w:r w:rsidRPr="00165ED2">
        <w:rPr>
          <w:rFonts w:ascii="Times New Roman" w:eastAsia="Calibri" w:hAnsi="Times New Roman" w:cs="Times New Roman"/>
          <w:sz w:val="24"/>
          <w:szCs w:val="24"/>
        </w:rPr>
        <w:t xml:space="preserve">In the first of a series of studies </w:t>
      </w:r>
      <w:r w:rsidR="007039B1" w:rsidRPr="00165ED2">
        <w:rPr>
          <w:rFonts w:ascii="Times New Roman" w:eastAsia="Calibri" w:hAnsi="Times New Roman" w:cs="Times New Roman"/>
          <w:sz w:val="24"/>
          <w:szCs w:val="24"/>
        </w:rPr>
        <w:t>examining the purported d</w:t>
      </w:r>
      <w:r w:rsidR="004C1674" w:rsidRPr="00165ED2">
        <w:rPr>
          <w:rFonts w:ascii="Times New Roman" w:eastAsia="Calibri" w:hAnsi="Times New Roman" w:cs="Times New Roman"/>
          <w:sz w:val="24"/>
          <w:szCs w:val="24"/>
        </w:rPr>
        <w:t>eter</w:t>
      </w:r>
      <w:r w:rsidR="007039B1" w:rsidRPr="00165ED2">
        <w:rPr>
          <w:rFonts w:ascii="Times New Roman" w:eastAsia="Calibri" w:hAnsi="Times New Roman" w:cs="Times New Roman"/>
          <w:sz w:val="24"/>
          <w:szCs w:val="24"/>
        </w:rPr>
        <w:t xml:space="preserve">mining effect of </w:t>
      </w:r>
      <w:r w:rsidR="007039B1" w:rsidRPr="00165ED2">
        <w:rPr>
          <w:rFonts w:ascii="Times New Roman" w:hAnsi="Times New Roman" w:cs="Times New Roman"/>
          <w:sz w:val="24"/>
          <w:szCs w:val="24"/>
          <w:lang w:val="en-US"/>
        </w:rPr>
        <w:t>τ</w:t>
      </w:r>
      <w:r w:rsidR="007039B1" w:rsidRPr="00165ED2">
        <w:rPr>
          <w:rFonts w:ascii="Times New Roman" w:hAnsi="Times New Roman" w:cs="Times New Roman"/>
          <w:sz w:val="24"/>
          <w:szCs w:val="24"/>
          <w:vertAlign w:val="subscript"/>
          <w:lang w:val="en-US"/>
        </w:rPr>
        <w:t xml:space="preserve">V̇O2 </w:t>
      </w:r>
      <w:r w:rsidR="007039B1" w:rsidRPr="00165ED2">
        <w:rPr>
          <w:rFonts w:ascii="Times New Roman" w:hAnsi="Times New Roman" w:cs="Times New Roman"/>
          <w:sz w:val="24"/>
          <w:szCs w:val="24"/>
          <w:lang w:val="en-US"/>
        </w:rPr>
        <w:t>on CP,</w:t>
      </w:r>
      <w:r w:rsidRPr="00165ED2">
        <w:rPr>
          <w:rFonts w:ascii="Times New Roman" w:eastAsia="Calibri" w:hAnsi="Times New Roman" w:cs="Times New Roman"/>
          <w:sz w:val="24"/>
          <w:szCs w:val="24"/>
        </w:rPr>
        <w:t xml:space="preserve"> </w:t>
      </w:r>
      <w:r w:rsidRPr="00165ED2">
        <w:rPr>
          <w:rFonts w:ascii="Times New Roman" w:hAnsi="Times New Roman" w:cs="Times New Roman"/>
          <w:sz w:val="24"/>
        </w:rPr>
        <w:t xml:space="preserve">Goulding et al. </w:t>
      </w:r>
      <w:r w:rsidR="00CB50A3"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{"citationID":"WbhPEMve","properties":{"formattedCitation":"[114]","plainCitation":"[114]","noteIndex":0},"citationItems":[{"id":609,"uris":["http://zotero.org/users/5056530/items/2P7JNTBF"],"itemData":{"id":609,"type":"article-journal","abstract":"NEW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hAnsi="Cambria Math" w:cs="Cambria Math"/>
          <w:sz w:val="24"/>
        </w:rPr>
        <w:instrText>∼</w:instrText>
      </w:r>
      <w:r w:rsidR="00624DC9" w:rsidRPr="00165ED2">
        <w:rPr>
          <w:rFonts w:ascii="Times New Roman" w:hAnsi="Times New Roman" w:cs="Times New Roman"/>
          <w:sz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sidR="00CB50A3" w:rsidRPr="00165ED2">
        <w:rPr>
          <w:rFonts w:ascii="Times New Roman" w:hAnsi="Times New Roman" w:cs="Times New Roman"/>
          <w:sz w:val="24"/>
        </w:rPr>
        <w:fldChar w:fldCharType="separate"/>
      </w:r>
      <w:r w:rsidR="00624DC9" w:rsidRPr="00165ED2">
        <w:rPr>
          <w:rFonts w:ascii="Times New Roman" w:hAnsi="Times New Roman" w:cs="Times New Roman"/>
          <w:sz w:val="24"/>
        </w:rPr>
        <w:t>[114]</w:t>
      </w:r>
      <w:r w:rsidR="00CB50A3" w:rsidRPr="00165ED2">
        <w:rPr>
          <w:rFonts w:ascii="Times New Roman" w:hAnsi="Times New Roman" w:cs="Times New Roman"/>
          <w:sz w:val="24"/>
        </w:rPr>
        <w:fldChar w:fldCharType="end"/>
      </w:r>
      <w:r w:rsidR="00CB50A3" w:rsidRPr="00165ED2">
        <w:rPr>
          <w:rFonts w:ascii="Times New Roman" w:hAnsi="Times New Roman" w:cs="Times New Roman"/>
          <w:sz w:val="24"/>
        </w:rPr>
        <w:t xml:space="preserve"> </w:t>
      </w:r>
      <w:r w:rsidRPr="00165ED2">
        <w:rPr>
          <w:rFonts w:ascii="Times New Roman" w:eastAsia="Calibri" w:hAnsi="Times New Roman" w:cs="Times New Roman"/>
          <w:sz w:val="24"/>
          <w:szCs w:val="24"/>
        </w:rPr>
        <w:t xml:space="preserve">examined the influence of prior heavy </w:t>
      </w:r>
      <w:r w:rsidR="004C1674" w:rsidRPr="00165ED2">
        <w:rPr>
          <w:rFonts w:ascii="Times New Roman" w:eastAsia="Calibri" w:hAnsi="Times New Roman" w:cs="Times New Roman"/>
          <w:sz w:val="24"/>
          <w:szCs w:val="24"/>
        </w:rPr>
        <w:t xml:space="preserve">(“priming”) </w:t>
      </w:r>
      <w:r w:rsidRPr="00165ED2">
        <w:rPr>
          <w:rFonts w:ascii="Times New Roman" w:eastAsia="Calibri" w:hAnsi="Times New Roman" w:cs="Times New Roman"/>
          <w:sz w:val="24"/>
          <w:szCs w:val="24"/>
        </w:rPr>
        <w:t xml:space="preserve">exercise on pulmonary </w:t>
      </w:r>
      <w:r w:rsidRPr="00165ED2">
        <w:rPr>
          <w:rFonts w:ascii="Times New Roman" w:hAnsi="Times New Roman" w:cs="Times New Roman"/>
          <w:sz w:val="24"/>
        </w:rPr>
        <w:t>V̇O</w:t>
      </w:r>
      <w:r w:rsidRPr="00165ED2">
        <w:rPr>
          <w:rFonts w:ascii="Times New Roman" w:hAnsi="Times New Roman" w:cs="Times New Roman"/>
          <w:sz w:val="24"/>
          <w:vertAlign w:val="subscript"/>
        </w:rPr>
        <w:t>2</w:t>
      </w:r>
      <w:r w:rsidRPr="00165ED2">
        <w:rPr>
          <w:rFonts w:ascii="Times New Roman" w:eastAsia="Calibri" w:hAnsi="Times New Roman" w:cs="Times New Roman"/>
          <w:sz w:val="24"/>
          <w:szCs w:val="24"/>
          <w:vertAlign w:val="subscript"/>
        </w:rPr>
        <w:t xml:space="preserve"> </w:t>
      </w:r>
      <w:r w:rsidRPr="00165ED2">
        <w:rPr>
          <w:rFonts w:ascii="Times New Roman" w:eastAsia="Calibri" w:hAnsi="Times New Roman" w:cs="Times New Roman"/>
          <w:sz w:val="24"/>
          <w:szCs w:val="24"/>
        </w:rPr>
        <w:t xml:space="preserve">kinetics and CP during supine and upright cycling. </w:t>
      </w:r>
      <w:r w:rsidR="004C1674" w:rsidRPr="00165ED2">
        <w:rPr>
          <w:rFonts w:ascii="Times New Roman" w:eastAsia="Calibri" w:hAnsi="Times New Roman" w:cs="Times New Roman"/>
          <w:sz w:val="24"/>
          <w:szCs w:val="24"/>
        </w:rPr>
        <w:t xml:space="preserve">A prior bout of priming exercise does not speed </w:t>
      </w:r>
      <w:r w:rsidR="004C1674" w:rsidRPr="00165ED2">
        <w:rPr>
          <w:rFonts w:ascii="Times New Roman" w:hAnsi="Times New Roman" w:cs="Times New Roman"/>
          <w:sz w:val="24"/>
        </w:rPr>
        <w:t>V̇O</w:t>
      </w:r>
      <w:r w:rsidR="004C1674" w:rsidRPr="00165ED2">
        <w:rPr>
          <w:rFonts w:ascii="Times New Roman" w:hAnsi="Times New Roman" w:cs="Times New Roman"/>
          <w:sz w:val="24"/>
          <w:vertAlign w:val="subscript"/>
        </w:rPr>
        <w:t>2</w:t>
      </w:r>
      <w:r w:rsidR="004C1674" w:rsidRPr="00165ED2">
        <w:rPr>
          <w:rFonts w:ascii="Times New Roman" w:eastAsia="Calibri" w:hAnsi="Times New Roman" w:cs="Times New Roman"/>
          <w:sz w:val="24"/>
          <w:szCs w:val="24"/>
          <w:vertAlign w:val="subscript"/>
        </w:rPr>
        <w:t xml:space="preserve"> </w:t>
      </w:r>
      <w:r w:rsidR="004C1674" w:rsidRPr="00165ED2">
        <w:rPr>
          <w:rFonts w:ascii="Times New Roman" w:eastAsia="Calibri" w:hAnsi="Times New Roman" w:cs="Times New Roman"/>
          <w:sz w:val="24"/>
          <w:szCs w:val="24"/>
        </w:rPr>
        <w:t xml:space="preserve">kinetics (i.e. reduce </w:t>
      </w:r>
      <w:r w:rsidR="004C1674" w:rsidRPr="00165ED2">
        <w:rPr>
          <w:rFonts w:ascii="Times New Roman" w:hAnsi="Times New Roman" w:cs="Times New Roman"/>
          <w:sz w:val="24"/>
        </w:rPr>
        <w:t>τ</w:t>
      </w:r>
      <w:r w:rsidR="004C1674" w:rsidRPr="00165ED2">
        <w:rPr>
          <w:rFonts w:ascii="Times New Roman" w:hAnsi="Times New Roman" w:cs="Times New Roman"/>
          <w:sz w:val="24"/>
          <w:vertAlign w:val="subscript"/>
        </w:rPr>
        <w:t>V̇O2</w:t>
      </w:r>
      <w:r w:rsidR="004C1674" w:rsidRPr="00165ED2">
        <w:rPr>
          <w:rFonts w:ascii="Times New Roman" w:hAnsi="Times New Roman" w:cs="Times New Roman"/>
          <w:sz w:val="24"/>
        </w:rPr>
        <w:t xml:space="preserve">) </w:t>
      </w:r>
      <w:r w:rsidR="004C1674" w:rsidRPr="00165ED2">
        <w:rPr>
          <w:rFonts w:ascii="Times New Roman" w:eastAsia="Calibri" w:hAnsi="Times New Roman" w:cs="Times New Roman"/>
          <w:sz w:val="24"/>
          <w:szCs w:val="24"/>
        </w:rPr>
        <w:t>d</w:t>
      </w:r>
      <w:r w:rsidRPr="00165ED2">
        <w:rPr>
          <w:rFonts w:ascii="Times New Roman" w:eastAsia="Calibri" w:hAnsi="Times New Roman" w:cs="Times New Roman"/>
          <w:sz w:val="24"/>
          <w:szCs w:val="24"/>
        </w:rPr>
        <w:t>uring upright cycle exercise in young, healthy individuals</w:t>
      </w:r>
      <w:r w:rsidR="004C1674" w:rsidRPr="00165ED2">
        <w:rPr>
          <w:rFonts w:ascii="Times New Roman" w:eastAsia="Calibri" w:hAnsi="Times New Roman" w:cs="Times New Roman"/>
          <w:sz w:val="24"/>
          <w:szCs w:val="24"/>
        </w:rPr>
        <w:t xml:space="preserve">. However, during exercise in the supine position, muscle perfusion pressure is impaired and </w:t>
      </w:r>
      <w:r w:rsidR="004C1674" w:rsidRPr="00165ED2">
        <w:rPr>
          <w:rFonts w:ascii="Times New Roman" w:hAnsi="Times New Roman" w:cs="Times New Roman"/>
          <w:sz w:val="24"/>
        </w:rPr>
        <w:t>τ</w:t>
      </w:r>
      <w:r w:rsidR="004C1674" w:rsidRPr="00165ED2">
        <w:rPr>
          <w:rFonts w:ascii="Times New Roman" w:hAnsi="Times New Roman" w:cs="Times New Roman"/>
          <w:sz w:val="24"/>
          <w:vertAlign w:val="subscript"/>
        </w:rPr>
        <w:t>V̇O2</w:t>
      </w:r>
      <w:r w:rsidR="004C1674" w:rsidRPr="00165ED2">
        <w:rPr>
          <w:rFonts w:ascii="Times New Roman" w:eastAsia="Calibri" w:hAnsi="Times New Roman" w:cs="Times New Roman"/>
          <w:i/>
          <w:sz w:val="24"/>
          <w:szCs w:val="24"/>
          <w:vertAlign w:val="subscript"/>
        </w:rPr>
        <w:t xml:space="preserve"> </w:t>
      </w:r>
      <w:r w:rsidR="004C1674" w:rsidRPr="00165ED2">
        <w:rPr>
          <w:rFonts w:ascii="Times New Roman" w:eastAsia="Calibri" w:hAnsi="Times New Roman" w:cs="Times New Roman"/>
          <w:sz w:val="24"/>
          <w:szCs w:val="24"/>
        </w:rPr>
        <w:t>becomes O</w:t>
      </w:r>
      <w:r w:rsidR="004C1674" w:rsidRPr="00165ED2">
        <w:rPr>
          <w:rFonts w:ascii="Times New Roman" w:eastAsia="Calibri" w:hAnsi="Times New Roman" w:cs="Times New Roman"/>
          <w:sz w:val="24"/>
          <w:szCs w:val="24"/>
          <w:vertAlign w:val="subscript"/>
        </w:rPr>
        <w:t>2</w:t>
      </w:r>
      <w:r w:rsidR="004C1674" w:rsidRPr="00165ED2">
        <w:rPr>
          <w:rFonts w:ascii="Times New Roman" w:eastAsia="Calibri" w:hAnsi="Times New Roman" w:cs="Times New Roman"/>
          <w:sz w:val="24"/>
          <w:szCs w:val="24"/>
        </w:rPr>
        <w:t xml:space="preserve"> delivery-dependent </w:t>
      </w:r>
      <w:r w:rsidR="004C1674"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{"citationID":"G5yDazot","properties":{"formattedCitation":"[114\\uc0\\u8211{}120]","plainCitation":"[114–120]","noteIndex":0},"citationItems":[{"id":609,"uris":["http://zotero.org/users/5056530/items/2P7JNTBF"],"itemData":{"id":609,"type":"article-journal","abstract":"NEW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eastAsia="Calibri" w:hAnsi="Cambria Math" w:cs="Cambria Math"/>
          <w:sz w:val="24"/>
          <w:szCs w:val="24"/>
        </w:rPr>
        <w:instrText>∼</w:instrText>
      </w:r>
      <w:r w:rsidR="00624DC9" w:rsidRPr="00165ED2">
        <w:rPr>
          <w:rFonts w:ascii="Times New Roman" w:eastAsia="Calibri" w:hAnsi="Times New Roman" w:cs="Times New Roman"/>
          <w:sz w:val="24"/>
          <w:szCs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M."},{"family":"Marwood","given":"Simon"}],"issued":{"date-parts":[["2017",9,1]]}}},{"id":315,"uris":["http://zotero.org/users/5056530/items/BTUCWWGJ"],"itemData":{"id":315,"type":"article-journal","abstract":"We hypothesized that the performance of prior heavy exercise would speed the phase 2 oxygen consumption (VO2) kinetics during subsequent heavy exercise in the supine position (where perfusion pressure might limit muscle O2 supply) but not in the upright position. Eight healthy men (mean +/- SD age 24 +/- 7 yr; body mass 75.0 +/- 5.8 kg) completed a double-step test protocol involving two bouts of 6 min of heavy cycle exercise, separated by a 10-min recovery period, on two occasions in each of the upright and supine positions. Pulmonary O2 uptake was measured breath by breath and muscle oxygenation was assessed using near-infrared spectroscopy (NIRS). The NIRS data indicated that the performance of prior exercise resulted in hyperemia in both body positions. In the upright position, prior exercise had no significant effect on the time constant tau of the VO2 response in phase 2 (bout 1: 29 +/- 10 vs. bout 2: 28 +/- 4 s; P = 0.91) but reduced the amplitude of the VO2 slow component (bout 1: 0.45 +/- 0.16 vs. bout 2: 0.22 +/- 0.14 l/min; P = 0.006) during subsequent heavy exercise. In contrast, in the supine position, prior exercise resulted in a significant reduction in the phase 2 tau (bout 1: 38 +/- 18 vs. bout 2: 24 +/- 9 s; P = 0.03) but did not alter the amplitude of the VO2 slow component (bout 1: 0.40 +/- 0.29 vs. bout 2: 0.41 +/- 0.20 l/min; P = 0.86). These results suggest that the performance of prior heavy exercise enables a speeding of phase 2 VO2 kinetics during heavy exercise in the supine position, presumably by negating an O2 delivery limitation that was extant in the control condition, but not during upright exercise, where muscle O2 supply was probably not limiting.","container-title":"Journal of Applied Physiology (Bethesda, Md.: 1985)","DOI":"10.1152/japplphysiol.00436.2006","ISSN":"8750-7587","issue":"5","journalAbbreviation":"J. Appl. Physiol.","language":"eng","note":"PMID: 16857860","page":"1432-1441","source":"PubMed","title":"Effects of \"priming\" exercise on pulmonary O2 uptake and muscle deoxygenation kinetics during heavy-intensity cycle exercise in the supine and upright positions","volume":"101","author":[{"family":"Jones","given":"Andrew M."},{"family":"Berger","given":"Nicolas J. A."},{"family":"Wilkerson","given":"Daryl P."},{"family":"Roberts","given":"Claire L."}],"issued":{"date-parts":[["2006",11]]}}},{"id":316,"uris":["http://zotero.org/users/5056530/items/5TKDQNT9"],"itemData":{"id":316,"type":"article-journal","abstract":"It is presently unclear how the fast and slow components of pulmonary oxygen uptake (VO(2)) kinetics would be altered by body posture during heavy exercise [i.e., above the lactate threshold (LT)]. Nine subjects performed transitions from unloaded cycling to work rates representing moderate (below the estimated LT) and heavy exercise (VO(2) equal to 50% of the difference between LT and peak VO(2)) under conditions of upright and supine positions. During moderate exercise, the steady-state increase in VO(2) was similar in the two positions, but VO(2) kinetics were slower in the supine position. During heavy exercise, the rate of adjustment of VO(2) to the 6-min value was also slower in the supine position but was characterized by a significant reduction in the amplitude of the fast component of VO(2), without a significant slowing of the phase 2 time constant. However, the amplitude of the slow component was significantly increased, such that the end-exercise VO(2) was the same in the two positions. The changes in VO(2) kinetics for the supine vs. upright position were paralleled by a blunted response of heart rate at 2 min into exercise during supine compared with upright heavy exercise. Thus the supine position was associated with not only a greater amplitude of the slow component for VO(2) but also, concomitantly, with a reduced amplitude of the fast component; this latter effect may be due, at least in part, to an attenuated early rise in heart rate in the supine position.","container-title":"Journal of Applied Physiology (Bethesda, Md.: 1985)","ISSN":"8750-7587","issue":"1","journalAbbreviation":"J. Appl. Physiol.","language":"eng","note":"PMID: 10409583","page":"253-260","source":"PubMed","title":"Kinetics of oxygen uptake during supine and upright heavy exercise","volume":"87","author":[{"family":"Koga","given":"S."},{"family":"Shiojiri","given":"T."},{"family":"Shibasaki","given":"M."},{"family":"Kondo","given":"N."},{"family":"Fukuba","given":"Y."},{"family":"Barstow","given":"T. J."}],"issued":{"date-parts":[["1999",7]]}}},{"id":412,"uris":["http://zotero.org/users/5056530/items/T7RPAF4P"],"itemData":{"id":412,"type":"article-journal","abstract":"We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M."},{"family":"Marwood","given":"Simon"}],"issued":{"date-parts":[["2018",11]]}}},{"id":1147,"uris":["http://zotero.org/users/5056530/items/TP4M4T29"],"itemData":{"id":1147,"type":"article-journal","abstract":"We hypothesized that the performance of prior heavy exercise would speed pulmonary oxygen uptake (VO2) kinetics (i.e. described by a time constant, τVO2) and reduce the amplitude of muscle deoxygenation (deoxy[heme]) kinetics in the supine (S) but not upright (U) body positions. 17 healthy men completed heavy intensity constant work rate exercise tests in S and U consisting of two bouts of 6 min cycling separated by 6 min cycling at 20 W. Pulmonary VO2was measured breath-by-breath; total- and deoxy[heme] were determined via time-resolved-NIRS at three muscle sites. Priming exercise reduced τVO2in S (bout 1: 36 ± 10 vs. bout 2: 28 ± 10 s, P &lt; 0.05) but not U (bout 1: 27 ± 8 vs. bout 2: 25 ± 7 s, P &gt; 0.05). The deoxy[heme] amplitude was increased following priming in S (bout 1: 25-28 vs. bout 2: 30-35 μM, P &lt; 0.05) but not U (bout 1: 13-18 vs. bout 2: 17-25 μM, P &gt; 0.05), whereas baseline total[heme] was enhanced in S (bout 1: 110-179 vs. bout 2: 128-185 μM, P &lt; 0.05) and U (bout 1: 123-186 vs. bout 2: 137-197 μM, P &lt; 0.05). Priming exercise increased total[heme] in both S and U, likely indicating enhanced diffusive O2 delivery. However, the observation that following priming the amplitude of the deoxy[heme] response was increased in S suggests that the reduction in τVO2subsequent to priming was related to a combination of both enhanced intracellular O2 utilization and increased O2 delivery.","container-title":"Journal of Applied Physiology","DOI":"10.1152/japplphysiol.00478.2020","ISSN":"8750-7587","note":"publisher: American Physiological Society","source":"journals.physiology.org (Atypon)","title":"Effect of priming exercise and body position on pulmonary oxygen uptake and muscle deoxygenation kinetics during cycle exercise","URL":"https://journals.physiology.org/doi/abs/10.1152/japplphysiol.00478.2020","author":[{"family":"Goulding","given":"Richie Philip"},{"family":"Marwood","given":"Simon"},{"family":"Okushima","given":"Dai"},{"family":"Poole","given":"David C."},{"family":"Barstow","given":"Thomas J."},{"family":"Lei","given":"Tze-Huan"},{"family":"Kondo","given":"Narihiko"},{"family":"Koga","given":"Shunsaku"}],"accessed":{"date-parts":[["2020",8,7]]},"issued":{"date-parts":[["2020",8,6]]}}},{"id":1151,"uris":["http://zotero.org/users/5056530/items/C9C9LDU4"],"itemData":{"id":1151,"type":"article-journal","abstract":"Oxygen uptake (VO2) kinetics are slowed in the supine (S) position due to impaired muscle O2 delivery (QO2), however, these conclusions are predicated on single-site measurements in superficial muscle using continuous-wave near-infrared spectroscopy (NIRS). This study aimed to determine the impact of body position (i.e. upright U vs. S) on deep and superficial muscle deoxygenation (deoxy[heme]) using time-resolved (TR-) NIRS, and how these relate to slowed pulmonary VO2 kinetics. 17 healthy men completed constant power tests during 1) S heavy intensity exercise; and 2) U exercise at the same absolute work rate, with a subset of 10 completing additional tests at the same relative work rate as S. Pulmonary VO2 was measured breath-by-breath and, deoxy- and total[heme] were resolved via TR-NIRS in the superficial and deep vastus lateralis and superficial rectus femoris. The fundamental phase VO2 time constant was increased during S compared to U (S: 36±10 vs. U: 27±8 s, P&lt;0.001). The deoxy[heme] amplitude (S: 25-28 vs. U: 13-18 µM, P&lt;0.05) and total[heme] amplitude (S: 17-20 vs. U: 9-16µM, P&lt;0.05) were greater in S compared to U and were consistent for the same absolute (above data) and relative work rates (n=10, all P&lt;0.05). The greater deoxy- and total[heme] amplitudes in S vs. U supports that reduced perfusive QO2 in S, even within deep muscle, necessitated a greater reliance on fractional O2 extraction and diffusive QO2. The slower VO2 kinetics in S vs. U demonstrates that, ultimately, these adaptations were insufficient to prevent impairments in whole-body oxidative metabolism.","container-title":"Journal of Applied Physiology (Bethesda, Md.: 1985)","DOI":"10.1152/japplphysiol.00213.2020","ISSN":"1522-1601","journalAbbreviation":"J. Appl. Physiol.","language":"eng","note":"PMID: 32702271","source":"PubMed","title":"Impact of supine exercise on muscle deoxygenation kinetics heterogeneity: Mechanistic insights into slow pulmonary oxygen uptake dynamics","title-short":"Impact of supine exercise on muscle deoxygenation kinetics heterogeneity","author":[{"family":"Goulding","given":"Richie Philip"},{"family":"Okushima","given":"Dai"},{"family":"Marwood","given":"Simon"},{"family":"Poole","given":"David C."},{"family":"Barstow","given":"Thomas J."},{"family":"Lei","given":"Tze-Huan"},{"family":"Kondo","given":"Narihiko"},{"family":"Koga","given":"Shunsaku"}],"issued":{"date-parts":[["2020",7,23]]}}},{"id":2897,"uris":["http://zotero.org/users/5056530/items/W8XRHN76"],"itemData":{"id":2897,"type":"article-journal","abstract":"PURPOSE: We tested the hypothesis that incremental ramp cycling exercise performed in the supine position (S) would be associated with an increased reliance on muscle deoxygenation (deoxy[heme]) in the deep and superficial vastus lateralis (VLd and VLs, respectively) and the superficial rectus femoris (RFs) when compared to the upright position (U).\nMETHODS: 11 healthy men completed ramp incremental exercise tests in S and U. Pulmonary [Formula: see text]O2 was measured breath-by-breath; deoxy[heme] was determined via time-resolved near-infrared spectroscopy in the VLd, VLs and RFs.\nRESULTS: Supine exercise increased the overall change in deoxy[heme] from baseline to maximal exercise in the VLs (S: 38 ± 23 vs. U: 26 ± 15 μM, P &lt; 0.001) and RFs (S: 36 ± 21 vs. U: 25 ± 15 μM, P &lt; 0.001), but not in the VLd (S: 32 ± 23 vs. U: 29 ± 26 μM, P &gt; 0.05).\nCONCLUSIONS: The present study supports that the impaired balance between O2 delivery and O2 utilization observed during supine exercise is a regional phenomenon within superficial muscles. Thus, deep muscle defended its O2 delivery/utilization balance against the supine-induced reductions in perfusion pressure. The differential responses of these muscle regions may be explained by a regional heterogeneity of vascular and metabolic control properties, perhaps related to fiber type composition.","container-title":"European Journal of Applied Physiology","DOI":"10.1007/s00421-021-04607-6","ISSN":"1439-6327","journalAbbreviation":"Eur J Appl Physiol","language":"eng","note":"PMID: 33575912","source":"PubMed","title":"Impact of supine versus upright exercise on muscle deoxygenation heterogeneity during ramp incremental cycling is site specific","author":[{"family":"Goulding","given":"Richie P."},{"family":"Okushima","given":"Dai"},{"family":"Fukuoka","given":"Yoshiyuki"},{"family":"Marwood","given":"Simon"},{"family":"Kondo","given":"Narihiko"},{"family":"Poole","given":"David C."},{"family":"Barstow","given":"Thomas J."},{"family":"Koga","given":"Shunsaku"}],"issued":{"date-parts":[["2021",2,11]]}}}],"schema":"https://github.com/citation-style-language/schema/raw/master/csl-citation.json"} </w:instrText>
      </w:r>
      <w:r w:rsidR="004C1674"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szCs w:val="24"/>
        </w:rPr>
        <w:t>[114–120]</w:t>
      </w:r>
      <w:r w:rsidR="004C1674" w:rsidRPr="00165ED2">
        <w:rPr>
          <w:rFonts w:ascii="Times New Roman" w:eastAsia="Calibri" w:hAnsi="Times New Roman" w:cs="Times New Roman"/>
          <w:sz w:val="24"/>
          <w:szCs w:val="24"/>
        </w:rPr>
        <w:fldChar w:fldCharType="end"/>
      </w:r>
      <w:r w:rsidR="004C1674" w:rsidRPr="00165ED2">
        <w:rPr>
          <w:rFonts w:ascii="Times New Roman" w:eastAsia="Calibri" w:hAnsi="Times New Roman" w:cs="Times New Roman"/>
          <w:sz w:val="24"/>
          <w:szCs w:val="24"/>
        </w:rPr>
        <w:t>.</w:t>
      </w:r>
      <w:r w:rsidRPr="00165ED2">
        <w:rPr>
          <w:rFonts w:ascii="Times New Roman" w:eastAsia="Calibri" w:hAnsi="Times New Roman" w:cs="Times New Roman"/>
          <w:sz w:val="24"/>
          <w:szCs w:val="24"/>
        </w:rPr>
        <w:t xml:space="preserve"> Hence</w:t>
      </w:r>
      <w:r w:rsidR="004C1674" w:rsidRPr="00165ED2">
        <w:rPr>
          <w:rFonts w:ascii="Times New Roman" w:eastAsia="Calibri" w:hAnsi="Times New Roman" w:cs="Times New Roman"/>
          <w:sz w:val="24"/>
          <w:szCs w:val="24"/>
        </w:rPr>
        <w:t xml:space="preserve"> in a young healthy population</w:t>
      </w:r>
      <w:r w:rsidRPr="00165ED2">
        <w:rPr>
          <w:rFonts w:ascii="Times New Roman" w:eastAsia="Calibri" w:hAnsi="Times New Roman" w:cs="Times New Roman"/>
          <w:sz w:val="24"/>
          <w:szCs w:val="24"/>
        </w:rPr>
        <w:t>, prior heavy exercise (which enhances muscle O</w:t>
      </w:r>
      <w:r w:rsidRPr="00165ED2">
        <w:rPr>
          <w:rFonts w:ascii="Times New Roman" w:eastAsia="Calibri" w:hAnsi="Times New Roman" w:cs="Times New Roman"/>
          <w:sz w:val="24"/>
          <w:szCs w:val="24"/>
          <w:vertAlign w:val="subscript"/>
        </w:rPr>
        <w:t>2</w:t>
      </w:r>
      <w:r w:rsidRPr="00165ED2">
        <w:rPr>
          <w:rFonts w:ascii="Times New Roman" w:eastAsia="Calibri" w:hAnsi="Times New Roman" w:cs="Times New Roman"/>
          <w:sz w:val="24"/>
          <w:szCs w:val="24"/>
        </w:rPr>
        <w:t xml:space="preserve"> delivery,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{"citationID":"MX7u1bYT","properties":{"formattedCitation":"[115,121,122]","plainCitation":"[115,121,122]","noteIndex":0},"citationItems":[{"id":315,"uris":["http://zotero.org/users/5056530/items/BTUCWWGJ"],"itemData":{"id":315,"type":"article-journal","abstract":"We hypothesized that the performance of prior heavy exercise would speed the phase 2 oxygen consumption (VO2) kinetics during subsequent heavy exercise in the supine position (where perfusion pressure might limit muscle O2 supply) but not in the upright position. Eight healthy men (mean +/- SD age 24 +/- 7 yr; body mass 75.0 +/- 5.8 kg) completed a double-step test protocol involving two bouts of 6 min of heavy cycle exercise, separated by a 10-min recovery period, on two occasions in each of the upright and supine positions. Pulmonary O2 uptake was measured breath by breath and muscle oxygenation was assessed using near-infrared spectroscopy (NIRS). The NIRS data indicated that the performance of prior exercise resulted in hyperemia in both body positions. In the upright position, prior exercise had no significant effect on the time constant tau of the VO2 response in phase 2 (bout 1: 29 +/- 10 vs. bout 2: 28 +/- 4 s; P = 0.91) but reduced the amplitude of the VO2 slow component (bout 1: 0.45 +/- 0.16 vs. bout 2: 0.22 +/- 0.14 l/min; P = 0.006) during subsequent heavy exercise. In contrast, in the supine position, prior exercise resulted in a significant reduction in the phase 2 tau (bout 1: 38 +/- 18 vs. bout 2: 24 +/- 9 s; P = 0.03) but did not alter the amplitude of the VO2 slow component (bout 1: 0.40 +/- 0.29 vs. bout 2: 0.41 +/- 0.20 l/min; P = 0.86). These results suggest that the performance of prior heavy exercise enables a speeding of phase 2 VO2 kinetics during heavy exercise in the supine position, presumably by negating an O2 delivery limitation that was extant in the control condition, but not during upright exercise, where muscle O2 supply was probably not limiting.","container-title":"Journal of Applied Physiology (Bethesda, Md.: 1985)","DOI":"10.1152/japplphysiol.00436.2006","ISSN":"8750-7587","issue":"5","journalAbbreviation":"J. Appl. Physiol.","language":"eng","note":"PMID: 16857860","page":"1432-1441","source":"PubMed","title":"Effects of \"priming\" exercise on pulmonary O2 uptake and muscle deoxygenation kinetics during heavy-intensity cycle exercise in the supine and upright positions","volume":"101","author":[{"family":"Jones","given":"Andrew M."},{"family":"Berger","given":"Nicolas J. A."},{"family":"Wilkerson","given":"Daryl P."},{"family":"Roberts","given":"Claire L."}],"issued":{"date-parts":[["2006",11]]}}},{"id":709,"uris":["http://zotero.org/users/5056530/items/9Z6W6XAN"],"itemData":{"id":709,"type":"article-journal","abstract":"The adaptation of pulmonary oxygen uptake (V̇o2p) kinetics during the transition to moderate-intensity exercise is slowed in older compared with younger adults; however, this response is faster following a prior bout of heavy-intensity exercise. We have examined V̇o2p kinetics, pyruvate dehydrogenase (PDH) activation, muscle metabolite contents, and muscle deoxygenation in older adults [n = 6; 70 ± 5 (67–74) yr] during moderate-intensity exercise (Mod1) and during moderate-intensity exercise preceded by heavy-intensity warm-up exercise (Mod2). The phase 2 V̇o2p time constant (τV̇o2p) was reduced (P &lt; 0.05) in Mod2 (29 ± 5 s) compared with Mod1 (39 ± 14 s). PDH activity was elevated (P &lt; 0.05) at baseline prior to Mod2 (2.1 ± 0.6 vs. 1.2 ± 0.3 mmol acetyl-CoA·min−1·kg wet wt−1), and the delay in attaining end-exercise activity was abolished. Phosphocreatine breakdown during exercise was reduced (P &lt; 0.05) at both 30 s and 6 min in Mod2 compared with Mod1. Near-infrared spectroscopy-derived indices of muscle oxygenation were elevated both prior to and throughout Mod2, while muscle deoxygenation kinetics were not different between exercise bouts consistent with elevated perfusion and O2 availability. These results suggest that in older adults, faster V̇o2p kinetics following prior heavy-intensity exercise are likely a result of prior activation of mitochondrial enzyme activity in combination with elevated muscle perfusion and O2 availability.","container-title":"American Journal of Physiology-Regulatory, Integrative and Comparative Physiology","DOI":"10.1152/ajpregu.90848.2008","ISSN":"0363-6119","issue":"3","journalAbbreviation":"American Journal of Physiology-Regulatory, Integrative and Comparative Physiology","page":"R877-R884","source":"physiology.org (Atypon)","title":"Prior heavy exercise elevates pyruvate dehydrogenase activity and muscle oxygenation and speeds O2 uptake kinetics during moderate exercise in older adults","volume":"297","author":[{"family":"Gurd","given":"Brendon J."},{"family":"Peters","given":"Sandra J."},{"family":"Heigenhauser","given":"George J. F."},{"family":"LeBlanc","given":"Paul J."},{"family":"Doherty","given":"Timothy J."},{"family":"Paterson","given":"Donald H."},{"family":"Kowalchuk","given":"John M."}],"issued":{"date-parts":[["2009",9,1]]}}},{"id":1000,"uris":["http://zotero.org/users/5056530/items/KU3UTNZW"],"itemData":{"id":1000,"type":"article-journal","abstract":"It was the purpose of this study to examine the effect of a priming contractile bout on oxygen uptake (VO2) on-kinetics in highly oxidative skeletal muscle. Canine gastrocnemii (n=12) were stimulated via their sciatic nerves (8 V, 0.2-ms duration, 50 Hz, 200-ms train) at a rate of 2 contractions/3 s (approximately 70% peak VO2) for two 2-min bouts, separated by 2 min of recovery. Blood flow was recorded with an ultrasonic flowmeter, and muscle oxygenation monitored via near-infrared spectroscopy. Compared with the first bout (bout 2 vs. bout 1), the VO2 primary time constant (mean+/-SD, 9.4+/-2.3 vs. 12.0+/-3.9 s) and slow-component amplitude (5.9+/-6.3 vs. 12.1+/-9.0 ml O2.kg wet wt(-1).min(-1)) were significantly reduced (P&lt;0.05) during the second bout. Blood flow on-kinetics were significantly speeded during the second bout (time constant=7.7+/-2.6 vs. 14.8+/-5.8 s), and O2 extraction was greater at the onset of contractions (0.050+/-0.030 vs. 0.020+/-0.010 ml O2/ml blood). Kinetics of muscle deoxygenation were significantly slower at the onset of the second bout (7.2+/-2.2 vs. 4.4+/-1.2 s), while relative oxyhemoglobin concentration was elevated throughout the second bout. These results suggest that better matching of O2 delivery to VO2 speeds Vo(2) on-kinetics at this metabolic rate, but do not eliminate a potential role for enhanced metabolic activation. Additionally, altered motor unit recruitment at the onset of a second bout is not a prerequisite for reductions in the VO2 slow-component amplitude after a priming contractile bout in canine muscle in situ.","container-title":"Journal of Applied Physiology (Bethesda, Md.: 1985)","DOI":"10.1152/japplphysiol.01318.2009","ISSN":"1522-1601","issue":"5","journalAbbreviation":"J. Appl. Physiol.","language":"eng","note":"PMID: 20223997","page":"1169-1176","source":"PubMed","title":"A prior bout of contractions speeds VO2 and blood flow on-kinetics and reduces the VO2 slow-component amplitude in canine skeletal muscle contracting in situ","volume":"108","author":[{"family":"Hernández","given":"Andrés"},{"family":"McDonald","given":"James R."},{"family":"Lai","given":"Nicola"},{"family":"Gladden","given":"L. Bruce"}],"issued":{"date-parts":[["2010",5]]}}}],"schema":"https://github.com/citation-style-language/schema/raw/master/csl-citation.json"}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[115,121,122]</w:t>
      </w:r>
      <w:r w:rsidRPr="00165ED2">
        <w:rPr>
          <w:rFonts w:ascii="Times New Roman" w:eastAsia="Calibri" w:hAnsi="Times New Roman" w:cs="Times New Roman"/>
          <w:sz w:val="24"/>
          <w:szCs w:val="24"/>
        </w:rPr>
        <w:fldChar w:fldCharType="end"/>
      </w:r>
      <w:r w:rsidR="00165770" w:rsidRPr="00165ED2">
        <w:rPr>
          <w:rFonts w:ascii="Times New Roman" w:eastAsia="Calibri" w:hAnsi="Times New Roman" w:cs="Times New Roman"/>
          <w:sz w:val="24"/>
          <w:szCs w:val="24"/>
        </w:rPr>
        <w:t>)</w:t>
      </w:r>
      <w:r w:rsidRPr="00165ED2">
        <w:rPr>
          <w:rFonts w:ascii="Times New Roman" w:eastAsia="Calibri" w:hAnsi="Times New Roman" w:cs="Times New Roman"/>
          <w:sz w:val="24"/>
          <w:szCs w:val="24"/>
        </w:rPr>
        <w:t xml:space="preserve"> would be expected to reduce </w:t>
      </w:r>
      <w:r w:rsidRPr="00165ED2">
        <w:rPr>
          <w:rFonts w:ascii="Times New Roman" w:hAnsi="Times New Roman" w:cs="Times New Roman"/>
          <w:sz w:val="24"/>
        </w:rPr>
        <w:t>τ</w:t>
      </w:r>
      <w:r w:rsidRPr="00165ED2">
        <w:rPr>
          <w:rFonts w:ascii="Times New Roman" w:hAnsi="Times New Roman" w:cs="Times New Roman"/>
          <w:sz w:val="24"/>
          <w:vertAlign w:val="subscript"/>
        </w:rPr>
        <w:t>V̇O2</w:t>
      </w:r>
      <w:r w:rsidRPr="00165ED2">
        <w:rPr>
          <w:rFonts w:ascii="Times New Roman" w:eastAsia="Calibri" w:hAnsi="Times New Roman" w:cs="Times New Roman"/>
          <w:i/>
          <w:sz w:val="24"/>
          <w:szCs w:val="24"/>
          <w:vertAlign w:val="subscript"/>
        </w:rPr>
        <w:t xml:space="preserve"> </w:t>
      </w:r>
      <w:r w:rsidRPr="00165ED2">
        <w:rPr>
          <w:rFonts w:ascii="Times New Roman" w:eastAsia="Calibri" w:hAnsi="Times New Roman" w:cs="Times New Roman"/>
          <w:sz w:val="24"/>
          <w:szCs w:val="24"/>
        </w:rPr>
        <w:t>during supine but not upright cycling</w:t>
      </w:r>
      <w:r w:rsidR="004C1674" w:rsidRPr="00165ED2">
        <w:rPr>
          <w:rFonts w:ascii="Times New Roman" w:eastAsia="Calibri" w:hAnsi="Times New Roman" w:cs="Times New Roman"/>
          <w:sz w:val="24"/>
          <w:szCs w:val="24"/>
        </w:rPr>
        <w:t xml:space="preserve">. Accordingly, should </w:t>
      </w:r>
      <w:r w:rsidR="004C1674" w:rsidRPr="00165ED2">
        <w:rPr>
          <w:rFonts w:ascii="Times New Roman" w:hAnsi="Times New Roman" w:cs="Times New Roman"/>
          <w:sz w:val="24"/>
        </w:rPr>
        <w:t>τ</w:t>
      </w:r>
      <w:r w:rsidR="004C1674" w:rsidRPr="00165ED2">
        <w:rPr>
          <w:rFonts w:ascii="Times New Roman" w:hAnsi="Times New Roman" w:cs="Times New Roman"/>
          <w:sz w:val="24"/>
          <w:vertAlign w:val="subscript"/>
        </w:rPr>
        <w:t>V̇O2</w:t>
      </w:r>
      <w:r w:rsidR="004C1674" w:rsidRPr="00165ED2">
        <w:rPr>
          <w:rFonts w:ascii="Times New Roman" w:eastAsia="Calibri" w:hAnsi="Times New Roman" w:cs="Times New Roman"/>
          <w:sz w:val="24"/>
          <w:szCs w:val="24"/>
        </w:rPr>
        <w:t xml:space="preserve"> </w:t>
      </w:r>
      <w:r w:rsidR="004C1674" w:rsidRPr="00165ED2">
        <w:rPr>
          <w:rFonts w:ascii="Times New Roman" w:eastAsia="Calibri" w:hAnsi="Times New Roman" w:cs="Times New Roman"/>
          <w:sz w:val="24"/>
          <w:szCs w:val="24"/>
        </w:rPr>
        <w:lastRenderedPageBreak/>
        <w:t>exert a determining effect on CP, an increase in CP during supine, but not upright, exercise would be observed</w:t>
      </w:r>
      <w:r w:rsidRPr="00165ED2">
        <w:rPr>
          <w:rFonts w:ascii="Times New Roman" w:eastAsia="Calibri" w:hAnsi="Times New Roman" w:cs="Times New Roman"/>
          <w:sz w:val="24"/>
          <w:szCs w:val="24"/>
        </w:rPr>
        <w:t xml:space="preserve"> </w:t>
      </w:r>
      <w:r w:rsidR="004C1674" w:rsidRPr="00165ED2">
        <w:rPr>
          <w:rFonts w:ascii="Times New Roman" w:eastAsia="Calibri" w:hAnsi="Times New Roman" w:cs="Times New Roman"/>
          <w:sz w:val="24"/>
          <w:szCs w:val="24"/>
        </w:rPr>
        <w:t xml:space="preserve">following priming exercise as compared to control conditions. </w:t>
      </w:r>
      <w:r w:rsidR="0038203D" w:rsidRPr="00165ED2">
        <w:rPr>
          <w:rFonts w:ascii="Times New Roman" w:eastAsia="Calibri" w:hAnsi="Times New Roman" w:cs="Times New Roman"/>
          <w:sz w:val="24"/>
          <w:szCs w:val="24"/>
        </w:rPr>
        <w:t>It was demonstrated</w:t>
      </w:r>
      <w:r w:rsidRPr="00165ED2">
        <w:rPr>
          <w:rFonts w:ascii="Times New Roman" w:eastAsia="Calibri" w:hAnsi="Times New Roman" w:cs="Times New Roman"/>
          <w:sz w:val="24"/>
          <w:szCs w:val="24"/>
        </w:rPr>
        <w:t xml:space="preserve"> that when priming exercise was conducted in the supine position,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was </w:t>
      </w:r>
      <w:r w:rsidR="008C78C8" w:rsidRPr="00165ED2">
        <w:rPr>
          <w:rFonts w:ascii="Times New Roman" w:eastAsia="Calibri" w:hAnsi="Times New Roman" w:cs="Times New Roman"/>
          <w:sz w:val="24"/>
          <w:szCs w:val="24"/>
        </w:rPr>
        <w:t xml:space="preserve">indeed </w:t>
      </w:r>
      <w:r w:rsidRPr="00165ED2">
        <w:rPr>
          <w:rFonts w:ascii="Times New Roman" w:eastAsia="Calibri" w:hAnsi="Times New Roman" w:cs="Times New Roman"/>
          <w:sz w:val="24"/>
          <w:szCs w:val="24"/>
        </w:rPr>
        <w:t xml:space="preserve">reduced and CP concomitantly increased, whereas during upright exercise, both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and CP were unaffected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{"citationID":"XMnju6et","properties":{"formattedCitation":"[114]","plainCitation":"[114]","noteIndex":0},"citationItems":[{"id":609,"uris":["http://zotero.org/users/5056530/items/2P7JNTBF"],"itemData":{"id":609,"type":"article-journal","abstract":"NEW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eastAsia="Calibri" w:hAnsi="Cambria Math" w:cs="Cambria Math"/>
          <w:sz w:val="24"/>
          <w:szCs w:val="24"/>
        </w:rPr>
        <w:instrText>∼</w:instrText>
      </w:r>
      <w:r w:rsidR="00624DC9" w:rsidRPr="00165ED2">
        <w:rPr>
          <w:rFonts w:ascii="Times New Roman" w:eastAsia="Calibri" w:hAnsi="Times New Roman" w:cs="Times New Roman"/>
          <w:sz w:val="24"/>
          <w:szCs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[114]</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These findings therefore provided the first experimental evidence that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is mechanistically related to CP.  </w:t>
      </w:r>
    </w:p>
    <w:p w14:paraId="41727C4B" w14:textId="372A9685" w:rsidR="0038203D" w:rsidRPr="00165ED2" w:rsidRDefault="0038203D" w:rsidP="00E85202">
      <w:pPr>
        <w:spacing w:line="480" w:lineRule="auto"/>
        <w:ind w:firstLine="720"/>
        <w:jc w:val="both"/>
        <w:rPr>
          <w:rFonts w:ascii="Times New Roman" w:eastAsia="Calibri" w:hAnsi="Times New Roman" w:cs="Times New Roman"/>
          <w:sz w:val="24"/>
          <w:szCs w:val="24"/>
        </w:rPr>
      </w:pPr>
      <w:r w:rsidRPr="00165ED2">
        <w:rPr>
          <w:rFonts w:ascii="Times New Roman" w:eastAsia="Calibri" w:hAnsi="Times New Roman" w:cs="Times New Roman"/>
          <w:sz w:val="24"/>
          <w:szCs w:val="24"/>
        </w:rPr>
        <w:t>Because</w:t>
      </w:r>
      <w:r w:rsidR="0022035E" w:rsidRPr="00165ED2">
        <w:rPr>
          <w:rFonts w:ascii="Times New Roman" w:eastAsia="Calibri" w:hAnsi="Times New Roman" w:cs="Times New Roman"/>
          <w:sz w:val="24"/>
          <w:szCs w:val="24"/>
        </w:rPr>
        <w:t xml:space="preserve"> of the nature of the </w:t>
      </w:r>
      <w:r w:rsidRPr="00165ED2">
        <w:rPr>
          <w:rFonts w:ascii="Times New Roman" w:eastAsia="Calibri" w:hAnsi="Times New Roman" w:cs="Times New Roman"/>
          <w:sz w:val="24"/>
          <w:szCs w:val="24"/>
        </w:rPr>
        <w:t xml:space="preserve">priming </w:t>
      </w:r>
      <w:r w:rsidR="0022035E" w:rsidRPr="00165ED2">
        <w:rPr>
          <w:rFonts w:ascii="Times New Roman" w:eastAsia="Calibri" w:hAnsi="Times New Roman" w:cs="Times New Roman"/>
          <w:sz w:val="24"/>
          <w:szCs w:val="24"/>
        </w:rPr>
        <w:t>intervention</w:t>
      </w:r>
      <w:r w:rsidRPr="00165ED2">
        <w:rPr>
          <w:rFonts w:ascii="Times New Roman" w:eastAsia="Calibri" w:hAnsi="Times New Roman" w:cs="Times New Roman"/>
          <w:sz w:val="24"/>
          <w:szCs w:val="24"/>
        </w:rPr>
        <w:t xml:space="preserve"> utilized in </w:t>
      </w:r>
      <w:r w:rsidR="008C78C8" w:rsidRPr="00165ED2">
        <w:rPr>
          <w:rFonts w:ascii="Times New Roman" w:eastAsia="Calibri" w:hAnsi="Times New Roman" w:cs="Times New Roman"/>
          <w:sz w:val="24"/>
          <w:szCs w:val="24"/>
        </w:rPr>
        <w:t>this first</w:t>
      </w:r>
      <w:r w:rsidRPr="00165ED2">
        <w:rPr>
          <w:rFonts w:ascii="Times New Roman" w:eastAsia="Calibri" w:hAnsi="Times New Roman" w:cs="Times New Roman"/>
          <w:sz w:val="24"/>
          <w:szCs w:val="24"/>
        </w:rPr>
        <w:t xml:space="preserve"> study </w:t>
      </w:r>
      <w:r w:rsidR="00CB50A3"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{"citationID":"x9OhynmO","properties":{"formattedCitation":"[114]","plainCitation":"[114]","noteIndex":0},"citationItems":[{"id":609,"uris":["http://zotero.org/users/5056530/items/2P7JNTBF"],"itemData":{"id":609,"type":"article-journal","abstract":"NEW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eastAsia="Calibri" w:hAnsi="Cambria Math" w:cs="Cambria Math"/>
          <w:sz w:val="24"/>
          <w:szCs w:val="24"/>
        </w:rPr>
        <w:instrText>∼</w:instrText>
      </w:r>
      <w:r w:rsidR="00624DC9" w:rsidRPr="00165ED2">
        <w:rPr>
          <w:rFonts w:ascii="Times New Roman" w:eastAsia="Calibri" w:hAnsi="Times New Roman" w:cs="Times New Roman"/>
          <w:sz w:val="24"/>
          <w:szCs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sidR="00CB50A3"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[114]</w:t>
      </w:r>
      <w:r w:rsidR="00CB50A3" w:rsidRPr="00165ED2">
        <w:rPr>
          <w:rFonts w:ascii="Times New Roman" w:eastAsia="Calibri" w:hAnsi="Times New Roman" w:cs="Times New Roman"/>
          <w:sz w:val="24"/>
          <w:szCs w:val="24"/>
        </w:rPr>
        <w:fldChar w:fldCharType="end"/>
      </w:r>
      <w:r w:rsidR="00CB50A3" w:rsidRPr="00165ED2">
        <w:rPr>
          <w:rFonts w:ascii="Times New Roman" w:eastAsia="Calibri" w:hAnsi="Times New Roman" w:cs="Times New Roman"/>
          <w:sz w:val="24"/>
          <w:szCs w:val="24"/>
        </w:rPr>
        <w:t xml:space="preserve">, </w:t>
      </w:r>
      <w:r w:rsidRPr="00165ED2">
        <w:rPr>
          <w:rFonts w:ascii="Times New Roman" w:eastAsia="Calibri" w:hAnsi="Times New Roman" w:cs="Times New Roman"/>
          <w:sz w:val="24"/>
          <w:szCs w:val="24"/>
        </w:rPr>
        <w:t>however,</w:t>
      </w:r>
      <w:r w:rsidR="0022035E" w:rsidRPr="00165ED2">
        <w:rPr>
          <w:rFonts w:ascii="Times New Roman" w:eastAsia="Calibri" w:hAnsi="Times New Roman" w:cs="Times New Roman"/>
          <w:sz w:val="24"/>
          <w:szCs w:val="24"/>
        </w:rPr>
        <w:t xml:space="preserve"> it was not possible to separate any independent effect of a reduced </w:t>
      </w:r>
      <w:r w:rsidR="0022035E" w:rsidRPr="00165ED2">
        <w:rPr>
          <w:rFonts w:ascii="Times New Roman" w:hAnsi="Times New Roman" w:cs="Times New Roman"/>
          <w:sz w:val="24"/>
        </w:rPr>
        <w:t>τ</w:t>
      </w:r>
      <w:r w:rsidR="0022035E" w:rsidRPr="00165ED2">
        <w:rPr>
          <w:rFonts w:ascii="Times New Roman" w:hAnsi="Times New Roman" w:cs="Times New Roman"/>
          <w:sz w:val="24"/>
          <w:vertAlign w:val="subscript"/>
        </w:rPr>
        <w:t>V̇O2</w:t>
      </w:r>
      <w:r w:rsidR="0022035E" w:rsidRPr="00165ED2">
        <w:rPr>
          <w:rFonts w:ascii="Times New Roman" w:eastAsia="Calibri" w:hAnsi="Times New Roman" w:cs="Times New Roman"/>
          <w:sz w:val="24"/>
          <w:szCs w:val="24"/>
        </w:rPr>
        <w:t xml:space="preserve"> </w:t>
      </w:r>
      <w:r w:rsidR="001F2457" w:rsidRPr="00165ED2">
        <w:rPr>
          <w:rFonts w:ascii="Times New Roman" w:eastAsia="Calibri" w:hAnsi="Times New Roman" w:cs="Times New Roman"/>
          <w:sz w:val="24"/>
          <w:szCs w:val="24"/>
        </w:rPr>
        <w:t xml:space="preserve">(i.e. slowed </w:t>
      </w:r>
      <w:r w:rsidR="001F2457" w:rsidRPr="00165ED2">
        <w:rPr>
          <w:rFonts w:ascii="Times New Roman" w:hAnsi="Times New Roman" w:cs="Times New Roman"/>
          <w:sz w:val="24"/>
          <w:szCs w:val="24"/>
          <w:lang w:val="en-US"/>
        </w:rPr>
        <w:t>V̇O</w:t>
      </w:r>
      <w:r w:rsidR="001F2457" w:rsidRPr="00165ED2">
        <w:rPr>
          <w:rFonts w:ascii="Times New Roman" w:hAnsi="Times New Roman" w:cs="Times New Roman"/>
          <w:sz w:val="24"/>
          <w:szCs w:val="24"/>
          <w:vertAlign w:val="subscript"/>
          <w:lang w:val="en-US"/>
        </w:rPr>
        <w:t>2</w:t>
      </w:r>
      <w:r w:rsidR="001F2457" w:rsidRPr="00165ED2">
        <w:rPr>
          <w:rFonts w:ascii="Times New Roman" w:hAnsi="Times New Roman" w:cs="Times New Roman"/>
          <w:sz w:val="24"/>
          <w:szCs w:val="24"/>
          <w:lang w:val="en-US"/>
        </w:rPr>
        <w:t xml:space="preserve"> kinetics</w:t>
      </w:r>
      <w:r w:rsidR="001F2457" w:rsidRPr="00165ED2">
        <w:rPr>
          <w:rFonts w:ascii="Times New Roman" w:eastAsia="Calibri" w:hAnsi="Times New Roman" w:cs="Times New Roman"/>
          <w:sz w:val="24"/>
          <w:szCs w:val="24"/>
        </w:rPr>
        <w:t xml:space="preserve">) </w:t>
      </w:r>
      <w:r w:rsidR="0022035E" w:rsidRPr="00165ED2">
        <w:rPr>
          <w:rFonts w:ascii="Times New Roman" w:eastAsia="Calibri" w:hAnsi="Times New Roman" w:cs="Times New Roman"/>
          <w:sz w:val="24"/>
          <w:szCs w:val="24"/>
        </w:rPr>
        <w:t>on CP from that of an improved O</w:t>
      </w:r>
      <w:r w:rsidR="0022035E" w:rsidRPr="00165ED2">
        <w:rPr>
          <w:rFonts w:ascii="Times New Roman" w:eastAsia="Calibri" w:hAnsi="Times New Roman" w:cs="Times New Roman"/>
          <w:sz w:val="24"/>
          <w:szCs w:val="24"/>
          <w:vertAlign w:val="subscript"/>
        </w:rPr>
        <w:t>2</w:t>
      </w:r>
      <w:r w:rsidR="0022035E" w:rsidRPr="00165ED2">
        <w:rPr>
          <w:rFonts w:ascii="Times New Roman" w:eastAsia="Calibri" w:hAnsi="Times New Roman" w:cs="Times New Roman"/>
          <w:sz w:val="24"/>
          <w:szCs w:val="24"/>
        </w:rPr>
        <w:t xml:space="preserve"> availability as a consequence of the priming exercise.  Indeed, the strong correlation observed between </w:t>
      </w:r>
      <w:r w:rsidR="0022035E" w:rsidRPr="00165ED2">
        <w:rPr>
          <w:rFonts w:ascii="Times New Roman" w:hAnsi="Times New Roman" w:cs="Times New Roman"/>
          <w:sz w:val="24"/>
        </w:rPr>
        <w:t>τ</w:t>
      </w:r>
      <w:r w:rsidR="0022035E" w:rsidRPr="00165ED2">
        <w:rPr>
          <w:rFonts w:ascii="Times New Roman" w:hAnsi="Times New Roman" w:cs="Times New Roman"/>
          <w:sz w:val="24"/>
          <w:vertAlign w:val="subscript"/>
        </w:rPr>
        <w:t xml:space="preserve">V̇O2 </w:t>
      </w:r>
      <w:r w:rsidR="0022035E" w:rsidRPr="00165ED2">
        <w:rPr>
          <w:rFonts w:ascii="Times New Roman" w:eastAsia="Calibri" w:hAnsi="Times New Roman" w:cs="Times New Roman"/>
          <w:sz w:val="24"/>
          <w:szCs w:val="24"/>
        </w:rPr>
        <w:t>and CP for upright exercise was absent for supine exercise</w:t>
      </w:r>
      <w:r w:rsidR="00CB50A3" w:rsidRPr="00165ED2">
        <w:rPr>
          <w:rFonts w:ascii="Times New Roman" w:eastAsia="Calibri" w:hAnsi="Times New Roman" w:cs="Times New Roman"/>
          <w:sz w:val="24"/>
          <w:szCs w:val="24"/>
        </w:rPr>
        <w:t xml:space="preserve"> </w:t>
      </w:r>
      <w:r w:rsidR="00CB50A3"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{"citationID":"jw8ki1uE","properties":{"formattedCitation":"[114]","plainCitation":"[114]","noteIndex":0},"citationItems":[{"id":609,"uris":["http://zotero.org/users/5056530/items/2P7JNTBF"],"itemData":{"id":609,"type":"article-journal","abstract":"NEW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eastAsia="Calibri" w:hAnsi="Cambria Math" w:cs="Cambria Math"/>
          <w:sz w:val="24"/>
          <w:szCs w:val="24"/>
        </w:rPr>
        <w:instrText>∼</w:instrText>
      </w:r>
      <w:r w:rsidR="00624DC9" w:rsidRPr="00165ED2">
        <w:rPr>
          <w:rFonts w:ascii="Times New Roman" w:eastAsia="Calibri" w:hAnsi="Times New Roman" w:cs="Times New Roman"/>
          <w:sz w:val="24"/>
          <w:szCs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sidR="00CB50A3"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[114]</w:t>
      </w:r>
      <w:r w:rsidR="00CB50A3" w:rsidRPr="00165ED2">
        <w:rPr>
          <w:rFonts w:ascii="Times New Roman" w:eastAsia="Calibri" w:hAnsi="Times New Roman" w:cs="Times New Roman"/>
          <w:sz w:val="24"/>
          <w:szCs w:val="24"/>
        </w:rPr>
        <w:fldChar w:fldCharType="end"/>
      </w:r>
      <w:r w:rsidR="00CB50A3" w:rsidRPr="00165ED2">
        <w:rPr>
          <w:rFonts w:ascii="Times New Roman" w:eastAsia="Calibri" w:hAnsi="Times New Roman" w:cs="Times New Roman"/>
          <w:sz w:val="24"/>
          <w:szCs w:val="24"/>
        </w:rPr>
        <w:t>.</w:t>
      </w:r>
      <w:r w:rsidR="0022035E" w:rsidRPr="00165ED2">
        <w:rPr>
          <w:rFonts w:ascii="Times New Roman" w:eastAsia="Calibri" w:hAnsi="Times New Roman" w:cs="Times New Roman"/>
          <w:sz w:val="24"/>
          <w:szCs w:val="24"/>
        </w:rPr>
        <w:t xml:space="preserve"> Hence it remained plausible that, at least in supine exercise, other physiological factors</w:t>
      </w:r>
      <w:r w:rsidR="008C78C8" w:rsidRPr="00165ED2">
        <w:rPr>
          <w:rFonts w:ascii="Times New Roman" w:eastAsia="Calibri" w:hAnsi="Times New Roman" w:cs="Times New Roman"/>
          <w:sz w:val="24"/>
          <w:szCs w:val="24"/>
        </w:rPr>
        <w:t>,</w:t>
      </w:r>
      <w:r w:rsidR="0022035E" w:rsidRPr="00165ED2">
        <w:rPr>
          <w:rFonts w:ascii="Times New Roman" w:eastAsia="Calibri" w:hAnsi="Times New Roman" w:cs="Times New Roman"/>
          <w:sz w:val="24"/>
          <w:szCs w:val="24"/>
        </w:rPr>
        <w:t xml:space="preserve"> such as muscle O</w:t>
      </w:r>
      <w:r w:rsidR="0022035E" w:rsidRPr="00165ED2">
        <w:rPr>
          <w:rFonts w:ascii="Times New Roman" w:eastAsia="Calibri" w:hAnsi="Times New Roman" w:cs="Times New Roman"/>
          <w:sz w:val="24"/>
          <w:szCs w:val="24"/>
          <w:vertAlign w:val="subscript"/>
        </w:rPr>
        <w:t>2</w:t>
      </w:r>
      <w:r w:rsidR="0022035E" w:rsidRPr="00165ED2">
        <w:rPr>
          <w:rFonts w:ascii="Times New Roman" w:eastAsia="Calibri" w:hAnsi="Times New Roman" w:cs="Times New Roman"/>
          <w:sz w:val="24"/>
          <w:szCs w:val="24"/>
        </w:rPr>
        <w:t xml:space="preserve"> availability</w:t>
      </w:r>
      <w:r w:rsidR="008C78C8" w:rsidRPr="00165ED2">
        <w:rPr>
          <w:rFonts w:ascii="Times New Roman" w:eastAsia="Calibri" w:hAnsi="Times New Roman" w:cs="Times New Roman"/>
          <w:sz w:val="24"/>
          <w:szCs w:val="24"/>
        </w:rPr>
        <w:t>,</w:t>
      </w:r>
      <w:r w:rsidR="00012C55" w:rsidRPr="00165ED2">
        <w:rPr>
          <w:rFonts w:ascii="Times New Roman" w:eastAsia="Calibri" w:hAnsi="Times New Roman" w:cs="Times New Roman"/>
          <w:sz w:val="24"/>
          <w:szCs w:val="24"/>
        </w:rPr>
        <w:t xml:space="preserve"> and its distribution relative to</w:t>
      </w:r>
      <w:r w:rsidR="0022035E" w:rsidRPr="00165ED2">
        <w:rPr>
          <w:rFonts w:ascii="Times New Roman" w:eastAsia="Calibri" w:hAnsi="Times New Roman" w:cs="Times New Roman"/>
          <w:sz w:val="24"/>
          <w:szCs w:val="24"/>
        </w:rPr>
        <w:t xml:space="preserve"> </w:t>
      </w:r>
      <w:r w:rsidR="00012C55" w:rsidRPr="00165ED2">
        <w:rPr>
          <w:rFonts w:ascii="Times New Roman" w:hAnsi="Times New Roman" w:cs="Times New Roman"/>
          <w:sz w:val="24"/>
          <w:szCs w:val="24"/>
          <w:lang w:val="en-US"/>
        </w:rPr>
        <w:t>V̇O</w:t>
      </w:r>
      <w:r w:rsidR="00012C55" w:rsidRPr="00165ED2">
        <w:rPr>
          <w:rFonts w:ascii="Times New Roman" w:hAnsi="Times New Roman" w:cs="Times New Roman"/>
          <w:sz w:val="24"/>
          <w:szCs w:val="24"/>
          <w:vertAlign w:val="subscript"/>
          <w:lang w:val="en-US"/>
        </w:rPr>
        <w:t>2</w:t>
      </w:r>
      <w:r w:rsidR="00012C55" w:rsidRPr="00165ED2">
        <w:rPr>
          <w:rFonts w:ascii="Times New Roman" w:hAnsi="Times New Roman" w:cs="Times New Roman"/>
          <w:sz w:val="24"/>
          <w:szCs w:val="24"/>
          <w:lang w:val="en-US"/>
        </w:rPr>
        <w:t xml:space="preserve">, </w:t>
      </w:r>
      <w:r w:rsidR="0022035E" w:rsidRPr="00165ED2">
        <w:rPr>
          <w:rFonts w:ascii="Times New Roman" w:eastAsia="Calibri" w:hAnsi="Times New Roman" w:cs="Times New Roman"/>
          <w:sz w:val="24"/>
          <w:szCs w:val="24"/>
        </w:rPr>
        <w:t xml:space="preserve">determine CP, with the concomitant improvements in </w:t>
      </w:r>
      <w:r w:rsidR="0022035E" w:rsidRPr="00165ED2">
        <w:rPr>
          <w:rFonts w:ascii="Times New Roman" w:hAnsi="Times New Roman" w:cs="Times New Roman"/>
          <w:sz w:val="24"/>
        </w:rPr>
        <w:t>τ</w:t>
      </w:r>
      <w:r w:rsidR="0022035E" w:rsidRPr="00165ED2">
        <w:rPr>
          <w:rFonts w:ascii="Times New Roman" w:hAnsi="Times New Roman" w:cs="Times New Roman"/>
          <w:sz w:val="24"/>
          <w:vertAlign w:val="subscript"/>
        </w:rPr>
        <w:t>V̇O2</w:t>
      </w:r>
      <w:r w:rsidR="0022035E" w:rsidRPr="00165ED2">
        <w:rPr>
          <w:rFonts w:ascii="Times New Roman" w:eastAsia="Calibri" w:hAnsi="Times New Roman" w:cs="Times New Roman"/>
          <w:sz w:val="24"/>
          <w:szCs w:val="24"/>
        </w:rPr>
        <w:t xml:space="preserve"> and CP being an artefact of shared physiological determinants, without any dependence of CP on </w:t>
      </w:r>
      <w:r w:rsidR="0022035E" w:rsidRPr="00165ED2">
        <w:rPr>
          <w:rFonts w:ascii="Times New Roman" w:hAnsi="Times New Roman" w:cs="Times New Roman"/>
          <w:sz w:val="24"/>
        </w:rPr>
        <w:t>τ</w:t>
      </w:r>
      <w:r w:rsidR="0022035E" w:rsidRPr="00165ED2">
        <w:rPr>
          <w:rFonts w:ascii="Times New Roman" w:hAnsi="Times New Roman" w:cs="Times New Roman"/>
          <w:sz w:val="24"/>
          <w:vertAlign w:val="subscript"/>
        </w:rPr>
        <w:t xml:space="preserve">V̇O2 </w:t>
      </w:r>
      <w:r w:rsidR="0022035E" w:rsidRPr="00165ED2">
        <w:rPr>
          <w:rFonts w:ascii="Times New Roman" w:eastAsia="Calibri" w:hAnsi="Times New Roman" w:cs="Times New Roman"/>
          <w:i/>
          <w:sz w:val="24"/>
          <w:szCs w:val="24"/>
        </w:rPr>
        <w:t>per se</w:t>
      </w:r>
      <w:r w:rsidR="0022035E" w:rsidRPr="00165ED2">
        <w:rPr>
          <w:rFonts w:ascii="Times New Roman" w:eastAsia="Calibri" w:hAnsi="Times New Roman" w:cs="Times New Roman"/>
          <w:sz w:val="24"/>
          <w:szCs w:val="24"/>
        </w:rPr>
        <w:t>.</w:t>
      </w:r>
      <w:r w:rsidRPr="00165ED2">
        <w:rPr>
          <w:rFonts w:ascii="Times New Roman" w:eastAsia="Calibri" w:hAnsi="Times New Roman" w:cs="Times New Roman"/>
          <w:sz w:val="24"/>
          <w:szCs w:val="24"/>
        </w:rPr>
        <w:t xml:space="preserve"> Hence, confirmation or refutation of the hypothesis that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hAnsi="Times New Roman" w:cs="Times New Roman"/>
          <w:sz w:val="24"/>
        </w:rPr>
        <w:t>is an independent determinant of CP required an intervention that could alter τ</w:t>
      </w:r>
      <w:r w:rsidRPr="00165ED2">
        <w:rPr>
          <w:rFonts w:ascii="Times New Roman" w:hAnsi="Times New Roman" w:cs="Times New Roman"/>
          <w:sz w:val="24"/>
          <w:vertAlign w:val="subscript"/>
        </w:rPr>
        <w:t xml:space="preserve">V̇O2 </w:t>
      </w:r>
      <w:r w:rsidRPr="00165ED2">
        <w:rPr>
          <w:rFonts w:ascii="Times New Roman" w:hAnsi="Times New Roman" w:cs="Times New Roman"/>
          <w:sz w:val="24"/>
        </w:rPr>
        <w:t>without any concomitant alterations in muscle O</w:t>
      </w:r>
      <w:r w:rsidRPr="00165ED2">
        <w:rPr>
          <w:rFonts w:ascii="Times New Roman" w:hAnsi="Times New Roman" w:cs="Times New Roman"/>
          <w:sz w:val="24"/>
          <w:vertAlign w:val="subscript"/>
        </w:rPr>
        <w:t>2</w:t>
      </w:r>
      <w:r w:rsidRPr="00165ED2">
        <w:rPr>
          <w:rFonts w:ascii="Times New Roman" w:hAnsi="Times New Roman" w:cs="Times New Roman"/>
          <w:sz w:val="24"/>
        </w:rPr>
        <w:t xml:space="preserve"> delivery, such that the independent effect of 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on CP could be observed. When exercise is initiated from an elevated baseline work rate,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is greater than when compared to work initiated from a baseline of unloaded cycling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JnQX0LyT","properties":{"formattedCitation":"[123\\uc0\\u8211{}126]","plainCitation":"[123–126]","noteIndex":0},"citationItems":[{"id":258,"uris":["http://zotero.org/users/5056530/items/2W8J8S5H"],"itemData":{"id":258,"type":"article-journal","abstract":"Pulmonary oxygen uptake (VO2) dynamics during moderate-intensity exercise are often assumed to be dynamically linear (i.e. neither the gain nor the time constant (tau) of the response varies as a function of work rate). However, faster, slower and unchanged VO2 kinetics have been reported during work-to-work transitions compared to rest-to-work transitions, all within the moderate-intensity domain. In an attempt to resolve these discrepancies and to improve the confidence of the parameter estimation, we determined the VO2 response dynamics using the averaged response to repeated exercise bouts in seven healthy male volunteers. Each subject initially performed a ramp-incremental exercise test for the estimation of the lactate threshold (thetaL). They then performed an average of four repetitions of each of three constant-work-rate (WR) tests: (1) between 20 W and a work rate of 50% (WR50) between 20 W and 90% thetaL (step 1--&gt;2), (2) between WR50 and 90% thetaL (step 2--&gt;3), and (3) between 20 W and 90% thetaL (step 1--&gt;3); 6 min was spent at each work rate increment and decrement. Parameters of the kinetic response of phase II VO2 were established by non-linear least-squares fitting techniques. The kinetics of VO2 were significantly slower at the upper reaches of the moderate-intensity domain (step 2--&gt;3) compared to steps 1--&gt;2 and 1--&gt;3 [group mean (SD) phase II tau: step 1--&gt;2 25.3 (4.9) s, step 2--&gt;3 40.0 (7.4) s and step 1--&gt;3 32.2 (6.9) s]. The off-transient values of tau were not significantly different from each other: 36.8 (16.3) s, 38.9 (11.6) s and 30.8 (5.7) s for steps 1--&gt;2, 2--&gt;3 and 1--&gt;3, respectively. Surprisingly, the on-transient gain (G, deltaVO2/deltaWR) was also found to vary among the three steps [G = 10.56 (0.42) ml x min(-1) W(-1) 11.85 (0.64) ml x min(-1) W(-1) and 11.23 (0.52) ml x min(-1) W(-1) for steps 1--&gt;2, 2--&gt;3 and 1--&gt;3, respectively]; the off-transient G did not vary significantly and was close to that for the on-transient step 1--&gt;3 in all cases. Our results do not support a dynamically linear system model of VO2 during cycle ergometer exercise even in the moderate-intensity domain. The greater oxygen deficit per unit power increment in the higher reaches of the moderate-intensity domain necessitates a greater transient lactate contribution to the energy transfer, or a greater phosphocreatine breakdown, or possibly both.","container-title":"European Journal of Applied Physiology","DOI":"10.1007/s004210100514","ISSN":"1439-6319","issue":"2","journalAbbreviation":"Eur. J. Appl. Physiol.","language":"eng","note":"PMID: 11822471","page":"125-134","source":"PubMed","title":"Effect of prior metabolic rate on the kinetics of oxygen uptake during moderate-intensity exercise","volume":"86","author":[{"family":"Brittain","given":"C. J."},{"family":"Rossiter","given":"H. B."},{"family":"Kowalchuk","given":"J. M."},{"family":"Whipp","given":"B. J."}],"issued":{"date-parts":[["2001",12]]}}},{"id":259,"uris":["http://zotero.org/users/5056530/items/ISEKCMPT"],"itemData":{"id":259,"type":"article-journal","abstract":"Breath-by-breath O2 uptake (VO2) kinetics and increase of blood lactate concentration (delta Lab) were determined at the onset of square-wave stepping (S) or cycling (C) exercise on six male subjects during 1) transition from rest (R) to constant work load, 2) transition from lower to heavier work loads, wherein the baseline VO2 (VO2 s) was randomly chosen between 20 and 65% of the subjects' maximal O2 uptake (VO2 max), and 3) inverse transition from higher to lower work loads and/or to rest. VO2 differences between starting and arriving levels were 20-60% VO2 max. In C, the VO2 on-response became monotonically slower with increasing VO2 s, the half time (t1/2) increasing from approximately 22 s for VO2 s = R to approximately 63 s when VO2 s approximately equal to 50% VO2 max. In S, the fastest VO2 kinetics (t1/2 = 16 s) was attained from VO2 s = 15-30% VO2 max, the t1/2 being approximately 25 s when starting from R or from 50% VO2 max. The slower VO2 kinetics in C were associated with a much larger delta Lab. The VO2 kinetics in recovery were essentially the same in all cases and could be approximated by a double exponential with t1/2 of 21.3 +/- 6 and 93 +/- 45 s for the fast and slow components, respectively. It is concluded that the O2 deficit incurred is the sum of three terms: 1) O2 stores depletion, 2) O2 equivalent of early lactate production, and 3) O2 equivalent of phosphocreatine breakdown.(ABSTRACT TRUNCATED AT 250 WORDS)","container-title":"Journal of Applied Physiology (Bethesda, Md.: 1985)","ISSN":"8750-7587","issue":"5","journalAbbreviation":"J. Appl. Physiol.","language":"eng","note":"PMID: 2745271","page":"2023-2031","source":"PubMed","title":"Effects of priming exercise on VO2 kinetics and O2 deficit at the onset of stepping and cycling","volume":"66","author":[{"family":"Prampero","given":"P. E.","non-dropping-particle":"di"},{"family":"Mahler","given":"P. B."},{"family":"Giezendanner","given":"D."},{"family":"Cerretelli","given":"P."}],"issued":{"date-parts":[["1989",5]]}}},{"id":261,"uris":["http://zotero.org/users/5056530/items/PVJXS8EZ"],"itemData":{"id":261,"type":"article-journal","abstract":"We investigated whether the characteristic slowing of pulmonary oxygen uptake (VO2) kinetics during \"work-to-work\" exercise is attributable to elevations in baseline metabolic rate (VO2) as opposed to the elevated baseline work rate, per se. We hypothesized that a step transition to a higher work rate from \"unloaded\" cycling, but with elevations in VO2 [and heart rate (HR)] reflective of a work-to-work transition, would result in a lengthened phase II time constant (τ(p)). Seven male subjects (mean ± SD age 27 ± 10 yr) completed 1) transitions to a high-intensity work rate from a moderate-intensity work rate (M→H) and 2) two consecutive bouts of high-intensity exercise (U→H and E→H, respectively) initiated from unloaded cycling, with the time separating the exercise bouts chosen such that the baseline VO2 for the second transition was similar to the baseline VO2 for the M→H transition. The τ(p) for M→H (48 ± 16 s) was significantly greater (P &lt; 0.05) than the τ(p) for U→H (28 ± 8 s) and E→H (27 ± 6 s), which did not differ significantly. These findings suggest that the altered VO2 dynamics that are observed during work-to-work exercise are not related to the elevated baseline VO2 (or HR) per se; rather, these effects appear to be linked to the elevated baseline work rate, which would be expected to dictate the subsequent muscle fiber recruitment profile.","container-title":"Journal of Applied Physiology (Bethesda, Md.: 1985)","DOI":"10.1152/japplphysiol.00550.2010","ISSN":"1522-1601","issue":"4","journalAbbreviation":"J. Appl. Physiol.","language":"eng","note":"PMID: 20724564","page":"1148-1154","source":"PubMed","title":"Elevated baseline VO2 per se does not slow O2 uptake kinetics during work-to-work exercise transitions","volume":"109","author":[{"family":"DiMenna","given":"Fred J."},{"family":"Bailey","given":"Stephen J."},{"family":"Vanhatalo","given":"Anni"},{"family":"Chidnok","given":"Weerapong"},{"family":"Jones","given":"Andrew M."}],"issued":{"date-parts":[["2010",10]]}}},{"id":255,"uris":["http://zotero.org/users/5056530/items/HRGIHZP6"],"itemData":{"id":255,"type":"article-journal","abstract":"Six male subjects [23 yr (SD 4)] performed repetitions (6-8) of two-legged, moderate-intensity, knee-extension exercise during two separate protocols that included step transitions from 3 W to 90% estimated lactate threshold (thetaL) performed as a single step (S3) and in two equal steps (S1, 3 W to approximately 45% thetaL; S2, approximately 45% thetaL to approximately 90% thetaL). The time constants (tau) of pulmonary oxygen uptake (Vo2), leg blood flow (LBF), heart rate (HR), and muscle deoxygenation (HHb) were greater (P &lt; 0.05) in S2 (tauVo2, approximately 52 s; tauLBF, approximately 39 s; tauHR, approximately 42 s; tauHHb, approximately 33 s) compared with S1 (tauVo2, approximately 24 s; tauLBF, approximately 21 s; tauHR, approximately 21 s; tauHHb, approximately 16 s), while the delay before an increase in HHb was reduced (P &lt; 0.05) in S2 (approximately 14 s) compared with S1 (approximately 20 s). The Vo2 and HHb amplitudes were greater (P &lt; 0.05) in S2 compared with S1, whereas the LBF amplitude was similar in S2 and S1. Thus the slowed Vo2 response in S2 compared with S1 is consistent with a mechanism whereby Vo2 kinetics is limited, in part, by a slowed adaptation of blood flow and/or O2 transport when exercise was initiated from a baseline of moderate-intensity exercise.","container-title":"Journal of Applied Physiology (Bethesda, Md.: 1985)","DOI":"10.1152/japplphysiol.01183.2004","ISSN":"8750-7587","issue":"5","journalAbbreviation":"J. Appl. Physiol.","language":"eng","note":"PMID: 16037398","page":"1822-1834","source":"PubMed","title":"Kinetics of O2 uptake, leg blood flow, and muscle deoxygenation are slowed in the upper compared with lower region of the moderate-intensity exercise domain","volume":"99","author":[{"family":"MacPhee","given":"Shelley L."},{"family":"Shoemaker","given":"J. Kevin"},{"family":"Paterson","given":"Donald H."},{"family":"Kowalchuk","given":"John M."}],"issued":{"date-parts":[["2005",11]]}}}],"schema":"https://github.com/citation-style-language/schema/raw/master/csl-citation.json"}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szCs w:val="24"/>
        </w:rPr>
        <w:t>[123–126]</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Importantly, this slowing of the </w:t>
      </w:r>
      <m:oMath>
        <m:acc>
          <m:accPr>
            <m:chr m:val="̇"/>
            <m:ctrlPr>
              <w:rPr>
                <w:rFonts w:ascii="Cambria Math" w:eastAsia="Calibri" w:hAnsi="Cambria Math" w:cs="Times New Roman"/>
                <w:sz w:val="24"/>
                <w:szCs w:val="24"/>
                <w:lang w:eastAsia="ja-JP"/>
              </w:rPr>
            </m:ctrlPr>
          </m:accPr>
          <m:e>
            <m:r>
              <w:rPr>
                <w:rFonts w:ascii="Cambria Math" w:eastAsia="Calibri" w:hAnsi="Cambria Math" w:cs="Times New Roman"/>
                <w:sz w:val="24"/>
                <w:szCs w:val="24"/>
              </w:rPr>
              <m:t>V</m:t>
            </m:r>
          </m:e>
        </m:acc>
      </m:oMath>
      <w:r w:rsidRPr="00165ED2">
        <w:rPr>
          <w:rFonts w:ascii="Times New Roman" w:eastAsia="Calibri" w:hAnsi="Times New Roman" w:cs="Times New Roman"/>
          <w:sz w:val="24"/>
          <w:szCs w:val="24"/>
        </w:rPr>
        <w:t>O</w:t>
      </w:r>
      <w:r w:rsidRPr="00165ED2">
        <w:rPr>
          <w:rFonts w:ascii="Times New Roman" w:eastAsia="Calibri" w:hAnsi="Times New Roman" w:cs="Times New Roman"/>
          <w:sz w:val="24"/>
          <w:szCs w:val="24"/>
          <w:vertAlign w:val="subscript"/>
        </w:rPr>
        <w:t xml:space="preserve">2 </w:t>
      </w:r>
      <w:r w:rsidRPr="00165ED2">
        <w:rPr>
          <w:rFonts w:ascii="Times New Roman" w:eastAsia="Calibri" w:hAnsi="Times New Roman" w:cs="Times New Roman"/>
          <w:sz w:val="24"/>
          <w:szCs w:val="24"/>
        </w:rPr>
        <w:t>kinetics appears to occur independently of any alterations to O</w:t>
      </w:r>
      <w:r w:rsidRPr="00165ED2">
        <w:rPr>
          <w:rFonts w:ascii="Times New Roman" w:eastAsia="Calibri" w:hAnsi="Times New Roman" w:cs="Times New Roman"/>
          <w:sz w:val="24"/>
          <w:szCs w:val="24"/>
          <w:vertAlign w:val="subscript"/>
        </w:rPr>
        <w:t>2</w:t>
      </w:r>
      <w:r w:rsidRPr="00165ED2">
        <w:rPr>
          <w:rFonts w:ascii="Times New Roman" w:eastAsia="Calibri" w:hAnsi="Times New Roman" w:cs="Times New Roman"/>
          <w:sz w:val="24"/>
          <w:szCs w:val="24"/>
        </w:rPr>
        <w:t xml:space="preserve"> availability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{"citationID":"TakMgLET","properties":{"formattedCitation":"[127\\uc0\\u8211{}129]","plainCitation":"[127–129]","noteIndex":0},"citationItems":[{"id":606,"uris":["http://zotero.org/users/5056530/items/73KNT75M"],"itemData":{"id":606,"type":"article-journal","abstract":"During exercise below the lactate threshold (LT), the rate of adjustment (τ) of pulmonary VO(2) uptake (τ) is slowed when initiated from a raised work rate. Whether this is consequent to the intrinsic properties of newly recruited muscle fibres, slowed circulatory dynamics or the effects of a raised metabolism is not clear. We aimed to determine the influence of these factors on τV(O(2)) using combined in vivo and in silico approaches. Fifteen healthy men performed repeated 6 min bouts on a cycle ergometer with work rates residing between 20 W and 90% LT, consisting of the following: (1) two step increments in work rate (S1 and S2), one followed immediately by the other, equally bisecting 20 W to 90% LT; (2) two 20 W to 90% LT bouts separated by 30 s at 20 W to raise muscle oxygenation and pretransition metabolism (R1 and R2); and (3) two 20 W to 90% LT bouts separated by 12 min at 20 W allowing full recovery (F1 and F2). Pulmonary O(2) uptake was measured breath by breath by mass spectrometry and turbinometry, and quadriceps oxygenation using near-infrared spectroscopy. The influence of circulatory dynamics on the coupling of muscle and τV(O(2)) lung was assessed by computer simulations. The τV(O(2)) in R2 (32 ± 9 s) was not different (P &gt; 0.05) from S2 (30 ± 10 s), but both were greater (P &lt; 0.05) than S1 (20 ± 10 s) and the F control bouts (26 ± 10 s). The slowed V(O(2)) kinetics in R2 occurred despite muscle oxygenation being raised throughout, and could not be explained by slowed circulatory dynamics (τV(O(2)) predicted by simulations: S1 = R2 &lt; S2). These data therefore suggest that the dynamics of muscle O(2) consumption are slowed when exercise is initiated from a less favourable energetic state.","container-title":"Experimental Physiology","DOI":"10.1113/expphysiol.2011.058321","ISSN":"1469-445X","issue":"10","journalAbbreviation":"Exp. Physiol.","language":"eng","note":"PMID: 21705403","page":"1049-1061","source":"PubMed","title":"A raised metabolic rate slows pulmonary O2 uptake kinetics on transition to moderate-intensity exercise in humans independently of work rate","volume":"96","author":[{"family":"Bowen","given":"T. Scott"},{"family":"Murgatroyd","given":"Scott R."},{"family":"Cannon","given":"Daniel T."},{"family":"Cuff","given":"Thomas J."},{"family":"Lainey","given":"Allison F."},{"family":"Marjerrison","given":"Andrea D."},{"family":"Spencer","given":"Matthew D."},{"family":"Benson","given":"Alan P."},{"family":"Paterson","given":"Donald H."},{"family":"Kowalchuk","given":"John M."},{"family":"Rossiter","given":"Harry B."}],"issued":{"date-parts":[["2011",10]]}}},{"id":260,"uris":["http://zotero.org/users/5056530/items/NGZ8VQPZ"],"itemData":{"id":260,"type":"article-journal","abstract":"It has been suggested that the slower O2 uptake (VO2) kinetics observed when exercise is initiated from an elevated baseline metabolic rate are linked to an impairment of muscle O2 delivery. We hypothesized that \"priming\" exercise would significantly reduce the phase II time constant (tau) during subsequent severe-intensity cycle exercise initiated from an elevated baseline metabolic rate. Seven healthy men completed exercise transitions to 70% of the difference between gas exchange threshold (GET) and peak VO2 from a moderate-intensity baseline (90% GET) on three occasions in each of the \"unprimed\" and \"primed\" conditions. Pulmonary gas exchange, heart rate, and the electromyogram of m. vastus lateralis were measured during all tests. The phase II VO2 kinetics were slower when severe exercise was initiated from a baseline of moderate exercise compared with unloaded pedaling (mean+/-SD tau, 42+/-15 vs. 33+/-8 s; P&lt;0.05), but were not accelerated by priming exercise (42+/-17 s; P&gt;0.05). The amplitude of the VO2 slow component and the change in electromyogram from minutes 2 to 6 were both significantly reduced following priming exercise (VO2 slow component: from 0.47+/-0.09 to 0.27+/-0.13 l/min; change in integrated electromyogram between 2 and 6 min: from 51+/-35 to 26+/-43% of baseline; P&lt;0.05 for both comparisons). These results indicate that the slower phase II VO2 kinetics observed during transitions to severe exercise from an elevated baseline are not altered by priming exercise, but that the reduced VO2 slow component may be linked to changes in muscle fiber activation.","container-title":"Journal of Applied Physiology (Bethesda, Md.: 1985)","DOI":"10.1152/japplphysiol.90357.2008","ISSN":"8750-7587","issue":"2","journalAbbreviation":"J. Appl. Physiol.","language":"eng","note":"PMID: 18511522","page":"538-546","source":"PubMed","title":"Influence of priming exercise on pulmonary O2 uptake kinetics during transitions to high-intensity exercise from an elevated baseline","volume":"105","author":[{"family":"DiMenna","given":"Fred J."},{"family":"Wilkerson","given":"Daryl P."},{"family":"Burnley","given":"Mark"},{"family":"Jones","given":"Andrew M."}],"issued":{"date-parts":[["2008",8]]}}},{"id":246,"uris":["http://zotero.org/users/5056530/items/H86ITNB5"],"itemData":{"id":246,"type":"article-journal","abstract":"Oxygen uptake kinetics (τVO2) are slowed when exercise is initiated from a raised metabolic rate. Whether this reflects the recruitment of muscle fibres differing in oxidative capacity, or slowed blood flow (Q) kinetics is unclear. This study determined τVO2 in canine muscle in situ, with experimental control over muscle activation and Q during contractions initiated from rest and a raised metabolic rate. The gastrocnemius complex of nine anaesthetised, ventilated dogs was isolated and attached to a force transducer. Isometric tetanic contractions (50 Hz; 200 ms duration) via supramaximal sciatic nerve stimulation were used to manipulate metabolic rate: 3 min stimulation at 0.33 Hz (S1), followed by 3 min at 0.67 Hz (S2). Circulation was initially intact (SPON), and subsequently isolated for pump-perfusion (PUMP) above the greatest value in SPON. Muscle VO2 was determined contraction-by-contraction using an ultrasonic flowmeter and venous oximeter, and normalised to tension-time integral (TTI). τVO2/TTI and τQ were less in S1SPON (mean ± s.d.: 13 ± 3 s and 12 ± 4 s, respectively) than in S2SPON (29 ± 19 s and 31 ± 13 s, respectively; P &lt; 0.05). τVO2/TTI was unchanged by pump-perfusion (S1PUMP, 12 ± 4 s; S2PUMP, 24 ± 6 s; P &lt; 0.001) despite increased O2 delivery; at S2 onset, venous O2 saturation was 21 ± 4% and 65 ± 5% in SPON and PUMP, respectively. VO2 kinetics remained slowed when contractions were initiated from a raised metabolic rate despite uniform muscle stimulation and increased O2 delivery. The intracellular mechanism may relate to a falling energy state, approaching saturating ADP concentration, and/or slowed mitochondrial activation; but further study is required. These data add to the evidence that muscle VO2 control is more complex than previously suggested.","container-title":"The Journal of Physiology","DOI":"10.1113/jphysiol.2013.267476","ISSN":"1469-7793","issue":"8","journalAbbreviation":"J. Physiol. (Lond.)","language":"eng","note":"PMID: 24469073\nPMCID: PMC4001757","page":"1857-1871","source":"PubMed","title":"Slowed muscle oxygen uptake kinetics with raised metabolism are not dependent on blood flow or recruitment dynamics","volume":"592","author":[{"family":"Wüst","given":"Rob C. I."},{"family":"McDonald","given":"James R."},{"family":"Sun","given":"Yi"},{"family":"Ferguson","given":"Brian S."},{"family":"Rogatzki","given":"Matthew J."},{"family":"Spires","given":"Jessica"},{"family":"Kowalchuk","given":"John M."},{"family":"Gladden","given":"L. Bruce"},{"family":"Rossiter","given":"Harry B."}],"issued":{"date-parts":[["2014",4,15]]}}}],"schema":"https://github.com/citation-style-language/schema/raw/master/csl-citation.json"}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szCs w:val="24"/>
        </w:rPr>
        <w:t>[127–129]</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Hence, </w:t>
      </w:r>
      <w:r w:rsidR="008C78C8" w:rsidRPr="00165ED2">
        <w:rPr>
          <w:rFonts w:ascii="Times New Roman" w:eastAsia="Calibri" w:hAnsi="Times New Roman" w:cs="Times New Roman"/>
          <w:sz w:val="24"/>
          <w:szCs w:val="24"/>
        </w:rPr>
        <w:t>we</w:t>
      </w:r>
      <w:r w:rsidRPr="00165ED2">
        <w:rPr>
          <w:rFonts w:ascii="Times New Roman" w:eastAsia="Calibri" w:hAnsi="Times New Roman" w:cs="Times New Roman"/>
          <w:sz w:val="24"/>
          <w:szCs w:val="24"/>
        </w:rPr>
        <w:t xml:space="preserve"> conducted two </w:t>
      </w:r>
      <w:r w:rsidR="008C78C8" w:rsidRPr="00165ED2">
        <w:rPr>
          <w:rFonts w:ascii="Times New Roman" w:eastAsia="Calibri" w:hAnsi="Times New Roman" w:cs="Times New Roman"/>
          <w:sz w:val="24"/>
          <w:szCs w:val="24"/>
        </w:rPr>
        <w:t xml:space="preserve">further </w:t>
      </w:r>
      <w:r w:rsidRPr="00165ED2">
        <w:rPr>
          <w:rFonts w:ascii="Times New Roman" w:eastAsia="Calibri" w:hAnsi="Times New Roman" w:cs="Times New Roman"/>
          <w:sz w:val="24"/>
          <w:szCs w:val="24"/>
        </w:rPr>
        <w:t xml:space="preserve">studies that assessed the influence of exercise initiated from an elevated baseline work rate on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and CP in the upright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{"citationID":"w5UGM7Nr","properties":{"formattedCitation":"[130]","plainCitation":"[130]","noteIndex":0},"citationItems":[{"id":768,"uris":["http://zotero.org/users/5056530/items/BGE7LJ5D"],"itemData":{"id":768,"type":"article-journal","abstract":"Critical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[130]</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and supine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{"citationID":"3lAHsLJF","properties":{"formattedCitation":"[117]","plainCitation":"[117]","noteIndex":0},"citationItems":[{"id":412,"uris":["http://zotero.org/users/5056530/items/T7RPAF4P"],"itemData":{"id":412,"type":"article-journal","abstract":"We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[117]</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positions. In both of these studies,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eastAsia="Calibri" w:hAnsi="Times New Roman" w:cs="Times New Roman"/>
          <w:sz w:val="24"/>
          <w:szCs w:val="24"/>
        </w:rPr>
        <w:t xml:space="preserve">was greater (i.e., </w:t>
      </w:r>
      <w:r w:rsidRPr="00165ED2">
        <w:rPr>
          <w:rFonts w:ascii="Times New Roman" w:hAnsi="Times New Roman" w:cs="Times New Roman"/>
          <w:sz w:val="24"/>
        </w:rPr>
        <w:t>V̇O</w:t>
      </w:r>
      <w:r w:rsidRPr="00165ED2">
        <w:rPr>
          <w:rFonts w:ascii="Times New Roman" w:hAnsi="Times New Roman" w:cs="Times New Roman"/>
          <w:sz w:val="24"/>
          <w:vertAlign w:val="subscript"/>
        </w:rPr>
        <w:t>2</w:t>
      </w:r>
      <w:r w:rsidRPr="00165ED2">
        <w:rPr>
          <w:rFonts w:ascii="Times New Roman" w:eastAsia="Calibri" w:hAnsi="Times New Roman" w:cs="Times New Roman"/>
          <w:sz w:val="24"/>
          <w:szCs w:val="24"/>
          <w:vertAlign w:val="subscript"/>
        </w:rPr>
        <w:t xml:space="preserve"> </w:t>
      </w:r>
      <w:r w:rsidRPr="00165ED2">
        <w:rPr>
          <w:rFonts w:ascii="Times New Roman" w:eastAsia="Calibri" w:hAnsi="Times New Roman" w:cs="Times New Roman"/>
          <w:sz w:val="24"/>
          <w:szCs w:val="24"/>
        </w:rPr>
        <w:t>kinetics was slower) and CP was correspondingly reduced</w:t>
      </w:r>
      <w:r w:rsidRPr="00165ED2">
        <w:rPr>
          <w:rFonts w:ascii="Times New Roman" w:eastAsia="Calibri" w:hAnsi="Times New Roman" w:cs="Times New Roman"/>
          <w:i/>
          <w:sz w:val="24"/>
          <w:szCs w:val="24"/>
          <w:vertAlign w:val="subscript"/>
        </w:rPr>
        <w:t xml:space="preserve"> </w:t>
      </w:r>
      <w:r w:rsidRPr="00165ED2">
        <w:rPr>
          <w:rFonts w:ascii="Times New Roman" w:eastAsia="Calibri" w:hAnsi="Times New Roman" w:cs="Times New Roman"/>
          <w:sz w:val="24"/>
          <w:szCs w:val="24"/>
        </w:rPr>
        <w:t xml:space="preserve">during work-to-work exercise compared with when exercise was initiated from a baseline of unloaded cycling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{"citationID":"1MYOquEE","properties":{"formattedCitation":"[117,130]","plainCitation":"[117,130]","noteIndex":0},"citationItems":[{"id":412,"uris":["http://zotero.org/users/5056530/items/T7RPAF4P"],"itemData":{"id":412,"type":"article-journal","abstract":"We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[117,130]</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Crucially, indicators of O</w:t>
      </w:r>
      <w:r w:rsidRPr="00165ED2">
        <w:rPr>
          <w:rFonts w:ascii="Times New Roman" w:eastAsia="Calibri" w:hAnsi="Times New Roman" w:cs="Times New Roman"/>
          <w:sz w:val="24"/>
          <w:szCs w:val="24"/>
          <w:vertAlign w:val="subscript"/>
        </w:rPr>
        <w:t xml:space="preserve">2 </w:t>
      </w:r>
      <w:r w:rsidRPr="00165ED2">
        <w:rPr>
          <w:rFonts w:ascii="Times New Roman" w:eastAsia="Calibri" w:hAnsi="Times New Roman" w:cs="Times New Roman"/>
          <w:sz w:val="24"/>
          <w:szCs w:val="24"/>
        </w:rPr>
        <w:t xml:space="preserve">availability determined via </w:t>
      </w:r>
      <w:r w:rsidRPr="00165ED2">
        <w:rPr>
          <w:rFonts w:ascii="Times New Roman" w:eastAsia="Calibri" w:hAnsi="Times New Roman" w:cs="Times New Roman"/>
          <w:sz w:val="24"/>
          <w:szCs w:val="24"/>
        </w:rPr>
        <w:lastRenderedPageBreak/>
        <w:t xml:space="preserve">NIRS were either improved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{"citationID":"GA2SXEHb","properties":{"formattedCitation":"[130]","plainCitation":"[130]","noteIndex":0},"citationItems":[{"id":768,"uris":["http://zotero.org/users/5056530/items/BGE7LJ5D"],"itemData":{"id":768,"type":"article-journal","abstract":"Critical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[130]</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or unchanged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{"citationID":"LJr3mwa3","properties":{"formattedCitation":"[117]","plainCitation":"[117]","noteIndex":0},"citationItems":[{"id":412,"uris":["http://zotero.org/users/5056530/items/T7RPAF4P"],"itemData":{"id":412,"type":"article-journal","abstract":"We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[117]</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during work initiated from an elevated baseline, suggesting that the slowing of </w:t>
      </w:r>
      <m:oMath>
        <m:acc>
          <m:accPr>
            <m:chr m:val="̇"/>
            <m:ctrlPr>
              <w:rPr>
                <w:rFonts w:ascii="Cambria Math" w:eastAsia="Calibri" w:hAnsi="Cambria Math" w:cs="Times New Roman"/>
                <w:sz w:val="24"/>
                <w:szCs w:val="24"/>
                <w:lang w:eastAsia="ja-JP"/>
              </w:rPr>
            </m:ctrlPr>
          </m:accPr>
          <m:e>
            <m:r>
              <w:rPr>
                <w:rFonts w:ascii="Cambria Math" w:eastAsia="Calibri" w:hAnsi="Cambria Math" w:cs="Times New Roman"/>
                <w:sz w:val="24"/>
                <w:szCs w:val="24"/>
              </w:rPr>
              <m:t>V</m:t>
            </m:r>
          </m:e>
        </m:acc>
      </m:oMath>
      <w:r w:rsidRPr="00165ED2">
        <w:rPr>
          <w:rFonts w:ascii="Times New Roman" w:eastAsia="Calibri" w:hAnsi="Times New Roman" w:cs="Times New Roman"/>
          <w:sz w:val="24"/>
          <w:szCs w:val="24"/>
        </w:rPr>
        <w:t>O</w:t>
      </w:r>
      <w:r w:rsidRPr="00165ED2">
        <w:rPr>
          <w:rFonts w:ascii="Times New Roman" w:eastAsia="Calibri" w:hAnsi="Times New Roman" w:cs="Times New Roman"/>
          <w:sz w:val="24"/>
          <w:szCs w:val="24"/>
          <w:vertAlign w:val="subscript"/>
        </w:rPr>
        <w:t>2</w:t>
      </w:r>
      <w:r w:rsidRPr="00165ED2">
        <w:rPr>
          <w:rFonts w:ascii="Times New Roman" w:eastAsia="Calibri" w:hAnsi="Times New Roman" w:cs="Times New Roman"/>
          <w:i/>
          <w:sz w:val="24"/>
          <w:szCs w:val="24"/>
          <w:vertAlign w:val="subscript"/>
        </w:rPr>
        <w:t>p</w:t>
      </w:r>
      <w:r w:rsidRPr="00165ED2">
        <w:rPr>
          <w:rFonts w:ascii="Times New Roman" w:eastAsia="Calibri" w:hAnsi="Times New Roman" w:cs="Times New Roman"/>
          <w:sz w:val="24"/>
          <w:szCs w:val="24"/>
          <w:vertAlign w:val="subscript"/>
        </w:rPr>
        <w:t xml:space="preserve"> </w:t>
      </w:r>
      <w:r w:rsidRPr="00165ED2">
        <w:rPr>
          <w:rFonts w:ascii="Times New Roman" w:eastAsia="Calibri" w:hAnsi="Times New Roman" w:cs="Times New Roman"/>
          <w:sz w:val="24"/>
          <w:szCs w:val="24"/>
        </w:rPr>
        <w:t>kinetics brought about by this intervention was wholly independent of changes in microvascular O</w:t>
      </w:r>
      <w:r w:rsidRPr="00165ED2">
        <w:rPr>
          <w:rFonts w:ascii="Times New Roman" w:eastAsia="Calibri" w:hAnsi="Times New Roman" w:cs="Times New Roman"/>
          <w:sz w:val="24"/>
          <w:szCs w:val="24"/>
          <w:vertAlign w:val="subscript"/>
        </w:rPr>
        <w:t>2</w:t>
      </w:r>
      <w:r w:rsidRPr="00165ED2">
        <w:rPr>
          <w:rFonts w:ascii="Times New Roman" w:eastAsia="Calibri" w:hAnsi="Times New Roman" w:cs="Times New Roman"/>
          <w:sz w:val="24"/>
          <w:szCs w:val="24"/>
        </w:rPr>
        <w:t xml:space="preserve"> </w:t>
      </w:r>
      <w:r w:rsidR="00CB50A3" w:rsidRPr="00165ED2">
        <w:rPr>
          <w:rFonts w:ascii="Times New Roman" w:eastAsia="Calibri" w:hAnsi="Times New Roman" w:cs="Times New Roman"/>
          <w:sz w:val="24"/>
          <w:szCs w:val="24"/>
        </w:rPr>
        <w:t>availability</w:t>
      </w:r>
      <w:r w:rsidRPr="00165ED2">
        <w:rPr>
          <w:rFonts w:ascii="Times New Roman" w:eastAsia="Calibri" w:hAnsi="Times New Roman" w:cs="Times New Roman"/>
          <w:sz w:val="24"/>
          <w:szCs w:val="24"/>
        </w:rPr>
        <w:t xml:space="preserve">. </w:t>
      </w:r>
      <w:r w:rsidR="008C78C8" w:rsidRPr="00165ED2">
        <w:rPr>
          <w:rFonts w:ascii="Times New Roman" w:eastAsia="Calibri" w:hAnsi="Times New Roman" w:cs="Times New Roman"/>
          <w:sz w:val="24"/>
          <w:szCs w:val="24"/>
        </w:rPr>
        <w:t>Taken together, t</w:t>
      </w:r>
      <w:r w:rsidRPr="00165ED2">
        <w:rPr>
          <w:rFonts w:ascii="Times New Roman" w:eastAsia="Calibri" w:hAnsi="Times New Roman" w:cs="Times New Roman"/>
          <w:sz w:val="24"/>
          <w:szCs w:val="24"/>
        </w:rPr>
        <w:t xml:space="preserve">hese findings therefore demonstrate an independent effect of </w:t>
      </w:r>
      <w:r w:rsidRPr="00165ED2">
        <w:rPr>
          <w:rFonts w:ascii="Times New Roman" w:hAnsi="Times New Roman" w:cs="Times New Roman"/>
          <w:sz w:val="24"/>
        </w:rPr>
        <w:t>τ</w:t>
      </w:r>
      <w:r w:rsidRPr="00165ED2">
        <w:rPr>
          <w:rFonts w:ascii="Times New Roman" w:hAnsi="Times New Roman" w:cs="Times New Roman"/>
          <w:sz w:val="24"/>
          <w:vertAlign w:val="subscript"/>
        </w:rPr>
        <w:t xml:space="preserve">V̇O2 </w:t>
      </w:r>
      <w:r w:rsidRPr="00165ED2">
        <w:rPr>
          <w:rFonts w:ascii="Times New Roman" w:hAnsi="Times New Roman" w:cs="Times New Roman"/>
          <w:sz w:val="24"/>
        </w:rPr>
        <w:t>on CP</w:t>
      </w:r>
      <w:r w:rsidRPr="00165ED2">
        <w:rPr>
          <w:rFonts w:ascii="Times New Roman" w:eastAsia="Calibri" w:hAnsi="Times New Roman" w:cs="Times New Roman"/>
          <w:sz w:val="24"/>
          <w:szCs w:val="24"/>
        </w:rPr>
        <w:t xml:space="preserve">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{"citationID":"uvTkCoFx","properties":{"formattedCitation":"[130]","plainCitation":"[130]","noteIndex":0},"citationItems":[{"id":768,"uris":["http://zotero.org/users/5056530/items/BGE7LJ5D"],"itemData":{"id":768,"type":"article-journal","abstract":"Critical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[130]</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and that this effect persisted even in situations where O</w:t>
      </w:r>
      <w:r w:rsidRPr="00165ED2">
        <w:rPr>
          <w:rFonts w:ascii="Times New Roman" w:eastAsia="Calibri" w:hAnsi="Times New Roman" w:cs="Times New Roman"/>
          <w:sz w:val="24"/>
          <w:szCs w:val="24"/>
          <w:vertAlign w:val="subscript"/>
        </w:rPr>
        <w:t>2</w:t>
      </w:r>
      <w:r w:rsidRPr="00165ED2">
        <w:rPr>
          <w:rFonts w:ascii="Times New Roman" w:eastAsia="Calibri" w:hAnsi="Times New Roman" w:cs="Times New Roman"/>
          <w:sz w:val="24"/>
          <w:szCs w:val="24"/>
        </w:rPr>
        <w:t xml:space="preserve"> delivery is substantially impaired </w:t>
      </w:r>
      <w:r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{"citationID":"hnt0etcE","properties":{"formattedCitation":"[117]","plainCitation":"[117]","noteIndex":0},"citationItems":[{"id":412,"uris":["http://zotero.org/users/5056530/items/T7RPAF4P"],"itemData":{"id":412,"type":"article-journal","abstract":"We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[117]</w:t>
      </w:r>
      <w:r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w:t>
      </w:r>
    </w:p>
    <w:p w14:paraId="3A4F0D40" w14:textId="29DDC0E1" w:rsidR="0038203D" w:rsidRPr="00165ED2" w:rsidRDefault="0038203D" w:rsidP="00E85202">
      <w:pPr>
        <w:spacing w:line="480" w:lineRule="auto"/>
        <w:jc w:val="both"/>
        <w:rPr>
          <w:rFonts w:ascii="Times New Roman" w:hAnsi="Times New Roman" w:cs="Times New Roman"/>
          <w:sz w:val="24"/>
        </w:rPr>
      </w:pPr>
      <w:r w:rsidRPr="00165ED2">
        <w:rPr>
          <w:rFonts w:ascii="Times New Roman" w:eastAsia="Calibri" w:hAnsi="Times New Roman" w:cs="Times New Roman"/>
          <w:sz w:val="24"/>
          <w:szCs w:val="24"/>
        </w:rPr>
        <w:tab/>
      </w:r>
      <w:r w:rsidR="008C78C8" w:rsidRPr="00165ED2">
        <w:rPr>
          <w:rFonts w:ascii="Times New Roman" w:eastAsia="Calibri" w:hAnsi="Times New Roman" w:cs="Times New Roman"/>
          <w:sz w:val="24"/>
          <w:szCs w:val="24"/>
        </w:rPr>
        <w:t xml:space="preserve">The determining effect of </w:t>
      </w:r>
      <w:r w:rsidR="008C78C8" w:rsidRPr="00165ED2">
        <w:rPr>
          <w:rFonts w:ascii="Times New Roman" w:hAnsi="Times New Roman" w:cs="Times New Roman"/>
          <w:sz w:val="24"/>
        </w:rPr>
        <w:t>τ</w:t>
      </w:r>
      <w:r w:rsidR="008C78C8" w:rsidRPr="00165ED2">
        <w:rPr>
          <w:rFonts w:ascii="Times New Roman" w:hAnsi="Times New Roman" w:cs="Times New Roman"/>
          <w:sz w:val="24"/>
          <w:vertAlign w:val="subscript"/>
        </w:rPr>
        <w:t xml:space="preserve">V̇O2 </w:t>
      </w:r>
      <w:r w:rsidR="008C78C8" w:rsidRPr="00165ED2">
        <w:rPr>
          <w:rFonts w:ascii="Times New Roman" w:hAnsi="Times New Roman" w:cs="Times New Roman"/>
          <w:sz w:val="24"/>
        </w:rPr>
        <w:t xml:space="preserve">on CP observed in healthy populations </w:t>
      </w:r>
      <w:r w:rsidR="005B1C20"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{"citationID":"Nl1D545P","properties":{"formattedCitation":"[64,114,117,130]","plainCitation":"[64,114,117,130]","noteIndex":0},"citationItems":[{"id":1082,"uris":["http://zotero.org/users/5056530/items/CRA7TTMN"],"itemData":{"id":1082,"type":"article-journal","abstract":"NEW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hAnsi="Cambria Math" w:cs="Cambria Math"/>
          <w:sz w:val="24"/>
        </w:rPr>
        <w:instrText>∼</w:instrText>
      </w:r>
      <w:r w:rsidR="00624DC9" w:rsidRPr="00165ED2">
        <w:rPr>
          <w:rFonts w:ascii="Times New Roman" w:hAnsi="Times New Roman" w:cs="Times New Roman"/>
          <w:sz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sidR="005B1C20" w:rsidRPr="00165ED2">
        <w:rPr>
          <w:rFonts w:ascii="Times New Roman" w:hAnsi="Times New Roman" w:cs="Times New Roman"/>
          <w:sz w:val="24"/>
        </w:rPr>
        <w:fldChar w:fldCharType="separate"/>
      </w:r>
      <w:r w:rsidR="00624DC9" w:rsidRPr="00165ED2">
        <w:rPr>
          <w:rFonts w:ascii="Times New Roman" w:hAnsi="Times New Roman" w:cs="Times New Roman"/>
          <w:sz w:val="24"/>
        </w:rPr>
        <w:t>[64,114,117,130]</w:t>
      </w:r>
      <w:r w:rsidR="005B1C20" w:rsidRPr="00165ED2">
        <w:rPr>
          <w:rFonts w:ascii="Times New Roman" w:hAnsi="Times New Roman" w:cs="Times New Roman"/>
          <w:sz w:val="24"/>
        </w:rPr>
        <w:fldChar w:fldCharType="end"/>
      </w:r>
      <w:r w:rsidR="008C78C8" w:rsidRPr="00165ED2">
        <w:rPr>
          <w:rFonts w:ascii="Times New Roman" w:hAnsi="Times New Roman" w:cs="Times New Roman"/>
          <w:sz w:val="24"/>
        </w:rPr>
        <w:t xml:space="preserve"> was</w:t>
      </w:r>
      <w:r w:rsidRPr="00165ED2">
        <w:rPr>
          <w:rFonts w:ascii="Times New Roman" w:eastAsia="Calibri" w:hAnsi="Times New Roman" w:cs="Times New Roman"/>
          <w:sz w:val="24"/>
          <w:szCs w:val="24"/>
        </w:rPr>
        <w:t xml:space="preserve"> later confirmed </w:t>
      </w:r>
      <w:r w:rsidR="00E85202" w:rsidRPr="00165ED2">
        <w:rPr>
          <w:rFonts w:ascii="Times New Roman" w:eastAsia="Calibri" w:hAnsi="Times New Roman" w:cs="Times New Roman"/>
          <w:sz w:val="24"/>
          <w:szCs w:val="24"/>
        </w:rPr>
        <w:t xml:space="preserve">in a study that assessed the impact of priming exercise on </w:t>
      </w:r>
      <w:r w:rsidR="00E85202" w:rsidRPr="00165ED2">
        <w:rPr>
          <w:rFonts w:ascii="Times New Roman" w:hAnsi="Times New Roman" w:cs="Times New Roman"/>
          <w:sz w:val="24"/>
          <w:szCs w:val="24"/>
          <w:lang w:val="en-US"/>
        </w:rPr>
        <w:t>V̇O</w:t>
      </w:r>
      <w:r w:rsidR="00E85202" w:rsidRPr="00165ED2">
        <w:rPr>
          <w:rFonts w:ascii="Times New Roman" w:hAnsi="Times New Roman" w:cs="Times New Roman"/>
          <w:sz w:val="24"/>
          <w:szCs w:val="24"/>
          <w:vertAlign w:val="subscript"/>
          <w:lang w:val="en-US"/>
        </w:rPr>
        <w:t>2</w:t>
      </w:r>
      <w:r w:rsidR="00E85202" w:rsidRPr="00165ED2">
        <w:rPr>
          <w:rFonts w:ascii="Times New Roman" w:hAnsi="Times New Roman" w:cs="Times New Roman"/>
          <w:sz w:val="24"/>
          <w:szCs w:val="24"/>
          <w:lang w:val="en-US"/>
        </w:rPr>
        <w:t xml:space="preserve"> kinetics and CP in a population of i</w:t>
      </w:r>
      <w:r w:rsidR="00CB50A3" w:rsidRPr="00165ED2">
        <w:rPr>
          <w:rFonts w:ascii="Times New Roman" w:hAnsi="Times New Roman" w:cs="Times New Roman"/>
          <w:sz w:val="24"/>
          <w:szCs w:val="24"/>
          <w:lang w:val="en-US"/>
        </w:rPr>
        <w:t xml:space="preserve">ndividuals with type 1 diabetes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{"citationID":"8X5FrKhG","properties":{"formattedCitation":"[131]","plainCitation":"[131]","noteIndex":0},"citationItems":[{"id":78,"uris":["http://zotero.org/users/5056530/items/Q9M2NM2G"],"itemData":{"id":78,"type":"article-journal","abstract":"We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[131]</w:t>
      </w:r>
      <w:r w:rsidR="00CB50A3" w:rsidRPr="00165ED2">
        <w:rPr>
          <w:rFonts w:ascii="Times New Roman" w:hAnsi="Times New Roman" w:cs="Times New Roman"/>
          <w:sz w:val="24"/>
          <w:szCs w:val="24"/>
          <w:lang w:val="en-US"/>
        </w:rPr>
        <w:fldChar w:fldCharType="end"/>
      </w:r>
      <w:r w:rsidR="00E85202" w:rsidRPr="00165ED2">
        <w:rPr>
          <w:rFonts w:ascii="Times New Roman" w:hAnsi="Times New Roman" w:cs="Times New Roman"/>
          <w:sz w:val="24"/>
          <w:szCs w:val="24"/>
          <w:lang w:val="en-US"/>
        </w:rPr>
        <w:t xml:space="preserve">. </w:t>
      </w:r>
      <w:r w:rsidR="008C78C8" w:rsidRPr="00165ED2">
        <w:rPr>
          <w:rFonts w:ascii="Times New Roman" w:hAnsi="Times New Roman" w:cs="Times New Roman"/>
          <w:sz w:val="24"/>
          <w:szCs w:val="24"/>
          <w:lang w:val="en-US"/>
        </w:rPr>
        <w:t>In this population, p</w:t>
      </w:r>
      <w:r w:rsidR="00E85202" w:rsidRPr="00165ED2">
        <w:rPr>
          <w:rFonts w:ascii="Times New Roman" w:hAnsi="Times New Roman" w:cs="Times New Roman"/>
          <w:sz w:val="24"/>
          <w:szCs w:val="24"/>
          <w:lang w:val="en-US"/>
        </w:rPr>
        <w:t>riming exercise speeded V̇O</w:t>
      </w:r>
      <w:r w:rsidR="00E85202" w:rsidRPr="00165ED2">
        <w:rPr>
          <w:rFonts w:ascii="Times New Roman" w:hAnsi="Times New Roman" w:cs="Times New Roman"/>
          <w:sz w:val="24"/>
          <w:szCs w:val="24"/>
          <w:vertAlign w:val="subscript"/>
          <w:lang w:val="en-US"/>
        </w:rPr>
        <w:t>2</w:t>
      </w:r>
      <w:r w:rsidR="00E85202" w:rsidRPr="00165ED2">
        <w:rPr>
          <w:rFonts w:ascii="Times New Roman" w:hAnsi="Times New Roman" w:cs="Times New Roman"/>
          <w:sz w:val="24"/>
          <w:szCs w:val="24"/>
          <w:lang w:val="en-US"/>
        </w:rPr>
        <w:t xml:space="preserve"> kinetics and increased CP during subsequent severe-intensity cycle exercise</w:t>
      </w:r>
      <w:r w:rsidR="008C78C8" w:rsidRPr="00165ED2">
        <w:rPr>
          <w:rFonts w:ascii="Times New Roman" w:hAnsi="Times New Roman" w:cs="Times New Roman"/>
          <w:sz w:val="24"/>
          <w:szCs w:val="24"/>
          <w:lang w:val="en-US"/>
        </w:rPr>
        <w:t xml:space="preserve">. Notably, these effects were accompanied by </w:t>
      </w:r>
      <w:r w:rsidR="00E85202" w:rsidRPr="00165ED2">
        <w:rPr>
          <w:rFonts w:ascii="Times New Roman" w:hAnsi="Times New Roman" w:cs="Times New Roman"/>
          <w:sz w:val="24"/>
          <w:szCs w:val="24"/>
          <w:lang w:val="en-US"/>
        </w:rPr>
        <w:t xml:space="preserve"> a concomitant speeding of muscle deoxygenation kinetics determined via NIRS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{"citationID":"yJhutaDy","properties":{"formattedCitation":"[131]","plainCitation":"[131]","noteIndex":0},"citationItems":[{"id":78,"uris":["http://zotero.org/users/5056530/items/Q9M2NM2G"],"itemData":{"id":78,"type":"article-journal","abstract":"We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[131]</w:t>
      </w:r>
      <w:r w:rsidR="00CB50A3" w:rsidRPr="00165ED2">
        <w:rPr>
          <w:rFonts w:ascii="Times New Roman" w:hAnsi="Times New Roman" w:cs="Times New Roman"/>
          <w:sz w:val="24"/>
          <w:szCs w:val="24"/>
          <w:lang w:val="en-US"/>
        </w:rPr>
        <w:fldChar w:fldCharType="end"/>
      </w:r>
      <w:r w:rsidR="00CB50A3" w:rsidRPr="00165ED2">
        <w:rPr>
          <w:rFonts w:ascii="Times New Roman" w:hAnsi="Times New Roman" w:cs="Times New Roman"/>
          <w:sz w:val="24"/>
          <w:szCs w:val="24"/>
          <w:lang w:val="en-US"/>
        </w:rPr>
        <w:t>.</w:t>
      </w:r>
      <w:r w:rsidR="00E85202" w:rsidRPr="00165ED2">
        <w:rPr>
          <w:rFonts w:ascii="Times New Roman" w:hAnsi="Times New Roman" w:cs="Times New Roman"/>
          <w:sz w:val="24"/>
          <w:szCs w:val="24"/>
          <w:lang w:val="en-US"/>
        </w:rPr>
        <w:t xml:space="preserve"> </w:t>
      </w:r>
      <w:r w:rsidR="008C78C8" w:rsidRPr="00165ED2">
        <w:rPr>
          <w:rFonts w:ascii="Times New Roman" w:hAnsi="Times New Roman" w:cs="Times New Roman"/>
          <w:sz w:val="24"/>
          <w:szCs w:val="24"/>
          <w:lang w:val="en-US"/>
        </w:rPr>
        <w:t xml:space="preserve">Since </w:t>
      </w:r>
      <w:r w:rsidR="00E85202" w:rsidRPr="00165ED2">
        <w:rPr>
          <w:rFonts w:ascii="Times New Roman" w:hAnsi="Times New Roman" w:cs="Times New Roman"/>
          <w:sz w:val="24"/>
          <w:szCs w:val="24"/>
          <w:lang w:val="en-US"/>
        </w:rPr>
        <w:t>the muscle deoxygenation signal derived via NIRS represents the relative balance between O</w:t>
      </w:r>
      <w:r w:rsidR="00E85202" w:rsidRPr="00165ED2">
        <w:rPr>
          <w:rFonts w:ascii="Times New Roman" w:hAnsi="Times New Roman" w:cs="Times New Roman"/>
          <w:sz w:val="24"/>
          <w:szCs w:val="24"/>
          <w:vertAlign w:val="subscript"/>
          <w:lang w:val="en-US"/>
        </w:rPr>
        <w:t>2</w:t>
      </w:r>
      <w:r w:rsidR="00E85202" w:rsidRPr="00165ED2">
        <w:rPr>
          <w:rFonts w:ascii="Times New Roman" w:hAnsi="Times New Roman" w:cs="Times New Roman"/>
          <w:sz w:val="24"/>
          <w:szCs w:val="24"/>
          <w:lang w:val="en-US"/>
        </w:rPr>
        <w:t xml:space="preserve"> delivery and utilization within the interrogated region, a relative speeding of muscle deoxygenation kinetics suggests that the </w:t>
      </w:r>
      <w:r w:rsidR="000B37F1" w:rsidRPr="00165ED2">
        <w:rPr>
          <w:rFonts w:ascii="Times New Roman" w:hAnsi="Times New Roman" w:cs="Times New Roman"/>
          <w:sz w:val="24"/>
          <w:szCs w:val="24"/>
          <w:lang w:val="en-US"/>
        </w:rPr>
        <w:t xml:space="preserve">effects of priming exercise on </w:t>
      </w:r>
      <w:r w:rsidR="000B37F1" w:rsidRPr="00165ED2">
        <w:rPr>
          <w:rFonts w:ascii="Times New Roman" w:hAnsi="Times New Roman" w:cs="Times New Roman"/>
          <w:sz w:val="24"/>
        </w:rPr>
        <w:t>τ</w:t>
      </w:r>
      <w:r w:rsidR="000B37F1" w:rsidRPr="00165ED2">
        <w:rPr>
          <w:rFonts w:ascii="Times New Roman" w:hAnsi="Times New Roman" w:cs="Times New Roman"/>
          <w:sz w:val="24"/>
          <w:vertAlign w:val="subscript"/>
        </w:rPr>
        <w:t xml:space="preserve">V̇O2 </w:t>
      </w:r>
      <w:r w:rsidR="000B37F1" w:rsidRPr="00165ED2">
        <w:rPr>
          <w:rFonts w:ascii="Times New Roman" w:hAnsi="Times New Roman" w:cs="Times New Roman"/>
          <w:sz w:val="24"/>
        </w:rPr>
        <w:t xml:space="preserve">were predominantly due to an upregulation of otherwise impaired </w:t>
      </w:r>
      <w:r w:rsidR="000B37F1" w:rsidRPr="00165ED2">
        <w:rPr>
          <w:rFonts w:ascii="Times New Roman" w:hAnsi="Times New Roman" w:cs="Times New Roman"/>
          <w:sz w:val="24"/>
          <w:szCs w:val="24"/>
          <w:lang w:val="en-US"/>
        </w:rPr>
        <w:t xml:space="preserve">intracellular mechanisms </w:t>
      </w:r>
      <w:r w:rsidR="00E85202" w:rsidRPr="00165ED2">
        <w:rPr>
          <w:rFonts w:ascii="Times New Roman" w:hAnsi="Times New Roman" w:cs="Times New Roman"/>
          <w:sz w:val="24"/>
          <w:szCs w:val="24"/>
          <w:lang w:val="en-US"/>
        </w:rPr>
        <w:t>of mitochondrial O</w:t>
      </w:r>
      <w:r w:rsidR="00E85202" w:rsidRPr="00165ED2">
        <w:rPr>
          <w:rFonts w:ascii="Times New Roman" w:hAnsi="Times New Roman" w:cs="Times New Roman"/>
          <w:sz w:val="24"/>
          <w:szCs w:val="24"/>
          <w:vertAlign w:val="subscript"/>
          <w:lang w:val="en-US"/>
        </w:rPr>
        <w:t>2</w:t>
      </w:r>
      <w:r w:rsidR="00E85202" w:rsidRPr="00165ED2">
        <w:rPr>
          <w:rFonts w:ascii="Times New Roman" w:hAnsi="Times New Roman" w:cs="Times New Roman"/>
          <w:sz w:val="24"/>
          <w:szCs w:val="24"/>
          <w:lang w:val="en-US"/>
        </w:rPr>
        <w:t xml:space="preserve"> utilization</w:t>
      </w:r>
      <w:r w:rsidR="000B37F1" w:rsidRPr="00165ED2">
        <w:rPr>
          <w:rFonts w:ascii="Times New Roman" w:hAnsi="Times New Roman" w:cs="Times New Roman"/>
          <w:sz w:val="24"/>
          <w:szCs w:val="24"/>
          <w:lang w:val="en-US"/>
        </w:rPr>
        <w:t>, rather than</w:t>
      </w:r>
      <w:r w:rsidR="00E85202" w:rsidRPr="00165ED2">
        <w:rPr>
          <w:rFonts w:ascii="Times New Roman" w:hAnsi="Times New Roman" w:cs="Times New Roman"/>
          <w:sz w:val="24"/>
          <w:szCs w:val="24"/>
          <w:lang w:val="en-US"/>
        </w:rPr>
        <w:t xml:space="preserve"> O</w:t>
      </w:r>
      <w:r w:rsidR="00E85202" w:rsidRPr="00165ED2">
        <w:rPr>
          <w:rFonts w:ascii="Times New Roman" w:hAnsi="Times New Roman" w:cs="Times New Roman"/>
          <w:sz w:val="24"/>
          <w:szCs w:val="24"/>
          <w:vertAlign w:val="subscript"/>
          <w:lang w:val="en-US"/>
        </w:rPr>
        <w:t>2</w:t>
      </w:r>
      <w:r w:rsidR="00E85202" w:rsidRPr="00165ED2">
        <w:rPr>
          <w:rFonts w:ascii="Times New Roman" w:hAnsi="Times New Roman" w:cs="Times New Roman"/>
          <w:sz w:val="24"/>
          <w:szCs w:val="24"/>
          <w:lang w:val="en-US"/>
        </w:rPr>
        <w:t xml:space="preserve"> delivery </w:t>
      </w:r>
      <w:r w:rsidR="00CB50A3" w:rsidRPr="00165ED2">
        <w:rPr>
          <w:rFonts w:ascii="Times New Roman" w:hAnsi="Times New Roman" w:cs="Times New Roman"/>
          <w:sz w:val="24"/>
          <w:szCs w:val="24"/>
          <w:lang w:val="en-US"/>
        </w:rPr>
        <w:fldChar w:fldCharType="begin"/>
      </w:r>
      <w:r w:rsidR="00624DC9" w:rsidRPr="00165ED2">
        <w:rPr>
          <w:rFonts w:ascii="Times New Roman" w:hAnsi="Times New Roman" w:cs="Times New Roman"/>
          <w:sz w:val="24"/>
          <w:szCs w:val="24"/>
          <w:lang w:val="en-US"/>
        </w:rPr>
        <w:instrText xml:space="preserve"> ADDIN ZOTERO_ITEM CSL_CITATION {"citationID":"thKhXyu0","properties":{"formattedCitation":"[131]","plainCitation":"[131]","noteIndex":0},"citationItems":[{"id":78,"uris":["http://zotero.org/users/5056530/items/Q9M2NM2G"],"itemData":{"id":78,"type":"article-journal","abstract":"We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CB50A3" w:rsidRPr="00165ED2">
        <w:rPr>
          <w:rFonts w:ascii="Times New Roman" w:hAnsi="Times New Roman" w:cs="Times New Roman"/>
          <w:sz w:val="24"/>
          <w:szCs w:val="24"/>
          <w:lang w:val="en-US"/>
        </w:rPr>
        <w:fldChar w:fldCharType="separate"/>
      </w:r>
      <w:r w:rsidR="00624DC9" w:rsidRPr="00165ED2">
        <w:rPr>
          <w:rFonts w:ascii="Times New Roman" w:hAnsi="Times New Roman" w:cs="Times New Roman"/>
          <w:sz w:val="24"/>
        </w:rPr>
        <w:t>[131]</w:t>
      </w:r>
      <w:r w:rsidR="00CB50A3" w:rsidRPr="00165ED2">
        <w:rPr>
          <w:rFonts w:ascii="Times New Roman" w:hAnsi="Times New Roman" w:cs="Times New Roman"/>
          <w:sz w:val="24"/>
          <w:szCs w:val="24"/>
          <w:lang w:val="en-US"/>
        </w:rPr>
        <w:fldChar w:fldCharType="end"/>
      </w:r>
      <w:r w:rsidR="00CB50A3" w:rsidRPr="00165ED2">
        <w:rPr>
          <w:rFonts w:ascii="Times New Roman" w:hAnsi="Times New Roman" w:cs="Times New Roman"/>
          <w:sz w:val="24"/>
          <w:szCs w:val="24"/>
          <w:lang w:val="en-US"/>
        </w:rPr>
        <w:t xml:space="preserve">. </w:t>
      </w:r>
      <w:r w:rsidR="00E85202" w:rsidRPr="00165ED2">
        <w:rPr>
          <w:rFonts w:ascii="Times New Roman" w:hAnsi="Times New Roman" w:cs="Times New Roman"/>
          <w:sz w:val="24"/>
          <w:szCs w:val="24"/>
          <w:lang w:val="en-US"/>
        </w:rPr>
        <w:t xml:space="preserve"> Taken together, therefore, substantial </w:t>
      </w:r>
      <w:r w:rsidR="00677E6B" w:rsidRPr="00165ED2">
        <w:rPr>
          <w:rFonts w:ascii="Times New Roman" w:hAnsi="Times New Roman" w:cs="Times New Roman"/>
          <w:sz w:val="24"/>
          <w:szCs w:val="24"/>
          <w:lang w:val="en-US"/>
        </w:rPr>
        <w:t xml:space="preserve">recent </w:t>
      </w:r>
      <w:r w:rsidR="00E85202" w:rsidRPr="00165ED2">
        <w:rPr>
          <w:rFonts w:ascii="Times New Roman" w:hAnsi="Times New Roman" w:cs="Times New Roman"/>
          <w:sz w:val="24"/>
          <w:szCs w:val="24"/>
          <w:lang w:val="en-US"/>
        </w:rPr>
        <w:t>evidence has accumulated to demonstrate that rates of intracellular O</w:t>
      </w:r>
      <w:r w:rsidR="00E85202" w:rsidRPr="00165ED2">
        <w:rPr>
          <w:rFonts w:ascii="Times New Roman" w:hAnsi="Times New Roman" w:cs="Times New Roman"/>
          <w:sz w:val="24"/>
          <w:szCs w:val="24"/>
          <w:vertAlign w:val="subscript"/>
          <w:lang w:val="en-US"/>
        </w:rPr>
        <w:t>2</w:t>
      </w:r>
      <w:r w:rsidR="00E85202" w:rsidRPr="00165ED2">
        <w:rPr>
          <w:rFonts w:ascii="Times New Roman" w:hAnsi="Times New Roman" w:cs="Times New Roman"/>
          <w:sz w:val="24"/>
          <w:szCs w:val="24"/>
          <w:lang w:val="en-US"/>
        </w:rPr>
        <w:t xml:space="preserve"> utilization at the onset of exercise, encapsulated by </w:t>
      </w:r>
      <w:r w:rsidR="00E85202" w:rsidRPr="00165ED2">
        <w:rPr>
          <w:rFonts w:ascii="Times New Roman" w:hAnsi="Times New Roman" w:cs="Times New Roman"/>
          <w:sz w:val="24"/>
        </w:rPr>
        <w:t>τ</w:t>
      </w:r>
      <w:r w:rsidR="00E85202" w:rsidRPr="00165ED2">
        <w:rPr>
          <w:rFonts w:ascii="Times New Roman" w:hAnsi="Times New Roman" w:cs="Times New Roman"/>
          <w:sz w:val="24"/>
          <w:vertAlign w:val="subscript"/>
        </w:rPr>
        <w:t>V̇O2</w:t>
      </w:r>
      <w:r w:rsidR="00E85202" w:rsidRPr="00165ED2">
        <w:rPr>
          <w:rFonts w:ascii="Times New Roman" w:hAnsi="Times New Roman" w:cs="Times New Roman"/>
          <w:sz w:val="24"/>
        </w:rPr>
        <w:t>, can influence CP independently of factors related to mitochondrial O</w:t>
      </w:r>
      <w:r w:rsidR="00E85202" w:rsidRPr="00165ED2">
        <w:rPr>
          <w:rFonts w:ascii="Times New Roman" w:hAnsi="Times New Roman" w:cs="Times New Roman"/>
          <w:sz w:val="24"/>
          <w:vertAlign w:val="subscript"/>
        </w:rPr>
        <w:t>2</w:t>
      </w:r>
      <w:r w:rsidR="00E85202" w:rsidRPr="00165ED2">
        <w:rPr>
          <w:rFonts w:ascii="Times New Roman" w:hAnsi="Times New Roman" w:cs="Times New Roman"/>
          <w:sz w:val="24"/>
        </w:rPr>
        <w:t xml:space="preserve"> provision.</w:t>
      </w:r>
    </w:p>
    <w:p w14:paraId="590E8286" w14:textId="77777777" w:rsidR="00A95352" w:rsidRPr="00165ED2" w:rsidRDefault="00A95352" w:rsidP="00E85202">
      <w:pPr>
        <w:spacing w:line="480" w:lineRule="auto"/>
        <w:jc w:val="both"/>
        <w:rPr>
          <w:rFonts w:ascii="Times New Roman" w:eastAsia="Calibri" w:hAnsi="Times New Roman" w:cs="Times New Roman"/>
          <w:sz w:val="24"/>
          <w:szCs w:val="24"/>
        </w:rPr>
      </w:pPr>
    </w:p>
    <w:p w14:paraId="6F3C41DB" w14:textId="1B86FBE8" w:rsidR="0022035E" w:rsidRPr="00165ED2" w:rsidRDefault="00CA7195" w:rsidP="00012C55">
      <w:pPr>
        <w:pStyle w:val="ListParagraph"/>
        <w:numPr>
          <w:ilvl w:val="0"/>
          <w:numId w:val="5"/>
        </w:numPr>
        <w:spacing w:line="480" w:lineRule="auto"/>
        <w:jc w:val="both"/>
        <w:rPr>
          <w:rFonts w:ascii="Times New Roman" w:eastAsia="Calibri" w:hAnsi="Times New Roman" w:cs="Times New Roman"/>
          <w:b/>
          <w:sz w:val="24"/>
          <w:szCs w:val="24"/>
        </w:rPr>
      </w:pPr>
      <w:r w:rsidRPr="00165ED2">
        <w:rPr>
          <w:rFonts w:ascii="Times New Roman" w:eastAsia="Calibri" w:hAnsi="Times New Roman" w:cs="Times New Roman"/>
          <w:b/>
          <w:sz w:val="24"/>
          <w:szCs w:val="24"/>
        </w:rPr>
        <w:t>INTERACTION OF FACTORS DETERMINING CP</w:t>
      </w:r>
    </w:p>
    <w:p w14:paraId="260584B0" w14:textId="1751FBDA" w:rsidR="005322B2" w:rsidRPr="00165ED2" w:rsidRDefault="00603EAD" w:rsidP="00195867">
      <w:pPr>
        <w:spacing w:line="480" w:lineRule="auto"/>
        <w:jc w:val="both"/>
        <w:rPr>
          <w:rFonts w:ascii="Times New Roman" w:hAnsi="Times New Roman" w:cs="Times New Roman"/>
          <w:sz w:val="24"/>
        </w:rPr>
      </w:pPr>
      <w:r w:rsidRPr="00165ED2">
        <w:rPr>
          <w:rFonts w:ascii="Times New Roman" w:eastAsia="Calibri" w:hAnsi="Times New Roman" w:cs="Times New Roman"/>
          <w:sz w:val="24"/>
          <w:szCs w:val="24"/>
        </w:rPr>
        <w:t xml:space="preserve">The studies of Goulding et al. </w:t>
      </w:r>
      <w:r w:rsidR="000F3FB7"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YxDCQPnK","properties":{"formattedCitation":"[8,64,65,114,117,130,131]","plainCitation":"[8,64,65,114,117,130,131]","noteIndex":0},"citationItems":[{"id":3098,"uris":["http://zotero.org/users/5056530/items/4HUF4V3M"],"itemData":{"id":3098,"type":"article-journal","abstract":"We hypothesize that the V[Combining Dot Above]O2 time constant (τV[Combining Dot Above]O2) determines exercise tolerance by defining the power output associated with a “critical threshold” of intramuscular metabolite accumulation (e.g. inorganic phosphate), above which muscle fatigue and work inefficiency are apparent. Thereafter, the V[Combining Dot Above]O2 “slow component”, and its consequences (increased pulmonary, circulatory and neuromuscular demands) determine performance limits.","container-title":"Exercise and Sport Sciences Reviews","DOI":"10.1249/JES.0000000000000267","ISSN":"0091-6331","language":"en-US","source":"journals.lww.com","title":"Bioenergetic Mechanisms Linking V[Combining Dot Above]O2 Kinetics and Exercise Tolerance","URL":"https://journals.lww.com/acsm-essr/Abstract/9000/Bioenergetic_Mechanisms_Linking_V_Combining_Dot.99696.aspx","author":[{"family":"Goulding","given":"Richie P."},{"family":"Rossiter","given":"Harry B."},{"family":"Marwood","given":"Simon"},{"family":"Ferguson","given":"Carrie"}],"accessed":{"date-parts":[["2021",7,20]]},"issued":{"date-parts":[["2021",7,15]]}}},{"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eastAsia="Calibri" w:hAnsi="Cambria Math" w:cs="Cambria Math"/>
          <w:sz w:val="24"/>
          <w:szCs w:val="24"/>
        </w:rPr>
        <w:instrText>∼</w:instrText>
      </w:r>
      <w:r w:rsidR="00624DC9" w:rsidRPr="00165ED2">
        <w:rPr>
          <w:rFonts w:ascii="Times New Roman" w:eastAsia="Calibri" w:hAnsi="Times New Roman" w:cs="Times New Roman"/>
          <w:sz w:val="24"/>
          <w:szCs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0F3FB7"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[8,64,65,114,117,130,131]</w:t>
      </w:r>
      <w:r w:rsidR="000F3FB7" w:rsidRPr="00165ED2">
        <w:rPr>
          <w:rFonts w:ascii="Times New Roman" w:eastAsia="Calibri" w:hAnsi="Times New Roman" w:cs="Times New Roman"/>
          <w:sz w:val="24"/>
          <w:szCs w:val="24"/>
        </w:rPr>
        <w:fldChar w:fldCharType="end"/>
      </w:r>
      <w:r w:rsidRPr="00165ED2">
        <w:rPr>
          <w:rFonts w:ascii="Times New Roman" w:eastAsia="Calibri" w:hAnsi="Times New Roman" w:cs="Times New Roman"/>
          <w:sz w:val="24"/>
          <w:szCs w:val="24"/>
        </w:rPr>
        <w:t xml:space="preserve"> provide convincing evidence </w:t>
      </w:r>
      <w:r w:rsidR="000F3FB7" w:rsidRPr="00165ED2">
        <w:rPr>
          <w:rFonts w:ascii="Times New Roman" w:eastAsia="Calibri" w:hAnsi="Times New Roman" w:cs="Times New Roman"/>
          <w:sz w:val="24"/>
          <w:szCs w:val="24"/>
        </w:rPr>
        <w:t>that</w:t>
      </w:r>
      <w:r w:rsidRPr="00165ED2">
        <w:rPr>
          <w:rFonts w:ascii="Times New Roman" w:eastAsia="Calibri" w:hAnsi="Times New Roman" w:cs="Times New Roman"/>
          <w:sz w:val="24"/>
          <w:szCs w:val="24"/>
        </w:rPr>
        <w:t xml:space="preserve"> </w:t>
      </w:r>
      <w:r w:rsidR="006F4E50" w:rsidRPr="00165ED2">
        <w:rPr>
          <w:rFonts w:ascii="Times New Roman" w:hAnsi="Times New Roman" w:cs="Times New Roman"/>
          <w:sz w:val="24"/>
        </w:rPr>
        <w:t>τ</w:t>
      </w:r>
      <w:r w:rsidR="006F4E50" w:rsidRPr="00165ED2">
        <w:rPr>
          <w:rFonts w:ascii="Times New Roman" w:hAnsi="Times New Roman" w:cs="Times New Roman"/>
          <w:sz w:val="24"/>
          <w:vertAlign w:val="subscript"/>
        </w:rPr>
        <w:t xml:space="preserve">V̇O2 </w:t>
      </w:r>
      <w:r w:rsidR="000F3FB7" w:rsidRPr="00165ED2">
        <w:rPr>
          <w:rFonts w:ascii="Times New Roman" w:hAnsi="Times New Roman" w:cs="Times New Roman"/>
          <w:sz w:val="24"/>
        </w:rPr>
        <w:t>is</w:t>
      </w:r>
      <w:r w:rsidR="006F4E50" w:rsidRPr="00165ED2">
        <w:rPr>
          <w:rFonts w:ascii="Times New Roman" w:hAnsi="Times New Roman" w:cs="Times New Roman"/>
          <w:sz w:val="24"/>
        </w:rPr>
        <w:t xml:space="preserve"> an independent determinant of CP. </w:t>
      </w:r>
      <w:r w:rsidR="00702A57" w:rsidRPr="00165ED2">
        <w:rPr>
          <w:rFonts w:ascii="Times New Roman" w:eastAsia="Calibri" w:hAnsi="Times New Roman" w:cs="Times New Roman"/>
          <w:sz w:val="24"/>
          <w:szCs w:val="24"/>
        </w:rPr>
        <w:t>As reviewed above, there is also evidence for an independent determining role of convective and diffusive O</w:t>
      </w:r>
      <w:r w:rsidR="00702A57" w:rsidRPr="00165ED2">
        <w:rPr>
          <w:rFonts w:ascii="Times New Roman" w:eastAsia="Calibri" w:hAnsi="Times New Roman" w:cs="Times New Roman"/>
          <w:sz w:val="24"/>
          <w:szCs w:val="24"/>
          <w:vertAlign w:val="subscript"/>
        </w:rPr>
        <w:t>2</w:t>
      </w:r>
      <w:r w:rsidR="00702A57" w:rsidRPr="00165ED2">
        <w:rPr>
          <w:rFonts w:ascii="Times New Roman" w:eastAsia="Calibri" w:hAnsi="Times New Roman" w:cs="Times New Roman"/>
          <w:sz w:val="24"/>
          <w:szCs w:val="24"/>
        </w:rPr>
        <w:t xml:space="preserve"> delivery in influencing CP. </w:t>
      </w:r>
      <w:r w:rsidR="00982097" w:rsidRPr="00165ED2">
        <w:rPr>
          <w:rFonts w:ascii="Times New Roman" w:hAnsi="Times New Roman" w:cs="Times New Roman"/>
          <w:sz w:val="24"/>
        </w:rPr>
        <w:t xml:space="preserve">That </w:t>
      </w:r>
      <w:r w:rsidR="00982097" w:rsidRPr="00165ED2">
        <w:rPr>
          <w:rFonts w:ascii="Times New Roman" w:hAnsi="Times New Roman" w:cs="Times New Roman"/>
          <w:sz w:val="24"/>
        </w:rPr>
        <w:lastRenderedPageBreak/>
        <w:t>each of τ</w:t>
      </w:r>
      <w:r w:rsidR="00982097" w:rsidRPr="00165ED2">
        <w:rPr>
          <w:rFonts w:ascii="Times New Roman" w:hAnsi="Times New Roman" w:cs="Times New Roman"/>
          <w:sz w:val="24"/>
          <w:vertAlign w:val="subscript"/>
        </w:rPr>
        <w:t xml:space="preserve">V̇O2, </w:t>
      </w:r>
      <w:r w:rsidR="00982097" w:rsidRPr="00165ED2">
        <w:rPr>
          <w:rFonts w:ascii="Times New Roman" w:hAnsi="Times New Roman" w:cs="Times New Roman"/>
          <w:sz w:val="24"/>
        </w:rPr>
        <w:t>convective and diffusive O</w:t>
      </w:r>
      <w:r w:rsidR="00982097" w:rsidRPr="00165ED2">
        <w:rPr>
          <w:rFonts w:ascii="Times New Roman" w:hAnsi="Times New Roman" w:cs="Times New Roman"/>
          <w:sz w:val="24"/>
          <w:vertAlign w:val="subscript"/>
        </w:rPr>
        <w:t>2</w:t>
      </w:r>
      <w:r w:rsidR="00982097" w:rsidRPr="00165ED2">
        <w:rPr>
          <w:rFonts w:ascii="Times New Roman" w:hAnsi="Times New Roman" w:cs="Times New Roman"/>
          <w:sz w:val="24"/>
        </w:rPr>
        <w:t xml:space="preserve"> delivery has an independent role in determining CP is evinced by the fact that each one can alter CP without a concomitant change in the other. </w:t>
      </w:r>
    </w:p>
    <w:p w14:paraId="06E9EC44" w14:textId="1DF7A8A9" w:rsidR="005322B2" w:rsidRPr="00165ED2" w:rsidRDefault="006F4E50" w:rsidP="00195867">
      <w:pPr>
        <w:spacing w:line="480" w:lineRule="auto"/>
        <w:jc w:val="both"/>
        <w:rPr>
          <w:rFonts w:ascii="Times New Roman" w:hAnsi="Times New Roman" w:cs="Times New Roman"/>
          <w:sz w:val="24"/>
        </w:rPr>
      </w:pPr>
      <w:r w:rsidRPr="00165ED2">
        <w:rPr>
          <w:rFonts w:ascii="Times New Roman" w:hAnsi="Times New Roman" w:cs="Times New Roman"/>
          <w:sz w:val="24"/>
        </w:rPr>
        <w:t>The proportion of CP explained by τ</w:t>
      </w:r>
      <w:r w:rsidRPr="00165ED2">
        <w:rPr>
          <w:rFonts w:ascii="Times New Roman" w:hAnsi="Times New Roman" w:cs="Times New Roman"/>
          <w:sz w:val="24"/>
          <w:vertAlign w:val="subscript"/>
        </w:rPr>
        <w:t xml:space="preserve">V̇O2 </w:t>
      </w:r>
      <w:r w:rsidRPr="00165ED2">
        <w:rPr>
          <w:rFonts w:ascii="Times New Roman" w:hAnsi="Times New Roman" w:cs="Times New Roman"/>
          <w:sz w:val="24"/>
        </w:rPr>
        <w:t>has been reported to be as high as 90% in a homogenous participant group w</w:t>
      </w:r>
      <w:r w:rsidR="00376C6E" w:rsidRPr="00165ED2">
        <w:rPr>
          <w:rFonts w:ascii="Times New Roman" w:hAnsi="Times New Roman" w:cs="Times New Roman"/>
          <w:sz w:val="24"/>
        </w:rPr>
        <w:t xml:space="preserve">here </w:t>
      </w:r>
      <w:r w:rsidRPr="00165ED2">
        <w:rPr>
          <w:rFonts w:ascii="Times New Roman" w:hAnsi="Times New Roman" w:cs="Times New Roman"/>
          <w:sz w:val="24"/>
        </w:rPr>
        <w:t>relative exercise intensity</w:t>
      </w:r>
      <w:r w:rsidR="00376C6E" w:rsidRPr="00165ED2">
        <w:rPr>
          <w:rFonts w:ascii="Times New Roman" w:hAnsi="Times New Roman" w:cs="Times New Roman"/>
          <w:sz w:val="24"/>
        </w:rPr>
        <w:t xml:space="preserve"> was </w:t>
      </w:r>
      <w:r w:rsidRPr="00165ED2">
        <w:rPr>
          <w:rFonts w:ascii="Times New Roman" w:hAnsi="Times New Roman" w:cs="Times New Roman"/>
          <w:sz w:val="24"/>
        </w:rPr>
        <w:t xml:space="preserve"> precisely controlled</w:t>
      </w:r>
      <w:r w:rsidR="00376C6E" w:rsidRPr="00165ED2">
        <w:rPr>
          <w:rFonts w:ascii="Times New Roman" w:hAnsi="Times New Roman" w:cs="Times New Roman"/>
          <w:sz w:val="24"/>
        </w:rPr>
        <w:t xml:space="preserve"> (i.e. a tolerable duration of 6 minutes across subjects) </w:t>
      </w:r>
      <w:r w:rsidR="00376C6E" w:rsidRPr="00165ED2">
        <w:rPr>
          <w:rFonts w:ascii="Times New Roman" w:hAnsi="Times New Roman" w:cs="Times New Roman"/>
          <w:sz w:val="24"/>
        </w:rPr>
        <w:fldChar w:fldCharType="begin"/>
      </w:r>
      <w:r w:rsidR="007A3303" w:rsidRPr="00165ED2">
        <w:rPr>
          <w:rFonts w:ascii="Times New Roman" w:hAnsi="Times New Roman" w:cs="Times New Roman"/>
          <w:sz w:val="24"/>
        </w:rPr>
        <w:instrText xml:space="preserve"> ADDIN ZOTERO_ITEM CSL_CITATION {"citationID":"FEM9Tzqd","properties":{"formattedCitation":"[14]","plainCitation":"[14]","noteIndex":0},"citationItems":[{"id":208,"uris":["http://zotero.org/users/5056530/items/5SW9UQIW"],"itemData":{"id":208,"type":"article-journal","abstract":"Tolerance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 Fourteen healthy men performed cycle ergometry protocols to the limit of tolerance: 1) an incremental ramp test; 2) a series of constant-P tests to determine V̇o2max, CP, and W′; and 3) repeated constant-P tests (WR6) normalized to a 6 min tlim for τV̇o2 and ΔV̇o2sc estimation. The WR6 tlim averaged 365 ± 16 s, and V̇o2max (4.18 ± 0.49 l/min) was achieved in every case. CP (range: 171–294 W) was inversely correlated with τV̇o2 (18–38 s; R2 = 0.90), and W′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1522-1601","issue":"6","language":"en","license":"Copyright © 2011 the American Physiological Society","note":"PMID: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B."}],"issued":{"date-parts":[["2011",6,1]]}}}],"schema":"https://github.com/citation-style-language/schema/raw/master/csl-citation.json"} </w:instrText>
      </w:r>
      <w:r w:rsidR="00376C6E" w:rsidRPr="00165ED2">
        <w:rPr>
          <w:rFonts w:ascii="Times New Roman" w:hAnsi="Times New Roman" w:cs="Times New Roman"/>
          <w:sz w:val="24"/>
        </w:rPr>
        <w:fldChar w:fldCharType="separate"/>
      </w:r>
      <w:r w:rsidR="007A3303" w:rsidRPr="00165ED2">
        <w:rPr>
          <w:rFonts w:ascii="Times New Roman" w:hAnsi="Times New Roman" w:cs="Times New Roman"/>
          <w:sz w:val="24"/>
        </w:rPr>
        <w:t>[14]</w:t>
      </w:r>
      <w:r w:rsidR="00376C6E" w:rsidRPr="00165ED2">
        <w:rPr>
          <w:rFonts w:ascii="Times New Roman" w:hAnsi="Times New Roman" w:cs="Times New Roman"/>
          <w:sz w:val="24"/>
        </w:rPr>
        <w:fldChar w:fldCharType="end"/>
      </w:r>
      <w:r w:rsidRPr="00165ED2">
        <w:rPr>
          <w:rFonts w:ascii="Times New Roman" w:hAnsi="Times New Roman" w:cs="Times New Roman"/>
          <w:sz w:val="24"/>
        </w:rPr>
        <w:t>. Our own data has demonstr</w:t>
      </w:r>
      <w:r w:rsidR="00A95352" w:rsidRPr="00165ED2">
        <w:rPr>
          <w:rFonts w:ascii="Times New Roman" w:hAnsi="Times New Roman" w:cs="Times New Roman"/>
          <w:sz w:val="24"/>
        </w:rPr>
        <w:t xml:space="preserve">ated </w:t>
      </w:r>
      <w:r w:rsidR="00A95352" w:rsidRPr="00165ED2">
        <w:rPr>
          <w:rFonts w:ascii="Times New Roman" w:hAnsi="Times New Roman" w:cs="Times New Roman"/>
          <w:i/>
          <w:sz w:val="24"/>
        </w:rPr>
        <w:t>R</w:t>
      </w:r>
      <w:r w:rsidRPr="00165ED2">
        <w:rPr>
          <w:rFonts w:ascii="Times New Roman" w:hAnsi="Times New Roman" w:cs="Times New Roman"/>
          <w:sz w:val="24"/>
          <w:vertAlign w:val="superscript"/>
        </w:rPr>
        <w:t>2</w:t>
      </w:r>
      <w:r w:rsidRPr="00165ED2">
        <w:rPr>
          <w:rFonts w:ascii="Times New Roman" w:hAnsi="Times New Roman" w:cs="Times New Roman"/>
          <w:sz w:val="24"/>
        </w:rPr>
        <w:t xml:space="preserve"> values of </w:t>
      </w:r>
      <w:r w:rsidR="00376C6E" w:rsidRPr="00165ED2">
        <w:rPr>
          <w:rFonts w:ascii="Times New Roman" w:hAnsi="Times New Roman" w:cs="Times New Roman"/>
          <w:sz w:val="24"/>
        </w:rPr>
        <w:t>0.6</w:t>
      </w:r>
      <w:r w:rsidR="003E640F" w:rsidRPr="00165ED2">
        <w:rPr>
          <w:rFonts w:ascii="Times New Roman" w:hAnsi="Times New Roman" w:cs="Times New Roman"/>
          <w:sz w:val="24"/>
        </w:rPr>
        <w:t>4</w:t>
      </w:r>
      <w:r w:rsidRPr="00165ED2">
        <w:rPr>
          <w:rFonts w:ascii="Times New Roman" w:hAnsi="Times New Roman" w:cs="Times New Roman"/>
          <w:sz w:val="24"/>
        </w:rPr>
        <w:t xml:space="preserve"> to </w:t>
      </w:r>
      <w:r w:rsidR="00376C6E" w:rsidRPr="00165ED2">
        <w:rPr>
          <w:rFonts w:ascii="Times New Roman" w:hAnsi="Times New Roman" w:cs="Times New Roman"/>
          <w:sz w:val="24"/>
        </w:rPr>
        <w:t>0.</w:t>
      </w:r>
      <w:r w:rsidR="001C4834" w:rsidRPr="00165ED2">
        <w:rPr>
          <w:rFonts w:ascii="Times New Roman" w:hAnsi="Times New Roman" w:cs="Times New Roman"/>
          <w:sz w:val="24"/>
        </w:rPr>
        <w:t>90</w:t>
      </w:r>
      <w:r w:rsidRPr="00165ED2">
        <w:rPr>
          <w:rFonts w:ascii="Times New Roman" w:hAnsi="Times New Roman" w:cs="Times New Roman"/>
          <w:sz w:val="24"/>
        </w:rPr>
        <w:t xml:space="preserve"> for </w:t>
      </w:r>
      <w:r w:rsidR="0012169A" w:rsidRPr="00165ED2">
        <w:rPr>
          <w:rFonts w:ascii="Times New Roman" w:hAnsi="Times New Roman" w:cs="Times New Roman"/>
          <w:sz w:val="24"/>
        </w:rPr>
        <w:t>the relationship between CP and τ</w:t>
      </w:r>
      <w:r w:rsidR="0012169A" w:rsidRPr="00165ED2">
        <w:rPr>
          <w:rFonts w:ascii="Times New Roman" w:hAnsi="Times New Roman" w:cs="Times New Roman"/>
          <w:sz w:val="24"/>
          <w:vertAlign w:val="subscript"/>
        </w:rPr>
        <w:t xml:space="preserve">V̇O2 </w:t>
      </w:r>
      <w:r w:rsidR="0012169A" w:rsidRPr="00165ED2">
        <w:rPr>
          <w:rFonts w:ascii="Times New Roman" w:eastAsia="Calibri" w:hAnsi="Times New Roman" w:cs="Times New Roman"/>
          <w:sz w:val="24"/>
          <w:szCs w:val="24"/>
        </w:rPr>
        <w:t xml:space="preserve">during upright exercise </w:t>
      </w:r>
      <w:r w:rsidR="00376C6E" w:rsidRPr="00165ED2">
        <w:rPr>
          <w:rFonts w:ascii="Times New Roman" w:eastAsia="Calibri" w:hAnsi="Times New Roman" w:cs="Times New Roman"/>
          <w:sz w:val="24"/>
          <w:szCs w:val="24"/>
        </w:rPr>
        <w:fldChar w:fldCharType="begin"/>
      </w:r>
      <w:r w:rsidR="0099297F" w:rsidRPr="00165ED2">
        <w:rPr>
          <w:rFonts w:ascii="Times New Roman" w:eastAsia="Calibri" w:hAnsi="Times New Roman" w:cs="Times New Roman"/>
          <w:sz w:val="24"/>
          <w:szCs w:val="24"/>
        </w:rPr>
        <w:instrText xml:space="preserve"> ADDIN ZOTERO_ITEM CSL_CITATION {"citationID":"h8pga0nA","properties":{"formattedCitation":"[60,111,114,127,128]","plainCitation":"[60,111,114,127,128]","dontUpdate":true,"noteIndex":0},"citationItems":[{"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99297F" w:rsidRPr="00165ED2">
        <w:rPr>
          <w:rFonts w:ascii="Cambria Math" w:eastAsia="Calibri" w:hAnsi="Cambria Math" w:cs="Cambria Math"/>
          <w:sz w:val="24"/>
          <w:szCs w:val="24"/>
        </w:rPr>
        <w:instrText>∼</w:instrText>
      </w:r>
      <w:r w:rsidR="0099297F" w:rsidRPr="00165ED2">
        <w:rPr>
          <w:rFonts w:ascii="Times New Roman" w:eastAsia="Calibri" w:hAnsi="Times New Roman" w:cs="Times New Roman"/>
          <w:sz w:val="24"/>
          <w:szCs w:val="24"/>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376C6E" w:rsidRPr="00165ED2">
        <w:rPr>
          <w:rFonts w:ascii="Times New Roman" w:eastAsia="Calibri" w:hAnsi="Times New Roman" w:cs="Times New Roman"/>
          <w:sz w:val="24"/>
          <w:szCs w:val="24"/>
        </w:rPr>
        <w:fldChar w:fldCharType="separate"/>
      </w:r>
      <w:r w:rsidR="00376C6E" w:rsidRPr="00165ED2">
        <w:rPr>
          <w:rFonts w:ascii="Times New Roman" w:hAnsi="Times New Roman" w:cs="Times New Roman"/>
          <w:sz w:val="24"/>
        </w:rPr>
        <w:t>[60,111,</w:t>
      </w:r>
      <w:r w:rsidR="003E640F" w:rsidRPr="00165ED2" w:rsidDel="003E640F">
        <w:rPr>
          <w:rFonts w:ascii="Times New Roman" w:hAnsi="Times New Roman" w:cs="Times New Roman"/>
          <w:sz w:val="24"/>
        </w:rPr>
        <w:t xml:space="preserve"> </w:t>
      </w:r>
      <w:r w:rsidR="00376C6E" w:rsidRPr="00165ED2">
        <w:rPr>
          <w:rFonts w:ascii="Times New Roman" w:hAnsi="Times New Roman" w:cs="Times New Roman"/>
          <w:sz w:val="24"/>
        </w:rPr>
        <w:t>,127,128]</w:t>
      </w:r>
      <w:r w:rsidR="00376C6E" w:rsidRPr="00165ED2">
        <w:rPr>
          <w:rFonts w:ascii="Times New Roman" w:eastAsia="Calibri" w:hAnsi="Times New Roman" w:cs="Times New Roman"/>
          <w:sz w:val="24"/>
          <w:szCs w:val="24"/>
        </w:rPr>
        <w:fldChar w:fldCharType="end"/>
      </w:r>
      <w:r w:rsidR="0012169A" w:rsidRPr="00165ED2">
        <w:rPr>
          <w:rFonts w:ascii="Times New Roman" w:eastAsia="Calibri" w:hAnsi="Times New Roman" w:cs="Times New Roman"/>
          <w:sz w:val="24"/>
          <w:szCs w:val="24"/>
        </w:rPr>
        <w:t>. Collation of this data across differing exercise intensity domains and populations</w:t>
      </w:r>
      <w:r w:rsidR="00D13B68" w:rsidRPr="00165ED2">
        <w:rPr>
          <w:rFonts w:ascii="Times New Roman" w:eastAsia="Calibri" w:hAnsi="Times New Roman" w:cs="Times New Roman"/>
          <w:sz w:val="24"/>
          <w:szCs w:val="24"/>
        </w:rPr>
        <w:t>, including hyperoxia conditions</w:t>
      </w:r>
      <w:r w:rsidR="006D5E04" w:rsidRPr="00165ED2">
        <w:rPr>
          <w:rFonts w:ascii="Times New Roman" w:eastAsia="Calibri" w:hAnsi="Times New Roman" w:cs="Times New Roman"/>
          <w:sz w:val="24"/>
          <w:szCs w:val="24"/>
        </w:rPr>
        <w:t>,</w:t>
      </w:r>
      <w:r w:rsidR="0012169A" w:rsidRPr="00165ED2">
        <w:rPr>
          <w:rFonts w:ascii="Times New Roman" w:eastAsia="Calibri" w:hAnsi="Times New Roman" w:cs="Times New Roman"/>
          <w:sz w:val="24"/>
          <w:szCs w:val="24"/>
        </w:rPr>
        <w:t xml:space="preserve"> yields </w:t>
      </w:r>
      <w:r w:rsidR="006D5E04" w:rsidRPr="00165ED2">
        <w:rPr>
          <w:rFonts w:ascii="Times New Roman" w:eastAsia="Calibri" w:hAnsi="Times New Roman" w:cs="Times New Roman"/>
          <w:sz w:val="24"/>
          <w:szCs w:val="24"/>
        </w:rPr>
        <w:t xml:space="preserve">an </w:t>
      </w:r>
      <w:r w:rsidR="00EC02DD" w:rsidRPr="00165ED2">
        <w:rPr>
          <w:rFonts w:ascii="Times New Roman" w:eastAsia="Calibri" w:hAnsi="Times New Roman" w:cs="Times New Roman"/>
          <w:i/>
          <w:sz w:val="24"/>
          <w:szCs w:val="24"/>
        </w:rPr>
        <w:t>R</w:t>
      </w:r>
      <w:r w:rsidR="0012169A" w:rsidRPr="00165ED2">
        <w:rPr>
          <w:rFonts w:ascii="Times New Roman" w:eastAsia="Calibri" w:hAnsi="Times New Roman" w:cs="Times New Roman"/>
          <w:sz w:val="24"/>
          <w:szCs w:val="24"/>
          <w:vertAlign w:val="superscript"/>
        </w:rPr>
        <w:t>2</w:t>
      </w:r>
      <w:r w:rsidR="0012169A" w:rsidRPr="00165ED2">
        <w:rPr>
          <w:rFonts w:ascii="Times New Roman" w:eastAsia="Calibri" w:hAnsi="Times New Roman" w:cs="Times New Roman"/>
          <w:sz w:val="24"/>
          <w:szCs w:val="24"/>
        </w:rPr>
        <w:t xml:space="preserve"> = </w:t>
      </w:r>
      <w:r w:rsidR="00EC02DD" w:rsidRPr="00165ED2">
        <w:rPr>
          <w:rFonts w:ascii="Times New Roman" w:eastAsia="Calibri" w:hAnsi="Times New Roman" w:cs="Times New Roman"/>
          <w:sz w:val="24"/>
          <w:szCs w:val="24"/>
        </w:rPr>
        <w:t>0.60</w:t>
      </w:r>
      <w:r w:rsidR="0012169A" w:rsidRPr="00165ED2">
        <w:rPr>
          <w:rFonts w:ascii="Times New Roman" w:eastAsia="Calibri" w:hAnsi="Times New Roman" w:cs="Times New Roman"/>
          <w:sz w:val="24"/>
          <w:szCs w:val="24"/>
        </w:rPr>
        <w:t xml:space="preserve"> (</w:t>
      </w:r>
      <w:r w:rsidR="00EC02DD" w:rsidRPr="00165ED2">
        <w:rPr>
          <w:rFonts w:ascii="Times New Roman" w:eastAsia="Calibri" w:hAnsi="Times New Roman" w:cs="Times New Roman"/>
          <w:sz w:val="24"/>
          <w:szCs w:val="24"/>
        </w:rPr>
        <w:t>F</w:t>
      </w:r>
      <w:r w:rsidR="0012169A" w:rsidRPr="00165ED2">
        <w:rPr>
          <w:rFonts w:ascii="Times New Roman" w:eastAsia="Calibri" w:hAnsi="Times New Roman" w:cs="Times New Roman"/>
          <w:sz w:val="24"/>
          <w:szCs w:val="24"/>
        </w:rPr>
        <w:t xml:space="preserve">igure </w:t>
      </w:r>
      <w:r w:rsidR="00376C6E" w:rsidRPr="00165ED2">
        <w:rPr>
          <w:rFonts w:ascii="Times New Roman" w:eastAsia="Calibri" w:hAnsi="Times New Roman" w:cs="Times New Roman"/>
          <w:sz w:val="24"/>
          <w:szCs w:val="24"/>
        </w:rPr>
        <w:t>3A</w:t>
      </w:r>
      <w:r w:rsidR="00012C55" w:rsidRPr="00165ED2">
        <w:rPr>
          <w:rFonts w:ascii="Times New Roman" w:eastAsia="Calibri" w:hAnsi="Times New Roman" w:cs="Times New Roman"/>
          <w:sz w:val="24"/>
          <w:szCs w:val="24"/>
        </w:rPr>
        <w:t xml:space="preserve">; data from ref. </w:t>
      </w:r>
      <w:r w:rsidR="00012C55"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{"citationID":"WxqbP6f3","properties":{"formattedCitation":"[131]","plainCitation":"[131]","noteIndex":0},"citationItems":[{"id":78,"uris":["http://zotero.org/users/5056530/items/Q9M2NM2G"],"itemData":{"id":78,"type":"article-journal","abstract":"We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012C55"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[131]</w:t>
      </w:r>
      <w:r w:rsidR="00012C55" w:rsidRPr="00165ED2">
        <w:rPr>
          <w:rFonts w:ascii="Times New Roman" w:eastAsia="Calibri" w:hAnsi="Times New Roman" w:cs="Times New Roman"/>
          <w:sz w:val="24"/>
          <w:szCs w:val="24"/>
        </w:rPr>
        <w:fldChar w:fldCharType="end"/>
      </w:r>
      <w:r w:rsidR="00DE0F5F" w:rsidRPr="00165ED2">
        <w:rPr>
          <w:rFonts w:ascii="Times New Roman" w:eastAsia="Calibri" w:hAnsi="Times New Roman" w:cs="Times New Roman"/>
          <w:sz w:val="24"/>
          <w:szCs w:val="24"/>
        </w:rPr>
        <w:t xml:space="preserve"> previously unpublished</w:t>
      </w:r>
      <w:r w:rsidR="0012169A" w:rsidRPr="00165ED2">
        <w:rPr>
          <w:rFonts w:ascii="Times New Roman" w:eastAsia="Calibri" w:hAnsi="Times New Roman" w:cs="Times New Roman"/>
          <w:sz w:val="24"/>
          <w:szCs w:val="24"/>
        </w:rPr>
        <w:t>)</w:t>
      </w:r>
      <w:r w:rsidR="00DE0F5F" w:rsidRPr="00165ED2">
        <w:rPr>
          <w:rFonts w:ascii="Times New Roman" w:eastAsia="Calibri" w:hAnsi="Times New Roman" w:cs="Times New Roman"/>
          <w:sz w:val="24"/>
          <w:szCs w:val="24"/>
        </w:rPr>
        <w:t>, with a slope of ~0.</w:t>
      </w:r>
      <w:r w:rsidR="006F682E" w:rsidRPr="00165ED2">
        <w:rPr>
          <w:rFonts w:ascii="Times New Roman" w:eastAsia="Calibri" w:hAnsi="Times New Roman" w:cs="Times New Roman"/>
          <w:sz w:val="24"/>
          <w:szCs w:val="24"/>
        </w:rPr>
        <w:t>0</w:t>
      </w:r>
      <w:r w:rsidR="00DE0F5F" w:rsidRPr="00165ED2">
        <w:rPr>
          <w:rFonts w:ascii="Times New Roman" w:eastAsia="Calibri" w:hAnsi="Times New Roman" w:cs="Times New Roman"/>
          <w:sz w:val="24"/>
          <w:szCs w:val="24"/>
        </w:rPr>
        <w:t>3</w:t>
      </w:r>
      <w:r w:rsidR="00DE0F5F" w:rsidRPr="00165ED2">
        <w:rPr>
          <w:rFonts w:ascii="Times New Roman" w:hAnsi="Times New Roman" w:cs="Times New Roman"/>
          <w:sz w:val="24"/>
        </w:rPr>
        <w:t xml:space="preserve"> W.kg</w:t>
      </w:r>
      <w:r w:rsidR="00DE0F5F" w:rsidRPr="00165ED2">
        <w:rPr>
          <w:rFonts w:ascii="Times New Roman" w:hAnsi="Times New Roman" w:cs="Times New Roman"/>
          <w:sz w:val="24"/>
          <w:vertAlign w:val="superscript"/>
        </w:rPr>
        <w:t>-1</w:t>
      </w:r>
      <w:r w:rsidR="0012169A" w:rsidRPr="00165ED2">
        <w:rPr>
          <w:rFonts w:ascii="Times New Roman" w:eastAsia="Calibri" w:hAnsi="Times New Roman" w:cs="Times New Roman"/>
          <w:sz w:val="24"/>
          <w:szCs w:val="24"/>
        </w:rPr>
        <w:t>.</w:t>
      </w:r>
      <w:r w:rsidR="00DE0F5F" w:rsidRPr="00165ED2">
        <w:rPr>
          <w:rFonts w:ascii="Times New Roman" w:eastAsia="Calibri" w:hAnsi="Times New Roman" w:cs="Times New Roman"/>
          <w:sz w:val="24"/>
          <w:szCs w:val="24"/>
        </w:rPr>
        <w:t>s</w:t>
      </w:r>
      <w:r w:rsidR="00DE0F5F" w:rsidRPr="00165ED2">
        <w:rPr>
          <w:rFonts w:ascii="Times New Roman" w:eastAsia="Calibri" w:hAnsi="Times New Roman" w:cs="Times New Roman"/>
          <w:sz w:val="24"/>
          <w:szCs w:val="24"/>
          <w:vertAlign w:val="superscript"/>
        </w:rPr>
        <w:t>-1</w:t>
      </w:r>
      <w:r w:rsidR="00DE0F5F" w:rsidRPr="00165ED2">
        <w:rPr>
          <w:rFonts w:ascii="Times New Roman" w:eastAsia="Calibri" w:hAnsi="Times New Roman" w:cs="Times New Roman"/>
          <w:sz w:val="24"/>
          <w:szCs w:val="24"/>
        </w:rPr>
        <w:t>. However, this includes data from diseased populations (</w:t>
      </w:r>
      <w:r w:rsidR="00ED0892" w:rsidRPr="00165ED2">
        <w:rPr>
          <w:rFonts w:ascii="Times New Roman" w:eastAsia="Calibri" w:hAnsi="Times New Roman" w:cs="Times New Roman"/>
          <w:sz w:val="24"/>
          <w:szCs w:val="24"/>
        </w:rPr>
        <w:t>type 1 diabetes</w:t>
      </w:r>
      <w:r w:rsidR="006D5E04" w:rsidRPr="00165ED2">
        <w:rPr>
          <w:rFonts w:ascii="Times New Roman" w:eastAsia="Calibri" w:hAnsi="Times New Roman" w:cs="Times New Roman"/>
          <w:sz w:val="24"/>
          <w:szCs w:val="24"/>
        </w:rPr>
        <w:t xml:space="preserve"> </w:t>
      </w:r>
      <w:r w:rsidR="006D5E04"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{"citationID":"gxIvsrm3","properties":{"formattedCitation":"[131]","plainCitation":"[131]","noteIndex":0},"citationItems":[{"id":78,"uris":["http://zotero.org/users/5056530/items/Q9M2NM2G"],"itemData":{"id":78,"type":"article-journal","abstract":"We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6D5E04"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[131]</w:t>
      </w:r>
      <w:r w:rsidR="006D5E04" w:rsidRPr="00165ED2">
        <w:rPr>
          <w:rFonts w:ascii="Times New Roman" w:eastAsia="Calibri" w:hAnsi="Times New Roman" w:cs="Times New Roman"/>
          <w:sz w:val="24"/>
          <w:szCs w:val="24"/>
        </w:rPr>
        <w:fldChar w:fldCharType="end"/>
      </w:r>
      <w:r w:rsidR="00DE0F5F" w:rsidRPr="00165ED2">
        <w:rPr>
          <w:rFonts w:ascii="Times New Roman" w:eastAsia="Calibri" w:hAnsi="Times New Roman" w:cs="Times New Roman"/>
          <w:sz w:val="24"/>
          <w:szCs w:val="24"/>
        </w:rPr>
        <w:t xml:space="preserve">) and hyperoxia </w:t>
      </w:r>
      <w:r w:rsidR="006D5E04" w:rsidRPr="00165ED2">
        <w:rPr>
          <w:rFonts w:ascii="Times New Roman" w:eastAsia="Calibri" w:hAnsi="Times New Roman" w:cs="Times New Roman"/>
          <w:sz w:val="24"/>
          <w:szCs w:val="24"/>
        </w:rPr>
        <w:fldChar w:fldCharType="begin"/>
      </w:r>
      <w:r w:rsidR="00624DC9" w:rsidRPr="00165ED2">
        <w:rPr>
          <w:rFonts w:ascii="Times New Roman" w:eastAsia="Calibri" w:hAnsi="Times New Roman" w:cs="Times New Roman"/>
          <w:sz w:val="24"/>
          <w:szCs w:val="24"/>
        </w:rPr>
        <w:instrText xml:space="preserve"> ADDIN ZOTERO_ITEM CSL_CITATION {"citationID":"qXeffmxT","properties":{"formattedCitation":"[65]","plainCitation":"[65]","noteIndex":0},"citationItems":[{"id":1054,"uris":["http://zotero.org/users/5056530/items/AWRUGRC8"],"itemData":{"id":1054,"type":"article-journal","abstract":"Critical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6D5E04" w:rsidRPr="00165ED2">
        <w:rPr>
          <w:rFonts w:ascii="Times New Roman" w:eastAsia="Calibri" w:hAnsi="Times New Roman" w:cs="Times New Roman"/>
          <w:sz w:val="24"/>
          <w:szCs w:val="24"/>
        </w:rPr>
        <w:fldChar w:fldCharType="separate"/>
      </w:r>
      <w:r w:rsidR="00624DC9" w:rsidRPr="00165ED2">
        <w:rPr>
          <w:rFonts w:ascii="Times New Roman" w:hAnsi="Times New Roman" w:cs="Times New Roman"/>
          <w:sz w:val="24"/>
        </w:rPr>
        <w:t>[65]</w:t>
      </w:r>
      <w:r w:rsidR="006D5E04" w:rsidRPr="00165ED2">
        <w:rPr>
          <w:rFonts w:ascii="Times New Roman" w:eastAsia="Calibri" w:hAnsi="Times New Roman" w:cs="Times New Roman"/>
          <w:sz w:val="24"/>
          <w:szCs w:val="24"/>
        </w:rPr>
        <w:fldChar w:fldCharType="end"/>
      </w:r>
      <w:r w:rsidR="00DE0F5F" w:rsidRPr="00165ED2">
        <w:rPr>
          <w:rFonts w:ascii="Times New Roman" w:eastAsia="Calibri" w:hAnsi="Times New Roman" w:cs="Times New Roman"/>
          <w:sz w:val="24"/>
          <w:szCs w:val="24"/>
        </w:rPr>
        <w:t xml:space="preserve">, both of which might be expected to </w:t>
      </w:r>
      <w:r w:rsidR="00495507" w:rsidRPr="00165ED2">
        <w:rPr>
          <w:rFonts w:ascii="Times New Roman" w:eastAsia="Calibri" w:hAnsi="Times New Roman" w:cs="Times New Roman"/>
          <w:sz w:val="24"/>
          <w:szCs w:val="24"/>
        </w:rPr>
        <w:t>confound</w:t>
      </w:r>
      <w:r w:rsidR="00DE0F5F" w:rsidRPr="00165ED2">
        <w:rPr>
          <w:rFonts w:ascii="Times New Roman" w:eastAsia="Calibri" w:hAnsi="Times New Roman" w:cs="Times New Roman"/>
          <w:sz w:val="24"/>
          <w:szCs w:val="24"/>
        </w:rPr>
        <w:t xml:space="preserve"> the analysis</w:t>
      </w:r>
      <w:r w:rsidR="00495507" w:rsidRPr="00165ED2">
        <w:rPr>
          <w:rFonts w:ascii="Times New Roman" w:eastAsia="Calibri" w:hAnsi="Times New Roman" w:cs="Times New Roman"/>
          <w:sz w:val="24"/>
          <w:szCs w:val="24"/>
        </w:rPr>
        <w:t xml:space="preserve"> since the latter may distort the relationship between pulmonary and muscle </w:t>
      </w:r>
      <w:r w:rsidR="00495507" w:rsidRPr="00165ED2">
        <w:rPr>
          <w:rFonts w:ascii="Times New Roman" w:hAnsi="Times New Roman" w:cs="Times New Roman"/>
          <w:sz w:val="24"/>
        </w:rPr>
        <w:t>τ</w:t>
      </w:r>
      <w:r w:rsidR="00495507" w:rsidRPr="00165ED2">
        <w:rPr>
          <w:rFonts w:ascii="Times New Roman" w:hAnsi="Times New Roman" w:cs="Times New Roman"/>
          <w:sz w:val="24"/>
          <w:vertAlign w:val="subscript"/>
        </w:rPr>
        <w:t xml:space="preserve">V̇O2 </w:t>
      </w:r>
      <w:r w:rsidR="00495507" w:rsidRPr="00165ED2">
        <w:rPr>
          <w:rFonts w:ascii="Times New Roman" w:hAnsi="Times New Roman" w:cs="Times New Roman"/>
          <w:sz w:val="24"/>
        </w:rPr>
        <w:t>and the former has a slope (</w:t>
      </w:r>
      <w:r w:rsidR="006F682E" w:rsidRPr="00165ED2">
        <w:rPr>
          <w:rFonts w:ascii="Times New Roman" w:eastAsia="Calibri" w:hAnsi="Times New Roman" w:cs="Times New Roman"/>
          <w:sz w:val="24"/>
          <w:szCs w:val="24"/>
        </w:rPr>
        <w:t xml:space="preserve">0.01 </w:t>
      </w:r>
      <w:r w:rsidR="006F682E" w:rsidRPr="00165ED2">
        <w:rPr>
          <w:rFonts w:ascii="Times New Roman" w:hAnsi="Times New Roman" w:cs="Times New Roman"/>
          <w:sz w:val="24"/>
        </w:rPr>
        <w:t>W.kg</w:t>
      </w:r>
      <w:r w:rsidR="006F682E" w:rsidRPr="00165ED2">
        <w:rPr>
          <w:rFonts w:ascii="Times New Roman" w:hAnsi="Times New Roman" w:cs="Times New Roman"/>
          <w:sz w:val="24"/>
          <w:vertAlign w:val="superscript"/>
        </w:rPr>
        <w:t>-1</w:t>
      </w:r>
      <w:r w:rsidR="006F682E" w:rsidRPr="00165ED2">
        <w:rPr>
          <w:rFonts w:ascii="Times New Roman" w:eastAsia="Calibri" w:hAnsi="Times New Roman" w:cs="Times New Roman"/>
          <w:sz w:val="24"/>
          <w:szCs w:val="24"/>
        </w:rPr>
        <w:t>.s</w:t>
      </w:r>
      <w:r w:rsidR="006F682E" w:rsidRPr="00165ED2">
        <w:rPr>
          <w:rFonts w:ascii="Times New Roman" w:eastAsia="Calibri" w:hAnsi="Times New Roman" w:cs="Times New Roman"/>
          <w:sz w:val="24"/>
          <w:szCs w:val="24"/>
          <w:vertAlign w:val="superscript"/>
        </w:rPr>
        <w:t>-1</w:t>
      </w:r>
      <w:r w:rsidR="00495507" w:rsidRPr="00165ED2">
        <w:rPr>
          <w:rFonts w:ascii="Times New Roman" w:eastAsia="Calibri" w:hAnsi="Times New Roman" w:cs="Times New Roman"/>
          <w:sz w:val="24"/>
          <w:szCs w:val="24"/>
        </w:rPr>
        <w:t xml:space="preserve">) </w:t>
      </w:r>
      <w:r w:rsidR="006F682E" w:rsidRPr="00165ED2">
        <w:rPr>
          <w:rFonts w:ascii="Times New Roman" w:eastAsia="Calibri" w:hAnsi="Times New Roman" w:cs="Times New Roman"/>
          <w:sz w:val="24"/>
          <w:szCs w:val="24"/>
        </w:rPr>
        <w:t xml:space="preserve">significantly different to the healthy populations. </w:t>
      </w:r>
      <w:r w:rsidR="00EC02DD" w:rsidRPr="00165ED2">
        <w:rPr>
          <w:rFonts w:ascii="Times New Roman" w:eastAsia="Calibri" w:hAnsi="Times New Roman" w:cs="Times New Roman"/>
          <w:sz w:val="24"/>
          <w:szCs w:val="24"/>
        </w:rPr>
        <w:t xml:space="preserve">Exclusion of </w:t>
      </w:r>
      <w:r w:rsidR="00ED0892" w:rsidRPr="00165ED2">
        <w:rPr>
          <w:rFonts w:ascii="Times New Roman" w:eastAsia="Calibri" w:hAnsi="Times New Roman" w:cs="Times New Roman"/>
          <w:sz w:val="24"/>
          <w:szCs w:val="24"/>
        </w:rPr>
        <w:t xml:space="preserve">diseased and </w:t>
      </w:r>
      <w:proofErr w:type="spellStart"/>
      <w:r w:rsidR="00EC02DD" w:rsidRPr="00165ED2">
        <w:rPr>
          <w:rFonts w:ascii="Times New Roman" w:eastAsia="Calibri" w:hAnsi="Times New Roman" w:cs="Times New Roman"/>
          <w:sz w:val="24"/>
          <w:szCs w:val="24"/>
        </w:rPr>
        <w:t>hyperoxic</w:t>
      </w:r>
      <w:proofErr w:type="spellEnd"/>
      <w:r w:rsidR="00EC02DD" w:rsidRPr="00165ED2">
        <w:rPr>
          <w:rFonts w:ascii="Times New Roman" w:eastAsia="Calibri" w:hAnsi="Times New Roman" w:cs="Times New Roman"/>
          <w:sz w:val="24"/>
          <w:szCs w:val="24"/>
        </w:rPr>
        <w:t xml:space="preserve"> data </w:t>
      </w:r>
      <w:r w:rsidR="00ED0892" w:rsidRPr="00165ED2">
        <w:rPr>
          <w:rFonts w:ascii="Times New Roman" w:eastAsia="Calibri" w:hAnsi="Times New Roman" w:cs="Times New Roman"/>
          <w:sz w:val="24"/>
          <w:szCs w:val="24"/>
        </w:rPr>
        <w:t>blunts</w:t>
      </w:r>
      <w:r w:rsidR="00EC02DD" w:rsidRPr="00165ED2">
        <w:rPr>
          <w:rFonts w:ascii="Times New Roman" w:eastAsia="Calibri" w:hAnsi="Times New Roman" w:cs="Times New Roman"/>
          <w:sz w:val="24"/>
          <w:szCs w:val="24"/>
        </w:rPr>
        <w:t xml:space="preserve"> the strength of </w:t>
      </w:r>
      <w:r w:rsidR="00ED0892" w:rsidRPr="00165ED2">
        <w:rPr>
          <w:rFonts w:ascii="Times New Roman" w:eastAsia="Calibri" w:hAnsi="Times New Roman" w:cs="Times New Roman"/>
          <w:sz w:val="24"/>
          <w:szCs w:val="24"/>
        </w:rPr>
        <w:t xml:space="preserve">the relationship between CP and </w:t>
      </w:r>
      <w:r w:rsidR="00ED0892" w:rsidRPr="00165ED2">
        <w:rPr>
          <w:rFonts w:ascii="Times New Roman" w:hAnsi="Times New Roman" w:cs="Times New Roman"/>
          <w:sz w:val="24"/>
        </w:rPr>
        <w:t>τ</w:t>
      </w:r>
      <w:r w:rsidR="00ED0892" w:rsidRPr="00165ED2">
        <w:rPr>
          <w:rFonts w:ascii="Times New Roman" w:hAnsi="Times New Roman" w:cs="Times New Roman"/>
          <w:sz w:val="24"/>
          <w:vertAlign w:val="subscript"/>
        </w:rPr>
        <w:t>V̇O2</w:t>
      </w:r>
      <w:r w:rsidR="00EC02DD" w:rsidRPr="00165ED2">
        <w:rPr>
          <w:rFonts w:ascii="Times New Roman" w:eastAsia="Calibri" w:hAnsi="Times New Roman" w:cs="Times New Roman"/>
          <w:sz w:val="24"/>
          <w:szCs w:val="24"/>
        </w:rPr>
        <w:t xml:space="preserve"> </w:t>
      </w:r>
      <w:r w:rsidR="0012169A" w:rsidRPr="00165ED2">
        <w:rPr>
          <w:rFonts w:ascii="Times New Roman" w:eastAsia="Calibri" w:hAnsi="Times New Roman" w:cs="Times New Roman"/>
          <w:sz w:val="24"/>
          <w:szCs w:val="24"/>
        </w:rPr>
        <w:t>(</w:t>
      </w:r>
      <w:r w:rsidR="00EC02DD" w:rsidRPr="00165ED2">
        <w:rPr>
          <w:rFonts w:ascii="Times New Roman" w:eastAsia="Calibri" w:hAnsi="Times New Roman" w:cs="Times New Roman"/>
          <w:i/>
          <w:sz w:val="24"/>
          <w:szCs w:val="24"/>
        </w:rPr>
        <w:t>R</w:t>
      </w:r>
      <w:r w:rsidR="0012169A" w:rsidRPr="00165ED2">
        <w:rPr>
          <w:rFonts w:ascii="Times New Roman" w:eastAsia="Calibri" w:hAnsi="Times New Roman" w:cs="Times New Roman"/>
          <w:sz w:val="24"/>
          <w:szCs w:val="24"/>
          <w:vertAlign w:val="superscript"/>
        </w:rPr>
        <w:t>2</w:t>
      </w:r>
      <w:r w:rsidR="0012169A" w:rsidRPr="00165ED2">
        <w:rPr>
          <w:rFonts w:ascii="Times New Roman" w:eastAsia="Calibri" w:hAnsi="Times New Roman" w:cs="Times New Roman"/>
          <w:sz w:val="24"/>
          <w:szCs w:val="24"/>
        </w:rPr>
        <w:t xml:space="preserve"> = </w:t>
      </w:r>
      <w:r w:rsidR="00EC02DD" w:rsidRPr="00165ED2">
        <w:rPr>
          <w:rFonts w:ascii="Times New Roman" w:eastAsia="Calibri" w:hAnsi="Times New Roman" w:cs="Times New Roman"/>
          <w:sz w:val="24"/>
          <w:szCs w:val="24"/>
        </w:rPr>
        <w:t>0.</w:t>
      </w:r>
      <w:r w:rsidR="00ED0892" w:rsidRPr="00165ED2">
        <w:rPr>
          <w:rFonts w:ascii="Times New Roman" w:eastAsia="Calibri" w:hAnsi="Times New Roman" w:cs="Times New Roman"/>
          <w:sz w:val="24"/>
          <w:szCs w:val="24"/>
        </w:rPr>
        <w:t>43</w:t>
      </w:r>
      <w:r w:rsidR="0012169A" w:rsidRPr="00165ED2">
        <w:rPr>
          <w:rFonts w:ascii="Times New Roman" w:eastAsia="Calibri" w:hAnsi="Times New Roman" w:cs="Times New Roman"/>
          <w:sz w:val="24"/>
          <w:szCs w:val="24"/>
        </w:rPr>
        <w:t xml:space="preserve"> (</w:t>
      </w:r>
      <w:r w:rsidR="00EC02DD" w:rsidRPr="00165ED2">
        <w:rPr>
          <w:rFonts w:ascii="Times New Roman" w:eastAsia="Calibri" w:hAnsi="Times New Roman" w:cs="Times New Roman"/>
          <w:sz w:val="24"/>
          <w:szCs w:val="24"/>
        </w:rPr>
        <w:t>F</w:t>
      </w:r>
      <w:r w:rsidR="0012169A" w:rsidRPr="00165ED2">
        <w:rPr>
          <w:rFonts w:ascii="Times New Roman" w:eastAsia="Calibri" w:hAnsi="Times New Roman" w:cs="Times New Roman"/>
          <w:sz w:val="24"/>
          <w:szCs w:val="24"/>
        </w:rPr>
        <w:t xml:space="preserve">igure </w:t>
      </w:r>
      <w:r w:rsidR="00EC02DD" w:rsidRPr="00165ED2">
        <w:rPr>
          <w:rFonts w:ascii="Times New Roman" w:eastAsia="Calibri" w:hAnsi="Times New Roman" w:cs="Times New Roman"/>
          <w:sz w:val="24"/>
          <w:szCs w:val="24"/>
        </w:rPr>
        <w:t>3B</w:t>
      </w:r>
      <w:r w:rsidR="0012169A" w:rsidRPr="00165ED2">
        <w:rPr>
          <w:rFonts w:ascii="Times New Roman" w:eastAsia="Calibri" w:hAnsi="Times New Roman" w:cs="Times New Roman"/>
          <w:sz w:val="24"/>
          <w:szCs w:val="24"/>
        </w:rPr>
        <w:t>)</w:t>
      </w:r>
      <w:r w:rsidR="00ED0892" w:rsidRPr="00165ED2">
        <w:rPr>
          <w:rFonts w:ascii="Times New Roman" w:eastAsia="Calibri" w:hAnsi="Times New Roman" w:cs="Times New Roman"/>
          <w:sz w:val="24"/>
          <w:szCs w:val="24"/>
        </w:rPr>
        <w:t>.</w:t>
      </w:r>
      <w:r w:rsidR="0012169A" w:rsidRPr="00165ED2">
        <w:rPr>
          <w:rFonts w:ascii="Times New Roman" w:eastAsia="Calibri" w:hAnsi="Times New Roman" w:cs="Times New Roman"/>
          <w:sz w:val="24"/>
          <w:szCs w:val="24"/>
        </w:rPr>
        <w:t xml:space="preserve"> </w:t>
      </w:r>
      <w:r w:rsidR="00ED0892" w:rsidRPr="00165ED2">
        <w:rPr>
          <w:rFonts w:ascii="Times New Roman" w:eastAsia="Calibri" w:hAnsi="Times New Roman" w:cs="Times New Roman"/>
          <w:sz w:val="24"/>
          <w:szCs w:val="24"/>
        </w:rPr>
        <w:t>H</w:t>
      </w:r>
      <w:r w:rsidR="00EC02DD" w:rsidRPr="00165ED2">
        <w:rPr>
          <w:rFonts w:ascii="Times New Roman" w:eastAsia="Calibri" w:hAnsi="Times New Roman" w:cs="Times New Roman"/>
          <w:sz w:val="24"/>
          <w:szCs w:val="24"/>
        </w:rPr>
        <w:t xml:space="preserve">owever, the strength of this relationship increases markedly </w:t>
      </w:r>
      <w:r w:rsidR="0012169A" w:rsidRPr="00165ED2">
        <w:rPr>
          <w:rFonts w:ascii="Times New Roman" w:eastAsia="Calibri" w:hAnsi="Times New Roman" w:cs="Times New Roman"/>
          <w:sz w:val="24"/>
          <w:szCs w:val="24"/>
        </w:rPr>
        <w:t xml:space="preserve">when only </w:t>
      </w:r>
      <w:r w:rsidR="00EC02DD" w:rsidRPr="00165ED2">
        <w:rPr>
          <w:rFonts w:ascii="Times New Roman" w:eastAsia="Calibri" w:hAnsi="Times New Roman" w:cs="Times New Roman"/>
          <w:sz w:val="24"/>
          <w:szCs w:val="24"/>
        </w:rPr>
        <w:t>moderate intensity exercise</w:t>
      </w:r>
      <w:r w:rsidR="00961084" w:rsidRPr="00165ED2">
        <w:rPr>
          <w:rFonts w:ascii="Times New Roman" w:eastAsia="Calibri" w:hAnsi="Times New Roman" w:cs="Times New Roman"/>
          <w:sz w:val="24"/>
          <w:szCs w:val="24"/>
        </w:rPr>
        <w:t xml:space="preserve"> in healthy participants</w:t>
      </w:r>
      <w:r w:rsidR="00EC02DD" w:rsidRPr="00165ED2">
        <w:rPr>
          <w:rFonts w:ascii="Times New Roman" w:eastAsia="Calibri" w:hAnsi="Times New Roman" w:cs="Times New Roman"/>
          <w:sz w:val="24"/>
          <w:szCs w:val="24"/>
        </w:rPr>
        <w:t xml:space="preserve"> is</w:t>
      </w:r>
      <w:r w:rsidR="0003606D" w:rsidRPr="00165ED2">
        <w:rPr>
          <w:rFonts w:ascii="Times New Roman" w:eastAsia="Calibri" w:hAnsi="Times New Roman" w:cs="Times New Roman"/>
          <w:sz w:val="24"/>
          <w:szCs w:val="24"/>
        </w:rPr>
        <w:t xml:space="preserve"> considered (</w:t>
      </w:r>
      <w:r w:rsidR="00EC02DD" w:rsidRPr="00165ED2">
        <w:rPr>
          <w:rFonts w:ascii="Times New Roman" w:eastAsia="Calibri" w:hAnsi="Times New Roman" w:cs="Times New Roman"/>
          <w:i/>
          <w:sz w:val="24"/>
          <w:szCs w:val="24"/>
        </w:rPr>
        <w:t>R</w:t>
      </w:r>
      <w:r w:rsidR="0003606D" w:rsidRPr="00165ED2">
        <w:rPr>
          <w:rFonts w:ascii="Times New Roman" w:eastAsia="Calibri" w:hAnsi="Times New Roman" w:cs="Times New Roman"/>
          <w:sz w:val="24"/>
          <w:szCs w:val="24"/>
          <w:vertAlign w:val="superscript"/>
        </w:rPr>
        <w:t>2</w:t>
      </w:r>
      <w:r w:rsidR="0003606D" w:rsidRPr="00165ED2">
        <w:rPr>
          <w:rFonts w:ascii="Times New Roman" w:eastAsia="Calibri" w:hAnsi="Times New Roman" w:cs="Times New Roman"/>
          <w:sz w:val="24"/>
          <w:szCs w:val="24"/>
        </w:rPr>
        <w:t xml:space="preserve"> = </w:t>
      </w:r>
      <w:r w:rsidR="00EC02DD" w:rsidRPr="00165ED2">
        <w:rPr>
          <w:rFonts w:ascii="Times New Roman" w:eastAsia="Calibri" w:hAnsi="Times New Roman" w:cs="Times New Roman"/>
          <w:sz w:val="24"/>
          <w:szCs w:val="24"/>
        </w:rPr>
        <w:t>0.</w:t>
      </w:r>
      <w:r w:rsidR="00372705" w:rsidRPr="00165ED2">
        <w:rPr>
          <w:rFonts w:ascii="Times New Roman" w:eastAsia="Calibri" w:hAnsi="Times New Roman" w:cs="Times New Roman"/>
          <w:sz w:val="24"/>
          <w:szCs w:val="24"/>
        </w:rPr>
        <w:t>7</w:t>
      </w:r>
      <w:r w:rsidR="00EC02DD" w:rsidRPr="00165ED2">
        <w:rPr>
          <w:rFonts w:ascii="Times New Roman" w:eastAsia="Calibri" w:hAnsi="Times New Roman" w:cs="Times New Roman"/>
          <w:sz w:val="24"/>
          <w:szCs w:val="24"/>
        </w:rPr>
        <w:t>9</w:t>
      </w:r>
      <w:r w:rsidR="0003606D" w:rsidRPr="00165ED2">
        <w:rPr>
          <w:rFonts w:ascii="Times New Roman" w:eastAsia="Calibri" w:hAnsi="Times New Roman" w:cs="Times New Roman"/>
          <w:sz w:val="24"/>
          <w:szCs w:val="24"/>
        </w:rPr>
        <w:t xml:space="preserve">; </w:t>
      </w:r>
      <w:r w:rsidR="00EC02DD" w:rsidRPr="00165ED2">
        <w:rPr>
          <w:rFonts w:ascii="Times New Roman" w:eastAsia="Calibri" w:hAnsi="Times New Roman" w:cs="Times New Roman"/>
          <w:sz w:val="24"/>
          <w:szCs w:val="24"/>
        </w:rPr>
        <w:t>F</w:t>
      </w:r>
      <w:r w:rsidR="0003606D" w:rsidRPr="00165ED2">
        <w:rPr>
          <w:rFonts w:ascii="Times New Roman" w:eastAsia="Calibri" w:hAnsi="Times New Roman" w:cs="Times New Roman"/>
          <w:sz w:val="24"/>
          <w:szCs w:val="24"/>
        </w:rPr>
        <w:t xml:space="preserve">igure </w:t>
      </w:r>
      <w:r w:rsidR="00EC02DD" w:rsidRPr="00165ED2">
        <w:rPr>
          <w:rFonts w:ascii="Times New Roman" w:eastAsia="Calibri" w:hAnsi="Times New Roman" w:cs="Times New Roman"/>
          <w:sz w:val="24"/>
          <w:szCs w:val="24"/>
        </w:rPr>
        <w:t>3C</w:t>
      </w:r>
      <w:r w:rsidR="0003606D" w:rsidRPr="00165ED2">
        <w:rPr>
          <w:rFonts w:ascii="Times New Roman" w:eastAsia="Calibri" w:hAnsi="Times New Roman" w:cs="Times New Roman"/>
          <w:sz w:val="24"/>
          <w:szCs w:val="24"/>
        </w:rPr>
        <w:t>).</w:t>
      </w:r>
      <w:r w:rsidR="006E7888" w:rsidRPr="00165ED2">
        <w:rPr>
          <w:rFonts w:ascii="Times New Roman" w:eastAsia="Calibri" w:hAnsi="Times New Roman" w:cs="Times New Roman"/>
          <w:sz w:val="24"/>
          <w:szCs w:val="24"/>
        </w:rPr>
        <w:t xml:space="preserve"> The slope of the relationship between </w:t>
      </w:r>
      <w:r w:rsidR="006E7888" w:rsidRPr="00165ED2">
        <w:rPr>
          <w:rFonts w:ascii="Times New Roman" w:hAnsi="Times New Roman" w:cs="Times New Roman"/>
          <w:sz w:val="24"/>
        </w:rPr>
        <w:t>τ</w:t>
      </w:r>
      <w:r w:rsidR="006E7888" w:rsidRPr="00165ED2">
        <w:rPr>
          <w:rFonts w:ascii="Times New Roman" w:hAnsi="Times New Roman" w:cs="Times New Roman"/>
          <w:sz w:val="24"/>
          <w:vertAlign w:val="subscript"/>
        </w:rPr>
        <w:t xml:space="preserve">V̇O2 </w:t>
      </w:r>
      <w:r w:rsidR="006E7888" w:rsidRPr="00165ED2">
        <w:rPr>
          <w:rFonts w:ascii="Times New Roman" w:hAnsi="Times New Roman" w:cs="Times New Roman"/>
          <w:sz w:val="24"/>
        </w:rPr>
        <w:t>and CP</w:t>
      </w:r>
      <w:r w:rsidR="0003606D" w:rsidRPr="00165ED2">
        <w:rPr>
          <w:rFonts w:ascii="Times New Roman" w:eastAsia="Calibri" w:hAnsi="Times New Roman" w:cs="Times New Roman"/>
          <w:sz w:val="24"/>
          <w:szCs w:val="24"/>
        </w:rPr>
        <w:t xml:space="preserve"> </w:t>
      </w:r>
      <w:r w:rsidR="006E7888" w:rsidRPr="00165ED2">
        <w:rPr>
          <w:rFonts w:ascii="Times New Roman" w:eastAsia="Calibri" w:hAnsi="Times New Roman" w:cs="Times New Roman"/>
          <w:sz w:val="24"/>
          <w:szCs w:val="24"/>
        </w:rPr>
        <w:t xml:space="preserve">was preserved across this </w:t>
      </w:r>
      <w:r w:rsidR="009E4947" w:rsidRPr="00165ED2">
        <w:rPr>
          <w:rFonts w:ascii="Times New Roman" w:eastAsia="Calibri" w:hAnsi="Times New Roman" w:cs="Times New Roman"/>
          <w:sz w:val="24"/>
          <w:szCs w:val="24"/>
        </w:rPr>
        <w:t xml:space="preserve">latter </w:t>
      </w:r>
      <w:r w:rsidR="006E7888" w:rsidRPr="00165ED2">
        <w:rPr>
          <w:rFonts w:ascii="Times New Roman" w:eastAsia="Calibri" w:hAnsi="Times New Roman" w:cs="Times New Roman"/>
          <w:sz w:val="24"/>
          <w:szCs w:val="24"/>
        </w:rPr>
        <w:t>analysi</w:t>
      </w:r>
      <w:r w:rsidR="00EC02DD" w:rsidRPr="00165ED2">
        <w:rPr>
          <w:rFonts w:ascii="Times New Roman" w:eastAsia="Calibri" w:hAnsi="Times New Roman" w:cs="Times New Roman"/>
          <w:sz w:val="24"/>
          <w:szCs w:val="24"/>
        </w:rPr>
        <w:t>s</w:t>
      </w:r>
      <w:r w:rsidR="006E7888" w:rsidRPr="00165ED2">
        <w:rPr>
          <w:rFonts w:ascii="Times New Roman" w:eastAsia="Calibri" w:hAnsi="Times New Roman" w:cs="Times New Roman"/>
          <w:sz w:val="24"/>
          <w:szCs w:val="24"/>
        </w:rPr>
        <w:t xml:space="preserve">, and </w:t>
      </w:r>
      <w:r w:rsidR="009E4947" w:rsidRPr="00165ED2">
        <w:rPr>
          <w:rFonts w:ascii="Times New Roman" w:eastAsia="Calibri" w:hAnsi="Times New Roman" w:cs="Times New Roman"/>
          <w:sz w:val="24"/>
          <w:szCs w:val="24"/>
        </w:rPr>
        <w:t>t</w:t>
      </w:r>
      <w:r w:rsidR="006E7888" w:rsidRPr="00165ED2">
        <w:rPr>
          <w:rFonts w:ascii="Times New Roman" w:eastAsia="Calibri" w:hAnsi="Times New Roman" w:cs="Times New Roman"/>
          <w:sz w:val="24"/>
          <w:szCs w:val="24"/>
        </w:rPr>
        <w:t xml:space="preserve">aken together, CP appears to be well predicted from </w:t>
      </w:r>
      <w:r w:rsidR="006E7888" w:rsidRPr="00165ED2">
        <w:rPr>
          <w:rFonts w:ascii="Times New Roman" w:hAnsi="Times New Roman" w:cs="Times New Roman"/>
          <w:sz w:val="24"/>
        </w:rPr>
        <w:t>τ</w:t>
      </w:r>
      <w:r w:rsidR="006E7888" w:rsidRPr="00165ED2">
        <w:rPr>
          <w:rFonts w:ascii="Times New Roman" w:hAnsi="Times New Roman" w:cs="Times New Roman"/>
          <w:sz w:val="24"/>
          <w:vertAlign w:val="subscript"/>
        </w:rPr>
        <w:t xml:space="preserve">V̇O2 </w:t>
      </w:r>
      <w:r w:rsidR="006E7888" w:rsidRPr="00165ED2">
        <w:rPr>
          <w:rFonts w:ascii="Times New Roman" w:hAnsi="Times New Roman" w:cs="Times New Roman"/>
          <w:sz w:val="24"/>
        </w:rPr>
        <w:t xml:space="preserve">when the latter is precisely determined for a given relative exercise intensity, varying by </w:t>
      </w:r>
      <w:r w:rsidR="009E4947" w:rsidRPr="00165ED2">
        <w:rPr>
          <w:rFonts w:ascii="Times New Roman" w:hAnsi="Times New Roman" w:cs="Times New Roman"/>
          <w:sz w:val="24"/>
        </w:rPr>
        <w:t>~</w:t>
      </w:r>
      <w:r w:rsidR="00EC02DD" w:rsidRPr="00165ED2">
        <w:rPr>
          <w:rFonts w:ascii="Times New Roman" w:hAnsi="Times New Roman" w:cs="Times New Roman"/>
          <w:sz w:val="24"/>
        </w:rPr>
        <w:t>0.</w:t>
      </w:r>
      <w:r w:rsidR="009E4947" w:rsidRPr="00165ED2">
        <w:rPr>
          <w:rFonts w:ascii="Times New Roman" w:hAnsi="Times New Roman" w:cs="Times New Roman"/>
          <w:sz w:val="24"/>
        </w:rPr>
        <w:t>0</w:t>
      </w:r>
      <w:r w:rsidR="00EC02DD" w:rsidRPr="00165ED2">
        <w:rPr>
          <w:rFonts w:ascii="Times New Roman" w:hAnsi="Times New Roman" w:cs="Times New Roman"/>
          <w:sz w:val="24"/>
        </w:rPr>
        <w:t xml:space="preserve">3 </w:t>
      </w:r>
      <w:r w:rsidR="00D05E98" w:rsidRPr="00165ED2">
        <w:rPr>
          <w:rFonts w:ascii="Times New Roman" w:hAnsi="Times New Roman" w:cs="Times New Roman"/>
          <w:sz w:val="24"/>
        </w:rPr>
        <w:t>W.kg</w:t>
      </w:r>
      <w:r w:rsidR="00D05E98" w:rsidRPr="00165ED2">
        <w:rPr>
          <w:rFonts w:ascii="Times New Roman" w:hAnsi="Times New Roman" w:cs="Times New Roman"/>
          <w:sz w:val="24"/>
          <w:vertAlign w:val="superscript"/>
        </w:rPr>
        <w:t xml:space="preserve">-1 </w:t>
      </w:r>
      <w:r w:rsidR="009E4947" w:rsidRPr="00165ED2">
        <w:rPr>
          <w:rFonts w:ascii="Times New Roman" w:hAnsi="Times New Roman" w:cs="Times New Roman"/>
          <w:sz w:val="24"/>
        </w:rPr>
        <w:t>per</w:t>
      </w:r>
      <w:r w:rsidR="006E7888" w:rsidRPr="00165ED2">
        <w:rPr>
          <w:rFonts w:ascii="Times New Roman" w:hAnsi="Times New Roman" w:cs="Times New Roman"/>
          <w:sz w:val="24"/>
        </w:rPr>
        <w:t xml:space="preserve"> second change in τ</w:t>
      </w:r>
      <w:r w:rsidR="006E7888" w:rsidRPr="00165ED2">
        <w:rPr>
          <w:rFonts w:ascii="Times New Roman" w:hAnsi="Times New Roman" w:cs="Times New Roman"/>
          <w:sz w:val="24"/>
          <w:vertAlign w:val="subscript"/>
        </w:rPr>
        <w:t>V̇O2</w:t>
      </w:r>
      <w:r w:rsidR="006E7888" w:rsidRPr="00165ED2">
        <w:rPr>
          <w:rFonts w:ascii="Times New Roman" w:hAnsi="Times New Roman" w:cs="Times New Roman"/>
          <w:sz w:val="24"/>
        </w:rPr>
        <w:t>.</w:t>
      </w:r>
      <w:r w:rsidR="007E2DCF" w:rsidRPr="00165ED2">
        <w:rPr>
          <w:rFonts w:ascii="Times New Roman" w:hAnsi="Times New Roman" w:cs="Times New Roman"/>
          <w:sz w:val="24"/>
        </w:rPr>
        <w:t xml:space="preserve"> </w:t>
      </w:r>
      <w:r w:rsidR="009E4947" w:rsidRPr="00165ED2">
        <w:rPr>
          <w:rFonts w:ascii="Times New Roman" w:hAnsi="Times New Roman" w:cs="Times New Roman"/>
          <w:sz w:val="24"/>
        </w:rPr>
        <w:t xml:space="preserve">However, and perhaps </w:t>
      </w:r>
      <w:r w:rsidR="00217DA4" w:rsidRPr="00165ED2">
        <w:rPr>
          <w:rFonts w:ascii="Times New Roman" w:hAnsi="Times New Roman" w:cs="Times New Roman"/>
          <w:sz w:val="24"/>
        </w:rPr>
        <w:t>exemplified</w:t>
      </w:r>
      <w:r w:rsidR="009E4947" w:rsidRPr="00165ED2">
        <w:rPr>
          <w:rFonts w:ascii="Times New Roman" w:hAnsi="Times New Roman" w:cs="Times New Roman"/>
          <w:sz w:val="24"/>
        </w:rPr>
        <w:t xml:space="preserve"> by the data from </w:t>
      </w:r>
      <w:r w:rsidR="00217DA4" w:rsidRPr="00165ED2">
        <w:rPr>
          <w:rFonts w:ascii="Times New Roman" w:hAnsi="Times New Roman" w:cs="Times New Roman"/>
          <w:sz w:val="24"/>
        </w:rPr>
        <w:t xml:space="preserve">type 1 diabetes </w:t>
      </w:r>
      <w:r w:rsidR="006D5E04"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{"citationID":"13mNhibY","properties":{"formattedCitation":"[131]","plainCitation":"[131]","noteIndex":0},"citationItems":[{"id":78,"uris":["http://zotero.org/users/5056530/items/Q9M2NM2G"],"itemData":{"id":78,"type":"article-journal","abstract":"We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6D5E04" w:rsidRPr="00165ED2">
        <w:rPr>
          <w:rFonts w:ascii="Times New Roman" w:hAnsi="Times New Roman" w:cs="Times New Roman"/>
          <w:sz w:val="24"/>
        </w:rPr>
        <w:fldChar w:fldCharType="separate"/>
      </w:r>
      <w:r w:rsidR="00624DC9" w:rsidRPr="00165ED2">
        <w:rPr>
          <w:rFonts w:ascii="Times New Roman" w:hAnsi="Times New Roman" w:cs="Times New Roman"/>
          <w:sz w:val="24"/>
        </w:rPr>
        <w:t>[131]</w:t>
      </w:r>
      <w:r w:rsidR="006D5E04" w:rsidRPr="00165ED2">
        <w:rPr>
          <w:rFonts w:ascii="Times New Roman" w:hAnsi="Times New Roman" w:cs="Times New Roman"/>
          <w:sz w:val="24"/>
        </w:rPr>
        <w:fldChar w:fldCharType="end"/>
      </w:r>
      <w:r w:rsidR="006D5E04" w:rsidRPr="00165ED2">
        <w:rPr>
          <w:rFonts w:ascii="Times New Roman" w:hAnsi="Times New Roman" w:cs="Times New Roman"/>
          <w:sz w:val="24"/>
        </w:rPr>
        <w:t xml:space="preserve"> </w:t>
      </w:r>
      <w:r w:rsidR="00217DA4" w:rsidRPr="00165ED2">
        <w:rPr>
          <w:rFonts w:ascii="Times New Roman" w:hAnsi="Times New Roman" w:cs="Times New Roman"/>
          <w:sz w:val="24"/>
        </w:rPr>
        <w:t xml:space="preserve">and hyperoxia </w:t>
      </w:r>
      <w:r w:rsidR="006D5E04"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{"citationID":"Z3xgC9GI","properties":{"formattedCitation":"[65]","plainCitation":"[65]","noteIndex":0},"citationItems":[{"id":1054,"uris":["http://zotero.org/users/5056530/items/AWRUGRC8"],"itemData":{"id":1054,"type":"article-journal","abstract":"Critical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6D5E04" w:rsidRPr="00165ED2">
        <w:rPr>
          <w:rFonts w:ascii="Times New Roman" w:hAnsi="Times New Roman" w:cs="Times New Roman"/>
          <w:sz w:val="24"/>
        </w:rPr>
        <w:fldChar w:fldCharType="separate"/>
      </w:r>
      <w:r w:rsidR="00624DC9" w:rsidRPr="00165ED2">
        <w:rPr>
          <w:rFonts w:ascii="Times New Roman" w:hAnsi="Times New Roman" w:cs="Times New Roman"/>
          <w:sz w:val="24"/>
        </w:rPr>
        <w:t>[65]</w:t>
      </w:r>
      <w:r w:rsidR="006D5E04" w:rsidRPr="00165ED2">
        <w:rPr>
          <w:rFonts w:ascii="Times New Roman" w:hAnsi="Times New Roman" w:cs="Times New Roman"/>
          <w:sz w:val="24"/>
        </w:rPr>
        <w:fldChar w:fldCharType="end"/>
      </w:r>
      <w:r w:rsidR="00217DA4" w:rsidRPr="00165ED2">
        <w:rPr>
          <w:rFonts w:ascii="Times New Roman" w:hAnsi="Times New Roman" w:cs="Times New Roman"/>
          <w:sz w:val="24"/>
        </w:rPr>
        <w:t xml:space="preserve">, </w:t>
      </w:r>
      <w:r w:rsidR="009E4947" w:rsidRPr="00165ED2">
        <w:rPr>
          <w:rFonts w:ascii="Times New Roman" w:hAnsi="Times New Roman" w:cs="Times New Roman"/>
          <w:sz w:val="24"/>
        </w:rPr>
        <w:t>when this relationship is expanded</w:t>
      </w:r>
      <w:r w:rsidR="00217DA4" w:rsidRPr="00165ED2">
        <w:rPr>
          <w:rFonts w:ascii="Times New Roman" w:hAnsi="Times New Roman" w:cs="Times New Roman"/>
          <w:sz w:val="24"/>
        </w:rPr>
        <w:t xml:space="preserve"> to cover the range of values for τ</w:t>
      </w:r>
      <w:r w:rsidR="00217DA4" w:rsidRPr="00165ED2">
        <w:rPr>
          <w:rFonts w:ascii="Times New Roman" w:hAnsi="Times New Roman" w:cs="Times New Roman"/>
          <w:sz w:val="24"/>
          <w:vertAlign w:val="subscript"/>
        </w:rPr>
        <w:t>V̇O2</w:t>
      </w:r>
      <w:r w:rsidR="009E4947" w:rsidRPr="00165ED2">
        <w:rPr>
          <w:rFonts w:ascii="Times New Roman" w:hAnsi="Times New Roman" w:cs="Times New Roman"/>
          <w:sz w:val="24"/>
        </w:rPr>
        <w:t xml:space="preserve"> </w:t>
      </w:r>
      <w:r w:rsidR="00217DA4" w:rsidRPr="00165ED2">
        <w:rPr>
          <w:rFonts w:ascii="Times New Roman" w:hAnsi="Times New Roman" w:cs="Times New Roman"/>
          <w:sz w:val="24"/>
        </w:rPr>
        <w:t xml:space="preserve">encountered </w:t>
      </w:r>
      <w:r w:rsidR="00165770" w:rsidRPr="00165ED2">
        <w:rPr>
          <w:rFonts w:ascii="Times New Roman" w:hAnsi="Times New Roman" w:cs="Times New Roman"/>
          <w:sz w:val="24"/>
        </w:rPr>
        <w:t xml:space="preserve">across </w:t>
      </w:r>
      <w:r w:rsidR="00217DA4" w:rsidRPr="00165ED2">
        <w:rPr>
          <w:rFonts w:ascii="Times New Roman" w:hAnsi="Times New Roman" w:cs="Times New Roman"/>
          <w:sz w:val="24"/>
        </w:rPr>
        <w:t xml:space="preserve">the animal kingdom (Figure 3D), the relationship with CP appears curvilinear, but nevertheless preserved, suggesting a fundamental linkage of CP with muscular bioenergetics across species. </w:t>
      </w:r>
      <w:r w:rsidR="00BB0555" w:rsidRPr="00165ED2">
        <w:rPr>
          <w:rFonts w:ascii="Times New Roman" w:hAnsi="Times New Roman" w:cs="Times New Roman"/>
          <w:sz w:val="24"/>
        </w:rPr>
        <w:t>Moreover, when the human-only data are considered and the speed of oxygen uptake kinetics expressed as a rate constant (i.e. 1/τ</w:t>
      </w:r>
      <w:r w:rsidR="00BB0555" w:rsidRPr="00165ED2">
        <w:rPr>
          <w:rFonts w:ascii="Times New Roman" w:hAnsi="Times New Roman" w:cs="Times New Roman"/>
          <w:sz w:val="24"/>
          <w:vertAlign w:val="subscript"/>
        </w:rPr>
        <w:t>V̇O2</w:t>
      </w:r>
      <w:r w:rsidR="00BB0555" w:rsidRPr="00165ED2">
        <w:rPr>
          <w:rFonts w:ascii="Times New Roman" w:hAnsi="Times New Roman" w:cs="Times New Roman"/>
          <w:sz w:val="24"/>
        </w:rPr>
        <w:t>), the relationship with CP is linear</w:t>
      </w:r>
      <w:r w:rsidR="00C22359" w:rsidRPr="00165ED2">
        <w:rPr>
          <w:rFonts w:ascii="Times New Roman" w:hAnsi="Times New Roman" w:cs="Times New Roman"/>
          <w:sz w:val="24"/>
        </w:rPr>
        <w:t xml:space="preserve"> (Figure 3E)</w:t>
      </w:r>
      <w:r w:rsidR="00896688" w:rsidRPr="00165ED2">
        <w:rPr>
          <w:rFonts w:ascii="Times New Roman" w:hAnsi="Times New Roman" w:cs="Times New Roman"/>
          <w:sz w:val="24"/>
        </w:rPr>
        <w:t xml:space="preserve">. Accordingly, when the scope of human aerobic fitness is considered, </w:t>
      </w:r>
      <w:r w:rsidR="00896688" w:rsidRPr="00165ED2">
        <w:rPr>
          <w:rFonts w:ascii="Times New Roman" w:hAnsi="Times New Roman" w:cs="Times New Roman"/>
          <w:sz w:val="24"/>
        </w:rPr>
        <w:lastRenderedPageBreak/>
        <w:t>the relationship between CP and τ</w:t>
      </w:r>
      <w:r w:rsidR="00896688" w:rsidRPr="00165ED2">
        <w:rPr>
          <w:rFonts w:ascii="Times New Roman" w:hAnsi="Times New Roman" w:cs="Times New Roman"/>
          <w:sz w:val="24"/>
          <w:vertAlign w:val="subscript"/>
        </w:rPr>
        <w:t xml:space="preserve">V̇O2 </w:t>
      </w:r>
      <w:r w:rsidR="00896688" w:rsidRPr="00165ED2">
        <w:rPr>
          <w:rFonts w:ascii="Times New Roman" w:hAnsi="Times New Roman" w:cs="Times New Roman"/>
          <w:sz w:val="24"/>
        </w:rPr>
        <w:t>can be considered to be hyperbolic</w:t>
      </w:r>
      <w:r w:rsidR="00896688" w:rsidRPr="00165ED2">
        <w:rPr>
          <w:rFonts w:ascii="Times New Roman" w:hAnsi="Times New Roman" w:cs="Times New Roman"/>
          <w:sz w:val="24"/>
          <w:vertAlign w:val="subscript"/>
        </w:rPr>
        <w:t xml:space="preserve">, </w:t>
      </w:r>
      <w:r w:rsidR="00896688" w:rsidRPr="00165ED2">
        <w:rPr>
          <w:rFonts w:ascii="Times New Roman" w:hAnsi="Times New Roman" w:cs="Times New Roman"/>
          <w:sz w:val="24"/>
        </w:rPr>
        <w:t xml:space="preserve">with previously published linear relationships </w:t>
      </w:r>
      <w:r w:rsidR="00BA3C48"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{"citationID":"T2iL6Xr1","properties":{"formattedCitation":"[14,104]","plainCitation":"[14,104]","noteIndex":0},"citationItems":[{"id":208,"uris":["http://zotero.org/users/5056530/items/5SW9UQIW"],"itemData":{"id":208,"type":"article-journal","abstract":"Tolerance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 Fourteen healthy men performed cycle ergometry protocols to the limit of tolerance: 1) an incremental ramp test; 2) a series of constant-P tests to determine V̇o2max, CP, and W′; and 3) repeated constant-P tests (WR6) normalized to a 6 min tlim for τV̇o2 and ΔV̇o2sc estimation. The WR6 tlim averaged 365 ± 16 s, and V̇o2max (4.18 ± 0.49 l/min) was achieved in every case. CP (range: 171–294 W) was inversely correlated with τV̇o2 (18–38 s; R2 = 0.90), and W′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1522-1601","issue":"6","language":"en","license":"Copyright © 2011 the American Physiological Society","note":"PMID: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B."}],"issued":{"date-parts":[["2011",6,1]]}}},{"id":169,"uris":["http://zotero.org/users/5056530/items/V8V82EFQ"],"itemData":{"id":169,"type":"chapter","abstract":"The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Physiology","ISBN":"978-0-470-65071-4","language":"en","license":"Copyright © 2011 American Physiological Society. All rights reserved.","note":"DOI: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BA3C48" w:rsidRPr="00165ED2">
        <w:rPr>
          <w:rFonts w:ascii="Times New Roman" w:hAnsi="Times New Roman" w:cs="Times New Roman"/>
          <w:sz w:val="24"/>
        </w:rPr>
        <w:fldChar w:fldCharType="separate"/>
      </w:r>
      <w:r w:rsidR="00624DC9" w:rsidRPr="00165ED2">
        <w:rPr>
          <w:rFonts w:ascii="Times New Roman" w:hAnsi="Times New Roman" w:cs="Times New Roman"/>
          <w:sz w:val="24"/>
        </w:rPr>
        <w:t>[14,104]</w:t>
      </w:r>
      <w:r w:rsidR="00BA3C48" w:rsidRPr="00165ED2">
        <w:rPr>
          <w:rFonts w:ascii="Times New Roman" w:hAnsi="Times New Roman" w:cs="Times New Roman"/>
          <w:sz w:val="24"/>
        </w:rPr>
        <w:fldChar w:fldCharType="end"/>
      </w:r>
      <w:r w:rsidR="00BA3C48" w:rsidRPr="00165ED2">
        <w:rPr>
          <w:rFonts w:ascii="Times New Roman" w:hAnsi="Times New Roman" w:cs="Times New Roman"/>
          <w:sz w:val="24"/>
        </w:rPr>
        <w:t xml:space="preserve"> </w:t>
      </w:r>
      <w:r w:rsidR="00896688" w:rsidRPr="00165ED2">
        <w:rPr>
          <w:rFonts w:ascii="Times New Roman" w:hAnsi="Times New Roman" w:cs="Times New Roman"/>
          <w:sz w:val="24"/>
        </w:rPr>
        <w:t xml:space="preserve">being an artefact of participant homogeneity. </w:t>
      </w:r>
      <w:r w:rsidR="006B2490" w:rsidRPr="00165ED2">
        <w:rPr>
          <w:rFonts w:ascii="Times New Roman" w:hAnsi="Times New Roman" w:cs="Times New Roman"/>
          <w:sz w:val="24"/>
        </w:rPr>
        <w:t>By contrast, o</w:t>
      </w:r>
      <w:r w:rsidR="007E2DCF" w:rsidRPr="00165ED2">
        <w:rPr>
          <w:rFonts w:ascii="Times New Roman" w:hAnsi="Times New Roman" w:cs="Times New Roman"/>
          <w:sz w:val="24"/>
        </w:rPr>
        <w:t>nly one previous study has titrated the effect</w:t>
      </w:r>
      <w:r w:rsidR="006B2490" w:rsidRPr="00165ED2">
        <w:rPr>
          <w:rFonts w:ascii="Times New Roman" w:hAnsi="Times New Roman" w:cs="Times New Roman"/>
          <w:sz w:val="24"/>
        </w:rPr>
        <w:t xml:space="preserve"> of oxygen delivery on CP </w:t>
      </w:r>
      <w:r w:rsidR="00EC02DD"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{"citationID":"m4G1RZ1f","properties":{"formattedCitation":"[63]","plainCitation":"[63]","noteIndex":0},"citationItems":[{"id":3369,"uris":["http://zotero.org/users/5056530/items/ZHIVULZ7"],"itemData":{"id":3369,"type":"article-journal","abstract":"Purpose: Develop a prediction equation for critical power (CP) and work above CP (W') in hypoxia for use in the work-balance ([Formula: see text]) model. Methods: Nine trained male cyclists completed cycling time trials (TT; 12, 7, and 3 min) to determine CP and W' at five altitudes (250, 1,250, 2,250, 3,250, and 4,250 m). Least squares regression was used to predict CP and W' at altitude. A high-intensity intermittent test (HIIT) was performed at 250 and 2,250 m. Actual and predicted CP and W' were used to compute W' during HIIT using differential ([Formula: see text]) and integral ([Formula: see text]) forms of the [Formula: see text] model. Results: CP decreased at altitude (P &lt; 0.001) as described by 3rd order polynomial function (R2 = 0.99). W' decreased at 4,250 m only (P &lt; 0.001). A double-linear function characterized the effect of altitude on W' (R2 = 0.99). There was no significant effect of parameter input (actual vs. predicted CP and W') on modelled [Formula: see text] at 2,250 m (P = 0.24). [Formula: see text] returned higher values than [Formula: see text] throughout HIIT (P &lt; 0.001). During HIIT, [Formula: see text] was not different to 0 kJ at completion, at 250 m (0.7 ± 2.0 kJ; P = 0.33) and 2,250 m (-1.3 ± 3.5 kJ; P = 0.30). However, [Formula: see text] was lower than 0 kJ at 250 m (-0.9 ± 1.3 kJ; P = 0.058) and 2,250 m (-2.8 ± 2.8 kJ; P = 0.02). Conclusion: The altitude prediction equations for CP and W' developed in this study are suitable for use with the [Formula: see text] model in acute hypoxia. This enables the application of [Formula: see text] modelling to training prescription and competition analysis at altitude.","container-title":"Frontiers in Physiology","DOI":"10.3389/fphys.2017.00180","ISSN":"1664-042X","journalAbbreviation":"Front Physiol","language":"eng","note":"PMID: 28386237\nPMCID: PMC5362642","page":"180","source":"PubMed","title":"Prediction of Critical Power and W' in Hypoxia: Application to Work-Balance Modelling","title-short":"Prediction of Critical Power and W' in Hypoxia","volume":"8","author":[{"family":"Townsend","given":"Nathan E."},{"family":"Nichols","given":"David S."},{"family":"Skiba","given":"Philip F."},{"family":"Racinais","given":"Sebastien"},{"family":"Périard","given":"Julien D."}],"issued":{"date-parts":[["2017"]]}}}],"schema":"https://github.com/citation-style-language/schema/raw/master/csl-citation.json"} </w:instrText>
      </w:r>
      <w:r w:rsidR="00EC02DD" w:rsidRPr="00165ED2">
        <w:rPr>
          <w:rFonts w:ascii="Times New Roman" w:hAnsi="Times New Roman" w:cs="Times New Roman"/>
          <w:sz w:val="24"/>
        </w:rPr>
        <w:fldChar w:fldCharType="separate"/>
      </w:r>
      <w:r w:rsidR="00624DC9" w:rsidRPr="00165ED2">
        <w:rPr>
          <w:rFonts w:ascii="Times New Roman" w:hAnsi="Times New Roman" w:cs="Times New Roman"/>
          <w:sz w:val="24"/>
        </w:rPr>
        <w:t>[63]</w:t>
      </w:r>
      <w:r w:rsidR="00EC02DD" w:rsidRPr="00165ED2">
        <w:rPr>
          <w:rFonts w:ascii="Times New Roman" w:hAnsi="Times New Roman" w:cs="Times New Roman"/>
          <w:sz w:val="24"/>
        </w:rPr>
        <w:fldChar w:fldCharType="end"/>
      </w:r>
      <w:r w:rsidR="006B2490" w:rsidRPr="00165ED2">
        <w:rPr>
          <w:rFonts w:ascii="Times New Roman" w:hAnsi="Times New Roman" w:cs="Times New Roman"/>
          <w:sz w:val="24"/>
        </w:rPr>
        <w:t xml:space="preserve">. Here, </w:t>
      </w:r>
      <w:r w:rsidR="006A2130" w:rsidRPr="00165ED2">
        <w:rPr>
          <w:rFonts w:ascii="Times New Roman" w:hAnsi="Times New Roman" w:cs="Times New Roman"/>
          <w:sz w:val="24"/>
        </w:rPr>
        <w:t>the reduction in CP with increasing altitude</w:t>
      </w:r>
      <w:r w:rsidR="00AC2178" w:rsidRPr="00165ED2">
        <w:rPr>
          <w:rFonts w:ascii="Times New Roman" w:hAnsi="Times New Roman" w:cs="Times New Roman"/>
          <w:sz w:val="24"/>
        </w:rPr>
        <w:t xml:space="preserve"> as a proxy for oxygen delivery was established, simulated by changes to FiO</w:t>
      </w:r>
      <w:r w:rsidR="00AC2178" w:rsidRPr="00165ED2">
        <w:rPr>
          <w:rFonts w:ascii="Times New Roman" w:hAnsi="Times New Roman" w:cs="Times New Roman"/>
          <w:sz w:val="24"/>
          <w:vertAlign w:val="subscript"/>
        </w:rPr>
        <w:t>2</w:t>
      </w:r>
      <w:r w:rsidR="00AC2178" w:rsidRPr="00165ED2">
        <w:rPr>
          <w:rFonts w:ascii="Times New Roman" w:hAnsi="Times New Roman" w:cs="Times New Roman"/>
          <w:sz w:val="24"/>
        </w:rPr>
        <w:t>.</w:t>
      </w:r>
      <w:r w:rsidR="006A2130" w:rsidRPr="00165ED2">
        <w:rPr>
          <w:rFonts w:ascii="Times New Roman" w:hAnsi="Times New Roman" w:cs="Times New Roman"/>
          <w:sz w:val="24"/>
        </w:rPr>
        <w:t xml:space="preserve"> </w:t>
      </w:r>
      <w:r w:rsidR="00AC2178" w:rsidRPr="00165ED2">
        <w:rPr>
          <w:rFonts w:ascii="Times New Roman" w:hAnsi="Times New Roman" w:cs="Times New Roman"/>
          <w:sz w:val="24"/>
        </w:rPr>
        <w:t>A</w:t>
      </w:r>
      <w:r w:rsidR="006A2130" w:rsidRPr="00165ED2">
        <w:rPr>
          <w:rFonts w:ascii="Times New Roman" w:hAnsi="Times New Roman" w:cs="Times New Roman"/>
          <w:sz w:val="24"/>
        </w:rPr>
        <w:t xml:space="preserve"> nonlinear (3</w:t>
      </w:r>
      <w:r w:rsidR="006A2130" w:rsidRPr="00165ED2">
        <w:rPr>
          <w:rFonts w:ascii="Times New Roman" w:hAnsi="Times New Roman" w:cs="Times New Roman"/>
          <w:sz w:val="24"/>
          <w:vertAlign w:val="superscript"/>
        </w:rPr>
        <w:t>rd</w:t>
      </w:r>
      <w:r w:rsidR="006A2130" w:rsidRPr="00165ED2">
        <w:rPr>
          <w:rFonts w:ascii="Times New Roman" w:hAnsi="Times New Roman" w:cs="Times New Roman"/>
          <w:sz w:val="24"/>
        </w:rPr>
        <w:t xml:space="preserve"> order polynomial) relationship was established with increases in altitude </w:t>
      </w:r>
      <w:r w:rsidR="00AC2178" w:rsidRPr="00165ED2">
        <w:rPr>
          <w:rFonts w:ascii="Times New Roman" w:hAnsi="Times New Roman" w:cs="Times New Roman"/>
          <w:sz w:val="24"/>
        </w:rPr>
        <w:t>producing progressively larger reductions in CP</w:t>
      </w:r>
      <w:r w:rsidR="00417A79" w:rsidRPr="00165ED2">
        <w:rPr>
          <w:rFonts w:ascii="Times New Roman" w:hAnsi="Times New Roman" w:cs="Times New Roman"/>
          <w:sz w:val="24"/>
        </w:rPr>
        <w:t xml:space="preserve">. </w:t>
      </w:r>
      <w:bookmarkStart w:id="0" w:name="OLE_LINK2"/>
      <w:r w:rsidR="00417A79" w:rsidRPr="00165ED2">
        <w:rPr>
          <w:rFonts w:ascii="Times New Roman" w:hAnsi="Times New Roman" w:cs="Times New Roman"/>
          <w:sz w:val="24"/>
        </w:rPr>
        <w:t>CP</w:t>
      </w:r>
      <w:r w:rsidR="004F5387" w:rsidRPr="00165ED2">
        <w:rPr>
          <w:rFonts w:ascii="Times New Roman" w:hAnsi="Times New Roman" w:cs="Times New Roman"/>
          <w:sz w:val="24"/>
        </w:rPr>
        <w:t xml:space="preserve"> was reduced by 74W with a 4000m increase in altitude</w:t>
      </w:r>
      <w:r w:rsidR="00417A79" w:rsidRPr="00165ED2">
        <w:rPr>
          <w:rFonts w:ascii="Times New Roman" w:hAnsi="Times New Roman" w:cs="Times New Roman"/>
          <w:sz w:val="24"/>
        </w:rPr>
        <w:t xml:space="preserve">, </w:t>
      </w:r>
      <w:r w:rsidR="00217DA4" w:rsidRPr="00165ED2">
        <w:rPr>
          <w:rFonts w:ascii="Times New Roman" w:hAnsi="Times New Roman" w:cs="Times New Roman"/>
          <w:sz w:val="24"/>
        </w:rPr>
        <w:t>though any such relationship will inevitably be impacted by the effect of reductions in FiO</w:t>
      </w:r>
      <w:r w:rsidR="00217DA4" w:rsidRPr="00165ED2">
        <w:rPr>
          <w:rFonts w:ascii="Times New Roman" w:hAnsi="Times New Roman" w:cs="Times New Roman"/>
          <w:sz w:val="24"/>
          <w:vertAlign w:val="subscript"/>
        </w:rPr>
        <w:t>2</w:t>
      </w:r>
      <w:r w:rsidR="00217DA4" w:rsidRPr="00165ED2">
        <w:rPr>
          <w:rFonts w:ascii="Times New Roman" w:hAnsi="Times New Roman" w:cs="Times New Roman"/>
          <w:sz w:val="24"/>
        </w:rPr>
        <w:t xml:space="preserve"> </w:t>
      </w:r>
      <w:r w:rsidR="00AB688A" w:rsidRPr="00165ED2">
        <w:rPr>
          <w:rFonts w:ascii="Times New Roman" w:hAnsi="Times New Roman" w:cs="Times New Roman"/>
          <w:sz w:val="24"/>
        </w:rPr>
        <w:t>increasing</w:t>
      </w:r>
      <w:r w:rsidR="00BC0C84" w:rsidRPr="00165ED2">
        <w:rPr>
          <w:rFonts w:ascii="Times New Roman" w:hAnsi="Times New Roman" w:cs="Times New Roman"/>
          <w:sz w:val="24"/>
        </w:rPr>
        <w:t xml:space="preserve"> </w:t>
      </w:r>
      <w:r w:rsidR="00217DA4" w:rsidRPr="00165ED2">
        <w:rPr>
          <w:rFonts w:ascii="Times New Roman" w:hAnsi="Times New Roman" w:cs="Times New Roman"/>
          <w:sz w:val="24"/>
        </w:rPr>
        <w:t>τ</w:t>
      </w:r>
      <w:r w:rsidR="00217DA4" w:rsidRPr="00165ED2">
        <w:rPr>
          <w:rFonts w:ascii="Times New Roman" w:hAnsi="Times New Roman" w:cs="Times New Roman"/>
          <w:sz w:val="24"/>
          <w:vertAlign w:val="subscript"/>
        </w:rPr>
        <w:t>V̇O2</w:t>
      </w:r>
      <w:r w:rsidR="00AB688A" w:rsidRPr="00165ED2">
        <w:rPr>
          <w:rFonts w:ascii="Times New Roman" w:hAnsi="Times New Roman" w:cs="Times New Roman"/>
          <w:sz w:val="24"/>
          <w:vertAlign w:val="subscript"/>
        </w:rPr>
        <w:t xml:space="preserve"> </w:t>
      </w:r>
      <w:r w:rsidR="00AB688A" w:rsidRPr="00165ED2">
        <w:rPr>
          <w:rFonts w:ascii="Times New Roman" w:hAnsi="Times New Roman" w:cs="Times New Roman"/>
          <w:sz w:val="24"/>
        </w:rPr>
        <w:t xml:space="preserve">(i.e. slowing </w:t>
      </w:r>
      <m:oMath>
        <m:acc>
          <m:accPr>
            <m:chr m:val="̇"/>
            <m:ctrlPr>
              <w:rPr>
                <w:rFonts w:ascii="Cambria Math" w:eastAsia="Calibri" w:hAnsi="Cambria Math" w:cs="Times New Roman"/>
                <w:sz w:val="24"/>
                <w:szCs w:val="24"/>
                <w:lang w:eastAsia="ja-JP"/>
              </w:rPr>
            </m:ctrlPr>
          </m:accPr>
          <m:e>
            <m:r>
              <w:rPr>
                <w:rFonts w:ascii="Cambria Math" w:eastAsia="Calibri" w:hAnsi="Cambria Math" w:cs="Times New Roman"/>
                <w:sz w:val="24"/>
                <w:szCs w:val="24"/>
              </w:rPr>
              <m:t>V</m:t>
            </m:r>
          </m:e>
        </m:acc>
      </m:oMath>
      <w:r w:rsidR="00AB688A" w:rsidRPr="00165ED2">
        <w:rPr>
          <w:rFonts w:ascii="Times New Roman" w:eastAsia="Calibri" w:hAnsi="Times New Roman" w:cs="Times New Roman"/>
          <w:sz w:val="24"/>
          <w:szCs w:val="24"/>
        </w:rPr>
        <w:t>O</w:t>
      </w:r>
      <w:r w:rsidR="00AB688A" w:rsidRPr="00165ED2">
        <w:rPr>
          <w:rFonts w:ascii="Times New Roman" w:eastAsia="Calibri" w:hAnsi="Times New Roman" w:cs="Times New Roman"/>
          <w:sz w:val="24"/>
          <w:szCs w:val="24"/>
          <w:vertAlign w:val="subscript"/>
        </w:rPr>
        <w:t xml:space="preserve">2 </w:t>
      </w:r>
      <w:r w:rsidR="00AB688A" w:rsidRPr="00165ED2">
        <w:rPr>
          <w:rFonts w:ascii="Times New Roman" w:eastAsia="Calibri" w:hAnsi="Times New Roman" w:cs="Times New Roman"/>
          <w:sz w:val="24"/>
          <w:szCs w:val="24"/>
        </w:rPr>
        <w:t>kinetics</w:t>
      </w:r>
      <w:r w:rsidR="00AB688A" w:rsidRPr="00165ED2">
        <w:rPr>
          <w:rFonts w:ascii="Times New Roman" w:hAnsi="Times New Roman" w:cs="Times New Roman"/>
          <w:sz w:val="24"/>
        </w:rPr>
        <w:t>)</w:t>
      </w:r>
      <w:r w:rsidR="00AC2178" w:rsidRPr="00165ED2">
        <w:rPr>
          <w:rFonts w:ascii="Times New Roman" w:hAnsi="Times New Roman" w:cs="Times New Roman"/>
          <w:sz w:val="24"/>
        </w:rPr>
        <w:t>.</w:t>
      </w:r>
      <w:r w:rsidR="006A2130" w:rsidRPr="00165ED2">
        <w:rPr>
          <w:rFonts w:ascii="Times New Roman" w:hAnsi="Times New Roman" w:cs="Times New Roman"/>
          <w:sz w:val="24"/>
        </w:rPr>
        <w:t xml:space="preserve"> </w:t>
      </w:r>
      <w:bookmarkEnd w:id="0"/>
    </w:p>
    <w:p w14:paraId="72AE45A3" w14:textId="3E0D7B0F" w:rsidR="00A95352" w:rsidRPr="00165ED2" w:rsidRDefault="00E63B40" w:rsidP="006A4589">
      <w:pPr>
        <w:spacing w:line="480" w:lineRule="auto"/>
        <w:ind w:firstLine="720"/>
        <w:jc w:val="both"/>
        <w:rPr>
          <w:rFonts w:ascii="Times New Roman" w:hAnsi="Times New Roman" w:cs="Times New Roman"/>
          <w:sz w:val="24"/>
        </w:rPr>
      </w:pPr>
      <w:r w:rsidRPr="00165ED2">
        <w:rPr>
          <w:rFonts w:ascii="Times New Roman" w:hAnsi="Times New Roman" w:cs="Times New Roman"/>
          <w:sz w:val="24"/>
        </w:rPr>
        <w:t xml:space="preserve">Given the evidence reviewed herein, we therefore propose that each of </w:t>
      </w:r>
      <w:r w:rsidR="006A4589" w:rsidRPr="00165ED2">
        <w:rPr>
          <w:rFonts w:ascii="Times New Roman" w:hAnsi="Times New Roman" w:cs="Times New Roman"/>
          <w:sz w:val="24"/>
        </w:rPr>
        <w:t>mitochondrial O</w:t>
      </w:r>
      <w:r w:rsidR="006A4589" w:rsidRPr="00165ED2">
        <w:rPr>
          <w:rFonts w:ascii="Times New Roman" w:hAnsi="Times New Roman" w:cs="Times New Roman"/>
          <w:sz w:val="24"/>
          <w:vertAlign w:val="subscript"/>
        </w:rPr>
        <w:t>2</w:t>
      </w:r>
      <w:r w:rsidR="006A4589" w:rsidRPr="00165ED2">
        <w:rPr>
          <w:rFonts w:ascii="Times New Roman" w:hAnsi="Times New Roman" w:cs="Times New Roman"/>
          <w:sz w:val="24"/>
        </w:rPr>
        <w:t xml:space="preserve"> utilization (encapsulated by the </w:t>
      </w:r>
      <w:r w:rsidRPr="00165ED2">
        <w:rPr>
          <w:rFonts w:ascii="Times New Roman" w:hAnsi="Times New Roman" w:cs="Times New Roman"/>
          <w:sz w:val="24"/>
        </w:rPr>
        <w:t>τ</w:t>
      </w:r>
      <w:r w:rsidRPr="00165ED2">
        <w:rPr>
          <w:rFonts w:ascii="Times New Roman" w:hAnsi="Times New Roman" w:cs="Times New Roman"/>
          <w:sz w:val="24"/>
          <w:vertAlign w:val="subscript"/>
        </w:rPr>
        <w:t>V̇O2</w:t>
      </w:r>
      <w:r w:rsidR="006A4589" w:rsidRPr="00165ED2">
        <w:rPr>
          <w:rFonts w:ascii="Times New Roman" w:hAnsi="Times New Roman" w:cs="Times New Roman"/>
          <w:sz w:val="24"/>
          <w:vertAlign w:val="subscript"/>
        </w:rPr>
        <w:t xml:space="preserve"> </w:t>
      </w:r>
      <w:r w:rsidR="006A4589" w:rsidRPr="00165ED2">
        <w:rPr>
          <w:rFonts w:ascii="Times New Roman" w:hAnsi="Times New Roman" w:cs="Times New Roman"/>
          <w:sz w:val="24"/>
        </w:rPr>
        <w:t>parameter)</w:t>
      </w:r>
      <w:r w:rsidRPr="00165ED2">
        <w:rPr>
          <w:rFonts w:ascii="Times New Roman" w:hAnsi="Times New Roman" w:cs="Times New Roman"/>
          <w:sz w:val="24"/>
        </w:rPr>
        <w:t xml:space="preserve">, </w:t>
      </w:r>
      <w:r w:rsidRPr="00165ED2">
        <w:rPr>
          <w:rFonts w:ascii="Times New Roman" w:eastAsia="Calibri" w:hAnsi="Times New Roman" w:cs="Times New Roman"/>
          <w:sz w:val="24"/>
          <w:szCs w:val="24"/>
        </w:rPr>
        <w:t>convective and diffusive O</w:t>
      </w:r>
      <w:r w:rsidRPr="00165ED2">
        <w:rPr>
          <w:rFonts w:ascii="Times New Roman" w:eastAsia="Calibri" w:hAnsi="Times New Roman" w:cs="Times New Roman"/>
          <w:sz w:val="24"/>
          <w:szCs w:val="24"/>
          <w:vertAlign w:val="subscript"/>
        </w:rPr>
        <w:t>2</w:t>
      </w:r>
      <w:r w:rsidRPr="00165ED2">
        <w:rPr>
          <w:rFonts w:ascii="Times New Roman" w:eastAsia="Calibri" w:hAnsi="Times New Roman" w:cs="Times New Roman"/>
          <w:sz w:val="24"/>
          <w:szCs w:val="24"/>
        </w:rPr>
        <w:t xml:space="preserve"> delivery </w:t>
      </w:r>
      <w:r w:rsidRPr="00165ED2">
        <w:rPr>
          <w:rFonts w:ascii="Times New Roman" w:hAnsi="Times New Roman" w:cs="Times New Roman"/>
          <w:sz w:val="24"/>
        </w:rPr>
        <w:t xml:space="preserve">exert independent effects on CP such that </w:t>
      </w:r>
      <w:r w:rsidR="00B32430" w:rsidRPr="00165ED2">
        <w:rPr>
          <w:rFonts w:ascii="Times New Roman" w:hAnsi="Times New Roman" w:cs="Times New Roman"/>
          <w:sz w:val="24"/>
        </w:rPr>
        <w:t>intracellular O</w:t>
      </w:r>
      <w:r w:rsidR="00B32430" w:rsidRPr="00165ED2">
        <w:rPr>
          <w:rFonts w:ascii="Times New Roman" w:hAnsi="Times New Roman" w:cs="Times New Roman"/>
          <w:sz w:val="24"/>
          <w:vertAlign w:val="subscript"/>
        </w:rPr>
        <w:t>2</w:t>
      </w:r>
      <w:r w:rsidR="00B32430" w:rsidRPr="00165ED2">
        <w:rPr>
          <w:rFonts w:ascii="Times New Roman" w:hAnsi="Times New Roman" w:cs="Times New Roman"/>
          <w:sz w:val="24"/>
        </w:rPr>
        <w:t xml:space="preserve"> utilization</w:t>
      </w:r>
      <w:r w:rsidRPr="00165ED2">
        <w:rPr>
          <w:rFonts w:ascii="Times New Roman" w:hAnsi="Times New Roman" w:cs="Times New Roman"/>
          <w:sz w:val="24"/>
        </w:rPr>
        <w:t xml:space="preserve"> and O</w:t>
      </w:r>
      <w:r w:rsidRPr="00165ED2">
        <w:rPr>
          <w:rFonts w:ascii="Times New Roman" w:hAnsi="Times New Roman" w:cs="Times New Roman"/>
          <w:sz w:val="24"/>
          <w:vertAlign w:val="subscript"/>
        </w:rPr>
        <w:t>2</w:t>
      </w:r>
      <w:r w:rsidRPr="00165ED2">
        <w:rPr>
          <w:rFonts w:ascii="Times New Roman" w:hAnsi="Times New Roman" w:cs="Times New Roman"/>
          <w:sz w:val="24"/>
        </w:rPr>
        <w:t xml:space="preserve"> transport interact to determine CP (</w:t>
      </w:r>
      <w:r w:rsidR="00D05E98" w:rsidRPr="00165ED2">
        <w:rPr>
          <w:rFonts w:ascii="Times New Roman" w:hAnsi="Times New Roman" w:cs="Times New Roman"/>
          <w:sz w:val="24"/>
        </w:rPr>
        <w:t>Figure 4)</w:t>
      </w:r>
      <w:r w:rsidRPr="00165ED2">
        <w:rPr>
          <w:rFonts w:ascii="Times New Roman" w:hAnsi="Times New Roman" w:cs="Times New Roman"/>
          <w:sz w:val="24"/>
        </w:rPr>
        <w:t xml:space="preserve">. Exceptions to this include where </w:t>
      </w:r>
      <w:r w:rsidR="006A4589" w:rsidRPr="00165ED2">
        <w:rPr>
          <w:rFonts w:ascii="Times New Roman" w:hAnsi="Times New Roman" w:cs="Times New Roman"/>
          <w:sz w:val="24"/>
        </w:rPr>
        <w:t>pulmonary limitations</w:t>
      </w:r>
      <w:r w:rsidRPr="00165ED2">
        <w:rPr>
          <w:rFonts w:ascii="Times New Roman" w:hAnsi="Times New Roman" w:cs="Times New Roman"/>
          <w:sz w:val="24"/>
        </w:rPr>
        <w:t xml:space="preserve"> </w:t>
      </w:r>
      <w:r w:rsidR="00067322" w:rsidRPr="00165ED2">
        <w:rPr>
          <w:rFonts w:ascii="Times New Roman" w:hAnsi="Times New Roman" w:cs="Times New Roman"/>
          <w:sz w:val="24"/>
        </w:rPr>
        <w:t>(</w:t>
      </w:r>
      <w:r w:rsidRPr="00165ED2">
        <w:rPr>
          <w:rFonts w:ascii="Times New Roman" w:hAnsi="Times New Roman" w:cs="Times New Roman"/>
          <w:sz w:val="24"/>
        </w:rPr>
        <w:t>e.g.</w:t>
      </w:r>
      <w:r w:rsidR="00D05E98" w:rsidRPr="00165ED2">
        <w:rPr>
          <w:rFonts w:ascii="Times New Roman" w:hAnsi="Times New Roman" w:cs="Times New Roman"/>
          <w:sz w:val="24"/>
        </w:rPr>
        <w:t xml:space="preserve"> </w:t>
      </w:r>
      <w:r w:rsidR="00D05E98" w:rsidRPr="00165ED2">
        <w:rPr>
          <w:rFonts w:ascii="Times New Roman" w:hAnsi="Times New Roman" w:cs="Times New Roman"/>
          <w:sz w:val="24"/>
        </w:rPr>
        <w:fldChar w:fldCharType="begin"/>
      </w:r>
      <w:r w:rsidR="007A3303" w:rsidRPr="00165ED2">
        <w:rPr>
          <w:rFonts w:ascii="Times New Roman" w:hAnsi="Times New Roman" w:cs="Times New Roman"/>
          <w:sz w:val="24"/>
        </w:rPr>
        <w:instrText xml:space="preserve"> ADDIN ZOTERO_ITEM CSL_CITATION {"citationID":"5vox3Xr1","properties":{"formattedCitation":"[34]","plainCitation":"[34]","noteIndex":0},"citationItems":[{"id":326,"uris":["http://zotero.org/users/5056530/items/GQUHKT4W"],"itemData":{"id":326,"type":"article-journal","abstract":"To characterize the determinants of the power-duration (W-t) relationship in patients with chronic obstructive pulmonary disease (COPD), we evaluated 8 nonhypoxemic patients (FEV(1) = 1.27 +/- 0.26 L) and 10 healthy controls. After an initial maximum-incremental exercise test on cycle ergometer (peak), the subjects underwent four high-intensity constant-load tests to the limit of tolerance (t), each on different days. The W-t relationship was found to be hyperbolic in both groups. Absolute values of both the critical power asymptote (theta(F)) and the curvature constant (W') were lower in patients than in control subjects. However, when expressed as percentage of peak work rate theta(F) was significantly higher in patients compared with control subjects (81.8 +/- 3.3% versus 67.5 +/- 3.7%, respectively, p &lt; 0.01). There were severe reductions in t in the patients that were consistently associated with higher breathlessness scores and V E/MVV ratios. Interestingly, all patients were able to sustain exercise at theta(F) for 20 min despite near-maximum physiological and subjective stresses. We conclude that the reductions of both parameters of the hyperbolic W-t relationship (theta(F) and W') in patients with COPD were due to the ventilatory constraints and their sensory consequences. Importantly, theta(F) separated a \"sustainable\" from a \"nonsustainable\" exercise-intensity domain: this parameter consistently occurred closer to peak work rate in patients than the healthy control subjects.","container-title":"American Journal of Respiratory and Critical Care Medicine","DOI":"10.1164/ajrccm.162.2.9907122","ISSN":"1073-449X","issue":"2 Pt 1","journalAbbreviation":"Am. J. Respir. Crit. Care Med.","language":"eng","note":"PMID: 10934077","page":"497-504","source":"PubMed","title":"Determinants of the exercise endurance capacity in patients with chronic obstructive pulmonary disease. The power-duration relationship","volume":"162","author":[{"family":"Neder","given":"J. A."},{"family":"Jones","given":"P. W."},{"family":"Nery","given":"L. E."},{"family":"Whipp","given":"B. J."}],"issued":{"date-parts":[["2000",8]]}}}],"schema":"https://github.com/citation-style-language/schema/raw/master/csl-citation.json"} </w:instrText>
      </w:r>
      <w:r w:rsidR="00D05E98" w:rsidRPr="00165ED2">
        <w:rPr>
          <w:rFonts w:ascii="Times New Roman" w:hAnsi="Times New Roman" w:cs="Times New Roman"/>
          <w:sz w:val="24"/>
        </w:rPr>
        <w:fldChar w:fldCharType="separate"/>
      </w:r>
      <w:r w:rsidR="007A3303" w:rsidRPr="00165ED2">
        <w:rPr>
          <w:rFonts w:ascii="Times New Roman" w:hAnsi="Times New Roman" w:cs="Times New Roman"/>
          <w:sz w:val="24"/>
        </w:rPr>
        <w:t>[34]</w:t>
      </w:r>
      <w:r w:rsidR="00D05E98" w:rsidRPr="00165ED2">
        <w:rPr>
          <w:rFonts w:ascii="Times New Roman" w:hAnsi="Times New Roman" w:cs="Times New Roman"/>
          <w:sz w:val="24"/>
        </w:rPr>
        <w:fldChar w:fldCharType="end"/>
      </w:r>
      <w:r w:rsidRPr="00165ED2">
        <w:rPr>
          <w:rFonts w:ascii="Times New Roman" w:hAnsi="Times New Roman" w:cs="Times New Roman"/>
          <w:sz w:val="24"/>
        </w:rPr>
        <w:t xml:space="preserve">) </w:t>
      </w:r>
      <w:r w:rsidR="006A4589" w:rsidRPr="00165ED2">
        <w:rPr>
          <w:rFonts w:ascii="Times New Roman" w:hAnsi="Times New Roman" w:cs="Times New Roman"/>
          <w:sz w:val="24"/>
        </w:rPr>
        <w:t>are</w:t>
      </w:r>
      <w:r w:rsidRPr="00165ED2">
        <w:rPr>
          <w:rFonts w:ascii="Times New Roman" w:hAnsi="Times New Roman" w:cs="Times New Roman"/>
          <w:sz w:val="24"/>
        </w:rPr>
        <w:t xml:space="preserve"> dominant factor</w:t>
      </w:r>
      <w:r w:rsidR="006A4589" w:rsidRPr="00165ED2">
        <w:rPr>
          <w:rFonts w:ascii="Times New Roman" w:hAnsi="Times New Roman" w:cs="Times New Roman"/>
          <w:sz w:val="24"/>
        </w:rPr>
        <w:t>s</w:t>
      </w:r>
      <w:r w:rsidRPr="00165ED2">
        <w:rPr>
          <w:rFonts w:ascii="Times New Roman" w:hAnsi="Times New Roman" w:cs="Times New Roman"/>
          <w:sz w:val="24"/>
        </w:rPr>
        <w:t xml:space="preserve"> in </w:t>
      </w:r>
      <w:r w:rsidR="005322B2" w:rsidRPr="00165ED2">
        <w:rPr>
          <w:rFonts w:ascii="Times New Roman" w:hAnsi="Times New Roman" w:cs="Times New Roman"/>
          <w:sz w:val="24"/>
        </w:rPr>
        <w:t>limiting</w:t>
      </w:r>
      <w:r w:rsidRPr="00165ED2">
        <w:rPr>
          <w:rFonts w:ascii="Times New Roman" w:hAnsi="Times New Roman" w:cs="Times New Roman"/>
          <w:sz w:val="24"/>
        </w:rPr>
        <w:t xml:space="preserve"> exercise tolerance to the extent that they dictate the </w:t>
      </w:r>
      <w:r w:rsidR="006A4589" w:rsidRPr="00165ED2">
        <w:rPr>
          <w:rFonts w:ascii="Times New Roman" w:hAnsi="Times New Roman" w:cs="Times New Roman"/>
          <w:sz w:val="24"/>
        </w:rPr>
        <w:t>shape</w:t>
      </w:r>
      <w:r w:rsidRPr="00165ED2">
        <w:rPr>
          <w:rFonts w:ascii="Times New Roman" w:hAnsi="Times New Roman" w:cs="Times New Roman"/>
          <w:sz w:val="24"/>
        </w:rPr>
        <w:t xml:space="preserve"> of the power – duration relationship</w:t>
      </w:r>
      <w:r w:rsidR="00067322" w:rsidRPr="00165ED2">
        <w:rPr>
          <w:rFonts w:ascii="Times New Roman" w:hAnsi="Times New Roman" w:cs="Times New Roman"/>
          <w:sz w:val="24"/>
        </w:rPr>
        <w:t xml:space="preserve">. </w:t>
      </w:r>
    </w:p>
    <w:p w14:paraId="20145FFF" w14:textId="28CA72C0" w:rsidR="00026F2A" w:rsidRPr="00165ED2" w:rsidRDefault="00E63B40" w:rsidP="006A4589">
      <w:pPr>
        <w:spacing w:line="480" w:lineRule="auto"/>
        <w:ind w:firstLine="720"/>
        <w:jc w:val="both"/>
        <w:rPr>
          <w:rFonts w:ascii="Times New Roman" w:eastAsiaTheme="minorEastAsia" w:hAnsi="Times New Roman" w:cs="Times New Roman"/>
          <w:bCs/>
          <w:sz w:val="24"/>
          <w:szCs w:val="24"/>
        </w:rPr>
      </w:pPr>
      <w:r w:rsidRPr="00165ED2">
        <w:rPr>
          <w:rFonts w:ascii="Times New Roman" w:hAnsi="Times New Roman" w:cs="Times New Roman"/>
          <w:sz w:val="24"/>
        </w:rPr>
        <w:t xml:space="preserve">The </w:t>
      </w:r>
      <w:r w:rsidR="00067322" w:rsidRPr="00165ED2">
        <w:rPr>
          <w:rFonts w:ascii="Times New Roman" w:hAnsi="Times New Roman" w:cs="Times New Roman"/>
          <w:sz w:val="24"/>
        </w:rPr>
        <w:t xml:space="preserve">precise </w:t>
      </w:r>
      <w:r w:rsidRPr="00165ED2">
        <w:rPr>
          <w:rFonts w:ascii="Times New Roman" w:hAnsi="Times New Roman" w:cs="Times New Roman"/>
          <w:sz w:val="24"/>
        </w:rPr>
        <w:t xml:space="preserve">mechanisms underpinning such an interaction </w:t>
      </w:r>
      <w:r w:rsidR="00067322" w:rsidRPr="00165ED2">
        <w:rPr>
          <w:rFonts w:ascii="Times New Roman" w:hAnsi="Times New Roman" w:cs="Times New Roman"/>
          <w:sz w:val="24"/>
        </w:rPr>
        <w:t>have not been fully elucidated</w:t>
      </w:r>
      <w:r w:rsidR="00F2440C" w:rsidRPr="00165ED2">
        <w:rPr>
          <w:rFonts w:ascii="Times New Roman" w:hAnsi="Times New Roman" w:cs="Times New Roman"/>
          <w:sz w:val="24"/>
        </w:rPr>
        <w:t>, however a starting point is to consider</w:t>
      </w:r>
      <w:r w:rsidR="006A4589" w:rsidRPr="00165ED2">
        <w:rPr>
          <w:rFonts w:ascii="Times New Roman" w:eastAsiaTheme="minorEastAsia" w:hAnsi="Times New Roman" w:cs="Times New Roman"/>
          <w:bCs/>
          <w:sz w:val="24"/>
          <w:szCs w:val="24"/>
        </w:rPr>
        <w:t xml:space="preserve"> </w:t>
      </w:r>
      <w:r w:rsidR="00F2440C" w:rsidRPr="00165ED2">
        <w:rPr>
          <w:rFonts w:ascii="Times New Roman" w:eastAsiaTheme="minorEastAsia" w:hAnsi="Times New Roman" w:cs="Times New Roman"/>
          <w:bCs/>
          <w:sz w:val="24"/>
          <w:szCs w:val="24"/>
        </w:rPr>
        <w:t>the inexorable loss of intracellular homeostasis</w:t>
      </w:r>
      <w:r w:rsidR="00B27B6F" w:rsidRPr="00165ED2">
        <w:rPr>
          <w:rFonts w:ascii="Times New Roman" w:eastAsiaTheme="minorEastAsia" w:hAnsi="Times New Roman" w:cs="Times New Roman"/>
          <w:bCs/>
          <w:sz w:val="24"/>
          <w:szCs w:val="24"/>
        </w:rPr>
        <w:t xml:space="preserve">, and thus unsustainable rise in </w:t>
      </w:r>
      <w:r w:rsidR="006A4589" w:rsidRPr="00165ED2">
        <w:rPr>
          <w:rFonts w:ascii="Times New Roman" w:eastAsiaTheme="minorEastAsia" w:hAnsi="Times New Roman" w:cs="Times New Roman"/>
          <w:bCs/>
          <w:sz w:val="24"/>
          <w:szCs w:val="24"/>
        </w:rPr>
        <w:t>O</w:t>
      </w:r>
      <w:r w:rsidR="006A4589" w:rsidRPr="00165ED2">
        <w:rPr>
          <w:rFonts w:ascii="Times New Roman" w:eastAsiaTheme="minorEastAsia" w:hAnsi="Times New Roman" w:cs="Times New Roman"/>
          <w:bCs/>
          <w:sz w:val="24"/>
          <w:szCs w:val="24"/>
          <w:vertAlign w:val="subscript"/>
        </w:rPr>
        <w:t>2</w:t>
      </w:r>
      <w:r w:rsidR="00B27B6F" w:rsidRPr="00165ED2">
        <w:rPr>
          <w:rFonts w:ascii="Times New Roman" w:eastAsiaTheme="minorEastAsia" w:hAnsi="Times New Roman" w:cs="Times New Roman"/>
          <w:bCs/>
          <w:sz w:val="24"/>
          <w:szCs w:val="24"/>
        </w:rPr>
        <w:t xml:space="preserve"> deficit,</w:t>
      </w:r>
      <w:r w:rsidR="00F2440C" w:rsidRPr="00165ED2">
        <w:rPr>
          <w:rFonts w:ascii="Times New Roman" w:eastAsiaTheme="minorEastAsia" w:hAnsi="Times New Roman" w:cs="Times New Roman"/>
          <w:bCs/>
          <w:sz w:val="24"/>
          <w:szCs w:val="24"/>
        </w:rPr>
        <w:t xml:space="preserve"> during exercise above, but not below, CP. </w:t>
      </w:r>
      <w:r w:rsidR="0059404A" w:rsidRPr="00165ED2">
        <w:rPr>
          <w:rFonts w:ascii="Times New Roman" w:eastAsiaTheme="minorEastAsia" w:hAnsi="Times New Roman" w:cs="Times New Roman"/>
          <w:bCs/>
          <w:sz w:val="24"/>
          <w:szCs w:val="24"/>
        </w:rPr>
        <w:t xml:space="preserve">This is accompanied by a </w:t>
      </w:r>
      <w:r w:rsidR="006756F4" w:rsidRPr="00165ED2">
        <w:rPr>
          <w:rFonts w:ascii="Times New Roman" w:eastAsiaTheme="minorEastAsia" w:hAnsi="Times New Roman" w:cs="Times New Roman"/>
          <w:bCs/>
          <w:sz w:val="24"/>
          <w:szCs w:val="24"/>
        </w:rPr>
        <w:t xml:space="preserve">mirror-like association between peripheral fatigue </w:t>
      </w:r>
      <w:r w:rsidR="00DC6878"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{"citationID":"GINj59Dc","properties":{"formattedCitation":"[107,132]","plainCitation":"[107,132]","noteIndex":0},"citationItems":[{"id":878,"uris":["http://zotero.org/users/5056530/items/ZRPRC3VL"],"itemData":{"id":878,"type":"article-journal","abstract":"Whether the transition in fatigue processes between \"low-intensity\" and \"high-intensity\" contractions occurs gradually, as the torque requirements are increased, or whether this transition occurs more suddenly at some identifiable \"threshold\", is not known. We hypothesized that the critical torque (CT; the asymptote of the torque-duration relationship) would demarcate distinct profiles of central and peripheral fatigue during intermittent isometric quadriceps contractions (3-s contraction, 2-s rest). Nine healthy men performed seven experimental trials to task failure or for up to 60 min, with maximal voluntary contractions (MVCs) performed at the end of each minute. The first five trials were performed to determine CT [~35-55% MVC, denoted severe 1 (S1) to severe 5 (S5) in ascending order], while the remaining two trials were performed 10 and 20% below the CT (denoted CT-10% and CT-20%). Dynamometer torque and the electromyogram of the right vastus lateralis were sampled continuously. Peripheral and central fatigue was determined from the fall in potentiated doublet torque and voluntary activation, respectively. Above CT, contractions progressed to task failure in ~3-18 min, at which point the MVC did not differ from the target torque (S1 target, 88.7 ± 4.3 N·m vs. MVC, 89.3 ± 8.8 N·m, P = 0.94). The potentiated doublet fell significantly in all trials, and voluntary activation was reduced in trials S1-S3, but not trials S4 and S5. Below CT, contractions could be sustained for 60 min on 17 of 18 occasions. Both central and peripheral fatigue developed, but there was a substantial reserve in MVC torque at the end of the task. The rate of global and peripheral fatigue development was four to five times greater during S1 than during CT-10% (change in MVC/change in time S1 vs. CT-10%: -7.2 ± 1.4 vs. -1.5 ± 0.4 N·m·min(-1)). These results demonstrate that CT represents a critical threshold for neuromuscular fatigue development.","container-title":"Journal of Applied Physiology (Bethesda, Md.: 1985)","DOI":"10.1152/japplphysiol.00022.2012","ISSN":"1522-1601","issue":"2","journalAbbreviation":"J. Appl. Physiol.","language":"eng","note":"PMID: 22556396","page":"215-223","source":"PubMed","title":"Distinct profiles of neuromuscular fatigue during muscle contractions below and above the critical torque in humans","volume":"113","author":[{"family":"Burnley","given":"Mark"},{"family":"Vanhatalo","given":"Anni"},{"family":"Jones","given":"Andrew M."}],"issued":{"date-parts":[["2012",7]]}}},{"id":25,"uris":["http://zotero.org/users/5056530/items/2C57N2GQ"],"itemData":{"id":25,"type":"article-journal","abstract":"During constant-power output (PO) exercise above lactate threshold (LT), pulmonary O2 uptake (V̇o2p) features a developing slow component (V̇o2pSC). This progressive increase in O2 cost of exercise is suggested to be related to the effects of muscle fatigue development. We hypothesized that peripheral muscle fatigue as assessed by contractile impairment would be associated with the V̇o2pSC. Eleven healthy men were recruited to perform four constant-PO tests at an intensity corresponding to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Δ60 (very heavy, VH) where Δ is 60% of the difference between LT and peak V̇o2p. The VH exercise was completed for each of 3, 8, 13, and 18 min (i.e., VH3, VH8, VH13, VH18) with each preceded by 3 min of cycling at 20 W. Peripheral muscle fatigue was assessed via pre- vs. postexercise measurements of quadriceps torque in response to brief trains of electrical stimulation delivered at low (10 Hz) and high (50 Hz) frequencies. During exercise, breath-by-breath V̇o2p was measured by mass spectrometry and volume turbine. The magnitude of V̇o2pSC increased (P &lt; 0.05) from 224 ± 81 ml/min at VH3 to 520 ± 119, 625 ± 134, and 678 ± 156 ml/min at VH8, VH13, and VH18, respectively. The ratio of the low-to-high frequency (10/50 Hz) response was reduced (P &lt; 0.05) at VH3 (−12 ± 9%) and further reduced (P &lt; 0.05) at VH8 (−25 ± 11%), VH13 (−42 ± 19%), and VH18 (−46 ± 16%), mirroring the temporal pattern of V̇o2pSC development. The reduction in 10/50 Hz ratio was correlated (P &lt; 0.001, r2 = 0.69) with V̇o2pSC amplitude. The temporal and quantitative association of decrements in muscle torque production and V̇o2pSC suggest a common physiological mechanism between skeletal muscle fatigue and loss of muscle efficiency.","container-title":"Journal of Applied Physiology","DOI":"10.1152/japplphysiol.00249.2016","ISSN":"8750-7587","issue":"2","journalAbbreviation":"Journal of Applied Physiology","note":"publisher: American Physiological Society","page":"493-502","source":"journals.physiology.org (Atypon)","title":"The slow component of pulmonary O2 uptake accompanies peripheral muscle fatigue during high-intensity exercise","volume":"121","author":[{"family":"Keir","given":"Daniel A."},{"family":"Copithorne","given":"David B."},{"family":"Hodgson","given":"Michael D."},{"family":"Pogliaghi","given":"Silvia"},{"family":"Rice","given":"Charles L."},{"family":"Kowalchuk","given":"John M."}],"issued":{"date-parts":[["2016",6,23]]}}}],"schema":"https://github.com/citation-style-language/schema/raw/master/csl-citation.json"} </w:instrText>
      </w:r>
      <w:r w:rsidR="00DC6878"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[107,132]</w:t>
      </w:r>
      <w:r w:rsidR="00DC6878" w:rsidRPr="00165ED2">
        <w:rPr>
          <w:rFonts w:ascii="Times New Roman" w:eastAsiaTheme="minorEastAsia" w:hAnsi="Times New Roman" w:cs="Times New Roman"/>
          <w:bCs/>
          <w:sz w:val="24"/>
          <w:szCs w:val="24"/>
        </w:rPr>
        <w:fldChar w:fldCharType="end"/>
      </w:r>
      <w:r w:rsidR="006756F4" w:rsidRPr="00165ED2">
        <w:rPr>
          <w:rFonts w:ascii="Times New Roman" w:eastAsiaTheme="minorEastAsia" w:hAnsi="Times New Roman" w:cs="Times New Roman"/>
          <w:bCs/>
          <w:sz w:val="24"/>
          <w:szCs w:val="24"/>
        </w:rPr>
        <w:t xml:space="preserve"> and the loss of exercise efficiency </w:t>
      </w:r>
      <w:r w:rsidR="00DC6878"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{"citationID":"4TyjQjfp","properties":{"formattedCitation":"[109,133,134]","plainCitation":"[109,133,134]","noteIndex":0},"citationItems":[{"id":167,"uris":["http://zotero.org/users/5056530/items/C3URDR9A"],"itemData":{"id":167,"type":"article-journal","abstract":"The mechanisms determining exercise intolerance are poorly understood. A reduction in work efficiency in the form of an additional energy cost and oxygen requirement occurs during high-intensity exercise and contributes to exercise limitation. Muscle fatigue and subsequent recruitment of poorly efficient muscle fibres has been proposed to mediate this decline. These data demonstrate in humans, that muscle fatigue, generated in the initial minutes of exercise, is correlated with the increasing energy demands of high-intensity exercise. Surprisingly, however, while muscle fatigue reached a plateau, oxygen uptake continued to increase throughout 8 min of exercise. This suggests that additional recruitment of inefficient muscle fibres may not be the sole mechanism contributing to the decline in work efficiency during high-intensity exercise.","container-title":"The Journal of Physiology","DOI":"10.1113/jphysiol.2010.197723","ISSN":"1469-7793","issue":"Pt 3","journalAbbreviation":"J. Physiol. (Lond.)","language":"eng","note":"PMID: 21135050\nPMCID: PMC3055554","page":"727-739","source":"PubMed","title":"Skeletal muscle fatigue precedes the slow component of oxygen uptake kinetics during exercise in humans","volume":"589","author":[{"family":"Cannon","given":"Daniel T."},{"family":"White","given":"Ailish C."},{"family":"Andriano","given":"Melina F."},{"family":"Kolkhorst","given":"Fred W."},{"family":"Rossiter","given":"Harry B."}],"issued":{"date-parts":[["2011",2,1]]}}},{"id":166,"uris":["http://zotero.org/users/5056530/items/FB8KUKBA"],"itemData":{"id":166,"type":"article-journal","abstract":"The \"slow component\" of O2 uptake (VO2) kinetics during constant-load heavy-intensity exercise is traditionally thought to derive from a progressive recruitment of muscle fibers. In this study, which represents a reanalysis of data taken from a previous study by our group (Grassi B, Hogan MC, Greenhaff PL, Hamann JJ, Kelley KM, Aschenbach WG, Constantin-Teodosiu D, Gladden LB. J Physiol 538: 195-207, 2002) we evaluated the presence of a slow component-like response in the isolated dog gastrocnemius in situ (n=6) during 4 min of contractions at approximately 60-70% of peak VO2. In this preparation all muscle fibers are maximally activated by electrical stimulation from the beginning of the contraction period, and no progressive recruitment of fibers is possible. Muscle VO2 was calculated as blood flow multiplied by arteriovenous O2 content difference. The muscle fatigued (force decreased by approximately 20-25%) during contractions. Kinetics of adjustment were evaluated for 1) VO2, uncorrected for force development; 2) VO2 normalized for peak force; 3) VO2 normalized for force-time integral. A slow component-like response, described in only one muscle out of six when uncorrected VO2 was considered, was observed in all muscles when VO2/peak force and VO2/force-time were considered. The amplitude of the slow component-like response, expressed as a fraction of the total response, was higher for VO2/peak force (0.18+/-0.06, means+/-SE) and for VO2/force-time (0.22+/-0.05) compared with uncorrected VO2 (0.04+/-0.04). A progressive recruitment of muscle fibers may not be necessary for the development of the slow component of VO2 kinetics, which may be caused by the metabolic factors that induce muscle fatigue and, as a consequence, reduce the efficiency of muscle contractions.","container-title":"Journal of Applied Physiology (Bethesda, Md.: 1985)","DOI":"10.1152/japplphysiol.01129.2007","ISSN":"8750-7587","issue":"2","journalAbbreviation":"J. Appl. Physiol.","language":"eng","note":"PMID: 18483168","page":"575-580","source":"PubMed","title":"Progressive recruitment of muscle fibers is not necessary for the slow component of VO2 kinetics","volume":"105","author":[{"family":"Zoladz","given":"Jerzy A."},{"family":"Gladden","given":"L. Bruce"},{"family":"Hogan","given":"Michael C."},{"family":"Nieckarz","given":"Zenon"},{"family":"Grassi","given":"Bruno"}],"issued":{"date-parts":[["2008",8]]}}},{"id":165,"uris":["http://zotero.org/users/5056530/items/5JANTS3Q"],"itemData":{"id":165,"type":"article-journal","abstract":"The slow component of pulmonary O(2) uptake (Vo(2)) during constant work rate (CWR) high-intensity exercise has been attributed to the progressive recruitment of (type II) muscle fibers. We tested the following hypotheses: 1) the Vo(2) slow component gain would be greater in a 3-min all-out cycle test than in a work-matched CWR test, and 2) the all-out test would be associated with a progressive decline, and the CWR test with a progressive increase, in muscle activation, as estimated from the electromyogram (EMG) of the vastus lateralis muscle. Eight men (aged 21-39 yr) completed a ramp incremental test, a 3-min all-out test, and a work- and time-matched CWR test to exhaustion. The maximum Vo(2) attained in an initial ramp incremental test (3.97 ± 0.83 l/min) was reached in both experimental tests (3.99 ± 0.84 and 4.03 ± 0.76 l/min for all-out and CWR, respectively). The Vo(2) slow component was greater (P &lt; 0.05) in the all-out test (1.21 ± 0.31 l/min, 4.2 ± 2.2 ml·min(-1)·W(-1)) than in the CWR test (0.59 ± 0.22 l/min, 1.70 ± 0.5 ml·min(-1)·W(-1)). The integrated EMG declined by 26% (P &lt; 0.001) during the all-out test and increased by 60% (P &lt; 0.05) during the CWR test from the first 30 s to the last 30 s of exercise. The considerable reduction in muscle efficiency in the all-out test in the face of a progressively falling integrated EMG indicates that progressive fiber recruitment is not requisite for development of the Vo(2) slow component during voluntary exercise in humans.","container-title":"American Journal of Physiology. Regulatory, Integrative and Comparative Physiology","DOI":"10.1152/ajpregu.00761.2010","ISSN":"1522-1490","issue":"3","journalAbbreviation":"Am. J. Physiol. Regul. Integr. Comp. Physiol.","language":"eng","note":"PMID: 21160059","page":"R700-707","source":"PubMed","title":"Muscle fiber recruitment and the slow component of O2 uptake: constant work rate vs. all-out sprint exercise","title-short":"Muscle fiber recruitment and the slow component of O2 uptake","volume":"300","author":[{"family":"Vanhatalo","given":"Anni"},{"family":"Poole","given":"David C."},{"family":"DiMenna","given":"Fred J."},{"family":"Bailey","given":"Stephen J."},{"family":"Jones","given":"Andrew M."}],"issued":{"date-parts":[["2011",3]]}}}],"schema":"https://github.com/citation-style-language/schema/raw/master/csl-citation.json"} </w:instrText>
      </w:r>
      <w:r w:rsidR="00DC6878"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[109,133,134]</w:t>
      </w:r>
      <w:r w:rsidR="00DC6878" w:rsidRPr="00165ED2">
        <w:rPr>
          <w:rFonts w:ascii="Times New Roman" w:eastAsiaTheme="minorEastAsia" w:hAnsi="Times New Roman" w:cs="Times New Roman"/>
          <w:bCs/>
          <w:sz w:val="24"/>
          <w:szCs w:val="24"/>
        </w:rPr>
        <w:fldChar w:fldCharType="end"/>
      </w:r>
      <w:r w:rsidR="00DC6878" w:rsidRPr="00165ED2">
        <w:rPr>
          <w:rFonts w:ascii="Times New Roman" w:eastAsiaTheme="minorEastAsia" w:hAnsi="Times New Roman" w:cs="Times New Roman"/>
          <w:bCs/>
          <w:sz w:val="24"/>
          <w:szCs w:val="24"/>
        </w:rPr>
        <w:t xml:space="preserve"> </w:t>
      </w:r>
      <w:r w:rsidR="006756F4" w:rsidRPr="00165ED2">
        <w:rPr>
          <w:rFonts w:ascii="Times New Roman" w:eastAsiaTheme="minorEastAsia" w:hAnsi="Times New Roman" w:cs="Times New Roman"/>
          <w:bCs/>
          <w:sz w:val="24"/>
          <w:szCs w:val="24"/>
        </w:rPr>
        <w:t xml:space="preserve">that </w:t>
      </w:r>
      <w:r w:rsidR="00C33A3C" w:rsidRPr="00165ED2">
        <w:rPr>
          <w:rFonts w:ascii="Times New Roman" w:eastAsiaTheme="minorEastAsia" w:hAnsi="Times New Roman" w:cs="Times New Roman"/>
          <w:bCs/>
          <w:sz w:val="24"/>
          <w:szCs w:val="24"/>
        </w:rPr>
        <w:t>occurs during exercise above CP</w:t>
      </w:r>
      <w:r w:rsidR="006756F4" w:rsidRPr="00165ED2">
        <w:rPr>
          <w:rFonts w:ascii="Times New Roman" w:eastAsiaTheme="minorEastAsia" w:hAnsi="Times New Roman" w:cs="Times New Roman"/>
          <w:bCs/>
          <w:sz w:val="24"/>
          <w:szCs w:val="24"/>
        </w:rPr>
        <w:t xml:space="preserve"> </w:t>
      </w:r>
      <w:r w:rsidR="006756F4" w:rsidRPr="00165ED2">
        <w:rPr>
          <w:rFonts w:ascii="Times New Roman" w:eastAsia="MS Mincho" w:hAnsi="Times New Roman" w:cs="Times New Roman"/>
          <w:sz w:val="24"/>
          <w:szCs w:val="24"/>
          <w:lang w:val="en-US"/>
        </w:rPr>
        <w:fldChar w:fldCharType="begin"/>
      </w:r>
      <w:r w:rsidR="00624DC9" w:rsidRPr="00165ED2">
        <w:rPr>
          <w:rFonts w:ascii="Times New Roman" w:eastAsia="MS Mincho" w:hAnsi="Times New Roman" w:cs="Times New Roman"/>
          <w:sz w:val="24"/>
          <w:szCs w:val="24"/>
          <w:lang w:val="en-US"/>
        </w:rPr>
        <w:instrText xml:space="preserve"> ADDIN ZOTERO_ITEM CSL_CITATION {"citationID":"UdElmpiL","properties":{"formattedCitation":"[135]","plainCitation":"[135]","noteIndex":0},"citationItems":[{"id":191,"uris":["http://zotero.org/users/5056530/items/SAJTVGR5"],"itemData":{"id":191,"type":"article-journal","abstract":"During high-intensity submaximal exercise, muscle fatigue and decreased efficiency are intertwined closely, and each contributes to exercise intolerance. Fatigue and muscle inefficiency share common mechanisms, for example, decreased \"metabolic stability,\" muscle metabolite accumulation, decreased free energy of adenosine triphosphate breakdown, limited O2 or substrate availability, increased glycolysis, pH disturbance, increased muscle temperature, reactive oxygen species production, and altered motor unit recruitment patterns.","container-title":"Exercise and Sport Sciences Reviews","DOI":"10.1249/JES.0000000000000043","ISSN":"1538-3008","issue":"2","journalAbbreviation":"Exerc Sport Sci Rev","language":"eng","note":"PMID: 25688762","page":"75-83","source":"PubMed","title":"Skeletal muscle fatigue and decreased efficiency: two sides of the same coin?","title-short":"Skeletal muscle fatigue and decreased efficiency","volume":"43","author":[{"family":"Grassi","given":"Bruno"},{"family":"Rossiter","given":"Harry B."},{"family":"Zoladz","given":"Jerzy A."}],"issued":{"date-parts":[["2015",4]]}}}],"schema":"https://github.com/citation-style-language/schema/raw/master/csl-citation.json"} </w:instrText>
      </w:r>
      <w:r w:rsidR="006756F4" w:rsidRPr="00165ED2">
        <w:rPr>
          <w:rFonts w:ascii="Times New Roman" w:eastAsia="MS Mincho" w:hAnsi="Times New Roman" w:cs="Times New Roman"/>
          <w:sz w:val="24"/>
          <w:szCs w:val="24"/>
          <w:lang w:val="en-US"/>
        </w:rPr>
        <w:fldChar w:fldCharType="separate"/>
      </w:r>
      <w:r w:rsidR="00624DC9" w:rsidRPr="00165ED2">
        <w:rPr>
          <w:rFonts w:ascii="Times New Roman" w:hAnsi="Times New Roman" w:cs="Times New Roman"/>
          <w:sz w:val="24"/>
        </w:rPr>
        <w:t>[135]</w:t>
      </w:r>
      <w:r w:rsidR="006756F4" w:rsidRPr="00165ED2">
        <w:rPr>
          <w:rFonts w:ascii="Times New Roman" w:eastAsia="MS Mincho" w:hAnsi="Times New Roman" w:cs="Times New Roman"/>
          <w:sz w:val="24"/>
          <w:szCs w:val="24"/>
          <w:lang w:val="en-US"/>
        </w:rPr>
        <w:fldChar w:fldCharType="end"/>
      </w:r>
      <w:r w:rsidR="006756F4" w:rsidRPr="00165ED2">
        <w:rPr>
          <w:rFonts w:ascii="Times New Roman" w:eastAsia="MS Mincho" w:hAnsi="Times New Roman" w:cs="Times New Roman"/>
          <w:sz w:val="24"/>
          <w:szCs w:val="24"/>
          <w:lang w:val="en-US"/>
        </w:rPr>
        <w:t xml:space="preserve">. </w:t>
      </w:r>
      <w:r w:rsidR="00F706DB" w:rsidRPr="00165ED2">
        <w:rPr>
          <w:rFonts w:ascii="Times New Roman" w:eastAsia="MS Mincho" w:hAnsi="Times New Roman" w:cs="Times New Roman"/>
          <w:sz w:val="24"/>
          <w:szCs w:val="24"/>
          <w:lang w:val="en-US"/>
        </w:rPr>
        <w:t>Of the factors which accumulate as a result of the O</w:t>
      </w:r>
      <w:r w:rsidR="00F706DB" w:rsidRPr="00165ED2">
        <w:rPr>
          <w:rFonts w:ascii="Times New Roman" w:eastAsia="MS Mincho" w:hAnsi="Times New Roman" w:cs="Times New Roman"/>
          <w:sz w:val="24"/>
          <w:szCs w:val="24"/>
          <w:vertAlign w:val="subscript"/>
          <w:lang w:val="en-US"/>
        </w:rPr>
        <w:t xml:space="preserve">2 </w:t>
      </w:r>
      <w:r w:rsidR="00F706DB" w:rsidRPr="00165ED2">
        <w:rPr>
          <w:rFonts w:ascii="Times New Roman" w:eastAsia="MS Mincho" w:hAnsi="Times New Roman" w:cs="Times New Roman"/>
          <w:sz w:val="24"/>
          <w:szCs w:val="24"/>
          <w:lang w:val="en-US"/>
        </w:rPr>
        <w:t xml:space="preserve">deficit, [Pi] is </w:t>
      </w:r>
      <w:r w:rsidR="0059404A" w:rsidRPr="00165ED2">
        <w:rPr>
          <w:rFonts w:ascii="Times New Roman" w:eastAsia="MS Mincho" w:hAnsi="Times New Roman" w:cs="Times New Roman"/>
          <w:sz w:val="24"/>
          <w:szCs w:val="24"/>
          <w:lang w:val="en-US"/>
        </w:rPr>
        <w:t xml:space="preserve">a </w:t>
      </w:r>
      <w:r w:rsidR="00F706DB" w:rsidRPr="00165ED2">
        <w:rPr>
          <w:rFonts w:ascii="Times New Roman" w:eastAsia="MS Mincho" w:hAnsi="Times New Roman" w:cs="Times New Roman"/>
          <w:sz w:val="24"/>
          <w:szCs w:val="24"/>
          <w:lang w:val="en-US"/>
        </w:rPr>
        <w:t>prime candidate</w:t>
      </w:r>
      <w:r w:rsidR="00C33A3C" w:rsidRPr="00165ED2">
        <w:rPr>
          <w:rFonts w:ascii="Times New Roman" w:eastAsia="MS Mincho" w:hAnsi="Times New Roman" w:cs="Times New Roman"/>
          <w:sz w:val="24"/>
          <w:szCs w:val="24"/>
          <w:lang w:val="en-US"/>
        </w:rPr>
        <w:t xml:space="preserve"> for the common denominator between fatigue and efficiency</w:t>
      </w:r>
      <w:r w:rsidR="00F706DB" w:rsidRPr="00165ED2">
        <w:rPr>
          <w:rFonts w:ascii="Times New Roman" w:eastAsia="MS Mincho" w:hAnsi="Times New Roman" w:cs="Times New Roman"/>
          <w:sz w:val="24"/>
          <w:szCs w:val="24"/>
          <w:lang w:val="en-US"/>
        </w:rPr>
        <w:t xml:space="preserve"> due to its central role in muscle fatigue</w:t>
      </w:r>
      <w:r w:rsidR="00AB0547" w:rsidRPr="00165ED2">
        <w:rPr>
          <w:rFonts w:ascii="Times New Roman" w:eastAsia="MS Mincho" w:hAnsi="Times New Roman" w:cs="Times New Roman"/>
          <w:sz w:val="24"/>
          <w:szCs w:val="24"/>
          <w:lang w:val="en-US"/>
        </w:rPr>
        <w:t xml:space="preserve"> and task failure</w:t>
      </w:r>
      <w:r w:rsidR="00F706DB" w:rsidRPr="00165ED2">
        <w:rPr>
          <w:rFonts w:ascii="Times New Roman" w:eastAsia="MS Mincho" w:hAnsi="Times New Roman" w:cs="Times New Roman"/>
          <w:sz w:val="24"/>
          <w:szCs w:val="24"/>
          <w:lang w:val="en-US"/>
        </w:rPr>
        <w:t xml:space="preserve"> </w:t>
      </w:r>
      <w:r w:rsidR="00F706DB" w:rsidRPr="00165ED2">
        <w:rPr>
          <w:rFonts w:ascii="Times New Roman" w:eastAsia="MS Mincho" w:hAnsi="Times New Roman" w:cs="Times New Roman"/>
          <w:sz w:val="24"/>
          <w:szCs w:val="24"/>
          <w:lang w:val="en-US"/>
        </w:rPr>
        <w:fldChar w:fldCharType="begin"/>
      </w:r>
      <w:r w:rsidR="00624DC9" w:rsidRPr="00165ED2">
        <w:rPr>
          <w:rFonts w:ascii="Times New Roman" w:eastAsia="MS Mincho" w:hAnsi="Times New Roman" w:cs="Times New Roman"/>
          <w:sz w:val="24"/>
          <w:szCs w:val="24"/>
          <w:lang w:val="en-US"/>
        </w:rPr>
        <w:instrText xml:space="preserve"> ADDIN ZOTERO_ITEM CSL_CITATION {"citationID":"Sel8Zkvi","properties":{"formattedCitation":"[136]","plainCitation":"[136]","noteIndex":0},"citationItems":[{"id":176,"uris":["http://zotero.org/users/5056530/items/GSIS3ARS"],"itemData":{"id":176,"type":"article-journal","abstract":"Repeated, intense use of muscles leads to a decline in performance known as muscle fatigue. Many muscle properties change during fatigue including the action potential, extracellular and intracellular ions, and many intracellular metabolites. A range of mechanisms have been identified that contribute to the decline of performance. The traditional explanation, accumulation of intracellular lactate and hydrogen ions causing impaired function of the contractile proteins, is probably of limited importance in mammals. Alternative explanations that will be considered are the effects of ionic changes on the action potential, failure of SR Ca2+ release by various mechanisms, and the effects of reactive oxygen species. Many different activities lead to fatigue, and an important challenge is to identify the various mechanisms that contribute under different circumstances. Most of the mechanistic studies of fatigue are on isolated animal tissues, and another major challenge is to use the knowledge generated in these studies to identify the mechanisms of fatigue in intact animals and particularly in human diseases.","container-title":"Physiological Reviews","DOI":"10.1152/physrev.00015.2007","ISSN":"0031-9333","issue":"1","journalAbbreviation":"Physiol. Rev.","language":"eng","note":"PMID: 18195089","page":"287-332","source":"PubMed","title":"Skeletal muscle fatigue: cellular mechanisms","title-short":"Skeletal muscle fatigue","volume":"88","author":[{"family":"Allen","given":"D. G."},{"family":"Lamb","given":"G. D."},{"family":"Westerblad","given":"H."}],"issued":{"date-parts":[["2008",1]]}}}],"schema":"https://github.com/citation-style-language/schema/raw/master/csl-citation.json"} </w:instrText>
      </w:r>
      <w:r w:rsidR="00F706DB" w:rsidRPr="00165ED2">
        <w:rPr>
          <w:rFonts w:ascii="Times New Roman" w:eastAsia="MS Mincho" w:hAnsi="Times New Roman" w:cs="Times New Roman"/>
          <w:sz w:val="24"/>
          <w:szCs w:val="24"/>
          <w:lang w:val="en-US"/>
        </w:rPr>
        <w:fldChar w:fldCharType="separate"/>
      </w:r>
      <w:r w:rsidR="00624DC9" w:rsidRPr="00165ED2">
        <w:rPr>
          <w:rFonts w:ascii="Times New Roman" w:hAnsi="Times New Roman" w:cs="Times New Roman"/>
          <w:sz w:val="24"/>
        </w:rPr>
        <w:t>[136]</w:t>
      </w:r>
      <w:r w:rsidR="00F706DB" w:rsidRPr="00165ED2">
        <w:rPr>
          <w:rFonts w:ascii="Times New Roman" w:eastAsia="MS Mincho" w:hAnsi="Times New Roman" w:cs="Times New Roman"/>
          <w:sz w:val="24"/>
          <w:szCs w:val="24"/>
          <w:lang w:val="en-US"/>
        </w:rPr>
        <w:fldChar w:fldCharType="end"/>
      </w:r>
      <w:r w:rsidR="00F706DB" w:rsidRPr="00165ED2">
        <w:rPr>
          <w:rFonts w:ascii="Times New Roman" w:eastAsia="MS Mincho" w:hAnsi="Times New Roman" w:cs="Times New Roman"/>
          <w:sz w:val="24"/>
          <w:szCs w:val="24"/>
          <w:lang w:val="en-US"/>
        </w:rPr>
        <w:t xml:space="preserve">. A recent </w:t>
      </w:r>
      <w:r w:rsidR="00F706DB" w:rsidRPr="00165ED2">
        <w:rPr>
          <w:rFonts w:ascii="Times New Roman" w:eastAsia="MS Mincho" w:hAnsi="Times New Roman" w:cs="Times New Roman"/>
          <w:i/>
          <w:sz w:val="24"/>
          <w:szCs w:val="24"/>
          <w:lang w:val="en-US"/>
        </w:rPr>
        <w:t>in silico</w:t>
      </w:r>
      <w:r w:rsidR="00F706DB" w:rsidRPr="00165ED2">
        <w:rPr>
          <w:rFonts w:ascii="Times New Roman" w:eastAsia="MS Mincho" w:hAnsi="Times New Roman" w:cs="Times New Roman"/>
          <w:sz w:val="24"/>
          <w:szCs w:val="24"/>
          <w:lang w:val="en-US"/>
        </w:rPr>
        <w:t xml:space="preserve"> study by </w:t>
      </w:r>
      <w:proofErr w:type="spellStart"/>
      <w:r w:rsidR="00F706DB" w:rsidRPr="00165ED2">
        <w:rPr>
          <w:rFonts w:ascii="Times New Roman" w:eastAsia="MS Mincho" w:hAnsi="Times New Roman" w:cs="Times New Roman"/>
          <w:sz w:val="24"/>
          <w:szCs w:val="24"/>
          <w:lang w:val="en-US"/>
        </w:rPr>
        <w:t>Korzeniewski</w:t>
      </w:r>
      <w:proofErr w:type="spellEnd"/>
      <w:r w:rsidR="00F706DB" w:rsidRPr="00165ED2">
        <w:rPr>
          <w:rFonts w:ascii="Times New Roman" w:eastAsia="MS Mincho" w:hAnsi="Times New Roman" w:cs="Times New Roman"/>
          <w:sz w:val="24"/>
          <w:szCs w:val="24"/>
          <w:lang w:val="en-US"/>
        </w:rPr>
        <w:t xml:space="preserve"> &amp; Rossiter </w:t>
      </w:r>
      <w:r w:rsidR="00DC6878" w:rsidRPr="00165ED2">
        <w:rPr>
          <w:rFonts w:ascii="Times New Roman" w:eastAsia="MS Mincho" w:hAnsi="Times New Roman" w:cs="Times New Roman"/>
          <w:sz w:val="24"/>
          <w:szCs w:val="24"/>
          <w:lang w:val="en-US"/>
        </w:rPr>
        <w:t xml:space="preserve"> </w:t>
      </w:r>
      <w:r w:rsidR="00DC6878" w:rsidRPr="00165ED2">
        <w:rPr>
          <w:rFonts w:ascii="Times New Roman" w:eastAsia="MS Mincho" w:hAnsi="Times New Roman" w:cs="Times New Roman"/>
          <w:sz w:val="24"/>
          <w:szCs w:val="24"/>
          <w:lang w:val="en-US"/>
        </w:rPr>
        <w:fldChar w:fldCharType="begin"/>
      </w:r>
      <w:r w:rsidR="007A3303" w:rsidRPr="00165ED2">
        <w:rPr>
          <w:rFonts w:ascii="Times New Roman" w:eastAsia="MS Mincho" w:hAnsi="Times New Roman" w:cs="Times New Roman"/>
          <w:sz w:val="24"/>
          <w:szCs w:val="24"/>
          <w:lang w:val="en-US"/>
        </w:rPr>
        <w:instrText xml:space="preserve"> ADDIN ZOTERO_ITEM CSL_CITATION {"citationID":"7cDIAwNv","properties":{"formattedCitation":"[10]","plainCitation":"[10]","noteIndex":0},"citationItems":[{"id":9,"uris":["http://zotero.org/users/5056530/items/UM2PSSQP"],"itemData":{"id":9,"type":"article-journal","abstract":"PURPOSE: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DC6878" w:rsidRPr="00165ED2">
        <w:rPr>
          <w:rFonts w:ascii="Times New Roman" w:eastAsia="MS Mincho" w:hAnsi="Times New Roman" w:cs="Times New Roman"/>
          <w:sz w:val="24"/>
          <w:szCs w:val="24"/>
          <w:lang w:val="en-US"/>
        </w:rPr>
        <w:fldChar w:fldCharType="separate"/>
      </w:r>
      <w:r w:rsidR="007A3303" w:rsidRPr="00165ED2">
        <w:rPr>
          <w:rFonts w:ascii="Times New Roman" w:hAnsi="Times New Roman" w:cs="Times New Roman"/>
          <w:sz w:val="24"/>
        </w:rPr>
        <w:t>[10]</w:t>
      </w:r>
      <w:r w:rsidR="00DC6878" w:rsidRPr="00165ED2">
        <w:rPr>
          <w:rFonts w:ascii="Times New Roman" w:eastAsia="MS Mincho" w:hAnsi="Times New Roman" w:cs="Times New Roman"/>
          <w:sz w:val="24"/>
          <w:szCs w:val="24"/>
          <w:lang w:val="en-US"/>
        </w:rPr>
        <w:fldChar w:fldCharType="end"/>
      </w:r>
      <w:r w:rsidR="00DC6878" w:rsidRPr="00165ED2">
        <w:rPr>
          <w:rFonts w:ascii="Times New Roman" w:eastAsia="MS Mincho" w:hAnsi="Times New Roman" w:cs="Times New Roman"/>
          <w:sz w:val="24"/>
          <w:szCs w:val="24"/>
          <w:lang w:val="en-US"/>
        </w:rPr>
        <w:t xml:space="preserve"> </w:t>
      </w:r>
      <w:r w:rsidR="00F706DB" w:rsidRPr="00165ED2">
        <w:rPr>
          <w:rFonts w:ascii="Times New Roman" w:eastAsia="MS Mincho" w:hAnsi="Times New Roman" w:cs="Times New Roman"/>
          <w:sz w:val="24"/>
          <w:szCs w:val="24"/>
          <w:lang w:val="en-US"/>
        </w:rPr>
        <w:t>tested the hypothesis that accumulation of [Pi] during the transition from rest-to-work could explain both the loss of intracellular homeostasis during supra-CP exercise and the fatigue-related termination  of exercise.</w:t>
      </w:r>
      <w:r w:rsidR="006A4589" w:rsidRPr="00165ED2">
        <w:rPr>
          <w:rFonts w:ascii="Times New Roman" w:eastAsia="MS Mincho" w:hAnsi="Times New Roman" w:cs="Times New Roman"/>
          <w:sz w:val="24"/>
          <w:szCs w:val="24"/>
          <w:lang w:val="en-US"/>
        </w:rPr>
        <w:t xml:space="preserve"> Using a validated model of the human bioenergetic system,</w:t>
      </w:r>
      <w:r w:rsidR="00F706DB" w:rsidRPr="00165ED2">
        <w:rPr>
          <w:rFonts w:ascii="Times New Roman" w:eastAsia="MS Mincho" w:hAnsi="Times New Roman" w:cs="Times New Roman"/>
          <w:sz w:val="24"/>
          <w:szCs w:val="24"/>
          <w:lang w:val="en-US"/>
        </w:rPr>
        <w:t xml:space="preserve"> </w:t>
      </w:r>
      <w:proofErr w:type="spellStart"/>
      <w:r w:rsidR="006A4589" w:rsidRPr="00165ED2">
        <w:rPr>
          <w:rFonts w:ascii="Times New Roman" w:eastAsia="MS Mincho" w:hAnsi="Times New Roman" w:cs="Times New Roman"/>
          <w:sz w:val="24"/>
          <w:szCs w:val="24"/>
          <w:lang w:val="en-US"/>
        </w:rPr>
        <w:lastRenderedPageBreak/>
        <w:t>Korzeniewski</w:t>
      </w:r>
      <w:proofErr w:type="spellEnd"/>
      <w:r w:rsidR="006A4589" w:rsidRPr="00165ED2">
        <w:rPr>
          <w:rFonts w:ascii="Times New Roman" w:eastAsia="MS Mincho" w:hAnsi="Times New Roman" w:cs="Times New Roman"/>
          <w:sz w:val="24"/>
          <w:szCs w:val="24"/>
          <w:lang w:val="en-US"/>
        </w:rPr>
        <w:t xml:space="preserve"> &amp; Rossiter </w:t>
      </w:r>
      <w:r w:rsidR="006A4589" w:rsidRPr="00165ED2">
        <w:rPr>
          <w:rFonts w:ascii="Times New Roman" w:eastAsia="MS Mincho" w:hAnsi="Times New Roman" w:cs="Times New Roman"/>
          <w:sz w:val="24"/>
          <w:szCs w:val="24"/>
          <w:lang w:val="en-US"/>
        </w:rPr>
        <w:fldChar w:fldCharType="begin"/>
      </w:r>
      <w:r w:rsidR="007A3303" w:rsidRPr="00165ED2">
        <w:rPr>
          <w:rFonts w:ascii="Times New Roman" w:eastAsia="MS Mincho" w:hAnsi="Times New Roman" w:cs="Times New Roman"/>
          <w:sz w:val="24"/>
          <w:szCs w:val="24"/>
          <w:lang w:val="en-US"/>
        </w:rPr>
        <w:instrText xml:space="preserve"> ADDIN ZOTERO_ITEM CSL_CITATION {"citationID":"oeAG0tt5","properties":{"formattedCitation":"[10]","plainCitation":"[10]","noteIndex":0},"citationItems":[{"id":9,"uris":["http://zotero.org/users/5056530/items/UM2PSSQP"],"itemData":{"id":9,"type":"article-journal","abstract":"PURPOSE: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6A4589" w:rsidRPr="00165ED2">
        <w:rPr>
          <w:rFonts w:ascii="Times New Roman" w:eastAsia="MS Mincho" w:hAnsi="Times New Roman" w:cs="Times New Roman"/>
          <w:sz w:val="24"/>
          <w:szCs w:val="24"/>
          <w:lang w:val="en-US"/>
        </w:rPr>
        <w:fldChar w:fldCharType="separate"/>
      </w:r>
      <w:r w:rsidR="007A3303" w:rsidRPr="00165ED2">
        <w:rPr>
          <w:rFonts w:ascii="Times New Roman" w:hAnsi="Times New Roman" w:cs="Times New Roman"/>
          <w:sz w:val="24"/>
        </w:rPr>
        <w:t>[10]</w:t>
      </w:r>
      <w:r w:rsidR="006A4589" w:rsidRPr="00165ED2">
        <w:rPr>
          <w:rFonts w:ascii="Times New Roman" w:eastAsia="MS Mincho" w:hAnsi="Times New Roman" w:cs="Times New Roman"/>
          <w:sz w:val="24"/>
          <w:szCs w:val="24"/>
          <w:lang w:val="en-US"/>
        </w:rPr>
        <w:fldChar w:fldCharType="end"/>
      </w:r>
      <w:r w:rsidR="006A4589" w:rsidRPr="00165ED2">
        <w:rPr>
          <w:rFonts w:ascii="Times New Roman" w:eastAsia="MS Mincho" w:hAnsi="Times New Roman" w:cs="Times New Roman"/>
          <w:sz w:val="24"/>
          <w:szCs w:val="24"/>
          <w:lang w:val="en-US"/>
        </w:rPr>
        <w:t xml:space="preserve"> defined</w:t>
      </w:r>
      <w:r w:rsidR="00F706DB" w:rsidRPr="00165ED2">
        <w:rPr>
          <w:rFonts w:ascii="Times New Roman" w:eastAsia="MS Mincho" w:hAnsi="Times New Roman" w:cs="Times New Roman"/>
          <w:sz w:val="24"/>
          <w:szCs w:val="24"/>
          <w:lang w:val="en-US"/>
        </w:rPr>
        <w:t xml:space="preserve"> a “critical” (i.e. threshold) </w:t>
      </w:r>
      <w:r w:rsidR="006A4589" w:rsidRPr="00165ED2">
        <w:rPr>
          <w:rFonts w:ascii="Times New Roman" w:eastAsia="MS Mincho" w:hAnsi="Times New Roman" w:cs="Times New Roman"/>
          <w:sz w:val="24"/>
          <w:szCs w:val="24"/>
          <w:lang w:val="en-US"/>
        </w:rPr>
        <w:t xml:space="preserve">[Pi] above which further [Pi] accumulation drove an increase in the requirements for ATP turnover (i.e., an increased ATP cost of muscle contraction) </w:t>
      </w:r>
      <w:r w:rsidR="00F706DB" w:rsidRPr="00165ED2">
        <w:rPr>
          <w:rFonts w:ascii="Times New Roman" w:eastAsia="MS Mincho" w:hAnsi="Times New Roman" w:cs="Times New Roman"/>
          <w:sz w:val="24"/>
          <w:szCs w:val="24"/>
          <w:lang w:val="en-US"/>
        </w:rPr>
        <w:t xml:space="preserve">and a “peak” (i.e. limiting) </w:t>
      </w:r>
      <w:r w:rsidR="006A4589" w:rsidRPr="00165ED2">
        <w:rPr>
          <w:rFonts w:ascii="Times New Roman" w:eastAsia="MS Mincho" w:hAnsi="Times New Roman" w:cs="Times New Roman"/>
          <w:sz w:val="24"/>
          <w:szCs w:val="24"/>
          <w:lang w:val="en-US"/>
        </w:rPr>
        <w:t xml:space="preserve">[Pi] at which exercise would cease. </w:t>
      </w:r>
      <w:r w:rsidR="00F706DB" w:rsidRPr="00165ED2">
        <w:rPr>
          <w:rFonts w:ascii="Times New Roman" w:eastAsia="MS Mincho" w:hAnsi="Times New Roman" w:cs="Times New Roman"/>
          <w:sz w:val="24"/>
          <w:szCs w:val="24"/>
          <w:lang w:val="en-US"/>
        </w:rPr>
        <w:t>Th</w:t>
      </w:r>
      <w:r w:rsidR="006A4589" w:rsidRPr="00165ED2">
        <w:rPr>
          <w:rFonts w:ascii="Times New Roman" w:eastAsia="MS Mincho" w:hAnsi="Times New Roman" w:cs="Times New Roman"/>
          <w:sz w:val="24"/>
          <w:szCs w:val="24"/>
          <w:lang w:val="en-US"/>
        </w:rPr>
        <w:t>e</w:t>
      </w:r>
      <w:r w:rsidR="00F706DB" w:rsidRPr="00165ED2">
        <w:rPr>
          <w:rFonts w:ascii="Times New Roman" w:eastAsia="MS Mincho" w:hAnsi="Times New Roman" w:cs="Times New Roman"/>
          <w:sz w:val="24"/>
          <w:szCs w:val="24"/>
          <w:lang w:val="en-US"/>
        </w:rPr>
        <w:t xml:space="preserve"> additional </w:t>
      </w:r>
      <w:r w:rsidR="00E73B1D" w:rsidRPr="00165ED2">
        <w:rPr>
          <w:rFonts w:ascii="Times New Roman" w:eastAsia="MS Mincho" w:hAnsi="Times New Roman" w:cs="Times New Roman"/>
          <w:sz w:val="24"/>
          <w:szCs w:val="24"/>
          <w:lang w:val="en-US"/>
        </w:rPr>
        <w:t>ATP turnover</w:t>
      </w:r>
      <w:r w:rsidR="00F706DB" w:rsidRPr="00165ED2">
        <w:rPr>
          <w:rFonts w:ascii="Times New Roman" w:eastAsia="MS Mincho" w:hAnsi="Times New Roman" w:cs="Times New Roman"/>
          <w:sz w:val="24"/>
          <w:szCs w:val="24"/>
          <w:lang w:val="en-US"/>
        </w:rPr>
        <w:t xml:space="preserve"> </w:t>
      </w:r>
      <w:r w:rsidR="006A4589" w:rsidRPr="00165ED2">
        <w:rPr>
          <w:rFonts w:ascii="Times New Roman" w:eastAsia="MS Mincho" w:hAnsi="Times New Roman" w:cs="Times New Roman"/>
          <w:sz w:val="24"/>
          <w:szCs w:val="24"/>
          <w:lang w:val="en-US"/>
        </w:rPr>
        <w:t xml:space="preserve">driven by [Pi] accumulation </w:t>
      </w:r>
      <w:r w:rsidR="00F706DB" w:rsidRPr="00165ED2">
        <w:rPr>
          <w:rFonts w:ascii="Times New Roman" w:eastAsia="MS Mincho" w:hAnsi="Times New Roman" w:cs="Times New Roman"/>
          <w:sz w:val="24"/>
          <w:szCs w:val="24"/>
          <w:lang w:val="en-US"/>
        </w:rPr>
        <w:t>result</w:t>
      </w:r>
      <w:r w:rsidR="00534DC4" w:rsidRPr="00165ED2">
        <w:rPr>
          <w:rFonts w:ascii="Times New Roman" w:eastAsia="MS Mincho" w:hAnsi="Times New Roman" w:cs="Times New Roman"/>
          <w:sz w:val="24"/>
          <w:szCs w:val="24"/>
          <w:lang w:val="en-US"/>
        </w:rPr>
        <w:t>ed</w:t>
      </w:r>
      <w:r w:rsidR="00F706DB" w:rsidRPr="00165ED2">
        <w:rPr>
          <w:rFonts w:ascii="Times New Roman" w:eastAsia="MS Mincho" w:hAnsi="Times New Roman" w:cs="Times New Roman"/>
          <w:sz w:val="24"/>
          <w:szCs w:val="24"/>
          <w:lang w:val="en-US"/>
        </w:rPr>
        <w:t xml:space="preserve"> in a self-propagating positive </w:t>
      </w:r>
      <w:r w:rsidR="00E73B1D" w:rsidRPr="00165ED2">
        <w:rPr>
          <w:rFonts w:ascii="Times New Roman" w:eastAsia="MS Mincho" w:hAnsi="Times New Roman" w:cs="Times New Roman"/>
          <w:sz w:val="24"/>
          <w:szCs w:val="24"/>
          <w:lang w:val="en-US"/>
        </w:rPr>
        <w:t>feedback loop where additional ATP</w:t>
      </w:r>
      <w:r w:rsidR="00F706DB" w:rsidRPr="00165ED2">
        <w:rPr>
          <w:rFonts w:ascii="Times New Roman" w:eastAsia="MS Mincho" w:hAnsi="Times New Roman" w:cs="Times New Roman"/>
          <w:sz w:val="24"/>
          <w:szCs w:val="24"/>
          <w:lang w:val="en-US"/>
        </w:rPr>
        <w:t xml:space="preserve"> turnover result</w:t>
      </w:r>
      <w:r w:rsidR="00534DC4" w:rsidRPr="00165ED2">
        <w:rPr>
          <w:rFonts w:ascii="Times New Roman" w:eastAsia="MS Mincho" w:hAnsi="Times New Roman" w:cs="Times New Roman"/>
          <w:sz w:val="24"/>
          <w:szCs w:val="24"/>
          <w:lang w:val="en-US"/>
        </w:rPr>
        <w:t>ed</w:t>
      </w:r>
      <w:r w:rsidR="00F706DB" w:rsidRPr="00165ED2">
        <w:rPr>
          <w:rFonts w:ascii="Times New Roman" w:eastAsia="MS Mincho" w:hAnsi="Times New Roman" w:cs="Times New Roman"/>
          <w:sz w:val="24"/>
          <w:szCs w:val="24"/>
          <w:lang w:val="en-US"/>
        </w:rPr>
        <w:t xml:space="preserve"> in </w:t>
      </w:r>
      <w:r w:rsidR="00534DC4" w:rsidRPr="00165ED2">
        <w:rPr>
          <w:rFonts w:ascii="Times New Roman" w:eastAsia="MS Mincho" w:hAnsi="Times New Roman" w:cs="Times New Roman"/>
          <w:sz w:val="24"/>
          <w:szCs w:val="24"/>
          <w:lang w:val="en-US"/>
        </w:rPr>
        <w:t>increased [Pi], which caused</w:t>
      </w:r>
      <w:r w:rsidR="00F706DB" w:rsidRPr="00165ED2">
        <w:rPr>
          <w:rFonts w:ascii="Times New Roman" w:eastAsia="MS Mincho" w:hAnsi="Times New Roman" w:cs="Times New Roman"/>
          <w:sz w:val="24"/>
          <w:szCs w:val="24"/>
          <w:lang w:val="en-US"/>
        </w:rPr>
        <w:t xml:space="preserve"> fatigue and additional </w:t>
      </w:r>
      <w:r w:rsidR="00E73B1D" w:rsidRPr="00165ED2">
        <w:rPr>
          <w:rFonts w:ascii="Times New Roman" w:eastAsia="MS Mincho" w:hAnsi="Times New Roman" w:cs="Times New Roman"/>
          <w:sz w:val="24"/>
          <w:szCs w:val="24"/>
          <w:lang w:val="en-US"/>
        </w:rPr>
        <w:t>ATP</w:t>
      </w:r>
      <w:r w:rsidR="00F706DB" w:rsidRPr="00165ED2">
        <w:rPr>
          <w:rFonts w:ascii="Times New Roman" w:eastAsia="MS Mincho" w:hAnsi="Times New Roman" w:cs="Times New Roman"/>
          <w:sz w:val="24"/>
          <w:szCs w:val="24"/>
          <w:lang w:val="en-US"/>
        </w:rPr>
        <w:t xml:space="preserve"> turnover, and so on</w:t>
      </w:r>
      <w:r w:rsidR="009E2F68" w:rsidRPr="00165ED2">
        <w:rPr>
          <w:rFonts w:ascii="Times New Roman" w:eastAsia="MS Mincho" w:hAnsi="Times New Roman" w:cs="Times New Roman"/>
          <w:sz w:val="24"/>
          <w:szCs w:val="24"/>
          <w:lang w:val="en-US"/>
        </w:rPr>
        <w:t xml:space="preserve"> until </w:t>
      </w:r>
      <w:r w:rsidR="00A95352" w:rsidRPr="00165ED2">
        <w:rPr>
          <w:rFonts w:ascii="Times New Roman" w:eastAsia="MS Mincho" w:hAnsi="Times New Roman" w:cs="Times New Roman"/>
          <w:sz w:val="24"/>
          <w:szCs w:val="24"/>
          <w:lang w:val="en-US"/>
        </w:rPr>
        <w:t>the</w:t>
      </w:r>
      <w:r w:rsidR="009E2F68" w:rsidRPr="00165ED2">
        <w:rPr>
          <w:rFonts w:ascii="Times New Roman" w:eastAsia="MS Mincho" w:hAnsi="Times New Roman" w:cs="Times New Roman"/>
          <w:sz w:val="24"/>
          <w:szCs w:val="24"/>
          <w:lang w:val="en-US"/>
        </w:rPr>
        <w:t xml:space="preserve"> pre-defined peak [Pi]</w:t>
      </w:r>
      <w:r w:rsidR="006A4589" w:rsidRPr="00165ED2">
        <w:rPr>
          <w:rFonts w:ascii="Times New Roman" w:eastAsia="MS Mincho" w:hAnsi="Times New Roman" w:cs="Times New Roman"/>
          <w:sz w:val="24"/>
          <w:szCs w:val="24"/>
          <w:lang w:val="en-US"/>
        </w:rPr>
        <w:t xml:space="preserve"> (and </w:t>
      </w:r>
      <w:r w:rsidR="00C95EB6" w:rsidRPr="00165ED2">
        <w:rPr>
          <w:rFonts w:ascii="Times New Roman" w:eastAsia="MS Mincho" w:hAnsi="Times New Roman" w:cs="Times New Roman"/>
          <w:sz w:val="24"/>
          <w:szCs w:val="24"/>
          <w:lang w:val="en-US"/>
        </w:rPr>
        <w:t xml:space="preserve">accompanying muscle </w:t>
      </w:r>
      <w:r w:rsidR="006A4589" w:rsidRPr="00165ED2">
        <w:rPr>
          <w:rFonts w:ascii="Times New Roman" w:hAnsi="Times New Roman" w:cs="Times New Roman"/>
          <w:sz w:val="24"/>
          <w:szCs w:val="24"/>
          <w:lang w:val="en-US"/>
        </w:rPr>
        <w:t>V̇O</w:t>
      </w:r>
      <w:r w:rsidR="006A4589" w:rsidRPr="00165ED2">
        <w:rPr>
          <w:rFonts w:ascii="Times New Roman" w:hAnsi="Times New Roman" w:cs="Times New Roman"/>
          <w:sz w:val="24"/>
          <w:szCs w:val="24"/>
          <w:vertAlign w:val="subscript"/>
          <w:lang w:val="en-US"/>
        </w:rPr>
        <w:t>2max</w:t>
      </w:r>
      <w:r w:rsidR="006A4589" w:rsidRPr="00165ED2">
        <w:rPr>
          <w:rFonts w:ascii="Times New Roman" w:hAnsi="Times New Roman" w:cs="Times New Roman"/>
          <w:sz w:val="24"/>
          <w:szCs w:val="24"/>
          <w:lang w:val="en-US"/>
        </w:rPr>
        <w:t>)</w:t>
      </w:r>
      <w:r w:rsidR="006A4589" w:rsidRPr="00165ED2">
        <w:rPr>
          <w:rFonts w:ascii="Times New Roman" w:eastAsia="MS Mincho" w:hAnsi="Times New Roman" w:cs="Times New Roman"/>
          <w:sz w:val="24"/>
          <w:szCs w:val="24"/>
          <w:lang w:val="en-US"/>
        </w:rPr>
        <w:t xml:space="preserve"> </w:t>
      </w:r>
      <w:r w:rsidR="009E2F68" w:rsidRPr="00165ED2">
        <w:rPr>
          <w:rFonts w:ascii="Times New Roman" w:eastAsia="MS Mincho" w:hAnsi="Times New Roman" w:cs="Times New Roman"/>
          <w:sz w:val="24"/>
          <w:szCs w:val="24"/>
          <w:lang w:val="en-US"/>
        </w:rPr>
        <w:t>was achieved. By contrast</w:t>
      </w:r>
      <w:r w:rsidR="00925538" w:rsidRPr="00165ED2">
        <w:rPr>
          <w:rFonts w:ascii="Times New Roman" w:eastAsia="MS Mincho" w:hAnsi="Times New Roman" w:cs="Times New Roman"/>
          <w:sz w:val="24"/>
          <w:szCs w:val="24"/>
          <w:lang w:val="en-US"/>
        </w:rPr>
        <w:t xml:space="preserve">, when </w:t>
      </w:r>
      <w:r w:rsidR="00E73B1D" w:rsidRPr="00165ED2">
        <w:rPr>
          <w:rFonts w:ascii="Times New Roman" w:eastAsia="MS Mincho" w:hAnsi="Times New Roman" w:cs="Times New Roman"/>
          <w:sz w:val="24"/>
          <w:szCs w:val="24"/>
          <w:lang w:val="en-US"/>
        </w:rPr>
        <w:t>[Pi] accumulate</w:t>
      </w:r>
      <w:r w:rsidR="00925538" w:rsidRPr="00165ED2">
        <w:rPr>
          <w:rFonts w:ascii="Times New Roman" w:eastAsia="MS Mincho" w:hAnsi="Times New Roman" w:cs="Times New Roman"/>
          <w:sz w:val="24"/>
          <w:szCs w:val="24"/>
          <w:lang w:val="en-US"/>
        </w:rPr>
        <w:t>d below or only marginally</w:t>
      </w:r>
      <w:r w:rsidR="00E73B1D" w:rsidRPr="00165ED2">
        <w:rPr>
          <w:rFonts w:ascii="Times New Roman" w:eastAsia="MS Mincho" w:hAnsi="Times New Roman" w:cs="Times New Roman"/>
          <w:sz w:val="24"/>
          <w:szCs w:val="24"/>
          <w:lang w:val="en-US"/>
        </w:rPr>
        <w:t xml:space="preserve"> above critical [Pi] this positive feedback loop stabilize</w:t>
      </w:r>
      <w:r w:rsidR="00534DC4" w:rsidRPr="00165ED2">
        <w:rPr>
          <w:rFonts w:ascii="Times New Roman" w:eastAsia="MS Mincho" w:hAnsi="Times New Roman" w:cs="Times New Roman"/>
          <w:sz w:val="24"/>
          <w:szCs w:val="24"/>
          <w:lang w:val="en-US"/>
        </w:rPr>
        <w:t>d</w:t>
      </w:r>
      <w:r w:rsidR="00C95EB6" w:rsidRPr="00165ED2">
        <w:rPr>
          <w:rFonts w:ascii="Times New Roman" w:eastAsia="MS Mincho" w:hAnsi="Times New Roman" w:cs="Times New Roman"/>
          <w:sz w:val="24"/>
          <w:szCs w:val="24"/>
          <w:lang w:val="en-US"/>
        </w:rPr>
        <w:t xml:space="preserve"> such that [Pi] did not attain peak values and muscle oxygen uptake attained a steady state. Based on th</w:t>
      </w:r>
      <w:r w:rsidR="00871ABA" w:rsidRPr="00165ED2">
        <w:rPr>
          <w:rFonts w:ascii="Times New Roman" w:eastAsia="MS Mincho" w:hAnsi="Times New Roman" w:cs="Times New Roman"/>
          <w:sz w:val="24"/>
          <w:szCs w:val="24"/>
          <w:lang w:val="en-US"/>
        </w:rPr>
        <w:t xml:space="preserve">ese findings </w:t>
      </w:r>
      <w:r w:rsidR="00C95EB6" w:rsidRPr="00165ED2">
        <w:rPr>
          <w:rFonts w:ascii="Times New Roman" w:eastAsia="MS Mincho" w:hAnsi="Times New Roman" w:cs="Times New Roman"/>
          <w:sz w:val="24"/>
          <w:szCs w:val="24"/>
          <w:lang w:val="en-US"/>
        </w:rPr>
        <w:t xml:space="preserve">we therefore recently proposed a model </w:t>
      </w:r>
      <w:r w:rsidR="00771A1F" w:rsidRPr="00165ED2">
        <w:rPr>
          <w:rFonts w:ascii="Times New Roman" w:eastAsia="MS Mincho" w:hAnsi="Times New Roman" w:cs="Times New Roman"/>
          <w:sz w:val="24"/>
          <w:szCs w:val="24"/>
          <w:lang w:val="en-US"/>
        </w:rPr>
        <w:t xml:space="preserve">whereby </w:t>
      </w:r>
      <w:r w:rsidR="00E40A3B" w:rsidRPr="00165ED2">
        <w:rPr>
          <w:rFonts w:ascii="Times New Roman" w:eastAsia="MS Mincho" w:hAnsi="Times New Roman" w:cs="Times New Roman"/>
          <w:sz w:val="24"/>
          <w:szCs w:val="24"/>
          <w:lang w:val="en-US"/>
        </w:rPr>
        <w:t>muscle O</w:t>
      </w:r>
      <w:r w:rsidR="00E40A3B" w:rsidRPr="00165ED2">
        <w:rPr>
          <w:rFonts w:ascii="Times New Roman" w:eastAsia="MS Mincho" w:hAnsi="Times New Roman" w:cs="Times New Roman"/>
          <w:sz w:val="24"/>
          <w:szCs w:val="24"/>
          <w:vertAlign w:val="subscript"/>
          <w:lang w:val="en-US"/>
        </w:rPr>
        <w:t>2</w:t>
      </w:r>
      <w:r w:rsidR="00E40A3B" w:rsidRPr="00165ED2">
        <w:rPr>
          <w:rFonts w:ascii="Times New Roman" w:eastAsia="MS Mincho" w:hAnsi="Times New Roman" w:cs="Times New Roman"/>
          <w:sz w:val="24"/>
          <w:szCs w:val="24"/>
          <w:lang w:val="en-US"/>
        </w:rPr>
        <w:t xml:space="preserve"> consumption kinetics</w:t>
      </w:r>
      <w:r w:rsidR="00E40A3B" w:rsidRPr="00165ED2">
        <w:rPr>
          <w:rFonts w:ascii="Times New Roman" w:hAnsi="Times New Roman" w:cs="Times New Roman"/>
          <w:sz w:val="24"/>
        </w:rPr>
        <w:t xml:space="preserve"> determine</w:t>
      </w:r>
      <w:r w:rsidR="00771A1F" w:rsidRPr="00165ED2">
        <w:rPr>
          <w:rFonts w:ascii="Times New Roman" w:hAnsi="Times New Roman" w:cs="Times New Roman"/>
          <w:sz w:val="24"/>
        </w:rPr>
        <w:t xml:space="preserve"> CP by dictating the magnitude of O</w:t>
      </w:r>
      <w:r w:rsidR="00771A1F" w:rsidRPr="00165ED2">
        <w:rPr>
          <w:rFonts w:ascii="Times New Roman" w:hAnsi="Times New Roman" w:cs="Times New Roman"/>
          <w:sz w:val="24"/>
          <w:vertAlign w:val="subscript"/>
        </w:rPr>
        <w:t>2</w:t>
      </w:r>
      <w:r w:rsidR="00771A1F" w:rsidRPr="00165ED2">
        <w:rPr>
          <w:rFonts w:ascii="Times New Roman" w:hAnsi="Times New Roman" w:cs="Times New Roman"/>
          <w:sz w:val="24"/>
        </w:rPr>
        <w:t xml:space="preserve"> deficit (and thus [Pi], amongst other factors) accumulated during a given exercise transition</w:t>
      </w:r>
      <w:r w:rsidR="006A4589" w:rsidRPr="00165ED2">
        <w:rPr>
          <w:rFonts w:ascii="Times New Roman" w:hAnsi="Times New Roman" w:cs="Times New Roman"/>
          <w:sz w:val="24"/>
        </w:rPr>
        <w:t xml:space="preserve"> </w:t>
      </w:r>
      <w:r w:rsidR="006A4589" w:rsidRPr="00165ED2">
        <w:rPr>
          <w:rFonts w:ascii="Times New Roman" w:hAnsi="Times New Roman" w:cs="Times New Roman"/>
          <w:sz w:val="24"/>
        </w:rPr>
        <w:fldChar w:fldCharType="begin"/>
      </w:r>
      <w:r w:rsidR="006A4589" w:rsidRPr="00165ED2">
        <w:rPr>
          <w:rFonts w:ascii="Times New Roman" w:hAnsi="Times New Roman" w:cs="Times New Roman"/>
          <w:sz w:val="24"/>
        </w:rPr>
        <w:instrText xml:space="preserve"> ADDIN ZOTERO_ITEM CSL_CITATION {"citationID":"mEk5aCle","properties":{"formattedCitation":"[8]","plainCitation":"[8]","noteIndex":0},"citationItems":[{"id":3098,"uris":["http://zotero.org/users/5056530/items/4HUF4V3M"],"itemData":{"id":3098,"type":"article-journal","abstract":"We hypothesize that the V[Combining Dot Above]O2 time constant (τV[Combining Dot Above]O2) determines exercise tolerance by defining the power output associated with a “critical threshold” of intramuscular metabolite accumulation (e.g. inorganic phosphate), above which muscle fatigue and work inefficiency are apparent. Thereafter, the V[Combining Dot Above]O2 “slow component”, and its consequences (increased pulmonary, circulatory and neuromuscular demands) determine performance limits.","container-title":"Exercise and Sport Sciences Reviews","DOI":"10.1249/JES.0000000000000267","ISSN":"0091-6331","language":"en-US","source":"journals.lww.com","title":"Bioenergetic Mechanisms Linking V[Combining Dot Above]O2 Kinetics and Exercise Tolerance","URL":"https://journals.lww.com/acsm-essr/Abstract/9000/Bioenergetic_Mechanisms_Linking_V_Combining_Dot.99696.aspx","author":[{"family":"Goulding","given":"Richie P."},{"family":"Rossiter","given":"Harry B."},{"family":"Marwood","given":"Simon"},{"family":"Ferguson","given":"Carrie"}],"accessed":{"date-parts":[["2021",7,20]]},"issued":{"date-parts":[["2021",7,15]]}}}],"schema":"https://github.com/citation-style-language/schema/raw/master/csl-citation.json"} </w:instrText>
      </w:r>
      <w:r w:rsidR="006A4589" w:rsidRPr="00165ED2">
        <w:rPr>
          <w:rFonts w:ascii="Times New Roman" w:hAnsi="Times New Roman" w:cs="Times New Roman"/>
          <w:sz w:val="24"/>
        </w:rPr>
        <w:fldChar w:fldCharType="separate"/>
      </w:r>
      <w:r w:rsidR="00CD4112" w:rsidRPr="00165ED2">
        <w:rPr>
          <w:rFonts w:ascii="Times New Roman" w:hAnsi="Times New Roman" w:cs="Times New Roman"/>
          <w:sz w:val="24"/>
        </w:rPr>
        <w:t>[8]</w:t>
      </w:r>
      <w:r w:rsidR="006A4589" w:rsidRPr="00165ED2">
        <w:rPr>
          <w:rFonts w:ascii="Times New Roman" w:hAnsi="Times New Roman" w:cs="Times New Roman"/>
          <w:sz w:val="24"/>
        </w:rPr>
        <w:fldChar w:fldCharType="end"/>
      </w:r>
      <w:r w:rsidR="00771A1F" w:rsidRPr="00165ED2">
        <w:rPr>
          <w:rFonts w:ascii="Times New Roman" w:hAnsi="Times New Roman" w:cs="Times New Roman"/>
          <w:sz w:val="24"/>
        </w:rPr>
        <w:t xml:space="preserve">. </w:t>
      </w:r>
      <w:r w:rsidR="00D225A5" w:rsidRPr="00165ED2">
        <w:rPr>
          <w:rFonts w:ascii="Times New Roman" w:eastAsia="MS Mincho" w:hAnsi="Times New Roman" w:cs="Times New Roman"/>
          <w:bCs/>
          <w:sz w:val="24"/>
          <w:szCs w:val="24"/>
          <w:lang w:val="en-US"/>
        </w:rPr>
        <w:t>Slow V̇O</w:t>
      </w:r>
      <w:r w:rsidR="00D225A5" w:rsidRPr="00165ED2">
        <w:rPr>
          <w:rFonts w:ascii="Times New Roman" w:eastAsia="MS Mincho" w:hAnsi="Times New Roman" w:cs="Times New Roman"/>
          <w:bCs/>
          <w:sz w:val="24"/>
          <w:szCs w:val="24"/>
          <w:vertAlign w:val="subscript"/>
          <w:lang w:val="en-US"/>
        </w:rPr>
        <w:t>2</w:t>
      </w:r>
      <w:r w:rsidR="00D225A5" w:rsidRPr="00165ED2">
        <w:rPr>
          <w:rFonts w:ascii="Times New Roman" w:eastAsia="MS Mincho" w:hAnsi="Times New Roman" w:cs="Times New Roman"/>
          <w:bCs/>
          <w:sz w:val="24"/>
          <w:szCs w:val="24"/>
          <w:lang w:val="en-US"/>
        </w:rPr>
        <w:t xml:space="preserve"> kinetics</w:t>
      </w:r>
      <w:r w:rsidR="00297BE6" w:rsidRPr="00165ED2">
        <w:rPr>
          <w:rFonts w:ascii="Times New Roman" w:eastAsia="MS Mincho" w:hAnsi="Times New Roman" w:cs="Times New Roman"/>
          <w:bCs/>
          <w:sz w:val="24"/>
          <w:szCs w:val="24"/>
          <w:lang w:val="en-US"/>
        </w:rPr>
        <w:t xml:space="preserve"> </w:t>
      </w:r>
      <w:r w:rsidR="00D225A5" w:rsidRPr="00165ED2">
        <w:rPr>
          <w:rFonts w:ascii="Times New Roman" w:eastAsia="MS Mincho" w:hAnsi="Times New Roman" w:cs="Times New Roman"/>
          <w:bCs/>
          <w:sz w:val="24"/>
          <w:szCs w:val="24"/>
          <w:lang w:val="en-US"/>
        </w:rPr>
        <w:t xml:space="preserve">begets large intracellular perturbations </w:t>
      </w:r>
      <w:r w:rsidR="00297BE6" w:rsidRPr="00165ED2">
        <w:rPr>
          <w:rFonts w:ascii="Times New Roman" w:eastAsia="MS Mincho" w:hAnsi="Times New Roman" w:cs="Times New Roman"/>
          <w:bCs/>
          <w:sz w:val="24"/>
          <w:szCs w:val="24"/>
          <w:lang w:val="en-US"/>
        </w:rPr>
        <w:t>whereas</w:t>
      </w:r>
      <w:r w:rsidR="00D225A5" w:rsidRPr="00165ED2">
        <w:rPr>
          <w:rFonts w:ascii="Times New Roman" w:eastAsia="MS Mincho" w:hAnsi="Times New Roman" w:cs="Times New Roman"/>
          <w:bCs/>
          <w:sz w:val="24"/>
          <w:szCs w:val="24"/>
          <w:lang w:val="en-US"/>
        </w:rPr>
        <w:t xml:space="preserve"> fast V̇O</w:t>
      </w:r>
      <w:r w:rsidR="00D225A5" w:rsidRPr="00165ED2">
        <w:rPr>
          <w:rFonts w:ascii="Times New Roman" w:eastAsia="MS Mincho" w:hAnsi="Times New Roman" w:cs="Times New Roman"/>
          <w:bCs/>
          <w:sz w:val="24"/>
          <w:szCs w:val="24"/>
          <w:vertAlign w:val="subscript"/>
          <w:lang w:val="en-US"/>
        </w:rPr>
        <w:t>2</w:t>
      </w:r>
      <w:r w:rsidR="00D225A5" w:rsidRPr="00165ED2">
        <w:rPr>
          <w:rFonts w:ascii="Times New Roman" w:eastAsia="MS Mincho" w:hAnsi="Times New Roman" w:cs="Times New Roman"/>
          <w:bCs/>
          <w:sz w:val="24"/>
          <w:szCs w:val="24"/>
          <w:lang w:val="en-US"/>
        </w:rPr>
        <w:t xml:space="preserve"> kinetics engenders smaller intracellular perturbations for </w:t>
      </w:r>
      <w:r w:rsidR="00297BE6" w:rsidRPr="00165ED2">
        <w:rPr>
          <w:rFonts w:ascii="Times New Roman" w:eastAsia="MS Mincho" w:hAnsi="Times New Roman" w:cs="Times New Roman"/>
          <w:bCs/>
          <w:sz w:val="24"/>
          <w:szCs w:val="24"/>
          <w:lang w:val="en-US"/>
        </w:rPr>
        <w:t>a given</w:t>
      </w:r>
      <w:r w:rsidR="00D225A5" w:rsidRPr="00165ED2">
        <w:rPr>
          <w:rFonts w:ascii="Times New Roman" w:eastAsia="MS Mincho" w:hAnsi="Times New Roman" w:cs="Times New Roman"/>
          <w:bCs/>
          <w:sz w:val="24"/>
          <w:szCs w:val="24"/>
          <w:lang w:val="en-US"/>
        </w:rPr>
        <w:t xml:space="preserve"> metabolic rate</w:t>
      </w:r>
      <w:r w:rsidR="00297BE6" w:rsidRPr="00165ED2">
        <w:rPr>
          <w:rFonts w:ascii="Times New Roman" w:eastAsia="MS Mincho" w:hAnsi="Times New Roman" w:cs="Times New Roman"/>
          <w:bCs/>
          <w:sz w:val="24"/>
          <w:szCs w:val="24"/>
          <w:lang w:val="en-US"/>
        </w:rPr>
        <w:t xml:space="preserve"> at exercise onset</w:t>
      </w:r>
      <w:r w:rsidR="00D225A5" w:rsidRPr="00165ED2">
        <w:rPr>
          <w:rFonts w:ascii="Times New Roman" w:eastAsia="MS Mincho" w:hAnsi="Times New Roman" w:cs="Times New Roman"/>
          <w:bCs/>
          <w:sz w:val="24"/>
          <w:szCs w:val="24"/>
          <w:lang w:val="en-US"/>
        </w:rPr>
        <w:t xml:space="preserve"> </w:t>
      </w:r>
      <w:r w:rsidR="00D225A5"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w2qhYEaN","properties":{"formattedCitation":"[102,104,110,137]","plainCitation":"[102,104,110,137]","noteIndex":0},"citationItems":[{"id":1111,"uris":["http://zotero.org/users/5056530/items/4KG9YSPN"],"itemData":{"id":1111,"type":"article-journal","abstract":"Computer simulations, using the \"Pi double-threshold\" mechanism of muscle fatigue postulated previously (the first threshold initiating progressive reduction in work efficiency and the second threshold resulting in exercise intolerance), demonstrated that several parameters of the skeletal muscle bioenergetic system can affect the maximum oxygen consumption (V̇O2max), critical power (CP) and oxygen consumption (V̇O2) on-kinetics in skeletal muscle. Simulations and experimental observations together demonstrate that endurance exercise training increases oxidative phosphorylation (OXPHOS) activity and/or each-step activation (ESA) intensity, the latter especially in the early stages of training. Here, new computer simulations demonstrate that an endurance training-induced increase in OXPHOS activity and decrease in peak Pi (Pipeak), at which exercise is terminated because of exercise intolerance, result in increased V̇O2max and CP, speeding of the primary phase II of V̇O2 on-kinetics and decrease of the V̇O2 slow component magnitude, consistent with their observed behavior in vivo. It is possible, but remains unknown, whether there is a contribution to this behavior of an increase in the critical Pi (Picrit), above which the additional ATP usage underlying the slow component begins, and decrease in the activity of the additional ATP usage (kadd). Thus, we offer a mechanism, involving Pi accumulation, Picrit and Pipeak, of the training-induced adaptations in V̇O2max, CP, and the primary and slow component phases of V̇O2 on-kinetics that was absent in the literature.","container-title":"Journal of Applied Physiology","DOI":"10.1152/japplphysiol.00745.2020","ISSN":"8750-7587","note":"publisher: American Physiological Society","source":"journals.physiology.org (Atypon)","title":"Factors determining training-induced changes in V̇O2max, critical power and V̇O2 on-kinetics in skeletal muscle","URL":"https://journals.physiology.org/doi/abs/10.1152/japplphysiol.00745.2020","author":[{"family":"Korzeniewski","given":"Bernard"},{"family":"Rossiter","given":"Harry B."}],"accessed":{"date-parts":[["2020",11,25]]},"issued":{"date-parts":[["2020",11,19]]}}},{"id":677,"uris":["http://zotero.org/users/5056530/items/JB86X4WU"],"itemData":{"id":677,"type":"article-journal","abstract":"1. A prior bout of high-intensity square-wave exercise can increase the temporal adaptation of pulmonary oxygen uptake (.V(O2)) to a subsequent bout of high-intensity exercise. The mechanisms controlling this adaptation, however, are poorly understood. 2. We therefore determined the dynamics of intramuscular [phosphocreatine] ([PCr]) simultaneously with those of .V(O2) in seven males who performed two consecutive bouts of high-intensity square-wave, knee-extensor exercise in the prone position for 6 min with a 6 min rest interval. A magnetic resonance spectroscopy (MRS) transmit-receive surface coil under the quadriceps muscle allowed estimation of [PCr]; .V(O2) was measured breath-by-breath using a custom-designed turbine and a mass spectrometer system. 3. The .V(O2) kinetics of the second exercise bout were altered compared with the first such that (a) not only was the instantaneous rate of .V(O2) change (at a given level of .V(O2)) greater but the phase II tau was also reduced - averaging 46.6 +/- 6.0 s (bout 1) and 40.7 +/- 8.4 s (bout 2) (mean +/- S.D.) and (b) the magnitude of the later slow component was reduced. 4. This was associated with a reduction of, on average, 16.1% in the total exercise-induced [PCr] decrement over the 6 min of the exercise, of which 4.0% was due to a reduction in the slow component of [PCr]. There was no discernable alteration in the initial rate of [PCr] change. The prior exercise, therefore, changed the multi-compartment behaviour towards that of functionally first-order dynamics. 5. These observations demonstrate that the .V(O2) responses relative to the work rate input for high-intensity exercise are non-linear, as are, it appears, the putative phosphate-linked controllers for which [PCr] serves as a surrogate.","container-title":"The Journal of Physiology","ISSN":"0022-3751","issue":"Pt 1","journalAbbreviation":"J. Physiol. (Lond.)","language":"eng","note":"PMID: 11711581\nPMCID: PMC2278929","page":"291-303","source":"PubMed","title":"Effects of prior exercise on oxygen uptake and phosphocreatine kinetics during high-intensity knee-extension exercise in humans","volume":"537","author":[{"family":"Rossiter","given":"H. B."},{"family":"Ward","given":"S. A."},{"family":"Kowalchuk","given":"J. M."},{"family":"Howe","given":"F. A."},{"family":"Griffiths","given":"J. R."},{"family":"Whipp","given":"B. J."}],"issued":{"date-parts":[["2001",11,15]]}}},{"id":457,"uris":["http://zotero.org/users/5056530/items/VHQAUGQ7"],"itemData":{"id":457,"type":"article-journal","abstract":"An analysis of previously published data obtained by our group on patients characterized by markedly slower pulmonary VO₂ kinetics (heart transplant recipients, patients with mitochondrial myopathies, patients with McArdle disease) was carried out in order to suggest that slow VO₂ kinetics should not be considered the direct cause, but rather a marker, of impaired exercise tolerance. For a given ATP turnover rate, faster (or slower) VO₂ kinetics are associated with smaller (or greater) muscle [PCr] decreases. The latter, however, should not be taken per se responsible for the higher (or lower) exercise tolerance, but should be considered within the general concept of \"metabolic stability\". Good muscle metabolic stability at a given ATP turnover rate (~power output) is associated with relatively smaller decreases, compared to rest, in [PCr] and in the Gibbs free energy of ATP hydrolysis, as well as with relatively smaller increases in [Pi], [ADP(free)], [AMP(free)], and [IMP(free)], metabolites directly related to fatigue. Disturbances in muscle metabolic stability can affect muscle function in various ways, whereas good metabolic stability is associated with less fatigue and higher exercise tolerance. Smaller [PCr] decreases, however, are strictly associated with a faster VO₂ kinetics. Thus, faster VO₂ kinetics may simply be an \"epiphenomenon\" of a relatively higher metabolic stability, which would then represent the relevant variable in terms of fatigue and exercise tolerance.","container-title":"European Journal of Applied Physiology","DOI":"10.1007/s00421-010-1609-1","ISSN":"1439-6327","issue":"3","journalAbbreviation":"Eur. J. Appl. Physiol.","language":"eng","note":"PMID: 20821336","page":"345-355","source":"PubMed","title":"Slow VO₂ kinetics during moderate-intensity exercise as markers of lower metabolic stability and lower exercise tolerance","volume":"111","author":[{"family":"Grassi","given":"Bruno"},{"family":"Porcelli","given":"Simone"},{"family":"Salvadego","given":"Desy"},{"family":"Zoladz","given":"Jerzy A."}],"issued":{"date-parts":[["2011",3]]}}},{"id":169,"uris":["http://zotero.org/users/5056530/items/V8V82EFQ"],"itemData":{"id":169,"type":"chapter","abstract":"The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Physiology","ISBN":"978-0-470-65071-4","language":"en","license":"Copyright © 2011 American Physiological Society. All rights reserved.","note":"DOI: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D225A5"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rPr>
        <w:t>[102,104,110,137]</w:t>
      </w:r>
      <w:r w:rsidR="00D225A5" w:rsidRPr="00165ED2">
        <w:rPr>
          <w:rFonts w:ascii="Times New Roman" w:eastAsia="MS Mincho" w:hAnsi="Times New Roman" w:cs="Times New Roman"/>
          <w:bCs/>
          <w:sz w:val="24"/>
          <w:szCs w:val="24"/>
          <w:lang w:val="en-US"/>
        </w:rPr>
        <w:fldChar w:fldCharType="end"/>
      </w:r>
      <w:r w:rsidR="00D225A5" w:rsidRPr="00165ED2">
        <w:rPr>
          <w:rFonts w:ascii="Times New Roman" w:eastAsia="MS Mincho" w:hAnsi="Times New Roman" w:cs="Times New Roman"/>
          <w:bCs/>
          <w:sz w:val="24"/>
          <w:szCs w:val="24"/>
          <w:lang w:val="en-US"/>
        </w:rPr>
        <w:t xml:space="preserve">. </w:t>
      </w:r>
      <w:r w:rsidR="00771A1F" w:rsidRPr="00165ED2">
        <w:rPr>
          <w:rFonts w:ascii="Times New Roman" w:hAnsi="Times New Roman" w:cs="Times New Roman"/>
          <w:sz w:val="24"/>
        </w:rPr>
        <w:t>Accordingly</w:t>
      </w:r>
      <w:r w:rsidR="00D152FE" w:rsidRPr="00165ED2">
        <w:rPr>
          <w:rFonts w:ascii="Times New Roman" w:hAnsi="Times New Roman" w:cs="Times New Roman"/>
          <w:sz w:val="24"/>
        </w:rPr>
        <w:t xml:space="preserve">, </w:t>
      </w:r>
      <w:r w:rsidR="00297BE6" w:rsidRPr="00165ED2">
        <w:rPr>
          <w:rFonts w:ascii="Times New Roman" w:hAnsi="Times New Roman" w:cs="Times New Roman"/>
          <w:sz w:val="24"/>
        </w:rPr>
        <w:t xml:space="preserve">more rapid </w:t>
      </w:r>
      <w:r w:rsidR="00297BE6" w:rsidRPr="00165ED2">
        <w:rPr>
          <w:rFonts w:ascii="Times New Roman" w:eastAsia="MS Mincho" w:hAnsi="Times New Roman" w:cs="Times New Roman"/>
          <w:bCs/>
          <w:sz w:val="24"/>
          <w:szCs w:val="24"/>
          <w:lang w:val="en-US"/>
        </w:rPr>
        <w:t>V̇O</w:t>
      </w:r>
      <w:r w:rsidR="00297BE6" w:rsidRPr="00165ED2">
        <w:rPr>
          <w:rFonts w:ascii="Times New Roman" w:eastAsia="MS Mincho" w:hAnsi="Times New Roman" w:cs="Times New Roman"/>
          <w:bCs/>
          <w:sz w:val="24"/>
          <w:szCs w:val="24"/>
          <w:vertAlign w:val="subscript"/>
          <w:lang w:val="en-US"/>
        </w:rPr>
        <w:t>2</w:t>
      </w:r>
      <w:r w:rsidR="00297BE6" w:rsidRPr="00165ED2">
        <w:rPr>
          <w:rFonts w:ascii="Times New Roman" w:eastAsia="MS Mincho" w:hAnsi="Times New Roman" w:cs="Times New Roman"/>
          <w:bCs/>
          <w:sz w:val="24"/>
          <w:szCs w:val="24"/>
          <w:lang w:val="en-US"/>
        </w:rPr>
        <w:t xml:space="preserve"> kinetics </w:t>
      </w:r>
      <w:r w:rsidR="00D152FE" w:rsidRPr="00165ED2">
        <w:rPr>
          <w:rFonts w:ascii="Times New Roman" w:hAnsi="Times New Roman" w:cs="Times New Roman"/>
          <w:sz w:val="24"/>
        </w:rPr>
        <w:t>will enable a higher exercise intensity before a critical value of [Pi] is breached, th</w:t>
      </w:r>
      <w:r w:rsidR="00297BE6" w:rsidRPr="00165ED2">
        <w:rPr>
          <w:rFonts w:ascii="Times New Roman" w:hAnsi="Times New Roman" w:cs="Times New Roman"/>
          <w:sz w:val="24"/>
        </w:rPr>
        <w:t>ereby</w:t>
      </w:r>
      <w:r w:rsidR="00D152FE" w:rsidRPr="00165ED2">
        <w:rPr>
          <w:rFonts w:ascii="Times New Roman" w:hAnsi="Times New Roman" w:cs="Times New Roman"/>
          <w:sz w:val="24"/>
        </w:rPr>
        <w:t xml:space="preserve"> </w:t>
      </w:r>
      <w:r w:rsidR="00297BE6" w:rsidRPr="00165ED2">
        <w:rPr>
          <w:rFonts w:ascii="Times New Roman" w:hAnsi="Times New Roman" w:cs="Times New Roman"/>
          <w:sz w:val="24"/>
        </w:rPr>
        <w:t xml:space="preserve">increasing </w:t>
      </w:r>
      <w:r w:rsidR="00D152FE" w:rsidRPr="00165ED2">
        <w:rPr>
          <w:rFonts w:ascii="Times New Roman" w:hAnsi="Times New Roman" w:cs="Times New Roman"/>
          <w:sz w:val="24"/>
        </w:rPr>
        <w:t>critical power, all else being equal.</w:t>
      </w:r>
      <w:r w:rsidR="00AB0547" w:rsidRPr="00165ED2">
        <w:rPr>
          <w:rFonts w:ascii="Times New Roman" w:hAnsi="Times New Roman" w:cs="Times New Roman"/>
          <w:sz w:val="24"/>
        </w:rPr>
        <w:t xml:space="preserve"> Importantly, simulating alterations in </w:t>
      </w:r>
      <w:r w:rsidR="00AB0547" w:rsidRPr="00165ED2">
        <w:rPr>
          <w:rFonts w:ascii="Times New Roman" w:hAnsi="Times New Roman" w:cs="Times New Roman"/>
          <w:i/>
          <w:sz w:val="24"/>
        </w:rPr>
        <w:t>P</w:t>
      </w:r>
      <w:r w:rsidR="00AB0547" w:rsidRPr="00165ED2">
        <w:rPr>
          <w:rFonts w:ascii="Times New Roman" w:hAnsi="Times New Roman" w:cs="Times New Roman"/>
          <w:sz w:val="24"/>
        </w:rPr>
        <w:t>O</w:t>
      </w:r>
      <w:r w:rsidR="00AB0547" w:rsidRPr="00165ED2">
        <w:rPr>
          <w:rFonts w:ascii="Times New Roman" w:hAnsi="Times New Roman" w:cs="Times New Roman"/>
          <w:sz w:val="24"/>
          <w:vertAlign w:val="subscript"/>
        </w:rPr>
        <w:t>2im</w:t>
      </w:r>
      <w:r w:rsidR="00AB0547" w:rsidRPr="00165ED2">
        <w:rPr>
          <w:rFonts w:ascii="Times New Roman" w:hAnsi="Times New Roman" w:cs="Times New Roman"/>
          <w:sz w:val="24"/>
        </w:rPr>
        <w:t xml:space="preserve"> within the computer model of </w:t>
      </w:r>
      <w:proofErr w:type="spellStart"/>
      <w:r w:rsidR="00AB0547" w:rsidRPr="00165ED2">
        <w:rPr>
          <w:rFonts w:ascii="Times New Roman" w:eastAsia="MS Mincho" w:hAnsi="Times New Roman" w:cs="Times New Roman"/>
          <w:sz w:val="24"/>
          <w:szCs w:val="24"/>
          <w:lang w:val="en-US"/>
        </w:rPr>
        <w:t>Korzeniewski</w:t>
      </w:r>
      <w:proofErr w:type="spellEnd"/>
      <w:r w:rsidR="00AB0547" w:rsidRPr="00165ED2">
        <w:rPr>
          <w:rFonts w:ascii="Times New Roman" w:eastAsia="MS Mincho" w:hAnsi="Times New Roman" w:cs="Times New Roman"/>
          <w:sz w:val="24"/>
          <w:szCs w:val="24"/>
          <w:lang w:val="en-US"/>
        </w:rPr>
        <w:t xml:space="preserve"> &amp; Rossiter </w:t>
      </w:r>
      <w:r w:rsidR="00AB0547" w:rsidRPr="00165ED2">
        <w:rPr>
          <w:rFonts w:ascii="Times New Roman" w:eastAsia="MS Mincho" w:hAnsi="Times New Roman" w:cs="Times New Roman"/>
          <w:sz w:val="24"/>
          <w:szCs w:val="24"/>
          <w:lang w:val="en-US"/>
        </w:rPr>
        <w:fldChar w:fldCharType="begin"/>
      </w:r>
      <w:r w:rsidR="007A3303" w:rsidRPr="00165ED2">
        <w:rPr>
          <w:rFonts w:ascii="Times New Roman" w:eastAsia="MS Mincho" w:hAnsi="Times New Roman" w:cs="Times New Roman"/>
          <w:sz w:val="24"/>
          <w:szCs w:val="24"/>
          <w:lang w:val="en-US"/>
        </w:rPr>
        <w:instrText xml:space="preserve"> ADDIN ZOTERO_ITEM CSL_CITATION {"citationID":"GHTgDD6C","properties":{"formattedCitation":"[10]","plainCitation":"[10]","noteIndex":0},"citationItems":[{"id":9,"uris":["http://zotero.org/users/5056530/items/UM2PSSQP"],"itemData":{"id":9,"type":"article-journal","abstract":"PURPOSE: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AB0547" w:rsidRPr="00165ED2">
        <w:rPr>
          <w:rFonts w:ascii="Times New Roman" w:eastAsia="MS Mincho" w:hAnsi="Times New Roman" w:cs="Times New Roman"/>
          <w:sz w:val="24"/>
          <w:szCs w:val="24"/>
          <w:lang w:val="en-US"/>
        </w:rPr>
        <w:fldChar w:fldCharType="separate"/>
      </w:r>
      <w:r w:rsidR="007A3303" w:rsidRPr="00165ED2">
        <w:rPr>
          <w:rFonts w:ascii="Times New Roman" w:hAnsi="Times New Roman" w:cs="Times New Roman"/>
          <w:sz w:val="24"/>
        </w:rPr>
        <w:t>[10]</w:t>
      </w:r>
      <w:r w:rsidR="00AB0547" w:rsidRPr="00165ED2">
        <w:rPr>
          <w:rFonts w:ascii="Times New Roman" w:eastAsia="MS Mincho" w:hAnsi="Times New Roman" w:cs="Times New Roman"/>
          <w:sz w:val="24"/>
          <w:szCs w:val="24"/>
          <w:lang w:val="en-US"/>
        </w:rPr>
        <w:fldChar w:fldCharType="end"/>
      </w:r>
      <w:r w:rsidR="00AB0547" w:rsidRPr="00165ED2">
        <w:rPr>
          <w:rFonts w:ascii="Times New Roman" w:eastAsia="MS Mincho" w:hAnsi="Times New Roman" w:cs="Times New Roman"/>
          <w:sz w:val="24"/>
          <w:szCs w:val="24"/>
          <w:lang w:val="en-US"/>
        </w:rPr>
        <w:t xml:space="preserve"> </w:t>
      </w:r>
      <w:r w:rsidR="00AB0547" w:rsidRPr="00165ED2">
        <w:rPr>
          <w:rFonts w:ascii="Times New Roman" w:hAnsi="Times New Roman" w:cs="Times New Roman"/>
          <w:sz w:val="24"/>
        </w:rPr>
        <w:t>resulted in the changes in τ</w:t>
      </w:r>
      <w:r w:rsidR="00AB0547" w:rsidRPr="00165ED2">
        <w:rPr>
          <w:rFonts w:ascii="Times New Roman" w:hAnsi="Times New Roman" w:cs="Times New Roman"/>
          <w:sz w:val="24"/>
          <w:vertAlign w:val="subscript"/>
        </w:rPr>
        <w:t>V̇O2</w:t>
      </w:r>
      <w:r w:rsidR="00AB0547" w:rsidRPr="00165ED2">
        <w:rPr>
          <w:rFonts w:ascii="Times New Roman" w:hAnsi="Times New Roman" w:cs="Times New Roman"/>
          <w:sz w:val="24"/>
        </w:rPr>
        <w:t xml:space="preserve"> and CP predicted by the evidence reviewed in each of the previous sections </w:t>
      </w:r>
      <w:r w:rsidR="00AB0547" w:rsidRPr="00165ED2">
        <w:rPr>
          <w:rFonts w:ascii="Times New Roman" w:hAnsi="Times New Roman" w:cs="Times New Roman"/>
          <w:sz w:val="24"/>
        </w:rPr>
        <w:fldChar w:fldCharType="begin"/>
      </w:r>
      <w:r w:rsidR="007A3303" w:rsidRPr="00165ED2">
        <w:rPr>
          <w:rFonts w:ascii="Times New Roman" w:hAnsi="Times New Roman" w:cs="Times New Roman"/>
          <w:sz w:val="24"/>
        </w:rPr>
        <w:instrText xml:space="preserve"> ADDIN ZOTERO_ITEM CSL_CITATION {"citationID":"WT7cBLLp","properties":{"formattedCitation":"[10]","plainCitation":"[10]","noteIndex":0},"citationItems":[{"id":9,"uris":["http://zotero.org/users/5056530/items/UM2PSSQP"],"itemData":{"id":9,"type":"article-journal","abstract":"PURPOSE: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AB0547" w:rsidRPr="00165ED2">
        <w:rPr>
          <w:rFonts w:ascii="Times New Roman" w:hAnsi="Times New Roman" w:cs="Times New Roman"/>
          <w:sz w:val="24"/>
        </w:rPr>
        <w:fldChar w:fldCharType="separate"/>
      </w:r>
      <w:r w:rsidR="007A3303" w:rsidRPr="00165ED2">
        <w:rPr>
          <w:rFonts w:ascii="Times New Roman" w:hAnsi="Times New Roman" w:cs="Times New Roman"/>
          <w:sz w:val="24"/>
        </w:rPr>
        <w:t>[10]</w:t>
      </w:r>
      <w:r w:rsidR="00AB0547" w:rsidRPr="00165ED2">
        <w:rPr>
          <w:rFonts w:ascii="Times New Roman" w:hAnsi="Times New Roman" w:cs="Times New Roman"/>
          <w:sz w:val="24"/>
        </w:rPr>
        <w:fldChar w:fldCharType="end"/>
      </w:r>
      <w:r w:rsidR="00AB0547" w:rsidRPr="00165ED2">
        <w:rPr>
          <w:rFonts w:ascii="Times New Roman" w:hAnsi="Times New Roman" w:cs="Times New Roman"/>
          <w:sz w:val="24"/>
        </w:rPr>
        <w:t>.</w:t>
      </w:r>
    </w:p>
    <w:p w14:paraId="37938052" w14:textId="59C3F2FC" w:rsidR="00534DC4" w:rsidRPr="00165ED2" w:rsidRDefault="001D0408" w:rsidP="00294BFC">
      <w:pPr>
        <w:spacing w:line="480" w:lineRule="auto"/>
        <w:jc w:val="both"/>
        <w:rPr>
          <w:rFonts w:ascii="Times New Roman" w:eastAsia="MS Mincho" w:hAnsi="Times New Roman" w:cs="Times New Roman"/>
          <w:bCs/>
          <w:sz w:val="24"/>
          <w:szCs w:val="24"/>
          <w:lang w:val="en-US"/>
        </w:rPr>
      </w:pPr>
      <w:r w:rsidRPr="00165ED2">
        <w:rPr>
          <w:rFonts w:ascii="Times New Roman" w:hAnsi="Times New Roman" w:cs="Times New Roman"/>
          <w:sz w:val="24"/>
        </w:rPr>
        <w:t>Alongside other O</w:t>
      </w:r>
      <w:r w:rsidRPr="00165ED2">
        <w:rPr>
          <w:rFonts w:ascii="Times New Roman" w:hAnsi="Times New Roman" w:cs="Times New Roman"/>
          <w:sz w:val="24"/>
          <w:vertAlign w:val="subscript"/>
        </w:rPr>
        <w:t>2</w:t>
      </w:r>
      <w:r w:rsidRPr="00165ED2">
        <w:rPr>
          <w:rFonts w:ascii="Times New Roman" w:hAnsi="Times New Roman" w:cs="Times New Roman"/>
          <w:sz w:val="24"/>
        </w:rPr>
        <w:t xml:space="preserve"> deficit-related factors, that breaching a critical [Pi]</w:t>
      </w:r>
      <w:r w:rsidR="00E73B1D" w:rsidRPr="00165ED2">
        <w:rPr>
          <w:rFonts w:ascii="Times New Roman" w:eastAsia="MS Mincho" w:hAnsi="Times New Roman" w:cs="Times New Roman"/>
          <w:sz w:val="24"/>
          <w:szCs w:val="24"/>
          <w:lang w:val="en-US"/>
        </w:rPr>
        <w:t xml:space="preserve"> </w:t>
      </w:r>
      <w:r w:rsidRPr="00165ED2">
        <w:rPr>
          <w:rFonts w:ascii="Times New Roman" w:eastAsia="MS Mincho" w:hAnsi="Times New Roman" w:cs="Times New Roman"/>
          <w:sz w:val="24"/>
          <w:szCs w:val="24"/>
          <w:lang w:val="en-US"/>
        </w:rPr>
        <w:t>results in a</w:t>
      </w:r>
      <w:r w:rsidR="00417A79" w:rsidRPr="00165ED2">
        <w:rPr>
          <w:rFonts w:ascii="Times New Roman" w:eastAsia="MS Mincho" w:hAnsi="Times New Roman" w:cs="Times New Roman"/>
          <w:sz w:val="24"/>
          <w:szCs w:val="24"/>
          <w:lang w:val="en-US"/>
        </w:rPr>
        <w:t>n inexorable</w:t>
      </w:r>
      <w:r w:rsidRPr="00165ED2">
        <w:rPr>
          <w:rFonts w:ascii="Times New Roman" w:eastAsia="MS Mincho" w:hAnsi="Times New Roman" w:cs="Times New Roman"/>
          <w:sz w:val="24"/>
          <w:szCs w:val="24"/>
          <w:lang w:val="en-US"/>
        </w:rPr>
        <w:t xml:space="preserve"> cascade of increasing [Pi], fatigue and ATP turnover is </w:t>
      </w:r>
      <w:r w:rsidR="00417A79" w:rsidRPr="00165ED2">
        <w:rPr>
          <w:rFonts w:ascii="Times New Roman" w:eastAsia="MS Mincho" w:hAnsi="Times New Roman" w:cs="Times New Roman"/>
          <w:sz w:val="24"/>
          <w:szCs w:val="24"/>
          <w:lang w:val="en-US"/>
        </w:rPr>
        <w:t xml:space="preserve">also </w:t>
      </w:r>
      <w:r w:rsidRPr="00165ED2">
        <w:rPr>
          <w:rFonts w:ascii="Times New Roman" w:eastAsia="MS Mincho" w:hAnsi="Times New Roman" w:cs="Times New Roman"/>
          <w:sz w:val="24"/>
          <w:szCs w:val="24"/>
          <w:lang w:val="en-US"/>
        </w:rPr>
        <w:t xml:space="preserve">consistent with the evidence reviewed herein </w:t>
      </w:r>
      <w:r w:rsidR="00417A79" w:rsidRPr="00165ED2">
        <w:rPr>
          <w:rFonts w:ascii="Times New Roman" w:eastAsia="MS Mincho" w:hAnsi="Times New Roman" w:cs="Times New Roman"/>
          <w:sz w:val="24"/>
          <w:szCs w:val="24"/>
          <w:lang w:val="en-US"/>
        </w:rPr>
        <w:t xml:space="preserve">whereby </w:t>
      </w:r>
      <w:r w:rsidR="00D225A5" w:rsidRPr="00165ED2">
        <w:rPr>
          <w:rFonts w:ascii="Times New Roman" w:eastAsia="MS Mincho" w:hAnsi="Times New Roman" w:cs="Times New Roman"/>
          <w:sz w:val="24"/>
          <w:szCs w:val="24"/>
          <w:lang w:val="en-US"/>
        </w:rPr>
        <w:t>convective and diffusive O</w:t>
      </w:r>
      <w:r w:rsidR="00D225A5" w:rsidRPr="00165ED2">
        <w:rPr>
          <w:rFonts w:ascii="Times New Roman" w:eastAsia="MS Mincho" w:hAnsi="Times New Roman" w:cs="Times New Roman"/>
          <w:sz w:val="24"/>
          <w:szCs w:val="24"/>
          <w:vertAlign w:val="subscript"/>
          <w:lang w:val="en-US"/>
        </w:rPr>
        <w:t>2</w:t>
      </w:r>
      <w:r w:rsidR="00D225A5" w:rsidRPr="00165ED2">
        <w:rPr>
          <w:rFonts w:ascii="Times New Roman" w:eastAsia="MS Mincho" w:hAnsi="Times New Roman" w:cs="Times New Roman"/>
          <w:sz w:val="24"/>
          <w:szCs w:val="24"/>
          <w:lang w:val="en-US"/>
        </w:rPr>
        <w:t xml:space="preserve"> delivery has a determining effect on CP. </w:t>
      </w:r>
      <w:r w:rsidR="00294BFC" w:rsidRPr="00165ED2">
        <w:rPr>
          <w:rFonts w:ascii="Times New Roman" w:eastAsia="MS Mincho" w:hAnsi="Times New Roman" w:cs="Times New Roman"/>
          <w:bCs/>
          <w:sz w:val="24"/>
          <w:szCs w:val="24"/>
          <w:lang w:val="en-US"/>
        </w:rPr>
        <w:t>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delivery is known to regulate the concentrations of phosphate metabolites at a given metabolic rate, such that when intracellular </w:t>
      </w:r>
      <w:r w:rsidR="00294BFC" w:rsidRPr="00165ED2">
        <w:rPr>
          <w:rFonts w:ascii="Times New Roman" w:eastAsia="MS Mincho" w:hAnsi="Times New Roman" w:cs="Times New Roman"/>
          <w:bCs/>
          <w:i/>
          <w:sz w:val="24"/>
          <w:szCs w:val="24"/>
          <w:lang w:val="en-US"/>
        </w:rPr>
        <w:t>P</w:t>
      </w:r>
      <w:r w:rsidR="00294BFC" w:rsidRPr="00165ED2">
        <w:rPr>
          <w:rFonts w:ascii="Times New Roman" w:eastAsia="MS Mincho" w:hAnsi="Times New Roman" w:cs="Times New Roman"/>
          <w:bCs/>
          <w:sz w:val="24"/>
          <w:szCs w:val="24"/>
          <w:lang w:val="en-US"/>
        </w:rPr>
        <w:t>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is higher, the intracellular perturbations incurred for [Pi], [</w:t>
      </w:r>
      <w:proofErr w:type="spellStart"/>
      <w:r w:rsidR="00294BFC" w:rsidRPr="00165ED2">
        <w:rPr>
          <w:rFonts w:ascii="Times New Roman" w:eastAsia="MS Mincho" w:hAnsi="Times New Roman" w:cs="Times New Roman"/>
          <w:bCs/>
          <w:sz w:val="24"/>
          <w:szCs w:val="24"/>
          <w:lang w:val="en-US"/>
        </w:rPr>
        <w:t>PCr</w:t>
      </w:r>
      <w:proofErr w:type="spellEnd"/>
      <w:r w:rsidR="00294BFC" w:rsidRPr="00165ED2">
        <w:rPr>
          <w:rFonts w:ascii="Times New Roman" w:eastAsia="MS Mincho" w:hAnsi="Times New Roman" w:cs="Times New Roman"/>
          <w:bCs/>
          <w:sz w:val="24"/>
          <w:szCs w:val="24"/>
          <w:lang w:val="en-US"/>
        </w:rPr>
        <w:t xml:space="preserve">] and [ADP] are reduced, whereas the reverse is true when intracellular </w:t>
      </w:r>
      <w:r w:rsidR="00294BFC" w:rsidRPr="00165ED2">
        <w:rPr>
          <w:rFonts w:ascii="Times New Roman" w:eastAsia="MS Mincho" w:hAnsi="Times New Roman" w:cs="Times New Roman"/>
          <w:bCs/>
          <w:i/>
          <w:sz w:val="24"/>
          <w:szCs w:val="24"/>
          <w:lang w:val="en-US"/>
        </w:rPr>
        <w:t>P</w:t>
      </w:r>
      <w:r w:rsidR="00294BFC" w:rsidRPr="00165ED2">
        <w:rPr>
          <w:rFonts w:ascii="Times New Roman" w:eastAsia="MS Mincho" w:hAnsi="Times New Roman" w:cs="Times New Roman"/>
          <w:bCs/>
          <w:sz w:val="24"/>
          <w:szCs w:val="24"/>
          <w:lang w:val="en-US"/>
        </w:rPr>
        <w:t>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is l</w:t>
      </w:r>
      <w:r w:rsidR="00C33A3C" w:rsidRPr="00165ED2">
        <w:rPr>
          <w:rFonts w:ascii="Times New Roman" w:eastAsia="MS Mincho" w:hAnsi="Times New Roman" w:cs="Times New Roman"/>
          <w:bCs/>
          <w:sz w:val="24"/>
          <w:szCs w:val="24"/>
          <w:lang w:val="en-US"/>
        </w:rPr>
        <w:t>ower</w:t>
      </w:r>
      <w:r w:rsidR="00294BFC" w:rsidRPr="00165ED2">
        <w:rPr>
          <w:rFonts w:ascii="Times New Roman" w:eastAsia="MS Mincho" w:hAnsi="Times New Roman" w:cs="Times New Roman"/>
          <w:bCs/>
          <w:sz w:val="24"/>
          <w:szCs w:val="24"/>
          <w:lang w:val="en-US"/>
        </w:rPr>
        <w:t xml:space="preserve"> </w:t>
      </w:r>
      <w:r w:rsidR="00294BFC"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{"citationID":"sf2KE6BS","properties":{"formattedCitation":"[49,50,54,138]","plainCitation":"[49,50,54,138]","noteIndex":0},"citationItems":[{"id":753,"uris":["http://zotero.org/users/5056530/items/H73P89GZ"],"itemData":{"id":753,"type":"article-journal","abstract":"The purpose of this study was to use 31P-magnetic resonance spectroscopy to examine the relationships among muscle PCr hydrolysis, intracellular H+ concentration accumulation, and muscle performance during incremental exercise during the inspiration of gas mixtures containing different fractions of inspired O2 (FIO2). We hypothesized that lower FIO2 would result in a greater disruption of intracellular homeostasis at submaximal workloads and thereby initiate an earlier onset of fatigue. Six subjects performed plantar flexion exercise on three separate occasions with the only variable altered for each exercise bout being the FIO2 (either 0.1, 0.21, or 1.00 O2 in balance N2). Work rate was increased (1-W increments starting at 0 W) every 2 min until exhaustion. Time to exhaustion (and thereby workload achieved) was significantly (P &lt; 0.05) greater as FIO2 was increased. Muscle phosphocreatine (PCr) concentration, Pi concentration, and pH at exhaustion were not significantly different among the three FIO2 conditions. However, muscle PCr concentration and pH were significantly reduced at identical submaximal workloads (and thereby equivalent rates of respiration) above 4-5 W during the lowest FIO2 condition compared with the other two FIO2 conditions. These results demonstrate that exhaustion during all FIO2 occurred when a particular intracellular environment was achieved and suggest that during the lowest FIO2 condition, the greater PCr hydrolysis and intracellular acidosis at submaximal workloads may have contributed to the significantly earlier time to exhaustion.","container-title":"Journal of Applied Physiology (Bethesda, Md.: 1985)","DOI":"10.1152/jappl.1999.86.4.1367","ISSN":"8750-7587","issue":"4","journalAbbreviation":"J. Appl. Physiol.","language":"eng","note":"PMID: 10194224","page":"1367-1373","source":"PubMed","title":"Human muscle performance and PCr hydrolysis with varied inspired oxygen fractions: a 31P-MRS study","title-short":"Human muscle performance and PCr hydrolysis with varied inspired oxygen fractions","volume":"86","author":[{"family":"Hogan","given":"M. C."},{"family":"Richardson","given":"R. S."},{"family":"Haseler","given":"L. J."}],"issued":{"date-parts":[["1999",4]]}}},{"id":302,"uris":["http://zotero.org/users/5056530/items/RZSMX5RW"],"itemData":{"id":302,"type":"article-journal","abstract":"31P-magnetic resonance spectroscopy was used to study phosphocreatine (PCr) onset kinetics in exercising human gastrocnemius muscle under varied fractions of inspired O(2) (F(IO(2))). Five male subjects performed three identical work bouts (5 min duration; order randomised) at a submaximal workload while breathing 0.1, 0.21 or 1.0 F(IO(2)). Either a single or double exponential model was fitted to the PCr kinetics. The phase I tau (0.1, 38.6 +/- 7.5; 0.21, 34.5 +/- 7.9; 1.0, 38.6 +/- 9.2 s) and amplitude, A(1) (0.1, 0.34 +/- 0.03; 0.21, 0.28 +/- 0.05; 1.0, 0.28 +/- 0.03,% fall in PCr) were invariant (both P &gt; 0.05) across F(IO(2)) trials. The initial rate of change in PCr hydrolysis at exercise onset, calculated as A(1)/tau(1) (%PCr reduction s(-1)), was the same across F(IO(2)) trials. A PCr slow component (phase II) was present at an F(IO(2)) of 0.1 and 0.21; however, breathing 1.0 F(IO(2)) ablated the slow component. The onset of the slow component resulted in a greater (P&lt; or = 0.05) overall percentage fall in PCr (both phase I and II) as F(IO(2)) decreased (0.43 +/- 0.05, 0.34 +/- 0.05, 0.28 +/- 0.03) for 0.1, 0.21 and 1.0 F(IO(2)), respectively. These data demonstrate that altering F(IO(2)) does not affect the initial phase I PCr onset kinetics, which supports the notion that O(2) driving pressure does not limit PCr kinetics at the onset of submaximal exercise. Thus, these data imply that the manner in which microvascular and intracellular P(O(2)) regulates PCr hydrolysis in exercising muscle is not due to the initial kinetic fall in PCr at exercise onset.","container-title":"The Journal of Physiology","DOI":"10.1113/jphysiol.2004.062042","ISSN":"0022-3751","issue":"Pt 3","journalAbbreviation":"J. Physiol. (Lond.)","language":"eng","note":"PMID: 15169844\nPMCID: PMC1665010","page":"985-992","source":"PubMed","title":"The role of oxygen in determining phosphocreatine onset kinetics in exercising humans","volume":"558","author":[{"family":"Haseler","given":"Luke J."},{"family":"Kindig","given":"Casey A."},{"family":"Richardson","given":"Russell S."},{"family":"Hogan","given":"Michael C."}],"issued":{"date-parts":[["2004",8,1]]}}},{"id":636,"uris":["http://zotero.org/users/5056530/items/FWS9D3MJ"],"itemData":{"id":636,"type":"article-journal","abstract":"This study was designed to investigate the role of tissue oxygenation in some of the factors that are thought to regulate muscle respiration and metabolism. Tissue oxygenation was altered by reductions in O2 delivery (muscle blood flow x arterial O2 content), induced by decreases in arterial PO2 (PaO2). O2 uptake (VO2) was measured in isolated in situ canine gastrocnemius at rest and while working at two stimulation intensities (isometric tetanic contractions at 0.5 and 1 contractions/s) on three separate occasions, with only the level of PaO2 (78, 30, and 21 Torr) being different for each occasion. Muscle blood flow was held constant (pump perfusion) at each work intensity for the three different levels of PaO2. Muscle biopsies were obtained at the end of each rest and work period. Muscle VO2 was significantly less (P less than 0.05) at both stimulation intensities for the hypoxemic conditions, whereas [ATP] was reduced only during the highest work intensity during both hypoxemic conditions (31% reduction at 21 Torr PaO2 and 17% at 30 Torr). For each level of PaO2, the relationships between the changes that occurred in VO2 and levels of phosphocreatine, ADP, and ATP/ADP.P(i) as the stimulation intensity was increased were significantly correlated; however, the slopes and intercepts of these lines were significantly different for each PaO2. Thus a greater change in any of the proposed regulators of tissue respiration (e.g., phosphocreatine, ADP) was required to achieve a given VO2 as PaO2 was decreased.(ABSTRACT TRUNCATED AT 250 WORDS)","container-title":"Journal of Applied Physiology (Bethesda, Md.: 1985)","DOI":"10.1152/jappl.1992.73.2.728","ISSN":"8750-7587","issue":"2","journalAbbreviation":"J. Appl. Physiol.","language":"eng","note":"PMID: 1400003","page":"728-736","source":"PubMed","title":"Role of O2 in regulating tissue respiration in dog muscle working in situ","volume":"73","author":[{"family":"Hogan","given":"M. C."},{"family":"Arthur","given":"P. G."},{"family":"Bebout","given":"D. E."},{"family":"Hochachka","given":"P. W."},{"family":"Wagner","given":"P. D."}],"issued":{"date-parts":[["1992",8]]}}},{"id":616,"uris":["http://zotero.org/users/5056530/items/T9TB2K5C"],"itemData":{"id":616,"type":"article-journal","abstract":"To investigate the role of tissue oxygenation as one of the control factors regulating tissue respiration, 31P-nuclear magnetic resonance spectroscopy (31P-NMR) was used to estimate muscle metabolites in isolated working muscle during varied tissue oxygenation conditions. O2 delivery (muscle blood flow x arterial O2 content) was varied to isolated in situ working dog gastrocnemius (n = 6) by decreases in arterial PO2 (hypoxemia; H) and by decreases in muscle blood flow (ischemia; I). O2 uptake (VO2) was measured at rest and during work at two or three stimulation intensities (isometric twitch contractions at 3, 5, and occasionally 7 Hz) during three separate conditions: normal O2 delivery (C) and reduced O2 delivery during H and I, with blood flow controlled by pump perfusion. Biochemical metabolites were measured during the last 2 min of each 3-min work period by use of 31P-NMR, and arterial and venous blood samples were drawn and muscle blood flow measured during the last 30 s of each work period. Muscle [ATP] did not fall below resting values at any work intensity, even during O2-limited highly fatiguing work, and was never different among the three conditions. Muscle O2 delivery and VO2 were significantly less (P &lt; 0.05) at the highest work intensities for both I and H than for C but were not different between H and I. As VO2 increased with stimulation intensity, a larger change in any of the proposed regulators of tissue respiration (ADP, P(i), ATP/ADP.P(i), and phosphocreatine) was required during H and I than during C to elicit a given VO2, but requirements were similar for H and I.(ABSTRACT TRUNCATED AT 250 WORDS)","container-title":"Journal of Applied Physiology (Bethesda, Md.: 1985)","DOI":"10.1152/jappl.1992.73.4.1662","ISSN":"8750-7587","issue":"4","journalAbbreviation":"J. Appl. Physiol.","language":"eng","note":"PMID: 1447118","page":"1662-1670","source":"PubMed","title":"A 31P-NMR study of tissue respiration in working dog muscle during reduced O2 delivery conditions","volume":"73","author":[{"family":"Hogan","given":"M. C."},{"family":"Nioka","given":"S."},{"family":"Brechue","given":"W. F."},{"family":"Chance","given":"B."}],"issued":{"date-parts":[["1992",10]]}}}],"schema":"https://github.com/citation-style-language/schema/raw/master/csl-citation.json"} </w:instrText>
      </w:r>
      <w:r w:rsidR="00294BFC"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rPr>
        <w:t>[49,50,54,138]</w:t>
      </w:r>
      <w:r w:rsidR="00294BFC" w:rsidRPr="00165ED2">
        <w:rPr>
          <w:rFonts w:ascii="Times New Roman" w:eastAsia="MS Mincho" w:hAnsi="Times New Roman" w:cs="Times New Roman"/>
          <w:bCs/>
          <w:sz w:val="24"/>
          <w:szCs w:val="24"/>
          <w:lang w:val="en-US"/>
        </w:rPr>
        <w:fldChar w:fldCharType="end"/>
      </w:r>
      <w:r w:rsidR="00294BFC" w:rsidRPr="00165ED2">
        <w:rPr>
          <w:rFonts w:ascii="Times New Roman" w:eastAsia="MS Mincho" w:hAnsi="Times New Roman" w:cs="Times New Roman"/>
          <w:bCs/>
          <w:sz w:val="24"/>
          <w:szCs w:val="24"/>
          <w:lang w:val="en-US"/>
        </w:rPr>
        <w:t xml:space="preserve">. From these observations it follows that the aforementioned effects </w:t>
      </w:r>
      <w:r w:rsidR="00294BFC" w:rsidRPr="00165ED2">
        <w:rPr>
          <w:rFonts w:ascii="Times New Roman" w:eastAsia="MS Mincho" w:hAnsi="Times New Roman" w:cs="Times New Roman"/>
          <w:bCs/>
          <w:sz w:val="24"/>
          <w:szCs w:val="24"/>
          <w:lang w:val="en-US"/>
        </w:rPr>
        <w:lastRenderedPageBreak/>
        <w:t>of convective and diffusive 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delivery and intracellular 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utilization on CP stem from their impact upon the intracellular metabolic state, or more specifically, the rate of ATP turnover at which a critical threshold for [Pi] (</w:t>
      </w:r>
      <w:r w:rsidR="00C33A3C" w:rsidRPr="00165ED2">
        <w:rPr>
          <w:rFonts w:ascii="Times New Roman" w:eastAsia="MS Mincho" w:hAnsi="Times New Roman" w:cs="Times New Roman"/>
          <w:bCs/>
          <w:sz w:val="24"/>
          <w:szCs w:val="24"/>
          <w:lang w:val="en-US"/>
        </w:rPr>
        <w:t xml:space="preserve">which is itself </w:t>
      </w:r>
      <w:r w:rsidR="00294BFC" w:rsidRPr="00165ED2">
        <w:rPr>
          <w:rFonts w:ascii="Times New Roman" w:eastAsia="MS Mincho" w:hAnsi="Times New Roman" w:cs="Times New Roman"/>
          <w:bCs/>
          <w:sz w:val="24"/>
          <w:szCs w:val="24"/>
          <w:lang w:val="en-US"/>
        </w:rPr>
        <w:t>a proxy for a collection of intracellular metabolites reflecting the intracellular state</w:t>
      </w:r>
      <w:r w:rsidR="00DC6878" w:rsidRPr="00165ED2">
        <w:rPr>
          <w:rFonts w:ascii="Times New Roman" w:eastAsia="MS Mincho" w:hAnsi="Times New Roman" w:cs="Times New Roman"/>
          <w:bCs/>
          <w:sz w:val="24"/>
          <w:szCs w:val="24"/>
          <w:lang w:val="en-US"/>
        </w:rPr>
        <w:t xml:space="preserve"> of fatigue</w:t>
      </w:r>
      <w:r w:rsidR="00294BFC" w:rsidRPr="00165ED2">
        <w:rPr>
          <w:rFonts w:ascii="Times New Roman" w:eastAsia="MS Mincho" w:hAnsi="Times New Roman" w:cs="Times New Roman"/>
          <w:bCs/>
          <w:sz w:val="24"/>
          <w:szCs w:val="24"/>
          <w:lang w:val="en-US"/>
        </w:rPr>
        <w:t>) is attained.  Hence, faster V̇O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kinetics, as well as increased O</w:t>
      </w:r>
      <w:r w:rsidR="00294BFC" w:rsidRPr="00165ED2">
        <w:rPr>
          <w:rFonts w:ascii="Times New Roman" w:eastAsia="MS Mincho" w:hAnsi="Times New Roman" w:cs="Times New Roman"/>
          <w:bCs/>
          <w:sz w:val="24"/>
          <w:szCs w:val="24"/>
          <w:vertAlign w:val="subscript"/>
          <w:lang w:val="en-US"/>
        </w:rPr>
        <w:t>2</w:t>
      </w:r>
      <w:r w:rsidR="00294BFC" w:rsidRPr="00165ED2">
        <w:rPr>
          <w:rFonts w:ascii="Times New Roman" w:eastAsia="MS Mincho" w:hAnsi="Times New Roman" w:cs="Times New Roman"/>
          <w:bCs/>
          <w:sz w:val="24"/>
          <w:szCs w:val="24"/>
          <w:lang w:val="en-US"/>
        </w:rPr>
        <w:t xml:space="preserve"> delivery, exert their effects on CP via reducing the </w:t>
      </w:r>
      <w:r w:rsidR="00C33A3C" w:rsidRPr="00165ED2">
        <w:rPr>
          <w:rFonts w:ascii="Times New Roman" w:eastAsia="MS Mincho" w:hAnsi="Times New Roman" w:cs="Times New Roman"/>
          <w:bCs/>
          <w:sz w:val="24"/>
          <w:szCs w:val="24"/>
          <w:lang w:val="en-US"/>
        </w:rPr>
        <w:t xml:space="preserve">intracellular metabolic </w:t>
      </w:r>
      <w:r w:rsidR="00294BFC" w:rsidRPr="00165ED2">
        <w:rPr>
          <w:rFonts w:ascii="Times New Roman" w:eastAsia="MS Mincho" w:hAnsi="Times New Roman" w:cs="Times New Roman"/>
          <w:bCs/>
          <w:sz w:val="24"/>
          <w:szCs w:val="24"/>
          <w:lang w:val="en-US"/>
        </w:rPr>
        <w:t>perturbations required to sustain a given rate of ATP turnover, thus enabling a higher power output to be achieved before CP is reached.</w:t>
      </w:r>
    </w:p>
    <w:p w14:paraId="251E816E" w14:textId="7AA54ADA" w:rsidR="00E73B1D" w:rsidRPr="00165ED2" w:rsidRDefault="00F42F16" w:rsidP="00012C55">
      <w:pPr>
        <w:pStyle w:val="ListParagraph"/>
        <w:numPr>
          <w:ilvl w:val="0"/>
          <w:numId w:val="5"/>
        </w:numPr>
        <w:spacing w:line="480" w:lineRule="auto"/>
        <w:jc w:val="both"/>
        <w:rPr>
          <w:rFonts w:ascii="Times New Roman" w:eastAsia="MS Mincho" w:hAnsi="Times New Roman" w:cs="Times New Roman"/>
          <w:b/>
          <w:bCs/>
          <w:sz w:val="24"/>
          <w:szCs w:val="24"/>
          <w:lang w:val="en-US"/>
        </w:rPr>
      </w:pPr>
      <w:r w:rsidRPr="00165ED2">
        <w:rPr>
          <w:rFonts w:ascii="Times New Roman" w:eastAsia="MS Mincho" w:hAnsi="Times New Roman" w:cs="Times New Roman"/>
          <w:b/>
          <w:bCs/>
          <w:sz w:val="24"/>
          <w:szCs w:val="24"/>
          <w:lang w:val="en-US"/>
        </w:rPr>
        <w:t>INTEGRATION OF MECHANISMS: WHOLE-BODY</w:t>
      </w:r>
    </w:p>
    <w:p w14:paraId="26056DB9" w14:textId="37D2F892" w:rsidR="003822BA" w:rsidRPr="00165ED2" w:rsidRDefault="0099440A" w:rsidP="00132BF6">
      <w:pPr>
        <w:spacing w:line="480" w:lineRule="auto"/>
        <w:ind w:firstLine="720"/>
        <w:jc w:val="both"/>
        <w:rPr>
          <w:rFonts w:ascii="Times New Roman" w:eastAsia="MS Mincho" w:hAnsi="Times New Roman" w:cs="Times New Roman"/>
          <w:bCs/>
          <w:sz w:val="24"/>
          <w:szCs w:val="24"/>
          <w:lang w:val="en-US"/>
        </w:rPr>
      </w:pPr>
      <w:r w:rsidRPr="00165ED2">
        <w:rPr>
          <w:rFonts w:ascii="Times New Roman" w:eastAsia="MS Mincho" w:hAnsi="Times New Roman" w:cs="Times New Roman"/>
          <w:bCs/>
          <w:sz w:val="24"/>
          <w:szCs w:val="24"/>
        </w:rPr>
        <w:t xml:space="preserve">This model of CP being an emergent property of the metabolic </w:t>
      </w:r>
      <w:r w:rsidR="00C22359" w:rsidRPr="00165ED2">
        <w:rPr>
          <w:rFonts w:ascii="Times New Roman" w:eastAsia="MS Mincho" w:hAnsi="Times New Roman" w:cs="Times New Roman"/>
          <w:bCs/>
          <w:sz w:val="24"/>
          <w:szCs w:val="24"/>
        </w:rPr>
        <w:t>derangements</w:t>
      </w:r>
      <w:r w:rsidRPr="00165ED2">
        <w:rPr>
          <w:rFonts w:ascii="Times New Roman" w:eastAsia="MS Mincho" w:hAnsi="Times New Roman" w:cs="Times New Roman"/>
          <w:bCs/>
          <w:sz w:val="24"/>
          <w:szCs w:val="24"/>
        </w:rPr>
        <w:t xml:space="preserve"> established at the onset of exercise may provide an explanation for the metabolic bases of CP at the level of a single fibre, however</w:t>
      </w:r>
      <w:r w:rsidR="00C33A3C" w:rsidRPr="00165ED2">
        <w:rPr>
          <w:rFonts w:ascii="Times New Roman" w:eastAsia="MS Mincho" w:hAnsi="Times New Roman" w:cs="Times New Roman"/>
          <w:bCs/>
          <w:sz w:val="24"/>
          <w:szCs w:val="24"/>
        </w:rPr>
        <w:t xml:space="preserve">,  it </w:t>
      </w:r>
      <w:r w:rsidR="00297BE6" w:rsidRPr="00165ED2">
        <w:rPr>
          <w:rFonts w:ascii="Times New Roman" w:eastAsia="MS Mincho" w:hAnsi="Times New Roman" w:cs="Times New Roman"/>
          <w:bCs/>
          <w:sz w:val="24"/>
          <w:szCs w:val="24"/>
        </w:rPr>
        <w:t>doe</w:t>
      </w:r>
      <w:r w:rsidR="007A4408" w:rsidRPr="00165ED2">
        <w:rPr>
          <w:rFonts w:ascii="Times New Roman" w:eastAsia="MS Mincho" w:hAnsi="Times New Roman" w:cs="Times New Roman"/>
          <w:bCs/>
          <w:sz w:val="24"/>
          <w:szCs w:val="24"/>
        </w:rPr>
        <w:t>s not pretend to be a complete explanation of</w:t>
      </w:r>
      <w:r w:rsidR="00C33A3C" w:rsidRPr="00165ED2">
        <w:rPr>
          <w:rFonts w:ascii="Times New Roman" w:eastAsia="MS Mincho" w:hAnsi="Times New Roman" w:cs="Times New Roman"/>
          <w:bCs/>
          <w:sz w:val="24"/>
          <w:szCs w:val="24"/>
        </w:rPr>
        <w:t xml:space="preserve"> CP at the integrative whole-body level. </w:t>
      </w:r>
      <w:r w:rsidR="00CF2DCD" w:rsidRPr="00165ED2">
        <w:rPr>
          <w:rFonts w:ascii="Times New Roman" w:eastAsia="MS Mincho" w:hAnsi="Times New Roman" w:cs="Times New Roman"/>
          <w:bCs/>
          <w:sz w:val="24"/>
          <w:szCs w:val="24"/>
        </w:rPr>
        <w:t xml:space="preserve">This is despite the </w:t>
      </w:r>
      <w:r w:rsidR="00CF2DCD" w:rsidRPr="00165ED2">
        <w:rPr>
          <w:rFonts w:ascii="Times New Roman" w:eastAsia="MS Mincho" w:hAnsi="Times New Roman" w:cs="Times New Roman"/>
          <w:bCs/>
          <w:i/>
          <w:iCs/>
          <w:sz w:val="24"/>
          <w:szCs w:val="24"/>
        </w:rPr>
        <w:t xml:space="preserve">in silico </w:t>
      </w:r>
      <w:r w:rsidR="00CF2DCD" w:rsidRPr="00165ED2">
        <w:rPr>
          <w:rFonts w:ascii="Times New Roman" w:eastAsia="MS Mincho" w:hAnsi="Times New Roman" w:cs="Times New Roman"/>
          <w:bCs/>
          <w:sz w:val="24"/>
          <w:szCs w:val="24"/>
        </w:rPr>
        <w:t xml:space="preserve">approach of </w:t>
      </w:r>
      <w:proofErr w:type="spellStart"/>
      <w:r w:rsidR="00CF2DCD" w:rsidRPr="00165ED2">
        <w:rPr>
          <w:rFonts w:ascii="Times New Roman" w:eastAsia="MS Mincho" w:hAnsi="Times New Roman" w:cs="Times New Roman"/>
          <w:bCs/>
          <w:sz w:val="24"/>
          <w:szCs w:val="24"/>
        </w:rPr>
        <w:t>Korzeniewski</w:t>
      </w:r>
      <w:proofErr w:type="spellEnd"/>
      <w:r w:rsidR="00CF2DCD" w:rsidRPr="00165ED2">
        <w:rPr>
          <w:rFonts w:ascii="Times New Roman" w:eastAsia="MS Mincho" w:hAnsi="Times New Roman" w:cs="Times New Roman"/>
          <w:bCs/>
          <w:sz w:val="24"/>
          <w:szCs w:val="24"/>
        </w:rPr>
        <w:t xml:space="preserve"> &amp; Rossiter </w:t>
      </w:r>
      <w:r w:rsidR="00012C55" w:rsidRPr="00165ED2">
        <w:rPr>
          <w:rFonts w:ascii="Times New Roman" w:eastAsia="MS Mincho" w:hAnsi="Times New Roman" w:cs="Times New Roman"/>
          <w:bCs/>
          <w:sz w:val="24"/>
          <w:szCs w:val="24"/>
        </w:rPr>
        <w:fldChar w:fldCharType="begin"/>
      </w:r>
      <w:r w:rsidR="007A3303" w:rsidRPr="00165ED2">
        <w:rPr>
          <w:rFonts w:ascii="Times New Roman" w:eastAsia="MS Mincho" w:hAnsi="Times New Roman" w:cs="Times New Roman"/>
          <w:bCs/>
          <w:sz w:val="24"/>
          <w:szCs w:val="24"/>
        </w:rPr>
        <w:instrText xml:space="preserve"> ADDIN ZOTERO_ITEM CSL_CITATION {"citationID":"oW9r9tRx","properties":{"formattedCitation":"[10]","plainCitation":"[10]","noteIndex":0},"citationItems":[{"id":9,"uris":["http://zotero.org/users/5056530/items/UM2PSSQP"],"itemData":{"id":9,"type":"article-journal","abstract":"PURPOSE: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012C55" w:rsidRPr="00165ED2">
        <w:rPr>
          <w:rFonts w:ascii="Times New Roman" w:eastAsia="MS Mincho" w:hAnsi="Times New Roman" w:cs="Times New Roman"/>
          <w:bCs/>
          <w:sz w:val="24"/>
          <w:szCs w:val="24"/>
        </w:rPr>
        <w:fldChar w:fldCharType="separate"/>
      </w:r>
      <w:r w:rsidR="007A3303" w:rsidRPr="00165ED2">
        <w:rPr>
          <w:rFonts w:ascii="Times New Roman" w:hAnsi="Times New Roman" w:cs="Times New Roman"/>
          <w:sz w:val="24"/>
        </w:rPr>
        <w:t>[10]</w:t>
      </w:r>
      <w:r w:rsidR="00012C55" w:rsidRPr="00165ED2">
        <w:rPr>
          <w:rFonts w:ascii="Times New Roman" w:eastAsia="MS Mincho" w:hAnsi="Times New Roman" w:cs="Times New Roman"/>
          <w:bCs/>
          <w:sz w:val="24"/>
          <w:szCs w:val="24"/>
        </w:rPr>
        <w:fldChar w:fldCharType="end"/>
      </w:r>
      <w:r w:rsidR="00012C55" w:rsidRPr="00165ED2">
        <w:rPr>
          <w:rFonts w:ascii="Times New Roman" w:eastAsia="MS Mincho" w:hAnsi="Times New Roman" w:cs="Times New Roman"/>
          <w:bCs/>
          <w:sz w:val="24"/>
          <w:szCs w:val="24"/>
        </w:rPr>
        <w:t xml:space="preserve"> </w:t>
      </w:r>
      <w:r w:rsidR="00CF2DCD" w:rsidRPr="00165ED2">
        <w:rPr>
          <w:rFonts w:ascii="Times New Roman" w:eastAsia="MS Mincho" w:hAnsi="Times New Roman" w:cs="Times New Roman"/>
          <w:bCs/>
          <w:sz w:val="24"/>
          <w:szCs w:val="24"/>
        </w:rPr>
        <w:t>being</w:t>
      </w:r>
      <w:r w:rsidR="00C33A3C" w:rsidRPr="00165ED2">
        <w:rPr>
          <w:rFonts w:ascii="Times New Roman" w:eastAsia="MS Mincho" w:hAnsi="Times New Roman" w:cs="Times New Roman"/>
          <w:bCs/>
          <w:sz w:val="24"/>
          <w:szCs w:val="24"/>
        </w:rPr>
        <w:t xml:space="preserve"> “chimeric”, in that it is built using the data of whole-body and –muscle responses of </w:t>
      </w:r>
      <w:r w:rsidR="00C33A3C" w:rsidRPr="00165ED2">
        <w:rPr>
          <w:rFonts w:ascii="Times New Roman" w:eastAsia="MS Mincho" w:hAnsi="Times New Roman" w:cs="Times New Roman"/>
          <w:bCs/>
          <w:sz w:val="24"/>
          <w:szCs w:val="24"/>
          <w:lang w:val="en-US"/>
        </w:rPr>
        <w:t>V̇O</w:t>
      </w:r>
      <w:r w:rsidR="00C33A3C" w:rsidRPr="00165ED2">
        <w:rPr>
          <w:rFonts w:ascii="Times New Roman" w:eastAsia="MS Mincho" w:hAnsi="Times New Roman" w:cs="Times New Roman"/>
          <w:bCs/>
          <w:sz w:val="24"/>
          <w:szCs w:val="24"/>
          <w:vertAlign w:val="subscript"/>
          <w:lang w:val="en-US"/>
        </w:rPr>
        <w:t>2</w:t>
      </w:r>
      <w:r w:rsidR="00C33A3C" w:rsidRPr="00165ED2">
        <w:rPr>
          <w:rFonts w:ascii="Times New Roman" w:eastAsia="MS Mincho" w:hAnsi="Times New Roman" w:cs="Times New Roman"/>
          <w:bCs/>
          <w:sz w:val="24"/>
          <w:szCs w:val="24"/>
          <w:lang w:val="en-US"/>
        </w:rPr>
        <w:t>, [</w:t>
      </w:r>
      <w:proofErr w:type="spellStart"/>
      <w:r w:rsidR="00C33A3C" w:rsidRPr="00165ED2">
        <w:rPr>
          <w:rFonts w:ascii="Times New Roman" w:eastAsia="MS Mincho" w:hAnsi="Times New Roman" w:cs="Times New Roman"/>
          <w:bCs/>
          <w:sz w:val="24"/>
          <w:szCs w:val="24"/>
          <w:lang w:val="en-US"/>
        </w:rPr>
        <w:t>PCr</w:t>
      </w:r>
      <w:proofErr w:type="spellEnd"/>
      <w:r w:rsidR="00C33A3C" w:rsidRPr="00165ED2">
        <w:rPr>
          <w:rFonts w:ascii="Times New Roman" w:eastAsia="MS Mincho" w:hAnsi="Times New Roman" w:cs="Times New Roman"/>
          <w:bCs/>
          <w:sz w:val="24"/>
          <w:szCs w:val="24"/>
          <w:lang w:val="en-US"/>
        </w:rPr>
        <w:t xml:space="preserve">], [Pi] and pH and reflecting a variety of muscle </w:t>
      </w:r>
      <w:proofErr w:type="spellStart"/>
      <w:r w:rsidR="00C33A3C" w:rsidRPr="00165ED2">
        <w:rPr>
          <w:rFonts w:ascii="Times New Roman" w:eastAsia="MS Mincho" w:hAnsi="Times New Roman" w:cs="Times New Roman"/>
          <w:bCs/>
          <w:sz w:val="24"/>
          <w:szCs w:val="24"/>
          <w:lang w:val="en-US"/>
        </w:rPr>
        <w:t>fibre</w:t>
      </w:r>
      <w:proofErr w:type="spellEnd"/>
      <w:r w:rsidR="00C33A3C" w:rsidRPr="00165ED2">
        <w:rPr>
          <w:rFonts w:ascii="Times New Roman" w:eastAsia="MS Mincho" w:hAnsi="Times New Roman" w:cs="Times New Roman"/>
          <w:bCs/>
          <w:sz w:val="24"/>
          <w:szCs w:val="24"/>
          <w:lang w:val="en-US"/>
        </w:rPr>
        <w:t xml:space="preserve"> types, averaged into a single response. </w:t>
      </w:r>
      <w:r w:rsidR="00CF2DCD" w:rsidRPr="00165ED2">
        <w:rPr>
          <w:rFonts w:ascii="Times New Roman" w:eastAsia="MS Mincho" w:hAnsi="Times New Roman" w:cs="Times New Roman"/>
          <w:bCs/>
          <w:sz w:val="24"/>
          <w:szCs w:val="24"/>
          <w:lang w:val="en-US"/>
        </w:rPr>
        <w:t xml:space="preserve">In practice, the exercise transition is undertaken by muscle </w:t>
      </w:r>
      <w:proofErr w:type="spellStart"/>
      <w:r w:rsidR="00CF2DCD" w:rsidRPr="00165ED2">
        <w:rPr>
          <w:rFonts w:ascii="Times New Roman" w:eastAsia="MS Mincho" w:hAnsi="Times New Roman" w:cs="Times New Roman"/>
          <w:bCs/>
          <w:sz w:val="24"/>
          <w:szCs w:val="24"/>
          <w:lang w:val="en-US"/>
        </w:rPr>
        <w:t>fibres</w:t>
      </w:r>
      <w:proofErr w:type="spellEnd"/>
      <w:r w:rsidR="00CF2DCD" w:rsidRPr="00165ED2">
        <w:rPr>
          <w:rFonts w:ascii="Times New Roman" w:eastAsia="MS Mincho" w:hAnsi="Times New Roman" w:cs="Times New Roman"/>
          <w:bCs/>
          <w:sz w:val="24"/>
          <w:szCs w:val="24"/>
          <w:lang w:val="en-US"/>
        </w:rPr>
        <w:t xml:space="preserve"> across the spectrum of function, with differing underlying oxidative phosphorylation activities,</w:t>
      </w:r>
      <w:r w:rsidR="00297BE6" w:rsidRPr="00165ED2">
        <w:rPr>
          <w:rFonts w:ascii="Times New Roman" w:eastAsia="MS Mincho" w:hAnsi="Times New Roman" w:cs="Times New Roman"/>
          <w:bCs/>
          <w:sz w:val="24"/>
          <w:szCs w:val="24"/>
          <w:lang w:val="en-US"/>
        </w:rPr>
        <w:t xml:space="preserve"> each-step activation intensities,</w:t>
      </w:r>
      <w:r w:rsidR="00CF2DCD" w:rsidRPr="00165ED2">
        <w:rPr>
          <w:rFonts w:ascii="Times New Roman" w:eastAsia="MS Mincho" w:hAnsi="Times New Roman" w:cs="Times New Roman"/>
          <w:bCs/>
          <w:sz w:val="24"/>
          <w:szCs w:val="24"/>
          <w:lang w:val="en-US"/>
        </w:rPr>
        <w:t xml:space="preserve"> convective &amp; diffusive O</w:t>
      </w:r>
      <w:r w:rsidR="00CF2DCD" w:rsidRPr="00165ED2">
        <w:rPr>
          <w:rFonts w:ascii="Times New Roman" w:eastAsia="MS Mincho" w:hAnsi="Times New Roman" w:cs="Times New Roman"/>
          <w:bCs/>
          <w:sz w:val="24"/>
          <w:szCs w:val="24"/>
          <w:vertAlign w:val="subscript"/>
          <w:lang w:val="en-US"/>
        </w:rPr>
        <w:t>2</w:t>
      </w:r>
      <w:r w:rsidR="00CF2DCD" w:rsidRPr="00165ED2">
        <w:rPr>
          <w:rFonts w:ascii="Times New Roman" w:eastAsia="MS Mincho" w:hAnsi="Times New Roman" w:cs="Times New Roman"/>
          <w:bCs/>
          <w:sz w:val="24"/>
          <w:szCs w:val="24"/>
          <w:lang w:val="en-US"/>
        </w:rPr>
        <w:t xml:space="preserve"> supply and fatigue characteristics </w:t>
      </w:r>
      <w:r w:rsidR="00297BE6"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{"citationID":"DGNLXQy9","properties":{"formattedCitation":"[139\\uc0\\u8211{}141]","plainCitation":"[139–141]","noteIndex":0},"citationItems":[{"id":230,"uris":["http://zotero.org/users/5056530/items/WSWDMDQ9"],"itemData":{"id":230,"type":"article-journal","abstract":"To determine whether fibre type affects the O2 exchange characteristics of skeletal muscle at the microcirculatory level we tested the hypothesis that, following the onset of contractions, muscle comprising predominately type I fibres (soleus, Sol, 86 % type I) would, based on demonstrated blood flow responses, exhibit a blunted microvascular PO2 (PO2,m, which is determined by the O2 delivery (QO2) to O2 uptake (VO2) ratio) profile (assessed via phosphorescence quenching) compared to muscle of primarily type II fibres (peroneal, Per, 84 % type II). PO2,m was measured at rest, and following the rest-contractions (twitch, 1 Hz, 2-4 V for 120 s) transition in Sol (n = 6) and Per (n = 6) muscles of Sprague-Dawley rats. Both muscles exhibited a delay followed by a mono-exponential decrease in PO2,m to the steady state. However, compared with Sol, Per demonstrated (1) a larger change in baseline minus steady state contracting PO2,m (DeltaPO2,m) (Per, 13.4 +/- 1.7 mmHg; Sol, 8.6 +/- 0.9 mmHg, P &lt; 0.05); (2) a faster mean response time (i.e. time delay (TD) plus time constant (tau); Per, 23.8 +/- 1.5 s; Sol, 39.6 +/- 4.3 s, P &lt; 0.05); and therefore (3) a greater rate of PO2,m decline (DeltaPO2,m/tau; Per, 0.92 +/- 0.08 mmHg s-1; Sol, 0.42 +/- 0.05 mmHg s-1, P &lt; 0.05). These data demonstrate an increased microvascular pressure head of O2 at any given point after the initial time delay for Sol versus Per following the onset of contractions that is probably due to faster QO2 dynamics relative to those of VO2.","container-title":"The Journal of Physiology","DOI":"10.1113/jphysiol.2002.035915","ISSN":"0022-3751","issue":"Pt 2","journalAbbreviation":"J. Physiol. (Lond.)","language":"eng","note":"PMID: 12692174\nPMCID: PMC2342949","page":"597-605","source":"PubMed","title":"Oxygen exchange profile in rat muscles of contrasting fibre types","volume":"549","author":[{"family":"Behnke","given":"Brad J."},{"family":"McDonough","given":"Paul"},{"family":"Padilla","given":"Danielle J."},{"family":"Musch","given":"Timothy I."},{"family":"Poole","given":"David C."}],"issued":{"date-parts":[["2003",6,1]]}}},{"id":229,"uris":["http://zotero.org/users/5056530/items/8T7QTMP2"],"itemData":{"id":229,"type":"article-journal","abstract":"In response to an elevated metabolic rate ((.-)V(O(2)), increased microvascular blood-muscle O(2) flux is the product of both augmented O(2) delivery ((.-)Q(O(2)), and fractional O(2) extraction. Whole body and exercising limb measurements demonstrate that (.-)Q(O(2) and fractional O(2) extraction increase as linear and hyperbolic functions, respectively, of (.-)V(O(2). Given the presence of disparate vascular control mechanisms among different muscle fibre types, we tested the hypothesis that, in response to muscle contractions, (.-)Q(O(2) would be lower and fractional O(2) extraction (as assessed via microvascular O(2) pressure, P(mvO(2))) higher in fast- versus slow-twitch muscles. Radiolabelled microsphere and phosphorescence quenching techniques were used to measure (.-)Q(O(2) and P(mvO(2)), respectively at rest and across the transition to 1 Hz twitch contractions at low (Lo, 2.5 V) and high intensities (Hi, 4.5 V) in rat (n = 20) soleus (Sol, slow-twitch, type I), mixed gastrocnemius (MG, fast-twitch, type IIa) and white gastrocnemius (WG, fast-twitch, type IIb) muscle. At rest and for Lo and Hi (steady-state values) transitions, P(mvO(2)) was lower (all P &lt; 0.05) in MG (mmHg: rest, 22.5 +/- 1.0; Lo, 15.3 +/- 1.3; Hi, 10.2 +/- 1.6) and WG (mmHg: rest, 19.0 +/- 1.3; Lo, 12.2 +/- 1.1; Hi, 9.9 +/- 1.1) than in Sol (rest, 33.1 +/- 3.2 mmHg; Lo, 19.0 +/- 2.3 mmHg; Hi, 18.7 +/- 1.8 mmHg), despite lower (.-)V(O(2) and (.-)Q(O(2) in MG and WG under each set of conditions. These data suggest that during submaximal metabolic rates, the relationship between (.-)Q(O(2) and O(2) extraction is dependent on fibre type (at least in the muscles studied herein), such that muscles comprised of fast-twitch fibres display a greater fractional O(2) extraction (i.e. lower P(mvO(2))) than their slow-twitch counterparts. These results also indicate that the greater sustained P(mvO(2)) in Sol may be important for ensuring high blood-myocyte O(2) flux and therefore a greater oxidative contribution to energetic requirements.","container-title":"The Journal of Physiology","DOI":"10.1113/jphysiol.2004.079533","ISSN":"0022-3751","issue":"Pt 3","journalAbbreviation":"J. Physiol. (Lond.)","language":"eng","note":"PMID: 15637098\nPMCID: PMC1665627","page":"903-913","source":"PubMed","title":"Control of microvascular oxygen pressures in rat muscles comprised of different fibre types","volume":"563","author":[{"family":"McDonough","given":"Paul"},{"family":"Behnke","given":"Brad J."},{"family":"Padilla","given":"Danielle J."},{"family":"Musch","given":"Timothy I."},{"family":"Poole","given":"David C."}],"issued":{"date-parts":[["2005",3,15]]}}},{"id":612,"uris":["http://zotero.org/users/5056530/items/ACZS59EG"],"itemData":{"id":612,"type":"article-journal","abstract":"We examined how the greater vasodilatory capacity of slow--(ST) versus fast-twitch (FT) muscles impacts the relationship between blood flow (Q ) and O2 uptake (VO2) and, consequently, the O2 extraction (a-vO2 diff.)-to-VO2 relationship. Q was measured with radiolabelled microspheres, while VO2 was calculated by the Fick principle using measurements of microvascular O2 pressure (phosphorescence quenching) at rest, low--(2.5 V) and high-intensity contractions (4.5 V) for soleus (Sol; ST, n=5), mixed-gastrocnemius (MG; FT, n=7) and white-gastrocnemius (WG; FT, n=7). The slope of the Q-to-VO2 relationship (delta Q/delta VO2] ) was not different among muscles (Sol = 5.5 +/- 0.2, MG = 6.0 +/- 0.11 and WG = 5.8 +/- 0.06; P &gt; 0.05). In contrast, the intercept was greater (P &lt; 0.05) for Sol (16.3 +/- 2.7 ml min(-1) 100 g(-1)) versus MG and WG (in ml min(-1) 100 g(-1): 1.39 +/- 0.26 and 1.45 +/- 0.23, respectively; MG and WG, P &gt; 0.05). In addition, the a-vO2 diff.-to-VO2] relationship for Sol was shifted rightward compared to MG and WG. These data suggest that the increase in Q for a given change in VO2 is similar for slow- and fast-twitch muscles, at least for the range of metabolic rates and muscles studied herein and that a-vO2 diff. differences result from the lower resting Q in FT muscles.","container-title":"Respiratory Physiology &amp; Neurobiology","DOI":"10.1016/j.resp.2005.11.004","ISSN":"1569-9048","issue":"3","journalAbbreviation":"Respir Physiol Neurobiol","language":"eng","note":"PMID: 16376620","page":"237-249","source":"PubMed","title":"Blood flow and O2 extraction as a function of O2 uptake in muscles composed of different fiber types","volume":"153","author":[{"family":"Ferreira","given":"Leonardo F."},{"family":"McDonough","given":"Paul"},{"family":"Behnke","given":"Brad J."},{"family":"Musch","given":"Timothy I."},{"family":"Poole","given":"David C."}],"issued":{"date-parts":[["2006",10,27]]}}}],"schema":"https://github.com/citation-style-language/schema/raw/master/csl-citation.json"} </w:instrText>
      </w:r>
      <w:r w:rsidR="00297BE6"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szCs w:val="24"/>
        </w:rPr>
        <w:t>[139–141]</w:t>
      </w:r>
      <w:r w:rsidR="00297BE6" w:rsidRPr="00165ED2">
        <w:rPr>
          <w:rFonts w:ascii="Times New Roman" w:eastAsia="MS Mincho" w:hAnsi="Times New Roman" w:cs="Times New Roman"/>
          <w:bCs/>
          <w:sz w:val="24"/>
          <w:szCs w:val="24"/>
          <w:lang w:val="en-US"/>
        </w:rPr>
        <w:fldChar w:fldCharType="end"/>
      </w:r>
      <w:r w:rsidR="00CF2DCD" w:rsidRPr="00165ED2">
        <w:rPr>
          <w:rFonts w:ascii="Times New Roman" w:eastAsia="MS Mincho" w:hAnsi="Times New Roman" w:cs="Times New Roman"/>
          <w:bCs/>
          <w:sz w:val="24"/>
          <w:szCs w:val="24"/>
          <w:lang w:val="en-US"/>
        </w:rPr>
        <w:t xml:space="preserve">. Additionally, the location of a given </w:t>
      </w:r>
      <w:proofErr w:type="spellStart"/>
      <w:r w:rsidR="00CF2DCD" w:rsidRPr="00165ED2">
        <w:rPr>
          <w:rFonts w:ascii="Times New Roman" w:eastAsia="MS Mincho" w:hAnsi="Times New Roman" w:cs="Times New Roman"/>
          <w:bCs/>
          <w:sz w:val="24"/>
          <w:szCs w:val="24"/>
          <w:lang w:val="en-US"/>
        </w:rPr>
        <w:t>fibre</w:t>
      </w:r>
      <w:proofErr w:type="spellEnd"/>
      <w:r w:rsidR="00CF2DCD" w:rsidRPr="00165ED2">
        <w:rPr>
          <w:rFonts w:ascii="Times New Roman" w:eastAsia="MS Mincho" w:hAnsi="Times New Roman" w:cs="Times New Roman"/>
          <w:bCs/>
          <w:sz w:val="24"/>
          <w:szCs w:val="24"/>
          <w:lang w:val="en-US"/>
        </w:rPr>
        <w:t xml:space="preserve"> with respect to the skin surface </w:t>
      </w:r>
      <w:r w:rsidR="00B73469" w:rsidRPr="00165ED2">
        <w:rPr>
          <w:rFonts w:ascii="Times New Roman" w:eastAsia="MS Mincho" w:hAnsi="Times New Roman" w:cs="Times New Roman"/>
          <w:bCs/>
          <w:sz w:val="24"/>
          <w:szCs w:val="24"/>
          <w:lang w:val="en-US"/>
        </w:rPr>
        <w:t>has implications for the relative O</w:t>
      </w:r>
      <w:r w:rsidR="00B73469" w:rsidRPr="00165ED2">
        <w:rPr>
          <w:rFonts w:ascii="Times New Roman" w:eastAsia="MS Mincho" w:hAnsi="Times New Roman" w:cs="Times New Roman"/>
          <w:bCs/>
          <w:sz w:val="24"/>
          <w:szCs w:val="24"/>
          <w:vertAlign w:val="subscript"/>
          <w:lang w:val="en-US"/>
        </w:rPr>
        <w:t>2</w:t>
      </w:r>
      <w:r w:rsidR="00B73469" w:rsidRPr="00165ED2">
        <w:rPr>
          <w:rFonts w:ascii="Times New Roman" w:eastAsia="MS Mincho" w:hAnsi="Times New Roman" w:cs="Times New Roman"/>
          <w:bCs/>
          <w:sz w:val="24"/>
          <w:szCs w:val="24"/>
          <w:lang w:val="en-US"/>
        </w:rPr>
        <w:t xml:space="preserve"> delivery </w:t>
      </w:r>
      <w:r w:rsidR="00E10614"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Pc5VXfrP","properties":{"formattedCitation":"[45,118\\uc0\\u8211{}120,142]","plainCitation":"[45,118–120,142]","noteIndex":0},"citationItems":[{"id":837,"uris":["http://zotero.org/users/5056530/items/35KZ822T"],"itemData":{"id":837,"type":"article-journal","abstract":"Resolving the bases for different physiological functioning or exercise performance within a population is dependent on our understanding of control mechanisms. For example, when most young healthy individuals run or cycle at moderate intensities, oxygen uptake (VO2) kinetics are rapid and the amplitude of the VO2 response is not constrained by O2 delivery. For this to occur, muscle O2 delivery (i.e., blood flow × arterial O2 concentration) must be coordinated superbly with muscle O2 requirements (VO2), the efficacy of which may differ among muscles and distinct fiber types. When the O2 transport system succumbs to the predations of aging or disease (emphysema, heart failure, and type 2 diabetes), muscle O2 delivery and O2 delivery-VO2 matching and, therefore, muscle contractile function become impaired. This forces greater influence of the upstream O2 transport pathway on muscle aerobic energy production, and the O2 delivery-VO2 relationship(s) assumes increased importance. This review is the first of its kind to bring a broad range of available techniques, mostly state of the art, including computer modeling, radiolabeled microspheres, positron emission tomography, magnetic resonance imaging, near-infrared spectroscopy, and phosphorescence quenching to resolve the O2 delivery-VO2 relationships and inherent heterogeneities at the whole body, interorgan, muscular, intramuscular, and microvascular/myocyte levels. Emphasis is placed on the following: 1) intact humans and animals as these provide the platform essential for framing and interpreting subsequent investigations, 2) contemporary findings using novel technological approaches to elucidate O2 delivery-VO2 heterogeneities in humans, and 3) future directions for investigating how normal physiological responses can be explained by O2 delivery-VO2 heterogeneities and the impact of aging/disease on these processes.","container-title":"Medicine and Science in Sports and Exercise","DOI":"10.1249/MSS.0000000000000178","ISSN":"1530-0315","issue":"5","journalAbbreviation":"Med Sci Sports Exerc","language":"eng","note":"PMID: 24091989","page":"860-876","source":"PubMed","title":"Dynamic heterogeneity of exercising muscle blood flow and O2 utilization","volume":"46","author":[{"family":"Koga","given":"Shunsaku"},{"family":"Rossiter","given":"Harry B."},{"family":"Heinonen","given":"Ilkka"},{"family":"Musch","given":"Timothy I."},{"family":"Poole","given":"David C."}],"issued":{"date-parts":[["2014"]]}}},{"id":1147,"uris":["http://zotero.org/users/5056530/items/TP4M4T29"],"itemData":{"id":1147,"type":"article-journal","abstract":"We hypothesized that the performance of prior heavy exercise would speed pulmonary oxygen uptake (VO2) kinetics (i.e. described by a time constant, τVO2) and reduce the amplitude of muscle deoxygenation (deoxy[heme]) kinetics in the supine (S) but not upright (U) body positions. 17 healthy men completed heavy intensity constant work rate exercise tests in S and U consisting of two bouts of 6 min cycling separated by 6 min cycling at 20 W. Pulmonary VO2was measured breath-by-breath; total- and deoxy[heme] were determined via time-resolved-NIRS at three muscle sites. Priming exercise reduced τVO2in S (bout 1: 36 ± 10 vs. bout 2: 28 ± 10 s, P &lt; 0.05) but not U (bout 1: 27 ± 8 vs. bout 2: 25 ± 7 s, P &gt; 0.05). The deoxy[heme] amplitude was increased following priming in S (bout 1: 25-28 vs. bout 2: 30-35 μM, P &lt; 0.05) but not U (bout 1: 13-18 vs. bout 2: 17-25 μM, P &gt; 0.05), whereas baseline total[heme] was enhanced in S (bout 1: 110-179 vs. bout 2: 128-185 μM, P &lt; 0.05) and U (bout 1: 123-186 vs. bout 2: 137-197 μM, P &lt; 0.05). Priming exercise increased total[heme] in both S and U, likely indicating enhanced diffusive O2 delivery. However, the observation that following priming the amplitude of the deoxy[heme] response was increased in S suggests that the reduction in τVO2subsequent to priming was related to a combination of both enhanced intracellular O2 utilization and increased O2 delivery.","container-title":"Journal of Applied Physiology","DOI":"10.1152/japplphysiol.00478.2020","ISSN":"8750-7587","note":"publisher: American Physiological Society","source":"journals.physiology.org (Atypon)","title":"Effect of priming exercise and body position on pulmonary oxygen uptake and muscle deoxygenation kinetics during cycle exercise","URL":"https://journals.physiology.org/doi/abs/10.1152/japplphysiol.00478.2020","author":[{"family":"Goulding","given":"Richie Philip"},{"family":"Marwood","given":"Simon"},{"family":"Okushima","given":"Dai"},{"family":"Poole","given":"David C."},{"family":"Barstow","given":"Thomas J."},{"family":"Lei","given":"Tze-Huan"},{"family":"Kondo","given":"Narihiko"},{"family":"Koga","given":"Shunsaku"}],"accessed":{"date-parts":[["2020",8,7]]},"issued":{"date-parts":[["2020",8,6]]}}},{"id":1151,"uris":["http://zotero.org/users/5056530/items/C9C9LDU4"],"itemData":{"id":1151,"type":"article-journal","abstract":"Oxygen uptake (VO2) kinetics are slowed in the supine (S) position due to impaired muscle O2 delivery (QO2), however, these conclusions are predicated on single-site measurements in superficial muscle using continuous-wave near-infrared spectroscopy (NIRS). This study aimed to determine the impact of body position (i.e. upright U vs. S) on deep and superficial muscle deoxygenation (deoxy[heme]) using time-resolved (TR-) NIRS, and how these relate to slowed pulmonary VO2 kinetics. 17 healthy men completed constant power tests during 1) S heavy intensity exercise; and 2) U exercise at the same absolute work rate, with a subset of 10 completing additional tests at the same relative work rate as S. Pulmonary VO2 was measured breath-by-breath and, deoxy- and total[heme] were resolved via TR-NIRS in the superficial and deep vastus lateralis and superficial rectus femoris. The fundamental phase VO2 time constant was increased during S compared to U (S: 36±10 vs. U: 27±8 s, P&lt;0.001). The deoxy[heme] amplitude (S: 25-28 vs. U: 13-18 µM, P&lt;0.05) and total[heme] amplitude (S: 17-20 vs. U: 9-16µM, P&lt;0.05) were greater in S compared to U and were consistent for the same absolute (above data) and relative work rates (n=10, all P&lt;0.05). The greater deoxy- and total[heme] amplitudes in S vs. U supports that reduced perfusive QO2 in S, even within deep muscle, necessitated a greater reliance on fractional O2 extraction and diffusive QO2. The slower VO2 kinetics in S vs. U demonstrates that, ultimately, these adaptations were insufficient to prevent impairments in whole-body oxidative metabolism.","container-title":"Journal of Applied Physiology (Bethesda, Md.: 1985)","DOI":"10.1152/japplphysiol.00213.2020","ISSN":"1522-1601","journalAbbreviation":"J. Appl. Physiol.","language":"eng","note":"PMID: 32702271","source":"PubMed","title":"Impact of supine exercise on muscle deoxygenation kinetics heterogeneity: Mechanistic insights into slow pulmonary oxygen uptake dynamics","title-short":"Impact of supine exercise on muscle deoxygenation kinetics heterogeneity","author":[{"family":"Goulding","given":"Richie Philip"},{"family":"Okushima","given":"Dai"},{"family":"Marwood","given":"Simon"},{"family":"Poole","given":"David C."},{"family":"Barstow","given":"Thomas J."},{"family":"Lei","given":"Tze-Huan"},{"family":"Kondo","given":"Narihiko"},{"family":"Koga","given":"Shunsaku"}],"issued":{"date-parts":[["2020",7,23]]}}},{"id":2897,"uris":["http://zotero.org/users/5056530/items/W8XRHN76"],"itemData":{"id":2897,"type":"article-journal","abstract":"PURPOSE: We tested the hypothesis that incremental ramp cycling exercise performed in the supine position (S) would be associated with an increased reliance on muscle deoxygenation (deoxy[heme]) in the deep and superficial vastus lateralis (VLd and VLs, respectively) and the superficial rectus femoris (RFs) when compared to the upright position (U).\nMETHODS: 11 healthy men completed ramp incremental exercise tests in S and U. Pulmonary [Formula: see text]O2 was measured breath-by-breath; deoxy[heme] was determined via time-resolved near-infrared spectroscopy in the VLd, VLs and RFs.\nRESULTS: Supine exercise increased the overall change in deoxy[heme] from baseline to maximal exercise in the VLs (S: 38 ± 23 vs. U: 26 ± 15 μM, P &lt; 0.001) and RFs (S: 36 ± 21 vs. U: 25 ± 15 μM, P &lt; 0.001), but not in the VLd (S: 32 ± 23 vs. U: 29 ± 26 μM, P &gt; 0.05).\nCONCLUSIONS: The present study supports that the impaired balance between O2 delivery and O2 utilization observed during supine exercise is a regional phenomenon within superficial muscles. Thus, deep muscle defended its O2 delivery/utilization balance against the supine-induced reductions in perfusion pressure. The differential responses of these muscle regions may be explained by a regional heterogeneity of vascular and metabolic control properties, perhaps related to fiber type composition.","container-title":"European Journal of Applied Physiology","DOI":"10.1007/s00421-021-04607-6","ISSN":"1439-6327","journalAbbreviation":"Eur J Appl Physiol","language":"eng","note":"PMID: 33575912","source":"PubMed","title":"Impact of supine versus upright exercise on muscle deoxygenation heterogeneity during ramp incremental cycling is site specific","author":[{"family":"Goulding","given":"Richie P."},{"family":"Okushima","given":"Dai"},{"family":"Fukuoka","given":"Yoshiyuki"},{"family":"Marwood","given":"Simon"},{"family":"Kondo","given":"Narihiko"},{"family":"Poole","given":"David C."},{"family":"Barstow","given":"Thomas J."},{"family":"Koga","given":"Shunsaku"}],"issued":{"date-parts":[["2021",2,11]]}}},{"id":451,"uris":["http://zotero.org/users/5056530/items/ETVFCWUX"],"itemData":{"id":451,"type":"article-journal","abstract":"To date our knowledge of skeletal muscle deoxygenation as measured by near-infrared spectroscopy (NIRS) is predicated almost exclusively on sampling of superficial muscle(s), most commonly the vastus lateralis (VL-s). Recently developed high power NIRS facilitates simultaneous sampling of deep (i.e., rectus femoris, RF-d) and superficial muscles of RF (RF-s) and VL-s. Because deeper muscle is more oxidative with greater capillarity and sustains higher blood flows than superficial muscle, we used time-resolved NIRS to test the hypotheses that, following exercise onset, the RF-d has slower deoxy[Hb+Mb] kinetics with reduced amplitude than superficial muscles. Thirteen participants performed cycle exercise transitions from unloaded to heavy work rates. Within the same muscle (RF-s vs. RF-d) deoxy[Hb+Mb] kinetics (mean response time, MRT) and amplitudes were not different. However, compared with the kinetics of VL-s, deoxy[Hb+Mb] of RF-s and RF-d were slower (MRT: RF-s, 51 ± 23; RF-d, 55 ± 29; VL-s, 18 ± 6 s; P &lt; 0.05). Moreover, the amplitude of total[Hb+Mb] was greater for VL-s than both RF-s and RF-d (P &lt; 0.05). Whereas pulmonary V˙O2 kinetics (i.e., on vs. off) were symmetrical in heavy exercise, there was a marked on-off asymmetry of deoxy[Hb+Mb] for all three sites i.e., MRT-off &gt; MRT-on (P &lt; 0.05). Collectively these data reveal profoundly different O2 transport strategies, with the RF-s and RF-d relying proportionately more on elevated perfusive and the VL-s on diffusive O2 transport. These disparate O2 transport strategies and their temporal profiles across muscles have previously been concealed within the \"global\" pulmonary V˙O2 response.","container-title":"Physiological Reports","DOI":"10.14814/phy2.13402","ISSN":"2051-817X","issue":"17","journalAbbreviation":"Physiol Rep","language":"eng","note":"PMID: 28912130\nPMCID: PMC5599862","source":"PubMed","title":"Near-infrared spectroscopy of superficial and deep rectus femoris reveals markedly different exercise response to superficial vastus lateralis","volume":"5","author":[{"family":"Koga","given":"Shunsaku"},{"family":"Okushima","given":"Dai"},{"family":"Barstow","given":"Thomas J."},{"family":"Rossiter","given":"Harry B."},{"family":"Kondo","given":"Narihiko"},{"family":"Poole","given":"David C."}],"issued":{"date-parts":[["2017",9]]}}}],"schema":"https://github.com/citation-style-language/schema/raw/master/csl-citation.json"} </w:instrText>
      </w:r>
      <w:r w:rsidR="00E10614"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szCs w:val="24"/>
        </w:rPr>
        <w:t>[45,118–120,142]</w:t>
      </w:r>
      <w:r w:rsidR="00E10614" w:rsidRPr="00165ED2">
        <w:rPr>
          <w:rFonts w:ascii="Times New Roman" w:eastAsia="MS Mincho" w:hAnsi="Times New Roman" w:cs="Times New Roman"/>
          <w:bCs/>
          <w:sz w:val="24"/>
          <w:szCs w:val="24"/>
          <w:lang w:val="en-US"/>
        </w:rPr>
        <w:fldChar w:fldCharType="end"/>
      </w:r>
      <w:r w:rsidR="00B73469" w:rsidRPr="00165ED2">
        <w:rPr>
          <w:rFonts w:ascii="Times New Roman" w:eastAsia="MS Mincho" w:hAnsi="Times New Roman" w:cs="Times New Roman"/>
          <w:bCs/>
          <w:sz w:val="24"/>
          <w:szCs w:val="24"/>
          <w:lang w:val="en-US"/>
        </w:rPr>
        <w:t xml:space="preserve">. </w:t>
      </w:r>
      <w:r w:rsidR="00CF2DCD" w:rsidRPr="00165ED2">
        <w:rPr>
          <w:rFonts w:ascii="Times New Roman" w:eastAsia="MS Mincho" w:hAnsi="Times New Roman" w:cs="Times New Roman"/>
          <w:bCs/>
          <w:sz w:val="24"/>
          <w:szCs w:val="24"/>
          <w:lang w:val="en-US"/>
        </w:rPr>
        <w:t xml:space="preserve"> </w:t>
      </w:r>
      <w:r w:rsidR="00124505" w:rsidRPr="00165ED2">
        <w:rPr>
          <w:rFonts w:ascii="Times New Roman" w:eastAsia="MS Mincho" w:hAnsi="Times New Roman" w:cs="Times New Roman"/>
          <w:bCs/>
          <w:sz w:val="24"/>
          <w:szCs w:val="24"/>
          <w:lang w:val="en-US"/>
        </w:rPr>
        <w:t xml:space="preserve">Nevertheless, findings at the whole muscle level are congruent with the notion that </w:t>
      </w:r>
      <w:r w:rsidR="00124505" w:rsidRPr="00165ED2">
        <w:rPr>
          <w:rFonts w:ascii="Times New Roman" w:eastAsia="MS Mincho" w:hAnsi="Times New Roman" w:cs="Times New Roman"/>
          <w:sz w:val="24"/>
          <w:szCs w:val="24"/>
          <w:lang w:val="en-US"/>
        </w:rPr>
        <w:t>metabolic inertia at the onset of exercise</w:t>
      </w:r>
      <w:r w:rsidR="00124505" w:rsidRPr="00165ED2">
        <w:rPr>
          <w:rFonts w:ascii="Times New Roman" w:eastAsia="MS Mincho" w:hAnsi="Times New Roman" w:cs="Times New Roman"/>
          <w:bCs/>
          <w:sz w:val="24"/>
          <w:szCs w:val="24"/>
          <w:lang w:val="en-US"/>
        </w:rPr>
        <w:t xml:space="preserve"> determines CP via its effect on the accumulation of Pi and other O</w:t>
      </w:r>
      <w:r w:rsidR="00124505" w:rsidRPr="00165ED2">
        <w:rPr>
          <w:rFonts w:ascii="Times New Roman" w:eastAsia="MS Mincho" w:hAnsi="Times New Roman" w:cs="Times New Roman"/>
          <w:bCs/>
          <w:sz w:val="24"/>
          <w:szCs w:val="24"/>
          <w:vertAlign w:val="subscript"/>
          <w:lang w:val="en-US"/>
        </w:rPr>
        <w:t>2</w:t>
      </w:r>
      <w:r w:rsidR="00124505" w:rsidRPr="00165ED2">
        <w:rPr>
          <w:rFonts w:ascii="Times New Roman" w:eastAsia="MS Mincho" w:hAnsi="Times New Roman" w:cs="Times New Roman"/>
          <w:bCs/>
          <w:sz w:val="24"/>
          <w:szCs w:val="24"/>
          <w:lang w:val="en-US"/>
        </w:rPr>
        <w:t xml:space="preserve"> deficit-related metabolites that are implicated in the fatigue process. </w:t>
      </w:r>
      <w:r w:rsidR="00B73469" w:rsidRPr="00165ED2">
        <w:rPr>
          <w:rFonts w:ascii="Times New Roman" w:eastAsia="MS Mincho" w:hAnsi="Times New Roman" w:cs="Times New Roman"/>
          <w:bCs/>
          <w:sz w:val="24"/>
          <w:szCs w:val="24"/>
          <w:lang w:val="en-US"/>
        </w:rPr>
        <w:t xml:space="preserve">Type I </w:t>
      </w:r>
      <w:proofErr w:type="spellStart"/>
      <w:r w:rsidR="00B73469" w:rsidRPr="00165ED2">
        <w:rPr>
          <w:rFonts w:ascii="Times New Roman" w:eastAsia="MS Mincho" w:hAnsi="Times New Roman" w:cs="Times New Roman"/>
          <w:bCs/>
          <w:sz w:val="24"/>
          <w:szCs w:val="24"/>
          <w:lang w:val="en-US"/>
        </w:rPr>
        <w:t>fibres</w:t>
      </w:r>
      <w:proofErr w:type="spellEnd"/>
      <w:r w:rsidR="00B73469" w:rsidRPr="00165ED2">
        <w:rPr>
          <w:rFonts w:ascii="Times New Roman" w:eastAsia="MS Mincho" w:hAnsi="Times New Roman" w:cs="Times New Roman"/>
          <w:bCs/>
          <w:sz w:val="24"/>
          <w:szCs w:val="24"/>
          <w:lang w:val="en-US"/>
        </w:rPr>
        <w:t xml:space="preserve"> possess faster V̇O</w:t>
      </w:r>
      <w:r w:rsidR="00B73469" w:rsidRPr="00165ED2">
        <w:rPr>
          <w:rFonts w:ascii="Times New Roman" w:eastAsia="MS Mincho" w:hAnsi="Times New Roman" w:cs="Times New Roman"/>
          <w:bCs/>
          <w:sz w:val="24"/>
          <w:szCs w:val="24"/>
          <w:vertAlign w:val="subscript"/>
          <w:lang w:val="en-US"/>
        </w:rPr>
        <w:t xml:space="preserve">2 </w:t>
      </w:r>
      <w:r w:rsidR="00B73469" w:rsidRPr="00165ED2">
        <w:rPr>
          <w:rFonts w:ascii="Times New Roman" w:eastAsia="MS Mincho" w:hAnsi="Times New Roman" w:cs="Times New Roman"/>
          <w:bCs/>
          <w:sz w:val="24"/>
          <w:szCs w:val="24"/>
          <w:lang w:val="en-US"/>
        </w:rPr>
        <w:t xml:space="preserve">kinetics, better metabolic control, and maintain greater values for capillary and interstitial </w:t>
      </w:r>
      <w:r w:rsidR="00B73469" w:rsidRPr="00165ED2">
        <w:rPr>
          <w:rFonts w:ascii="Times New Roman" w:eastAsia="MS Mincho" w:hAnsi="Times New Roman" w:cs="Times New Roman"/>
          <w:bCs/>
          <w:i/>
          <w:sz w:val="24"/>
          <w:szCs w:val="24"/>
          <w:lang w:val="en-US"/>
        </w:rPr>
        <w:t>P</w:t>
      </w:r>
      <w:r w:rsidR="00B73469" w:rsidRPr="00165ED2">
        <w:rPr>
          <w:rFonts w:ascii="Times New Roman" w:eastAsia="MS Mincho" w:hAnsi="Times New Roman" w:cs="Times New Roman"/>
          <w:bCs/>
          <w:sz w:val="24"/>
          <w:szCs w:val="24"/>
          <w:lang w:val="en-US"/>
        </w:rPr>
        <w:t>O</w:t>
      </w:r>
      <w:r w:rsidR="00B73469" w:rsidRPr="00165ED2">
        <w:rPr>
          <w:rFonts w:ascii="Times New Roman" w:eastAsia="MS Mincho" w:hAnsi="Times New Roman" w:cs="Times New Roman"/>
          <w:bCs/>
          <w:sz w:val="24"/>
          <w:szCs w:val="24"/>
          <w:vertAlign w:val="subscript"/>
          <w:lang w:val="en-US"/>
        </w:rPr>
        <w:t>2</w:t>
      </w:r>
      <w:r w:rsidR="00B73469" w:rsidRPr="00165ED2">
        <w:rPr>
          <w:rFonts w:ascii="Times New Roman" w:eastAsia="MS Mincho" w:hAnsi="Times New Roman" w:cs="Times New Roman"/>
          <w:bCs/>
          <w:sz w:val="24"/>
          <w:szCs w:val="24"/>
          <w:lang w:val="en-US"/>
        </w:rPr>
        <w:t xml:space="preserve"> at rest and during contractions </w:t>
      </w:r>
      <w:r w:rsidR="00B73469"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zxlWtTJn","properties":{"formattedCitation":"[139,140,143\\uc0\\u8211{}150]","plainCitation":"[139,140,143–150]","noteIndex":0},"citationItems":[{"id":970,"uris":["http://zotero.org/users/5056530/items/H9UFIKFP"],"itemData":{"id":970,"type":"article-journal","abstract":"The mechanisms controlling skeletal muscle oxygen consumption (V(o)₂) during exercise are not well understood. We determined whether first-order control could explain V(o)₂kinetics at contractions onset (V(o)₂(on)) and cessation (V(o)₂off)) in single skeletal muscle fibres differing in oxdidative capacity, and across stimulation intensities up to V(o)₂(max). Xenopus laevis fibres (n = 21) were suspended in a sealed chamber with a fast response P(o)₂ electrode to measure V(o)₂ every second before, during and after stimulated isometric contractions. A first-order model did not well characterize on-transient V(o)₂ kinetics. Including a time delay (TD) in the model provided a significantly improved characterization than a first-order fit without TD (F-ratio; P &lt; 0.05), and revealed separate 'activation' and 'exponential' phases in 15/21 fibres contracting at V(o)₂(max) (mean ± SD TD: 14 ± 3s). On-transient kinetics (τV(o)₂(on)) was weakly and linearly related to V(o)₂(max) (R² = 0.271, P = 0.015). Off-transient kinetics, however, were first-order, and τV(o)₂(off) was greater in low-oxidative (V(o)₂max &lt; 0.05 nmol mm⁻³s⁻¹ than high-oxidative fibres (V(o)₂(max &gt; 0.10 nmol mm ⁻³ s⁻¹; 170 ± 70 vs. 29 ± 6 s, P &lt; 0.001). 1/ τV(o)₂(off) was proportional to V(o)₂(max) (R² = 0.727, P &lt; 0.001), unlike in the on-transient. The calculated oxygen deficit was larger (P &lt; 0.05) than the post-contraction volume of consumed oxygen at all intensities except V(o)₂(max). These data show a clear dissociation between the kinetic control of V(o)₂at the onset and cessation of contractions and across stimulation intensities. More complex models are therefore required to understand the activation of mitochondrial respiration in skeletal muscle at the start of exercise.","container-title":"The Journal of Physiology","DOI":"10.1113/jphysiol.2012.241992","ISSN":"1469-7793","issue":"3","journalAbbreviation":"J. Physiol. (Lond.)","language":"eng","note":"PMID: 23165768\nPMCID: PMC3577546","page":"731-744","source":"PubMed","title":"On-off asymmetries in oxygen consumption kinetics of single Xenopus laevis skeletal muscle fibres suggest higher-order control","volume":"591","author":[{"family":"Wüst","given":"Rob C. I."},{"family":"Laarse","given":"Willem J.","non-dropping-particle":"van der"},{"family":"Rossiter","given":"Harry B."}],"issued":{"date-parts":[["2013",2,1]]}}},{"id":226,"uris":["http://zotero.org/users/5056530/items/GXGUF4T8"],"itemData":{"id":226,"type":"article-journal","abstract":"The energy utilization associated with contraction was measured in isolated slow- and fast-twitch muscles of the mouse at 20 degrees C. The extent of this utilization was estimated from either the extent of high-energy phosphate splitting occurring during contraction (the initial chemical change, delta approximately P init) or from the extent of recovery resynthesis calculated from the observed oxygen consumption and lactate production occurring during the recovery period (recovery chemical resynthesis, delta approximately P rec). For short tetani, the cost to maintain isometric tension in the fast-twitch extensor digitorum longus (EDL) was approximately threefold greater than that in the slow-twitch soleus. With prolonged stimulation, however, the energy cost in the EDL diminished so that after 12 s of stimulation, the energy cost in the EDL was only 50% greater than that of the soleus. For both the slow-twitch soleus and the fast-twitch EDL and for all tetanus durations (up to 15 s), the extent of the initial chemical change was identical with the amount of recovery chemical resynthesis, showing that a biochemical energy balance existed in these muscles.","container-title":"The Journal of General Physiology","DOI":"10.1085/jgp.79.1.147","ISSN":"0022-1295, 1540-7748","issue":"1","language":"en","license":"© 1982 Rockefeller University Press","note":"PMID: 7061985","page":"147-166","source":"jgp.rupress.org","title":"Chemical energetics of slow- and fast-twitch muscles of the mouse.","volume":"79","author":[{"family":"Crow","given":"M. T."},{"family":"Kushmerick","given":"M. J."}],"issued":{"date-parts":[["1982",1,1]]}}},{"id":1274,"uris":["http://zotero.org/users/5056530/items/7QJ8PBKJ"],"itemData":{"id":1274,"type":"article-journal","abstract":"Mitochondria isolated from rabbit soleus (98% type I) and gracilis (99% type IIb) skeletal muscle were compared for compositional differences. Whole muscle mitochondrial contents were 14.5 +/- 1.2 mg/g of wet weight in soleus and 5.3 +/- 0.6 mg/g in the gracilis muscle, a 2.7-fold difference. Maximal pyruvate plus malate oxidase activity in gracilis mitochondria was roughly 75% of that in soleus mitochondria. In contrast, glycerol 3-phosphate (G-3-P) oxidation was 10-fold greater in gracilis mitochondria. Both soleus and gracilis mitochondria exhibited additive pyruvate and G-3-P oxidase activities. In general, citric acid cycle enzyme activities were higher in soleus mitochondria. A notable exception was isocitrate dehydrogenase, which was twofold higher in gracilis mitochondria. Substrate cytochrome c reductase activities indicated that the electron transport chain (ETC) of soleus mitochondria possess roughly twice the capacity for both NADH and succinate oxidation. Similarly, the maximal activities of NADH dehydrogenase and succinate dehydrogenase were roughly twofold higher in soleus mitochondria. The findings demonstrate that mitochondria isolated from types I and IIb skeletal muscle differ substantially in composition. Furthermore, the relatively similar pyruvate plus malate oxidase activities in the face of markedly different ETC capacities suggest that the interaction between matrix dehydrogenases and the ETC may differ in mitochondria isolated from types I and IIb skeletal muscle.","container-title":"The American Journal of Physiology","DOI":"10.1152/ajpcell.1996.270.2.C673","ISSN":"0002-9513","issue":"2 Pt 1","journalAbbreviation":"Am. J. Physiol.","language":"eng","note":"PMID: 8779934","page":"C673-678","source":"PubMed","title":"Characteristics of mitochondria isolated from type I and type IIb skeletal muscle","volume":"270","author":[{"family":"Jackman","given":"M. R."},{"family":"Willis","given":"W. T."}],"issued":{"date-parts":[["1996",2]]}}},{"id":222,"uris":["http://zotero.org/users/5056530/items/SXSJDQ4P"],"itemData":{"id":222,"type":"article-journal","abstract":"Maximal rates, coupling, and control of oxidative phosphorylation were studied in isolated skeletal muscle mitochondria from rat and rabbit. Mitochondria were incubated under various conditions of temperature, pH, and substrate availability. A 20% decrease in coupling (ADP/O) was observed at 43 degrees C as compared to 37 degrees C in rat mixed skeletal muscle mitochondria. Changes in pH from 7.00 to 6.20 affected neither coupling nor maximal (state 3) respiration rates. Changing the substrate supply from pyruvate to palmitoyl-carnitine (+ malate) did not alter ADP/O, but markedly degraded the energy state sustained at submaximal ATP turnover. Thus, carbohydrate depletion may be associated with inhibition of contractile function and the recruitment of less economical higher threshold motor units. State 3 respiration of mitochondria from rabbit Type IIb fibers oxidizing pyruvate+malate+alpha-glycerophosphate was 27% higher than that of mitochondria from Type I rabbit skeletal muscle. However, the ADP/O ratio in the Type IIb preparation was 18% lower. The experimental findings suggest that temperature, substrate supply, and energetic differences between slow twitch and fast twitch motor units may impact the economy of mitochondrial oxygen utilization during heavy aerobic exercise, and thus contribute to the slow component of oxygen uptake.","container-title":"Medicine and Science in Sports and Exercise","ISSN":"0195-9131","issue":"11","journalAbbreviation":"Med Sci Sports Exerc","language":"eng","note":"PMID: 7837955","page":"1347-1353","source":"PubMed","title":"Mitochondrial function during heavy exercise","volume":"26","author":[{"family":"Willis","given":"W. T."},{"family":"Jackman","given":"M. R."}],"issued":{"date-parts":[["1994",11]]}}},{"id":205,"uris":["http://zotero.org/users/5056530/items/I2PFXF34"],"itemData":{"id":205,"type":"article-journal","abstract":"We tested the hypothesis that the amplitude of the additional slow component of O2 uptake (VO2) during heavy exercise is correlated with the percentage of type II (fast-twitch) fibers in the contracting muscles. Ten subjects performed transitions to a work rate calculated to require a VO2 equal to 50% between the estimated lactate (Lac) threshold and maximal VO2 (50% delta). Nine subjects consented to a muscle biopsy of the vastus lateralis. To enhance the influence of differences in fiber type among subjects, transitions were made while subjects were pedaling at 45, 60, 75, and 90 rpm in different trials. Baseline VO2 was designed to be similar at the different pedal rates by adjusting baseline work rate while the absolute increase in work rate above the baseline was the same. The VO2 response after the onset of exercise was described by a three-exponential model. The relative magnitude of the slow component at the end of 8-min exercise was significantly negatively correlated with % type I fibers at every pedal rate (r = 0.64 to 0.83, P &lt; 0.05-0.01). Furthermore, the gain of the fast component for VO2 (as ml.min-1.W-1) was positively correlated with the % type I fibers across pedal rates (r = 0.69-0.83). Increase in pedal rate was associated with decreased relative stress of the exercise but did not affect the relationships between % fiber type and VO2 parameters. The relative contribution of the slow component was also significantly negatively correlated with maximal VO2 (r = -0.65), whereas the gain for the fast component was positively associated (r = 0.68-0.71 across rpm). The amplitude of the slow component was significantly correlated with net end-exercise Lac at all four pedal rates (r = 0.64-0.84), but Lac was not correlated with % type I (P &gt; 0.05). We conclude that fiber type distribution significantly affects both the fast and slow components of VO2 during heavy exercise and that fiber type and fitness may have both codependent and independent influences on the metabolic and gas-exchange responses to heavy exercise.","container-title":"Journal of Applied Physiology (Bethesda, Md.: 1985)","ISSN":"8750-7587","issue":"4","journalAbbreviation":"J. Appl. Physiol.","language":"eng","note":"PMID: 8904581","page":"1642-1650","source":"PubMed","title":"Influence of muscle fiber type and pedal frequency on oxygen uptake kinetics of heavy exercise","volume":"81","author":[{"family":"Barstow","given":"T. J."},{"family":"Jones","given":"A. M."},{"family":"Nguyen","given":"P. H."},{"family":"Casaburi","given":"R."}],"issued":{"date-parts":[["1996",10]]}}},{"id":151,"uris":["http://zotero.org/users/5056530/items/8GVX8R5I"],"itemData":{"id":151,"type":"article-journal","abstract":"The purpose of the present study was to test the hypothesis that muscle fibre type influences the oxygen uptake (.VO(2)) on-kinetic response (primary time constant; primary and slow component amplitudes) during moderate, heavy and severe intensity sub-maximal cycle exercise. Fourteen subjects [10 males, mean (SD) age 25 (4) years; mass 72.6 (3.9) kg; .VO(2peak) 47.9 (2.3) ml kg(-1) min(-1)] volunteered to participate in this study. The subjects underwent a muscle biopsy of the vastus lateralis for histochemical determination of muscle fibre type, and completed repeat \"square-wave\" transitions from unloaded cycling to power outputs corresponding to 80% of the ventilatory threshold (VT; moderate exercise), 50% (heavy exercise) and 70% (severe exercise) of the difference between the VT and .VO(2peak). Pulmonary .VO(2) was measured breath-by-breath. The percentage of type I fibres was significantly correlated with the time constant of the primary .VO(2) response for heavy exercise (r=-0.68). Furthermore, the percentage of type I muscle fibres was significantly correlated with the gain of the .VO(2) primary component for moderate (r=0.65), heavy (r=0.57) and severe (r=0.57) exercise, and with the relative amplitude of the .VO(2) slow component for heavy (r=-0.74) and severe (r=-0.64) exercise. The influence of muscle fibre type on the .VO(2) on-kinetic response persisted when differences in aerobic fitness and muscle capillarity were accounted for. This study demonstrates that muscle fibre type is significantly related to both the speed and the amplitudes of the .VO(2) response at the onset of constant-load sub-maximal exercise. Differences in contraction efficiency and oxidative enzyme activity between type I and type II muscle fibres may be responsible for the differences observed.","container-title":"European Journal of Applied Physiology","DOI":"10.1007/s00421-003-0799-1","ISSN":"1439-6319","issue":"3-4","journalAbbreviation":"Eur. J. Appl. Physiol.","language":"eng","note":"PMID: 12736837","page":"289-300","source":"PubMed","title":"Oxygen uptake kinetics during moderate, heavy and severe intensity \"submaximal\" exercise in humans: the influence of muscle fibre type and capillarisation","title-short":"Oxygen uptake kinetics during moderate, heavy and severe intensity \"submaximal\" exercise in humans","volume":"89","author":[{"family":"Pringle","given":"Jamie S. M."},{"family":"Doust","given":"Jonathan H."},{"family":"Carter","given":"Helen"},{"family":"Tolfrey","given":"Keith"},{"family":"Campbell","given":"Iain T."},{"family":"Sakkas","given":"Giorkos K."},{"family":"Jones","given":"Andrew M."}],"issued":{"date-parts":[["2003",5]]}}},{"id":1129,"uris":["http://zotero.org/users/5056530/items/LDC97FZA"],"itemData":{"id":1129,"type":"article-journal","abstract":"Key points Within skeletal muscle the greatest resistance to oxygen transport is thought to reside across the short distance at the red blood cell–myocyte interface. These structures generate a significant transmural oxygen pressure (PO2) gradient in mixed fibre-type muscle. Increasing O2 flux across the capillary wall during exercise depends on: (i) the transmural O2 pressure gradient, which is maintained in mixed-fibre muscle, and/or (ii) elevating diffusing properties between microvascular and interstitial compartments resulting, in part, from microvascular haemodynamics and red blood cell distribution. We evaluated the PO2 within the microvascular and interstitial spaces of muscles spanning the slow- to fast-twitch fibre and high- to low-oxidative capacity spectrums, at rest and during contractions, to assess the magnitude of transcapillary PO2 gradients in rats. Our findings demonstrate that, across the metabolic rest–contraction transition, the transcapillary pressure gradient for O2 flux is: (i) maintained in all muscle types, and (ii) the lowest in contracting highly oxidative fast-twitch muscle. Abstract In mixed fibre-type skeletal muscle transcapillary PO2 gradients (PO2mv-PO2is; microvascular and interstitial, respectively) drive O2 flux across the blood–myocyte interface where the greatest resistance to that O2 flux resides. We assessed a broad spectrum of fibre-type and oxidative-capacity rat muscles across the rest-to-contraction (1 Hz, 120 s) transient to test the novel hypotheses that: (i) slow-twitch PO2is would be greater than fast-twitch, (ii) muscles with greater oxidative capacity have greater PO2is than glycolytic counterparts, and (iii) whether PO2mv-PO2is at rest is maintained during contractions across all muscle types. PO2mv and PO2is were determined via phosphorescence quenching in soleus (SOL; 91% type I+IIa fibres and CSa: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21 μmol min-1 g-1), peroneal (PER; 33% and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20 μmol min-1 g-1), mixed (MG; 9% and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26 μmol min-1 g-1) and white gastrocnemius (WG; 0% and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8 μmol min-1 g-1) across the rest–contraction transient. PO2mv was higher than PO2is in each muscle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6–13 mmHg; P &lt; 0.05). SOL PO2isarea was greater than in the fast-twitch muscles during contractions (P &lt; 0.05). Oxidative muscles had greater PO2isnadir (9.4 ± 0.8, 7.4 ± 0.9 and 6.4 ± 0.4; SOL, PER and MG, respectively) than WG (3.0 ± 0.3 mmHg, P &lt; 0.05). The magnitude of PO2mv-PO2is at rest decreased during contractions in MG only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11 to 7 mmHg; time × (PO2mv-PO2is) interaction, P &lt; 0.05). These data support the hypothesis that, since transcapillary PO2 gradients during contractions are maintained in all muscle types, increased O2 flux must occur via enhanced intracapillary diffusing conductance, which is most extreme in highly oxidative fast-twitch muscle.","container-title":"The Journal of Physiology","DOI":"10.1113/JP279608","ISSN":"1469-7793","issue":"15","language":"en","note":"_eprint: https://physoc.onlinelibrary.wiley.com/doi/pdf/10.1113/JP279608","page":"3187-3202","source":"Wiley Online Library","title":"Transcapillary PO2 gradients in contracting muscles across the fibre type and oxidative continuum","volume":"598","author":[{"family":"Colburn","given":"Trenton D."},{"family":"Hirai","given":"Daniel M."},{"family":"Craig","given":"Jesse C."},{"family":"Ferguson","given":"Scott K."},{"family":"Weber","given":"Ramona E."},{"family":"Schulze","given":"Kiana M."},{"family":"Behnke","given":"Brad J."},{"family":"Musch","given":"Timothy I."},{"family":"Poole","given":"David C."}],"issued":{"date-parts":[["2020"]]}}},{"id":449,"uris":["http://zotero.org/users/5056530/items/4A9HVJ5V"],"itemData":{"id":449,"type":"article-journal","abstract":"Oxygen pressure (PO2 ) gradients across the blood-myocyte interface are required for diffusive O2 transport thereby supporting oxidative metabolism. The greatest resistance to O2 flux into skeletal muscle is considered to reside between the erythrocyte surface and adjacent sarcolemma, although this has not been measured during contractions. We tested the hypothesis that O2 gradients between skeletal muscle microvascular (PO2 mv) and interstitial (PO2 is) spaces would be present at rest and maintained or increased during contractions. PO2 mv and PO2 is were determined via phosphorescence quenching (Oxyphor probes G2 and G4, respectively) in the exposed rat spinotrapezius during the rest-contraction transient (1 Hz, 6 V; n = 8). PO2 mv was higher than PO2 is in all instances from rest (34.9 ± 6.0 vs. 15.7 ± 6.4) to contractions (28.4 ± 5.3 vs. 10.6 ± 5.2 mmHg; respectively) such that the mean PO2 gradient throughout the transient was 16.9 ± 6.6 mmHg (P &lt; 0.05 for all). No differences in the amplitude of PO2 fall with contractions were observed between the microvasculature and interstitium (10.9 ± 2.3 vs. 9.0 ± 3.5 mmHg, respectively; P &gt; 0.05). However, the speed of the PO2 is fall during contractions was slower than that of PO2 mv (time constant: 12.8 ± 4.7 vs. 9.0 ± 5.1 s, respectively; P &lt; 0.05). Consistent with our hypothesis, a significant transmural gradient was sustained (but not increased) from rest to contractions. This supports that the blood-myocyte interface is the site of a substantial PO2 gradient driving O2 diffusion during metabolic transients. Based on Fick's law, elevated O2 flux with contractions must thus rely primarily on modulations in effective diffusing capacity (mainly erythrocyte hemodynamics and distribution) as the PO2 gradient is not increased. This article is protected by copyright. All rights reserved.","container-title":"The Journal of Physiology","DOI":"10.1113/JP275170","ISSN":"1469-7793","journalAbbreviation":"J. Physiol. (Lond.)","language":"eng","note":"PMID: 29288568","source":"PubMed","title":"Skeletal muscle microvascular and interstitial PO2 from rest to contractions","author":[{"family":"Hirai","given":"Daniel M."},{"family":"Craig","given":"Jesse C."},{"family":"Colburn","given":"Trenton D."},{"family":"Eshima","given":"Hiroaki"},{"family":"Kano","given":"Yutaka"},{"family":"Sexton","given":"William L."},{"family":"Musch","given":"Timothy I."},{"family":"Poole","given":"David C."}],"issued":{"date-parts":[["2017",12,30]]}}},{"id":230,"uris":["http://zotero.org/users/5056530/items/WSWDMDQ9"],"itemData":{"id":230,"type":"article-journal","abstract":"To determine whether fibre type affects the O2 exchange characteristics of skeletal muscle at the microcirculatory level we tested the hypothesis that, following the onset of contractions, muscle comprising predominately type I fibres (soleus, Sol, 86 % type I) would, based on demonstrated blood flow responses, exhibit a blunted microvascular PO2 (PO2,m, which is determined by the O2 delivery (QO2) to O2 uptake (VO2) ratio) profile (assessed via phosphorescence quenching) compared to muscle of primarily type II fibres (peroneal, Per, 84 % type II). PO2,m was measured at rest, and following the rest-contractions (twitch, 1 Hz, 2-4 V for 120 s) transition in Sol (n = 6) and Per (n = 6) muscles of Sprague-Dawley rats. Both muscles exhibited a delay followed by a mono-exponential decrease in PO2,m to the steady state. However, compared with Sol, Per demonstrated (1) a larger change in baseline minus steady state contracting PO2,m (DeltaPO2,m) (Per, 13.4 +/- 1.7 mmHg; Sol, 8.6 +/- 0.9 mmHg, P &lt; 0.05); (2) a faster mean response time (i.e. time delay (TD) plus time constant (tau); Per, 23.8 +/- 1.5 s; Sol, 39.6 +/- 4.3 s, P &lt; 0.05); and therefore (3) a greater rate of PO2,m decline (DeltaPO2,m/tau; Per, 0.92 +/- 0.08 mmHg s-1; Sol, 0.42 +/- 0.05 mmHg s-1, P &lt; 0.05). These data demonstrate an increased microvascular pressure head of O2 at any given point after the initial time delay for Sol versus Per following the onset of contractions that is probably due to faster QO2 dynamics relative to those of VO2.","container-title":"The Journal of Physiology","DOI":"10.1113/jphysiol.2002.035915","ISSN":"0022-3751","issue":"Pt 2","journalAbbreviation":"J. Physiol. (Lond.)","language":"eng","note":"PMID: 12692174\nPMCID: PMC2342949","page":"597-605","source":"PubMed","title":"Oxygen exchange profile in rat muscles of contrasting fibre types","volume":"549","author":[{"family":"Behnke","given":"Brad J."},{"family":"McDonough","given":"Paul"},{"family":"Padilla","given":"Danielle J."},{"family":"Musch","given":"Timothy I."},{"family":"Poole","given":"David C."}],"issued":{"date-parts":[["2003",6,1]]}}},{"id":229,"uris":["http://zotero.org/users/5056530/items/8T7QTMP2"],"itemData":{"id":229,"type":"article-journal","abstract":"In response to an elevated metabolic rate ((.-)V(O(2)), increased microvascular blood-muscle O(2) flux is the product of both augmented O(2) delivery ((.-)Q(O(2)), and fractional O(2) extraction. Whole body and exercising limb measurements demonstrate that (.-)Q(O(2) and fractional O(2) extraction increase as linear and hyperbolic functions, respectively, of (.-)V(O(2). Given the presence of disparate vascular control mechanisms among different muscle fibre types, we tested the hypothesis that, in response to muscle contractions, (.-)Q(O(2) would be lower and fractional O(2) extraction (as assessed via microvascular O(2) pressure, P(mvO(2))) higher in fast- versus slow-twitch muscles. Radiolabelled microsphere and phosphorescence quenching techniques were used to measure (.-)Q(O(2) and P(mvO(2)), respectively at rest and across the transition to 1 Hz twitch contractions at low (Lo, 2.5 V) and high intensities (Hi, 4.5 V) in rat (n = 20) soleus (Sol, slow-twitch, type I), mixed gastrocnemius (MG, fast-twitch, type IIa) and white gastrocnemius (WG, fast-twitch, type IIb) muscle. At rest and for Lo and Hi (steady-state values) transitions, P(mvO(2)) was lower (all P &lt; 0.05) in MG (mmHg: rest, 22.5 +/- 1.0; Lo, 15.3 +/- 1.3; Hi, 10.2 +/- 1.6) and WG (mmHg: rest, 19.0 +/- 1.3; Lo, 12.2 +/- 1.1; Hi, 9.9 +/- 1.1) than in Sol (rest, 33.1 +/- 3.2 mmHg; Lo, 19.0 +/- 2.3 mmHg; Hi, 18.7 +/- 1.8 mmHg), despite lower (.-)V(O(2) and (.-)Q(O(2) in MG and WG under each set of conditions. These data suggest that during submaximal metabolic rates, the relationship between (.-)Q(O(2) and O(2) extraction is dependent on fibre type (at least in the muscles studied herein), such that muscles comprised of fast-twitch fibres display a greater fractional O(2) extraction (i.e. lower P(mvO(2))) than their slow-twitch counterparts. These results also indicate that the greater sustained P(mvO(2)) in Sol may be important for ensuring high blood-myocyte O(2) flux and therefore a greater oxidative contribution to energetic requirements.","container-title":"The Journal of Physiology","DOI":"10.1113/jphysiol.2004.079533","ISSN":"0022-3751","issue":"Pt 3","journalAbbreviation":"J. Physiol. (Lond.)","language":"eng","note":"PMID: 15637098\nPMCID: PMC1665627","page":"903-913","source":"PubMed","title":"Control of microvascular oxygen pressures in rat muscles comprised of different fibre types","volume":"563","author":[{"family":"McDonough","given":"Paul"},{"family":"Behnke","given":"Brad J."},{"family":"Padilla","given":"Danielle J."},{"family":"Musch","given":"Timothy I."},{"family":"Poole","given":"David C."}],"issued":{"date-parts":[["2005",3,15]]}}}],"schema":"https://github.com/citation-style-language/schema/raw/master/csl-citation.json"} </w:instrText>
      </w:r>
      <w:r w:rsidR="00B73469"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szCs w:val="24"/>
        </w:rPr>
        <w:t>[139,140,143–150]</w:t>
      </w:r>
      <w:r w:rsidR="00B73469" w:rsidRPr="00165ED2">
        <w:rPr>
          <w:rFonts w:ascii="Times New Roman" w:eastAsia="MS Mincho" w:hAnsi="Times New Roman" w:cs="Times New Roman"/>
          <w:bCs/>
          <w:sz w:val="24"/>
          <w:szCs w:val="24"/>
          <w:lang w:val="en-US"/>
        </w:rPr>
        <w:fldChar w:fldCharType="end"/>
      </w:r>
      <w:r w:rsidR="00B73469" w:rsidRPr="00165ED2">
        <w:rPr>
          <w:rFonts w:ascii="Times New Roman" w:eastAsia="MS Mincho" w:hAnsi="Times New Roman" w:cs="Times New Roman"/>
          <w:bCs/>
          <w:sz w:val="24"/>
          <w:szCs w:val="24"/>
          <w:lang w:val="en-US"/>
        </w:rPr>
        <w:t xml:space="preserve">. </w:t>
      </w:r>
      <w:r w:rsidR="00124505" w:rsidRPr="00165ED2">
        <w:rPr>
          <w:rFonts w:ascii="Times New Roman" w:eastAsia="MS Mincho" w:hAnsi="Times New Roman" w:cs="Times New Roman"/>
          <w:bCs/>
          <w:sz w:val="24"/>
          <w:szCs w:val="24"/>
          <w:lang w:val="en-US"/>
        </w:rPr>
        <w:t xml:space="preserve">Hence, as detailed earlier, in </w:t>
      </w:r>
      <w:r w:rsidR="00372705" w:rsidRPr="00165ED2">
        <w:rPr>
          <w:rFonts w:ascii="Times New Roman" w:eastAsia="MS Mincho" w:hAnsi="Times New Roman" w:cs="Times New Roman"/>
          <w:bCs/>
          <w:sz w:val="24"/>
          <w:szCs w:val="24"/>
          <w:lang w:val="en-US"/>
        </w:rPr>
        <w:t>human biopsy</w:t>
      </w:r>
      <w:r w:rsidR="00124505" w:rsidRPr="00165ED2">
        <w:rPr>
          <w:rFonts w:ascii="Times New Roman" w:eastAsia="MS Mincho" w:hAnsi="Times New Roman" w:cs="Times New Roman"/>
          <w:bCs/>
          <w:sz w:val="24"/>
          <w:szCs w:val="24"/>
          <w:lang w:val="en-US"/>
        </w:rPr>
        <w:t xml:space="preserve"> studies the proportion of type </w:t>
      </w:r>
      <w:r w:rsidR="00124505" w:rsidRPr="00165ED2">
        <w:rPr>
          <w:rFonts w:ascii="Times New Roman" w:eastAsia="MS Mincho" w:hAnsi="Times New Roman" w:cs="Times New Roman"/>
          <w:bCs/>
          <w:sz w:val="24"/>
          <w:szCs w:val="24"/>
          <w:lang w:val="en-US"/>
        </w:rPr>
        <w:lastRenderedPageBreak/>
        <w:t xml:space="preserve">I </w:t>
      </w:r>
      <w:proofErr w:type="spellStart"/>
      <w:r w:rsidR="00124505" w:rsidRPr="00165ED2">
        <w:rPr>
          <w:rFonts w:ascii="Times New Roman" w:eastAsia="MS Mincho" w:hAnsi="Times New Roman" w:cs="Times New Roman"/>
          <w:bCs/>
          <w:sz w:val="24"/>
          <w:szCs w:val="24"/>
          <w:lang w:val="en-US"/>
        </w:rPr>
        <w:t>fibres</w:t>
      </w:r>
      <w:proofErr w:type="spellEnd"/>
      <w:r w:rsidR="00124505" w:rsidRPr="00165ED2">
        <w:rPr>
          <w:rFonts w:ascii="Times New Roman" w:eastAsia="MS Mincho" w:hAnsi="Times New Roman" w:cs="Times New Roman"/>
          <w:bCs/>
          <w:sz w:val="24"/>
          <w:szCs w:val="24"/>
          <w:lang w:val="en-US"/>
        </w:rPr>
        <w:t xml:space="preserve"> and indices of muscle </w:t>
      </w:r>
      <w:proofErr w:type="spellStart"/>
      <w:r w:rsidR="00124505" w:rsidRPr="00165ED2">
        <w:rPr>
          <w:rFonts w:ascii="Times New Roman" w:eastAsia="MS Mincho" w:hAnsi="Times New Roman" w:cs="Times New Roman"/>
          <w:bCs/>
          <w:sz w:val="24"/>
          <w:szCs w:val="24"/>
          <w:lang w:val="en-US"/>
        </w:rPr>
        <w:t>fibre</w:t>
      </w:r>
      <w:proofErr w:type="spellEnd"/>
      <w:r w:rsidR="00124505" w:rsidRPr="00165ED2">
        <w:rPr>
          <w:rFonts w:ascii="Times New Roman" w:eastAsia="MS Mincho" w:hAnsi="Times New Roman" w:cs="Times New Roman"/>
          <w:bCs/>
          <w:sz w:val="24"/>
          <w:szCs w:val="24"/>
          <w:lang w:val="en-US"/>
        </w:rPr>
        <w:t xml:space="preserve"> capillarization have been shown to be closely associated with CP</w:t>
      </w:r>
      <w:r w:rsidR="006F74A3" w:rsidRPr="00165ED2">
        <w:rPr>
          <w:rFonts w:ascii="Times New Roman" w:eastAsia="MS Mincho" w:hAnsi="Times New Roman" w:cs="Times New Roman"/>
          <w:bCs/>
          <w:sz w:val="24"/>
          <w:szCs w:val="24"/>
          <w:lang w:val="en-US"/>
        </w:rPr>
        <w:t xml:space="preserve"> </w:t>
      </w:r>
      <w:r w:rsidR="00093B01" w:rsidRPr="00165ED2">
        <w:rPr>
          <w:rFonts w:ascii="Times New Roman" w:eastAsia="MS Mincho" w:hAnsi="Times New Roman" w:cs="Times New Roman"/>
          <w:bCs/>
          <w:sz w:val="24"/>
          <w:szCs w:val="24"/>
          <w:lang w:val="en-US"/>
        </w:rPr>
        <w:fldChar w:fldCharType="begin"/>
      </w:r>
      <w:r w:rsidR="005174B6" w:rsidRPr="00165ED2">
        <w:rPr>
          <w:rFonts w:ascii="Times New Roman" w:eastAsia="MS Mincho" w:hAnsi="Times New Roman" w:cs="Times New Roman"/>
          <w:bCs/>
          <w:sz w:val="24"/>
          <w:szCs w:val="24"/>
          <w:lang w:val="en-US"/>
        </w:rPr>
        <w:instrText xml:space="preserve"> ADDIN ZOTERO_ITEM CSL_CITATION {"citationID":"M0mzwjNZ","properties":{"formattedCitation":"[31,86]","plainCitation":"[31,86]","noteIndex":0},"citationItems":[{"id":274,"uris":["http://zotero.org/users/5056530/items/VNEUXIGT"],"itemData":{"id":274,"type":"article-journal","abstract":"KEY POINTS: The power-asymptote (critical power; CP) of the hyperbolic power-time relationship for high-intensity exercise defines a threshold between steady-state and non-steady-state exercise intensities and the curvature constant (W') indicates a fixed capacity for work &gt;CP that is related to a loss of muscular efficiency. The present study reports novel evidence on the muscle metabolic underpinnings of CP and W' during whole-body exercise and their relationships to muscle fibre type. We show that the W' is not correlated with muscle fibre type distribution and that it represents an elevated energy contribution from both oxidative and glycolytic/glycogenolytic metabolism. We show that there is a positive correlation between CP and highly oxidative type I muscle fibres and that muscle metabolic steady-state is attainable &lt;CP but not &gt;CP. Our findings indicate a mechanistic link between the bioenergetic characteristics of muscle fibre types and the power-time relationship for high-intensity exercise.\nABSTRACT: We hypothesized that: (1) the critical power (CP) will represent a boundary separating steady-state from non-steady-state muscle metabolic responses during whole-body exercise and (2) that the CP and the curvature constant (W') of the power-time relationship for high-intensity exercise will be correlated with type I and type IIx muscle fibre distributions, respectively. Four men and four women performed a 3 min all-out cycling test for the estimation of CP and constant work rate (CWR) tests slightly &gt;CP until exhaustion (Tlim ), slightly &lt;CP for 24 min and until the &gt;CP Tlim isotime to test the first hypothesis. Eleven men performed 3 min all-out tests and donated muscle biopsies to test the second hypothesis. Below CP, muscle [PCr] [42.6 ± 7.1 vs. 49.4 ± 6.9 mmol (kg d.w.)(-1) ], [La(-) ] [34.8 ± 12.6 vs. 35.5 ± 13.2 mmol (kg d.w.)(-1) ] and pH (7.11 ± 0.08 vs. 7.10 ± 0.11) remained stable between </w:instrText>
      </w:r>
      <w:r w:rsidR="005174B6" w:rsidRPr="00165ED2">
        <w:rPr>
          <w:rFonts w:ascii="Cambria Math" w:eastAsia="MS Mincho" w:hAnsi="Cambria Math" w:cs="Cambria Math"/>
          <w:bCs/>
          <w:sz w:val="24"/>
          <w:szCs w:val="24"/>
          <w:lang w:val="en-US"/>
        </w:rPr>
        <w:instrText>∼</w:instrText>
      </w:r>
      <w:r w:rsidR="005174B6" w:rsidRPr="00165ED2">
        <w:rPr>
          <w:rFonts w:ascii="Times New Roman" w:eastAsia="MS Mincho" w:hAnsi="Times New Roman" w:cs="Times New Roman"/>
          <w:bCs/>
          <w:sz w:val="24"/>
          <w:szCs w:val="24"/>
          <w:lang w:val="en-US"/>
        </w:rPr>
        <w:instrText>12 and 24 min (P &gt; 0.05 for all), whereas these variables changed with time &gt;CP such that they were greater [[La(-) ] 95.6 ± 14.1 mmol (kg d.w.)(-1) ] and lower [[PCr] 24.2 ± 3.9 mmol (kg d.w.)(-1) ; pH 6.84 ± 0.06] (P &lt; 0.05) at Tlim (740 ± 186 s) than during the &lt;CP trial. The CP (234 ± 53 W) was correlated with muscle type I (r = 0.67, P = 0.025) and inversely correlated with muscle type IIx fibre proportion (r = -0.76, P = 0.01). There was no relationship between W' (19.4 ± 6.3 kJ) and muscle fibre type. These data indicate a mechanistic link between the bioenergetic characteristics of different muscle fibre types and the power-duration relationship. The CP reflects the bioenergetic characteristics of highly oxidative type I muscle fibres, such that a muscle metabolic steady-state is attainable below and not above CP.","container-title":"The Journal of Physiology","DOI":"10.1113/JP271879","ISSN":"1469-7793","issue":"15","journalAbbreviation":"J. Physiol. (Lond.)","language":"eng","note":"PMID: 26940850\nPMCID: PMC4967754","page":"4407-4423","source":"PubMed","title":"The mechanistic bases of the power-time relationship: muscle metabolic responses and relationships to muscle fibre type","title-short":"The mechanistic bases of the power-time relationship","volume":"594","author":[{"family":"Vanhatalo","given":"Anni"},{"family":"Black","given":"Matthew I."},{"family":"DiMenna","given":"Fred J."},{"family":"Blackwell","given":"Jamie R."},{"family":"Schmidt","given":"Jakob Friis"},{"family":"Thompson","given":"Christopher"},{"family":"Wylie","given":"Lee J."},{"family":"Mohr","given":"Magni"},{"family":"Bangsbo","given":"Jens"},{"family":"Krustrup","given":"Peter"},{"family":"Jones","given":"Andrew M."}],"issued":{"date-parts":[["2016",8,1]]}}},{"id":764,"uris":["http://zotero.org/users/5056530/items/QR2C7P5W"],"itemData":{</w:instrText>
      </w:r>
      <w:r w:rsidR="005174B6" w:rsidRPr="00165ED2">
        <w:rPr>
          <w:rFonts w:ascii="Times New Roman" w:eastAsia="MS Mincho" w:hAnsi="Times New Roman" w:cs="Times New Roman" w:hint="eastAsia"/>
          <w:bCs/>
          <w:sz w:val="24"/>
          <w:szCs w:val="24"/>
          <w:lang w:val="en-US"/>
        </w:rPr>
        <w:instrText>"id":764,"type":"article-journal","abstract":"The asymptote (critical power; CP) and curvature constant (W</w:instrText>
      </w:r>
      <w:r w:rsidR="005174B6" w:rsidRPr="00165ED2">
        <w:rPr>
          <w:rFonts w:ascii="Times New Roman" w:eastAsia="MS Mincho" w:hAnsi="Times New Roman" w:cs="Times New Roman" w:hint="eastAsia"/>
          <w:bCs/>
          <w:sz w:val="24"/>
          <w:szCs w:val="24"/>
          <w:lang w:val="en-US"/>
        </w:rPr>
        <w:instrText>′</w:instrText>
      </w:r>
      <w:r w:rsidR="005174B6" w:rsidRPr="00165ED2">
        <w:rPr>
          <w:rFonts w:ascii="Times New Roman" w:eastAsia="MS Mincho" w:hAnsi="Times New Roman" w:cs="Times New Roman" w:hint="eastAsia"/>
          <w:bCs/>
          <w:sz w:val="24"/>
          <w:szCs w:val="24"/>
          <w:lang w:val="en-US"/>
        </w:rPr>
        <w:instrText>) of the hyperbolic power-duration relationship can predict performance within the severe-intensity exercise domain. However, the extent which these</w:instrText>
      </w:r>
      <w:r w:rsidR="005174B6" w:rsidRPr="00165ED2">
        <w:rPr>
          <w:rFonts w:ascii="Times New Roman" w:eastAsia="MS Mincho" w:hAnsi="Times New Roman" w:cs="Times New Roman"/>
          <w:bCs/>
          <w:sz w:val="24"/>
          <w:szCs w:val="24"/>
          <w:lang w:val="en-US"/>
        </w:rPr>
        <w:instrText xml:space="preserve"> parameters relate to skeletal muscle morphology is less clear, particularly in endurance trained individuals who, relative to their lesser trained counterparts, possess skeletal muscles that can support high levels of oxygen transport and oxidative capacity i.e. elevated type I fiber proportion and cross-sectional area (CSA) and capillarity. Fourteen endurance trained males performed a maximal incremental test to determine peak oxygen uptake (V̇O2peak; 63.2 ± 4.1 ml.min-1.kg-1), maximal aerobic power (406 ± 63 W), and 3-5 constant load tests to task failure for the determination of CP (303 ± 52 W) and W' (17.0 ± 3.0 kJ). Skeletal muscle biopsies were obtained from the vastus lateralis and analyzed for % fiber type proportion, CSA and indices of capillarity. CP was positively correlated with the % proportion (r = 0.79; P = 0.001) and CSA (r = 0.73; P = 0.003) of type I fibers, capillary to fiber ratio (r = 0.88; P &lt; 0.001) and capillary contacts around type I fibers (r = 0.94; P &lt; 0.001) and type II fibers (r = 0.68; P = 0.008). W' was not correlated with any morphological variables. These data reveal a strong positive association between CP and skeletal muscle capillarity. Our findings support the assertion that CP is an important parameter of aerobic function and offer novel insights into the physiological bases of CP.","container-title":"Journal of Applied Physiology","DOI":"10.1152/japplphysiol.01126.2017","ISSN":"8750-7587","journalAbbreviation":"Journal of Applied Physiology","source":"physiology.org (Atypon)","title":"Critical power is positively related to skeletal muscle capillarity and type I muscle fibers in endurance trained individuals","URL":"https://www.physiology.org/doi/abs/10.1152/japplphysiol.01126.2017","author":[{"family":"Mitchell","given":"Emma A."},{"family":"Martin","given":"Neil Richard William"},{"family":"Bailey","given":"Stephen J."},{"family":"Ferguson","given":"Richard A."}],"accessed":{"date-parts":[["2018",8,8]]},"issued":{"date-parts":[["2018",6,7]]}}}],"schema":"https://github.com/citation-style-language/schema/raw/master/csl-citation.json"} </w:instrText>
      </w:r>
      <w:r w:rsidR="00093B01" w:rsidRPr="00165ED2">
        <w:rPr>
          <w:rFonts w:ascii="Times New Roman" w:eastAsia="MS Mincho" w:hAnsi="Times New Roman" w:cs="Times New Roman"/>
          <w:bCs/>
          <w:sz w:val="24"/>
          <w:szCs w:val="24"/>
          <w:lang w:val="en-US"/>
        </w:rPr>
        <w:fldChar w:fldCharType="separate"/>
      </w:r>
      <w:r w:rsidR="005174B6" w:rsidRPr="00165ED2">
        <w:rPr>
          <w:rFonts w:ascii="Times New Roman" w:hAnsi="Times New Roman" w:cs="Times New Roman"/>
          <w:sz w:val="24"/>
        </w:rPr>
        <w:t>[31,86]</w:t>
      </w:r>
      <w:r w:rsidR="00093B01" w:rsidRPr="00165ED2">
        <w:rPr>
          <w:rFonts w:ascii="Times New Roman" w:eastAsia="MS Mincho" w:hAnsi="Times New Roman" w:cs="Times New Roman"/>
          <w:bCs/>
          <w:sz w:val="24"/>
          <w:szCs w:val="24"/>
          <w:lang w:val="en-US"/>
        </w:rPr>
        <w:fldChar w:fldCharType="end"/>
      </w:r>
      <w:r w:rsidR="00124505" w:rsidRPr="00165ED2">
        <w:rPr>
          <w:rFonts w:ascii="Times New Roman" w:eastAsia="MS Mincho" w:hAnsi="Times New Roman" w:cs="Times New Roman"/>
          <w:bCs/>
          <w:sz w:val="24"/>
          <w:szCs w:val="24"/>
          <w:lang w:val="en-US"/>
        </w:rPr>
        <w:t>.</w:t>
      </w:r>
      <w:r w:rsidR="001B5024" w:rsidRPr="00165ED2">
        <w:rPr>
          <w:rFonts w:ascii="Times New Roman" w:eastAsia="MS Mincho" w:hAnsi="Times New Roman" w:cs="Times New Roman"/>
          <w:bCs/>
          <w:sz w:val="24"/>
          <w:szCs w:val="24"/>
          <w:lang w:val="en-US"/>
        </w:rPr>
        <w:t xml:space="preserve"> </w:t>
      </w:r>
    </w:p>
    <w:p w14:paraId="46064038" w14:textId="4781D7E4" w:rsidR="007E34FC" w:rsidRPr="00165ED2" w:rsidRDefault="00871ABA" w:rsidP="00E10614">
      <w:pPr>
        <w:spacing w:line="480" w:lineRule="auto"/>
        <w:ind w:firstLine="720"/>
        <w:jc w:val="both"/>
        <w:rPr>
          <w:rFonts w:ascii="Times New Roman" w:eastAsia="MS Mincho" w:hAnsi="Times New Roman" w:cs="Times New Roman"/>
          <w:bCs/>
          <w:sz w:val="24"/>
          <w:szCs w:val="24"/>
          <w:lang w:val="en-US"/>
        </w:rPr>
      </w:pPr>
      <w:r w:rsidRPr="00165ED2">
        <w:rPr>
          <w:rFonts w:ascii="Times New Roman" w:eastAsia="MS Mincho" w:hAnsi="Times New Roman" w:cs="Times New Roman"/>
          <w:bCs/>
          <w:sz w:val="24"/>
          <w:szCs w:val="24"/>
          <w:lang w:val="en-US"/>
        </w:rPr>
        <w:t xml:space="preserve">Moreover, </w:t>
      </w:r>
      <w:r w:rsidR="00624B2A" w:rsidRPr="00165ED2">
        <w:rPr>
          <w:rFonts w:ascii="Times New Roman" w:eastAsia="MS Mincho" w:hAnsi="Times New Roman" w:cs="Times New Roman"/>
          <w:bCs/>
          <w:sz w:val="24"/>
          <w:szCs w:val="24"/>
          <w:lang w:val="en-US"/>
        </w:rPr>
        <w:t>given</w:t>
      </w:r>
      <w:r w:rsidRPr="00165ED2">
        <w:rPr>
          <w:rFonts w:ascii="Times New Roman" w:eastAsia="MS Mincho" w:hAnsi="Times New Roman" w:cs="Times New Roman"/>
          <w:bCs/>
          <w:sz w:val="24"/>
          <w:szCs w:val="24"/>
          <w:lang w:val="en-US"/>
        </w:rPr>
        <w:t xml:space="preserve"> </w:t>
      </w:r>
      <w:r w:rsidR="00124505" w:rsidRPr="00165ED2">
        <w:rPr>
          <w:rFonts w:ascii="Times New Roman" w:eastAsia="MS Mincho" w:hAnsi="Times New Roman" w:cs="Times New Roman"/>
          <w:bCs/>
          <w:sz w:val="24"/>
          <w:szCs w:val="24"/>
          <w:lang w:val="en-US"/>
        </w:rPr>
        <w:t xml:space="preserve">that </w:t>
      </w:r>
      <w:r w:rsidRPr="00165ED2">
        <w:rPr>
          <w:rFonts w:ascii="Times New Roman" w:eastAsia="MS Mincho" w:hAnsi="Times New Roman" w:cs="Times New Roman"/>
          <w:bCs/>
          <w:sz w:val="24"/>
          <w:szCs w:val="24"/>
          <w:lang w:val="en-US"/>
        </w:rPr>
        <w:t xml:space="preserve">type I </w:t>
      </w:r>
      <w:proofErr w:type="spellStart"/>
      <w:r w:rsidRPr="00165ED2">
        <w:rPr>
          <w:rFonts w:ascii="Times New Roman" w:eastAsia="MS Mincho" w:hAnsi="Times New Roman" w:cs="Times New Roman"/>
          <w:bCs/>
          <w:sz w:val="24"/>
          <w:szCs w:val="24"/>
          <w:lang w:val="en-US"/>
        </w:rPr>
        <w:t>fibres</w:t>
      </w:r>
      <w:proofErr w:type="spellEnd"/>
      <w:r w:rsidRPr="00165ED2">
        <w:rPr>
          <w:rFonts w:ascii="Times New Roman" w:eastAsia="MS Mincho" w:hAnsi="Times New Roman" w:cs="Times New Roman"/>
          <w:bCs/>
          <w:sz w:val="24"/>
          <w:szCs w:val="24"/>
          <w:lang w:val="en-US"/>
        </w:rPr>
        <w:t xml:space="preserve"> </w:t>
      </w:r>
      <w:r w:rsidR="008D0A1E" w:rsidRPr="00165ED2">
        <w:rPr>
          <w:rFonts w:ascii="Times New Roman" w:eastAsia="MS Mincho" w:hAnsi="Times New Roman" w:cs="Times New Roman"/>
          <w:bCs/>
          <w:sz w:val="24"/>
          <w:szCs w:val="24"/>
          <w:lang w:val="en-US"/>
        </w:rPr>
        <w:t xml:space="preserve">maintain greater values for capillary and interstitial </w:t>
      </w:r>
      <w:r w:rsidR="008D0A1E" w:rsidRPr="00165ED2">
        <w:rPr>
          <w:rFonts w:ascii="Times New Roman" w:eastAsia="MS Mincho" w:hAnsi="Times New Roman" w:cs="Times New Roman"/>
          <w:bCs/>
          <w:i/>
          <w:sz w:val="24"/>
          <w:szCs w:val="24"/>
          <w:lang w:val="en-US"/>
        </w:rPr>
        <w:t>P</w:t>
      </w:r>
      <w:r w:rsidR="008D0A1E" w:rsidRPr="00165ED2">
        <w:rPr>
          <w:rFonts w:ascii="Times New Roman" w:eastAsia="MS Mincho" w:hAnsi="Times New Roman" w:cs="Times New Roman"/>
          <w:bCs/>
          <w:sz w:val="24"/>
          <w:szCs w:val="24"/>
          <w:lang w:val="en-US"/>
        </w:rPr>
        <w:t>O</w:t>
      </w:r>
      <w:r w:rsidR="008D0A1E" w:rsidRPr="00165ED2">
        <w:rPr>
          <w:rFonts w:ascii="Times New Roman" w:eastAsia="MS Mincho" w:hAnsi="Times New Roman" w:cs="Times New Roman"/>
          <w:bCs/>
          <w:sz w:val="24"/>
          <w:szCs w:val="24"/>
          <w:vertAlign w:val="subscript"/>
          <w:lang w:val="en-US"/>
        </w:rPr>
        <w:t>2</w:t>
      </w:r>
      <w:r w:rsidR="008D0A1E" w:rsidRPr="00165ED2">
        <w:rPr>
          <w:rFonts w:ascii="Times New Roman" w:eastAsia="MS Mincho" w:hAnsi="Times New Roman" w:cs="Times New Roman"/>
          <w:bCs/>
          <w:sz w:val="24"/>
          <w:szCs w:val="24"/>
          <w:lang w:val="en-US"/>
        </w:rPr>
        <w:t xml:space="preserve"> at rest and during contractions (presumably due to enhance</w:t>
      </w:r>
      <w:r w:rsidR="00624B2A" w:rsidRPr="00165ED2">
        <w:rPr>
          <w:rFonts w:ascii="Times New Roman" w:eastAsia="MS Mincho" w:hAnsi="Times New Roman" w:cs="Times New Roman"/>
          <w:bCs/>
          <w:sz w:val="24"/>
          <w:szCs w:val="24"/>
          <w:lang w:val="en-US"/>
        </w:rPr>
        <w:t>d</w:t>
      </w:r>
      <w:r w:rsidR="008D0A1E" w:rsidRPr="00165ED2">
        <w:rPr>
          <w:rFonts w:ascii="Times New Roman" w:eastAsia="MS Mincho" w:hAnsi="Times New Roman" w:cs="Times New Roman"/>
          <w:bCs/>
          <w:sz w:val="24"/>
          <w:szCs w:val="24"/>
          <w:lang w:val="en-US"/>
        </w:rPr>
        <w:t xml:space="preserve"> capillarization) </w:t>
      </w:r>
      <w:r w:rsidR="008D0A1E"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Gy7x8Jtk","properties":{"formattedCitation":"[139,140,143\\uc0\\u8211{}150]","plainCitation":"[139,140,143–150]","noteIndex":0},"citationItems":[{"id":970,"uris":["http://zotero.org/users/5056530/items/H9UFIKFP"],"itemData":{"id":970,"type":"article-journal","abstract":"The mechanisms controlling skeletal muscle oxygen consumption (V(o)₂) during exercise are not well understood. We determined whether first-order control could explain V(o)₂kinetics at contractions onset (V(o)₂(on)) and cessation (V(o)₂off)) in single skeletal muscle fibres differing in oxdidative capacity, and across stimulation intensities up to V(o)₂(max). Xenopus laevis fibres (n = 21) were suspended in a sealed chamber with a fast response P(o)₂ electrode to measure V(o)₂ every second before, during and after stimulated isometric contractions. A first-order model did not well characterize on-transient V(o)₂ kinetics. Including a time delay (TD) in the model provided a significantly improved characterization than a first-order fit without TD (F-ratio; P &lt; 0.05), and revealed separate 'activation' and 'exponential' phases in 15/21 fibres contracting at V(o)₂(max) (mean ± SD TD: 14 ± 3s). On-transient kinetics (τV(o)₂(on)) was weakly and linearly related to V(o)₂(max) (R² = 0.271, P = 0.015). Off-transient kinetics, however, were first-order, and τV(o)₂(off) was greater in low-oxidative (V(o)₂max &lt; 0.05 nmol mm⁻³s⁻¹ than high-oxidative fibres (V(o)₂(max &gt; 0.10 nmol mm ⁻³ s⁻¹; 170 ± 70 vs. 29 ± 6 s, P &lt; 0.001). 1/ τV(o)₂(off) was proportional to V(o)₂(max) (R² = 0.727, P &lt; 0.001), unlike in the on-transient. The calculated oxygen deficit was larger (P &lt; 0.05) than the post-contraction volume of consumed oxygen at all intensities except V(o)₂(max). These data show a clear dissociation between the kinetic control of V(o)₂at the onset and cessation of contractions and across stimulation intensities. More complex models are therefore required to understand the activation of mitochondrial respiration in skeletal muscle at the start of exercise.","container-title":"The Journal of Physiology","DOI":"10.1113/jphysiol.2012.241992","ISSN":"1469-7793","issue":"3","journalAbbreviation":"J. Physiol. (Lond.)","language":"eng","note":"PMID: 23165768\nPMCID: PMC3577546","page":"731-744","source":"PubMed","title":"On-off asymmetries in oxygen consumption kinetics of single Xenopus laevis skeletal muscle fibres suggest higher-order control","volume":"591","author":[{"family":"Wüst","given":"Rob C. I."},{"family":"Laarse","given":"Willem J.","non-dropping-particle":"van der"},{"family":"Rossiter","given":"Harry B."}],"issued":{"date-parts":[["2013",2,1]]}}},{"id":226,"uris":["http://zotero.org/users/5056530/items/GXGUF4T8"],"itemData":{"id":226,"type":"article-journal","abstract":"The energy utilization associated with contraction was measured in isolated slow- and fast-twitch muscles of the mouse at 20 degrees C. The extent of this utilization was estimated from either the extent of high-energy phosphate splitting occurring during contraction (the initial chemical change, delta approximately P init) or from the extent of recovery resynthesis calculated from the observed oxygen consumption and lactate production occurring during the recovery period (recovery chemical resynthesis, delta approximately P rec). For short tetani, the cost to maintain isometric tension in the fast-twitch extensor digitorum longus (EDL) was approximately threefold greater than that in the slow-twitch soleus. With prolonged stimulation, however, the energy cost in the EDL diminished so that after 12 s of stimulation, the energy cost in the EDL was only 50% greater than that of the soleus. For both the slow-twitch soleus and the fast-twitch EDL and for all tetanus durations (up to 15 s), the extent of the initial chemical change was identical with the amount of recovery chemical resynthesis, showing that a biochemical energy balance existed in these muscles.","container-title":"The Journal of General Physiology","DOI":"10.1085/jgp.79.1.147","ISSN":"0022-1295, 1540-7748","issue":"1","language":"en","license":"© 1982 Rockefeller University Press","note":"PMID: 7061985","page":"147-166","source":"jgp.rupress.org","title":"Chemical energetics of slow- and fast-twitch muscles of the mouse.","volume":"79","author":[{"family":"Crow","given":"M. T."},{"family":"Kushmerick","given":"M. J."}],"issued":{"date-parts":[["1982",1,1]]}}},{"id":1274,"uris":["http://zotero.org/users/5056530/items/7QJ8PBKJ"],"itemData":{"id":1274,"type":"article-journal","abstract":"Mitochondria isolated from rabbit soleus (98% type I) and gracilis (99% type IIb) skeletal muscle were compared for compositional differences. Whole muscle mitochondrial contents were 14.5 +/- 1.2 mg/g of wet weight in soleus and 5.3 +/- 0.6 mg/g in the gracilis muscle, a 2.7-fold difference. Maximal pyruvate plus malate oxidase activity in gracilis mitochondria was roughly 75% of that in soleus mitochondria. In contrast, glycerol 3-phosphate (G-3-P) oxidation was 10-fold greater in gracilis mitochondria. Both soleus and gracilis mitochondria exhibited additive pyruvate and G-3-P oxidase activities. In general, citric acid cycle enzyme activities were higher in soleus mitochondria. A notable exception was isocitrate dehydrogenase, which was twofold higher in gracilis mitochondria. Substrate cytochrome c reductase activities indicated that the electron transport chain (ETC) of soleus mitochondria possess roughly twice the capacity for both NADH and succinate oxidation. Similarly, the maximal activities of NADH dehydrogenase and succinate dehydrogenase were roughly twofold higher in soleus mitochondria. The findings demonstrate that mitochondria isolated from types I and IIb skeletal muscle differ substantially in composition. Furthermore, the relatively similar pyruvate plus malate oxidase activities in the face of markedly different ETC capacities suggest that the interaction between matrix dehydrogenases and the ETC may differ in mitochondria isolated from types I and IIb skeletal muscle.","container-title":"The American Journal of Physiology","DOI":"10.1152/ajpcell.1996.270.2.C673","ISSN":"0002-9513","issue":"2 Pt 1","journalAbbreviation":"Am. J. Physiol.","language":"eng","note":"PMID: 8779934","page":"C673-678","source":"PubMed","title":"Characteristics of mitochondria isolated from type I and type IIb skeletal muscle","volume":"270","author":[{"family":"Jackman","given":"M. R."},{"family":"Willis","given":"W. T."}],"issued":{"date-parts":[["1996",2]]}}},{"id":222,"uris":["http://zotero.org/users/5056530/items/SXSJDQ4P"],"itemData":{"id":222,"type":"article-journal","abstract":"Maximal rates, coupling, and control of oxidative phosphorylation were studied in isolated skeletal muscle mitochondria from rat and rabbit. Mitochondria were incubated under various conditions of temperature, pH, and substrate availability. A 20% decrease in coupling (ADP/O) was observed at 43 degrees C as compared to 37 degrees C in rat mixed skeletal muscle mitochondria. Changes in pH from 7.00 to 6.20 affected neither coupling nor maximal (state 3) respiration rates. Changing the substrate supply from pyruvate to palmitoyl-carnitine (+ malate) did not alter ADP/O, but markedly degraded the energy state sustained at submaximal ATP turnover. Thus, carbohydrate depletion may be associated with inhibition of contractile function and the recruitment of less economical higher threshold motor units. State 3 respiration of mitochondria from rabbit Type IIb fibers oxidizing pyruvate+malate+alpha-glycerophosphate was 27% higher than that of mitochondria from Type I rabbit skeletal muscle. However, the ADP/O ratio in the Type IIb preparation was 18% lower. The experimental findings suggest that temperature, substrate supply, and energetic differences between slow twitch and fast twitch motor units may impact the economy of mitochondrial oxygen utilization during heavy aerobic exercise, and thus contribute to the slow component of oxygen uptake.","container-title":"Medicine and Science in Sports and Exercise","ISSN":"0195-9131","issue":"11","journalAbbreviation":"Med Sci Sports Exerc","language":"eng","note":"PMID: 7837955","page":"1347-1353","source":"PubMed","title":"Mitochondrial function during heavy exercise","volume":"26","author":[{"family":"Willis","given":"W. T."},{"family":"Jackman","given":"M. R."}],"issued":{"date-parts":[["1994",11]]}}},{"id":205,"uris":["http://zotero.org/users/5056530/items/I2PFXF34"],"itemData":{"id":205,"type":"article-journal","abstract":"We tested the hypothesis that the amplitude of the additional slow component of O2 uptake (VO2) during heavy exercise is correlated with the percentage of type II (fast-twitch) fibers in the contracting muscles. Ten subjects performed transitions to a work rate calculated to require a VO2 equal to 50% between the estimated lactate (Lac) threshold and maximal VO2 (50% delta). Nine subjects consented to a muscle biopsy of the vastus lateralis. To enhance the influence of differences in fiber type among subjects, transitions were made while subjects were pedaling at 45, 60, 75, and 90 rpm in different trials. Baseline VO2 was designed to be similar at the different pedal rates by adjusting baseline work rate while the absolute increase in work rate above the baseline was the same. The VO2 response after the onset of exercise was described by a three-exponential model. The relative magnitude of the slow component at the end of 8-min exercise was significantly negatively correlated with % type I fibers at every pedal rate (r = 0.64 to 0.83, P &lt; 0.05-0.01). Furthermore, the gain of the fast component for VO2 (as ml.min-1.W-1) was positively correlated with the % type I fibers across pedal rates (r = 0.69-0.83). Increase in pedal rate was associated with decreased relative stress of the exercise but did not affect the relationships between % fiber type and VO2 parameters. The relative contribution of the slow component was also significantly negatively correlated with maximal VO2 (r = -0.65), whereas the gain for the fast component was positively associated (r = 0.68-0.71 across rpm). The amplitude of the slow component was significantly correlated with net end-exercise Lac at all four pedal rates (r = 0.64-0.84), but Lac was not correlated with % type I (P &gt; 0.05). We conclude that fiber type distribution significantly affects both the fast and slow components of VO2 during heavy exercise and that fiber type and fitness may have both codependent and independent influences on the metabolic and gas-exchange responses to heavy exercise.","container-title":"Journal of Applied Physiology (Bethesda, Md.: 1985)","ISSN":"8750-7587","issue":"4","journalAbbreviation":"J. Appl. Physiol.","language":"eng","note":"PMID: 8904581","page":"1642-1650","source":"PubMed","title":"Influence of muscle fiber type and pedal frequency on oxygen uptake kinetics of heavy exercise","volume":"81","author":[{"family":"Barstow","given":"T. J."},{"family":"Jones","given":"A. M."},{"family":"Nguyen","given":"P. H."},{"family":"Casaburi","given":"R."}],"issued":{"date-parts":[["1996",10]]}}},{"id":151,"uris":["http://zotero.org/users/5056530/items/8GVX8R5I"],"itemData":{"id":151,"type":"article-journal","abstract":"The purpose of the present study was to test the hypothesis that muscle fibre type influences the oxygen uptake (.VO(2)) on-kinetic response (primary time constant; primary and slow component amplitudes) during moderate, heavy and severe intensity sub-maximal cycle exercise. Fourteen subjects [10 males, mean (SD) age 25 (4) years; mass 72.6 (3.9) kg; .VO(2peak) 47.9 (2.3) ml kg(-1) min(-1)] volunteered to participate in this study. The subjects underwent a muscle biopsy of the vastus lateralis for histochemical determination of muscle fibre type, and completed repeat \"square-wave\" transitions from unloaded cycling to power outputs corresponding to 80% of the ventilatory threshold (VT; moderate exercise), 50% (heavy exercise) and 70% (severe exercise) of the difference between the VT and .VO(2peak). Pulmonary .VO(2) was measured breath-by-breath. The percentage of type I fibres was significantly correlated with the time constant of the primary .VO(2) response for heavy exercise (r=-0.68). Furthermore, the percentage of type I muscle fibres was significantly correlated with the gain of the .VO(2) primary component for moderate (r=0.65), heavy (r=0.57) and severe (r=0.57) exercise, and with the relative amplitude of the .VO(2) slow component for heavy (r=-0.74) and severe (r=-0.64) exercise. The influence of muscle fibre type on the .VO(2) on-kinetic response persisted when differences in aerobic fitness and muscle capillarity were accounted for. This study demonstrates that muscle fibre type is significantly related to both the speed and the amplitudes of the .VO(2) response at the onset of constant-load sub-maximal exercise. Differences in contraction efficiency and oxidative enzyme activity between type I and type II muscle fibres may be responsible for the differences observed.","container-title":"European Journal of Applied Physiology","DOI":"10.1007/s00421-003-0799-1","ISSN":"1439-6319","issue":"3-4","journalAbbreviation":"Eur. J. Appl. Physiol.","language":"eng","note":"PMID: 12736837","page":"289-300","source":"PubMed","title":"Oxygen uptake kinetics during moderate, heavy and severe intensity \"submaximal\" exercise in humans: the influence of muscle fibre type and capillarisation","title-short":"Oxygen uptake kinetics during moderate, heavy and severe intensity \"submaximal\" exercise in humans","volume":"89","author":[{"family":"Pringle","given":"Jamie S. M."},{"family":"Doust","given":"Jonathan H."},{"family":"Carter","given":"Helen"},{"family":"Tolfrey","given":"Keith"},{"family":"Campbell","given":"Iain T."},{"family":"Sakkas","given":"Giorkos K."},{"family":"Jones","given":"Andrew M."}],"issued":{"date-parts":[["2003",5]]}}},{"id":1129,"uris":["http://zotero.org/users/5056530/items/LDC97FZA"],"itemData":{"id":1129,"type":"article-journal","abstract":"Key points Within skeletal muscle the greatest resistance to oxygen transport is thought to reside across the short distance at the red blood cell–myocyte interface. These structures generate a significant transmural oxygen pressure (PO2) gradient in mixed fibre-type muscle. Increasing O2 flux across the capillary wall during exercise depends on: (i) the transmural O2 pressure gradient, which is maintained in mixed-fibre muscle, and/or (ii) elevating diffusing properties between microvascular and interstitial compartments resulting, in part, from microvascular haemodynamics and red blood cell distribution. We evaluated the PO2 within the microvascular and interstitial spaces of muscles spanning the slow- to fast-twitch fibre and high- to low-oxidative capacity spectrums, at rest and during contractions, to assess the magnitude of transcapillary PO2 gradients in rats. Our findings demonstrate that, across the metabolic rest–contraction transition, the transcapillary pressure gradient for O2 flux is: (i) maintained in all muscle types, and (ii) the lowest in contracting highly oxidative fast-twitch muscle. Abstract In mixed fibre-type skeletal muscle transcapillary PO2 gradients (PO2mv-PO2is; microvascular and interstitial, respectively) drive O2 flux across the blood–myocyte interface where the greatest resistance to that O2 flux resides. We assessed a broad spectrum of fibre-type and oxidative-capacity rat muscles across the rest-to-contraction (1 Hz, 120 s) transient to test the novel hypotheses that: (i) slow-twitch PO2is would be greater than fast-twitch, (ii) muscles with greater oxidative capacity have greater PO2is than glycolytic counterparts, and (iii) whether PO2mv-PO2is at rest is maintained during contractions across all muscle types. PO2mv and PO2is were determined via phosphorescence quenching in soleus (SOL; 91% type I+IIa fibres and CSa: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21 μmol min-1 g-1), peroneal (PER; 33% and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20 μmol min-1 g-1), mixed (MG; 9% and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26 μmol min-1 g-1) and white gastrocnemius (WG; 0% and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8 μmol min-1 g-1) across the rest–contraction transient. PO2mv was higher than PO2is in each muscle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6–13 mmHg; P &lt; 0.05). SOL PO2isarea was greater than in the fast-twitch muscles during contractions (P &lt; 0.05). Oxidative muscles had greater PO2isnadir (9.4 ± 0.8, 7.4 ± 0.9 and 6.4 ± 0.4; SOL, PER and MG, respectively) than WG (3.0 ± 0.3 mmHg, P &lt; 0.05). The magnitude of PO2mv-PO2is at rest decreased during contractions in MG only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 xml:space="preserve">11 to 7 mmHg; time × (PO2mv-PO2is) interaction, P &lt; 0.05). These data support the hypothesis that, since transcapillary PO2 gradients during contractions are maintained in all muscle types, increased O2 flux must occur via enhanced intracapillary diffusing conductance, which is most extreme in highly oxidative fast-twitch muscle.","container-title":"The Journal of Physiology","DOI":"10.1113/JP279608","ISSN":"1469-7793","issue":"15","language":"en","note":"_eprint: https://physoc.onlinelibrary.wiley.com/doi/pdf/10.1113/JP279608","page":"3187-3202","source":"Wiley Online Library","title":"Transcapillary PO2 gradients in contracting muscles across the fibre type and oxidative continuum","volume":"598","author":[{"family":"Colburn","given":"Trenton D."},{"family":"Hirai","given":"Daniel M."},{"family":"Craig","given":"Jesse C."},{"family":"Ferguson","given":"Scott K."},{"family":"Weber","given":"Ramona E."},{"family":"Schulze","given":"Kiana M."},{"family":"Behnke","given":"Brad J."},{"family":"Musch","given":"Timothy I."},{"family":"Poole","given":"David C."}],"issued":{"date-parts":[["2020"]]}}},{"id":449,"uris":["http://zotero.org/users/5056530/items/4A9HVJ5V"],"itemData":{"id":449,"type":"article-journal","abstract":"Oxygen pressure (PO2 ) gradients across the blood-myocyte interface are required for diffusive O2 transport thereby supporting oxidative metabolism. The greatest resistance to O2 flux into skeletal muscle is considered to reside between the erythrocyte surface and adjacent sarcolemma, although this has not been measured during contractions. We tested the hypothesis that O2 gradients between skeletal muscle microvascular (PO2 mv) and interstitial (PO2 is) spaces would be present at rest and maintained or increased during contractions. PO2 mv and PO2 is were determined via phosphorescence quenching (Oxyphor probes G2 and G4, respectively) in the exposed rat spinotrapezius during the rest-contraction transient (1 Hz, 6 V; n = 8). PO2 mv was higher than PO2 is in all instances from rest (34.9 ± 6.0 vs. 15.7 ± 6.4) to contractions (28.4 ± 5.3 vs. 10.6 ± 5.2 mmHg; respectively) such that the mean PO2 gradient throughout the transient was 16.9 ± 6.6 mmHg (P &lt; 0.05 for all). No differences in the amplitude of PO2 fall with contractions were observed between the microvasculature and interstitium (10.9 ± 2.3 vs. 9.0 ± 3.5 mmHg, respectively; P &gt; 0.05). However, the speed of the PO2 is fall during contractions was slower than that of PO2 mv (time constant: 12.8 ± 4.7 vs. 9.0 ± 5.1 s, respectively; P &lt; 0.05). Consistent with our hypothesis, a significant transmural gradient was sustained (but not increased) from rest to contractions. This supports that the blood-myocyte interface is the site of a substantial PO2 gradient driving O2 diffusion during metabolic transients. Based on Fick's law, elevated O2 flux with contractions must thus rely primarily on modulations in effective diffusing capacity (mainly erythrocyte hemodynamics and distribution) as the PO2 gradient is not increased. This article is protected by copyright. All rights reserved.","container-title":"The Journal of Physiology","DOI":"10.1113/JP275170","ISSN":"1469-7793","journalAbbreviation":"J. Physiol. (Lond.)","language":"eng","note":"PMID: 29288568","source":"PubMed","title":"Skeletal muscle microvascular and interstitial PO2 from rest to contractions","author":[{"family":"Hirai","given":"Daniel M."},{"family":"Craig","given":"Jesse C."},{"family":"Colburn","given":"Trenton D."},{"family":"Eshima","given":"Hiroaki"},{"family":"Kano","given":"Yutaka"},{"family":"Sexton","given":"William L."},{"family":"Musch","given":"Timothy I."},{"family":"Poole","given":"David C."}],"issued":{"date-parts":[["2017",12,30]]}}},{"id":230,"uris":["http://zotero.org/users/5056530/items/WSWDMDQ9"],"itemData":{"id":230,"type":"article-journal","abstract":"To determine whether fibre type affects the O2 exchange characteristics of skeletal muscle at the microcirculatory level we tested the hypothesis that, following the onset of contractions, muscle comprising predominately type I fibres (soleus, Sol, 86 % type I) would, based on demonstrated blood flow responses, exhibit a blunted microvascular PO2 (PO2,m, which is determined by the O2 delivery (QO2) to O2 uptake (VO2) ratio) profile (assessed via phosphorescence quenching) compared to muscle of primarily type II fibres (peroneal, Per, 84 % type II). PO2,m was measured at rest, and following the rest-contractions (twitch, 1 Hz, 2-4 V for 120 s) transition in Sol (n = 6) and Per (n = 6) muscles of Sprague-Dawley rats. Both muscles exhibited a delay followed by a mono-exponential decrease in PO2,m to the steady state. However, compared with Sol, Per demonstrated (1) a larger change in baseline minus steady state contracting PO2,m (DeltaPO2,m) (Per, 13.4 +/- 1.7 mmHg; Sol, 8.6 +/- 0.9 mmHg, P &lt; 0.05); (2) a faster mean response time (i.e. time delay (TD) plus time constant (tau); Per, 23.8 +/- 1.5 s; Sol, 39.6 +/- 4.3 s, P &lt; 0.05); and therefore (3) a greater rate of PO2,m decline (DeltaPO2,m/tau; Per, 0.92 +/- 0.08 mmHg s-1; Sol, 0.42 +/- 0.05 mmHg s-1, P &lt; 0.05). These data demonstrate an increased microvascular pressure head of O2 at any given point after the initial time delay for Sol versus Per following the onset of contractions that is probably due to faster QO2 dynamics relative to those of VO2.","container-title":"The Journal of Physiology","DOI":"10.1113/jphysiol.2002.035915","ISSN":"0022-3751","issue":"Pt 2","journalAbbreviation":"J. Physiol. (Lond.)","language":"eng","note":"PMID: 12692174\nPMCID: PMC2342949","page":"597-605","source":"PubMed","title":"Oxygen exchange profile in rat muscles of contrasting fibre types","volume":"549","author":[{"family":"Behnke","given":"Brad J."},{"family":"McDonough","given":"Paul"},{"family":"Padilla","given":"Danielle J."},{"family":"Musch","given":"Timothy I."},{"family":"Poole","given":"David C."}],"issued":{"date-parts":[["2003",6,1]]}}},{"id":229,"uris":["http://zotero.org/users/5056530/items/8T7QTMP2"],"itemData":{"id":229,"type":"article-journal","abstract":"In response to an elevated metabolic rate ((.-)V(O(2)), increased microvascular blood-muscle O(2) flux is the product of both augmented O(2) delivery ((.-)Q(O(2)), and fractional O(2) extraction. Whole body and exercising limb measurements demonstrate that (.-)Q(O(2) and fractional O(2) extraction increase as linear and hyperbolic functions, respectively, of (.-)V(O(2). Given the presence of disparate vascular control mechanisms among different muscle fibre types, we tested the hypothesis that, in response to muscle contractions, (.-)Q(O(2) would be lower and fractional O(2) extraction (as assessed via microvascular O(2) pressure, P(mvO(2))) higher in fast- versus slow-twitch muscles. Radiolabelled microsphere and phosphorescence quenching techniques were used to measure (.-)Q(O(2) and P(mvO(2)), respectively at rest and across the transition to 1 Hz twitch contractions at low (Lo, 2.5 V) and high intensities (Hi, 4.5 V) in rat (n = 20) soleus (Sol, slow-twitch, type I), mixed gastrocnemius (MG, fast-twitch, type IIa) and white gastrocnemius (WG, fast-twitch, type IIb) muscle. At rest and for Lo and Hi (steady-state values) transitions, P(mvO(2)) was lower (all P &lt; 0.05) in MG (mmHg: rest, 22.5 +/- 1.0; Lo, 15.3 +/- 1.3; Hi, 10.2 +/- 1.6) and WG (mmHg: rest, 19.0 +/- 1.3; Lo, 12.2 +/- 1.1; Hi, 9.9 +/- 1.1) than in Sol (rest, 33.1 +/- 3.2 mmHg; Lo, 19.0 +/- 2.3 mmHg; Hi, 18.7 +/- 1.8 mmHg), despite lower (.-)V(O(2) and (.-)Q(O(2) in MG and WG under each set of conditions. These data suggest that during submaximal metabolic rates, the relationship between (.-)Q(O(2) and O(2) extraction is dependent on fibre type (at least in the muscles studied herein), such that muscles comprised of fast-twitch fibres display a greater fractional O(2) extraction (i.e. lower P(mvO(2))) than their slow-twitch counterparts. These results also indicate that the greater sustained P(mvO(2)) in Sol may be important for ensuring high blood-myocyte O(2) flux and therefore a greater oxidative contribution to energetic requirements.","container-title":"The Journal of Physiology","DOI":"10.1113/jphysiol.2004.079533","ISSN":"0022-3751","issue":"Pt 3","journalAbbreviation":"J. Physiol. (Lond.)","language":"eng","note":"PMID: 15637098\nPMCID: PMC1665627","page":"903-913","source":"PubMed","title":"Control of microvascular oxygen pressures in rat muscles comprised of different fibre types","volume":"563","author":[{"family":"McDonough","given":"Paul"},{"family":"Behnke","given":"Brad J."},{"family":"Padilla","given":"Danielle J."},{"family":"Musch","given":"Timothy I."},{"family":"Poole","given":"David C."}],"issued":{"date-parts":[["2005",3,15]]}}}],"schema":"https://github.com/citation-style-language/schema/raw/master/csl-citation.json"} </w:instrText>
      </w:r>
      <w:r w:rsidR="008D0A1E"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szCs w:val="24"/>
        </w:rPr>
        <w:t>[139,140,143–150]</w:t>
      </w:r>
      <w:r w:rsidR="008D0A1E" w:rsidRPr="00165ED2">
        <w:rPr>
          <w:rFonts w:ascii="Times New Roman" w:eastAsia="MS Mincho" w:hAnsi="Times New Roman" w:cs="Times New Roman"/>
          <w:bCs/>
          <w:sz w:val="24"/>
          <w:szCs w:val="24"/>
          <w:lang w:val="en-US"/>
        </w:rPr>
        <w:fldChar w:fldCharType="end"/>
      </w:r>
      <w:r w:rsidR="008D0A1E" w:rsidRPr="00165ED2">
        <w:rPr>
          <w:rFonts w:ascii="Times New Roman" w:eastAsia="MS Mincho" w:hAnsi="Times New Roman" w:cs="Times New Roman"/>
          <w:bCs/>
          <w:sz w:val="24"/>
          <w:szCs w:val="24"/>
          <w:lang w:val="en-US"/>
        </w:rPr>
        <w:t xml:space="preserve">, </w:t>
      </w:r>
      <w:r w:rsidRPr="00165ED2">
        <w:rPr>
          <w:rFonts w:ascii="Times New Roman" w:eastAsia="MS Mincho" w:hAnsi="Times New Roman" w:cs="Times New Roman"/>
          <w:bCs/>
          <w:sz w:val="24"/>
          <w:szCs w:val="24"/>
          <w:lang w:val="en-US"/>
        </w:rPr>
        <w:t xml:space="preserve">these data are consistent with the present proposal that </w:t>
      </w:r>
      <w:r w:rsidR="008D0A1E" w:rsidRPr="00165ED2">
        <w:rPr>
          <w:rFonts w:ascii="Times New Roman" w:hAnsi="Times New Roman" w:cs="Times New Roman"/>
          <w:sz w:val="24"/>
        </w:rPr>
        <w:t>τ</w:t>
      </w:r>
      <w:r w:rsidR="008D0A1E" w:rsidRPr="00165ED2">
        <w:rPr>
          <w:rFonts w:ascii="Times New Roman" w:hAnsi="Times New Roman" w:cs="Times New Roman"/>
          <w:sz w:val="24"/>
          <w:vertAlign w:val="subscript"/>
        </w:rPr>
        <w:t>V̇O2</w:t>
      </w:r>
      <w:r w:rsidR="008D0A1E" w:rsidRPr="00165ED2">
        <w:rPr>
          <w:rFonts w:ascii="Times New Roman" w:hAnsi="Times New Roman" w:cs="Times New Roman"/>
          <w:sz w:val="24"/>
        </w:rPr>
        <w:t xml:space="preserve">, </w:t>
      </w:r>
      <w:r w:rsidR="008D0A1E" w:rsidRPr="00165ED2">
        <w:rPr>
          <w:rFonts w:ascii="Times New Roman" w:eastAsia="Calibri" w:hAnsi="Times New Roman" w:cs="Times New Roman"/>
          <w:sz w:val="24"/>
          <w:szCs w:val="24"/>
        </w:rPr>
        <w:t>convective and diffusive O</w:t>
      </w:r>
      <w:r w:rsidR="008D0A1E" w:rsidRPr="00165ED2">
        <w:rPr>
          <w:rFonts w:ascii="Times New Roman" w:eastAsia="Calibri" w:hAnsi="Times New Roman" w:cs="Times New Roman"/>
          <w:sz w:val="24"/>
          <w:szCs w:val="24"/>
          <w:vertAlign w:val="subscript"/>
        </w:rPr>
        <w:t>2</w:t>
      </w:r>
      <w:r w:rsidR="008D0A1E" w:rsidRPr="00165ED2">
        <w:rPr>
          <w:rFonts w:ascii="Times New Roman" w:eastAsia="Calibri" w:hAnsi="Times New Roman" w:cs="Times New Roman"/>
          <w:sz w:val="24"/>
          <w:szCs w:val="24"/>
        </w:rPr>
        <w:t xml:space="preserve"> delivery</w:t>
      </w:r>
      <w:r w:rsidR="00E10614" w:rsidRPr="00165ED2">
        <w:rPr>
          <w:rFonts w:ascii="Times New Roman" w:eastAsia="Calibri" w:hAnsi="Times New Roman" w:cs="Times New Roman"/>
          <w:sz w:val="24"/>
          <w:szCs w:val="24"/>
        </w:rPr>
        <w:t xml:space="preserve"> each</w:t>
      </w:r>
      <w:r w:rsidR="008D0A1E" w:rsidRPr="00165ED2">
        <w:rPr>
          <w:rFonts w:ascii="Times New Roman" w:eastAsia="Calibri" w:hAnsi="Times New Roman" w:cs="Times New Roman"/>
          <w:sz w:val="24"/>
          <w:szCs w:val="24"/>
        </w:rPr>
        <w:t xml:space="preserve"> </w:t>
      </w:r>
      <w:r w:rsidR="008D0A1E" w:rsidRPr="00165ED2">
        <w:rPr>
          <w:rFonts w:ascii="Times New Roman" w:hAnsi="Times New Roman" w:cs="Times New Roman"/>
          <w:sz w:val="24"/>
        </w:rPr>
        <w:t>exert independent</w:t>
      </w:r>
      <w:r w:rsidRPr="00165ED2">
        <w:rPr>
          <w:rFonts w:ascii="Times New Roman" w:hAnsi="Times New Roman" w:cs="Times New Roman"/>
          <w:sz w:val="24"/>
        </w:rPr>
        <w:t>, interactive</w:t>
      </w:r>
      <w:r w:rsidR="008D0A1E" w:rsidRPr="00165ED2">
        <w:rPr>
          <w:rFonts w:ascii="Times New Roman" w:hAnsi="Times New Roman" w:cs="Times New Roman"/>
          <w:sz w:val="24"/>
        </w:rPr>
        <w:t xml:space="preserve"> determining effects on CP</w:t>
      </w:r>
      <w:r w:rsidRPr="00165ED2">
        <w:rPr>
          <w:rFonts w:ascii="Times New Roman" w:hAnsi="Times New Roman" w:cs="Times New Roman"/>
          <w:sz w:val="24"/>
        </w:rPr>
        <w:t>.</w:t>
      </w:r>
      <w:r w:rsidR="008D0A1E" w:rsidRPr="00165ED2">
        <w:rPr>
          <w:rFonts w:ascii="Times New Roman" w:eastAsia="MS Mincho" w:hAnsi="Times New Roman" w:cs="Times New Roman"/>
          <w:bCs/>
          <w:sz w:val="24"/>
          <w:szCs w:val="24"/>
          <w:lang w:val="en-US"/>
        </w:rPr>
        <w:t xml:space="preserve"> </w:t>
      </w:r>
      <w:r w:rsidR="00124505" w:rsidRPr="00165ED2">
        <w:rPr>
          <w:rFonts w:ascii="Times New Roman" w:eastAsia="MS Mincho" w:hAnsi="Times New Roman" w:cs="Times New Roman"/>
          <w:bCs/>
          <w:sz w:val="24"/>
          <w:szCs w:val="24"/>
          <w:lang w:val="en-US"/>
        </w:rPr>
        <w:t>However</w:t>
      </w:r>
      <w:r w:rsidR="004243D8" w:rsidRPr="00165ED2">
        <w:rPr>
          <w:rFonts w:ascii="Times New Roman" w:eastAsia="MS Mincho" w:hAnsi="Times New Roman" w:cs="Times New Roman"/>
          <w:bCs/>
          <w:sz w:val="24"/>
          <w:szCs w:val="24"/>
          <w:lang w:val="en-US"/>
        </w:rPr>
        <w:t>, the eventual external outcome of interest from all of these processes, i.e</w:t>
      </w:r>
      <w:r w:rsidR="00E10614" w:rsidRPr="00165ED2">
        <w:rPr>
          <w:rFonts w:ascii="Times New Roman" w:eastAsia="MS Mincho" w:hAnsi="Times New Roman" w:cs="Times New Roman"/>
          <w:bCs/>
          <w:sz w:val="24"/>
          <w:szCs w:val="24"/>
          <w:lang w:val="en-US"/>
        </w:rPr>
        <w:t>.</w:t>
      </w:r>
      <w:r w:rsidR="004243D8" w:rsidRPr="00165ED2">
        <w:rPr>
          <w:rFonts w:ascii="Times New Roman" w:eastAsia="MS Mincho" w:hAnsi="Times New Roman" w:cs="Times New Roman"/>
          <w:bCs/>
          <w:sz w:val="24"/>
          <w:szCs w:val="24"/>
          <w:lang w:val="en-US"/>
        </w:rPr>
        <w:t xml:space="preserve">, CP, will also be a function of factors such as (relative) </w:t>
      </w:r>
      <w:r w:rsidR="00124505" w:rsidRPr="00165ED2">
        <w:rPr>
          <w:rFonts w:ascii="Times New Roman" w:eastAsia="MS Mincho" w:hAnsi="Times New Roman" w:cs="Times New Roman"/>
          <w:bCs/>
          <w:sz w:val="24"/>
          <w:szCs w:val="24"/>
          <w:lang w:val="en-US"/>
        </w:rPr>
        <w:t xml:space="preserve">exercising </w:t>
      </w:r>
      <w:r w:rsidR="004243D8" w:rsidRPr="00165ED2">
        <w:rPr>
          <w:rFonts w:ascii="Times New Roman" w:eastAsia="MS Mincho" w:hAnsi="Times New Roman" w:cs="Times New Roman"/>
          <w:bCs/>
          <w:sz w:val="24"/>
          <w:szCs w:val="24"/>
          <w:lang w:val="en-US"/>
        </w:rPr>
        <w:t xml:space="preserve">muscle mass, </w:t>
      </w:r>
      <w:r w:rsidR="00124505" w:rsidRPr="00165ED2">
        <w:rPr>
          <w:rFonts w:ascii="Times New Roman" w:eastAsia="MS Mincho" w:hAnsi="Times New Roman" w:cs="Times New Roman"/>
          <w:bCs/>
          <w:sz w:val="24"/>
          <w:szCs w:val="24"/>
          <w:lang w:val="en-US"/>
        </w:rPr>
        <w:t xml:space="preserve">the local musculoskeletal lever system dynamics and co-ordination, </w:t>
      </w:r>
      <w:r w:rsidR="00B75922" w:rsidRPr="00165ED2">
        <w:rPr>
          <w:rFonts w:ascii="Times New Roman" w:eastAsia="MS Mincho" w:hAnsi="Times New Roman" w:cs="Times New Roman"/>
          <w:bCs/>
          <w:sz w:val="24"/>
          <w:szCs w:val="24"/>
          <w:lang w:val="en-US"/>
        </w:rPr>
        <w:t xml:space="preserve">the extent of localized fatigue within working muscle groups and </w:t>
      </w:r>
      <w:r w:rsidR="004243D8" w:rsidRPr="00165ED2">
        <w:rPr>
          <w:rFonts w:ascii="Times New Roman" w:eastAsia="MS Mincho" w:hAnsi="Times New Roman" w:cs="Times New Roman"/>
          <w:bCs/>
          <w:sz w:val="24"/>
          <w:szCs w:val="24"/>
          <w:lang w:val="en-US"/>
        </w:rPr>
        <w:t>motor-unit recruitment</w:t>
      </w:r>
      <w:r w:rsidR="003822BA" w:rsidRPr="00165ED2">
        <w:rPr>
          <w:rFonts w:ascii="Times New Roman" w:eastAsia="MS Mincho" w:hAnsi="Times New Roman" w:cs="Times New Roman"/>
          <w:bCs/>
          <w:sz w:val="24"/>
          <w:szCs w:val="24"/>
          <w:lang w:val="en-US"/>
        </w:rPr>
        <w:t>.</w:t>
      </w:r>
      <w:r w:rsidR="004243D8" w:rsidRPr="00165ED2">
        <w:rPr>
          <w:rFonts w:ascii="Times New Roman" w:eastAsia="MS Mincho" w:hAnsi="Times New Roman" w:cs="Times New Roman"/>
          <w:bCs/>
          <w:sz w:val="24"/>
          <w:szCs w:val="24"/>
          <w:lang w:val="en-US"/>
        </w:rPr>
        <w:t xml:space="preserve"> </w:t>
      </w:r>
      <w:r w:rsidR="008721A7" w:rsidRPr="00165ED2">
        <w:rPr>
          <w:rFonts w:ascii="Times New Roman" w:eastAsia="MS Mincho" w:hAnsi="Times New Roman" w:cs="Times New Roman"/>
          <w:bCs/>
          <w:sz w:val="24"/>
          <w:szCs w:val="24"/>
          <w:lang w:val="en-US"/>
        </w:rPr>
        <w:t>Indeed, t</w:t>
      </w:r>
      <w:r w:rsidR="00B75922" w:rsidRPr="00165ED2">
        <w:rPr>
          <w:rFonts w:ascii="Times New Roman" w:eastAsia="MS Mincho" w:hAnsi="Times New Roman" w:cs="Times New Roman"/>
          <w:bCs/>
          <w:sz w:val="24"/>
          <w:szCs w:val="24"/>
          <w:lang w:val="en-US"/>
        </w:rPr>
        <w:t xml:space="preserve">hat our data demonstrates a significant relationship between </w:t>
      </w:r>
      <w:r w:rsidR="00B75922" w:rsidRPr="00165ED2">
        <w:rPr>
          <w:rFonts w:ascii="Times New Roman" w:hAnsi="Times New Roman" w:cs="Times New Roman"/>
          <w:sz w:val="24"/>
        </w:rPr>
        <w:t>τ</w:t>
      </w:r>
      <w:r w:rsidR="00B75922" w:rsidRPr="00165ED2">
        <w:rPr>
          <w:rFonts w:ascii="Times New Roman" w:hAnsi="Times New Roman" w:cs="Times New Roman"/>
          <w:sz w:val="24"/>
          <w:vertAlign w:val="subscript"/>
        </w:rPr>
        <w:t xml:space="preserve">V̇O2 </w:t>
      </w:r>
      <w:r w:rsidR="00B75922" w:rsidRPr="00165ED2">
        <w:rPr>
          <w:rFonts w:ascii="Times New Roman" w:hAnsi="Times New Roman" w:cs="Times New Roman"/>
          <w:sz w:val="24"/>
        </w:rPr>
        <w:t xml:space="preserve">and </w:t>
      </w:r>
      <w:r w:rsidR="00AF7DBB" w:rsidRPr="00165ED2">
        <w:rPr>
          <w:rFonts w:ascii="Times New Roman" w:hAnsi="Times New Roman" w:cs="Times New Roman"/>
          <w:sz w:val="24"/>
        </w:rPr>
        <w:t xml:space="preserve">CP expressed in </w:t>
      </w:r>
      <w:r w:rsidR="00B75922" w:rsidRPr="00165ED2">
        <w:rPr>
          <w:rFonts w:ascii="Times New Roman" w:hAnsi="Times New Roman" w:cs="Times New Roman"/>
          <w:sz w:val="24"/>
        </w:rPr>
        <w:t>W.kg</w:t>
      </w:r>
      <w:r w:rsidR="00B75922" w:rsidRPr="00165ED2">
        <w:rPr>
          <w:rFonts w:ascii="Times New Roman" w:hAnsi="Times New Roman" w:cs="Times New Roman"/>
          <w:sz w:val="24"/>
          <w:vertAlign w:val="superscript"/>
        </w:rPr>
        <w:t>-1</w:t>
      </w:r>
      <w:r w:rsidR="00B75922" w:rsidRPr="00165ED2">
        <w:rPr>
          <w:rFonts w:ascii="Times New Roman" w:hAnsi="Times New Roman" w:cs="Times New Roman"/>
          <w:sz w:val="24"/>
        </w:rPr>
        <w:t xml:space="preserve">, but not W (data not shown) speaks to the role of exercising muscle mass in the eventual determination of CP. </w:t>
      </w:r>
      <w:r w:rsidR="008721A7" w:rsidRPr="00165ED2">
        <w:rPr>
          <w:rFonts w:ascii="Times New Roman" w:hAnsi="Times New Roman" w:cs="Times New Roman"/>
          <w:sz w:val="24"/>
        </w:rPr>
        <w:t>T</w:t>
      </w:r>
      <w:r w:rsidR="00B75922" w:rsidRPr="00165ED2">
        <w:rPr>
          <w:rFonts w:ascii="Times New Roman" w:hAnsi="Times New Roman" w:cs="Times New Roman"/>
          <w:sz w:val="24"/>
        </w:rPr>
        <w:t>he individual muscle</w:t>
      </w:r>
      <w:r w:rsidR="008721A7" w:rsidRPr="00165ED2">
        <w:rPr>
          <w:rFonts w:ascii="Times New Roman" w:hAnsi="Times New Roman" w:cs="Times New Roman"/>
          <w:sz w:val="24"/>
        </w:rPr>
        <w:t>s</w:t>
      </w:r>
      <w:r w:rsidR="00B75922" w:rsidRPr="00165ED2">
        <w:rPr>
          <w:rFonts w:ascii="Times New Roman" w:hAnsi="Times New Roman" w:cs="Times New Roman"/>
          <w:sz w:val="24"/>
        </w:rPr>
        <w:t xml:space="preserve"> of the quadriceps muscle group ha</w:t>
      </w:r>
      <w:r w:rsidR="008721A7" w:rsidRPr="00165ED2">
        <w:rPr>
          <w:rFonts w:ascii="Times New Roman" w:hAnsi="Times New Roman" w:cs="Times New Roman"/>
          <w:sz w:val="24"/>
        </w:rPr>
        <w:t>ve</w:t>
      </w:r>
      <w:r w:rsidR="00B75922" w:rsidRPr="00165ED2">
        <w:rPr>
          <w:rFonts w:ascii="Times New Roman" w:hAnsi="Times New Roman" w:cs="Times New Roman"/>
          <w:sz w:val="24"/>
        </w:rPr>
        <w:t xml:space="preserve"> been shown to produce divergent patterns of </w:t>
      </w:r>
      <w:r w:rsidR="00E10614" w:rsidRPr="00165ED2">
        <w:rPr>
          <w:rFonts w:ascii="Times New Roman" w:hAnsi="Times New Roman" w:cs="Times New Roman"/>
          <w:sz w:val="24"/>
        </w:rPr>
        <w:t>[</w:t>
      </w:r>
      <w:proofErr w:type="spellStart"/>
      <w:r w:rsidR="00B75922" w:rsidRPr="00165ED2">
        <w:rPr>
          <w:rFonts w:ascii="Times New Roman" w:hAnsi="Times New Roman" w:cs="Times New Roman"/>
          <w:sz w:val="24"/>
        </w:rPr>
        <w:t>PCr</w:t>
      </w:r>
      <w:proofErr w:type="spellEnd"/>
      <w:r w:rsidR="00E10614" w:rsidRPr="00165ED2">
        <w:rPr>
          <w:rFonts w:ascii="Times New Roman" w:hAnsi="Times New Roman" w:cs="Times New Roman"/>
          <w:sz w:val="24"/>
        </w:rPr>
        <w:t>]</w:t>
      </w:r>
      <w:r w:rsidR="00B75922" w:rsidRPr="00165ED2">
        <w:rPr>
          <w:rFonts w:ascii="Times New Roman" w:hAnsi="Times New Roman" w:cs="Times New Roman"/>
          <w:sz w:val="24"/>
        </w:rPr>
        <w:t xml:space="preserve"> depletion and </w:t>
      </w:r>
      <w:r w:rsidR="00E10614" w:rsidRPr="00165ED2">
        <w:rPr>
          <w:rFonts w:ascii="Times New Roman" w:hAnsi="Times New Roman" w:cs="Times New Roman"/>
          <w:sz w:val="24"/>
        </w:rPr>
        <w:t>[</w:t>
      </w:r>
      <w:r w:rsidR="00B75922" w:rsidRPr="00165ED2">
        <w:rPr>
          <w:rFonts w:ascii="Times New Roman" w:hAnsi="Times New Roman" w:cs="Times New Roman"/>
          <w:sz w:val="24"/>
        </w:rPr>
        <w:t>Pi</w:t>
      </w:r>
      <w:r w:rsidR="00E10614" w:rsidRPr="00165ED2">
        <w:rPr>
          <w:rFonts w:ascii="Times New Roman" w:hAnsi="Times New Roman" w:cs="Times New Roman"/>
          <w:sz w:val="24"/>
        </w:rPr>
        <w:t>]</w:t>
      </w:r>
      <w:r w:rsidR="00B75922" w:rsidRPr="00165ED2">
        <w:rPr>
          <w:rFonts w:ascii="Times New Roman" w:hAnsi="Times New Roman" w:cs="Times New Roman"/>
          <w:sz w:val="24"/>
        </w:rPr>
        <w:t xml:space="preserve"> accumulation </w:t>
      </w:r>
      <w:r w:rsidR="00E10614" w:rsidRPr="00165ED2">
        <w:rPr>
          <w:rFonts w:ascii="Times New Roman" w:hAnsi="Times New Roman" w:cs="Times New Roman"/>
          <w:sz w:val="24"/>
        </w:rPr>
        <w:t>within distinct muscle regions (72 cm</w:t>
      </w:r>
      <w:r w:rsidR="00E10614" w:rsidRPr="00165ED2">
        <w:rPr>
          <w:rFonts w:ascii="Times New Roman" w:hAnsi="Times New Roman" w:cs="Times New Roman"/>
          <w:sz w:val="24"/>
          <w:vertAlign w:val="superscript"/>
        </w:rPr>
        <w:t>3</w:t>
      </w:r>
      <w:r w:rsidR="00E10614" w:rsidRPr="00165ED2">
        <w:rPr>
          <w:rFonts w:ascii="Times New Roman" w:hAnsi="Times New Roman" w:cs="Times New Roman"/>
          <w:sz w:val="24"/>
        </w:rPr>
        <w:t xml:space="preserve"> voxels) </w:t>
      </w:r>
      <w:r w:rsidR="00B75922" w:rsidRPr="00165ED2">
        <w:rPr>
          <w:rFonts w:ascii="Times New Roman" w:hAnsi="Times New Roman" w:cs="Times New Roman"/>
          <w:sz w:val="24"/>
        </w:rPr>
        <w:t xml:space="preserve">during fatiguing (incremental) exercise </w:t>
      </w:r>
      <w:r w:rsidR="00E10614" w:rsidRPr="00165ED2">
        <w:rPr>
          <w:rFonts w:ascii="Times New Roman" w:hAnsi="Times New Roman" w:cs="Times New Roman"/>
          <w:sz w:val="24"/>
        </w:rPr>
        <w:fldChar w:fldCharType="begin"/>
      </w:r>
      <w:r w:rsidR="00624DC9" w:rsidRPr="00165ED2">
        <w:rPr>
          <w:rFonts w:ascii="Times New Roman" w:hAnsi="Times New Roman" w:cs="Times New Roman"/>
          <w:sz w:val="24"/>
        </w:rPr>
        <w:instrText xml:space="preserve"> ADDIN ZOTERO_ITEM CSL_CITATION {"citationID":"ZOBcxyH1","properties":{"formattedCitation":"[151]","plainCitation":"[151]","noteIndex":0},"citationItems":[{"id":1268,"uris":["http://zotero.org/users/5056530/items/GRKZ9URK"],"itemData":{"id":1268,"type":"article-journal","abstract":"The integration of skeletal muscle substrate depletion, metabolite accumulation, and fatigue during large muscle-mass exercise is not well understood. Measurement of intramuscular energy store degradation and metabolite accumulation is confounded by muscle heterogeneity. Therefore, to characterize regional metabolic distribution in the locomotor muscles, we combined 31P magnetic resonance spectroscopy, chemical shift imaging, and T2-weighted imaging with pulmonary oxygen uptake during bilateral knee-extension exercise to intolerance. Six men completed incremental tests for the following: 1) unlocalized 31P magnetic resonance spectroscopy; and 2) spatial determination of 31P metabolism and activation. The relationship of pulmonary oxygen uptake to whole quadriceps phosphocreatine concentration ([PCr]) was inversely linear, and three of four knee-extensor muscles showed activation as assessed by change in T2. The largest changes in [PCr], [inorganic phosphate] ([Pi]) and pH occurred in rectus femoris, but no voxel (72 cm3) showed complete PCr depletion at exercise cessation. The most metabolically active voxel reached 11 ± 9 mM [PCr] (resting, 29 ± 1 mM), 23 ± 11 mM [Pi] (resting, 7 ± 1 mM), and a pH of 6.64 ± 0.29 (resting, 7.08 ± 0.03). However, the distribution of 31P metabolites and pH varied widely between voxels, and the intervoxel coefficient of variation increased between rest (</w:instrText>
      </w:r>
      <w:r w:rsidR="00624DC9" w:rsidRPr="00165ED2">
        <w:rPr>
          <w:rFonts w:ascii="Cambria Math" w:hAnsi="Cambria Math" w:cs="Cambria Math"/>
          <w:sz w:val="24"/>
        </w:rPr>
        <w:instrText>∼</w:instrText>
      </w:r>
      <w:r w:rsidR="00624DC9" w:rsidRPr="00165ED2">
        <w:rPr>
          <w:rFonts w:ascii="Times New Roman" w:hAnsi="Times New Roman" w:cs="Times New Roman"/>
          <w:sz w:val="24"/>
        </w:rPr>
        <w:instrText>10%) and exercise intolerance (</w:instrText>
      </w:r>
      <w:r w:rsidR="00624DC9" w:rsidRPr="00165ED2">
        <w:rPr>
          <w:rFonts w:ascii="Cambria Math" w:hAnsi="Cambria Math" w:cs="Cambria Math"/>
          <w:sz w:val="24"/>
        </w:rPr>
        <w:instrText>∼</w:instrText>
      </w:r>
      <w:r w:rsidR="00624DC9" w:rsidRPr="00165ED2">
        <w:rPr>
          <w:rFonts w:ascii="Times New Roman" w:hAnsi="Times New Roman" w:cs="Times New Roman"/>
          <w:sz w:val="24"/>
        </w:rPr>
        <w:instrText xml:space="preserve">30–60%). Therefore, the limit of tolerance was attained with wide heterogeneity in substrate depletion and fatigue-related metabolite accumulation, with extreme metabolic perturbation isolated to only a small volume of active muscle (&lt;5%). Regional intramuscular disturbances are thus likely an important requisite for exercise intolerance. How these signals integrate to limit muscle power production, while regional “recruitable muscle” energy stores are presumably still available, remains uncertain.","container-title":"Journal of Applied Physiology","DOI":"10.1152/japplphysiol.00510.2013","ISSN":"8750-7587","issue":"6","journalAbbreviation":"J Appl Physiol (1985)","note":"PMID: 23813534\nPMCID: PMC3764623","page":"839-849","source":"PubMed Central","title":"Muscle metabolism and activation heterogeneity by combined 31P chemical shift and T2 imaging, and pulmonary O2 uptake during incremental knee-extensor exercise","volume":"115","author":[{"family":"Cannon","given":"Daniel T."},{"family":"Howe","given":"Franklyn A."},{"family":"Whipp","given":"Brian J."},{"family":"Ward","given":"Susan A."},{"family":"McIntyre","given":"Dominick J."},{"family":"Ladroue","given":"Christophe"},{"family":"Griffiths","given":"John R."},{"family":"Kemp","given":"Graham J."},{"family":"Rossiter","given":"Harry B."}],"issued":{"date-parts":[["2013",9,15]]}}}],"schema":"https://github.com/citation-style-language/schema/raw/master/csl-citation.json"} </w:instrText>
      </w:r>
      <w:r w:rsidR="00E10614" w:rsidRPr="00165ED2">
        <w:rPr>
          <w:rFonts w:ascii="Times New Roman" w:hAnsi="Times New Roman" w:cs="Times New Roman"/>
          <w:sz w:val="24"/>
        </w:rPr>
        <w:fldChar w:fldCharType="separate"/>
      </w:r>
      <w:r w:rsidR="00624DC9" w:rsidRPr="00165ED2">
        <w:rPr>
          <w:rFonts w:ascii="Times New Roman" w:hAnsi="Times New Roman" w:cs="Times New Roman"/>
          <w:sz w:val="24"/>
        </w:rPr>
        <w:t>[151]</w:t>
      </w:r>
      <w:r w:rsidR="00E10614" w:rsidRPr="00165ED2">
        <w:rPr>
          <w:rFonts w:ascii="Times New Roman" w:hAnsi="Times New Roman" w:cs="Times New Roman"/>
          <w:sz w:val="24"/>
        </w:rPr>
        <w:fldChar w:fldCharType="end"/>
      </w:r>
      <w:r w:rsidR="0026738E" w:rsidRPr="00165ED2">
        <w:rPr>
          <w:rFonts w:ascii="Times New Roman" w:hAnsi="Times New Roman" w:cs="Times New Roman"/>
          <w:sz w:val="24"/>
        </w:rPr>
        <w:t xml:space="preserve">. </w:t>
      </w:r>
      <w:r w:rsidR="008721A7" w:rsidRPr="00165ED2">
        <w:rPr>
          <w:rFonts w:ascii="Times New Roman" w:hAnsi="Times New Roman" w:cs="Times New Roman"/>
          <w:sz w:val="24"/>
        </w:rPr>
        <w:t>Exercising muscle mass may therefore also play a role in</w:t>
      </w:r>
      <w:r w:rsidR="00E10614" w:rsidRPr="00165ED2">
        <w:rPr>
          <w:rFonts w:ascii="Times New Roman" w:hAnsi="Times New Roman" w:cs="Times New Roman"/>
          <w:sz w:val="24"/>
        </w:rPr>
        <w:t xml:space="preserve"> the extent of such </w:t>
      </w:r>
      <w:r w:rsidR="008721A7" w:rsidRPr="00165ED2">
        <w:rPr>
          <w:rFonts w:ascii="Times New Roman" w:hAnsi="Times New Roman" w:cs="Times New Roman"/>
          <w:sz w:val="24"/>
        </w:rPr>
        <w:t xml:space="preserve">muscle metabolite </w:t>
      </w:r>
      <w:r w:rsidR="00E10614" w:rsidRPr="00165ED2">
        <w:rPr>
          <w:rFonts w:ascii="Times New Roman" w:hAnsi="Times New Roman" w:cs="Times New Roman"/>
          <w:sz w:val="24"/>
        </w:rPr>
        <w:t>heterogeneity, and</w:t>
      </w:r>
      <w:r w:rsidR="008721A7" w:rsidRPr="00165ED2">
        <w:rPr>
          <w:rFonts w:ascii="Times New Roman" w:hAnsi="Times New Roman" w:cs="Times New Roman"/>
          <w:sz w:val="24"/>
        </w:rPr>
        <w:t xml:space="preserve"> thus</w:t>
      </w:r>
      <w:r w:rsidR="00E10614" w:rsidRPr="00165ED2">
        <w:rPr>
          <w:rFonts w:ascii="Times New Roman" w:hAnsi="Times New Roman" w:cs="Times New Roman"/>
          <w:sz w:val="24"/>
        </w:rPr>
        <w:t xml:space="preserve"> the degree of  metabolic perturbation within distinct muscle regions, </w:t>
      </w:r>
      <w:r w:rsidR="008721A7" w:rsidRPr="00165ED2">
        <w:rPr>
          <w:rFonts w:ascii="Times New Roman" w:hAnsi="Times New Roman" w:cs="Times New Roman"/>
          <w:sz w:val="24"/>
        </w:rPr>
        <w:t xml:space="preserve">which in turn </w:t>
      </w:r>
      <w:r w:rsidR="00E10614" w:rsidRPr="00165ED2">
        <w:rPr>
          <w:rFonts w:ascii="Times New Roman" w:hAnsi="Times New Roman" w:cs="Times New Roman"/>
          <w:sz w:val="24"/>
        </w:rPr>
        <w:t>contributes towards setting CP.</w:t>
      </w:r>
      <w:r w:rsidR="0026738E" w:rsidRPr="00165ED2">
        <w:rPr>
          <w:rFonts w:ascii="Times New Roman" w:hAnsi="Times New Roman" w:cs="Times New Roman"/>
          <w:sz w:val="24"/>
        </w:rPr>
        <w:t xml:space="preserve"> </w:t>
      </w:r>
      <w:r w:rsidR="001618B6" w:rsidRPr="00165ED2">
        <w:rPr>
          <w:rFonts w:ascii="Times New Roman" w:eastAsia="MS Mincho" w:hAnsi="Times New Roman" w:cs="Times New Roman"/>
          <w:bCs/>
          <w:sz w:val="24"/>
          <w:szCs w:val="24"/>
          <w:lang w:val="en-US"/>
        </w:rPr>
        <w:t xml:space="preserve"> </w:t>
      </w:r>
    </w:p>
    <w:p w14:paraId="571493B8" w14:textId="6DBD907C" w:rsidR="007E34FC" w:rsidRPr="00165ED2" w:rsidRDefault="007E34FC" w:rsidP="00C33A3C">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lang w:val="en-US"/>
        </w:rPr>
        <w:tab/>
      </w:r>
      <w:r w:rsidR="00E23FD2" w:rsidRPr="00165ED2">
        <w:rPr>
          <w:rFonts w:ascii="Times New Roman" w:eastAsia="MS Mincho" w:hAnsi="Times New Roman" w:cs="Times New Roman"/>
          <w:bCs/>
          <w:sz w:val="24"/>
          <w:szCs w:val="24"/>
        </w:rPr>
        <w:t xml:space="preserve">Morgan and colleagues </w:t>
      </w:r>
      <w:r w:rsidR="00E23FD2" w:rsidRPr="00165ED2">
        <w:rPr>
          <w:rFonts w:ascii="Times New Roman" w:eastAsia="MS Mincho" w:hAnsi="Times New Roman" w:cs="Times New Roman"/>
          <w:bCs/>
          <w:sz w:val="24"/>
          <w:szCs w:val="24"/>
        </w:rPr>
        <w:fldChar w:fldCharType="begin"/>
      </w:r>
      <w:r w:rsidR="00624DC9" w:rsidRPr="00165ED2">
        <w:rPr>
          <w:rFonts w:ascii="Times New Roman" w:eastAsia="MS Mincho" w:hAnsi="Times New Roman" w:cs="Times New Roman"/>
          <w:bCs/>
          <w:sz w:val="24"/>
          <w:szCs w:val="24"/>
        </w:rPr>
        <w:instrText xml:space="preserve"> ADDIN ZOTERO_ITEM CSL_CITATION {"citationID":"kb4dXgDG","properties":{"formattedCitation":"[152,153]","plainCitation":"[152,153]","noteIndex":0},"citationItems":[{"id":3087,"uris":["http://zotero.org/users/5056530/items/SWQ3F2TA"],"itemData":{"id":3087,"type":"article-journal","abstract":"Acute acetaminophen (ACT) ingestion has been shown to enhance cycling time-trial performance. The purpose of this study was to assess whether ACT ingestion enhances muscle activation and critical power (CP) during maximal cycling exercise. Sixteen active male participants completed two 3-min all-out tests against a fixed resistance on an electronically braked cycle ergometer 60 min after ingestion of 1 g of ACT or placebo (maltodextrin, PL). CP was estimated as the mean power output over the final 30 s of the test and W' (the curvature constant of the power-duration relationship) was estimated as the work done above CP. The femoral nerve was stimulated every 30 s to measure membrane excitability (M-wave) and surface electromyography (EMGRMS) was recorded continuously to infer muscle activation. Compared with PL, ACT ingestion increased CP (ACT: 297 ± 32 W vs. PL: 288 ± 31 W, P &lt; 0.001) and total work done (ACT: 66.4 ± 6.5 kJ vs. PL: 65.4 ± 6.4 kJ, P = 0.03) without impacting W' (ACT: 13.1 ± 2.9 kJ vs. PL: 13.6 ± 2.4 kJ, P = 0.19) or the M-wave amplitude (P = 0.66) during the 3-min all-out cycling test. Normalised EMGRMS amplitude declined throughout the 3-min protocol in both PL and ACT conditions; however, the decline in EMGRMS amplitude was attenuated in the ACT condition, such that the EMGRMS amplitude was greater in ACT compared with PL over the last 60 s of the test (P = 0.04). These findings indicate that acute ACT ingestion might increase performance and CP during maximal cycling exercise by enhancing muscle activation.","container-title":"Applied Physiology, Nutrition, and Metabolism = Physiologie Appliquee, Nutrition Et Metabolisme","DOI":"10.1139/apnm-2018-0506","ISSN":"1715-5320","issue":"4","journalAbbreviation":"Appl Physiol Nutr Metab","language":"eng","note":"PMID: 30270639","page":"434-442","source":"PubMed","title":"Acetaminophen ingestion improves muscle activation and performance during a 3-min all-out cycling test","volume":"44","author":[{"family":"Morgan","given":"Paul T."},{"family":"Vanhatalo","given":"Anni"},{"family":"Bowtell","given":"Joanna L."},{"family":"Jones","given":"Andrew M."},{"family":"Bailey","given":"Stephen J."}],"issued":{"date-parts":[["2019",4]]}}},{"id":3090,"uris":["http://zotero.org/users/5056530/items/KMBHXFZK"],"itemData":{"id":3090,"type":"article-journal","abstract":"Aim\nAcetaminophen is a commonly used medicine for pain relief and emerging evidence suggests that it may improve endurance exercise performance. This study investigated some of the physiological mechanisms by which acute acetaminophen ingestion might blunt muscle fatigue development.\n\nMethods\nThirteen active males completed 60 × 3 s maximum voluntary contractions (MVC) of the knee extensors with each contraction separated by a 2 s passive recovery period. This protocol was completed 60 min after ingesting 1 g of maltodextrin (placebo) or 1 g of acetaminophen on two separate visits. Peripheral nerve stimulation was administered every 6th contraction for assessment of neuromuscular fatigue development, with the critical torque (CT), which reflects the maximal sustainable rate of oxidative metabolism, taken as the mean torque over the last 12 contractions. Surface electromyography was recorded continuously as a measure of muscle activation.\n\nResults\nMean torque (61 ± 11 vs. 58 ± 14% pre-exercise MVC) and CT (44 ± 13 vs. 40 ± 15% pre-exercise MVC) were greater in the acetaminophen trial compared to placebo (both P &lt; 0.05). Voluntary activation and potentiated twitch declined at a similar rate in both conditions (P &gt; 0.05). However, the decline in electromyography amplitude was attenuated in the acetaminophen trial, with electromyography amplitude being greater compared to placebo from 210 s onwards (P &lt; 0.05).\n\nConclusion\nThese findings indicate that acute acetaminophen ingestion might be ergogenic by increasing CT and preserving muscle activation during high-intensity exercise.\n\nElectronic supplementary material\nThe online version of this article (10.1007/s00421-017-3794-7) contains supplementary material, which is available to authorized users.","container-title":"European Journal of Applied Physiology","DOI":"10.1007/s00421-017-3794-7","ISSN":"1439-6319","issue":"3","journalAbbreviation":"Eur J Appl Physiol","note":"PMID: 29332237\nPMCID: PMC5805811","page":"595-605","source":"PubMed Central","title":"Acute acetaminophen ingestion improves performance and muscle activation during maximal intermittent knee extensor exercise","volume":"118","author":[{"family":"Morgan","given":"Paul T."},{"family":"Bowtell","given":"Joanna L."},{"family":"Vanhatalo","given":"Anni"},{"family":"Jones","given":"Andrew M."},{"family":"Bailey","given":"Stephen J."}],"issued":{"date-parts":[["2018"]]}}}],"schema":"https://github.com/citation-style-language/schema/raw/master/csl-citation.json"} </w:instrText>
      </w:r>
      <w:r w:rsidR="00E23FD2" w:rsidRPr="00165ED2">
        <w:rPr>
          <w:rFonts w:ascii="Times New Roman" w:eastAsia="MS Mincho" w:hAnsi="Times New Roman" w:cs="Times New Roman"/>
          <w:bCs/>
          <w:sz w:val="24"/>
          <w:szCs w:val="24"/>
        </w:rPr>
        <w:fldChar w:fldCharType="separate"/>
      </w:r>
      <w:r w:rsidR="00624DC9" w:rsidRPr="00165ED2">
        <w:rPr>
          <w:rFonts w:ascii="Times New Roman" w:hAnsi="Times New Roman" w:cs="Times New Roman"/>
          <w:sz w:val="24"/>
        </w:rPr>
        <w:t>[152,153]</w:t>
      </w:r>
      <w:r w:rsidR="00E23FD2" w:rsidRPr="00165ED2">
        <w:rPr>
          <w:rFonts w:ascii="Times New Roman" w:eastAsia="MS Mincho" w:hAnsi="Times New Roman" w:cs="Times New Roman"/>
          <w:bCs/>
          <w:sz w:val="24"/>
          <w:szCs w:val="24"/>
        </w:rPr>
        <w:fldChar w:fldCharType="end"/>
      </w:r>
      <w:r w:rsidR="00E23FD2" w:rsidRPr="00165ED2">
        <w:rPr>
          <w:rFonts w:ascii="Times New Roman" w:eastAsia="MS Mincho" w:hAnsi="Times New Roman" w:cs="Times New Roman"/>
          <w:bCs/>
          <w:sz w:val="24"/>
          <w:szCs w:val="24"/>
        </w:rPr>
        <w:t xml:space="preserve"> provided insight into how muscle recruitment patterns may act to determine CP. During repeated intermittent isometric contractions, the ingestion of acetaminophen led to a smaller reduction in torque across 60 MVCs when compared to a placebo </w:t>
      </w:r>
      <w:r w:rsidR="00E23FD2" w:rsidRPr="00165ED2">
        <w:rPr>
          <w:rFonts w:ascii="Times New Roman" w:eastAsia="MS Mincho" w:hAnsi="Times New Roman" w:cs="Times New Roman"/>
          <w:bCs/>
          <w:sz w:val="24"/>
          <w:szCs w:val="24"/>
        </w:rPr>
        <w:fldChar w:fldCharType="begin"/>
      </w:r>
      <w:r w:rsidR="00624DC9" w:rsidRPr="00165ED2">
        <w:rPr>
          <w:rFonts w:ascii="Times New Roman" w:eastAsia="MS Mincho" w:hAnsi="Times New Roman" w:cs="Times New Roman"/>
          <w:bCs/>
          <w:sz w:val="24"/>
          <w:szCs w:val="24"/>
        </w:rPr>
        <w:instrText xml:space="preserve"> ADDIN ZOTERO_ITEM CSL_CITATION {"citationID":"JRKM9TNc","properties":{"formattedCitation":"[153]","plainCitation":"[153]","noteIndex":0},"citationItems":[{"id":3090,"uris":["http://zotero.org/users/5056530/items/KMBHXFZK"],"itemData":{"id":3090,"type":"article-journal","abstract":"Aim\nAcetaminophen is a commonly used medicine for pain relief and emerging evidence suggests that it may improve endurance exercise performance. This study investigated some of the physiological mechanisms by which acute acetaminophen ingestion might blunt muscle fatigue development.\n\nMethods\nThirteen active males completed 60 × 3 s maximum voluntary contractions (MVC) of the knee extensors with each contraction separated by a 2 s passive recovery period. This protocol was completed 60 min after ingesting 1 g of maltodextrin (placebo) or 1 g of acetaminophen on two separate visits. Peripheral nerve stimulation was administered every 6th contraction for assessment of neuromuscular fatigue development, with the critical torque (CT), which reflects the maximal sustainable rate of oxidative metabolism, taken as the mean torque over the last 12 contractions. Surface electromyography was recorded continuously as a measure of muscle activation.\n\nResults\nMean torque (61 ± 11 vs. 58 ± 14% pre-exercise MVC) and CT (44 ± 13 vs. 40 ± 15% pre-exercise MVC) were greater in the acetaminophen trial compared to placebo (both P &lt; 0.05). Voluntary activation and potentiated twitch declined at a similar rate in both conditions (P &gt; 0.05). However, the decline in electromyography amplitude was attenuated in the acetaminophen trial, with electromyography amplitude being greater compared to placebo from 210 s onwards (P &lt; 0.05).\n\nConclusion\nThese findings indicate that acute acetaminophen ingestion might be ergogenic by increasing CT and preserving muscle activation during high-intensity exercise.\n\nElectronic supplementary material\nThe online version of this article (10.1007/s00421-017-3794-7) contains supplementary material, which is available to authorized users.","container-title":"European Journal of Applied Physiology","DOI":"10.1007/s00421-017-3794-7","ISSN":"1439-6319","issue":"3","journalAbbreviation":"Eur J Appl Physiol","note":"PMID: 29332237\nPMCID: PMC5805811","page":"595-605","source":"PubMed Central","title":"Acute acetaminophen ingestion improves performance and muscle activation during maximal intermittent knee extensor exercise","volume":"118","author":[{"family":"Morgan","given":"Paul T."},{"family":"Bowtell","given":"Joanna L."},{"family":"Vanhatalo","given":"Anni"},{"family":"Jones","given":"Andrew M."},{"family":"Bailey","given":"Stephen J."}],"issued":{"date-parts":[["2018"]]}}}],"schema":"https://github.com/citation-style-language/schema/raw/master/csl-citation.json"} </w:instrText>
      </w:r>
      <w:r w:rsidR="00E23FD2" w:rsidRPr="00165ED2">
        <w:rPr>
          <w:rFonts w:ascii="Times New Roman" w:eastAsia="MS Mincho" w:hAnsi="Times New Roman" w:cs="Times New Roman"/>
          <w:bCs/>
          <w:sz w:val="24"/>
          <w:szCs w:val="24"/>
        </w:rPr>
        <w:fldChar w:fldCharType="separate"/>
      </w:r>
      <w:r w:rsidR="00624DC9" w:rsidRPr="00165ED2">
        <w:rPr>
          <w:rFonts w:ascii="Times New Roman" w:hAnsi="Times New Roman" w:cs="Times New Roman"/>
          <w:sz w:val="24"/>
        </w:rPr>
        <w:t>[153]</w:t>
      </w:r>
      <w:r w:rsidR="00E23FD2" w:rsidRPr="00165ED2">
        <w:rPr>
          <w:rFonts w:ascii="Times New Roman" w:eastAsia="MS Mincho" w:hAnsi="Times New Roman" w:cs="Times New Roman"/>
          <w:bCs/>
          <w:sz w:val="24"/>
          <w:szCs w:val="24"/>
        </w:rPr>
        <w:fldChar w:fldCharType="end"/>
      </w:r>
      <w:r w:rsidR="00E23FD2" w:rsidRPr="00165ED2">
        <w:rPr>
          <w:rFonts w:ascii="Times New Roman" w:eastAsia="MS Mincho" w:hAnsi="Times New Roman" w:cs="Times New Roman"/>
          <w:bCs/>
          <w:sz w:val="24"/>
          <w:szCs w:val="24"/>
        </w:rPr>
        <w:t xml:space="preserve">. This was associated with a greater preservation of muscle activation with acetaminophen </w:t>
      </w:r>
      <w:r w:rsidR="0026738E" w:rsidRPr="00165ED2">
        <w:rPr>
          <w:rFonts w:ascii="Times New Roman" w:eastAsia="MS Mincho" w:hAnsi="Times New Roman" w:cs="Times New Roman"/>
          <w:bCs/>
          <w:sz w:val="24"/>
          <w:szCs w:val="24"/>
        </w:rPr>
        <w:t>as</w:t>
      </w:r>
      <w:r w:rsidR="00E23FD2" w:rsidRPr="00165ED2">
        <w:rPr>
          <w:rFonts w:ascii="Times New Roman" w:eastAsia="MS Mincho" w:hAnsi="Times New Roman" w:cs="Times New Roman"/>
          <w:bCs/>
          <w:sz w:val="24"/>
          <w:szCs w:val="24"/>
        </w:rPr>
        <w:t xml:space="preserve"> assessed via electromyography (EMG)</w:t>
      </w:r>
      <w:r w:rsidR="0026738E" w:rsidRPr="00165ED2">
        <w:rPr>
          <w:rFonts w:ascii="Times New Roman" w:eastAsia="MS Mincho" w:hAnsi="Times New Roman" w:cs="Times New Roman"/>
          <w:bCs/>
          <w:sz w:val="24"/>
          <w:szCs w:val="24"/>
        </w:rPr>
        <w:t>.</w:t>
      </w:r>
      <w:r w:rsidR="00E23FD2" w:rsidRPr="00165ED2">
        <w:rPr>
          <w:rFonts w:ascii="Times New Roman" w:eastAsia="MS Mincho" w:hAnsi="Times New Roman" w:cs="Times New Roman"/>
          <w:bCs/>
          <w:sz w:val="24"/>
          <w:szCs w:val="24"/>
        </w:rPr>
        <w:t xml:space="preserve"> </w:t>
      </w:r>
      <w:r w:rsidR="0026738E" w:rsidRPr="00165ED2">
        <w:rPr>
          <w:rFonts w:ascii="Times New Roman" w:eastAsia="MS Mincho" w:hAnsi="Times New Roman" w:cs="Times New Roman"/>
          <w:bCs/>
          <w:sz w:val="24"/>
          <w:szCs w:val="24"/>
        </w:rPr>
        <w:t>S</w:t>
      </w:r>
      <w:r w:rsidR="00E23FD2" w:rsidRPr="00165ED2">
        <w:rPr>
          <w:rFonts w:ascii="Times New Roman" w:eastAsia="MS Mincho" w:hAnsi="Times New Roman" w:cs="Times New Roman"/>
          <w:bCs/>
          <w:sz w:val="24"/>
          <w:szCs w:val="24"/>
        </w:rPr>
        <w:t xml:space="preserve">ubsequently </w:t>
      </w:r>
      <w:r w:rsidR="0026738E" w:rsidRPr="00165ED2">
        <w:rPr>
          <w:rFonts w:ascii="Times New Roman" w:eastAsia="MS Mincho" w:hAnsi="Times New Roman" w:cs="Times New Roman"/>
          <w:bCs/>
          <w:sz w:val="24"/>
          <w:szCs w:val="24"/>
        </w:rPr>
        <w:t>it was shown that during upright</w:t>
      </w:r>
      <w:r w:rsidR="00E23FD2" w:rsidRPr="00165ED2">
        <w:rPr>
          <w:rFonts w:ascii="Times New Roman" w:eastAsia="MS Mincho" w:hAnsi="Times New Roman" w:cs="Times New Roman"/>
          <w:bCs/>
          <w:sz w:val="24"/>
          <w:szCs w:val="24"/>
        </w:rPr>
        <w:t xml:space="preserve"> cycle ergometry, acute acetaminophen ingestion increased CP and preserved muscle activity throughout the duration of exercise when compared to a placebo</w:t>
      </w:r>
      <w:r w:rsidR="00D87616" w:rsidRPr="00165ED2">
        <w:rPr>
          <w:rFonts w:ascii="Times New Roman" w:eastAsia="MS Mincho" w:hAnsi="Times New Roman" w:cs="Times New Roman"/>
          <w:bCs/>
          <w:sz w:val="24"/>
          <w:szCs w:val="24"/>
        </w:rPr>
        <w:t xml:space="preserve"> </w:t>
      </w:r>
      <w:r w:rsidR="00D87616" w:rsidRPr="00165ED2">
        <w:rPr>
          <w:rFonts w:ascii="Times New Roman" w:eastAsia="MS Mincho" w:hAnsi="Times New Roman" w:cs="Times New Roman"/>
          <w:bCs/>
          <w:sz w:val="24"/>
          <w:szCs w:val="24"/>
        </w:rPr>
        <w:lastRenderedPageBreak/>
        <w:fldChar w:fldCharType="begin"/>
      </w:r>
      <w:r w:rsidR="00624DC9" w:rsidRPr="00165ED2">
        <w:rPr>
          <w:rFonts w:ascii="Times New Roman" w:eastAsia="MS Mincho" w:hAnsi="Times New Roman" w:cs="Times New Roman"/>
          <w:bCs/>
          <w:sz w:val="24"/>
          <w:szCs w:val="24"/>
        </w:rPr>
        <w:instrText xml:space="preserve"> ADDIN ZOTERO_ITEM CSL_CITATION {"citationID":"0jYpEbnS","properties":{"formattedCitation":"[152]","plainCitation":"[152]","noteIndex":0},"citationItems":[{"id":3087,"uris":["http://zotero.org/users/5056530/items/SWQ3F2TA"],"itemData":{"id":3087,"type":"article-journal","abstract":"Acute acetaminophen (ACT) ingestion has been shown to enhance cycling time-trial performance. The purpose of this study was to assess whether ACT ingestion enhances muscle activation and critical power (CP) during maximal cycling exercise. Sixteen active male participants completed two 3-min all-out tests against a fixed resistance on an electronically braked cycle ergometer 60 min after ingestion of 1 g of ACT or placebo (maltodextrin, PL). CP was estimated as the mean power output over the final 30 s of the test and W' (the curvature constant of the power-duration relationship) was estimated as the work done above CP. The femoral nerve was stimulated every 30 s to measure membrane excitability (M-wave) and surface electromyography (EMGRMS) was recorded continuously to infer muscle activation. Compared with PL, ACT ingestion increased CP (ACT: 297 ± 32 W vs. PL: 288 ± 31 W, P &lt; 0.001) and total work done (ACT: 66.4 ± 6.5 kJ vs. PL: 65.4 ± 6.4 kJ, P = 0.03) without impacting W' (ACT: 13.1 ± 2.9 kJ vs. PL: 13.6 ± 2.4 kJ, P = 0.19) or the M-wave amplitude (P = 0.66) during the 3-min all-out cycling test. Normalised EMGRMS amplitude declined throughout the 3-min protocol in both PL and ACT conditions; however, the decline in EMGRMS amplitude was attenuated in the ACT condition, such that the EMGRMS amplitude was greater in ACT compared with PL over the last 60 s of the test (P = 0.04). These findings indicate that acute ACT ingestion might increase performance and CP during maximal cycling exercise by enhancing muscle activation.","container-title":"Applied Physiology, Nutrition, and Metabolism = Physiologie Appliquee, Nutrition Et Metabolisme","DOI":"10.1139/apnm-2018-0506","ISSN":"1715-5320","issue":"4","journalAbbreviation":"Appl Physiol Nutr Metab","language":"eng","note":"PMID: 30270639","page":"434-442","source":"PubMed","title":"Acetaminophen ingestion improves muscle activation and performance during a 3-min all-out cycling test","volume":"44","author":[{"family":"Morgan","given":"Paul T."},{"family":"Vanhatalo","given":"Anni"},{"family":"Bowtell","given":"Joanna L."},{"family":"Jones","given":"Andrew M."},{"family":"Bailey","given":"Stephen J."}],"issued":{"date-parts":[["2019",4]]}}}],"schema":"https://github.com/citation-style-language/schema/raw/master/csl-citation.json"} </w:instrText>
      </w:r>
      <w:r w:rsidR="00D87616" w:rsidRPr="00165ED2">
        <w:rPr>
          <w:rFonts w:ascii="Times New Roman" w:eastAsia="MS Mincho" w:hAnsi="Times New Roman" w:cs="Times New Roman"/>
          <w:bCs/>
          <w:sz w:val="24"/>
          <w:szCs w:val="24"/>
        </w:rPr>
        <w:fldChar w:fldCharType="separate"/>
      </w:r>
      <w:r w:rsidR="00624DC9" w:rsidRPr="00165ED2">
        <w:rPr>
          <w:rFonts w:ascii="Times New Roman" w:hAnsi="Times New Roman" w:cs="Times New Roman"/>
          <w:sz w:val="24"/>
        </w:rPr>
        <w:t>[152]</w:t>
      </w:r>
      <w:r w:rsidR="00D87616" w:rsidRPr="00165ED2">
        <w:rPr>
          <w:rFonts w:ascii="Times New Roman" w:eastAsia="MS Mincho" w:hAnsi="Times New Roman" w:cs="Times New Roman"/>
          <w:bCs/>
          <w:sz w:val="24"/>
          <w:szCs w:val="24"/>
        </w:rPr>
        <w:fldChar w:fldCharType="end"/>
      </w:r>
      <w:r w:rsidR="00E23FD2" w:rsidRPr="00165ED2">
        <w:rPr>
          <w:rFonts w:ascii="Times New Roman" w:eastAsia="MS Mincho" w:hAnsi="Times New Roman" w:cs="Times New Roman"/>
          <w:bCs/>
          <w:sz w:val="24"/>
          <w:szCs w:val="24"/>
        </w:rPr>
        <w:t>.</w:t>
      </w:r>
      <w:r w:rsidR="006F74A3" w:rsidRPr="00165ED2">
        <w:rPr>
          <w:rFonts w:ascii="Times New Roman" w:eastAsia="MS Mincho" w:hAnsi="Times New Roman" w:cs="Times New Roman"/>
          <w:bCs/>
          <w:sz w:val="24"/>
          <w:szCs w:val="24"/>
        </w:rPr>
        <w:t xml:space="preserve"> </w:t>
      </w:r>
      <w:r w:rsidR="008721A7" w:rsidRPr="00165ED2">
        <w:rPr>
          <w:rFonts w:ascii="Times New Roman" w:eastAsia="MS Mincho" w:hAnsi="Times New Roman" w:cs="Times New Roman"/>
          <w:bCs/>
          <w:sz w:val="24"/>
          <w:szCs w:val="24"/>
        </w:rPr>
        <w:t>T</w:t>
      </w:r>
      <w:r w:rsidR="00D87616" w:rsidRPr="00165ED2">
        <w:rPr>
          <w:rFonts w:ascii="Times New Roman" w:eastAsia="MS Mincho" w:hAnsi="Times New Roman" w:cs="Times New Roman"/>
          <w:bCs/>
          <w:sz w:val="24"/>
          <w:szCs w:val="24"/>
        </w:rPr>
        <w:t>hese findings suggest blunting neuromuscular fatigue development and preserving muscle activation</w:t>
      </w:r>
      <w:r w:rsidR="0026738E" w:rsidRPr="00165ED2">
        <w:rPr>
          <w:rFonts w:ascii="Times New Roman" w:eastAsia="MS Mincho" w:hAnsi="Times New Roman" w:cs="Times New Roman"/>
          <w:bCs/>
          <w:sz w:val="24"/>
          <w:szCs w:val="24"/>
        </w:rPr>
        <w:t xml:space="preserve"> enhances CP,</w:t>
      </w:r>
      <w:r w:rsidR="008721A7" w:rsidRPr="00165ED2">
        <w:rPr>
          <w:rFonts w:ascii="Times New Roman" w:eastAsia="MS Mincho" w:hAnsi="Times New Roman" w:cs="Times New Roman"/>
          <w:bCs/>
          <w:sz w:val="24"/>
          <w:szCs w:val="24"/>
        </w:rPr>
        <w:t xml:space="preserve"> and</w:t>
      </w:r>
      <w:r w:rsidR="0026738E" w:rsidRPr="00165ED2">
        <w:rPr>
          <w:rFonts w:ascii="Times New Roman" w:eastAsia="MS Mincho" w:hAnsi="Times New Roman" w:cs="Times New Roman"/>
          <w:bCs/>
          <w:sz w:val="24"/>
          <w:szCs w:val="24"/>
        </w:rPr>
        <w:t xml:space="preserve"> thus demonstrat</w:t>
      </w:r>
      <w:r w:rsidR="008721A7" w:rsidRPr="00165ED2">
        <w:rPr>
          <w:rFonts w:ascii="Times New Roman" w:eastAsia="MS Mincho" w:hAnsi="Times New Roman" w:cs="Times New Roman"/>
          <w:bCs/>
          <w:sz w:val="24"/>
          <w:szCs w:val="24"/>
        </w:rPr>
        <w:t>es</w:t>
      </w:r>
      <w:r w:rsidR="0026738E" w:rsidRPr="00165ED2">
        <w:rPr>
          <w:rFonts w:ascii="Times New Roman" w:eastAsia="MS Mincho" w:hAnsi="Times New Roman" w:cs="Times New Roman"/>
          <w:bCs/>
          <w:sz w:val="24"/>
          <w:szCs w:val="24"/>
        </w:rPr>
        <w:t xml:space="preserve"> the importance of</w:t>
      </w:r>
      <w:r w:rsidR="00D87616" w:rsidRPr="00165ED2">
        <w:rPr>
          <w:rFonts w:ascii="Times New Roman" w:eastAsia="MS Mincho" w:hAnsi="Times New Roman" w:cs="Times New Roman"/>
          <w:bCs/>
          <w:sz w:val="24"/>
          <w:szCs w:val="24"/>
        </w:rPr>
        <w:t xml:space="preserve"> </w:t>
      </w:r>
      <w:r w:rsidRPr="00165ED2">
        <w:rPr>
          <w:rFonts w:ascii="Times New Roman" w:eastAsia="MS Mincho" w:hAnsi="Times New Roman" w:cs="Times New Roman"/>
          <w:bCs/>
          <w:sz w:val="24"/>
          <w:szCs w:val="24"/>
        </w:rPr>
        <w:t>motor unit</w:t>
      </w:r>
      <w:r w:rsidR="00D87616" w:rsidRPr="00165ED2">
        <w:rPr>
          <w:rFonts w:ascii="Times New Roman" w:eastAsia="MS Mincho" w:hAnsi="Times New Roman" w:cs="Times New Roman"/>
          <w:bCs/>
          <w:sz w:val="24"/>
          <w:szCs w:val="24"/>
        </w:rPr>
        <w:t xml:space="preserve"> recruitment profiles. </w:t>
      </w:r>
    </w:p>
    <w:p w14:paraId="6CEF6B24" w14:textId="5ECFAE05" w:rsidR="006D6C1D" w:rsidRPr="00165ED2" w:rsidRDefault="007E34FC" w:rsidP="007E34FC">
      <w:pPr>
        <w:spacing w:line="480" w:lineRule="auto"/>
        <w:ind w:firstLine="720"/>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rPr>
        <w:t>The interaction between muscle recruitment patterns and muscle O</w:t>
      </w:r>
      <w:r w:rsidRPr="00165ED2">
        <w:rPr>
          <w:rFonts w:ascii="Times New Roman" w:eastAsia="MS Mincho" w:hAnsi="Times New Roman" w:cs="Times New Roman"/>
          <w:bCs/>
          <w:sz w:val="24"/>
          <w:szCs w:val="24"/>
          <w:vertAlign w:val="subscript"/>
        </w:rPr>
        <w:t>2</w:t>
      </w:r>
      <w:r w:rsidRPr="00165ED2">
        <w:rPr>
          <w:rFonts w:ascii="Times New Roman" w:eastAsia="MS Mincho" w:hAnsi="Times New Roman" w:cs="Times New Roman"/>
          <w:bCs/>
          <w:sz w:val="24"/>
          <w:szCs w:val="24"/>
        </w:rPr>
        <w:t xml:space="preserve"> delivery in determining CP is perhaps most strikingly illustrated by the recent study of Hammer et al. </w:t>
      </w:r>
      <w:r w:rsidRPr="00165ED2">
        <w:rPr>
          <w:rFonts w:ascii="Times New Roman" w:eastAsia="MS Mincho" w:hAnsi="Times New Roman" w:cs="Times New Roman"/>
          <w:bCs/>
          <w:sz w:val="24"/>
          <w:szCs w:val="24"/>
        </w:rPr>
        <w:fldChar w:fldCharType="begin"/>
      </w:r>
      <w:r w:rsidR="00624DC9" w:rsidRPr="00165ED2">
        <w:rPr>
          <w:rFonts w:ascii="Times New Roman" w:eastAsia="MS Mincho" w:hAnsi="Times New Roman" w:cs="Times New Roman"/>
          <w:bCs/>
          <w:sz w:val="24"/>
          <w:szCs w:val="24"/>
        </w:rPr>
        <w:instrText xml:space="preserve"> ADDIN ZOTERO_ITEM CSL_CITATION {"citationID":"1cxhrN7k","properties":{"formattedCitation":"[78]","plainCitation":"[78]","noteIndex":0},"citationItems":[{"id":1103,"uris":["http://zotero.org/users/5056530/items/99AUPVRN"],"itemData":{"id":1103,"type":"article-journal","abstract":"Key points The heavy-to-severe intensity exercise threshold (i.e. critical force) distinguishes between steady-state and progressive metabolic and neuromuscular responses to exercise. High levels of skeletal muscle sensory feedback related to peripheral fatigue development are thought to restrict motor unit activation and limit exercise tolerance. Utilizing limb blood flow occlusion, we demonstrate that critical force reflects an oxygen-delivery-dependent balance between motor unit activation and peripheral fatigue development. Our findings suggest that mechanisms which determine the total force-producing capacity of exercising skeletal muscle are significantly altered during blood flow occlusion. These findings may have widespread implications for exercise tolerance in patient populations who experience partial vascular occlusion or altered neuromuscular reflexes. Abstract High levels of muscle sensory feedback restrict motor unit activation and limit exercise tolerance. The roles of muscle fatigue development and motor unit activation in determining the heavy- to severe-intensity threshold (critical force; CF) remain unclear. This study utilized blood flow occlusion (OCC) to determine relationships between muscle fatigue development and motor unit activation during the determination of CF. We hypothesized that (1) OCC would exacerbate peripheral fatigue development and increase the rate of motor unit deactivation, and (2) blood flow reperfusion (REP) would result in muscle recovery and re-recruitment of motor units despite continuous maximal effort, (3) resulting in an end-exercise force not different from CF. Seven young, healthy subjects performed maximal-effort rhythmic handgrip exercise for 5 min under control conditions (CON) and during OCC and REP. Peripheral fatigue development and motor unit activation were measured via electrical stimulation and electromyography, respectively, during each test. OCC resulted in significantly greater peripheral fatigue development than CON (54.3 ± 34.8%; P &lt; 0.001). Motor unit deactivation was only observed during OCC (P &lt; 0.001). REP resulted in significant peripheral recovery (P &lt; 0.001) and the re-recruitment of motor units (P &lt; 0.001) to levels not different from CON. While OCC resulted in a significantly greater reduction in force production compared to CON (65.7 ± 35.6%; P &lt; 0.001), REP resulted in the restoration of maximal-effort force production (266 ± 19 N; P &lt; 0.001) to levels not different from CF (276 ± 55 N). These data suggest that CF reflects an oxygen-delivery-dependent balance between motor unit activation and peripheral fatigue development. Furthermore, this study established that mechanisms which determine the total force-producing capacity of exercising skeletal muscle are altered during OCC.","container-title":"The Journal of Physiology","DOI":"https://doi.org/10.1113/JP279925","ISSN":"1469-7793","issue":"19","language":"en","license":"© 2020 The Authors. The Journal of Physiology © 2020 The Physiological Society","note":"_eprint: https://physoc.onlinelibrary.wiley.com/doi/pdf/10.1113/JP279925","page":"4293-4306","source":"Wiley Online Library","title":"Influence of blood flow occlusion on muscular recruitment and fatigue during maximal-effort small muscle-mass exercise","volume":"598","author":[{"family":"Hammer","given":"Shane M."},{"family":"Alexander","given":"Andrew M."},{"family":"Didier","given":"Kaylin D."},{"family":"Barstow","given":"Thomas J."}],"issued":{"date-parts":[["2020"]]}}}],"schema":"https://github.com/citation-style-language/schema/raw/master/csl-citation.json"} </w:instrText>
      </w:r>
      <w:r w:rsidRPr="00165ED2">
        <w:rPr>
          <w:rFonts w:ascii="Times New Roman" w:eastAsia="MS Mincho" w:hAnsi="Times New Roman" w:cs="Times New Roman"/>
          <w:bCs/>
          <w:sz w:val="24"/>
          <w:szCs w:val="24"/>
        </w:rPr>
        <w:fldChar w:fldCharType="separate"/>
      </w:r>
      <w:r w:rsidR="00624DC9" w:rsidRPr="00165ED2">
        <w:rPr>
          <w:rFonts w:ascii="Times New Roman" w:hAnsi="Times New Roman" w:cs="Times New Roman"/>
          <w:sz w:val="24"/>
        </w:rPr>
        <w:t>[78]</w:t>
      </w:r>
      <w:r w:rsidRPr="00165ED2">
        <w:rPr>
          <w:rFonts w:ascii="Times New Roman" w:eastAsia="MS Mincho" w:hAnsi="Times New Roman" w:cs="Times New Roman"/>
          <w:bCs/>
          <w:sz w:val="24"/>
          <w:szCs w:val="24"/>
        </w:rPr>
        <w:fldChar w:fldCharType="end"/>
      </w:r>
      <w:r w:rsidRPr="00165ED2">
        <w:rPr>
          <w:rFonts w:ascii="Times New Roman" w:eastAsia="MS Mincho" w:hAnsi="Times New Roman" w:cs="Times New Roman"/>
          <w:bCs/>
          <w:sz w:val="24"/>
          <w:szCs w:val="24"/>
        </w:rPr>
        <w:t xml:space="preserve">, discussed previously (see </w:t>
      </w:r>
      <w:r w:rsidRPr="00165ED2">
        <w:rPr>
          <w:rFonts w:ascii="Times New Roman" w:eastAsia="MS Mincho" w:hAnsi="Times New Roman" w:cs="Times New Roman"/>
          <w:bCs/>
          <w:i/>
          <w:sz w:val="24"/>
          <w:szCs w:val="24"/>
        </w:rPr>
        <w:t>Convective O</w:t>
      </w:r>
      <w:r w:rsidRPr="00165ED2">
        <w:rPr>
          <w:rFonts w:ascii="Times New Roman" w:eastAsia="MS Mincho" w:hAnsi="Times New Roman" w:cs="Times New Roman"/>
          <w:bCs/>
          <w:i/>
          <w:sz w:val="24"/>
          <w:szCs w:val="24"/>
          <w:vertAlign w:val="subscript"/>
        </w:rPr>
        <w:t>2</w:t>
      </w:r>
      <w:r w:rsidRPr="00165ED2">
        <w:rPr>
          <w:rFonts w:ascii="Times New Roman" w:eastAsia="MS Mincho" w:hAnsi="Times New Roman" w:cs="Times New Roman"/>
          <w:bCs/>
          <w:i/>
          <w:sz w:val="24"/>
          <w:szCs w:val="24"/>
        </w:rPr>
        <w:t xml:space="preserve"> delivery</w:t>
      </w:r>
      <w:r w:rsidRPr="00165ED2">
        <w:rPr>
          <w:rFonts w:ascii="Times New Roman" w:eastAsia="MS Mincho" w:hAnsi="Times New Roman" w:cs="Times New Roman"/>
          <w:bCs/>
          <w:sz w:val="24"/>
          <w:szCs w:val="24"/>
        </w:rPr>
        <w:t xml:space="preserve">). These authors showed that, following muscle reperfusion, both muscular activity and force production </w:t>
      </w:r>
      <w:r w:rsidR="008721A7" w:rsidRPr="00165ED2">
        <w:rPr>
          <w:rFonts w:ascii="Times New Roman" w:eastAsia="MS Mincho" w:hAnsi="Times New Roman" w:cs="Times New Roman"/>
          <w:bCs/>
          <w:sz w:val="24"/>
          <w:szCs w:val="24"/>
        </w:rPr>
        <w:t xml:space="preserve">returned </w:t>
      </w:r>
      <w:r w:rsidRPr="00165ED2">
        <w:rPr>
          <w:rFonts w:ascii="Times New Roman" w:eastAsia="MS Mincho" w:hAnsi="Times New Roman" w:cs="Times New Roman"/>
          <w:bCs/>
          <w:sz w:val="24"/>
          <w:szCs w:val="24"/>
        </w:rPr>
        <w:t xml:space="preserve">to levels not different from that observed under free-flowing conditions </w:t>
      </w:r>
      <w:r w:rsidRPr="00165ED2">
        <w:rPr>
          <w:rFonts w:ascii="Times New Roman" w:eastAsia="MS Mincho" w:hAnsi="Times New Roman" w:cs="Times New Roman"/>
          <w:bCs/>
          <w:sz w:val="24"/>
          <w:szCs w:val="24"/>
        </w:rPr>
        <w:fldChar w:fldCharType="begin"/>
      </w:r>
      <w:r w:rsidR="00624DC9" w:rsidRPr="00165ED2">
        <w:rPr>
          <w:rFonts w:ascii="Times New Roman" w:eastAsia="MS Mincho" w:hAnsi="Times New Roman" w:cs="Times New Roman"/>
          <w:bCs/>
          <w:sz w:val="24"/>
          <w:szCs w:val="24"/>
        </w:rPr>
        <w:instrText xml:space="preserve"> ADDIN ZOTERO_ITEM CSL_CITATION {"citationID":"6t4X6KrA","properties":{"formattedCitation":"[78]","plainCitation":"[78]","noteIndex":0},"citationItems":[{"id":1103,"uris":["http://zotero.org/users/5056530/items/99AUPVRN"],"itemData":{"id":1103,"type":"article-journal","abstract":"Key points The heavy-to-severe intensity exercise threshold (i.e. critical force) distinguishes between steady-state and progressive metabolic and neuromuscular responses to exercise. High levels of skeletal muscle sensory feedback related to peripheral fatigue development are thought to restrict motor unit activation and limit exercise tolerance. Utilizing limb blood flow occlusion, we demonstrate that critical force reflects an oxygen-delivery-dependent balance between motor unit activation and peripheral fatigue development. Our findings suggest that mechanisms which determine the total force-producing capacity of exercising skeletal muscle are significantly altered during blood flow occlusion. These findings may have widespread implications for exercise tolerance in patient populations who experience partial vascular occlusion or altered neuromuscular reflexes. Abstract High levels of muscle sensory feedback restrict motor unit activation and limit exercise tolerance. The roles of muscle fatigue development and motor unit activation in determining the heavy- to severe-intensity threshold (critical force; CF) remain unclear. This study utilized blood flow occlusion (OCC) to determine relationships between muscle fatigue development and motor unit activation during the determination of CF. We hypothesized that (1) OCC would exacerbate peripheral fatigue development and increase the rate of motor unit deactivation, and (2) blood flow reperfusion (REP) would result in muscle recovery and re-recruitment of motor units despite continuous maximal effort, (3) resulting in an end-exercise force not different from CF. Seven young, healthy subjects performed maximal-effort rhythmic handgrip exercise for 5 min under control conditions (CON) and during OCC and REP. Peripheral fatigue development and motor unit activation were measured via electrical stimulation and electromyography, respectively, during each test. OCC resulted in significantly greater peripheral fatigue development than CON (54.3 ± 34.8%; P &lt; 0.001). Motor unit deactivation was only observed during OCC (P &lt; 0.001). REP resulted in significant peripheral recovery (P &lt; 0.001) and the re-recruitment of motor units (P &lt; 0.001) to levels not different from CON. While OCC resulted in a significantly greater reduction in force production compared to CON (65.7 ± 35.6%; P &lt; 0.001), REP resulted in the restoration of maximal-effort force production (266 ± 19 N; P &lt; 0.001) to levels not different from CF (276 ± 55 N). These data suggest that CF reflects an oxygen-delivery-dependent balance between motor unit activation and peripheral fatigue development. Furthermore, this study established that mechanisms which determine the total force-producing capacity of exercising skeletal muscle are altered during OCC.","container-title":"The Journal of Physiology","DOI":"https://doi.org/10.1113/JP279925","ISSN":"1469-7793","issue":"19","language":"en","license":"© 2020 The Authors. The Journal of Physiology © 2020 The Physiological Society","note":"_eprint: https://physoc.onlinelibrary.wiley.com/doi/pdf/10.1113/JP279925","page":"4293-4306","source":"Wiley Online Library","title":"Influence of blood flow occlusion on muscular recruitment and fatigue during maximal-effort small muscle-mass exercise","volume":"598","author":[{"family":"Hammer","given":"Shane M."},{"family":"Alexander","given":"Andrew M."},{"family":"Didier","given":"Kaylin D."},{"family":"Barstow","given":"Thomas J."}],"issued":{"date-parts":[["2020"]]}}}],"schema":"https://github.com/citation-style-language/schema/raw/master/csl-citation.json"} </w:instrText>
      </w:r>
      <w:r w:rsidRPr="00165ED2">
        <w:rPr>
          <w:rFonts w:ascii="Times New Roman" w:eastAsia="MS Mincho" w:hAnsi="Times New Roman" w:cs="Times New Roman"/>
          <w:bCs/>
          <w:sz w:val="24"/>
          <w:szCs w:val="24"/>
        </w:rPr>
        <w:fldChar w:fldCharType="separate"/>
      </w:r>
      <w:r w:rsidR="00624DC9" w:rsidRPr="00165ED2">
        <w:rPr>
          <w:rFonts w:ascii="Times New Roman" w:hAnsi="Times New Roman" w:cs="Times New Roman"/>
          <w:sz w:val="24"/>
        </w:rPr>
        <w:t>[78]</w:t>
      </w:r>
      <w:r w:rsidRPr="00165ED2">
        <w:rPr>
          <w:rFonts w:ascii="Times New Roman" w:eastAsia="MS Mincho" w:hAnsi="Times New Roman" w:cs="Times New Roman"/>
          <w:bCs/>
          <w:sz w:val="24"/>
          <w:szCs w:val="24"/>
        </w:rPr>
        <w:fldChar w:fldCharType="end"/>
      </w:r>
      <w:r w:rsidRPr="00165ED2">
        <w:rPr>
          <w:rFonts w:ascii="Times New Roman" w:eastAsia="MS Mincho" w:hAnsi="Times New Roman" w:cs="Times New Roman"/>
          <w:bCs/>
          <w:sz w:val="24"/>
          <w:szCs w:val="24"/>
        </w:rPr>
        <w:t>. Hence, muscle occlusion constrained muscular recruitment and thus critical force, however, once muscle perfusion was restored to pre-occlusion conditions, both muscle recruitment and force-generating capacity were restored. These findings illustrate that CP represents an intricate balance between muscle O</w:t>
      </w:r>
      <w:r w:rsidRPr="00165ED2">
        <w:rPr>
          <w:rFonts w:ascii="Times New Roman" w:eastAsia="MS Mincho" w:hAnsi="Times New Roman" w:cs="Times New Roman"/>
          <w:bCs/>
          <w:sz w:val="24"/>
          <w:szCs w:val="24"/>
          <w:vertAlign w:val="subscript"/>
        </w:rPr>
        <w:t>2</w:t>
      </w:r>
      <w:r w:rsidRPr="00165ED2">
        <w:rPr>
          <w:rFonts w:ascii="Times New Roman" w:eastAsia="MS Mincho" w:hAnsi="Times New Roman" w:cs="Times New Roman"/>
          <w:bCs/>
          <w:sz w:val="24"/>
          <w:szCs w:val="24"/>
        </w:rPr>
        <w:t xml:space="preserve"> supply, muscle recruitment patterns and peripheral fatigue development. </w:t>
      </w:r>
    </w:p>
    <w:p w14:paraId="2E2ACDD5" w14:textId="228E881D" w:rsidR="006E7888" w:rsidRPr="00165ED2" w:rsidRDefault="007E34FC" w:rsidP="00E319A6">
      <w:pPr>
        <w:spacing w:line="480" w:lineRule="auto"/>
        <w:jc w:val="both"/>
        <w:rPr>
          <w:rFonts w:ascii="Times New Roman" w:eastAsia="MS Mincho" w:hAnsi="Times New Roman" w:cs="Times New Roman"/>
          <w:bCs/>
          <w:sz w:val="24"/>
          <w:szCs w:val="24"/>
          <w:lang w:val="en-US"/>
        </w:rPr>
      </w:pPr>
      <w:r w:rsidRPr="00165ED2">
        <w:rPr>
          <w:rFonts w:ascii="Times New Roman" w:eastAsia="MS Mincho" w:hAnsi="Times New Roman" w:cs="Times New Roman"/>
          <w:bCs/>
          <w:sz w:val="24"/>
          <w:szCs w:val="24"/>
        </w:rPr>
        <w:tab/>
      </w:r>
      <w:r w:rsidR="00E319A6" w:rsidRPr="00165ED2">
        <w:rPr>
          <w:rFonts w:ascii="Times New Roman" w:eastAsia="MS Mincho" w:hAnsi="Times New Roman" w:cs="Times New Roman"/>
          <w:bCs/>
          <w:sz w:val="24"/>
          <w:szCs w:val="24"/>
        </w:rPr>
        <w:t xml:space="preserve">To summarize, CP is sensitive to muscle fibre type composition because it is a parameter of aerobic function. Hence, the oxidative characteristics inherent within type I fibres, such as rapid </w:t>
      </w:r>
      <w:r w:rsidR="00E319A6" w:rsidRPr="00165ED2">
        <w:rPr>
          <w:rFonts w:ascii="Times New Roman" w:eastAsia="MS Mincho" w:hAnsi="Times New Roman" w:cs="Times New Roman"/>
          <w:bCs/>
          <w:sz w:val="24"/>
          <w:szCs w:val="24"/>
          <w:lang w:val="en-US"/>
        </w:rPr>
        <w:t>V̇O</w:t>
      </w:r>
      <w:r w:rsidR="00E319A6" w:rsidRPr="00165ED2">
        <w:rPr>
          <w:rFonts w:ascii="Times New Roman" w:eastAsia="MS Mincho" w:hAnsi="Times New Roman" w:cs="Times New Roman"/>
          <w:bCs/>
          <w:sz w:val="24"/>
          <w:szCs w:val="24"/>
          <w:vertAlign w:val="subscript"/>
          <w:lang w:val="en-US"/>
        </w:rPr>
        <w:t xml:space="preserve">2 </w:t>
      </w:r>
      <w:r w:rsidR="00E319A6" w:rsidRPr="00165ED2">
        <w:rPr>
          <w:rFonts w:ascii="Times New Roman" w:eastAsia="MS Mincho" w:hAnsi="Times New Roman" w:cs="Times New Roman"/>
          <w:bCs/>
          <w:sz w:val="24"/>
          <w:szCs w:val="24"/>
          <w:lang w:val="en-US"/>
        </w:rPr>
        <w:t xml:space="preserve">kinetics, greater rates of blood flow and higher capillary and interstitial </w:t>
      </w:r>
      <w:r w:rsidR="00E319A6" w:rsidRPr="00165ED2">
        <w:rPr>
          <w:rFonts w:ascii="Times New Roman" w:eastAsia="MS Mincho" w:hAnsi="Times New Roman" w:cs="Times New Roman"/>
          <w:bCs/>
          <w:i/>
          <w:sz w:val="24"/>
          <w:szCs w:val="24"/>
          <w:lang w:val="en-US"/>
        </w:rPr>
        <w:t>P</w:t>
      </w:r>
      <w:r w:rsidR="00E319A6" w:rsidRPr="00165ED2">
        <w:rPr>
          <w:rFonts w:ascii="Times New Roman" w:eastAsia="MS Mincho" w:hAnsi="Times New Roman" w:cs="Times New Roman"/>
          <w:bCs/>
          <w:sz w:val="24"/>
          <w:szCs w:val="24"/>
          <w:lang w:val="en-US"/>
        </w:rPr>
        <w:t>O</w:t>
      </w:r>
      <w:r w:rsidR="00E319A6" w:rsidRPr="00165ED2">
        <w:rPr>
          <w:rFonts w:ascii="Times New Roman" w:eastAsia="MS Mincho" w:hAnsi="Times New Roman" w:cs="Times New Roman"/>
          <w:bCs/>
          <w:sz w:val="24"/>
          <w:szCs w:val="24"/>
          <w:vertAlign w:val="subscript"/>
          <w:lang w:val="en-US"/>
        </w:rPr>
        <w:t>2</w:t>
      </w:r>
      <w:r w:rsidR="00E319A6" w:rsidRPr="00165ED2">
        <w:rPr>
          <w:rFonts w:ascii="Times New Roman" w:eastAsia="MS Mincho" w:hAnsi="Times New Roman" w:cs="Times New Roman"/>
          <w:bCs/>
          <w:sz w:val="24"/>
          <w:szCs w:val="24"/>
          <w:lang w:val="en-US"/>
        </w:rPr>
        <w:t xml:space="preserve"> values, allow the attainment of high rates of ATP utilization with minimal derangement of the intracellular metabolic milieu. </w:t>
      </w:r>
      <w:r w:rsidR="008721A7" w:rsidRPr="00165ED2">
        <w:rPr>
          <w:rFonts w:ascii="Times New Roman" w:eastAsia="MS Mincho" w:hAnsi="Times New Roman" w:cs="Times New Roman"/>
          <w:bCs/>
          <w:sz w:val="24"/>
          <w:szCs w:val="24"/>
          <w:lang w:val="en-US"/>
        </w:rPr>
        <w:t>Therefore</w:t>
      </w:r>
      <w:r w:rsidR="00E319A6" w:rsidRPr="00165ED2">
        <w:rPr>
          <w:rFonts w:ascii="Times New Roman" w:eastAsia="MS Mincho" w:hAnsi="Times New Roman" w:cs="Times New Roman"/>
          <w:bCs/>
          <w:sz w:val="24"/>
          <w:szCs w:val="24"/>
          <w:lang w:val="en-US"/>
        </w:rPr>
        <w:t xml:space="preserve">, </w:t>
      </w:r>
      <w:r w:rsidR="00E40A3B" w:rsidRPr="00165ED2">
        <w:rPr>
          <w:rFonts w:ascii="Times New Roman" w:eastAsia="MS Mincho" w:hAnsi="Times New Roman" w:cs="Times New Roman"/>
          <w:bCs/>
          <w:sz w:val="24"/>
          <w:szCs w:val="24"/>
          <w:lang w:val="en-US"/>
        </w:rPr>
        <w:t xml:space="preserve">all else being equal, </w:t>
      </w:r>
      <w:r w:rsidR="00E319A6" w:rsidRPr="00165ED2">
        <w:rPr>
          <w:rFonts w:ascii="Times New Roman" w:eastAsia="MS Mincho" w:hAnsi="Times New Roman" w:cs="Times New Roman"/>
          <w:bCs/>
          <w:sz w:val="24"/>
          <w:szCs w:val="24"/>
          <w:lang w:val="en-US"/>
        </w:rPr>
        <w:t xml:space="preserve">individuals with a relatively greater proportion of type I skeletal muscle </w:t>
      </w:r>
      <w:proofErr w:type="spellStart"/>
      <w:r w:rsidR="00E319A6" w:rsidRPr="00165ED2">
        <w:rPr>
          <w:rFonts w:ascii="Times New Roman" w:eastAsia="MS Mincho" w:hAnsi="Times New Roman" w:cs="Times New Roman"/>
          <w:bCs/>
          <w:sz w:val="24"/>
          <w:szCs w:val="24"/>
          <w:lang w:val="en-US"/>
        </w:rPr>
        <w:t>fibres</w:t>
      </w:r>
      <w:proofErr w:type="spellEnd"/>
      <w:r w:rsidR="00E319A6" w:rsidRPr="00165ED2">
        <w:rPr>
          <w:rFonts w:ascii="Times New Roman" w:eastAsia="MS Mincho" w:hAnsi="Times New Roman" w:cs="Times New Roman"/>
          <w:bCs/>
          <w:sz w:val="24"/>
          <w:szCs w:val="24"/>
          <w:lang w:val="en-US"/>
        </w:rPr>
        <w:t xml:space="preserve"> will </w:t>
      </w:r>
      <w:r w:rsidR="00E40A3B" w:rsidRPr="00165ED2">
        <w:rPr>
          <w:rFonts w:ascii="Times New Roman" w:eastAsia="MS Mincho" w:hAnsi="Times New Roman" w:cs="Times New Roman"/>
          <w:bCs/>
          <w:sz w:val="24"/>
          <w:szCs w:val="24"/>
          <w:lang w:val="en-US"/>
        </w:rPr>
        <w:t>tend to possess</w:t>
      </w:r>
      <w:r w:rsidR="00E319A6" w:rsidRPr="00165ED2">
        <w:rPr>
          <w:rFonts w:ascii="Times New Roman" w:eastAsia="MS Mincho" w:hAnsi="Times New Roman" w:cs="Times New Roman"/>
          <w:bCs/>
          <w:sz w:val="24"/>
          <w:szCs w:val="24"/>
          <w:lang w:val="en-US"/>
        </w:rPr>
        <w:t xml:space="preserve"> greater CP </w:t>
      </w:r>
      <w:r w:rsidR="00E40A3B" w:rsidRPr="00165ED2">
        <w:rPr>
          <w:rFonts w:ascii="Times New Roman" w:eastAsia="MS Mincho" w:hAnsi="Times New Roman" w:cs="Times New Roman"/>
          <w:bCs/>
          <w:sz w:val="24"/>
          <w:szCs w:val="24"/>
          <w:lang w:val="en-US"/>
        </w:rPr>
        <w:t xml:space="preserve">values </w:t>
      </w:r>
      <w:r w:rsidR="00E319A6" w:rsidRPr="00165ED2">
        <w:rPr>
          <w:rFonts w:ascii="Times New Roman" w:eastAsia="MS Mincho" w:hAnsi="Times New Roman" w:cs="Times New Roman"/>
          <w:bCs/>
          <w:sz w:val="24"/>
          <w:szCs w:val="24"/>
          <w:lang w:val="en-US"/>
        </w:rPr>
        <w:t xml:space="preserve">when compared to individuals </w:t>
      </w:r>
      <w:r w:rsidR="00E40A3B" w:rsidRPr="00165ED2">
        <w:rPr>
          <w:rFonts w:ascii="Times New Roman" w:eastAsia="MS Mincho" w:hAnsi="Times New Roman" w:cs="Times New Roman"/>
          <w:bCs/>
          <w:sz w:val="24"/>
          <w:szCs w:val="24"/>
          <w:lang w:val="en-US"/>
        </w:rPr>
        <w:t xml:space="preserve">of equivalent training status </w:t>
      </w:r>
      <w:r w:rsidR="00E319A6" w:rsidRPr="00165ED2">
        <w:rPr>
          <w:rFonts w:ascii="Times New Roman" w:eastAsia="MS Mincho" w:hAnsi="Times New Roman" w:cs="Times New Roman"/>
          <w:bCs/>
          <w:sz w:val="24"/>
          <w:szCs w:val="24"/>
          <w:lang w:val="en-US"/>
        </w:rPr>
        <w:t xml:space="preserve">with </w:t>
      </w:r>
      <w:r w:rsidR="00E40A3B" w:rsidRPr="00165ED2">
        <w:rPr>
          <w:rFonts w:ascii="Times New Roman" w:eastAsia="MS Mincho" w:hAnsi="Times New Roman" w:cs="Times New Roman"/>
          <w:bCs/>
          <w:sz w:val="24"/>
          <w:szCs w:val="24"/>
          <w:lang w:val="en-US"/>
        </w:rPr>
        <w:t>a greater proportion of</w:t>
      </w:r>
      <w:r w:rsidR="00E319A6" w:rsidRPr="00165ED2">
        <w:rPr>
          <w:rFonts w:ascii="Times New Roman" w:eastAsia="MS Mincho" w:hAnsi="Times New Roman" w:cs="Times New Roman"/>
          <w:bCs/>
          <w:sz w:val="24"/>
          <w:szCs w:val="24"/>
          <w:lang w:val="en-US"/>
        </w:rPr>
        <w:t xml:space="preserve"> type II </w:t>
      </w:r>
      <w:proofErr w:type="spellStart"/>
      <w:r w:rsidR="00E319A6" w:rsidRPr="00165ED2">
        <w:rPr>
          <w:rFonts w:ascii="Times New Roman" w:eastAsia="MS Mincho" w:hAnsi="Times New Roman" w:cs="Times New Roman"/>
          <w:bCs/>
          <w:sz w:val="24"/>
          <w:szCs w:val="24"/>
          <w:lang w:val="en-US"/>
        </w:rPr>
        <w:t>fibres</w:t>
      </w:r>
      <w:proofErr w:type="spellEnd"/>
      <w:r w:rsidR="008721A7" w:rsidRPr="00165ED2">
        <w:rPr>
          <w:rFonts w:ascii="Times New Roman" w:eastAsia="MS Mincho" w:hAnsi="Times New Roman" w:cs="Times New Roman"/>
          <w:bCs/>
          <w:sz w:val="24"/>
          <w:szCs w:val="24"/>
          <w:lang w:val="en-US"/>
        </w:rPr>
        <w:t>.</w:t>
      </w:r>
      <w:r w:rsidR="00624B2A" w:rsidRPr="00165ED2">
        <w:rPr>
          <w:rFonts w:ascii="Times New Roman" w:eastAsia="MS Mincho" w:hAnsi="Times New Roman" w:cs="Times New Roman"/>
          <w:bCs/>
          <w:sz w:val="24"/>
          <w:szCs w:val="24"/>
          <w:lang w:val="en-US"/>
        </w:rPr>
        <w:t xml:space="preserve"> </w:t>
      </w:r>
      <w:r w:rsidR="00E319A6" w:rsidRPr="00165ED2">
        <w:rPr>
          <w:rFonts w:ascii="Times New Roman" w:eastAsia="MS Mincho" w:hAnsi="Times New Roman" w:cs="Times New Roman"/>
          <w:bCs/>
          <w:sz w:val="24"/>
          <w:szCs w:val="24"/>
          <w:lang w:val="en-US"/>
        </w:rPr>
        <w:t xml:space="preserve">Moreover, </w:t>
      </w:r>
      <w:r w:rsidR="00567CB8" w:rsidRPr="00165ED2">
        <w:rPr>
          <w:rFonts w:ascii="Times New Roman" w:eastAsia="MS Mincho" w:hAnsi="Times New Roman" w:cs="Times New Roman"/>
          <w:bCs/>
          <w:sz w:val="24"/>
          <w:szCs w:val="24"/>
          <w:lang w:val="en-US"/>
        </w:rPr>
        <w:t xml:space="preserve">animal data indicate that </w:t>
      </w:r>
      <w:r w:rsidR="00E319A6" w:rsidRPr="00165ED2">
        <w:rPr>
          <w:rFonts w:ascii="Times New Roman" w:eastAsia="MS Mincho" w:hAnsi="Times New Roman" w:cs="Times New Roman"/>
          <w:bCs/>
          <w:sz w:val="24"/>
          <w:szCs w:val="24"/>
          <w:lang w:val="en-US"/>
        </w:rPr>
        <w:t xml:space="preserve">CP appears to be a critical threshold for the recruitment of </w:t>
      </w:r>
      <w:r w:rsidR="00567CB8" w:rsidRPr="00165ED2">
        <w:rPr>
          <w:rFonts w:ascii="Times New Roman" w:eastAsia="MS Mincho" w:hAnsi="Times New Roman" w:cs="Times New Roman"/>
          <w:bCs/>
          <w:sz w:val="24"/>
          <w:szCs w:val="24"/>
          <w:lang w:val="en-US"/>
        </w:rPr>
        <w:t xml:space="preserve">high-order motor units containing a high fraction of </w:t>
      </w:r>
      <w:r w:rsidR="00E319A6" w:rsidRPr="00165ED2">
        <w:rPr>
          <w:rFonts w:ascii="Times New Roman" w:eastAsia="MS Mincho" w:hAnsi="Times New Roman" w:cs="Times New Roman"/>
          <w:bCs/>
          <w:sz w:val="24"/>
          <w:szCs w:val="24"/>
          <w:lang w:val="en-US"/>
        </w:rPr>
        <w:t xml:space="preserve">type II </w:t>
      </w:r>
      <w:proofErr w:type="spellStart"/>
      <w:r w:rsidR="00E319A6" w:rsidRPr="00165ED2">
        <w:rPr>
          <w:rFonts w:ascii="Times New Roman" w:eastAsia="MS Mincho" w:hAnsi="Times New Roman" w:cs="Times New Roman"/>
          <w:bCs/>
          <w:sz w:val="24"/>
          <w:szCs w:val="24"/>
          <w:lang w:val="en-US"/>
        </w:rPr>
        <w:t>fibres</w:t>
      </w:r>
      <w:proofErr w:type="spellEnd"/>
      <w:r w:rsidR="00624B2A" w:rsidRPr="00165ED2">
        <w:rPr>
          <w:rFonts w:ascii="Times New Roman" w:eastAsia="MS Mincho" w:hAnsi="Times New Roman" w:cs="Times New Roman"/>
          <w:bCs/>
          <w:sz w:val="24"/>
          <w:szCs w:val="24"/>
          <w:lang w:val="en-US"/>
        </w:rPr>
        <w:t xml:space="preserve"> </w:t>
      </w:r>
      <w:r w:rsidR="00624B2A" w:rsidRPr="00165ED2">
        <w:rPr>
          <w:rFonts w:ascii="Times New Roman" w:eastAsia="MS Mincho" w:hAnsi="Times New Roman" w:cs="Times New Roman"/>
          <w:bCs/>
          <w:sz w:val="24"/>
          <w:szCs w:val="24"/>
          <w:lang w:val="en-US"/>
        </w:rPr>
        <w:fldChar w:fldCharType="begin"/>
      </w:r>
      <w:r w:rsidR="007A3303" w:rsidRPr="00165ED2">
        <w:rPr>
          <w:rFonts w:ascii="Times New Roman" w:eastAsia="MS Mincho" w:hAnsi="Times New Roman" w:cs="Times New Roman"/>
          <w:bCs/>
          <w:sz w:val="24"/>
          <w:szCs w:val="24"/>
          <w:lang w:val="en-US"/>
        </w:rPr>
        <w:instrText xml:space="preserve"> ADDIN ZOTERO_ITEM CSL_CITATION {"citationID":"Euj5moV6","properties":{"formattedCitation":"[25]","plainCitation":"[25]","noteIndex":0},"citationItems":[{"id":282,"uris":["http://zotero.org/users/5056530/items/4WKHHGM8"],"itemData":{"id":282,"type":"article-journal","abstract":"Critical speed (CS) constitutes an important metabolic and performance demarcator. However, active skeletal muscle blood flow distribution specifically surrounding CS remains unknown. We tested the hypotheses that CS could be accurately determined in the running rat and that measurement of hindlimb inter- and intramuscular blood flow below and above CS would support that the greatest muscle fibre recruitment above, relative to below, CS occurs in the predominantly glycolytic muscles. Seven male Sprague-Dawley rats performed five constant-speed tests to exhaustion at speeds between 95 and 115% of the speed that elicited to determine CS. Subsequent constant-speed tests were performed at speeds incrementally surrounding CS to determine time to exhaustion, V(O2), and hindlimb muscle blood flow distribution. Speed and time to exhaustion conformed to a hyperbolic relationship (r(2) = 0.92 ± 0.03) which corresponded to a linear 1/time function (r(2) = 0.93 ± 0.02) with a CS of 48.6 ± 1.0 m min(-1). Time to exhaustion below CS was </w:instrText>
      </w:r>
      <w:r w:rsidR="007A3303" w:rsidRPr="00165ED2">
        <w:rPr>
          <w:rFonts w:ascii="Cambria Math" w:eastAsia="MS Mincho" w:hAnsi="Cambria Math" w:cs="Cambria Math"/>
          <w:bCs/>
          <w:sz w:val="24"/>
          <w:szCs w:val="24"/>
          <w:lang w:val="en-US"/>
        </w:rPr>
        <w:instrText>∼</w:instrText>
      </w:r>
      <w:r w:rsidR="007A3303" w:rsidRPr="00165ED2">
        <w:rPr>
          <w:rFonts w:ascii="Times New Roman" w:eastAsia="MS Mincho" w:hAnsi="Times New Roman" w:cs="Times New Roman"/>
          <w:bCs/>
          <w:sz w:val="24"/>
          <w:szCs w:val="24"/>
          <w:lang w:val="en-US"/>
        </w:rPr>
        <w:instrText xml:space="preserve"> 5× greater (P &lt; 0.01) than that above. Below CS V(O2) stabilized at a submaximal value (58.5 ± 2.5 ml kg(-1) min(-1)) whereas above CS (81.7 ± 2.5 ml kg(-1) min(-1)) increased to (84.0 ± 1.8 ml kg(-1) min(-1), P &gt; 0.05 vs. above CS). The 11 individual muscles or muscle parts that evidenced the greatest blood flow increases above, relative to below, CS were composed of ≥ 69% Type IIb/d/x muscle fibres. Moreover, there was a significant correlation (P &lt; 0.05, r = 0.42) between the increased blood flow above expressed relative to below CS and the percentage Type IIb/d/x fibres found in the individual muscles or muscle parts. These data validate the powerful CS construct in the rat and identify that running above CS, relative to below CS, incurs disproportionate blood flow increases (indicative of recruitment) in predominantly highly glycolytic muscle fibres.","container-title":"The Journal of Physiology","DOI":"10.1113/jphysiol.2010.198382","ISSN":"1469-7793","issue":"Pt 24","journalAbbreviation":"J. Physiol. (Lond.)","language":"eng","note":"PMID: 20962004\nPMCID: PMC3036198","page":"5077-5087","source":"PubMed","title":"Critical speed in the rat: implications for hindlimb muscle blood flow distribution and fibre recruitment","title-short":"Critical speed in the rat","volume":"588","author":[{"family":"Copp","given":"Steven W."},{"family":"Hirai","given":"Daniel M."},{"family":"Musch","given":"Timothy I."},{"family":"Poole","given":"David C."}],"issued":{"date-parts":[["2010",12,15]]}}}],"schema":"https://github.com/citation-style-language/schema/raw/master/csl-citation.json"} </w:instrText>
      </w:r>
      <w:r w:rsidR="00624B2A" w:rsidRPr="00165ED2">
        <w:rPr>
          <w:rFonts w:ascii="Times New Roman" w:eastAsia="MS Mincho" w:hAnsi="Times New Roman" w:cs="Times New Roman"/>
          <w:bCs/>
          <w:sz w:val="24"/>
          <w:szCs w:val="24"/>
          <w:lang w:val="en-US"/>
        </w:rPr>
        <w:fldChar w:fldCharType="separate"/>
      </w:r>
      <w:r w:rsidR="007A3303" w:rsidRPr="00165ED2">
        <w:rPr>
          <w:rFonts w:ascii="Times New Roman" w:hAnsi="Times New Roman" w:cs="Times New Roman"/>
          <w:sz w:val="24"/>
        </w:rPr>
        <w:t>[25]</w:t>
      </w:r>
      <w:r w:rsidR="00624B2A" w:rsidRPr="00165ED2">
        <w:rPr>
          <w:rFonts w:ascii="Times New Roman" w:eastAsia="MS Mincho" w:hAnsi="Times New Roman" w:cs="Times New Roman"/>
          <w:bCs/>
          <w:sz w:val="24"/>
          <w:szCs w:val="24"/>
          <w:lang w:val="en-US"/>
        </w:rPr>
        <w:fldChar w:fldCharType="end"/>
      </w:r>
      <w:r w:rsidR="00E319A6" w:rsidRPr="00165ED2">
        <w:rPr>
          <w:rFonts w:ascii="Times New Roman" w:eastAsia="MS Mincho" w:hAnsi="Times New Roman" w:cs="Times New Roman"/>
          <w:bCs/>
          <w:sz w:val="24"/>
          <w:szCs w:val="24"/>
          <w:lang w:val="en-US"/>
        </w:rPr>
        <w:t xml:space="preserve">. Hence, individuals with more type I </w:t>
      </w:r>
      <w:proofErr w:type="spellStart"/>
      <w:r w:rsidR="00E319A6" w:rsidRPr="00165ED2">
        <w:rPr>
          <w:rFonts w:ascii="Times New Roman" w:eastAsia="MS Mincho" w:hAnsi="Times New Roman" w:cs="Times New Roman"/>
          <w:bCs/>
          <w:sz w:val="24"/>
          <w:szCs w:val="24"/>
          <w:lang w:val="en-US"/>
        </w:rPr>
        <w:t>fibres</w:t>
      </w:r>
      <w:proofErr w:type="spellEnd"/>
      <w:r w:rsidR="00E319A6" w:rsidRPr="00165ED2">
        <w:rPr>
          <w:rFonts w:ascii="Times New Roman" w:eastAsia="MS Mincho" w:hAnsi="Times New Roman" w:cs="Times New Roman"/>
          <w:bCs/>
          <w:sz w:val="24"/>
          <w:szCs w:val="24"/>
          <w:lang w:val="en-US"/>
        </w:rPr>
        <w:t xml:space="preserve"> will attain a relatively greater fraction of their V̇O</w:t>
      </w:r>
      <w:r w:rsidR="00E319A6" w:rsidRPr="00165ED2">
        <w:rPr>
          <w:rFonts w:ascii="Times New Roman" w:eastAsia="MS Mincho" w:hAnsi="Times New Roman" w:cs="Times New Roman"/>
          <w:bCs/>
          <w:sz w:val="24"/>
          <w:szCs w:val="24"/>
          <w:vertAlign w:val="subscript"/>
          <w:lang w:val="en-US"/>
        </w:rPr>
        <w:t xml:space="preserve">2 </w:t>
      </w:r>
      <w:r w:rsidR="00E319A6" w:rsidRPr="00165ED2">
        <w:rPr>
          <w:rFonts w:ascii="Times New Roman" w:eastAsia="MS Mincho" w:hAnsi="Times New Roman" w:cs="Times New Roman"/>
          <w:bCs/>
          <w:sz w:val="24"/>
          <w:szCs w:val="24"/>
          <w:lang w:val="en-US"/>
        </w:rPr>
        <w:t xml:space="preserve">max before reaching the threshold for progressive recruitment of type II </w:t>
      </w:r>
      <w:proofErr w:type="spellStart"/>
      <w:r w:rsidR="00E319A6" w:rsidRPr="00165ED2">
        <w:rPr>
          <w:rFonts w:ascii="Times New Roman" w:eastAsia="MS Mincho" w:hAnsi="Times New Roman" w:cs="Times New Roman"/>
          <w:bCs/>
          <w:sz w:val="24"/>
          <w:szCs w:val="24"/>
          <w:lang w:val="en-US"/>
        </w:rPr>
        <w:t>fibres</w:t>
      </w:r>
      <w:proofErr w:type="spellEnd"/>
      <w:r w:rsidR="00E319A6" w:rsidRPr="00165ED2">
        <w:rPr>
          <w:rFonts w:ascii="Times New Roman" w:eastAsia="MS Mincho" w:hAnsi="Times New Roman" w:cs="Times New Roman"/>
          <w:bCs/>
          <w:sz w:val="24"/>
          <w:szCs w:val="24"/>
          <w:lang w:val="en-US"/>
        </w:rPr>
        <w:t>, i.e., CP</w:t>
      </w:r>
      <w:r w:rsidR="00CA20B5" w:rsidRPr="00165ED2">
        <w:rPr>
          <w:rFonts w:ascii="Times New Roman" w:eastAsia="MS Mincho" w:hAnsi="Times New Roman" w:cs="Times New Roman"/>
          <w:bCs/>
          <w:sz w:val="24"/>
          <w:szCs w:val="24"/>
          <w:lang w:val="en-US"/>
        </w:rPr>
        <w:t xml:space="preserve"> (as seen in highly trained humans, </w:t>
      </w:r>
      <w:r w:rsidR="00CA20B5"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{"citationID":"ElQ6Eha0","properties":{"formattedCitation":"[111,154]","plainCitation":"[111,154]","noteIndex":0},"citationItems":[{"id":556,"uris":["http://zotero.org/users/5056530/items/4BBZN2ZS"],"itemData":{"id":556,"type":"article-journal","container-title":"International journal of Sports Science &amp; Coaching","issue":"2","page":"101–116","source":"Google Scholar","title":"The Physiology of the World Record Holder for the Women's Marathon","volume":"1","author":[{"family":"Jones","given":"Andrew M."}],"issued":{"date-parts":[["2006"]]}}},{"id":3499,"uris":["http://zotero.org/users/5056530/items/TQPFNFDZ"],"itemData":{"id":3499,"type":"chapter","abstract":"This chapter contains sections titled: Requirements Physiological responses World's best References","container-title":"Olympic Textbook of Science in Sport","ISBN":"978-1-4443-0331-5","language":"en","note":"section: 3\n_eprint: https://onlinelibrary.wiley.com/doi/pdf/10.1002/9781444303315.ch3\nDOI: 10.1002/9781444303315.ch3","page":"43-55","publisher":"John Wiley &amp; Sons, Ltd","source":"Wiley Online Library","title":"Physiological Demands of Endurance Exercise","URL":"https://onlinelibrary.wiley.com/doi/abs/10.1002/9781444303315.ch3","author":[{"family":"Jones","given":"Andrew M."},{"family":"Poole","given":"David C."}],"accessed":{"date-parts":[["2022",9,22]]},"issued":{"date-parts":[["2008"]]}}}],"schema":"https://github.com/citation-style-language/schema/raw/master/csl-citation.json"} </w:instrText>
      </w:r>
      <w:r w:rsidR="00CA20B5"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rPr>
        <w:t>[111,154]</w:t>
      </w:r>
      <w:r w:rsidR="00CA20B5" w:rsidRPr="00165ED2">
        <w:rPr>
          <w:rFonts w:ascii="Times New Roman" w:eastAsia="MS Mincho" w:hAnsi="Times New Roman" w:cs="Times New Roman"/>
          <w:bCs/>
          <w:sz w:val="24"/>
          <w:szCs w:val="24"/>
          <w:lang w:val="en-US"/>
        </w:rPr>
        <w:fldChar w:fldCharType="end"/>
      </w:r>
      <w:r w:rsidR="00CA20B5" w:rsidRPr="00165ED2">
        <w:rPr>
          <w:rFonts w:ascii="Times New Roman" w:eastAsia="MS Mincho" w:hAnsi="Times New Roman" w:cs="Times New Roman"/>
          <w:bCs/>
          <w:sz w:val="24"/>
          <w:szCs w:val="24"/>
          <w:lang w:val="en-US"/>
        </w:rPr>
        <w:t>)</w:t>
      </w:r>
      <w:r w:rsidR="00E319A6" w:rsidRPr="00165ED2">
        <w:rPr>
          <w:rFonts w:ascii="Times New Roman" w:eastAsia="MS Mincho" w:hAnsi="Times New Roman" w:cs="Times New Roman"/>
          <w:bCs/>
          <w:sz w:val="24"/>
          <w:szCs w:val="24"/>
          <w:lang w:val="en-US"/>
        </w:rPr>
        <w:t xml:space="preserve">. Interventions that increase </w:t>
      </w:r>
      <w:r w:rsidR="00624B2A" w:rsidRPr="00165ED2">
        <w:rPr>
          <w:rFonts w:ascii="Times New Roman" w:eastAsia="MS Mincho" w:hAnsi="Times New Roman" w:cs="Times New Roman"/>
          <w:bCs/>
          <w:sz w:val="24"/>
          <w:szCs w:val="24"/>
          <w:lang w:val="en-US"/>
        </w:rPr>
        <w:t xml:space="preserve">motor unit </w:t>
      </w:r>
      <w:r w:rsidR="00E319A6" w:rsidRPr="00165ED2">
        <w:rPr>
          <w:rFonts w:ascii="Times New Roman" w:eastAsia="MS Mincho" w:hAnsi="Times New Roman" w:cs="Times New Roman"/>
          <w:bCs/>
          <w:sz w:val="24"/>
          <w:szCs w:val="24"/>
          <w:lang w:val="en-US"/>
        </w:rPr>
        <w:t xml:space="preserve">recruitment are also conducive to high CP values, as a greater number of motor units/muscle </w:t>
      </w:r>
      <w:proofErr w:type="spellStart"/>
      <w:r w:rsidR="00E319A6" w:rsidRPr="00165ED2">
        <w:rPr>
          <w:rFonts w:ascii="Times New Roman" w:eastAsia="MS Mincho" w:hAnsi="Times New Roman" w:cs="Times New Roman"/>
          <w:bCs/>
          <w:sz w:val="24"/>
          <w:szCs w:val="24"/>
          <w:lang w:val="en-US"/>
        </w:rPr>
        <w:t>fibres</w:t>
      </w:r>
      <w:proofErr w:type="spellEnd"/>
      <w:r w:rsidR="00E319A6" w:rsidRPr="00165ED2">
        <w:rPr>
          <w:rFonts w:ascii="Times New Roman" w:eastAsia="MS Mincho" w:hAnsi="Times New Roman" w:cs="Times New Roman"/>
          <w:bCs/>
          <w:sz w:val="24"/>
          <w:szCs w:val="24"/>
          <w:lang w:val="en-US"/>
        </w:rPr>
        <w:t xml:space="preserve"> performing a given task will </w:t>
      </w:r>
      <w:r w:rsidR="00E319A6" w:rsidRPr="00165ED2">
        <w:rPr>
          <w:rFonts w:ascii="Times New Roman" w:eastAsia="MS Mincho" w:hAnsi="Times New Roman" w:cs="Times New Roman"/>
          <w:bCs/>
          <w:sz w:val="24"/>
          <w:szCs w:val="24"/>
          <w:lang w:val="en-US"/>
        </w:rPr>
        <w:lastRenderedPageBreak/>
        <w:t xml:space="preserve">lessen the metabolic strain on each individual </w:t>
      </w:r>
      <w:proofErr w:type="spellStart"/>
      <w:r w:rsidR="00E319A6" w:rsidRPr="00165ED2">
        <w:rPr>
          <w:rFonts w:ascii="Times New Roman" w:eastAsia="MS Mincho" w:hAnsi="Times New Roman" w:cs="Times New Roman"/>
          <w:bCs/>
          <w:sz w:val="24"/>
          <w:szCs w:val="24"/>
          <w:lang w:val="en-US"/>
        </w:rPr>
        <w:t>fibre</w:t>
      </w:r>
      <w:proofErr w:type="spellEnd"/>
      <w:r w:rsidR="00E319A6" w:rsidRPr="00165ED2">
        <w:rPr>
          <w:rFonts w:ascii="Times New Roman" w:eastAsia="MS Mincho" w:hAnsi="Times New Roman" w:cs="Times New Roman"/>
          <w:bCs/>
          <w:sz w:val="24"/>
          <w:szCs w:val="24"/>
          <w:lang w:val="en-US"/>
        </w:rPr>
        <w:t xml:space="preserve">. Hence, when muscular recruitment is increased, each </w:t>
      </w:r>
      <w:proofErr w:type="spellStart"/>
      <w:r w:rsidR="00E319A6" w:rsidRPr="00165ED2">
        <w:rPr>
          <w:rFonts w:ascii="Times New Roman" w:eastAsia="MS Mincho" w:hAnsi="Times New Roman" w:cs="Times New Roman"/>
          <w:bCs/>
          <w:sz w:val="24"/>
          <w:szCs w:val="24"/>
          <w:lang w:val="en-US"/>
        </w:rPr>
        <w:t>fibre</w:t>
      </w:r>
      <w:proofErr w:type="spellEnd"/>
      <w:r w:rsidR="00E319A6" w:rsidRPr="00165ED2">
        <w:rPr>
          <w:rFonts w:ascii="Times New Roman" w:eastAsia="MS Mincho" w:hAnsi="Times New Roman" w:cs="Times New Roman"/>
          <w:bCs/>
          <w:sz w:val="24"/>
          <w:szCs w:val="24"/>
          <w:lang w:val="en-US"/>
        </w:rPr>
        <w:t xml:space="preserve"> is able to maintain intramuscular metabolite accumulation below its critical threshold for a wider range of ATP utilization rates, thus enabling a greater CP</w:t>
      </w:r>
      <w:r w:rsidR="00655D1D" w:rsidRPr="00165ED2">
        <w:rPr>
          <w:rFonts w:ascii="Times New Roman" w:eastAsia="MS Mincho" w:hAnsi="Times New Roman" w:cs="Times New Roman"/>
          <w:bCs/>
          <w:sz w:val="24"/>
          <w:szCs w:val="24"/>
          <w:lang w:val="en-US"/>
        </w:rPr>
        <w:t xml:space="preserve">, as suggested for the effects of priming by Burnley et al. </w:t>
      </w:r>
      <w:r w:rsidR="00655D1D"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{"citationID":"KGXCTSw1","properties":{"formattedCitation":"[155]","plainCitation":"[155]","noteIndex":0},"citationItems":[{"id":947,"uris":["http://zotero.org/users/5056530/items/DEGSM2MF"],"itemData":{"id":947,"type":"article-journal","abstract":"We hypothesized that the elevated primary O(2) uptake (VO(2)) amplitude during the second of two bouts of heavy cycle exercise would be accompanied by an increase in the integrated electromyogram (iEMG) measured from three leg muscles (gluteus maximus, vastus lateralis, and vastus medialis). Eight healthy men performed two 6-min bouts of heavy leg cycling (at 70% of the difference between the lactate threshold and peak VO(2)) separated by 12 min of recovery. The iEMG was measured throughout each exercise bout. The amplitude of the primary VO(2) response was increased after prior heavy leg exercise (from mean +/- SE 2.11 +/- 0.12 to 2.44 +/- 0.10 l/min, P &lt; 0.05) with no change in the time constant of the primary response (from 21.7 +/- 2.3 to 25.2 +/- 3.3 s), and the amplitude of the VO(2) slow component was reduced (from 0.79 +/- 0.08 to 0.40 +/- 0.08 l/min, P &lt; 0.05). The elevated primary VO(2) amplitude after leg cycling was accompanied by a 19% increase in the averaged iEMG of the three muscles in the first 2 min of exercise (491 +/- 108 vs. 604 +/- 151% increase above baseline values, P &lt; 0.05), whereas mean power frequency was unchanged (80.1 +/- 0.9 vs. 80.6 +/- 1.0 Hz). The results of the present study indicate that the increased primary VO(2) amplitude observed during the second of two bouts of heavy exercise is related to a greater recruitment of motor units at the onset of exercise.","container-title":"Journal of Applied Physiology (Bethesda, Md.: 1985)","DOI":"10.1152/japplphysiol.01217.2001","ISSN":"8750-7587","issue":"1","journalAbbreviation":"J. Appl. Physiol.","language":"eng","note":"PMID: 12070201","page":"167-174","source":"PubMed","title":"Effects of prior heavy exercise on VO(2) kinetics during heavy exercise are related to changes in muscle activity","volume":"93","author":[{"family":"Burnley","given":"Mark"},{"family":"Doust","given":"Jonathan H."},{"family":"Ball","given":"Derek"},{"family":"Jones","given":"Andrew M."}],"issued":{"date-parts":[["2002",7]]}},"label":"page"}],"schema":"https://github.com/citation-style-language/schema/raw/master/csl-citation.json"} </w:instrText>
      </w:r>
      <w:r w:rsidR="00655D1D"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rPr>
        <w:t>[155]</w:t>
      </w:r>
      <w:r w:rsidR="00655D1D" w:rsidRPr="00165ED2">
        <w:rPr>
          <w:rFonts w:ascii="Times New Roman" w:eastAsia="MS Mincho" w:hAnsi="Times New Roman" w:cs="Times New Roman"/>
          <w:bCs/>
          <w:sz w:val="24"/>
          <w:szCs w:val="24"/>
          <w:lang w:val="en-US"/>
        </w:rPr>
        <w:fldChar w:fldCharType="end"/>
      </w:r>
      <w:r w:rsidR="00E319A6" w:rsidRPr="00165ED2">
        <w:rPr>
          <w:rFonts w:ascii="Times New Roman" w:eastAsia="MS Mincho" w:hAnsi="Times New Roman" w:cs="Times New Roman"/>
          <w:bCs/>
          <w:sz w:val="24"/>
          <w:szCs w:val="24"/>
          <w:lang w:val="en-US"/>
        </w:rPr>
        <w:t xml:space="preserve">. Hence, </w:t>
      </w:r>
      <w:r w:rsidR="00BE02FE" w:rsidRPr="00165ED2">
        <w:rPr>
          <w:rFonts w:ascii="Times New Roman" w:eastAsia="MS Mincho" w:hAnsi="Times New Roman" w:cs="Times New Roman"/>
          <w:bCs/>
          <w:sz w:val="24"/>
          <w:szCs w:val="24"/>
          <w:lang w:val="en-US"/>
        </w:rPr>
        <w:t xml:space="preserve">although </w:t>
      </w:r>
      <w:r w:rsidR="00E319A6" w:rsidRPr="00165ED2">
        <w:rPr>
          <w:rFonts w:ascii="Times New Roman" w:eastAsia="MS Mincho" w:hAnsi="Times New Roman" w:cs="Times New Roman"/>
          <w:bCs/>
          <w:sz w:val="24"/>
          <w:szCs w:val="24"/>
          <w:lang w:val="en-US"/>
        </w:rPr>
        <w:t>there is clearly a role for convective and diffusive O</w:t>
      </w:r>
      <w:r w:rsidR="00E319A6" w:rsidRPr="00165ED2">
        <w:rPr>
          <w:rFonts w:ascii="Times New Roman" w:eastAsia="MS Mincho" w:hAnsi="Times New Roman" w:cs="Times New Roman"/>
          <w:bCs/>
          <w:sz w:val="24"/>
          <w:szCs w:val="24"/>
          <w:vertAlign w:val="subscript"/>
          <w:lang w:val="en-US"/>
        </w:rPr>
        <w:t>2</w:t>
      </w:r>
      <w:r w:rsidR="00E319A6" w:rsidRPr="00165ED2">
        <w:rPr>
          <w:rFonts w:ascii="Times New Roman" w:eastAsia="MS Mincho" w:hAnsi="Times New Roman" w:cs="Times New Roman"/>
          <w:bCs/>
          <w:sz w:val="24"/>
          <w:szCs w:val="24"/>
          <w:lang w:val="en-US"/>
        </w:rPr>
        <w:t xml:space="preserve"> delivery and intracellular O</w:t>
      </w:r>
      <w:r w:rsidR="00E319A6" w:rsidRPr="00165ED2">
        <w:rPr>
          <w:rFonts w:ascii="Times New Roman" w:eastAsia="MS Mincho" w:hAnsi="Times New Roman" w:cs="Times New Roman"/>
          <w:bCs/>
          <w:sz w:val="24"/>
          <w:szCs w:val="24"/>
          <w:vertAlign w:val="subscript"/>
          <w:lang w:val="en-US"/>
        </w:rPr>
        <w:t>2</w:t>
      </w:r>
      <w:r w:rsidR="00E319A6" w:rsidRPr="00165ED2">
        <w:rPr>
          <w:rFonts w:ascii="Times New Roman" w:eastAsia="MS Mincho" w:hAnsi="Times New Roman" w:cs="Times New Roman"/>
          <w:bCs/>
          <w:sz w:val="24"/>
          <w:szCs w:val="24"/>
          <w:lang w:val="en-US"/>
        </w:rPr>
        <w:t xml:space="preserve"> utilization in determining CP</w:t>
      </w:r>
      <w:r w:rsidR="00BE02FE" w:rsidRPr="00165ED2">
        <w:rPr>
          <w:rFonts w:ascii="Times New Roman" w:eastAsia="MS Mincho" w:hAnsi="Times New Roman" w:cs="Times New Roman"/>
          <w:bCs/>
          <w:sz w:val="24"/>
          <w:szCs w:val="24"/>
          <w:lang w:val="en-US"/>
        </w:rPr>
        <w:t>,</w:t>
      </w:r>
      <w:r w:rsidR="00E319A6" w:rsidRPr="00165ED2">
        <w:rPr>
          <w:rFonts w:ascii="Times New Roman" w:eastAsia="MS Mincho" w:hAnsi="Times New Roman" w:cs="Times New Roman"/>
          <w:bCs/>
          <w:sz w:val="24"/>
          <w:szCs w:val="24"/>
          <w:lang w:val="en-US"/>
        </w:rPr>
        <w:t xml:space="preserve"> understanding the physiology of CP at the level of integrative physiology is only possible via consideration of how these factors interact with muscle </w:t>
      </w:r>
      <w:proofErr w:type="spellStart"/>
      <w:r w:rsidR="00E319A6" w:rsidRPr="00165ED2">
        <w:rPr>
          <w:rFonts w:ascii="Times New Roman" w:eastAsia="MS Mincho" w:hAnsi="Times New Roman" w:cs="Times New Roman"/>
          <w:bCs/>
          <w:sz w:val="24"/>
          <w:szCs w:val="24"/>
          <w:lang w:val="en-US"/>
        </w:rPr>
        <w:t>fibre</w:t>
      </w:r>
      <w:proofErr w:type="spellEnd"/>
      <w:r w:rsidR="00E319A6" w:rsidRPr="00165ED2">
        <w:rPr>
          <w:rFonts w:ascii="Times New Roman" w:eastAsia="MS Mincho" w:hAnsi="Times New Roman" w:cs="Times New Roman"/>
          <w:bCs/>
          <w:sz w:val="24"/>
          <w:szCs w:val="24"/>
          <w:lang w:val="en-US"/>
        </w:rPr>
        <w:t xml:space="preserve"> type composition and recruitment patterns. </w:t>
      </w:r>
    </w:p>
    <w:p w14:paraId="329175A8" w14:textId="0381F857" w:rsidR="00DC7078" w:rsidRPr="00165ED2" w:rsidRDefault="00DC7078" w:rsidP="00012C55">
      <w:pPr>
        <w:pStyle w:val="ListParagraph"/>
        <w:numPr>
          <w:ilvl w:val="0"/>
          <w:numId w:val="5"/>
        </w:numPr>
        <w:spacing w:line="480" w:lineRule="auto"/>
        <w:jc w:val="both"/>
        <w:rPr>
          <w:rFonts w:ascii="Times New Roman" w:eastAsia="MS Mincho" w:hAnsi="Times New Roman" w:cs="Times New Roman"/>
          <w:b/>
          <w:bCs/>
          <w:sz w:val="24"/>
          <w:szCs w:val="24"/>
        </w:rPr>
      </w:pPr>
      <w:r w:rsidRPr="00165ED2">
        <w:rPr>
          <w:rFonts w:ascii="Times New Roman" w:eastAsia="MS Mincho" w:hAnsi="Times New Roman" w:cs="Times New Roman"/>
          <w:b/>
          <w:bCs/>
          <w:sz w:val="24"/>
          <w:szCs w:val="24"/>
          <w:lang w:val="en-US"/>
        </w:rPr>
        <w:t>CONCLUSIONS</w:t>
      </w:r>
    </w:p>
    <w:p w14:paraId="093E24D2" w14:textId="7ED695A7" w:rsidR="00DC6878" w:rsidRPr="00165ED2" w:rsidRDefault="00D9104C" w:rsidP="00C33A3C">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rPr>
        <w:t xml:space="preserve">CP separates </w:t>
      </w:r>
      <w:r w:rsidR="000B05E0" w:rsidRPr="00165ED2">
        <w:rPr>
          <w:rFonts w:ascii="Times New Roman" w:eastAsia="MS Mincho" w:hAnsi="Times New Roman" w:cs="Times New Roman"/>
          <w:bCs/>
          <w:sz w:val="24"/>
          <w:szCs w:val="24"/>
        </w:rPr>
        <w:t>the heavy and severe exercise intensity domains</w:t>
      </w:r>
      <w:r w:rsidRPr="00165ED2">
        <w:rPr>
          <w:rFonts w:ascii="Times New Roman" w:eastAsia="MS Mincho" w:hAnsi="Times New Roman" w:cs="Times New Roman"/>
          <w:bCs/>
          <w:sz w:val="24"/>
          <w:szCs w:val="24"/>
        </w:rPr>
        <w:t xml:space="preserve"> wherein qualitatively divergent physiological responses are observed, such that CP represents the </w:t>
      </w:r>
      <w:r w:rsidR="00AF7DBB" w:rsidRPr="00165ED2">
        <w:rPr>
          <w:rFonts w:ascii="Times New Roman" w:eastAsia="MS Mincho" w:hAnsi="Times New Roman" w:cs="Times New Roman"/>
          <w:bCs/>
          <w:sz w:val="24"/>
          <w:szCs w:val="24"/>
        </w:rPr>
        <w:t>threshold intensity above</w:t>
      </w:r>
      <w:r w:rsidRPr="00165ED2">
        <w:rPr>
          <w:rFonts w:ascii="Times New Roman" w:eastAsia="MS Mincho" w:hAnsi="Times New Roman" w:cs="Times New Roman"/>
          <w:bCs/>
          <w:sz w:val="24"/>
          <w:szCs w:val="24"/>
        </w:rPr>
        <w:t xml:space="preserve"> which a metabolic steady-state can</w:t>
      </w:r>
      <w:r w:rsidR="00AF7DBB" w:rsidRPr="00165ED2">
        <w:rPr>
          <w:rFonts w:ascii="Times New Roman" w:eastAsia="MS Mincho" w:hAnsi="Times New Roman" w:cs="Times New Roman"/>
          <w:bCs/>
          <w:sz w:val="24"/>
          <w:szCs w:val="24"/>
        </w:rPr>
        <w:t>not</w:t>
      </w:r>
      <w:r w:rsidRPr="00165ED2">
        <w:rPr>
          <w:rFonts w:ascii="Times New Roman" w:eastAsia="MS Mincho" w:hAnsi="Times New Roman" w:cs="Times New Roman"/>
          <w:bCs/>
          <w:sz w:val="24"/>
          <w:szCs w:val="24"/>
        </w:rPr>
        <w:t xml:space="preserve"> be attained during exercise. </w:t>
      </w:r>
      <w:r w:rsidR="008721A7" w:rsidRPr="00165ED2">
        <w:rPr>
          <w:rFonts w:ascii="Times New Roman" w:eastAsia="MS Mincho" w:hAnsi="Times New Roman" w:cs="Times New Roman"/>
          <w:bCs/>
          <w:sz w:val="24"/>
          <w:szCs w:val="24"/>
        </w:rPr>
        <w:t xml:space="preserve">Hence, CP is fundamental to the understanding of human endurance performance and the causes of exercise limitation in populations where exercise tolerance is impaired. </w:t>
      </w:r>
      <w:r w:rsidRPr="00165ED2">
        <w:rPr>
          <w:rFonts w:ascii="Times New Roman" w:eastAsia="MS Mincho" w:hAnsi="Times New Roman" w:cs="Times New Roman"/>
          <w:bCs/>
          <w:sz w:val="24"/>
          <w:szCs w:val="24"/>
        </w:rPr>
        <w:t xml:space="preserve">Over the past </w:t>
      </w:r>
      <w:r w:rsidR="00AF7DBB" w:rsidRPr="00165ED2">
        <w:rPr>
          <w:rFonts w:ascii="Times New Roman" w:eastAsia="MS Mincho" w:hAnsi="Times New Roman" w:cs="Times New Roman"/>
          <w:bCs/>
          <w:sz w:val="24"/>
          <w:szCs w:val="24"/>
        </w:rPr>
        <w:t>15</w:t>
      </w:r>
      <w:r w:rsidRPr="00165ED2">
        <w:rPr>
          <w:rFonts w:ascii="Times New Roman" w:eastAsia="MS Mincho" w:hAnsi="Times New Roman" w:cs="Times New Roman"/>
          <w:bCs/>
          <w:sz w:val="24"/>
          <w:szCs w:val="24"/>
        </w:rPr>
        <w:t xml:space="preserve"> years</w:t>
      </w:r>
      <w:r w:rsidR="00624B2A" w:rsidRPr="00165ED2">
        <w:rPr>
          <w:rFonts w:ascii="Times New Roman" w:eastAsia="MS Mincho" w:hAnsi="Times New Roman" w:cs="Times New Roman"/>
          <w:bCs/>
          <w:sz w:val="24"/>
          <w:szCs w:val="24"/>
        </w:rPr>
        <w:t xml:space="preserve"> or so</w:t>
      </w:r>
      <w:r w:rsidRPr="00165ED2">
        <w:rPr>
          <w:rFonts w:ascii="Times New Roman" w:eastAsia="MS Mincho" w:hAnsi="Times New Roman" w:cs="Times New Roman"/>
          <w:bCs/>
          <w:sz w:val="24"/>
          <w:szCs w:val="24"/>
        </w:rPr>
        <w:t xml:space="preserve">, evidence has emerged that CP also represents a key threshold for a variety of aspects of physiological system behaviour, such as muscle fibre recruitment, blood flow and vascular control, as well as muscle fatigue. </w:t>
      </w:r>
      <w:r w:rsidR="008721A7" w:rsidRPr="00165ED2">
        <w:rPr>
          <w:rFonts w:ascii="Times New Roman" w:eastAsia="MS Mincho" w:hAnsi="Times New Roman" w:cs="Times New Roman"/>
          <w:bCs/>
          <w:sz w:val="24"/>
          <w:szCs w:val="24"/>
        </w:rPr>
        <w:t>Accordingly</w:t>
      </w:r>
      <w:r w:rsidRPr="00165ED2">
        <w:rPr>
          <w:rFonts w:ascii="Times New Roman" w:eastAsia="MS Mincho" w:hAnsi="Times New Roman" w:cs="Times New Roman"/>
          <w:bCs/>
          <w:sz w:val="24"/>
          <w:szCs w:val="24"/>
        </w:rPr>
        <w:t>, a wide range of evidence has emerged, spanning each step of the oxygen transport pathway, that CP is a fundamental parameter of aerobic function. It has been demonstrated that alterations in delivery of O</w:t>
      </w:r>
      <w:r w:rsidRPr="00165ED2">
        <w:rPr>
          <w:rFonts w:ascii="Times New Roman" w:eastAsia="MS Mincho" w:hAnsi="Times New Roman" w:cs="Times New Roman"/>
          <w:bCs/>
          <w:sz w:val="24"/>
          <w:szCs w:val="24"/>
          <w:vertAlign w:val="subscript"/>
        </w:rPr>
        <w:t>2</w:t>
      </w:r>
      <w:r w:rsidRPr="00165ED2">
        <w:rPr>
          <w:rFonts w:ascii="Times New Roman" w:eastAsia="MS Mincho" w:hAnsi="Times New Roman" w:cs="Times New Roman"/>
          <w:bCs/>
          <w:sz w:val="24"/>
          <w:szCs w:val="24"/>
        </w:rPr>
        <w:t xml:space="preserve"> to the exercising muscles, via both convection and diffusion, impact upon CP. The rates of O</w:t>
      </w:r>
      <w:r w:rsidRPr="00165ED2">
        <w:rPr>
          <w:rFonts w:ascii="Times New Roman" w:eastAsia="MS Mincho" w:hAnsi="Times New Roman" w:cs="Times New Roman"/>
          <w:bCs/>
          <w:sz w:val="24"/>
          <w:szCs w:val="24"/>
          <w:vertAlign w:val="subscript"/>
        </w:rPr>
        <w:t>2</w:t>
      </w:r>
      <w:r w:rsidRPr="00165ED2">
        <w:rPr>
          <w:rFonts w:ascii="Times New Roman" w:eastAsia="MS Mincho" w:hAnsi="Times New Roman" w:cs="Times New Roman"/>
          <w:bCs/>
          <w:sz w:val="24"/>
          <w:szCs w:val="24"/>
        </w:rPr>
        <w:t xml:space="preserve"> utilization</w:t>
      </w:r>
      <w:r w:rsidR="00BE02FE" w:rsidRPr="00165ED2">
        <w:rPr>
          <w:rFonts w:ascii="Times New Roman" w:eastAsia="MS Mincho" w:hAnsi="Times New Roman" w:cs="Times New Roman"/>
          <w:bCs/>
          <w:sz w:val="24"/>
          <w:szCs w:val="24"/>
        </w:rPr>
        <w:t xml:space="preserve"> during exercise</w:t>
      </w:r>
      <w:r w:rsidRPr="00165ED2">
        <w:rPr>
          <w:rFonts w:ascii="Times New Roman" w:eastAsia="MS Mincho" w:hAnsi="Times New Roman" w:cs="Times New Roman"/>
          <w:bCs/>
          <w:sz w:val="24"/>
          <w:szCs w:val="24"/>
        </w:rPr>
        <w:t xml:space="preserve">, particularly during the transition from rest-to-work, also plays a key role in determining CP by </w:t>
      </w:r>
      <w:r w:rsidR="00BE02FE" w:rsidRPr="00165ED2">
        <w:rPr>
          <w:rFonts w:ascii="Times New Roman" w:eastAsia="MS Mincho" w:hAnsi="Times New Roman" w:cs="Times New Roman"/>
          <w:bCs/>
          <w:sz w:val="24"/>
          <w:szCs w:val="24"/>
        </w:rPr>
        <w:t xml:space="preserve">governing the degree of matching between the rates of ATP utilization and production. These factors each interact with one another, and via this interaction determine the degree of intracellular metabolic disturbance required to sustain a given power output. How each of these factors </w:t>
      </w:r>
      <w:r w:rsidR="00BE02FE" w:rsidRPr="00165ED2">
        <w:rPr>
          <w:rFonts w:ascii="Times New Roman" w:eastAsia="MS Mincho" w:hAnsi="Times New Roman" w:cs="Times New Roman"/>
          <w:bCs/>
          <w:sz w:val="24"/>
          <w:szCs w:val="24"/>
        </w:rPr>
        <w:lastRenderedPageBreak/>
        <w:t xml:space="preserve">interacts to determine CP at the whole-body level will be dependent upon the muscle fibre type composition and their recruitment patterns during exercise.  </w:t>
      </w:r>
    </w:p>
    <w:p w14:paraId="4BFFEDE9" w14:textId="06D993BB" w:rsidR="00CA02B8" w:rsidRPr="00165ED2" w:rsidRDefault="00CA02B8" w:rsidP="00C33A3C">
      <w:pPr>
        <w:spacing w:line="480" w:lineRule="auto"/>
        <w:jc w:val="both"/>
        <w:rPr>
          <w:rFonts w:ascii="Times New Roman" w:eastAsia="MS Mincho" w:hAnsi="Times New Roman" w:cs="Times New Roman"/>
          <w:b/>
          <w:bCs/>
          <w:sz w:val="24"/>
          <w:szCs w:val="24"/>
        </w:rPr>
      </w:pPr>
      <w:r w:rsidRPr="00165ED2">
        <w:rPr>
          <w:rFonts w:ascii="Times New Roman" w:eastAsia="MS Mincho" w:hAnsi="Times New Roman" w:cs="Times New Roman"/>
          <w:b/>
          <w:bCs/>
          <w:sz w:val="24"/>
          <w:szCs w:val="24"/>
        </w:rPr>
        <w:t>DECLARATIONS</w:t>
      </w:r>
    </w:p>
    <w:p w14:paraId="1E7B1BC6" w14:textId="6CE849D1" w:rsidR="00CA02B8" w:rsidRPr="00165ED2" w:rsidRDefault="00CA02B8" w:rsidP="00C33A3C">
      <w:pPr>
        <w:spacing w:line="480" w:lineRule="auto"/>
        <w:jc w:val="both"/>
        <w:rPr>
          <w:rFonts w:ascii="Times New Roman" w:eastAsia="MS Mincho" w:hAnsi="Times New Roman" w:cs="Times New Roman"/>
          <w:b/>
          <w:bCs/>
          <w:sz w:val="24"/>
          <w:szCs w:val="24"/>
        </w:rPr>
      </w:pPr>
      <w:r w:rsidRPr="00165ED2">
        <w:rPr>
          <w:rFonts w:ascii="Times New Roman" w:eastAsia="MS Mincho" w:hAnsi="Times New Roman" w:cs="Times New Roman"/>
          <w:b/>
          <w:bCs/>
          <w:sz w:val="24"/>
          <w:szCs w:val="24"/>
        </w:rPr>
        <w:t>FUNDING</w:t>
      </w:r>
    </w:p>
    <w:p w14:paraId="2664C7C5" w14:textId="55A8D4B8" w:rsidR="00CA02B8" w:rsidRPr="00165ED2" w:rsidRDefault="00CA02B8" w:rsidP="00CA02B8">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rPr>
        <w:t>RPG was funded by a European Foundation for the Study of Diabetes (EFSD) Boehringer Ingelheim European Research Programme grant during the completion of this work.</w:t>
      </w:r>
      <w:r w:rsidR="006B4837" w:rsidRPr="00165ED2">
        <w:rPr>
          <w:rFonts w:ascii="Times New Roman" w:eastAsia="MS Mincho" w:hAnsi="Times New Roman" w:cs="Times New Roman"/>
          <w:bCs/>
          <w:sz w:val="24"/>
          <w:szCs w:val="24"/>
        </w:rPr>
        <w:t xml:space="preserve"> No specific sources of funding were used to assist in the preparation of this article</w:t>
      </w:r>
    </w:p>
    <w:p w14:paraId="666FA2D3" w14:textId="4BC047E4" w:rsidR="00CA02B8" w:rsidRPr="00165ED2" w:rsidRDefault="00CA02B8" w:rsidP="00C33A3C">
      <w:pPr>
        <w:spacing w:line="480" w:lineRule="auto"/>
        <w:jc w:val="both"/>
        <w:rPr>
          <w:rFonts w:ascii="Times New Roman" w:eastAsia="MS Mincho" w:hAnsi="Times New Roman" w:cs="Times New Roman"/>
          <w:b/>
          <w:bCs/>
          <w:sz w:val="24"/>
          <w:szCs w:val="24"/>
        </w:rPr>
      </w:pPr>
      <w:r w:rsidRPr="00165ED2">
        <w:rPr>
          <w:rFonts w:ascii="Times New Roman" w:eastAsia="MS Mincho" w:hAnsi="Times New Roman" w:cs="Times New Roman"/>
          <w:b/>
          <w:bCs/>
          <w:sz w:val="24"/>
          <w:szCs w:val="24"/>
        </w:rPr>
        <w:t>CONFLICTS OF INTEREST</w:t>
      </w:r>
    </w:p>
    <w:p w14:paraId="12EAF179" w14:textId="77777777" w:rsidR="006B4837" w:rsidRPr="00165ED2" w:rsidRDefault="006B4837" w:rsidP="00C33A3C">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rPr>
        <w:t>Richie Goulding and Simon Marwood declare that they have no conflicts of interest relevant to the content of this review.</w:t>
      </w:r>
    </w:p>
    <w:p w14:paraId="1B453365" w14:textId="6AB2F208" w:rsidR="00CA02B8" w:rsidRPr="00165ED2" w:rsidRDefault="00CA02B8" w:rsidP="00C33A3C">
      <w:pPr>
        <w:spacing w:line="480" w:lineRule="auto"/>
        <w:jc w:val="both"/>
        <w:rPr>
          <w:rFonts w:ascii="Times New Roman" w:eastAsia="MS Mincho" w:hAnsi="Times New Roman" w:cs="Times New Roman"/>
          <w:b/>
          <w:bCs/>
          <w:sz w:val="24"/>
          <w:szCs w:val="24"/>
        </w:rPr>
      </w:pPr>
      <w:r w:rsidRPr="00165ED2">
        <w:rPr>
          <w:rFonts w:ascii="Times New Roman" w:eastAsia="MS Mincho" w:hAnsi="Times New Roman" w:cs="Times New Roman"/>
          <w:b/>
          <w:bCs/>
          <w:sz w:val="24"/>
          <w:szCs w:val="24"/>
        </w:rPr>
        <w:t>AUTHOR CONTRIBUTIONS</w:t>
      </w:r>
    </w:p>
    <w:p w14:paraId="4CEBBDFD" w14:textId="30A233F5" w:rsidR="00CA02B8" w:rsidRPr="00165ED2" w:rsidRDefault="00CA02B8" w:rsidP="00C33A3C">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rPr>
        <w:t xml:space="preserve">RPG conceived the work and wrote the first draft. Both authors </w:t>
      </w:r>
      <w:r w:rsidR="006F74A3" w:rsidRPr="00165ED2">
        <w:rPr>
          <w:rFonts w:ascii="Times New Roman" w:eastAsia="MS Mincho" w:hAnsi="Times New Roman" w:cs="Times New Roman"/>
          <w:bCs/>
          <w:sz w:val="24"/>
          <w:szCs w:val="24"/>
        </w:rPr>
        <w:t xml:space="preserve">conducted the literature search, </w:t>
      </w:r>
      <w:r w:rsidRPr="00165ED2">
        <w:rPr>
          <w:rFonts w:ascii="Times New Roman" w:eastAsia="MS Mincho" w:hAnsi="Times New Roman" w:cs="Times New Roman"/>
          <w:bCs/>
          <w:sz w:val="24"/>
          <w:szCs w:val="24"/>
        </w:rPr>
        <w:t xml:space="preserve">revised </w:t>
      </w:r>
      <w:r w:rsidR="006F74A3" w:rsidRPr="00165ED2">
        <w:rPr>
          <w:rFonts w:ascii="Times New Roman" w:eastAsia="MS Mincho" w:hAnsi="Times New Roman" w:cs="Times New Roman"/>
          <w:bCs/>
          <w:sz w:val="24"/>
          <w:szCs w:val="24"/>
        </w:rPr>
        <w:t>the manuscript</w:t>
      </w:r>
      <w:r w:rsidRPr="00165ED2">
        <w:rPr>
          <w:rFonts w:ascii="Times New Roman" w:eastAsia="MS Mincho" w:hAnsi="Times New Roman" w:cs="Times New Roman"/>
          <w:bCs/>
          <w:sz w:val="24"/>
          <w:szCs w:val="24"/>
        </w:rPr>
        <w:t xml:space="preserve"> critically for important intellectual content and approved the final version to be submitted. Both authors  agree to be accountable for all aspects of the work in ensuring that questions related to the accuracy or integrity of any part of the work are appropriately investigated and resolved.</w:t>
      </w:r>
    </w:p>
    <w:p w14:paraId="6D067A62" w14:textId="77777777" w:rsidR="006F74A3" w:rsidRPr="00165ED2" w:rsidRDefault="006F74A3" w:rsidP="006F74A3">
      <w:pPr>
        <w:spacing w:line="480" w:lineRule="auto"/>
        <w:rPr>
          <w:rFonts w:ascii="Times New Roman" w:hAnsi="Times New Roman" w:cs="Times New Roman"/>
          <w:b/>
          <w:sz w:val="24"/>
          <w:szCs w:val="24"/>
        </w:rPr>
      </w:pPr>
      <w:r w:rsidRPr="00165ED2">
        <w:rPr>
          <w:rFonts w:ascii="Times New Roman" w:hAnsi="Times New Roman" w:cs="Times New Roman"/>
          <w:b/>
          <w:sz w:val="24"/>
          <w:szCs w:val="24"/>
        </w:rPr>
        <w:t>ETHICAL APPROVAL</w:t>
      </w:r>
    </w:p>
    <w:p w14:paraId="102B3CF5" w14:textId="5036F1AE" w:rsidR="006F74A3" w:rsidRPr="00165ED2" w:rsidRDefault="006F74A3" w:rsidP="006F74A3">
      <w:pPr>
        <w:spacing w:line="480" w:lineRule="auto"/>
        <w:rPr>
          <w:rFonts w:ascii="Times New Roman" w:hAnsi="Times New Roman" w:cs="Times New Roman"/>
          <w:sz w:val="24"/>
          <w:szCs w:val="24"/>
        </w:rPr>
      </w:pPr>
      <w:r w:rsidRPr="00165ED2">
        <w:rPr>
          <w:rFonts w:ascii="Times New Roman" w:hAnsi="Times New Roman" w:cs="Times New Roman"/>
          <w:sz w:val="24"/>
          <w:szCs w:val="24"/>
        </w:rPr>
        <w:t xml:space="preserve">Ethical approval was not required for this review paper. </w:t>
      </w:r>
    </w:p>
    <w:p w14:paraId="070A32F9" w14:textId="1D566347" w:rsidR="00DC6878" w:rsidRPr="00165ED2" w:rsidRDefault="00DC6878" w:rsidP="00C33A3C">
      <w:pPr>
        <w:spacing w:line="480" w:lineRule="auto"/>
        <w:jc w:val="both"/>
        <w:rPr>
          <w:rFonts w:ascii="Times New Roman" w:eastAsia="MS Mincho" w:hAnsi="Times New Roman" w:cs="Times New Roman"/>
          <w:b/>
          <w:bCs/>
          <w:sz w:val="24"/>
          <w:szCs w:val="24"/>
        </w:rPr>
      </w:pPr>
      <w:r w:rsidRPr="00165ED2">
        <w:rPr>
          <w:rFonts w:ascii="Times New Roman" w:eastAsia="MS Mincho" w:hAnsi="Times New Roman" w:cs="Times New Roman"/>
          <w:b/>
          <w:bCs/>
          <w:sz w:val="24"/>
          <w:szCs w:val="24"/>
        </w:rPr>
        <w:t>REFERENCES</w:t>
      </w:r>
    </w:p>
    <w:p w14:paraId="377BDE0B" w14:textId="77777777" w:rsidR="008E498A" w:rsidRDefault="00DD5AE3" w:rsidP="008E498A">
      <w:pPr>
        <w:pStyle w:val="Bibliography"/>
      </w:pPr>
      <w:r w:rsidRPr="00165ED2">
        <w:rPr>
          <w:rFonts w:eastAsia="MS Mincho"/>
          <w:bCs/>
        </w:rPr>
        <w:fldChar w:fldCharType="begin"/>
      </w:r>
      <w:r w:rsidR="008E498A">
        <w:rPr>
          <w:rFonts w:eastAsia="MS Mincho"/>
          <w:bCs/>
        </w:rPr>
        <w:instrText xml:space="preserve"> ADDIN ZOTERO_BIBL {"uncited":[],"omitted":[],"custom":[]} CSL_BIBLIOGRAPHY </w:instrText>
      </w:r>
      <w:r w:rsidRPr="00165ED2">
        <w:rPr>
          <w:rFonts w:eastAsia="MS Mincho"/>
          <w:bCs/>
        </w:rPr>
        <w:fldChar w:fldCharType="separate"/>
      </w:r>
      <w:r w:rsidR="008E498A">
        <w:t xml:space="preserve">1. Burnley M, Jones AM. Oxygen uptake kinetics as a determinant of sports performance. Eur J Sport Sci. 2007;7:63–79. </w:t>
      </w:r>
    </w:p>
    <w:p w14:paraId="260226F6" w14:textId="77777777" w:rsidR="008E498A" w:rsidRDefault="008E498A" w:rsidP="008E498A">
      <w:pPr>
        <w:pStyle w:val="Bibliography"/>
      </w:pPr>
      <w:r>
        <w:t xml:space="preserve">2. Joyner MJ, Coyle EF. Endurance exercise performance: the physiology of champions. J Physiol. 2008;586:35–44. </w:t>
      </w:r>
    </w:p>
    <w:p w14:paraId="3B9D727A" w14:textId="77777777" w:rsidR="008E498A" w:rsidRDefault="008E498A" w:rsidP="008E498A">
      <w:pPr>
        <w:pStyle w:val="Bibliography"/>
      </w:pPr>
      <w:r>
        <w:lastRenderedPageBreak/>
        <w:t xml:space="preserve">3. Myers J, Prakash M, Froelicher V, Do D, Partington S, Atwood JE. Exercise capacity and mortality among men referred for exercise testing. N Engl J Med. 2002;346:793–801. </w:t>
      </w:r>
    </w:p>
    <w:p w14:paraId="223D7442" w14:textId="77777777" w:rsidR="008E498A" w:rsidRDefault="008E498A" w:rsidP="008E498A">
      <w:pPr>
        <w:pStyle w:val="Bibliography"/>
      </w:pPr>
      <w:r>
        <w:t xml:space="preserve">4. Myers J, Kaykha A, George S, Abella J, Zaheer N, Lear S, et al. Fitness versus physical activity patterns in predicting mortality in men. Am J Med. 2004;117:912–8. </w:t>
      </w:r>
    </w:p>
    <w:p w14:paraId="2AA1DBD3" w14:textId="77777777" w:rsidR="008E498A" w:rsidRDefault="008E498A" w:rsidP="008E498A">
      <w:pPr>
        <w:pStyle w:val="Bibliography"/>
      </w:pPr>
      <w:r>
        <w:t xml:space="preserve">5. Black MI, Jones AM, Blackwell JR, Bailey SJ, Wylie LJ, McDonagh STJ, et al. Muscle metabolic and neuromuscular determinants of fatigue during cycling in different exercise intensity domains. J Appl Physiol. 2017;122:446–59. </w:t>
      </w:r>
    </w:p>
    <w:p w14:paraId="1E7AEAF2" w14:textId="77777777" w:rsidR="008E498A" w:rsidRDefault="008E498A" w:rsidP="008E498A">
      <w:pPr>
        <w:pStyle w:val="Bibliography"/>
      </w:pPr>
      <w:r>
        <w:t xml:space="preserve">6. Poole DC, Ward SA, Gardner GW, Whipp BJ. Metabolic and respiratory profile of the upper limit for prolonged exercise in man. Ergonomics. 1988;31:1265–79. </w:t>
      </w:r>
    </w:p>
    <w:p w14:paraId="6C940FB7" w14:textId="77777777" w:rsidR="008E498A" w:rsidRDefault="008E498A" w:rsidP="008E498A">
      <w:pPr>
        <w:pStyle w:val="Bibliography"/>
      </w:pPr>
      <w:r>
        <w:t xml:space="preserve">7. Wasserman K, Hansen JE, Sietsema K, Sue DY, MD WWS, Whipp B, et al. Principles of Exercise Testing and Interpretation: Including Pathophysiology and Clinical Applications. Wolters Kluwer Health; 2015. </w:t>
      </w:r>
    </w:p>
    <w:p w14:paraId="072BDC77" w14:textId="77777777" w:rsidR="008E498A" w:rsidRDefault="008E498A" w:rsidP="008E498A">
      <w:pPr>
        <w:pStyle w:val="Bibliography"/>
      </w:pPr>
      <w:r>
        <w:t>8. Goulding RP, Rossiter HB, Marwood S, Ferguson C. Bioenergetic Mechanisms Linking V[Combining Dot Above]O2 Kinetics and Exercise Tolerance. Exerc Sport Sci Rev [Internet]. 2021 [cited 2021 Jul 20]; Available from: https://journals.lww.com/acsm-essr/Abstract/9000/Bioenergetic_Mechanisms_Linking_V_Combining_Dot.99696.aspx</w:t>
      </w:r>
    </w:p>
    <w:p w14:paraId="38B573CF" w14:textId="77777777" w:rsidR="008E498A" w:rsidRDefault="008E498A" w:rsidP="008E498A">
      <w:pPr>
        <w:pStyle w:val="Bibliography"/>
      </w:pPr>
      <w:r>
        <w:t xml:space="preserve">9. Gaesser GA, Poole DC. The slow component of oxygen uptake kinetics in humans. Exerc Sport Sci Rev. 1996;24:35–71. </w:t>
      </w:r>
    </w:p>
    <w:p w14:paraId="242896FB" w14:textId="77777777" w:rsidR="008E498A" w:rsidRDefault="008E498A" w:rsidP="008E498A">
      <w:pPr>
        <w:pStyle w:val="Bibliography"/>
      </w:pPr>
      <w:r>
        <w:t xml:space="preserve">10. Korzeniewski B, Rossiter HB. Exceeding a “critical” muscle Pi: implications for [Formula: see text] and metabolite slow components, muscle fatigue and the power-duration relationship. Eur J Appl Physiol. 2020; </w:t>
      </w:r>
    </w:p>
    <w:p w14:paraId="4434D94D" w14:textId="77777777" w:rsidR="008E498A" w:rsidRDefault="008E498A" w:rsidP="008E498A">
      <w:pPr>
        <w:pStyle w:val="Bibliography"/>
      </w:pPr>
      <w:r>
        <w:t xml:space="preserve">11. Jones AM, Vanhatalo A, Burnley M, Morton RH, Poole DC. Critical power: implications for determination of V˙O2max and exercise tolerance. Med Sci Sports Exerc. 2010;42:1876–90. </w:t>
      </w:r>
    </w:p>
    <w:p w14:paraId="3A8128B4" w14:textId="77777777" w:rsidR="008E498A" w:rsidRDefault="008E498A" w:rsidP="008E498A">
      <w:pPr>
        <w:pStyle w:val="Bibliography"/>
      </w:pPr>
      <w:r>
        <w:t xml:space="preserve">12. Poole DC, Burnley M, Vanhatalo A, Rossiter HB, Jones AM. Critical Power: An Important Fatigue Threshold in Exercise Physiology. Med Sci Sports Exerc. 2016;48:2320–34. </w:t>
      </w:r>
    </w:p>
    <w:p w14:paraId="0803510B" w14:textId="77777777" w:rsidR="008E498A" w:rsidRDefault="008E498A" w:rsidP="008E498A">
      <w:pPr>
        <w:pStyle w:val="Bibliography"/>
      </w:pPr>
      <w:r>
        <w:t xml:space="preserve">13. Black MI, Durant J, Jones AM, Vanhatalo A. Critical power derived from a 3-min all-out test predicts 16.1-km road time-trial performance. Eur J Sport Sci. 2014;14:217–23. </w:t>
      </w:r>
    </w:p>
    <w:p w14:paraId="0248C9B3" w14:textId="77777777" w:rsidR="008E498A" w:rsidRDefault="008E498A" w:rsidP="008E498A">
      <w:pPr>
        <w:pStyle w:val="Bibliography"/>
      </w:pPr>
      <w:r>
        <w:t>14. Murgatroyd SR, Ferguson C, Ward SA, Whipp BJ, Rossiter HB. Pulmonary O</w:t>
      </w:r>
      <w:r>
        <w:rPr>
          <w:vertAlign w:val="subscript"/>
        </w:rPr>
        <w:t>2</w:t>
      </w:r>
      <w:r>
        <w:t xml:space="preserve"> uptake kinetics as a determinant of high-intensity exercise tolerance in humans. J Appl Physiol. 2011;110:1598–606. </w:t>
      </w:r>
    </w:p>
    <w:p w14:paraId="3D6E7C11" w14:textId="77777777" w:rsidR="008E498A" w:rsidRDefault="008E498A" w:rsidP="008E498A">
      <w:pPr>
        <w:pStyle w:val="Bibliography"/>
      </w:pPr>
      <w:r>
        <w:t xml:space="preserve">15. Jones AM, Wilkerson DP, DiMenna F, Fulford J, Poole DC. Muscle metabolic responses to exercise above and below the “critical power” assessed using 31P-MRS. Am J Physiol Regul Integr Comp Physiol. 2008;294:R585-593. </w:t>
      </w:r>
    </w:p>
    <w:p w14:paraId="529A802E" w14:textId="77777777" w:rsidR="008E498A" w:rsidRDefault="008E498A" w:rsidP="008E498A">
      <w:pPr>
        <w:pStyle w:val="Bibliography"/>
      </w:pPr>
      <w:r>
        <w:t xml:space="preserve">16. Hill DW. The Critical Power Concept. Sports Med. 1993;16:237–54. </w:t>
      </w:r>
    </w:p>
    <w:p w14:paraId="0C3433B0" w14:textId="77777777" w:rsidR="008E498A" w:rsidRDefault="008E498A" w:rsidP="008E498A">
      <w:pPr>
        <w:pStyle w:val="Bibliography"/>
      </w:pPr>
      <w:r>
        <w:t xml:space="preserve">17. Muniz-Pumares D, Karsten B, Triska C, Glaister M. Methodological Approaches and Related Challenges Associated With the Determination of Critical Power and W’. J Strength Cond Res. 2018; </w:t>
      </w:r>
    </w:p>
    <w:p w14:paraId="49AFABA5" w14:textId="77777777" w:rsidR="008E498A" w:rsidRDefault="008E498A" w:rsidP="008E498A">
      <w:pPr>
        <w:pStyle w:val="Bibliography"/>
      </w:pPr>
      <w:r>
        <w:t xml:space="preserve">18. Mattioni Maturana F, Fontana FY, Pogliaghi S, Passfield L, Murias JM. Critical power: How different protocols and models affect its determination. J Sci Med Sport. 2017; </w:t>
      </w:r>
    </w:p>
    <w:p w14:paraId="7358C86F" w14:textId="77777777" w:rsidR="008E498A" w:rsidRDefault="008E498A" w:rsidP="008E498A">
      <w:pPr>
        <w:pStyle w:val="Bibliography"/>
      </w:pPr>
      <w:r>
        <w:lastRenderedPageBreak/>
        <w:t xml:space="preserve">19. Jones AM, Burnley M, Black MI, Poole DC, Vanhatalo A. The maximal metabolic steady state: redefining the “gold standard.” Physiol Rep. 2019;7:e14098. </w:t>
      </w:r>
    </w:p>
    <w:p w14:paraId="300E2EF4" w14:textId="77777777" w:rsidR="008E498A" w:rsidRDefault="008E498A" w:rsidP="008E498A">
      <w:pPr>
        <w:pStyle w:val="Bibliography"/>
      </w:pPr>
      <w:r>
        <w:t xml:space="preserve">20. Monod H, Scherrer J. The Work Capacity of a Synergic Muscular Group. Ergonomics. 1965;8:329–38. </w:t>
      </w:r>
    </w:p>
    <w:p w14:paraId="2B2C1E62" w14:textId="77777777" w:rsidR="008E498A" w:rsidRDefault="008E498A" w:rsidP="008E498A">
      <w:pPr>
        <w:pStyle w:val="Bibliography"/>
      </w:pPr>
      <w:r>
        <w:t xml:space="preserve">21. Moritani T, Nagata A, deVries HA, Muro M. Critical power as a measure of physical work capacity and anaerobic threshold. Ergonomics. 1981;24:339–50. </w:t>
      </w:r>
    </w:p>
    <w:p w14:paraId="569663FA" w14:textId="77777777" w:rsidR="008E498A" w:rsidRDefault="008E498A" w:rsidP="008E498A">
      <w:pPr>
        <w:pStyle w:val="Bibliography"/>
      </w:pPr>
      <w:r>
        <w:t xml:space="preserve">22. Full RJ. Locomotion without lungs: energetics and performance of a lungless salamander. Am J Physiol. 1986;251:R775-780. </w:t>
      </w:r>
    </w:p>
    <w:p w14:paraId="62864782" w14:textId="77777777" w:rsidR="008E498A" w:rsidRDefault="008E498A" w:rsidP="008E498A">
      <w:pPr>
        <w:pStyle w:val="Bibliography"/>
      </w:pPr>
      <w:r>
        <w:t xml:space="preserve">23. Full RJ, Herreid CF. Aerobic response to exercise of the fastest land crab. Am J Physiol. 1983;244:R530-536. </w:t>
      </w:r>
    </w:p>
    <w:p w14:paraId="54723053" w14:textId="77777777" w:rsidR="008E498A" w:rsidRDefault="008E498A" w:rsidP="008E498A">
      <w:pPr>
        <w:pStyle w:val="Bibliography"/>
      </w:pPr>
      <w:r>
        <w:t xml:space="preserve">24. Lauderdale MA, Hinchcliff KW. Hyperbolic relationship between time-to-fatigue and workload. Equine Vet J Suppl. 1999;586–90. </w:t>
      </w:r>
    </w:p>
    <w:p w14:paraId="3BB4C1C9" w14:textId="77777777" w:rsidR="008E498A" w:rsidRDefault="008E498A" w:rsidP="008E498A">
      <w:pPr>
        <w:pStyle w:val="Bibliography"/>
      </w:pPr>
      <w:r>
        <w:t xml:space="preserve">25. Copp SW, Hirai DM, Musch TI, Poole DC. Critical speed in the rat: implications for hindlimb muscle blood flow distribution and fibre recruitment. J Physiol. 2010;588:5077–87. </w:t>
      </w:r>
    </w:p>
    <w:p w14:paraId="207B097F" w14:textId="77777777" w:rsidR="008E498A" w:rsidRDefault="008E498A" w:rsidP="008E498A">
      <w:pPr>
        <w:pStyle w:val="Bibliography"/>
      </w:pPr>
      <w:r>
        <w:t xml:space="preserve">26. Billat VL, Mouisel E, Roblot N, Melki J. Inter- and intrastrain variation in mouse critical running speed. J Appl Physiol Bethesda Md 1985. 2005;98:1258–63. </w:t>
      </w:r>
    </w:p>
    <w:p w14:paraId="2B281FEF" w14:textId="77777777" w:rsidR="008E498A" w:rsidRDefault="008E498A" w:rsidP="008E498A">
      <w:pPr>
        <w:pStyle w:val="Bibliography"/>
      </w:pPr>
      <w:r>
        <w:t xml:space="preserve">27. Burnley M. Estimation of critical torque using intermittent isometric maximal voluntary contractions of the quadriceps in humans. J Appl Physiol Bethesda Md 1985. 2009;106:975–83. </w:t>
      </w:r>
    </w:p>
    <w:p w14:paraId="3D5DE2A6" w14:textId="77777777" w:rsidR="008E498A" w:rsidRDefault="008E498A" w:rsidP="008E498A">
      <w:pPr>
        <w:pStyle w:val="Bibliography"/>
      </w:pPr>
      <w:r>
        <w:t xml:space="preserve">28. Smyth B, Muniz-Pumares D. Calculation of Critical Speed from Raw Training Data in Recreational Marathon Runners. Med Sci Sports Exerc. 2020; </w:t>
      </w:r>
    </w:p>
    <w:p w14:paraId="55CCD771" w14:textId="77777777" w:rsidR="008E498A" w:rsidRDefault="008E498A" w:rsidP="008E498A">
      <w:pPr>
        <w:pStyle w:val="Bibliography"/>
      </w:pPr>
      <w:r>
        <w:t xml:space="preserve">29. Smith CG, Jones AM. The relationship between critical velocity, maximal lactate steady-state velocity and lactate turnpoint velocity in runners. Eur J Appl Physiol. 2001;85:19–26. </w:t>
      </w:r>
    </w:p>
    <w:p w14:paraId="2E71DB6D" w14:textId="77777777" w:rsidR="008E498A" w:rsidRDefault="008E498A" w:rsidP="008E498A">
      <w:pPr>
        <w:pStyle w:val="Bibliography"/>
      </w:pPr>
      <w:r>
        <w:t xml:space="preserve">30. Wakayoshi K, Ikuta K, Yoshida T, Udo M, Moritani T, Mutoh Y, et al. Determination and validity of critical velocity as an index of swimming performance in the competitive swimmer. Eur J Appl Physiol. 1992;64:153–7. </w:t>
      </w:r>
    </w:p>
    <w:p w14:paraId="60FBA21D" w14:textId="77777777" w:rsidR="008E498A" w:rsidRDefault="008E498A" w:rsidP="008E498A">
      <w:pPr>
        <w:pStyle w:val="Bibliography"/>
      </w:pPr>
      <w:r>
        <w:t xml:space="preserve">31. Vanhatalo A, Black MI, DiMenna FJ, Blackwell JR, Schmidt JF, Thompson C, et al. The mechanistic bases of the power-time relationship: muscle metabolic responses and relationships to muscle fibre type. J Physiol. 2016;594:4407–23. </w:t>
      </w:r>
    </w:p>
    <w:p w14:paraId="3087113F" w14:textId="77777777" w:rsidR="008E498A" w:rsidRDefault="008E498A" w:rsidP="008E498A">
      <w:pPr>
        <w:pStyle w:val="Bibliography"/>
      </w:pPr>
      <w:r>
        <w:t xml:space="preserve">32. Overend TJ, Cunningham DA, Paterson DH, Smith WD. Physiological responses of young and elderly men to prolonged exercise at critical power. Eur J Appl Physiol. 1992;64:187–93. </w:t>
      </w:r>
    </w:p>
    <w:p w14:paraId="48AD6824" w14:textId="77777777" w:rsidR="008E498A" w:rsidRDefault="008E498A" w:rsidP="008E498A">
      <w:pPr>
        <w:pStyle w:val="Bibliography"/>
      </w:pPr>
      <w:r>
        <w:t xml:space="preserve">33. Mezzani A, Corrà U, Giordano A, Colombo S, Psaroudaki M, Giannuzzi P. Upper intensity limit for prolonged aerobic exercise in chronic heart failure. Med Sci Sports Exerc. 2010;42:633–9. </w:t>
      </w:r>
    </w:p>
    <w:p w14:paraId="3F810724" w14:textId="77777777" w:rsidR="008E498A" w:rsidRDefault="008E498A" w:rsidP="008E498A">
      <w:pPr>
        <w:pStyle w:val="Bibliography"/>
      </w:pPr>
      <w:r>
        <w:t xml:space="preserve">34. Neder JA, Jones PW, Nery LE, Whipp BJ. Determinants of the exercise endurance capacity in patients with chronic obstructive pulmonary disease. The power-duration relationship. Am J Respir Crit Care Med. 2000;162:497–504. </w:t>
      </w:r>
    </w:p>
    <w:p w14:paraId="53FBD6A7" w14:textId="77777777" w:rsidR="008E498A" w:rsidRDefault="008E498A" w:rsidP="008E498A">
      <w:pPr>
        <w:pStyle w:val="Bibliography"/>
      </w:pPr>
      <w:r>
        <w:t xml:space="preserve">35. Neder JA, Jones PW, Nery LE, Whipp BJ. The effect of age on the power/duration relationship and the intensity-domain limits in sedentary men. Eur J Appl Physiol. 2000;82:326–32. </w:t>
      </w:r>
    </w:p>
    <w:p w14:paraId="7F66B80E" w14:textId="77777777" w:rsidR="008E498A" w:rsidRDefault="008E498A" w:rsidP="008E498A">
      <w:pPr>
        <w:pStyle w:val="Bibliography"/>
      </w:pPr>
      <w:r>
        <w:lastRenderedPageBreak/>
        <w:t xml:space="preserve">36. Barker AR, Bond B, Toman C, Williams CA, Armstrong N. Critical power in adolescents: physiological bases and assessment using all-out exercise. Eur J Appl Physiol. 2012;112:1359–70. </w:t>
      </w:r>
    </w:p>
    <w:p w14:paraId="22AFE6CD" w14:textId="77777777" w:rsidR="008E498A" w:rsidRDefault="008E498A" w:rsidP="008E498A">
      <w:pPr>
        <w:pStyle w:val="Bibliography"/>
      </w:pPr>
      <w:r>
        <w:t xml:space="preserve">37. Vanhatalo A, Fulford J, DiMenna FJ, Jones AM. Influence of hyperoxia on muscle metabolic responses and the power-duration relationship during severe-intensity exercise in humans: a 31P magnetic resonance spectroscopy study. Exp Physiol. 2010;95:528–40. </w:t>
      </w:r>
    </w:p>
    <w:p w14:paraId="513607BC" w14:textId="77777777" w:rsidR="008E498A" w:rsidRDefault="008E498A" w:rsidP="008E498A">
      <w:pPr>
        <w:pStyle w:val="Bibliography"/>
      </w:pPr>
      <w:r>
        <w:t xml:space="preserve">38. Puente-Maestu L, SantaCruz A, Vargas T, Martínez-Abad Y, Whipp BJ. Effects of training on the tolerance to high-intensity exercise in patients with severe COPD. Respir Int Rev Thorac Dis. 2003;70:367–70. </w:t>
      </w:r>
    </w:p>
    <w:p w14:paraId="20D39928" w14:textId="77777777" w:rsidR="008E498A" w:rsidRDefault="008E498A" w:rsidP="008E498A">
      <w:pPr>
        <w:pStyle w:val="Bibliography"/>
      </w:pPr>
      <w:r>
        <w:t xml:space="preserve">39. van der Vaart H, Murgatroyd SR, Rossiter HB, Chen C, Casaburi R, Porszasz J. Selecting constant work rates for endurance testing in COPD: the role of the power-duration relationship. COPD. 2014;11:267–76. </w:t>
      </w:r>
    </w:p>
    <w:p w14:paraId="70A74F8C" w14:textId="77777777" w:rsidR="008E498A" w:rsidRDefault="008E498A" w:rsidP="008E498A">
      <w:pPr>
        <w:pStyle w:val="Bibliography"/>
      </w:pPr>
      <w:r>
        <w:t xml:space="preserve">40. Malaguti C, Nery LE, Dal Corso S, De Fuccio MB, Lerario MC, Cendon S, et al. Alternative strategies for exercise critical power estimation in patients with COPD. Eur J Appl Physiol. 2006;96:59–65. </w:t>
      </w:r>
    </w:p>
    <w:p w14:paraId="5DA39AA7" w14:textId="77777777" w:rsidR="008E498A" w:rsidRDefault="008E498A" w:rsidP="008E498A">
      <w:pPr>
        <w:pStyle w:val="Bibliography"/>
      </w:pPr>
      <w:r>
        <w:t xml:space="preserve">41. Malaguti C, Dal Corso S, Colucci E, Stuchi T, Pulcheri R, Nery LE. Critical power for the upper limb in patients with chronic obstructive pulmonary disease: A pilot study. Respir Physiol Neurobiol. 2019;270:103280. </w:t>
      </w:r>
    </w:p>
    <w:p w14:paraId="6870EEFA" w14:textId="77777777" w:rsidR="008E498A" w:rsidRDefault="008E498A" w:rsidP="008E498A">
      <w:pPr>
        <w:pStyle w:val="Bibliography"/>
      </w:pPr>
      <w:r>
        <w:t xml:space="preserve">42. Porszasz J, Rambod M, Vaart H van der, Rossiter HB, Ma S, Kiledjian R, et al. Sinusoidal high-intensity exercise does not elicit ventilatory limitation in chronic obstructive pulmonary disease. Exp Physiol. 2013;98:1102–14. </w:t>
      </w:r>
    </w:p>
    <w:p w14:paraId="4F8CE5C1" w14:textId="77777777" w:rsidR="008E498A" w:rsidRDefault="008E498A" w:rsidP="008E498A">
      <w:pPr>
        <w:pStyle w:val="Bibliography"/>
      </w:pPr>
      <w:r>
        <w:t xml:space="preserve">43. Dempsey JA, La Gerche A, Hull JH. Is the healthy respiratory system built just right, overbuilt, or underbuilt to meet the demands imposed by exercise? J Appl Physiol Bethesda Md 1985. 2020;129:1235–56. </w:t>
      </w:r>
    </w:p>
    <w:p w14:paraId="6B56FD65" w14:textId="77777777" w:rsidR="008E498A" w:rsidRDefault="008E498A" w:rsidP="008E498A">
      <w:pPr>
        <w:pStyle w:val="Bibliography"/>
      </w:pPr>
      <w:r>
        <w:t xml:space="preserve">44. Koga S, Poole DC, Ferreira LF, Whipp BJ, Kondo N, Saitoh T, et al. Spatial heterogeneity of quadriceps muscle deoxygenation kinetics during cycle exercise. J Appl Physiol. 2007;103:2049–56. </w:t>
      </w:r>
    </w:p>
    <w:p w14:paraId="0343F532" w14:textId="77777777" w:rsidR="008E498A" w:rsidRDefault="008E498A" w:rsidP="008E498A">
      <w:pPr>
        <w:pStyle w:val="Bibliography"/>
      </w:pPr>
      <w:r>
        <w:t xml:space="preserve">45. Koga S, Rossiter HB, Heinonen I, Musch TI, Poole DC. Dynamic heterogeneity of exercising muscle blood flow and O2 utilization. Med Sci Sports Exerc. 2014;46:860–76. </w:t>
      </w:r>
    </w:p>
    <w:p w14:paraId="6122290C" w14:textId="77777777" w:rsidR="008E498A" w:rsidRDefault="008E498A" w:rsidP="008E498A">
      <w:pPr>
        <w:pStyle w:val="Bibliography"/>
      </w:pPr>
      <w:r>
        <w:t xml:space="preserve">46. Heinonen I, Koga S, Kalliokoski KK, Musch TI, Poole DC. Heterogeneity of Muscle Blood Flow and Metabolism: Influence of Exercise, Aging, and Disease States. Exerc Sport Sci Rev. 2015;43:117–24. </w:t>
      </w:r>
    </w:p>
    <w:p w14:paraId="768D9FCE" w14:textId="77777777" w:rsidR="008E498A" w:rsidRDefault="008E498A" w:rsidP="008E498A">
      <w:pPr>
        <w:pStyle w:val="Bibliography"/>
      </w:pPr>
      <w:r>
        <w:t xml:space="preserve">47. MacDonald MJ, Tarnopolsky MA, Hughson RL. Effect of hyperoxia and hypoxia on leg blood flow and pulmonary and leg oxygen uptake at the onset of kicking exercise. Can J Physiol Pharmacol. 2000;78:67–74. </w:t>
      </w:r>
    </w:p>
    <w:p w14:paraId="323888A4" w14:textId="77777777" w:rsidR="008E498A" w:rsidRDefault="008E498A" w:rsidP="008E498A">
      <w:pPr>
        <w:pStyle w:val="Bibliography"/>
      </w:pPr>
      <w:r>
        <w:t xml:space="preserve">48. Welch HG, Bonde-Petersen F, Graham T, Klausen K, Secher N. Effects of hyperoxia on leg blood flow and metabolism during exercise. J Appl Physiol. 1977;42:385–90. </w:t>
      </w:r>
    </w:p>
    <w:p w14:paraId="3DDEB726" w14:textId="77777777" w:rsidR="008E498A" w:rsidRDefault="008E498A" w:rsidP="008E498A">
      <w:pPr>
        <w:pStyle w:val="Bibliography"/>
      </w:pPr>
      <w:r>
        <w:t xml:space="preserve">49. Hogan MC, Richardson RS, Haseler LJ. Human muscle performance and PCr hydrolysis with varied inspired oxygen fractions: a 31P-MRS study. J Appl Physiol Bethesda Md 1985. 1999;86:1367–73. </w:t>
      </w:r>
    </w:p>
    <w:p w14:paraId="2424EFCB" w14:textId="77777777" w:rsidR="008E498A" w:rsidRDefault="008E498A" w:rsidP="008E498A">
      <w:pPr>
        <w:pStyle w:val="Bibliography"/>
      </w:pPr>
      <w:r>
        <w:t xml:space="preserve">50. Haseler LJ, Kindig CA, Richardson RS, Hogan MC. The role of oxygen in determining phosphocreatine onset kinetics in exercising humans. J Physiol. 2004;558:985–92. </w:t>
      </w:r>
    </w:p>
    <w:p w14:paraId="3810010F" w14:textId="77777777" w:rsidR="008E498A" w:rsidRDefault="008E498A" w:rsidP="008E498A">
      <w:pPr>
        <w:pStyle w:val="Bibliography"/>
      </w:pPr>
      <w:r>
        <w:lastRenderedPageBreak/>
        <w:t xml:space="preserve">51. Cardinale DA, Larsen FJ, Jensen-Urstad M, Rullman E, Søndergaard H, Morales-Alamo D, et al. Muscle mass and inspired oxygen influence oxygen extraction at maximal exercise: Role of mitochondrial oxygen affinity. Acta Physiol Oxf Engl. 2019;225:e13110. </w:t>
      </w:r>
    </w:p>
    <w:p w14:paraId="59056CC5" w14:textId="77777777" w:rsidR="008E498A" w:rsidRDefault="008E498A" w:rsidP="008E498A">
      <w:pPr>
        <w:pStyle w:val="Bibliography"/>
      </w:pPr>
      <w:r>
        <w:t xml:space="preserve">52. Knight DR, Schaffartzik W, Poole DC, Hogan MC, Bebout DE, Wagner PD. Effects of hyperoxia on maximal leg O2 supply and utilization in men. J Appl Physiol Bethesda Md 1985. 1993;75:2586–94. </w:t>
      </w:r>
    </w:p>
    <w:p w14:paraId="402AB6FB" w14:textId="77777777" w:rsidR="008E498A" w:rsidRDefault="008E498A" w:rsidP="008E498A">
      <w:pPr>
        <w:pStyle w:val="Bibliography"/>
      </w:pPr>
      <w:r>
        <w:t xml:space="preserve">53. Calbet J a. L. Oxygen tension and content in the regulation of limb blood flow. Acta Physiol Scand. 2000;168:465–72. </w:t>
      </w:r>
    </w:p>
    <w:p w14:paraId="41BA86DD" w14:textId="77777777" w:rsidR="008E498A" w:rsidRDefault="008E498A" w:rsidP="008E498A">
      <w:pPr>
        <w:pStyle w:val="Bibliography"/>
      </w:pPr>
      <w:r>
        <w:t xml:space="preserve">54. Hogan MC, Arthur PG, Bebout DE, Hochachka PW, Wagner PD. Role of O2 in regulating tissue respiration in dog muscle working in situ. J Appl Physiol Bethesda Md 1985. 1992;73:728–36. </w:t>
      </w:r>
    </w:p>
    <w:p w14:paraId="2BD4914C" w14:textId="77777777" w:rsidR="008E498A" w:rsidRDefault="008E498A" w:rsidP="008E498A">
      <w:pPr>
        <w:pStyle w:val="Bibliography"/>
      </w:pPr>
      <w:r>
        <w:t xml:space="preserve">55. Richardson RS, Noyszewski EA, Leigh JS, Wagner PD. Lactate efflux from exercising human skeletal muscle: role of intracellular PO2. J Appl Physiol Bethesda Md 1985. 1998;85:627–34. </w:t>
      </w:r>
    </w:p>
    <w:p w14:paraId="14D6CF41" w14:textId="77777777" w:rsidR="008E498A" w:rsidRDefault="008E498A" w:rsidP="008E498A">
      <w:pPr>
        <w:pStyle w:val="Bibliography"/>
      </w:pPr>
      <w:r>
        <w:t xml:space="preserve">56. Dekerle J, Mucci P, Carter H. Influence of moderate hypoxia on tolerance to high-intensity exercise. Eur J Appl Physiol. 2012;112:327–35. </w:t>
      </w:r>
    </w:p>
    <w:p w14:paraId="0FD99E66" w14:textId="77777777" w:rsidR="008E498A" w:rsidRDefault="008E498A" w:rsidP="008E498A">
      <w:pPr>
        <w:pStyle w:val="Bibliography"/>
      </w:pPr>
      <w:r>
        <w:t xml:space="preserve">57. Williams JH, Powers SK, Stuart MK. Hemoglobin desaturation in highly trained athletes during heavy exercise. Med Sci Sports Exerc. 1986;18:168–73. </w:t>
      </w:r>
    </w:p>
    <w:p w14:paraId="2A9E61DC" w14:textId="77777777" w:rsidR="008E498A" w:rsidRDefault="008E498A" w:rsidP="008E498A">
      <w:pPr>
        <w:pStyle w:val="Bibliography"/>
      </w:pPr>
      <w:r>
        <w:t xml:space="preserve">58. Powers SK, Lawler J, Dempsey JA, Dodd S, Landry G. Effects of incomplete pulmonary gas exchange on VO2 max. J Appl Physiol Bethesda Md 1985. 1989;66:2491–5. </w:t>
      </w:r>
    </w:p>
    <w:p w14:paraId="191CEE3F" w14:textId="77777777" w:rsidR="008E498A" w:rsidRDefault="008E498A" w:rsidP="008E498A">
      <w:pPr>
        <w:pStyle w:val="Bibliography"/>
      </w:pPr>
      <w:r>
        <w:t xml:space="preserve">59. Gore CJ, Hahn AG, Scroop GC, Watson DB, Norton KI, Wood RJ, et al. Increased arterial desaturation in trained cyclists during maximal exercise at 580 m altitude. J Appl Physiol Bethesda Md 1985. 1996;80:2204–10. </w:t>
      </w:r>
    </w:p>
    <w:p w14:paraId="05EC98A5" w14:textId="77777777" w:rsidR="008E498A" w:rsidRDefault="008E498A" w:rsidP="008E498A">
      <w:pPr>
        <w:pStyle w:val="Bibliography"/>
      </w:pPr>
      <w:r>
        <w:t xml:space="preserve">60. Simpson LP, Jones AM, Skiba PF, Vanhatalo A, Wilkerson D. Influence of hypoxia on the power-duration relationship during high-intensity exercise. Int J Sports Med. 2015;36:113–9. </w:t>
      </w:r>
    </w:p>
    <w:p w14:paraId="60A8966E" w14:textId="77777777" w:rsidR="008E498A" w:rsidRDefault="008E498A" w:rsidP="008E498A">
      <w:pPr>
        <w:pStyle w:val="Bibliography"/>
      </w:pPr>
      <w:r>
        <w:t xml:space="preserve">61. Valli G, Cogo A, Passino C, Bonardi D, Morici G, Fasano V, et al. Exercise intolerance at high altitude (5050 m): critical power and W’. Respir Physiol Neurobiol. 2011;177:333–41. </w:t>
      </w:r>
    </w:p>
    <w:p w14:paraId="3E9FE569" w14:textId="77777777" w:rsidR="008E498A" w:rsidRDefault="008E498A" w:rsidP="008E498A">
      <w:pPr>
        <w:pStyle w:val="Bibliography"/>
      </w:pPr>
      <w:r>
        <w:t xml:space="preserve">62. La Monica MB, Fukuda DH, Starling-Smith TM, Wang R, Hoffman JR, Stout JR. Effects of normobaric hypoxia on upper body critical power and anaerobic working capacity. Respir Physiol Neurobiol. 2017;249:1–6. </w:t>
      </w:r>
    </w:p>
    <w:p w14:paraId="1730B2C1" w14:textId="77777777" w:rsidR="008E498A" w:rsidRDefault="008E498A" w:rsidP="008E498A">
      <w:pPr>
        <w:pStyle w:val="Bibliography"/>
      </w:pPr>
      <w:r>
        <w:t xml:space="preserve">63. Townsend NE, Nichols DS, Skiba PF, Racinais S, Périard JD. Prediction of Critical Power and W’ in Hypoxia: Application to Work-Balance Modelling. Front Physiol. 2017;8:180. </w:t>
      </w:r>
    </w:p>
    <w:p w14:paraId="42466623" w14:textId="77777777" w:rsidR="008E498A" w:rsidRDefault="008E498A" w:rsidP="008E498A">
      <w:pPr>
        <w:pStyle w:val="Bibliography"/>
      </w:pPr>
      <w:r>
        <w:t xml:space="preserve">64. Goulding RP, Roche DM, Marwood S. Hyperoxia speeds pulmonary oxygen uptake kinetics and increases critical power during supine cycling. Exp Physiol. 2019; </w:t>
      </w:r>
    </w:p>
    <w:p w14:paraId="21C92642" w14:textId="77777777" w:rsidR="008E498A" w:rsidRDefault="008E498A" w:rsidP="008E498A">
      <w:pPr>
        <w:pStyle w:val="Bibliography"/>
      </w:pPr>
      <w:r>
        <w:t xml:space="preserve">65. Goulding RP, Roche DM, Marwood S. Effect of Hyperoxia on Critical Power and V[Combining Dot Above]O2 Kinetics during Upright Cycling. Med Sci Sports Exerc. 2019; </w:t>
      </w:r>
    </w:p>
    <w:p w14:paraId="3CCD67C7" w14:textId="77777777" w:rsidR="008E498A" w:rsidRDefault="008E498A" w:rsidP="008E498A">
      <w:pPr>
        <w:pStyle w:val="Bibliography"/>
      </w:pPr>
      <w:r>
        <w:t xml:space="preserve">66. Hoelting BD, Scheuermann BW, Barstow TJ. Effect of contraction frequency on leg blood flow during knee extension exercise in humans. J Appl Physiol Bethesda Md 1985. 2001;91:671–9. </w:t>
      </w:r>
    </w:p>
    <w:p w14:paraId="2F1300CE" w14:textId="77777777" w:rsidR="008E498A" w:rsidRDefault="008E498A" w:rsidP="008E498A">
      <w:pPr>
        <w:pStyle w:val="Bibliography"/>
      </w:pPr>
      <w:r>
        <w:lastRenderedPageBreak/>
        <w:t xml:space="preserve">67. Lutjemeier BJ, Miura A, Scheuermann BW, Koga S, Townsend DK, Barstow TJ. Muscle contraction-blood flow interactions during upright knee extension exercise in humans. J Appl Physiol Bethesda Md 1985. 2005;98:1575–83. </w:t>
      </w:r>
    </w:p>
    <w:p w14:paraId="0712AB91" w14:textId="77777777" w:rsidR="008E498A" w:rsidRDefault="008E498A" w:rsidP="008E498A">
      <w:pPr>
        <w:pStyle w:val="Bibliography"/>
      </w:pPr>
      <w:r>
        <w:t xml:space="preserve">68. Sadamoto T, Bonde-Petersen F, Suzuki Y. Skeletal muscle tension, flow, pressure, and EMG during sustained isometric contractions in humans. Eur J Appl Physiol. 1983;51:395–408. </w:t>
      </w:r>
    </w:p>
    <w:p w14:paraId="724C8D26" w14:textId="77777777" w:rsidR="008E498A" w:rsidRDefault="008E498A" w:rsidP="008E498A">
      <w:pPr>
        <w:pStyle w:val="Bibliography"/>
      </w:pPr>
      <w:r>
        <w:t xml:space="preserve">69. Robergs RA, Icenogle MV, Hudson TL, Greene ER. Temporal inhomogeneity in brachial artery blood flow during forearm exercise. Med Sci Sports Exerc. 1997;29:1021–7. </w:t>
      </w:r>
    </w:p>
    <w:p w14:paraId="7DCFE2D6" w14:textId="77777777" w:rsidR="008E498A" w:rsidRDefault="008E498A" w:rsidP="008E498A">
      <w:pPr>
        <w:pStyle w:val="Bibliography"/>
      </w:pPr>
      <w:r>
        <w:t xml:space="preserve">70. Barcroft H, Dornhorst AC. The blood flow through the human calf during rhythmic exercise. J Physiol. 1949;109:402–11. </w:t>
      </w:r>
    </w:p>
    <w:p w14:paraId="2B3E2BA5" w14:textId="77777777" w:rsidR="008E498A" w:rsidRDefault="008E498A" w:rsidP="008E498A">
      <w:pPr>
        <w:pStyle w:val="Bibliography"/>
      </w:pPr>
      <w:r>
        <w:t xml:space="preserve">71. Folkow B, Gaskell P, Waaler BA. Blood Flow through Limb Muscles during Heavy Rhythmic Exercise. Acta Physiol Scand. 1970;80:61–72. </w:t>
      </w:r>
    </w:p>
    <w:p w14:paraId="0B1D352F" w14:textId="77777777" w:rsidR="008E498A" w:rsidRDefault="008E498A" w:rsidP="008E498A">
      <w:pPr>
        <w:pStyle w:val="Bibliography"/>
      </w:pPr>
      <w:r>
        <w:t xml:space="preserve">72. Walløe L, Wesche J. Time course and magnitude of blood flow changes in the human quadriceps muscles during and following rhythmic exercise. J Physiol. 1988;405:257–73. </w:t>
      </w:r>
    </w:p>
    <w:p w14:paraId="7A8DF030" w14:textId="77777777" w:rsidR="008E498A" w:rsidRDefault="008E498A" w:rsidP="008E498A">
      <w:pPr>
        <w:pStyle w:val="Bibliography"/>
      </w:pPr>
      <w:r>
        <w:t xml:space="preserve">73. Broxterman, Ade CJ, Wilcox SL, Schlup SJ, Craig JC, Barstow TJ. Influence of duty cycle on the power-duration relationship: Observations and potential mechanisms. Respir Physiol Neurobiol. 2014;192:102–11. </w:t>
      </w:r>
    </w:p>
    <w:p w14:paraId="32445068" w14:textId="77777777" w:rsidR="008E498A" w:rsidRDefault="008E498A" w:rsidP="008E498A">
      <w:pPr>
        <w:pStyle w:val="Bibliography"/>
      </w:pPr>
      <w:r>
        <w:t xml:space="preserve">74. Broxterman, Ade CJ, Craig JC, Wilcox SL, Schlup SJ, Barstow TJ. Influence of blood flow occlusion on muscle oxygenation characteristics and the parameters of the power-duration relationship. J Appl Physiol Bethesda Md 1985. 2015;118:880–9. </w:t>
      </w:r>
    </w:p>
    <w:p w14:paraId="01CD8013" w14:textId="77777777" w:rsidR="008E498A" w:rsidRDefault="008E498A" w:rsidP="008E498A">
      <w:pPr>
        <w:pStyle w:val="Bibliography"/>
      </w:pPr>
      <w:r>
        <w:t xml:space="preserve">75. Broxterman, Craig JC, Ade CJ, Wilcox SL, Barstow TJ. The effect of resting blood flow occlusion on exercise tolerance and W’. Am J Physiol Regul Integr Comp Physiol. 2015;309:R684-691. </w:t>
      </w:r>
    </w:p>
    <w:p w14:paraId="43B707A8" w14:textId="77777777" w:rsidR="008E498A" w:rsidRDefault="008E498A" w:rsidP="008E498A">
      <w:pPr>
        <w:pStyle w:val="Bibliography"/>
      </w:pPr>
      <w:r>
        <w:t xml:space="preserve">76. Hamaoka T, Iwane H, Shimomitsu T, Katsumura T, Murase N, Nishio S, et al. Noninvasive measures of oxidative metabolism on working human muscles by near-infrared spectroscopy. J Appl Physiol Bethesda Md 1985. 1996;81:1410–7. </w:t>
      </w:r>
    </w:p>
    <w:p w14:paraId="5FAD9F0F" w14:textId="77777777" w:rsidR="008E498A" w:rsidRDefault="008E498A" w:rsidP="008E498A">
      <w:pPr>
        <w:pStyle w:val="Bibliography"/>
      </w:pPr>
      <w:r>
        <w:t xml:space="preserve">77. Hamaoka T, Osada T, Murase N, Sako T, Higuchi H, Kurosawa Y, et al. Quantitative Evaluation of Oxygenation and Metabolism in the Human Skeletal Muscle. Opt Rev. 2003;10:493–7. </w:t>
      </w:r>
    </w:p>
    <w:p w14:paraId="22BBE9ED" w14:textId="77777777" w:rsidR="008E498A" w:rsidRDefault="008E498A" w:rsidP="008E498A">
      <w:pPr>
        <w:pStyle w:val="Bibliography"/>
      </w:pPr>
      <w:r>
        <w:t xml:space="preserve">78. Hammer SM, Alexander AM, Didier KD, Barstow TJ. Influence of blood flow occlusion on muscular recruitment and fatigue during maximal-effort small muscle-mass exercise. J Physiol. 2020;598:4293–306. </w:t>
      </w:r>
    </w:p>
    <w:p w14:paraId="1E09FD05" w14:textId="77777777" w:rsidR="008E498A" w:rsidRDefault="008E498A" w:rsidP="008E498A">
      <w:pPr>
        <w:pStyle w:val="Bibliography"/>
      </w:pPr>
      <w:r>
        <w:t xml:space="preserve">79. Hammer SM, Alexander AM, Didier KD, Huckaby LM, Barstow TJ. Limb blood flow and muscle oxygenation responses during handgrip exercise above vs. below critical force. Microvasc Res. 2020;131:104002. </w:t>
      </w:r>
    </w:p>
    <w:p w14:paraId="003C6D15" w14:textId="77777777" w:rsidR="008E498A" w:rsidRDefault="008E498A" w:rsidP="008E498A">
      <w:pPr>
        <w:pStyle w:val="Bibliography"/>
      </w:pPr>
      <w:r>
        <w:t xml:space="preserve">80. Hammer SM, Hammond ST, Parr SK, Alexander AM, Turpin V-RG, White ZJ, et al. Influence of muscular contraction on vascular conductance during exercise above versus below critical power. Respir Physiol Neurobiol. 2021;293:103718. </w:t>
      </w:r>
    </w:p>
    <w:p w14:paraId="29315DF3" w14:textId="77777777" w:rsidR="008E498A" w:rsidRDefault="008E498A" w:rsidP="008E498A">
      <w:pPr>
        <w:pStyle w:val="Bibliography"/>
      </w:pPr>
      <w:r>
        <w:t xml:space="preserve">81. Richardson RS, Poole DC, Knight DR, Kurdak SS, Hogan MC, Grassi B, et al. High muscle blood flow in man: is maximal O2 extraction compromised? J Appl Physiol Bethesda Md 1985. 1993;75:1911–6. </w:t>
      </w:r>
    </w:p>
    <w:p w14:paraId="65EE0A45" w14:textId="77777777" w:rsidR="008E498A" w:rsidRDefault="008E498A" w:rsidP="008E498A">
      <w:pPr>
        <w:pStyle w:val="Bibliography"/>
      </w:pPr>
      <w:r>
        <w:lastRenderedPageBreak/>
        <w:t xml:space="preserve">82. Federspiel WJ, Popel AS. A theoretical analysis of the effect of the particulate nature of blood on oxygen release in capillaries. Microvasc Res. 1986;32:164–89. </w:t>
      </w:r>
    </w:p>
    <w:p w14:paraId="780CDCDE" w14:textId="77777777" w:rsidR="008E498A" w:rsidRDefault="008E498A" w:rsidP="008E498A">
      <w:pPr>
        <w:pStyle w:val="Bibliography"/>
      </w:pPr>
      <w:r>
        <w:t xml:space="preserve">83. Groebe K, Thews G. Calculated intra- and extracellular PO2 gradients in heavily working red muscle. Am J Physiol. 1990;259:H84-92. </w:t>
      </w:r>
    </w:p>
    <w:p w14:paraId="20822EC1" w14:textId="77777777" w:rsidR="008E498A" w:rsidRDefault="008E498A" w:rsidP="008E498A">
      <w:pPr>
        <w:pStyle w:val="Bibliography"/>
      </w:pPr>
      <w:r>
        <w:t xml:space="preserve">84. Richardson RS, Grassi B, Gavin TP, Haseler LJ, Tagore K, Roca J, et al. Evidence of O2 supply-dependent VO2 max in the exercise-trained human quadriceps. J Appl Physiol Bethesda Md 1985. 1999;86:1048–53. </w:t>
      </w:r>
    </w:p>
    <w:p w14:paraId="3D487090" w14:textId="77777777" w:rsidR="008E498A" w:rsidRDefault="008E498A" w:rsidP="008E498A">
      <w:pPr>
        <w:pStyle w:val="Bibliography"/>
      </w:pPr>
      <w:r>
        <w:t xml:space="preserve">85. Richardson RS, Leigh JS, Wagner PD, Noyszewski EA. Cellular PO2 as a determinant of maximal mitochondrial O(2) consumption in trained human skeletal muscle. J Appl Physiol Bethesda Md 1985. 1999;87:325–31. </w:t>
      </w:r>
    </w:p>
    <w:p w14:paraId="1F1324F9" w14:textId="77777777" w:rsidR="008E498A" w:rsidRDefault="008E498A" w:rsidP="008E498A">
      <w:pPr>
        <w:pStyle w:val="Bibliography"/>
      </w:pPr>
      <w:r>
        <w:t>86. Mitchell EA, Martin NRW, Bailey SJ, Ferguson RA. Critical power is positively related to skeletal muscle capillarity and type I muscle fibers in endurance trained individuals. J Appl Physiol [Internet]. 2018 [cited 2018 Aug 8]; Available from: https://www.physiology.org/doi/abs/10.1152/japplphysiol.01126.2017</w:t>
      </w:r>
    </w:p>
    <w:p w14:paraId="3C7E2412" w14:textId="77777777" w:rsidR="008E498A" w:rsidRDefault="008E498A" w:rsidP="008E498A">
      <w:pPr>
        <w:pStyle w:val="Bibliography"/>
      </w:pPr>
      <w:r>
        <w:t xml:space="preserve">87. Ansdell P, Brownstein CG, Škarabot J, Hicks KM, Howatson G, Thomas K, et al. Sex differences in fatigability and recovery relative to the intensity–duration relationship. J Physiol. 2019;597:5577–95. </w:t>
      </w:r>
    </w:p>
    <w:p w14:paraId="4E3AA88B" w14:textId="77777777" w:rsidR="008E498A" w:rsidRDefault="008E498A" w:rsidP="008E498A">
      <w:pPr>
        <w:pStyle w:val="Bibliography"/>
      </w:pPr>
      <w:r>
        <w:t xml:space="preserve">88. Ansdell P, Škarabot J, Atkinson E, Corden S, Tygart A, Hicks KM, et al. Sex differences in fatigability following exercise normalised to the power–duration relationship. J Physiol. 2020;598:5717–37. </w:t>
      </w:r>
    </w:p>
    <w:p w14:paraId="3B60CCD0" w14:textId="77777777" w:rsidR="008E498A" w:rsidRDefault="008E498A" w:rsidP="008E498A">
      <w:pPr>
        <w:pStyle w:val="Bibliography"/>
      </w:pPr>
      <w:r>
        <w:t xml:space="preserve">89. Roepstorff C, Steffensen CH, Madsen M, Stallknecht B, Kanstrup I-L, Richter EA, et al. Gender differences in substrate utilization during submaximal exercise in endurance-trained subjects. Am J Physiol Endocrinol Metab. 2002;282:E435-447. </w:t>
      </w:r>
    </w:p>
    <w:p w14:paraId="0B9E2C1F" w14:textId="77777777" w:rsidR="008E498A" w:rsidRDefault="008E498A" w:rsidP="008E498A">
      <w:pPr>
        <w:pStyle w:val="Bibliography"/>
      </w:pPr>
      <w:r>
        <w:t xml:space="preserve">90. Simoneau JA, Bouchard C. Human variation in skeletal muscle fiber-type proportion and enzyme activities. Am J Physiol. 1989;257:E567-572. </w:t>
      </w:r>
    </w:p>
    <w:p w14:paraId="4E0F4B98" w14:textId="77777777" w:rsidR="008E498A" w:rsidRDefault="008E498A" w:rsidP="008E498A">
      <w:pPr>
        <w:pStyle w:val="Bibliography"/>
      </w:pPr>
      <w:r>
        <w:t xml:space="preserve">91. Staron RS, Hagerman FC, Hikida RS, Murray TF, Hostler DP, Crill MT, et al. Fiber type composition of the vastus lateralis muscle of young men and women. J Histochem Cytochem Off J Histochem Soc. 2000;48:623–9. </w:t>
      </w:r>
    </w:p>
    <w:p w14:paraId="3BD3F81C" w14:textId="77777777" w:rsidR="008E498A" w:rsidRDefault="008E498A" w:rsidP="008E498A">
      <w:pPr>
        <w:pStyle w:val="Bibliography"/>
      </w:pPr>
      <w:r>
        <w:t xml:space="preserve">92. Andersen P, Adams RP, Sjøgaard G, Thorboe A, Saltin B. Dynamic knee extension as model for study of isolated exercising muscle in humans. J Appl Physiol Bethesda Md 1985. 1985;59:1647–53. </w:t>
      </w:r>
    </w:p>
    <w:p w14:paraId="4DE2279B" w14:textId="77777777" w:rsidR="008E498A" w:rsidRDefault="008E498A" w:rsidP="008E498A">
      <w:pPr>
        <w:pStyle w:val="Bibliography"/>
      </w:pPr>
      <w:r>
        <w:t xml:space="preserve">93. Cleland SM, Murias JM, Kowalchuk JM, Paterson DH. Effects of prior heavy-intensity exercise on oxygen uptake and muscle deoxygenation kinetics of a subsequent heavy-intensity cycling and knee-extension exercise. Appl Physiol Nutr Metab Physiol Appl Nutr Metab. 2012;37:138–48. </w:t>
      </w:r>
    </w:p>
    <w:p w14:paraId="7816528D" w14:textId="77777777" w:rsidR="008E498A" w:rsidRDefault="008E498A" w:rsidP="008E498A">
      <w:pPr>
        <w:pStyle w:val="Bibliography"/>
      </w:pPr>
      <w:r>
        <w:t xml:space="preserve">94. Krustrup P, Söderlund K, Mohr M, González-Alonso J, Bangsbo J. Recruitment of fibre types and quadriceps muscle portions during repeated, intense knee-extensor exercise in humans. Pflugers Arch. 2004;449:56–65. </w:t>
      </w:r>
    </w:p>
    <w:p w14:paraId="0B69E4FC" w14:textId="77777777" w:rsidR="008E498A" w:rsidRDefault="008E498A" w:rsidP="008E498A">
      <w:pPr>
        <w:pStyle w:val="Bibliography"/>
      </w:pPr>
      <w:r>
        <w:t xml:space="preserve">95. Koga S, Poole DC, Shiojiri T, Kondo N, Fukuba Y, Miura A, et al. Comparison of oxygen uptake kinetics during knee extension and cycle exercise. Am J Physiol Regul Integr Comp Physiol. 2005;288:R212-220. </w:t>
      </w:r>
    </w:p>
    <w:p w14:paraId="78825177" w14:textId="77777777" w:rsidR="008E498A" w:rsidRDefault="008E498A" w:rsidP="008E498A">
      <w:pPr>
        <w:pStyle w:val="Bibliography"/>
      </w:pPr>
      <w:r>
        <w:lastRenderedPageBreak/>
        <w:t xml:space="preserve">96. Koga S, Okushima D, Poole DC, Rossiter HB, Kondo N, Barstow TJ. Unaltered V̇o2 kinetics despite greater muscle oxygenation during heavy-intensity two-legged knee extension versus cycle exercise in humans. Am J Physiol-Regul Integr Comp Physiol. 2019;317:R203–13. </w:t>
      </w:r>
    </w:p>
    <w:p w14:paraId="3A7C2BBB" w14:textId="77777777" w:rsidR="008E498A" w:rsidRDefault="008E498A" w:rsidP="008E498A">
      <w:pPr>
        <w:pStyle w:val="Bibliography"/>
      </w:pPr>
      <w:r>
        <w:t xml:space="preserve">97. Richardson RS, Noyszewski EA, Kendrick KF, Leigh JS, Wagner PD. Myoglobin O2 desaturation during exercise. Evidence of limited O2 transport. J Clin Invest. 1995;96:1916–26. </w:t>
      </w:r>
    </w:p>
    <w:p w14:paraId="48A6752E" w14:textId="77777777" w:rsidR="008E498A" w:rsidRDefault="008E498A" w:rsidP="008E498A">
      <w:pPr>
        <w:pStyle w:val="Bibliography"/>
      </w:pPr>
      <w:r>
        <w:t xml:space="preserve">98. Volianitis S, Secher NH. Cardiovascular control during whole body exercise. J Appl Physiol Bethesda Md 1985. 2016;121:376–90. </w:t>
      </w:r>
    </w:p>
    <w:p w14:paraId="34EA5428" w14:textId="77777777" w:rsidR="008E498A" w:rsidRDefault="008E498A" w:rsidP="008E498A">
      <w:pPr>
        <w:pStyle w:val="Bibliography"/>
      </w:pPr>
      <w:r>
        <w:t xml:space="preserve">99. Poole DC, Copp SW, Hirai DM, Musch TI. Dynamics of muscle microcirculatory and blood-myocyte O(2) flux during contractions. Acta Physiol Oxf Engl. 2011;202:293–310. </w:t>
      </w:r>
    </w:p>
    <w:p w14:paraId="1CAB5255" w14:textId="77777777" w:rsidR="008E498A" w:rsidRDefault="008E498A" w:rsidP="008E498A">
      <w:pPr>
        <w:pStyle w:val="Bibliography"/>
      </w:pPr>
      <w:r>
        <w:t xml:space="preserve">100. Colburn TD, Weber RE, Hageman KS, Caldwell JT, Schulze KM, Ade CJ, et al. Vascular ATP-sensitive K+ channels support maximal aerobic capacity and critical speed via convective and diffusive O2 transport. J Physiol. 2020;598:4843–58. </w:t>
      </w:r>
    </w:p>
    <w:p w14:paraId="73824B83" w14:textId="77777777" w:rsidR="008E498A" w:rsidRDefault="008E498A" w:rsidP="008E498A">
      <w:pPr>
        <w:pStyle w:val="Bibliography"/>
      </w:pPr>
      <w:r>
        <w:t xml:space="preserve">101. Poole DC, Jones AM. Oxygen uptake kinetics. Compr Physiol. 2012;2:933–96. </w:t>
      </w:r>
    </w:p>
    <w:p w14:paraId="6897C91D" w14:textId="77777777" w:rsidR="008E498A" w:rsidRDefault="008E498A" w:rsidP="008E498A">
      <w:pPr>
        <w:pStyle w:val="Bibliography"/>
      </w:pPr>
      <w:r>
        <w:t xml:space="preserve">102. Grassi B, Porcelli S, Salvadego D, Zoladz JA. Slow VO₂ kinetics during moderate-intensity exercise as markers of lower metabolic stability and lower exercise tolerance. Eur J Appl Physiol. 2011;111:345–55. </w:t>
      </w:r>
    </w:p>
    <w:p w14:paraId="220B465D" w14:textId="77777777" w:rsidR="008E498A" w:rsidRDefault="008E498A" w:rsidP="008E498A">
      <w:pPr>
        <w:pStyle w:val="Bibliography"/>
      </w:pPr>
      <w:r>
        <w:t xml:space="preserve">103. Grassi B, Poole DC, Richardson RS, Knight DR, Erickson BK, Wagner PD. Muscle O2 uptake kinetics in humans: implications for metabolic control. J Appl Physiol Bethesda Md 1985. 1996;80:988–98. </w:t>
      </w:r>
    </w:p>
    <w:p w14:paraId="259715AF" w14:textId="77777777" w:rsidR="008E498A" w:rsidRDefault="008E498A" w:rsidP="008E498A">
      <w:pPr>
        <w:pStyle w:val="Bibliography"/>
      </w:pPr>
      <w:r>
        <w:t>104. Rossiter HB. Exercise: Kinetic Considerations for Gas Exchange. Compr Physiol [Internet]. John Wiley &amp; Sons, Inc.; 2010. Available from: http://onlinelibrary.wiley.com/doi/10.1002/cphy.c090010/abstract</w:t>
      </w:r>
    </w:p>
    <w:p w14:paraId="3027A162" w14:textId="77777777" w:rsidR="008E498A" w:rsidRDefault="008E498A" w:rsidP="008E498A">
      <w:pPr>
        <w:pStyle w:val="Bibliography"/>
      </w:pPr>
      <w:r>
        <w:t xml:space="preserve">105. Whipp BJ. Rate constant for the kinetics of oxygen uptake during light exercise. J Appl Physiol. 1971;30:261–3. </w:t>
      </w:r>
    </w:p>
    <w:p w14:paraId="7B66F906" w14:textId="77777777" w:rsidR="008E498A" w:rsidRDefault="008E498A" w:rsidP="008E498A">
      <w:pPr>
        <w:pStyle w:val="Bibliography"/>
      </w:pPr>
      <w:r>
        <w:t xml:space="preserve">106. Whipp BJ, Ward SA, Lamarra N, Davis JA, Wasserman K. Parameters of ventilatory and gas exchange dynamics during exercise. J Appl Physiol. 1982;52:1506–13. </w:t>
      </w:r>
    </w:p>
    <w:p w14:paraId="386C65DF" w14:textId="77777777" w:rsidR="008E498A" w:rsidRDefault="008E498A" w:rsidP="008E498A">
      <w:pPr>
        <w:pStyle w:val="Bibliography"/>
      </w:pPr>
      <w:r>
        <w:t xml:space="preserve">107. Keir DA, Copithorne DB, Hodgson MD, Pogliaghi S, Rice CL, Kowalchuk JM. The slow component of pulmonary O2 uptake accompanies peripheral muscle fatigue during high-intensity exercise. J Appl Physiol. American Physiological Society; 2016;121:493–502. </w:t>
      </w:r>
    </w:p>
    <w:p w14:paraId="318CFE3E" w14:textId="77777777" w:rsidR="008E498A" w:rsidRDefault="008E498A" w:rsidP="008E498A">
      <w:pPr>
        <w:pStyle w:val="Bibliography"/>
      </w:pPr>
      <w:r>
        <w:t xml:space="preserve">108. Temesi J, Mattioni Maturana F, Peyrard A, Piucco T, Murias JM, Millet GY. The relationship between oxygen uptake kinetics and neuromuscular fatigue in high-intensity cycling exercise. Eur J Appl Physiol. 2017;117:969–78. </w:t>
      </w:r>
    </w:p>
    <w:p w14:paraId="09026F63" w14:textId="77777777" w:rsidR="008E498A" w:rsidRDefault="008E498A" w:rsidP="008E498A">
      <w:pPr>
        <w:pStyle w:val="Bibliography"/>
      </w:pPr>
      <w:r>
        <w:t xml:space="preserve">109. Cannon DT, White AC, Andriano MF, Kolkhorst FW, Rossiter HB. Skeletal muscle fatigue precedes the slow component of oxygen uptake kinetics during exercise in humans. J Physiol. 2011;589:727–39. </w:t>
      </w:r>
    </w:p>
    <w:p w14:paraId="3D77DACB" w14:textId="77777777" w:rsidR="008E498A" w:rsidRDefault="008E498A" w:rsidP="008E498A">
      <w:pPr>
        <w:pStyle w:val="Bibliography"/>
      </w:pPr>
      <w:r>
        <w:t>110. Korzeniewski B, Rossiter HB. Factors determining training-induced changes in V̇O2max, critical power and V̇O2 on-kinetics in skeletal muscle. J Appl Physiol [Internet]. American Physiological Society; 2020 [cited 2020 Nov 25]; Available from: https://journals.physiology.org/doi/abs/10.1152/japplphysiol.00745.2020</w:t>
      </w:r>
    </w:p>
    <w:p w14:paraId="3A116F92" w14:textId="77777777" w:rsidR="008E498A" w:rsidRDefault="008E498A" w:rsidP="008E498A">
      <w:pPr>
        <w:pStyle w:val="Bibliography"/>
      </w:pPr>
      <w:r>
        <w:lastRenderedPageBreak/>
        <w:t xml:space="preserve">111. Jones AM. The Physiology of the World Record Holder for the Women’s Marathon. Int J Sports Sci Coach. 2006;1:101–16. </w:t>
      </w:r>
    </w:p>
    <w:p w14:paraId="49F1F500" w14:textId="77777777" w:rsidR="008E498A" w:rsidRDefault="008E498A" w:rsidP="008E498A">
      <w:pPr>
        <w:pStyle w:val="Bibliography"/>
      </w:pPr>
      <w:r>
        <w:t xml:space="preserve">112. Koppo K, Bouckaert J, Jones AM. Effects of training status and exercise intensity on phase II VO2 kinetics. Med Sci Sports Exerc. 2004;36:225–32. </w:t>
      </w:r>
    </w:p>
    <w:p w14:paraId="6250ED58" w14:textId="77777777" w:rsidR="008E498A" w:rsidRDefault="008E498A" w:rsidP="008E498A">
      <w:pPr>
        <w:pStyle w:val="Bibliography"/>
      </w:pPr>
      <w:r>
        <w:t xml:space="preserve">113. Murias JM, Kowalchuk JM, Paterson DH. Speeding of VO2 kinetics in response to endurance-training in older and young women. Eur J Appl Physiol. 2011;111:235–43. </w:t>
      </w:r>
    </w:p>
    <w:p w14:paraId="55AE3BD5" w14:textId="77777777" w:rsidR="008E498A" w:rsidRDefault="008E498A" w:rsidP="008E498A">
      <w:pPr>
        <w:pStyle w:val="Bibliography"/>
      </w:pPr>
      <w:r>
        <w:t xml:space="preserve">114. Goulding RP, Roche DM, Marwood S. Prior exercise speeds pulmonary oxygen uptake kinetics and increases critical power during supine but not upright cycling. Exp Physiol. 2017;102:1158–76. </w:t>
      </w:r>
    </w:p>
    <w:p w14:paraId="183A45AE" w14:textId="77777777" w:rsidR="008E498A" w:rsidRDefault="008E498A" w:rsidP="008E498A">
      <w:pPr>
        <w:pStyle w:val="Bibliography"/>
      </w:pPr>
      <w:r>
        <w:t xml:space="preserve">115. Jones AM, Berger NJA, Wilkerson DP, Roberts CL. Effects of “priming” exercise on pulmonary O2 uptake and muscle deoxygenation kinetics during heavy-intensity cycle exercise in the supine and upright positions. J Appl Physiol Bethesda Md 1985. 2006;101:1432–41. </w:t>
      </w:r>
    </w:p>
    <w:p w14:paraId="0E8FDBE3" w14:textId="77777777" w:rsidR="008E498A" w:rsidRDefault="008E498A" w:rsidP="008E498A">
      <w:pPr>
        <w:pStyle w:val="Bibliography"/>
      </w:pPr>
      <w:r>
        <w:t xml:space="preserve">116. Koga S, Shiojiri T, Shibasaki M, Kondo N, Fukuba Y, Barstow TJ. Kinetics of oxygen uptake during supine and upright heavy exercise. J Appl Physiol Bethesda Md 1985. 1999;87:253–60. </w:t>
      </w:r>
    </w:p>
    <w:p w14:paraId="3FF3455E" w14:textId="77777777" w:rsidR="008E498A" w:rsidRDefault="008E498A" w:rsidP="008E498A">
      <w:pPr>
        <w:pStyle w:val="Bibliography"/>
      </w:pPr>
      <w:r>
        <w:t xml:space="preserve">117. Goulding RP, Roche DM, Marwood S. “Work-to-Work” exercise slows pulmonary oxygen uptake kinetics, decreases critical power, and increases W’ during supine cycling. Physiol Rep. 2018;6:e13916. </w:t>
      </w:r>
    </w:p>
    <w:p w14:paraId="72B8FFF0" w14:textId="77777777" w:rsidR="008E498A" w:rsidRDefault="008E498A" w:rsidP="008E498A">
      <w:pPr>
        <w:pStyle w:val="Bibliography"/>
      </w:pPr>
      <w:r>
        <w:t>118. Goulding RP, Marwood S, Okushima D, Poole DC, Barstow TJ, Lei T-H, et al. Effect of priming exercise and body position on pulmonary oxygen uptake and muscle deoxygenation kinetics during cycle exercise. J Appl Physiol [Internet]. American Physiological Society; 2020 [cited 2020 Aug 7]; Available from: https://journals.physiology.org/doi/abs/10.1152/japplphysiol.00478.2020</w:t>
      </w:r>
    </w:p>
    <w:p w14:paraId="3E3F7D65" w14:textId="77777777" w:rsidR="008E498A" w:rsidRDefault="008E498A" w:rsidP="008E498A">
      <w:pPr>
        <w:pStyle w:val="Bibliography"/>
      </w:pPr>
      <w:r>
        <w:t xml:space="preserve">119. Goulding RP, Okushima D, Marwood S, Poole DC, Barstow TJ, Lei T-H, et al. Impact of supine exercise on muscle deoxygenation kinetics heterogeneity: Mechanistic insights into slow pulmonary oxygen uptake dynamics. J Appl Physiol Bethesda Md 1985. 2020; </w:t>
      </w:r>
    </w:p>
    <w:p w14:paraId="24BA520D" w14:textId="77777777" w:rsidR="008E498A" w:rsidRDefault="008E498A" w:rsidP="008E498A">
      <w:pPr>
        <w:pStyle w:val="Bibliography"/>
      </w:pPr>
      <w:r>
        <w:t xml:space="preserve">120. Goulding RP, Okushima D, Fukuoka Y, Marwood S, Kondo N, Poole DC, et al. Impact of supine versus upright exercise on muscle deoxygenation heterogeneity during ramp incremental cycling is site specific. Eur J Appl Physiol. 2021; </w:t>
      </w:r>
    </w:p>
    <w:p w14:paraId="1AEA85B5" w14:textId="77777777" w:rsidR="008E498A" w:rsidRDefault="008E498A" w:rsidP="008E498A">
      <w:pPr>
        <w:pStyle w:val="Bibliography"/>
      </w:pPr>
      <w:r>
        <w:t xml:space="preserve">121. Gurd BJ, Peters SJ, Heigenhauser GJF, LeBlanc PJ, Doherty TJ, Paterson DH, et al. Prior heavy exercise elevates pyruvate dehydrogenase activity and muscle oxygenation and speeds O2 uptake kinetics during moderate exercise in older adults. Am J Physiol-Regul Integr Comp Physiol. 2009;297:R877–84. </w:t>
      </w:r>
    </w:p>
    <w:p w14:paraId="32182115" w14:textId="77777777" w:rsidR="008E498A" w:rsidRDefault="008E498A" w:rsidP="008E498A">
      <w:pPr>
        <w:pStyle w:val="Bibliography"/>
      </w:pPr>
      <w:r>
        <w:t xml:space="preserve">122. Hernández A, McDonald JR, Lai N, Gladden LB. A prior bout of contractions speeds VO2 and blood flow on-kinetics and reduces the VO2 slow-component amplitude in canine skeletal muscle contracting in situ. J Appl Physiol Bethesda Md 1985. 2010;108:1169–76. </w:t>
      </w:r>
    </w:p>
    <w:p w14:paraId="62BA0289" w14:textId="77777777" w:rsidR="008E498A" w:rsidRDefault="008E498A" w:rsidP="008E498A">
      <w:pPr>
        <w:pStyle w:val="Bibliography"/>
      </w:pPr>
      <w:r>
        <w:t xml:space="preserve">123. Brittain CJ, Rossiter HB, Kowalchuk JM, Whipp BJ. Effect of prior metabolic rate on the kinetics of oxygen uptake during moderate-intensity exercise. Eur J Appl Physiol. 2001;86:125–34. </w:t>
      </w:r>
    </w:p>
    <w:p w14:paraId="15002ECB" w14:textId="77777777" w:rsidR="008E498A" w:rsidRDefault="008E498A" w:rsidP="008E498A">
      <w:pPr>
        <w:pStyle w:val="Bibliography"/>
      </w:pPr>
      <w:r>
        <w:t xml:space="preserve">124. di Prampero PE, Mahler PB, Giezendanner D, Cerretelli P. Effects of priming exercise on VO2 kinetics and O2 deficit at the onset of stepping and cycling. J Appl Physiol Bethesda Md 1985. 1989;66:2023–31. </w:t>
      </w:r>
    </w:p>
    <w:p w14:paraId="430FE03D" w14:textId="77777777" w:rsidR="008E498A" w:rsidRDefault="008E498A" w:rsidP="008E498A">
      <w:pPr>
        <w:pStyle w:val="Bibliography"/>
      </w:pPr>
      <w:r>
        <w:lastRenderedPageBreak/>
        <w:t xml:space="preserve">125. DiMenna FJ, Bailey SJ, Vanhatalo A, Chidnok W, Jones AM. Elevated baseline VO2 per se does not slow O2 uptake kinetics during work-to-work exercise transitions. J Appl Physiol Bethesda Md 1985. 2010;109:1148–54. </w:t>
      </w:r>
    </w:p>
    <w:p w14:paraId="531A4A5E" w14:textId="77777777" w:rsidR="008E498A" w:rsidRDefault="008E498A" w:rsidP="008E498A">
      <w:pPr>
        <w:pStyle w:val="Bibliography"/>
      </w:pPr>
      <w:r>
        <w:t xml:space="preserve">126. MacPhee SL, Shoemaker JK, Paterson DH, Kowalchuk JM. Kinetics of O2 uptake, leg blood flow, and muscle deoxygenation are slowed in the upper compared with lower region of the moderate-intensity exercise domain. J Appl Physiol Bethesda Md 1985. 2005;99:1822–34. </w:t>
      </w:r>
    </w:p>
    <w:p w14:paraId="32A3D98E" w14:textId="77777777" w:rsidR="008E498A" w:rsidRDefault="008E498A" w:rsidP="008E498A">
      <w:pPr>
        <w:pStyle w:val="Bibliography"/>
      </w:pPr>
      <w:r>
        <w:t xml:space="preserve">127. Bowen TS, Murgatroyd SR, Cannon DT, Cuff TJ, Lainey AF, Marjerrison AD, et al. A raised metabolic rate slows pulmonary O2 uptake kinetics on transition to moderate-intensity exercise in humans independently of work rate. Exp Physiol. 2011;96:1049–61. </w:t>
      </w:r>
    </w:p>
    <w:p w14:paraId="52DDFB85" w14:textId="77777777" w:rsidR="008E498A" w:rsidRDefault="008E498A" w:rsidP="008E498A">
      <w:pPr>
        <w:pStyle w:val="Bibliography"/>
      </w:pPr>
      <w:r>
        <w:t xml:space="preserve">128. DiMenna FJ, Wilkerson DP, Burnley M, Jones AM. Influence of priming exercise on pulmonary O2 uptake kinetics during transitions to high-intensity exercise from an elevated baseline. J Appl Physiol Bethesda Md 1985. 2008;105:538–46. </w:t>
      </w:r>
    </w:p>
    <w:p w14:paraId="2906FC7A" w14:textId="77777777" w:rsidR="008E498A" w:rsidRDefault="008E498A" w:rsidP="008E498A">
      <w:pPr>
        <w:pStyle w:val="Bibliography"/>
      </w:pPr>
      <w:r>
        <w:t xml:space="preserve">129. Wüst RCI, McDonald JR, Sun Y, Ferguson BS, Rogatzki MJ, Spires J, et al. Slowed muscle oxygen uptake kinetics with raised metabolism are not dependent on blood flow or recruitment dynamics. J Physiol. 2014;592:1857–71. </w:t>
      </w:r>
    </w:p>
    <w:p w14:paraId="0C10A206" w14:textId="77777777" w:rsidR="008E498A" w:rsidRDefault="008E498A" w:rsidP="008E498A">
      <w:pPr>
        <w:pStyle w:val="Bibliography"/>
      </w:pPr>
      <w:r>
        <w:t>130. Goulding RP, Roche DM, Marwood S. Elevated baseline work rate slows pulmonary oxygen uptake kinetics and decreases critical power during upright cycle exercise. Physiol Rep [Internet]. 2018 [cited 2018 Aug 6];6. Available from: https://www.ncbi.nlm.nih.gov/pmc/articles/PMC6056736/</w:t>
      </w:r>
    </w:p>
    <w:p w14:paraId="75248184" w14:textId="77777777" w:rsidR="008E498A" w:rsidRDefault="008E498A" w:rsidP="008E498A">
      <w:pPr>
        <w:pStyle w:val="Bibliography"/>
      </w:pPr>
      <w:r>
        <w:t>131. Goulding RP, Roche DM, Scott SN, Koga S, Weston PJ, Marwood S. Limitations to exercise tolerance in type 1 diabetes: the role of pulmonary oxygen uptake kinetics and priming exercise. J Appl Physiol [Internet]. 2020 [cited 2020 Mar 28]; Available from: https://journals.physiology.org/doi/abs/10.1152/japplphysiol.00892.2019</w:t>
      </w:r>
    </w:p>
    <w:p w14:paraId="14898DC8" w14:textId="77777777" w:rsidR="008E498A" w:rsidRDefault="008E498A" w:rsidP="008E498A">
      <w:pPr>
        <w:pStyle w:val="Bibliography"/>
      </w:pPr>
      <w:r>
        <w:t xml:space="preserve">132. Burnley M, Vanhatalo A, Jones AM. Distinct profiles of neuromuscular fatigue during muscle contractions below and above the critical torque in humans. J Appl Physiol Bethesda Md 1985. 2012;113:215–23. </w:t>
      </w:r>
    </w:p>
    <w:p w14:paraId="7C10E9A0" w14:textId="77777777" w:rsidR="008E498A" w:rsidRDefault="008E498A" w:rsidP="008E498A">
      <w:pPr>
        <w:pStyle w:val="Bibliography"/>
      </w:pPr>
      <w:r>
        <w:t xml:space="preserve">133. Zoladz JA, Gladden LB, Hogan MC, Nieckarz Z, Grassi B. Progressive recruitment of muscle fibers is not necessary for the slow component of VO2 kinetics. J Appl Physiol Bethesda Md 1985. 2008;105:575–80. </w:t>
      </w:r>
    </w:p>
    <w:p w14:paraId="2FDF9344" w14:textId="77777777" w:rsidR="008E498A" w:rsidRDefault="008E498A" w:rsidP="008E498A">
      <w:pPr>
        <w:pStyle w:val="Bibliography"/>
      </w:pPr>
      <w:r>
        <w:t xml:space="preserve">134. Vanhatalo A, Poole DC, DiMenna FJ, Bailey SJ, Jones AM. Muscle fiber recruitment and the slow component of O2 uptake: constant work rate vs. all-out sprint exercise. Am J Physiol Regul Integr Comp Physiol. 2011;300:R700-707. </w:t>
      </w:r>
    </w:p>
    <w:p w14:paraId="2F216029" w14:textId="77777777" w:rsidR="008E498A" w:rsidRDefault="008E498A" w:rsidP="008E498A">
      <w:pPr>
        <w:pStyle w:val="Bibliography"/>
      </w:pPr>
      <w:r>
        <w:t xml:space="preserve">135. Grassi B, Rossiter HB, Zoladz JA. Skeletal muscle fatigue and decreased efficiency: two sides of the same coin? Exerc Sport Sci Rev. 2015;43:75–83. </w:t>
      </w:r>
    </w:p>
    <w:p w14:paraId="2E72D12C" w14:textId="77777777" w:rsidR="008E498A" w:rsidRDefault="008E498A" w:rsidP="008E498A">
      <w:pPr>
        <w:pStyle w:val="Bibliography"/>
      </w:pPr>
      <w:r>
        <w:t xml:space="preserve">136. Allen DG, Lamb GD, Westerblad H. Skeletal muscle fatigue: cellular mechanisms. Physiol Rev. 2008;88:287–332. </w:t>
      </w:r>
    </w:p>
    <w:p w14:paraId="05CF5B61" w14:textId="77777777" w:rsidR="008E498A" w:rsidRDefault="008E498A" w:rsidP="008E498A">
      <w:pPr>
        <w:pStyle w:val="Bibliography"/>
      </w:pPr>
      <w:r>
        <w:t xml:space="preserve">137. Rossiter HB, Ward SA, Kowalchuk JM, Howe FA, Griffiths JR, Whipp BJ. Effects of prior exercise on oxygen uptake and phosphocreatine kinetics during high-intensity knee-extension exercise in humans. J Physiol. 2001;537:291–303. </w:t>
      </w:r>
    </w:p>
    <w:p w14:paraId="7EF15C45" w14:textId="77777777" w:rsidR="008E498A" w:rsidRDefault="008E498A" w:rsidP="008E498A">
      <w:pPr>
        <w:pStyle w:val="Bibliography"/>
      </w:pPr>
      <w:r>
        <w:lastRenderedPageBreak/>
        <w:t xml:space="preserve">138. Hogan MC, Nioka S, Brechue WF, Chance B. A 31P-NMR study of tissue respiration in working dog muscle during reduced O2 delivery conditions. J Appl Physiol Bethesda Md 1985. 1992;73:1662–70. </w:t>
      </w:r>
    </w:p>
    <w:p w14:paraId="0C6DC093" w14:textId="77777777" w:rsidR="008E498A" w:rsidRDefault="008E498A" w:rsidP="008E498A">
      <w:pPr>
        <w:pStyle w:val="Bibliography"/>
      </w:pPr>
      <w:r>
        <w:t xml:space="preserve">139. Behnke BJ, McDonough P, Padilla DJ, Musch TI, Poole DC. Oxygen exchange profile in rat muscles of contrasting fibre types. J Physiol. 2003;549:597–605. </w:t>
      </w:r>
    </w:p>
    <w:p w14:paraId="69818477" w14:textId="77777777" w:rsidR="008E498A" w:rsidRDefault="008E498A" w:rsidP="008E498A">
      <w:pPr>
        <w:pStyle w:val="Bibliography"/>
      </w:pPr>
      <w:r>
        <w:t xml:space="preserve">140. McDonough P, Behnke BJ, Padilla DJ, Musch TI, Poole DC. Control of microvascular oxygen pressures in rat muscles comprised of different fibre types. J Physiol. 2005;563:903–13. </w:t>
      </w:r>
    </w:p>
    <w:p w14:paraId="28C3CADC" w14:textId="77777777" w:rsidR="008E498A" w:rsidRDefault="008E498A" w:rsidP="008E498A">
      <w:pPr>
        <w:pStyle w:val="Bibliography"/>
      </w:pPr>
      <w:r>
        <w:t xml:space="preserve">141. Ferreira LF, McDonough P, Behnke BJ, Musch TI, Poole DC. Blood flow and O2 extraction as a function of O2 uptake in muscles composed of different fiber types. Respir Physiol Neurobiol. 2006;153:237–49. </w:t>
      </w:r>
    </w:p>
    <w:p w14:paraId="7A4A1689" w14:textId="77777777" w:rsidR="008E498A" w:rsidRDefault="008E498A" w:rsidP="008E498A">
      <w:pPr>
        <w:pStyle w:val="Bibliography"/>
      </w:pPr>
      <w:r>
        <w:t xml:space="preserve">142. Koga S, Okushima D, Barstow TJ, Rossiter HB, Kondo N, Poole DC. Near-infrared spectroscopy of superficial and deep rectus femoris reveals markedly different exercise response to superficial vastus lateralis. Physiol Rep. 2017;5. </w:t>
      </w:r>
    </w:p>
    <w:p w14:paraId="074F83F4" w14:textId="77777777" w:rsidR="008E498A" w:rsidRDefault="008E498A" w:rsidP="008E498A">
      <w:pPr>
        <w:pStyle w:val="Bibliography"/>
      </w:pPr>
      <w:r>
        <w:t xml:space="preserve">143. Wüst RCI, van der Laarse WJ, Rossiter HB. On-off asymmetries in oxygen consumption kinetics of single Xenopus laevis skeletal muscle fibres suggest higher-order control. J Physiol. 2013;591:731–44. </w:t>
      </w:r>
    </w:p>
    <w:p w14:paraId="1085D6A0" w14:textId="77777777" w:rsidR="008E498A" w:rsidRDefault="008E498A" w:rsidP="008E498A">
      <w:pPr>
        <w:pStyle w:val="Bibliography"/>
      </w:pPr>
      <w:r>
        <w:t xml:space="preserve">144. Crow MT, Kushmerick MJ. Chemical energetics of slow- and fast-twitch muscles of the mouse. J Gen Physiol. 1982;79:147–66. </w:t>
      </w:r>
    </w:p>
    <w:p w14:paraId="79876754" w14:textId="77777777" w:rsidR="008E498A" w:rsidRDefault="008E498A" w:rsidP="008E498A">
      <w:pPr>
        <w:pStyle w:val="Bibliography"/>
      </w:pPr>
      <w:r>
        <w:t xml:space="preserve">145. Jackman MR, Willis WT. Characteristics of mitochondria isolated from type I and type IIb skeletal muscle. Am J Physiol. 1996;270:C673-678. </w:t>
      </w:r>
    </w:p>
    <w:p w14:paraId="5A93EBFD" w14:textId="77777777" w:rsidR="008E498A" w:rsidRDefault="008E498A" w:rsidP="008E498A">
      <w:pPr>
        <w:pStyle w:val="Bibliography"/>
      </w:pPr>
      <w:r>
        <w:t xml:space="preserve">146. Willis WT, Jackman MR. Mitochondrial function during heavy exercise. Med Sci Sports Exerc. 1994;26:1347–53. </w:t>
      </w:r>
    </w:p>
    <w:p w14:paraId="77D12718" w14:textId="77777777" w:rsidR="008E498A" w:rsidRDefault="008E498A" w:rsidP="008E498A">
      <w:pPr>
        <w:pStyle w:val="Bibliography"/>
      </w:pPr>
      <w:r>
        <w:t xml:space="preserve">147. Barstow TJ, Jones AM, Nguyen PH, Casaburi R. Influence of muscle fiber type and pedal frequency on oxygen uptake kinetics of heavy exercise. J Appl Physiol Bethesda Md 1985. 1996;81:1642–50. </w:t>
      </w:r>
    </w:p>
    <w:p w14:paraId="2DD5A9EC" w14:textId="77777777" w:rsidR="008E498A" w:rsidRDefault="008E498A" w:rsidP="008E498A">
      <w:pPr>
        <w:pStyle w:val="Bibliography"/>
      </w:pPr>
      <w:r>
        <w:t xml:space="preserve">148. Pringle JSM, Doust JH, Carter H, Tolfrey K, Campbell IT, Sakkas GK, et al. Oxygen uptake kinetics during moderate, heavy and severe intensity “submaximal” exercise in humans: the influence of muscle fibre type and capillarisation. Eur J Appl Physiol. 2003;89:289–300. </w:t>
      </w:r>
    </w:p>
    <w:p w14:paraId="78E49347" w14:textId="77777777" w:rsidR="008E498A" w:rsidRDefault="008E498A" w:rsidP="008E498A">
      <w:pPr>
        <w:pStyle w:val="Bibliography"/>
      </w:pPr>
      <w:r>
        <w:t xml:space="preserve">149. Colburn TD, Hirai DM, Craig JC, Ferguson SK, Weber RE, Schulze KM, et al. Transcapillary PO2 gradients in contracting muscles across the fibre type and oxidative continuum. J Physiol. 2020;598:3187–202. </w:t>
      </w:r>
    </w:p>
    <w:p w14:paraId="73F3151C" w14:textId="77777777" w:rsidR="008E498A" w:rsidRDefault="008E498A" w:rsidP="008E498A">
      <w:pPr>
        <w:pStyle w:val="Bibliography"/>
      </w:pPr>
      <w:r>
        <w:t xml:space="preserve">150. Hirai DM, Craig JC, Colburn TD, Eshima H, Kano Y, Sexton WL, et al. Skeletal muscle microvascular and interstitial PO2 from rest to contractions. J Physiol. 2017; </w:t>
      </w:r>
    </w:p>
    <w:p w14:paraId="4F7DB900" w14:textId="77777777" w:rsidR="008E498A" w:rsidRDefault="008E498A" w:rsidP="008E498A">
      <w:pPr>
        <w:pStyle w:val="Bibliography"/>
      </w:pPr>
      <w:r>
        <w:t xml:space="preserve">151. Cannon DT, Howe FA, Whipp BJ, Ward SA, McIntyre DJ, Ladroue C, et al. Muscle metabolism and activation heterogeneity by combined 31P chemical shift and T2 imaging, and pulmonary O2 uptake during incremental knee-extensor exercise. J Appl Physiol. 2013;115:839–49. </w:t>
      </w:r>
    </w:p>
    <w:p w14:paraId="252F0925" w14:textId="77777777" w:rsidR="008E498A" w:rsidRDefault="008E498A" w:rsidP="008E498A">
      <w:pPr>
        <w:pStyle w:val="Bibliography"/>
      </w:pPr>
      <w:r>
        <w:t xml:space="preserve">152. Morgan PT, Vanhatalo A, Bowtell JL, Jones AM, Bailey SJ. Acetaminophen ingestion improves muscle activation and performance during a 3-min all-out cycling test. Appl Physiol Nutr Metab Physiol Appl Nutr Metab. 2019;44:434–42. </w:t>
      </w:r>
    </w:p>
    <w:p w14:paraId="187EA99C" w14:textId="77777777" w:rsidR="008E498A" w:rsidRDefault="008E498A" w:rsidP="008E498A">
      <w:pPr>
        <w:pStyle w:val="Bibliography"/>
      </w:pPr>
      <w:r>
        <w:lastRenderedPageBreak/>
        <w:t xml:space="preserve">153. Morgan PT, Bowtell JL, Vanhatalo A, Jones AM, Bailey SJ. Acute acetaminophen ingestion improves performance and muscle activation during maximal intermittent knee extensor exercise. Eur J Appl Physiol. 2018;118:595–605. </w:t>
      </w:r>
    </w:p>
    <w:p w14:paraId="4E3D7EFE" w14:textId="77777777" w:rsidR="008E498A" w:rsidRDefault="008E498A" w:rsidP="008E498A">
      <w:pPr>
        <w:pStyle w:val="Bibliography"/>
      </w:pPr>
      <w:r>
        <w:t>154. Jones AM, Poole DC. Physiological Demands of Endurance Exercise. Olymp Textb Sci Sport [Internet]. John Wiley &amp; Sons, Ltd; 2008 [cited 2022 Sep 22]. p. 43–55. Available from: https://onlinelibrary.wiley.com/doi/abs/10.1002/9781444303315.ch3</w:t>
      </w:r>
    </w:p>
    <w:p w14:paraId="283DAE64" w14:textId="77777777" w:rsidR="008E498A" w:rsidRDefault="008E498A" w:rsidP="008E498A">
      <w:pPr>
        <w:pStyle w:val="Bibliography"/>
      </w:pPr>
      <w:r>
        <w:t xml:space="preserve">155. Burnley M, Doust JH, Ball D, Jones AM. Effects of prior heavy exercise on VO(2) kinetics during heavy exercise are related to changes in muscle activity. J Appl Physiol Bethesda Md 1985. 2002;93:167–74. </w:t>
      </w:r>
    </w:p>
    <w:p w14:paraId="6157FD2E" w14:textId="77777777" w:rsidR="008E498A" w:rsidRDefault="008E498A" w:rsidP="008E498A">
      <w:pPr>
        <w:pStyle w:val="Bibliography"/>
      </w:pPr>
      <w:r>
        <w:t xml:space="preserve">156. Wasserman K, Van Kessel AL, Burton GG. Interaction of physiological mechanisms during exercise. J Appl Physiol. 1967;22:71–85. </w:t>
      </w:r>
    </w:p>
    <w:p w14:paraId="0798B929" w14:textId="77777777" w:rsidR="008E498A" w:rsidRDefault="008E498A" w:rsidP="008E498A">
      <w:pPr>
        <w:pStyle w:val="Bibliography"/>
      </w:pPr>
      <w:r>
        <w:t xml:space="preserve">157. Jones AM, Kirby BS, Clark IE, Rice HM, Fulkerson E, Wylie LJ, et al. Physiological demands of running at 2-hour marathon race pace. J Appl Physiol. American Physiological Society; 2021;130:369–79. </w:t>
      </w:r>
    </w:p>
    <w:p w14:paraId="09041F82" w14:textId="77777777" w:rsidR="008E498A" w:rsidRDefault="008E498A" w:rsidP="008E498A">
      <w:pPr>
        <w:pStyle w:val="Bibliography"/>
      </w:pPr>
      <w:r>
        <w:t xml:space="preserve">158. Gaesser GA, Wilson LA. Effects of continuous and interval training on the parameters of the power-endurance time relationship for high-intensity exercise. Int J Sports Med. 1988;9:417–21. </w:t>
      </w:r>
    </w:p>
    <w:p w14:paraId="7E3967E2" w14:textId="77777777" w:rsidR="008E498A" w:rsidRDefault="008E498A" w:rsidP="008E498A">
      <w:pPr>
        <w:pStyle w:val="Bibliography"/>
      </w:pPr>
      <w:r>
        <w:t xml:space="preserve">159. Poole DC, Ward SA, Whipp BJ. The effects of training on the metabolic and respiratory profile of high-intensity cycle ergometer exercise. Eur J Appl Physiol. 1990;59:421–9. </w:t>
      </w:r>
    </w:p>
    <w:p w14:paraId="7B534900" w14:textId="77777777" w:rsidR="008E498A" w:rsidRDefault="008E498A" w:rsidP="008E498A">
      <w:pPr>
        <w:pStyle w:val="Bibliography"/>
      </w:pPr>
      <w:r>
        <w:t xml:space="preserve">160. Jenkins DG, Quigley BM. Endurance training enhances critical power. Med Sci Sports Exerc. 1992;24:1283–9. </w:t>
      </w:r>
    </w:p>
    <w:p w14:paraId="4524879A" w14:textId="77777777" w:rsidR="008E498A" w:rsidRDefault="008E498A" w:rsidP="008E498A">
      <w:pPr>
        <w:pStyle w:val="Bibliography"/>
      </w:pPr>
      <w:r>
        <w:t xml:space="preserve">161. Hill DW, Smith JC, Leuschel JL, Chasteen SD, Miller SA. Effect of pedal cadence on parameters of the hyperbolic power-time relationship. Int J Sports Med. 1995;16:82–7. </w:t>
      </w:r>
    </w:p>
    <w:p w14:paraId="2572E980" w14:textId="77777777" w:rsidR="008E498A" w:rsidRDefault="008E498A" w:rsidP="008E498A">
      <w:pPr>
        <w:pStyle w:val="Bibliography"/>
      </w:pPr>
      <w:r>
        <w:t xml:space="preserve">162. Serres I, Varray A, Vallet G, Micallef JP, Préfaut C. Improved Skeletal Muscle Performance After Individualized Exercise Training in Patients With Chronic Obstructive Pulmonary Disease. J Cardiopulm Rehabil Prev. 1997;17:232–8. </w:t>
      </w:r>
    </w:p>
    <w:p w14:paraId="4474A313" w14:textId="77777777" w:rsidR="008E498A" w:rsidRDefault="008E498A" w:rsidP="008E498A">
      <w:pPr>
        <w:pStyle w:val="Bibliography"/>
      </w:pPr>
      <w:r>
        <w:t xml:space="preserve">163. Barker T, Poole DC, Noble ML, Barstow TJ. Human critical power–oxygen uptake relationship at different pedalling frequencies. Exp Physiol. 2006;91:621–32. </w:t>
      </w:r>
    </w:p>
    <w:p w14:paraId="49A0E5FF" w14:textId="77777777" w:rsidR="008E498A" w:rsidRDefault="008E498A" w:rsidP="008E498A">
      <w:pPr>
        <w:pStyle w:val="Bibliography"/>
      </w:pPr>
      <w:r>
        <w:t xml:space="preserve">164. Vanhatalo A, Doust JH, Burnley M. A 3-min all-out cycling test is sensitive to a change in critical power. Med Sci Sports Exerc. 2008;40:1693–9. </w:t>
      </w:r>
    </w:p>
    <w:p w14:paraId="3CA43629" w14:textId="77777777" w:rsidR="008E498A" w:rsidRDefault="008E498A" w:rsidP="008E498A">
      <w:pPr>
        <w:pStyle w:val="Bibliography"/>
      </w:pPr>
      <w:r>
        <w:t xml:space="preserve">165. Miura A, Shiragiku C, Hirotoshi Y, Kitano A, Endo MY, Barstow TJ, et al. The effect of prior heavy exercise on the parameters of the power-duration curve for cycle ergometry. Appl Physiol Nutr Metab Physiol Appl Nutr Metab. 2009;34:1001–7. </w:t>
      </w:r>
    </w:p>
    <w:p w14:paraId="02BEAA86" w14:textId="77777777" w:rsidR="008E498A" w:rsidRDefault="008E498A" w:rsidP="008E498A">
      <w:pPr>
        <w:pStyle w:val="Bibliography"/>
      </w:pPr>
      <w:r>
        <w:t xml:space="preserve">166. Corn SD, Barstow TJ. Effects of oral N-acetylcysteine on fatigue, critical power, and W’ in exercising humans. Respir Physiol Neurobiol. 2011;178:261–8. </w:t>
      </w:r>
    </w:p>
    <w:p w14:paraId="67A0922C" w14:textId="77777777" w:rsidR="008E498A" w:rsidRDefault="008E498A" w:rsidP="008E498A">
      <w:pPr>
        <w:pStyle w:val="Bibliography"/>
      </w:pPr>
      <w:r>
        <w:t xml:space="preserve">167. Mueller SM, Aguayo D, Lunardi F, Ruoss S, Boutellier U, Frese S, et al. High-load resistance exercise with superimposed vibration and vascular occlusion increases critical power, capillaries and lean mass in endurance-trained men. Eur J Appl Physiol. 2014;114:123–33. </w:t>
      </w:r>
    </w:p>
    <w:p w14:paraId="1614845F" w14:textId="77777777" w:rsidR="008E498A" w:rsidRDefault="008E498A" w:rsidP="008E498A">
      <w:pPr>
        <w:pStyle w:val="Bibliography"/>
      </w:pPr>
      <w:r>
        <w:lastRenderedPageBreak/>
        <w:t xml:space="preserve">168. Broxterman RM, Ade CJ, Barker T, Barstow TJ. Influence of pedal cadence on the respiratory compensation point and its relation to critical power. Respir Physiol Neurobiol. 2015;208:1–7. </w:t>
      </w:r>
    </w:p>
    <w:p w14:paraId="2C26E796" w14:textId="77777777" w:rsidR="008E498A" w:rsidRDefault="008E498A" w:rsidP="008E498A">
      <w:pPr>
        <w:pStyle w:val="Bibliography"/>
      </w:pPr>
      <w:r>
        <w:t xml:space="preserve">169. Black MI, Jones AM, Bailey SJ, Vanhatalo A. Self-pacing increases critical power and improves performance during severe-intensity exercise. Appl Physiol Nutr Metab Physiol Appl Nutr Metab. 2015;40:662–70. </w:t>
      </w:r>
    </w:p>
    <w:p w14:paraId="6B8F2C5F" w14:textId="77777777" w:rsidR="008E498A" w:rsidRDefault="008E498A" w:rsidP="008E498A">
      <w:pPr>
        <w:pStyle w:val="Bibliography"/>
      </w:pPr>
      <w:r>
        <w:t xml:space="preserve">170. Deb SK, Gough LA, Sparks SA, McNaughton LR. Determinants of curvature constant (W’) of the power duration relationship under normoxia and hypoxia: the effect of pre-exercise alkalosis. Eur J Appl Physiol. 2017;117:901–12. </w:t>
      </w:r>
    </w:p>
    <w:p w14:paraId="6EA63245" w14:textId="77777777" w:rsidR="008E498A" w:rsidRDefault="008E498A" w:rsidP="008E498A">
      <w:pPr>
        <w:pStyle w:val="Bibliography"/>
      </w:pPr>
      <w:r>
        <w:t xml:space="preserve">171. Clark IE, Vanhatalo A, Bailey SJ, Wylie LJ, Kirby BS, Wilkins BW, et al. Effects of Two Hours of Heavy-Intensity Exercise on the Power-Duration Relationship. Med Sci Sports Exerc. 2018;50:1658–68. </w:t>
      </w:r>
    </w:p>
    <w:p w14:paraId="78E36159" w14:textId="77777777" w:rsidR="008E498A" w:rsidRDefault="008E498A" w:rsidP="008E498A">
      <w:pPr>
        <w:pStyle w:val="Bibliography"/>
      </w:pPr>
      <w:r>
        <w:t xml:space="preserve">172. Clark IE, Vanhatalo A, Thompson C, Joseph C, Black MI, Blackwell JR, et al. Dynamics of the power-duration relationship during prolonged endurance exercise and influence of carbohydrate ingestion. J Appl Physiol. American Physiological Society; 2019;127:726–36. </w:t>
      </w:r>
    </w:p>
    <w:p w14:paraId="461A7CE8" w14:textId="77777777" w:rsidR="008E498A" w:rsidRDefault="008E498A" w:rsidP="008E498A">
      <w:pPr>
        <w:pStyle w:val="Bibliography"/>
      </w:pPr>
      <w:r>
        <w:t xml:space="preserve">173. Clark IE, Vanhatalo A, Thompson C, Wylie LJ, Bailey SJ, Kirby BS, et al. Changes in the power-duration relationship following prolonged exercise: estimation using conventional and all-out protocols and relationship with muscle glycogen. Am J Physiol-Regul Integr Comp Physiol. American Physiological Society; 2019;317:R59–67. </w:t>
      </w:r>
    </w:p>
    <w:p w14:paraId="0136A794" w14:textId="77777777" w:rsidR="008E498A" w:rsidRDefault="008E498A" w:rsidP="008E498A">
      <w:pPr>
        <w:pStyle w:val="Bibliography"/>
      </w:pPr>
      <w:r>
        <w:t xml:space="preserve">174. Waldron M, Patterson SD, Jeffries O. Oral taurine improves critical power and severe-intensity exercise tolerance. Amino Acids. 2019;51:1433–41. </w:t>
      </w:r>
    </w:p>
    <w:p w14:paraId="28C77D55" w14:textId="77777777" w:rsidR="008E498A" w:rsidRDefault="008E498A" w:rsidP="008E498A">
      <w:pPr>
        <w:pStyle w:val="Bibliography"/>
      </w:pPr>
      <w:r>
        <w:t xml:space="preserve">175. Karabiyik H, Eser MC, Guler O, Yasli BC, Ertetik G, Sisman A, et al. The Effects of 15 or 30 s SIT in Normobaric Hypoxia on Aerobic, Anaerobic Performance and Critical Power. Int J Environ Res Public Health. 2021;18:3976. </w:t>
      </w:r>
    </w:p>
    <w:p w14:paraId="081FF1F0" w14:textId="77777777" w:rsidR="008E498A" w:rsidRDefault="008E498A" w:rsidP="008E498A">
      <w:pPr>
        <w:pStyle w:val="Bibliography"/>
      </w:pPr>
      <w:r>
        <w:t xml:space="preserve">176. Collins J, Leach O, Dorff A, Linde J, Kofoed J, Sherman M, et al. Critical power and work-prime account for variability in endurance training adaptations not captured by V̇o2max. J Appl Physiol Bethesda Md 1985. 2022;133:986–1000. </w:t>
      </w:r>
    </w:p>
    <w:p w14:paraId="4C912AD0" w14:textId="77777777" w:rsidR="008E498A" w:rsidRDefault="008E498A" w:rsidP="008E498A">
      <w:pPr>
        <w:pStyle w:val="Bibliography"/>
      </w:pPr>
      <w:r>
        <w:t xml:space="preserve">177. Byrd MT, Switalla JR, Eastman JE, Wallace BJ, Clasey JL, Bergstrom HC. Contributions of Body-Composition Characteristics to Critical Power and Anaerobic Work Capacity. Int J Sports Physiol Perform. Human Kinetics; 13:189–93. </w:t>
      </w:r>
    </w:p>
    <w:p w14:paraId="47CCF095" w14:textId="78244C9B" w:rsidR="00A34531" w:rsidRPr="00165ED2" w:rsidRDefault="00DD5AE3" w:rsidP="00C33A3C">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Cs/>
          <w:sz w:val="24"/>
          <w:szCs w:val="24"/>
        </w:rPr>
        <w:fldChar w:fldCharType="end"/>
      </w:r>
    </w:p>
    <w:p w14:paraId="1181C01C" w14:textId="74FEA480" w:rsidR="008E29E0" w:rsidRPr="00165ED2" w:rsidRDefault="008E29E0" w:rsidP="00C33A3C">
      <w:pPr>
        <w:spacing w:line="480" w:lineRule="auto"/>
        <w:jc w:val="both"/>
        <w:rPr>
          <w:rFonts w:ascii="Times New Roman" w:eastAsia="MS Mincho" w:hAnsi="Times New Roman" w:cs="Times New Roman"/>
          <w:bCs/>
          <w:sz w:val="24"/>
          <w:szCs w:val="24"/>
        </w:rPr>
      </w:pPr>
    </w:p>
    <w:p w14:paraId="67F9C7F2" w14:textId="39228F37" w:rsidR="008E29E0" w:rsidRPr="00165ED2" w:rsidRDefault="008E29E0" w:rsidP="00C33A3C">
      <w:pPr>
        <w:spacing w:line="480" w:lineRule="auto"/>
        <w:jc w:val="both"/>
        <w:rPr>
          <w:rFonts w:ascii="Times New Roman" w:eastAsia="MS Mincho" w:hAnsi="Times New Roman" w:cs="Times New Roman"/>
          <w:bCs/>
          <w:sz w:val="24"/>
          <w:szCs w:val="24"/>
        </w:rPr>
      </w:pPr>
    </w:p>
    <w:p w14:paraId="7DDCF3D0" w14:textId="346392B0" w:rsidR="008E29E0" w:rsidRPr="00165ED2" w:rsidRDefault="008E29E0" w:rsidP="00C33A3C">
      <w:pPr>
        <w:spacing w:line="480" w:lineRule="auto"/>
        <w:jc w:val="both"/>
        <w:rPr>
          <w:rFonts w:ascii="Times New Roman" w:eastAsia="MS Mincho" w:hAnsi="Times New Roman" w:cs="Times New Roman"/>
          <w:bCs/>
          <w:sz w:val="24"/>
          <w:szCs w:val="24"/>
        </w:rPr>
      </w:pPr>
    </w:p>
    <w:p w14:paraId="6AFF4652" w14:textId="451AAC6F" w:rsidR="008E29E0" w:rsidRPr="00165ED2" w:rsidRDefault="008E29E0" w:rsidP="00C33A3C">
      <w:pPr>
        <w:spacing w:line="480" w:lineRule="auto"/>
        <w:jc w:val="both"/>
        <w:rPr>
          <w:rFonts w:ascii="Times New Roman" w:eastAsia="MS Mincho" w:hAnsi="Times New Roman" w:cs="Times New Roman"/>
          <w:bCs/>
          <w:sz w:val="24"/>
          <w:szCs w:val="24"/>
        </w:rPr>
      </w:pPr>
    </w:p>
    <w:p w14:paraId="2B55F761" w14:textId="75367936" w:rsidR="008E29E0" w:rsidRPr="00165ED2" w:rsidRDefault="008E29E0" w:rsidP="00C33A3C">
      <w:pPr>
        <w:spacing w:line="480" w:lineRule="auto"/>
        <w:jc w:val="both"/>
        <w:rPr>
          <w:rFonts w:ascii="Times New Roman" w:eastAsia="MS Mincho" w:hAnsi="Times New Roman" w:cs="Times New Roman"/>
          <w:bCs/>
          <w:sz w:val="24"/>
          <w:szCs w:val="24"/>
        </w:rPr>
      </w:pPr>
    </w:p>
    <w:p w14:paraId="06083A9B" w14:textId="2519B49B" w:rsidR="008E29E0" w:rsidRPr="00165ED2" w:rsidRDefault="008E29E0" w:rsidP="00C33A3C">
      <w:pPr>
        <w:spacing w:line="480" w:lineRule="auto"/>
        <w:jc w:val="both"/>
        <w:rPr>
          <w:rFonts w:ascii="Times New Roman" w:eastAsia="MS Mincho" w:hAnsi="Times New Roman" w:cs="Times New Roman"/>
          <w:bCs/>
          <w:sz w:val="24"/>
          <w:szCs w:val="24"/>
        </w:rPr>
      </w:pPr>
    </w:p>
    <w:p w14:paraId="7611FF96" w14:textId="789CC98B" w:rsidR="0031111D" w:rsidRPr="00165ED2" w:rsidRDefault="0031111D" w:rsidP="0031111D">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
          <w:bCs/>
          <w:sz w:val="24"/>
          <w:szCs w:val="24"/>
        </w:rPr>
        <w:t>Figure 1.</w:t>
      </w:r>
      <w:r w:rsidRPr="00165ED2">
        <w:rPr>
          <w:rFonts w:ascii="Times New Roman" w:eastAsia="MS Mincho" w:hAnsi="Times New Roman" w:cs="Times New Roman"/>
          <w:bCs/>
          <w:sz w:val="24"/>
          <w:szCs w:val="24"/>
        </w:rPr>
        <w:t xml:space="preserve"> </w:t>
      </w:r>
      <w:r w:rsidR="00F868F4" w:rsidRPr="00165ED2">
        <w:rPr>
          <w:rFonts w:ascii="Times New Roman" w:eastAsia="MS Mincho" w:hAnsi="Times New Roman" w:cs="Times New Roman"/>
          <w:bCs/>
          <w:sz w:val="24"/>
          <w:szCs w:val="24"/>
        </w:rPr>
        <w:t>The hyperbolic power</w:t>
      </w:r>
      <w:r w:rsidRPr="00165ED2">
        <w:rPr>
          <w:rFonts w:ascii="Times New Roman" w:eastAsia="MS Mincho" w:hAnsi="Times New Roman" w:cs="Times New Roman"/>
          <w:bCs/>
          <w:sz w:val="24"/>
          <w:szCs w:val="24"/>
        </w:rPr>
        <w:t>-duration curve that defines the sustainable duration of exercise in the severe-intensity domain.  This hyperbolic relationship is defined by two parameters: the power asymptote, known as the critical power (CP</w:t>
      </w:r>
      <w:r w:rsidR="000B05E0" w:rsidRPr="00165ED2">
        <w:rPr>
          <w:rFonts w:ascii="Times New Roman" w:eastAsia="MS Mincho" w:hAnsi="Times New Roman" w:cs="Times New Roman"/>
          <w:bCs/>
          <w:sz w:val="24"/>
          <w:szCs w:val="24"/>
        </w:rPr>
        <w:t>), and the curvature constant W'</w:t>
      </w:r>
      <w:r w:rsidRPr="00165ED2">
        <w:rPr>
          <w:rFonts w:ascii="Times New Roman" w:eastAsia="MS Mincho" w:hAnsi="Times New Roman" w:cs="Times New Roman"/>
          <w:bCs/>
          <w:sz w:val="24"/>
          <w:szCs w:val="24"/>
        </w:rPr>
        <w:t xml:space="preserve"> (denoted by the rectangular </w:t>
      </w:r>
      <w:r w:rsidR="006B4837" w:rsidRPr="00165ED2">
        <w:rPr>
          <w:rFonts w:ascii="Times New Roman" w:eastAsia="MS Mincho" w:hAnsi="Times New Roman" w:cs="Times New Roman"/>
          <w:bCs/>
          <w:sz w:val="24"/>
          <w:szCs w:val="24"/>
        </w:rPr>
        <w:t>dashed blue lines above</w:t>
      </w:r>
      <w:r w:rsidRPr="00165ED2">
        <w:rPr>
          <w:rFonts w:ascii="Times New Roman" w:eastAsia="MS Mincho" w:hAnsi="Times New Roman" w:cs="Times New Roman"/>
          <w:bCs/>
          <w:sz w:val="24"/>
          <w:szCs w:val="24"/>
        </w:rPr>
        <w:t xml:space="preserve"> CP and expressed in kilojoules). CP defines the boundary between the heavy and severe exercise intensity domains and represents the highest power output for which a metabolic stea</w:t>
      </w:r>
      <w:r w:rsidR="000B05E0" w:rsidRPr="00165ED2">
        <w:rPr>
          <w:rFonts w:ascii="Times New Roman" w:eastAsia="MS Mincho" w:hAnsi="Times New Roman" w:cs="Times New Roman"/>
          <w:bCs/>
          <w:sz w:val="24"/>
          <w:szCs w:val="24"/>
        </w:rPr>
        <w:t>dy state may be attained. The W'</w:t>
      </w:r>
      <w:r w:rsidRPr="00165ED2">
        <w:rPr>
          <w:rFonts w:ascii="Times New Roman" w:eastAsia="MS Mincho" w:hAnsi="Times New Roman" w:cs="Times New Roman"/>
          <w:bCs/>
          <w:sz w:val="24"/>
          <w:szCs w:val="24"/>
        </w:rPr>
        <w:t xml:space="preserve"> comprises a fixed and finite volume of work that is expendable above CP. During severe-intensity exercise, task failure occurs when W</w:t>
      </w:r>
      <w:r w:rsidR="000B05E0" w:rsidRPr="00165ED2">
        <w:rPr>
          <w:rFonts w:ascii="Times New Roman" w:eastAsia="MS Mincho" w:hAnsi="Times New Roman" w:cs="Times New Roman"/>
          <w:bCs/>
          <w:sz w:val="24"/>
          <w:szCs w:val="24"/>
        </w:rPr>
        <w:t>'</w:t>
      </w:r>
      <w:r w:rsidR="006B4837" w:rsidRPr="00165ED2">
        <w:rPr>
          <w:rFonts w:ascii="Times New Roman" w:eastAsia="MS Mincho" w:hAnsi="Times New Roman" w:cs="Times New Roman"/>
          <w:bCs/>
          <w:sz w:val="24"/>
          <w:szCs w:val="24"/>
        </w:rPr>
        <w:t xml:space="preserve"> = 0. </w:t>
      </w:r>
      <w:r w:rsidRPr="00165ED2">
        <w:rPr>
          <w:rFonts w:ascii="Times New Roman" w:eastAsia="MS Mincho" w:hAnsi="Times New Roman" w:cs="Times New Roman"/>
          <w:bCs/>
          <w:sz w:val="24"/>
          <w:szCs w:val="24"/>
        </w:rPr>
        <w:t>GET</w:t>
      </w:r>
      <w:r w:rsidR="008721A7" w:rsidRPr="00165ED2">
        <w:rPr>
          <w:rFonts w:ascii="Times New Roman" w:eastAsia="MS Mincho" w:hAnsi="Times New Roman" w:cs="Times New Roman"/>
          <w:bCs/>
          <w:sz w:val="24"/>
          <w:szCs w:val="24"/>
        </w:rPr>
        <w:t>:</w:t>
      </w:r>
      <w:r w:rsidRPr="00165ED2">
        <w:rPr>
          <w:rFonts w:ascii="Times New Roman" w:eastAsia="MS Mincho" w:hAnsi="Times New Roman" w:cs="Times New Roman"/>
          <w:bCs/>
          <w:sz w:val="24"/>
          <w:szCs w:val="24"/>
        </w:rPr>
        <w:t xml:space="preserve"> gas exchange threshold.  </w:t>
      </w:r>
    </w:p>
    <w:p w14:paraId="597E0C64" w14:textId="0A0F899D" w:rsidR="0031111D" w:rsidRPr="00165ED2" w:rsidRDefault="0031111D" w:rsidP="00AB688A">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
          <w:bCs/>
          <w:sz w:val="24"/>
          <w:szCs w:val="24"/>
        </w:rPr>
        <w:t>Figure 2.</w:t>
      </w:r>
      <w:r w:rsidRPr="00165ED2">
        <w:rPr>
          <w:rFonts w:ascii="Times New Roman" w:eastAsia="MS Mincho" w:hAnsi="Times New Roman" w:cs="Times New Roman"/>
          <w:bCs/>
          <w:sz w:val="24"/>
          <w:szCs w:val="24"/>
        </w:rPr>
        <w:t xml:space="preserve"> </w:t>
      </w:r>
      <w:r w:rsidR="00DF5081" w:rsidRPr="00165ED2">
        <w:rPr>
          <w:rFonts w:ascii="Times New Roman" w:eastAsia="MS Mincho" w:hAnsi="Times New Roman" w:cs="Times New Roman"/>
          <w:bCs/>
          <w:sz w:val="24"/>
          <w:szCs w:val="24"/>
        </w:rPr>
        <w:t xml:space="preserve">This schematic illustrates an adaptation of Wasserman’s </w:t>
      </w:r>
      <w:r w:rsidR="007A3303" w:rsidRPr="00165ED2">
        <w:rPr>
          <w:rFonts w:ascii="Times New Roman" w:eastAsia="MS Mincho" w:hAnsi="Times New Roman" w:cs="Times New Roman"/>
          <w:bCs/>
          <w:sz w:val="24"/>
          <w:szCs w:val="24"/>
        </w:rPr>
        <w:t xml:space="preserve">classic </w:t>
      </w:r>
      <w:r w:rsidR="00DF5081" w:rsidRPr="00165ED2">
        <w:rPr>
          <w:rFonts w:ascii="Times New Roman" w:eastAsia="MS Mincho" w:hAnsi="Times New Roman" w:cs="Times New Roman"/>
          <w:bCs/>
          <w:sz w:val="24"/>
          <w:szCs w:val="24"/>
        </w:rPr>
        <w:t xml:space="preserve">“Gears” diagram. </w:t>
      </w:r>
      <w:r w:rsidR="006B4837" w:rsidRPr="00165ED2">
        <w:rPr>
          <w:rFonts w:ascii="Times New Roman" w:eastAsia="MS Mincho" w:hAnsi="Times New Roman" w:cs="Times New Roman"/>
          <w:bCs/>
          <w:sz w:val="24"/>
          <w:szCs w:val="24"/>
        </w:rPr>
        <w:t>I</w:t>
      </w:r>
      <w:r w:rsidR="00DF5081" w:rsidRPr="00165ED2">
        <w:rPr>
          <w:rFonts w:ascii="Times New Roman" w:eastAsia="MS Mincho" w:hAnsi="Times New Roman" w:cs="Times New Roman"/>
          <w:bCs/>
          <w:sz w:val="24"/>
          <w:szCs w:val="24"/>
        </w:rPr>
        <w:t>t demonstrates Wasserman’s concept</w:t>
      </w:r>
      <w:r w:rsidR="00F868F4" w:rsidRPr="00165ED2">
        <w:rPr>
          <w:rFonts w:ascii="Times New Roman" w:eastAsia="MS Mincho" w:hAnsi="Times New Roman" w:cs="Times New Roman"/>
          <w:bCs/>
          <w:sz w:val="24"/>
          <w:szCs w:val="24"/>
        </w:rPr>
        <w:t xml:space="preserve">ion of </w:t>
      </w:r>
      <w:r w:rsidR="00DF5081" w:rsidRPr="00165ED2">
        <w:rPr>
          <w:rFonts w:ascii="Times New Roman" w:eastAsia="MS Mincho" w:hAnsi="Times New Roman" w:cs="Times New Roman"/>
          <w:bCs/>
          <w:sz w:val="24"/>
          <w:szCs w:val="24"/>
        </w:rPr>
        <w:t xml:space="preserve">how the respiratory, cardiovascular and neuromuscular systems </w:t>
      </w:r>
      <w:r w:rsidR="00F868F4" w:rsidRPr="00165ED2">
        <w:rPr>
          <w:rFonts w:ascii="Times New Roman" w:eastAsia="MS Mincho" w:hAnsi="Times New Roman" w:cs="Times New Roman"/>
          <w:bCs/>
          <w:sz w:val="24"/>
          <w:szCs w:val="24"/>
        </w:rPr>
        <w:t>conflate</w:t>
      </w:r>
      <w:r w:rsidR="00DF5081" w:rsidRPr="00165ED2">
        <w:rPr>
          <w:rFonts w:ascii="Times New Roman" w:eastAsia="MS Mincho" w:hAnsi="Times New Roman" w:cs="Times New Roman"/>
          <w:bCs/>
          <w:sz w:val="24"/>
          <w:szCs w:val="24"/>
        </w:rPr>
        <w:t xml:space="preserve"> to enable exercise to be sustained. O</w:t>
      </w:r>
      <w:r w:rsidR="00DF5081" w:rsidRPr="00165ED2">
        <w:rPr>
          <w:rFonts w:ascii="Times New Roman" w:eastAsia="MS Mincho" w:hAnsi="Times New Roman" w:cs="Times New Roman"/>
          <w:bCs/>
          <w:sz w:val="24"/>
          <w:szCs w:val="24"/>
          <w:vertAlign w:val="subscript"/>
        </w:rPr>
        <w:t xml:space="preserve">2 </w:t>
      </w:r>
      <w:r w:rsidR="00DF5081" w:rsidRPr="00165ED2">
        <w:rPr>
          <w:rFonts w:ascii="Times New Roman" w:eastAsia="MS Mincho" w:hAnsi="Times New Roman" w:cs="Times New Roman"/>
          <w:bCs/>
          <w:sz w:val="24"/>
          <w:szCs w:val="24"/>
        </w:rPr>
        <w:t>flows from the atmosphere through the lungs, pulmonary and peripheral circulation to the muscle mitochondria where it is ultimately consumed. CO</w:t>
      </w:r>
      <w:r w:rsidR="00DF5081" w:rsidRPr="00165ED2">
        <w:rPr>
          <w:rFonts w:ascii="Times New Roman" w:eastAsia="MS Mincho" w:hAnsi="Times New Roman" w:cs="Times New Roman"/>
          <w:bCs/>
          <w:sz w:val="24"/>
          <w:szCs w:val="24"/>
          <w:vertAlign w:val="subscript"/>
        </w:rPr>
        <w:t xml:space="preserve">2 </w:t>
      </w:r>
      <w:r w:rsidR="00DF5081" w:rsidRPr="00165ED2">
        <w:rPr>
          <w:rFonts w:ascii="Times New Roman" w:eastAsia="MS Mincho" w:hAnsi="Times New Roman" w:cs="Times New Roman"/>
          <w:bCs/>
          <w:sz w:val="24"/>
          <w:szCs w:val="24"/>
        </w:rPr>
        <w:t>produced by the contracting muscle flows along the same pathway in reverse. Muscle work leads to increased cardiac output and redistribution of blood flow, and increased ventilation in response to both the increased metabolism and evolution of CO</w:t>
      </w:r>
      <w:r w:rsidR="00DF5081" w:rsidRPr="00165ED2">
        <w:rPr>
          <w:rFonts w:ascii="Times New Roman" w:eastAsia="MS Mincho" w:hAnsi="Times New Roman" w:cs="Times New Roman"/>
          <w:bCs/>
          <w:sz w:val="24"/>
          <w:szCs w:val="24"/>
          <w:vertAlign w:val="subscript"/>
        </w:rPr>
        <w:t>2</w:t>
      </w:r>
      <w:r w:rsidR="00DF5081" w:rsidRPr="00165ED2">
        <w:rPr>
          <w:rFonts w:ascii="Times New Roman" w:eastAsia="MS Mincho" w:hAnsi="Times New Roman" w:cs="Times New Roman"/>
          <w:bCs/>
          <w:sz w:val="24"/>
          <w:szCs w:val="24"/>
        </w:rPr>
        <w:t xml:space="preserve"> from the blood as the result of lactic acid buffering. The efficacy of these processes determines the ability to sustain muscular exercise. These concepts are reconsidered in this review within the context of critical power. This figure was created with BioRender.com and was exported under a paid subscription.</w:t>
      </w:r>
      <w:r w:rsidR="006B4837" w:rsidRPr="00165ED2">
        <w:rPr>
          <w:rFonts w:ascii="Times New Roman" w:eastAsia="MS Mincho" w:hAnsi="Times New Roman" w:cs="Times New Roman"/>
          <w:bCs/>
          <w:sz w:val="24"/>
          <w:szCs w:val="24"/>
        </w:rPr>
        <w:t xml:space="preserve"> </w:t>
      </w:r>
      <m:oMath>
        <m:acc>
          <m:accPr>
            <m:chr m:val="̇"/>
            <m:ctrlPr>
              <w:rPr>
                <w:rFonts w:ascii="Cambria Math" w:hAnsi="Cambria Math" w:cs="Times New Roman"/>
                <w:bCs/>
                <w:i/>
                <w:sz w:val="24"/>
                <w:szCs w:val="24"/>
              </w:rPr>
            </m:ctrlPr>
          </m:accPr>
          <m:e>
            <m:r>
              <w:rPr>
                <w:rFonts w:ascii="Cambria Math" w:hAnsi="Cambria Math" w:cs="Times New Roman"/>
                <w:sz w:val="24"/>
                <w:szCs w:val="24"/>
              </w:rPr>
              <m:t>Q</m:t>
            </m:r>
          </m:e>
        </m:acc>
      </m:oMath>
      <w:r w:rsidR="006B4837" w:rsidRPr="00165ED2">
        <w:rPr>
          <w:rFonts w:ascii="Times New Roman" w:eastAsiaTheme="minorEastAsia" w:hAnsi="Times New Roman" w:cs="Times New Roman"/>
          <w:bCs/>
          <w:sz w:val="24"/>
          <w:szCs w:val="24"/>
        </w:rPr>
        <w:t>O</w:t>
      </w:r>
      <w:r w:rsidR="006B4837" w:rsidRPr="00165ED2">
        <w:rPr>
          <w:rFonts w:ascii="Times New Roman" w:eastAsiaTheme="minorEastAsia" w:hAnsi="Times New Roman" w:cs="Times New Roman"/>
          <w:bCs/>
          <w:sz w:val="24"/>
          <w:szCs w:val="24"/>
          <w:vertAlign w:val="subscript"/>
        </w:rPr>
        <w:t>2</w:t>
      </w:r>
      <m:oMath>
        <m:r>
          <w:rPr>
            <w:rFonts w:ascii="Cambria Math" w:eastAsiaTheme="minorEastAsia" w:hAnsi="Cambria Math" w:cs="Times New Roman"/>
            <w:sz w:val="24"/>
            <w:szCs w:val="24"/>
            <w:vertAlign w:val="subscript"/>
          </w:rPr>
          <m:t>/</m:t>
        </m:r>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6B4837" w:rsidRPr="00165ED2">
        <w:rPr>
          <w:rFonts w:ascii="Times New Roman" w:eastAsiaTheme="minorEastAsia" w:hAnsi="Times New Roman" w:cs="Times New Roman"/>
          <w:bCs/>
          <w:sz w:val="24"/>
          <w:szCs w:val="24"/>
        </w:rPr>
        <w:t>O</w:t>
      </w:r>
      <w:r w:rsidR="006B4837" w:rsidRPr="00165ED2">
        <w:rPr>
          <w:rFonts w:ascii="Times New Roman" w:eastAsiaTheme="minorEastAsia" w:hAnsi="Times New Roman" w:cs="Times New Roman"/>
          <w:bCs/>
          <w:sz w:val="24"/>
          <w:szCs w:val="24"/>
          <w:vertAlign w:val="subscript"/>
        </w:rPr>
        <w:t xml:space="preserve">2 </w:t>
      </w:r>
      <w:r w:rsidR="006B4837" w:rsidRPr="00165ED2">
        <w:rPr>
          <w:rFonts w:ascii="Times New Roman" w:eastAsiaTheme="minorEastAsia" w:hAnsi="Times New Roman" w:cs="Times New Roman"/>
          <w:bCs/>
          <w:sz w:val="24"/>
          <w:szCs w:val="24"/>
        </w:rPr>
        <w:t xml:space="preserve">matching, matching of oxygen delivery to local oxygen consumption; </w:t>
      </w:r>
      <m:oMath>
        <m:acc>
          <m:accPr>
            <m:chr m:val="̇"/>
            <m:ctrlPr>
              <w:rPr>
                <w:rFonts w:ascii="Cambria Math" w:hAnsi="Cambria Math" w:cs="Times New Roman"/>
                <w:bCs/>
                <w:i/>
                <w:sz w:val="24"/>
                <w:szCs w:val="24"/>
              </w:rPr>
            </m:ctrlPr>
          </m:accPr>
          <m:e>
            <m:r>
              <w:rPr>
                <w:rFonts w:ascii="Cambria Math" w:hAnsi="Cambria Math" w:cs="Times New Roman"/>
                <w:sz w:val="24"/>
                <w:szCs w:val="24"/>
              </w:rPr>
              <m:t>Q</m:t>
            </m:r>
          </m:e>
        </m:acc>
      </m:oMath>
      <w:r w:rsidR="006B4837" w:rsidRPr="00165ED2">
        <w:rPr>
          <w:rFonts w:ascii="Times New Roman" w:eastAsiaTheme="minorEastAsia" w:hAnsi="Times New Roman" w:cs="Times New Roman"/>
          <w:bCs/>
          <w:sz w:val="24"/>
          <w:szCs w:val="24"/>
        </w:rPr>
        <w:t>O</w:t>
      </w:r>
      <w:r w:rsidR="006B4837" w:rsidRPr="00165ED2">
        <w:rPr>
          <w:rFonts w:ascii="Times New Roman" w:eastAsiaTheme="minorEastAsia" w:hAnsi="Times New Roman" w:cs="Times New Roman"/>
          <w:bCs/>
          <w:sz w:val="24"/>
          <w:szCs w:val="24"/>
          <w:vertAlign w:val="subscript"/>
        </w:rPr>
        <w:t>2</w:t>
      </w:r>
      <w:r w:rsidR="006B4837" w:rsidRPr="00165ED2">
        <w:rPr>
          <w:rFonts w:ascii="Times New Roman" w:eastAsiaTheme="minorEastAsia" w:hAnsi="Times New Roman" w:cs="Times New Roman"/>
          <w:bCs/>
          <w:sz w:val="24"/>
          <w:szCs w:val="24"/>
        </w:rPr>
        <w:t xml:space="preserve">, cellular oxygen consumption; </w:t>
      </w:r>
      <m:oMath>
        <m:acc>
          <m:accPr>
            <m:chr m:val="̇"/>
            <m:ctrlPr>
              <w:rPr>
                <w:rFonts w:ascii="Cambria Math" w:hAnsi="Cambria Math" w:cs="Times New Roman"/>
                <w:bCs/>
                <w:i/>
                <w:sz w:val="24"/>
                <w:szCs w:val="24"/>
              </w:rPr>
            </m:ctrlPr>
          </m:accPr>
          <m:e>
            <m:r>
              <w:rPr>
                <w:rFonts w:ascii="Cambria Math" w:hAnsi="Cambria Math" w:cs="Times New Roman"/>
                <w:sz w:val="24"/>
                <w:szCs w:val="24"/>
              </w:rPr>
              <m:t>Q</m:t>
            </m:r>
          </m:e>
        </m:acc>
      </m:oMath>
      <w:r w:rsidR="006B4837" w:rsidRPr="00165ED2">
        <w:rPr>
          <w:rFonts w:ascii="Times New Roman" w:eastAsiaTheme="minorEastAsia" w:hAnsi="Times New Roman" w:cs="Times New Roman"/>
          <w:bCs/>
          <w:sz w:val="24"/>
          <w:szCs w:val="24"/>
        </w:rPr>
        <w:t>CO</w:t>
      </w:r>
      <w:r w:rsidR="006B4837" w:rsidRPr="00165ED2">
        <w:rPr>
          <w:rFonts w:ascii="Times New Roman" w:eastAsiaTheme="minorEastAsia" w:hAnsi="Times New Roman" w:cs="Times New Roman"/>
          <w:bCs/>
          <w:sz w:val="24"/>
          <w:szCs w:val="24"/>
          <w:vertAlign w:val="subscript"/>
        </w:rPr>
        <w:t>2</w:t>
      </w:r>
      <w:r w:rsidR="006B4837" w:rsidRPr="00165ED2">
        <w:rPr>
          <w:rFonts w:ascii="Times New Roman" w:eastAsiaTheme="minorEastAsia" w:hAnsi="Times New Roman" w:cs="Times New Roman"/>
          <w:bCs/>
          <w:sz w:val="24"/>
          <w:szCs w:val="24"/>
        </w:rPr>
        <w:t>,</w:t>
      </w:r>
      <w:r w:rsidR="006B4837" w:rsidRPr="00165ED2">
        <w:rPr>
          <w:rFonts w:ascii="Times New Roman" w:eastAsiaTheme="minorEastAsia" w:hAnsi="Times New Roman" w:cs="Times New Roman"/>
          <w:bCs/>
          <w:sz w:val="24"/>
          <w:szCs w:val="24"/>
          <w:vertAlign w:val="subscript"/>
        </w:rPr>
        <w:t xml:space="preserve"> </w:t>
      </w:r>
      <w:r w:rsidR="006B4837" w:rsidRPr="00165ED2">
        <w:rPr>
          <w:rFonts w:ascii="Times New Roman" w:eastAsiaTheme="minorEastAsia" w:hAnsi="Times New Roman" w:cs="Times New Roman"/>
          <w:bCs/>
          <w:sz w:val="24"/>
          <w:szCs w:val="24"/>
        </w:rPr>
        <w:t xml:space="preserve">cellular carbon dioxide production; </w:t>
      </w:r>
      <m:oMath>
        <m:acc>
          <m:accPr>
            <m:chr m:val="̇"/>
            <m:ctrlPr>
              <w:rPr>
                <w:rFonts w:ascii="Cambria Math" w:hAnsi="Cambria Math" w:cs="Times New Roman"/>
                <w:bCs/>
                <w:i/>
                <w:sz w:val="24"/>
                <w:szCs w:val="24"/>
              </w:rPr>
            </m:ctrlPr>
          </m:accPr>
          <m:e>
            <m:r>
              <w:rPr>
                <w:rFonts w:ascii="Cambria Math" w:hAnsi="Cambria Math" w:cs="Times New Roman"/>
                <w:sz w:val="24"/>
                <w:szCs w:val="24"/>
              </w:rPr>
              <m:t>Q</m:t>
            </m:r>
          </m:e>
        </m:acc>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6B4837" w:rsidRPr="00165ED2">
        <w:rPr>
          <w:rFonts w:ascii="Times New Roman" w:eastAsiaTheme="minorEastAsia" w:hAnsi="Times New Roman" w:cs="Times New Roman"/>
          <w:bCs/>
          <w:sz w:val="24"/>
          <w:szCs w:val="24"/>
        </w:rPr>
        <w:t xml:space="preserve"> matching, matching of ventilation to perfusion;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6B4837" w:rsidRPr="00165ED2">
        <w:rPr>
          <w:rFonts w:ascii="Times New Roman" w:eastAsiaTheme="minorEastAsia" w:hAnsi="Times New Roman" w:cs="Times New Roman"/>
          <w:bCs/>
          <w:i/>
          <w:sz w:val="24"/>
          <w:szCs w:val="24"/>
          <w:vertAlign w:val="subscript"/>
        </w:rPr>
        <w:t>A</w:t>
      </w:r>
      <w:r w:rsidR="006B4837" w:rsidRPr="00165ED2">
        <w:rPr>
          <w:rFonts w:ascii="Times New Roman" w:eastAsiaTheme="minorEastAsia" w:hAnsi="Times New Roman" w:cs="Times New Roman"/>
          <w:bCs/>
          <w:sz w:val="24"/>
          <w:szCs w:val="24"/>
        </w:rPr>
        <w:t xml:space="preserve">, alveolar ventilation;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6B4837" w:rsidRPr="00165ED2">
        <w:rPr>
          <w:rFonts w:ascii="Times New Roman" w:eastAsiaTheme="minorEastAsia" w:hAnsi="Times New Roman" w:cs="Times New Roman"/>
          <w:bCs/>
          <w:i/>
          <w:sz w:val="24"/>
          <w:szCs w:val="24"/>
          <w:vertAlign w:val="subscript"/>
        </w:rPr>
        <w:t>D</w:t>
      </w:r>
      <w:r w:rsidR="00D17D59" w:rsidRPr="00165ED2">
        <w:rPr>
          <w:rFonts w:ascii="Times New Roman" w:eastAsiaTheme="minorEastAsia" w:hAnsi="Times New Roman" w:cs="Times New Roman"/>
          <w:bCs/>
          <w:sz w:val="24"/>
          <w:szCs w:val="24"/>
        </w:rPr>
        <w:t xml:space="preserve">, dead space ventilation,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D17D59" w:rsidRPr="00165ED2">
        <w:rPr>
          <w:rFonts w:ascii="Times New Roman" w:eastAsiaTheme="minorEastAsia" w:hAnsi="Times New Roman" w:cs="Times New Roman"/>
          <w:bCs/>
          <w:i/>
          <w:sz w:val="24"/>
          <w:szCs w:val="24"/>
          <w:vertAlign w:val="subscript"/>
        </w:rPr>
        <w:t>E</w:t>
      </w:r>
      <w:r w:rsidR="00D17D59" w:rsidRPr="00165ED2">
        <w:rPr>
          <w:rFonts w:ascii="Times New Roman" w:eastAsiaTheme="minorEastAsia" w:hAnsi="Times New Roman" w:cs="Times New Roman"/>
          <w:bCs/>
          <w:sz w:val="24"/>
          <w:szCs w:val="24"/>
        </w:rPr>
        <w:t xml:space="preserve">, minute ventilation,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D17D59" w:rsidRPr="00165ED2">
        <w:rPr>
          <w:rFonts w:ascii="Times New Roman" w:eastAsiaTheme="minorEastAsia" w:hAnsi="Times New Roman" w:cs="Times New Roman"/>
          <w:bCs/>
          <w:sz w:val="24"/>
          <w:szCs w:val="24"/>
        </w:rPr>
        <w:t>O</w:t>
      </w:r>
      <w:r w:rsidR="00D17D59" w:rsidRPr="00165ED2">
        <w:rPr>
          <w:rFonts w:ascii="Times New Roman" w:eastAsiaTheme="minorEastAsia" w:hAnsi="Times New Roman" w:cs="Times New Roman"/>
          <w:bCs/>
          <w:sz w:val="24"/>
          <w:szCs w:val="24"/>
          <w:vertAlign w:val="subscript"/>
        </w:rPr>
        <w:t>2</w:t>
      </w:r>
      <w:r w:rsidR="00D17D59" w:rsidRPr="00165ED2">
        <w:rPr>
          <w:rFonts w:ascii="Times New Roman" w:eastAsiaTheme="minorEastAsia" w:hAnsi="Times New Roman" w:cs="Times New Roman"/>
          <w:bCs/>
          <w:sz w:val="24"/>
          <w:szCs w:val="24"/>
        </w:rPr>
        <w:t xml:space="preserve">, pulmonary </w:t>
      </w:r>
      <w:r w:rsidR="00D17D59" w:rsidRPr="00165ED2">
        <w:rPr>
          <w:rFonts w:ascii="Times New Roman" w:eastAsiaTheme="minorEastAsia" w:hAnsi="Times New Roman" w:cs="Times New Roman"/>
          <w:bCs/>
          <w:sz w:val="24"/>
          <w:szCs w:val="24"/>
        </w:rPr>
        <w:lastRenderedPageBreak/>
        <w:t xml:space="preserve">oxygen consumption;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D17D59" w:rsidRPr="00165ED2">
        <w:rPr>
          <w:rFonts w:ascii="Times New Roman" w:eastAsiaTheme="minorEastAsia" w:hAnsi="Times New Roman" w:cs="Times New Roman"/>
          <w:bCs/>
          <w:sz w:val="24"/>
          <w:szCs w:val="24"/>
        </w:rPr>
        <w:t>CO</w:t>
      </w:r>
      <w:r w:rsidR="00D17D59" w:rsidRPr="00165ED2">
        <w:rPr>
          <w:rFonts w:ascii="Times New Roman" w:eastAsiaTheme="minorEastAsia" w:hAnsi="Times New Roman" w:cs="Times New Roman"/>
          <w:bCs/>
          <w:sz w:val="24"/>
          <w:szCs w:val="24"/>
          <w:vertAlign w:val="subscript"/>
        </w:rPr>
        <w:t>2</w:t>
      </w:r>
      <w:r w:rsidR="00D17D59" w:rsidRPr="00165ED2">
        <w:rPr>
          <w:rFonts w:ascii="Times New Roman" w:eastAsiaTheme="minorEastAsia" w:hAnsi="Times New Roman" w:cs="Times New Roman"/>
          <w:bCs/>
          <w:sz w:val="24"/>
          <w:szCs w:val="24"/>
        </w:rPr>
        <w:t>, pulmonary carbon dioxide production.</w:t>
      </w:r>
      <w:r w:rsidR="00AB688A" w:rsidRPr="00165ED2">
        <w:rPr>
          <w:rFonts w:ascii="Times New Roman" w:eastAsia="MS Mincho" w:hAnsi="Times New Roman" w:cs="Times New Roman"/>
          <w:bCs/>
          <w:sz w:val="24"/>
          <w:szCs w:val="24"/>
        </w:rPr>
        <w:t xml:space="preserve"> Adapted from Wasserman et al. </w:t>
      </w:r>
      <w:r w:rsidR="00AB688A" w:rsidRPr="00165ED2">
        <w:rPr>
          <w:rFonts w:ascii="Times New Roman" w:eastAsia="MS Mincho" w:hAnsi="Times New Roman" w:cs="Times New Roman"/>
          <w:bCs/>
          <w:sz w:val="24"/>
          <w:szCs w:val="24"/>
        </w:rPr>
        <w:fldChar w:fldCharType="begin"/>
      </w:r>
      <w:r w:rsidR="00AB688A" w:rsidRPr="00165ED2">
        <w:rPr>
          <w:rFonts w:ascii="Times New Roman" w:eastAsia="MS Mincho" w:hAnsi="Times New Roman" w:cs="Times New Roman"/>
          <w:bCs/>
          <w:sz w:val="24"/>
          <w:szCs w:val="24"/>
        </w:rPr>
        <w:instrText xml:space="preserve"> ADDIN ZOTERO_ITEM CSL_CITATION {"citationID":"naibYNMb","properties":{"formattedCitation":"[156]","plainCitation":"[156]","noteIndex":0},"citationItems":[{"id":129,"uris":["http://zotero.org/users/5056530/items/59S8I4HP"],"itemData":{"id":129,"type":"article-journal","container-title":"Journal of Applied Physiology","ISSN":"0021-8987","issue":"1","journalAbbreviation":"J Appl Physiol","language":"eng","note":"PMID: 6017656","page":"71-85","source":"PubMed","title":"Interaction of physiological mechanisms during exercise","volume":"22","author":[{"family":"Wasserman","given":"K."},{"family":"Van Kessel","given":"A. L."},{"family":"Burton","given":"G. G."}],"issued":{"date-parts":[["1967",1]]}}}],"schema":"https://github.com/citation-style-language/schema/raw/master/csl-citation.json"} </w:instrText>
      </w:r>
      <w:r w:rsidR="00AB688A" w:rsidRPr="00165ED2">
        <w:rPr>
          <w:rFonts w:ascii="Times New Roman" w:eastAsia="MS Mincho" w:hAnsi="Times New Roman" w:cs="Times New Roman"/>
          <w:bCs/>
          <w:sz w:val="24"/>
          <w:szCs w:val="24"/>
        </w:rPr>
        <w:fldChar w:fldCharType="separate"/>
      </w:r>
      <w:r w:rsidR="00AB688A" w:rsidRPr="00165ED2">
        <w:rPr>
          <w:rFonts w:ascii="Times New Roman" w:hAnsi="Times New Roman" w:cs="Times New Roman"/>
          <w:sz w:val="24"/>
        </w:rPr>
        <w:t>[156]</w:t>
      </w:r>
      <w:r w:rsidR="00AB688A" w:rsidRPr="00165ED2">
        <w:rPr>
          <w:rFonts w:ascii="Times New Roman" w:eastAsia="MS Mincho" w:hAnsi="Times New Roman" w:cs="Times New Roman"/>
          <w:bCs/>
          <w:sz w:val="24"/>
          <w:szCs w:val="24"/>
        </w:rPr>
        <w:fldChar w:fldCharType="end"/>
      </w:r>
      <w:r w:rsidR="00AB688A" w:rsidRPr="00165ED2">
        <w:rPr>
          <w:rFonts w:ascii="Times New Roman" w:eastAsia="MS Mincho" w:hAnsi="Times New Roman" w:cs="Times New Roman"/>
          <w:bCs/>
          <w:sz w:val="24"/>
          <w:szCs w:val="24"/>
        </w:rPr>
        <w:t>, with permission.</w:t>
      </w:r>
    </w:p>
    <w:p w14:paraId="5BECE575" w14:textId="6000FBBF" w:rsidR="00376C6E" w:rsidRPr="00165ED2" w:rsidRDefault="00376C6E" w:rsidP="00BA3C48">
      <w:pPr>
        <w:spacing w:line="480" w:lineRule="auto"/>
        <w:jc w:val="both"/>
        <w:rPr>
          <w:rFonts w:ascii="Times New Roman" w:eastAsia="MS Mincho" w:hAnsi="Times New Roman" w:cs="Times New Roman"/>
          <w:bCs/>
          <w:sz w:val="24"/>
          <w:szCs w:val="24"/>
          <w:lang w:val="en-US"/>
        </w:rPr>
      </w:pPr>
      <w:r w:rsidRPr="00165ED2">
        <w:rPr>
          <w:rFonts w:ascii="Times New Roman" w:eastAsia="MS Mincho" w:hAnsi="Times New Roman" w:cs="Times New Roman"/>
          <w:b/>
          <w:bCs/>
          <w:sz w:val="24"/>
          <w:szCs w:val="24"/>
        </w:rPr>
        <w:t>Figure 3.</w:t>
      </w:r>
      <w:r w:rsidRPr="00165ED2">
        <w:rPr>
          <w:rFonts w:ascii="Times New Roman" w:eastAsia="MS Mincho" w:hAnsi="Times New Roman" w:cs="Times New Roman"/>
          <w:bCs/>
          <w:sz w:val="24"/>
          <w:szCs w:val="24"/>
        </w:rPr>
        <w:t xml:space="preserve"> </w:t>
      </w:r>
      <w:r w:rsidR="003727F8" w:rsidRPr="00165ED2">
        <w:rPr>
          <w:rFonts w:ascii="Times New Roman" w:eastAsia="MS Mincho" w:hAnsi="Times New Roman" w:cs="Times New Roman"/>
          <w:bCs/>
          <w:sz w:val="24"/>
          <w:szCs w:val="24"/>
        </w:rPr>
        <w:t xml:space="preserve">Panels A-C show the </w:t>
      </w:r>
      <w:r w:rsidR="003727F8" w:rsidRPr="00165ED2">
        <w:rPr>
          <w:rFonts w:ascii="Times New Roman" w:eastAsia="MS Mincho" w:hAnsi="Times New Roman" w:cs="Times New Roman"/>
          <w:bCs/>
          <w:sz w:val="24"/>
          <w:szCs w:val="24"/>
          <w:lang w:val="en-US"/>
        </w:rPr>
        <w:t>r</w:t>
      </w:r>
      <w:r w:rsidRPr="00165ED2">
        <w:rPr>
          <w:rFonts w:ascii="Times New Roman" w:eastAsia="MS Mincho" w:hAnsi="Times New Roman" w:cs="Times New Roman"/>
          <w:bCs/>
          <w:sz w:val="24"/>
          <w:szCs w:val="24"/>
          <w:lang w:val="en-US"/>
        </w:rPr>
        <w:t>elationship between the fundamental phase time constant of pulmonary oxygen uptake kinetics (τ</w:t>
      </w:r>
      <w:r w:rsidRPr="00165ED2">
        <w:rPr>
          <w:rFonts w:ascii="Times New Roman" w:eastAsia="MS Mincho" w:hAnsi="Times New Roman" w:cs="Times New Roman"/>
          <w:bCs/>
          <w:sz w:val="24"/>
          <w:szCs w:val="24"/>
          <w:vertAlign w:val="subscript"/>
          <w:lang w:val="en-US"/>
        </w:rPr>
        <w:t>V̇O2</w:t>
      </w:r>
      <w:r w:rsidRPr="00165ED2">
        <w:rPr>
          <w:rFonts w:ascii="Times New Roman" w:eastAsia="MS Mincho" w:hAnsi="Times New Roman" w:cs="Times New Roman"/>
          <w:bCs/>
          <w:sz w:val="24"/>
          <w:szCs w:val="24"/>
          <w:lang w:val="en-US"/>
        </w:rPr>
        <w:t xml:space="preserve">) and critical power normalized by body mass across a series of 4 experiments performed by Goulding et al. </w:t>
      </w:r>
      <w:r w:rsidRPr="00165ED2">
        <w:rPr>
          <w:rFonts w:ascii="Times New Roman" w:eastAsia="MS Mincho" w:hAnsi="Times New Roman" w:cs="Times New Roman"/>
          <w:bCs/>
          <w:sz w:val="24"/>
          <w:szCs w:val="24"/>
          <w:lang w:val="en-US"/>
        </w:rPr>
        <w:fldChar w:fldCharType="begin"/>
      </w:r>
      <w:r w:rsidR="00624DC9" w:rsidRPr="00165ED2">
        <w:rPr>
          <w:rFonts w:ascii="Times New Roman" w:eastAsia="MS Mincho" w:hAnsi="Times New Roman" w:cs="Times New Roman"/>
          <w:bCs/>
          <w:sz w:val="24"/>
          <w:szCs w:val="24"/>
          <w:lang w:val="en-US"/>
        </w:rPr>
        <w:instrText xml:space="preserve"> ADDIN ZOTERO_ITEM CSL_CITATION {"citationID":"AgwDeR2P","properties":{"formattedCitation":"[65,114,130,131]","plainCitation":"[65,114,130,131]","noteIndex":0},"citationItems":[{"id":78,"uris":["http://zotero.org/users/5056530/items/Q9M2NM2G"],"itemData":{"id":78,"type":"article-journal","abstract":"We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624DC9" w:rsidRPr="00165ED2">
        <w:rPr>
          <w:rFonts w:ascii="Cambria Math" w:eastAsia="MS Mincho" w:hAnsi="Cambria Math" w:cs="Cambria Math"/>
          <w:bCs/>
          <w:sz w:val="24"/>
          <w:szCs w:val="24"/>
          <w:lang w:val="en-US"/>
        </w:rPr>
        <w:instrText>∼</w:instrText>
      </w:r>
      <w:r w:rsidR="00624DC9" w:rsidRPr="00165ED2">
        <w:rPr>
          <w:rFonts w:ascii="Times New Roman" w:eastAsia="MS Mincho" w:hAnsi="Times New Roman" w:cs="Times New Roman"/>
          <w:bCs/>
          <w:sz w:val="24"/>
          <w:szCs w:val="24"/>
          <w:lang w:val="en-US"/>
        </w:rPr>
        <w:instrText>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M."},{"family":"Marwood","given":"Simon"}],"issued":{"date-parts":[["2017",9,1]]}}},{"id":768,"uris":["http://zotero.org/users/5056530/items/BGE7LJ5D"],"itemData":{"id":768,"type":"article-jou</w:instrText>
      </w:r>
      <w:r w:rsidR="00624DC9" w:rsidRPr="00165ED2">
        <w:rPr>
          <w:rFonts w:ascii="Times New Roman" w:eastAsia="MS Mincho" w:hAnsi="Times New Roman" w:cs="Times New Roman" w:hint="eastAsia"/>
          <w:bCs/>
          <w:sz w:val="24"/>
          <w:szCs w:val="24"/>
          <w:lang w:val="en-US"/>
        </w:rPr>
        <w:instrText>rnal","abstract":"Critical power is a fundamental parameter defining high</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intensity exercise tolerance, and is related to the phase II time constant of pulmonary oxygen uptake kinetics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V</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O2). Whether this relationship is causative is presently unclear. This study determined the impact of raised baseline work rate, which increases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V</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O2, on critical power during upright cycle exercise. Critical power was determined via four constant</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power exercise tests to exhaustion in two conditions: (1) with exercise initiated from an unloaded cycling baseline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and (2) with exercise initiated from a baseline work rate of 90% of the gas exchange threshold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S). During these exercise transitions,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V</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O2 and the time constant of muscle deoxyhemoglobin kinetics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\n[HHb + Mb]) (the latter via near</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infrared spectroscopy) were determined. In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critical power was lower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 203 </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44 W vs.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 213 </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 45 W, P = 0.011) and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V</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O2 was greater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 51 </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14 sec vs.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 34 </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16 sec, P = 0.002) when compared with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S. Additionally,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\n[HHb + Mb] was greater in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compared with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 28 </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7 sec vs.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 14 </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 7 sec, P = 0.007). The increase in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V</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O2 and concomitant reduction in critical power in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S compared with U</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S suggests a causal relationship between these two parameters. However, that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\n[HHb + Mb] was greater in M</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 xml:space="preserve">S exculpates reduced oxygen availability as being a confounding factor. These data therefore provide the first experimental evidence that </w:instrText>
      </w:r>
      <w:r w:rsidR="00624DC9" w:rsidRPr="00165ED2">
        <w:rPr>
          <w:rFonts w:ascii="Times New Roman" w:eastAsia="MS Mincho" w:hAnsi="Times New Roman" w:cs="Times New Roman" w:hint="eastAsia"/>
          <w:bCs/>
          <w:sz w:val="24"/>
          <w:szCs w:val="24"/>
          <w:lang w:val="en-US"/>
        </w:rPr>
        <w:instrText>τ</w:instrText>
      </w:r>
      <w:r w:rsidR="00624DC9" w:rsidRPr="00165ED2">
        <w:rPr>
          <w:rFonts w:ascii="Times New Roman" w:eastAsia="MS Mincho" w:hAnsi="Times New Roman" w:cs="Times New Roman" w:hint="eastAsia"/>
          <w:bCs/>
          <w:sz w:val="24"/>
          <w:szCs w:val="24"/>
          <w:lang w:val="en-US"/>
        </w:rPr>
        <w:instrText>V</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O2 is an independent determinant of critical power. Keywords critical power, exercise tolerance, oxygen uptake kinetics, power</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duration relationship, muscle deoxyhemoglobin kinetics, work</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to</w:instrText>
      </w:r>
      <w:r w:rsidR="00624DC9" w:rsidRPr="00165ED2">
        <w:rPr>
          <w:rFonts w:ascii="Times New Roman" w:eastAsia="MS Mincho" w:hAnsi="Times New Roman" w:cs="Times New Roman" w:hint="eastAsia"/>
          <w:bCs/>
          <w:sz w:val="24"/>
          <w:szCs w:val="24"/>
          <w:lang w:val="en-US"/>
        </w:rPr>
        <w:instrText>‐</w:instrText>
      </w:r>
      <w:r w:rsidR="00624DC9" w:rsidRPr="00165ED2">
        <w:rPr>
          <w:rFonts w:ascii="Times New Roman" w:eastAsia="MS Mincho" w:hAnsi="Times New Roman" w:cs="Times New Roman" w:hint="eastAsia"/>
          <w:bCs/>
          <w:sz w:val="24"/>
          <w:szCs w:val="24"/>
          <w:lang w:val="en-US"/>
        </w:rPr>
        <w:instrText>work exercise.","container-title":"Physiological Reports","DOI":"10.14814/phy2.13802","ISSN":"2051-817X","issue":"14",</w:instrText>
      </w:r>
      <w:r w:rsidR="00624DC9" w:rsidRPr="00165ED2">
        <w:rPr>
          <w:rFonts w:ascii="Times New Roman" w:eastAsia="MS Mincho" w:hAnsi="Times New Roman" w:cs="Times New Roman"/>
          <w:bCs/>
          <w:sz w:val="24"/>
          <w:szCs w:val="24"/>
          <w:lang w:val="en-US"/>
        </w:rPr>
        <w:instrText xml:space="preserve">"journalAbbreviation":"Physiol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Pr="00165ED2">
        <w:rPr>
          <w:rFonts w:ascii="Times New Roman" w:eastAsia="MS Mincho" w:hAnsi="Times New Roman" w:cs="Times New Roman"/>
          <w:bCs/>
          <w:sz w:val="24"/>
          <w:szCs w:val="24"/>
          <w:lang w:val="en-US"/>
        </w:rPr>
        <w:fldChar w:fldCharType="separate"/>
      </w:r>
      <w:r w:rsidR="00624DC9" w:rsidRPr="00165ED2">
        <w:rPr>
          <w:rFonts w:ascii="Times New Roman" w:hAnsi="Times New Roman" w:cs="Times New Roman"/>
          <w:sz w:val="24"/>
        </w:rPr>
        <w:t>[65,114,130,131]</w:t>
      </w:r>
      <w:r w:rsidRPr="00165ED2">
        <w:rPr>
          <w:rFonts w:ascii="Times New Roman" w:eastAsia="MS Mincho" w:hAnsi="Times New Roman" w:cs="Times New Roman"/>
          <w:bCs/>
          <w:sz w:val="24"/>
          <w:szCs w:val="24"/>
        </w:rPr>
        <w:fldChar w:fldCharType="end"/>
      </w:r>
      <w:r w:rsidRPr="00165ED2">
        <w:rPr>
          <w:rFonts w:ascii="Times New Roman" w:eastAsia="MS Mincho" w:hAnsi="Times New Roman" w:cs="Times New Roman"/>
          <w:bCs/>
          <w:sz w:val="24"/>
          <w:szCs w:val="24"/>
          <w:lang w:val="en-US"/>
        </w:rPr>
        <w:t>. Panel A displays all conditions from these studies in which τ</w:t>
      </w:r>
      <w:r w:rsidRPr="00165ED2">
        <w:rPr>
          <w:rFonts w:ascii="Times New Roman" w:eastAsia="MS Mincho" w:hAnsi="Times New Roman" w:cs="Times New Roman"/>
          <w:bCs/>
          <w:sz w:val="24"/>
          <w:szCs w:val="24"/>
          <w:vertAlign w:val="subscript"/>
          <w:lang w:val="en-US"/>
        </w:rPr>
        <w:t xml:space="preserve">V̇O2 </w:t>
      </w:r>
      <w:r w:rsidRPr="00165ED2">
        <w:rPr>
          <w:rFonts w:ascii="Times New Roman" w:eastAsia="MS Mincho" w:hAnsi="Times New Roman" w:cs="Times New Roman"/>
          <w:bCs/>
          <w:sz w:val="24"/>
          <w:szCs w:val="24"/>
          <w:lang w:val="en-US"/>
        </w:rPr>
        <w:t>was characterized with a high degree of confidence, including both moderate and heavy intensity exercise</w:t>
      </w:r>
      <w:r w:rsidR="00B535E3" w:rsidRPr="00165ED2">
        <w:rPr>
          <w:rFonts w:ascii="Times New Roman" w:eastAsia="MS Mincho" w:hAnsi="Times New Roman" w:cs="Times New Roman"/>
          <w:bCs/>
          <w:sz w:val="24"/>
          <w:szCs w:val="24"/>
          <w:lang w:val="en-US"/>
        </w:rPr>
        <w:t>,</w:t>
      </w:r>
      <w:r w:rsidRPr="00165ED2">
        <w:rPr>
          <w:rFonts w:ascii="Times New Roman" w:eastAsia="MS Mincho" w:hAnsi="Times New Roman" w:cs="Times New Roman"/>
          <w:bCs/>
          <w:sz w:val="24"/>
          <w:szCs w:val="24"/>
          <w:lang w:val="en-US"/>
        </w:rPr>
        <w:t xml:space="preserve"> </w:t>
      </w:r>
      <w:proofErr w:type="spellStart"/>
      <w:r w:rsidRPr="00165ED2">
        <w:rPr>
          <w:rFonts w:ascii="Times New Roman" w:eastAsia="MS Mincho" w:hAnsi="Times New Roman" w:cs="Times New Roman"/>
          <w:bCs/>
          <w:sz w:val="24"/>
          <w:szCs w:val="24"/>
          <w:lang w:val="en-US"/>
        </w:rPr>
        <w:t>normoxia</w:t>
      </w:r>
      <w:proofErr w:type="spellEnd"/>
      <w:r w:rsidRPr="00165ED2">
        <w:rPr>
          <w:rFonts w:ascii="Times New Roman" w:eastAsia="MS Mincho" w:hAnsi="Times New Roman" w:cs="Times New Roman"/>
          <w:bCs/>
          <w:sz w:val="24"/>
          <w:szCs w:val="24"/>
          <w:lang w:val="en-US"/>
        </w:rPr>
        <w:t xml:space="preserve"> and hyperoxia (fraction of inspired O</w:t>
      </w:r>
      <w:r w:rsidRPr="00165ED2">
        <w:rPr>
          <w:rFonts w:ascii="Times New Roman" w:eastAsia="MS Mincho" w:hAnsi="Times New Roman" w:cs="Times New Roman"/>
          <w:bCs/>
          <w:sz w:val="24"/>
          <w:szCs w:val="24"/>
          <w:vertAlign w:val="subscript"/>
          <w:lang w:val="en-US"/>
        </w:rPr>
        <w:t>2</w:t>
      </w:r>
      <w:r w:rsidRPr="00165ED2">
        <w:rPr>
          <w:rFonts w:ascii="Times New Roman" w:eastAsia="MS Mincho" w:hAnsi="Times New Roman" w:cs="Times New Roman"/>
          <w:bCs/>
          <w:sz w:val="24"/>
          <w:szCs w:val="24"/>
          <w:lang w:val="en-US"/>
        </w:rPr>
        <w:t xml:space="preserve"> </w:t>
      </w:r>
      <w:r w:rsidR="00B535E3" w:rsidRPr="00165ED2">
        <w:rPr>
          <w:rFonts w:ascii="Times New Roman" w:eastAsia="MS Mincho" w:hAnsi="Times New Roman" w:cs="Times New Roman"/>
          <w:bCs/>
          <w:sz w:val="24"/>
          <w:szCs w:val="24"/>
          <w:lang w:val="en-US"/>
        </w:rPr>
        <w:t xml:space="preserve">= </w:t>
      </w:r>
      <w:r w:rsidRPr="00165ED2">
        <w:rPr>
          <w:rFonts w:ascii="Times New Roman" w:eastAsia="MS Mincho" w:hAnsi="Times New Roman" w:cs="Times New Roman"/>
          <w:bCs/>
          <w:sz w:val="24"/>
          <w:szCs w:val="24"/>
          <w:lang w:val="en-US"/>
        </w:rPr>
        <w:t>0.5)</w:t>
      </w:r>
      <w:r w:rsidR="00A34531" w:rsidRPr="00165ED2">
        <w:rPr>
          <w:rFonts w:ascii="Times New Roman" w:eastAsia="MS Mincho" w:hAnsi="Times New Roman" w:cs="Times New Roman"/>
          <w:bCs/>
          <w:sz w:val="24"/>
          <w:szCs w:val="24"/>
          <w:lang w:val="en-US"/>
        </w:rPr>
        <w:t xml:space="preserve">, and in patients with type 1 diabetes. </w:t>
      </w:r>
      <w:r w:rsidRPr="00165ED2">
        <w:rPr>
          <w:rFonts w:ascii="Times New Roman" w:eastAsia="MS Mincho" w:hAnsi="Times New Roman" w:cs="Times New Roman"/>
          <w:bCs/>
          <w:sz w:val="24"/>
          <w:szCs w:val="24"/>
          <w:lang w:val="en-US"/>
        </w:rPr>
        <w:t xml:space="preserve">Panel B displays the </w:t>
      </w:r>
      <w:r w:rsidR="00B535E3" w:rsidRPr="00165ED2">
        <w:rPr>
          <w:rFonts w:ascii="Times New Roman" w:eastAsia="MS Mincho" w:hAnsi="Times New Roman" w:cs="Times New Roman"/>
          <w:bCs/>
          <w:sz w:val="24"/>
          <w:szCs w:val="24"/>
          <w:lang w:val="en-US"/>
        </w:rPr>
        <w:t xml:space="preserve">same </w:t>
      </w:r>
      <w:r w:rsidRPr="00165ED2">
        <w:rPr>
          <w:rFonts w:ascii="Times New Roman" w:eastAsia="MS Mincho" w:hAnsi="Times New Roman" w:cs="Times New Roman"/>
          <w:bCs/>
          <w:sz w:val="24"/>
          <w:szCs w:val="24"/>
          <w:lang w:val="en-US"/>
        </w:rPr>
        <w:t>relationship with removal of data points where τ</w:t>
      </w:r>
      <w:r w:rsidRPr="00165ED2">
        <w:rPr>
          <w:rFonts w:ascii="Times New Roman" w:eastAsia="MS Mincho" w:hAnsi="Times New Roman" w:cs="Times New Roman"/>
          <w:bCs/>
          <w:sz w:val="24"/>
          <w:szCs w:val="24"/>
          <w:vertAlign w:val="subscript"/>
          <w:lang w:val="en-US"/>
        </w:rPr>
        <w:t xml:space="preserve">V̇O2 </w:t>
      </w:r>
      <w:r w:rsidRPr="00165ED2">
        <w:rPr>
          <w:rFonts w:ascii="Times New Roman" w:eastAsia="MS Mincho" w:hAnsi="Times New Roman" w:cs="Times New Roman"/>
          <w:bCs/>
          <w:sz w:val="24"/>
          <w:szCs w:val="24"/>
          <w:lang w:val="en-US"/>
        </w:rPr>
        <w:t xml:space="preserve">was characterized in </w:t>
      </w:r>
      <w:proofErr w:type="spellStart"/>
      <w:r w:rsidRPr="00165ED2">
        <w:rPr>
          <w:rFonts w:ascii="Times New Roman" w:eastAsia="MS Mincho" w:hAnsi="Times New Roman" w:cs="Times New Roman"/>
          <w:bCs/>
          <w:sz w:val="24"/>
          <w:szCs w:val="24"/>
          <w:lang w:val="en-US"/>
        </w:rPr>
        <w:t>hyperoxic</w:t>
      </w:r>
      <w:proofErr w:type="spellEnd"/>
      <w:r w:rsidRPr="00165ED2">
        <w:rPr>
          <w:rFonts w:ascii="Times New Roman" w:eastAsia="MS Mincho" w:hAnsi="Times New Roman" w:cs="Times New Roman"/>
          <w:bCs/>
          <w:sz w:val="24"/>
          <w:szCs w:val="24"/>
          <w:lang w:val="en-US"/>
        </w:rPr>
        <w:t xml:space="preserve"> conditions</w:t>
      </w:r>
      <w:r w:rsidR="00495507" w:rsidRPr="00165ED2">
        <w:rPr>
          <w:rFonts w:ascii="Times New Roman" w:eastAsia="MS Mincho" w:hAnsi="Times New Roman" w:cs="Times New Roman"/>
          <w:bCs/>
          <w:sz w:val="24"/>
          <w:szCs w:val="24"/>
          <w:lang w:val="en-US"/>
        </w:rPr>
        <w:t xml:space="preserve"> and in type 1 diabetes (see </w:t>
      </w:r>
      <w:r w:rsidR="00495507" w:rsidRPr="00165ED2">
        <w:rPr>
          <w:rFonts w:ascii="Times New Roman" w:eastAsia="MS Mincho" w:hAnsi="Times New Roman" w:cs="Times New Roman"/>
          <w:bCs/>
          <w:i/>
          <w:iCs/>
          <w:sz w:val="24"/>
          <w:szCs w:val="24"/>
          <w:lang w:val="en-US"/>
        </w:rPr>
        <w:t>Interaction of factors determining CP”</w:t>
      </w:r>
      <w:r w:rsidR="00495507" w:rsidRPr="00165ED2">
        <w:rPr>
          <w:rFonts w:ascii="Times New Roman" w:eastAsia="MS Mincho" w:hAnsi="Times New Roman" w:cs="Times New Roman"/>
          <w:bCs/>
          <w:sz w:val="24"/>
          <w:szCs w:val="24"/>
          <w:lang w:val="en-US"/>
        </w:rPr>
        <w:t xml:space="preserve"> for discussion).</w:t>
      </w:r>
      <w:r w:rsidRPr="00165ED2">
        <w:rPr>
          <w:rFonts w:ascii="Times New Roman" w:eastAsia="MS Mincho" w:hAnsi="Times New Roman" w:cs="Times New Roman"/>
          <w:bCs/>
          <w:sz w:val="24"/>
          <w:szCs w:val="24"/>
          <w:lang w:val="en-US"/>
        </w:rPr>
        <w:t xml:space="preserve"> Panel C displays the relationship when only </w:t>
      </w:r>
      <w:proofErr w:type="spellStart"/>
      <w:r w:rsidR="003727F8" w:rsidRPr="00165ED2">
        <w:rPr>
          <w:rFonts w:ascii="Times New Roman" w:eastAsia="MS Mincho" w:hAnsi="Times New Roman" w:cs="Times New Roman"/>
          <w:bCs/>
          <w:sz w:val="24"/>
          <w:szCs w:val="24"/>
          <w:lang w:val="en-US"/>
        </w:rPr>
        <w:t>normoxic</w:t>
      </w:r>
      <w:proofErr w:type="spellEnd"/>
      <w:r w:rsidR="003727F8" w:rsidRPr="00165ED2">
        <w:rPr>
          <w:rFonts w:ascii="Times New Roman" w:eastAsia="MS Mincho" w:hAnsi="Times New Roman" w:cs="Times New Roman"/>
          <w:bCs/>
          <w:sz w:val="24"/>
          <w:szCs w:val="24"/>
          <w:lang w:val="en-US"/>
        </w:rPr>
        <w:t xml:space="preserve">, </w:t>
      </w:r>
      <w:r w:rsidRPr="00165ED2">
        <w:rPr>
          <w:rFonts w:ascii="Times New Roman" w:eastAsia="MS Mincho" w:hAnsi="Times New Roman" w:cs="Times New Roman"/>
          <w:bCs/>
          <w:sz w:val="24"/>
          <w:szCs w:val="24"/>
          <w:lang w:val="en-US"/>
        </w:rPr>
        <w:t>moderate intensity exercise transitions</w:t>
      </w:r>
      <w:r w:rsidR="003727F8" w:rsidRPr="00165ED2">
        <w:rPr>
          <w:rFonts w:ascii="Times New Roman" w:eastAsia="MS Mincho" w:hAnsi="Times New Roman" w:cs="Times New Roman"/>
          <w:bCs/>
          <w:sz w:val="24"/>
          <w:szCs w:val="24"/>
          <w:lang w:val="en-US"/>
        </w:rPr>
        <w:t xml:space="preserve"> in healthy participants</w:t>
      </w:r>
      <w:r w:rsidRPr="00165ED2">
        <w:rPr>
          <w:rFonts w:ascii="Times New Roman" w:eastAsia="MS Mincho" w:hAnsi="Times New Roman" w:cs="Times New Roman"/>
          <w:bCs/>
          <w:sz w:val="24"/>
          <w:szCs w:val="24"/>
          <w:lang w:val="en-US"/>
        </w:rPr>
        <w:t xml:space="preserve"> are utilized. Note the increase in the </w:t>
      </w:r>
      <w:r w:rsidRPr="00165ED2">
        <w:rPr>
          <w:rFonts w:ascii="Times New Roman" w:eastAsia="MS Mincho" w:hAnsi="Times New Roman" w:cs="Times New Roman"/>
          <w:bCs/>
          <w:i/>
          <w:sz w:val="24"/>
          <w:szCs w:val="24"/>
          <w:lang w:val="en-US"/>
        </w:rPr>
        <w:t>R</w:t>
      </w:r>
      <w:r w:rsidRPr="00165ED2">
        <w:rPr>
          <w:rFonts w:ascii="Times New Roman" w:eastAsia="MS Mincho" w:hAnsi="Times New Roman" w:cs="Times New Roman"/>
          <w:bCs/>
          <w:i/>
          <w:sz w:val="24"/>
          <w:szCs w:val="24"/>
          <w:vertAlign w:val="superscript"/>
          <w:lang w:val="en-US"/>
        </w:rPr>
        <w:t>2</w:t>
      </w:r>
      <w:r w:rsidRPr="00165ED2">
        <w:rPr>
          <w:rFonts w:ascii="Times New Roman" w:eastAsia="MS Mincho" w:hAnsi="Times New Roman" w:cs="Times New Roman"/>
          <w:bCs/>
          <w:i/>
          <w:sz w:val="24"/>
          <w:szCs w:val="24"/>
          <w:lang w:val="en-US"/>
        </w:rPr>
        <w:t xml:space="preserve"> </w:t>
      </w:r>
      <w:r w:rsidRPr="00165ED2">
        <w:rPr>
          <w:rFonts w:ascii="Times New Roman" w:eastAsia="MS Mincho" w:hAnsi="Times New Roman" w:cs="Times New Roman"/>
          <w:bCs/>
          <w:sz w:val="24"/>
          <w:szCs w:val="24"/>
          <w:lang w:val="en-US"/>
        </w:rPr>
        <w:t>value as the conditions become more uniform with respect to exercise intensity</w:t>
      </w:r>
      <w:r w:rsidR="003727F8" w:rsidRPr="00165ED2">
        <w:rPr>
          <w:rFonts w:ascii="Times New Roman" w:eastAsia="MS Mincho" w:hAnsi="Times New Roman" w:cs="Times New Roman"/>
          <w:bCs/>
          <w:sz w:val="24"/>
          <w:szCs w:val="24"/>
          <w:lang w:val="en-US"/>
        </w:rPr>
        <w:t>, population</w:t>
      </w:r>
      <w:r w:rsidRPr="00165ED2">
        <w:rPr>
          <w:rFonts w:ascii="Times New Roman" w:eastAsia="MS Mincho" w:hAnsi="Times New Roman" w:cs="Times New Roman"/>
          <w:bCs/>
          <w:sz w:val="24"/>
          <w:szCs w:val="24"/>
          <w:lang w:val="en-US"/>
        </w:rPr>
        <w:t xml:space="preserve"> and fraction of inspired O</w:t>
      </w:r>
      <w:r w:rsidRPr="00165ED2">
        <w:rPr>
          <w:rFonts w:ascii="Times New Roman" w:eastAsia="MS Mincho" w:hAnsi="Times New Roman" w:cs="Times New Roman"/>
          <w:bCs/>
          <w:sz w:val="24"/>
          <w:szCs w:val="24"/>
          <w:vertAlign w:val="subscript"/>
          <w:lang w:val="en-US"/>
        </w:rPr>
        <w:t>2</w:t>
      </w:r>
      <w:r w:rsidRPr="00165ED2">
        <w:rPr>
          <w:rFonts w:ascii="Times New Roman" w:eastAsia="MS Mincho" w:hAnsi="Times New Roman" w:cs="Times New Roman"/>
          <w:bCs/>
          <w:sz w:val="24"/>
          <w:szCs w:val="24"/>
          <w:lang w:val="en-US"/>
        </w:rPr>
        <w:t xml:space="preserve">. </w:t>
      </w:r>
      <w:r w:rsidR="003727F8" w:rsidRPr="00165ED2">
        <w:rPr>
          <w:rFonts w:ascii="Times New Roman" w:eastAsia="MS Mincho" w:hAnsi="Times New Roman" w:cs="Times New Roman"/>
          <w:bCs/>
          <w:sz w:val="24"/>
          <w:szCs w:val="24"/>
          <w:lang w:val="en-US"/>
        </w:rPr>
        <w:t xml:space="preserve">Panel D shows </w:t>
      </w:r>
      <w:r w:rsidR="00BA3C48" w:rsidRPr="00165ED2">
        <w:rPr>
          <w:rFonts w:ascii="Times New Roman" w:eastAsia="MS Mincho" w:hAnsi="Times New Roman" w:cs="Times New Roman"/>
          <w:bCs/>
          <w:sz w:val="24"/>
          <w:szCs w:val="24"/>
          <w:lang w:val="en-US"/>
        </w:rPr>
        <w:t xml:space="preserve">the </w:t>
      </w:r>
      <w:r w:rsidR="003727F8" w:rsidRPr="00165ED2">
        <w:rPr>
          <w:rFonts w:ascii="Times New Roman" w:eastAsia="MS Mincho" w:hAnsi="Times New Roman" w:cs="Times New Roman"/>
          <w:bCs/>
          <w:sz w:val="24"/>
          <w:szCs w:val="24"/>
          <w:lang w:val="en-US"/>
        </w:rPr>
        <w:t xml:space="preserve">relationship between </w:t>
      </w:r>
      <w:r w:rsidR="003727F8" w:rsidRPr="00165ED2">
        <w:rPr>
          <w:rFonts w:ascii="Times New Roman" w:hAnsi="Times New Roman" w:cs="Times New Roman"/>
          <w:sz w:val="24"/>
        </w:rPr>
        <w:t>τ</w:t>
      </w:r>
      <w:r w:rsidR="003727F8" w:rsidRPr="00165ED2">
        <w:rPr>
          <w:rFonts w:ascii="Times New Roman" w:hAnsi="Times New Roman" w:cs="Times New Roman"/>
          <w:sz w:val="24"/>
          <w:vertAlign w:val="subscript"/>
        </w:rPr>
        <w:t xml:space="preserve">V̇O2 </w:t>
      </w:r>
      <w:r w:rsidR="003727F8" w:rsidRPr="00165ED2">
        <w:rPr>
          <w:rFonts w:ascii="Times New Roman" w:hAnsi="Times New Roman" w:cs="Times New Roman"/>
          <w:sz w:val="24"/>
        </w:rPr>
        <w:t xml:space="preserve">and critical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3727F8" w:rsidRPr="00165ED2">
        <w:rPr>
          <w:rFonts w:ascii="Times New Roman" w:eastAsiaTheme="minorEastAsia" w:hAnsi="Times New Roman" w:cs="Times New Roman"/>
          <w:bCs/>
          <w:sz w:val="24"/>
          <w:szCs w:val="24"/>
        </w:rPr>
        <w:t>O</w:t>
      </w:r>
      <w:r w:rsidR="003727F8" w:rsidRPr="00165ED2">
        <w:rPr>
          <w:rFonts w:ascii="Times New Roman" w:eastAsiaTheme="minorEastAsia" w:hAnsi="Times New Roman" w:cs="Times New Roman"/>
          <w:bCs/>
          <w:sz w:val="24"/>
          <w:szCs w:val="24"/>
          <w:vertAlign w:val="subscript"/>
        </w:rPr>
        <w:t xml:space="preserve">2 </w:t>
      </w:r>
      <w:r w:rsidR="003727F8" w:rsidRPr="00165ED2">
        <w:rPr>
          <w:rFonts w:ascii="Times New Roman" w:eastAsiaTheme="minorEastAsia" w:hAnsi="Times New Roman" w:cs="Times New Roman"/>
          <w:bCs/>
          <w:sz w:val="24"/>
          <w:szCs w:val="24"/>
        </w:rPr>
        <w:t>across various human populations</w:t>
      </w:r>
      <w:r w:rsidR="00AF7DBB" w:rsidRPr="00165ED2">
        <w:rPr>
          <w:rFonts w:ascii="Times New Roman" w:eastAsiaTheme="minorEastAsia" w:hAnsi="Times New Roman" w:cs="Times New Roman"/>
          <w:bCs/>
          <w:sz w:val="24"/>
          <w:szCs w:val="24"/>
        </w:rPr>
        <w:t>;</w:t>
      </w:r>
      <w:r w:rsidR="003727F8" w:rsidRPr="00165ED2">
        <w:rPr>
          <w:rFonts w:ascii="Times New Roman" w:eastAsiaTheme="minorEastAsia" w:hAnsi="Times New Roman" w:cs="Times New Roman"/>
          <w:bCs/>
          <w:sz w:val="24"/>
          <w:szCs w:val="24"/>
        </w:rPr>
        <w:t xml:space="preserve"> </w:t>
      </w:r>
      <w:r w:rsidR="00BA3C48" w:rsidRPr="00165ED2">
        <w:rPr>
          <w:rFonts w:ascii="Times New Roman" w:eastAsiaTheme="minorEastAsia" w:hAnsi="Times New Roman" w:cs="Times New Roman"/>
          <w:bCs/>
          <w:sz w:val="24"/>
          <w:szCs w:val="24"/>
        </w:rPr>
        <w:t xml:space="preserve">elite athletes </w:t>
      </w:r>
      <w:r w:rsidR="00BA3C48" w:rsidRPr="00165ED2">
        <w:rPr>
          <w:rFonts w:ascii="Times New Roman" w:eastAsiaTheme="minorEastAsia" w:hAnsi="Times New Roman" w:cs="Times New Roman"/>
          <w:bCs/>
          <w:sz w:val="24"/>
          <w:szCs w:val="24"/>
        </w:rPr>
        <w:fldChar w:fldCharType="begin"/>
      </w:r>
      <w:r w:rsidR="00624DC9" w:rsidRPr="00165ED2">
        <w:rPr>
          <w:rFonts w:ascii="Times New Roman" w:eastAsiaTheme="minorEastAsia" w:hAnsi="Times New Roman" w:cs="Times New Roman"/>
          <w:bCs/>
          <w:sz w:val="24"/>
          <w:szCs w:val="24"/>
        </w:rPr>
        <w:instrText xml:space="preserve"> ADDIN ZOTERO_ITEM CSL_CITATION {"citationID":"0agEaxxb","properties":{"formattedCitation":"[157]","plainCitation":"[157]","noteIndex":0},"citationItems":[{"id":3491,"uris":["http://zotero.org/users/5056530/items/PAKAVMPF"],"itemData":{"id":3491,"type":"article-journal","abstract":"The requirements of running a 2-h marathon have been extensively debated but the actual physiological demands of running at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21.1 km/h have never been reported. We therefore conducted laboratory-based physiological evaluations and measured running economy (O2 cost) while running outdoors at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21.1 km/h, in world-class distance runners as part of Nike’s “Breaking 2” marathon project. On separate days, 16 world-class male distance runners (age, 29 ± 4 yr; height, 1.72 ± 0.04 m; mass, 58.9 ± 3.3 kg) completed an incremental treadmill test for the assessment of V̇O2peak, O2 cost of submaximal running, lactate threshold and lactate turn-point, and a track test during which they ran continuously at 21.1 km/h. The laboratory-determined V̇O2peak was 71.0 ± 5.7 mL/kg/min with lactate threshold and lactate turn-point occurring at 18.9 ± 0.4 and 20.2 ± 0.6 km/h, corresponding to 83 ± 5% and 92 ± 3% V̇O2peak, respectively. Seven athletes were able to attain a steady-state V̇O2 when running outdoors at 21.1 km/h. The mean O2 cost for these athletes was 191 ± 19 mL/kg/km such that running at 21.1 km/h required an absolute V̇O2 of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4.0 L/min and represented 94 ± 3% V̇O2peak. We report novel data on the O2 cost of running outdoors at 21.1 km/h, which enables better modeling of possible marathon performances by elite athletes. Using the value for O2 cost measured in this study, a sub 2-h marathon would require a 59 kg runner to sustain a V̇O2 of approximately 4.0 L/min or 67 mL/kg/min.\n\nNEW &amp; NOTEWORTHY We report the physiological characteristics and O2 cost of running overground at </w:instrText>
      </w:r>
      <w:r w:rsidR="00624DC9" w:rsidRPr="00165ED2">
        <w:rPr>
          <w:rFonts w:ascii="Cambria Math" w:eastAsiaTheme="minorEastAsia" w:hAnsi="Cambria Math" w:cs="Cambria Math"/>
          <w:bCs/>
          <w:sz w:val="24"/>
          <w:szCs w:val="24"/>
        </w:rPr>
        <w:instrText>∼</w:instrText>
      </w:r>
      <w:r w:rsidR="00624DC9" w:rsidRPr="00165ED2">
        <w:rPr>
          <w:rFonts w:ascii="Times New Roman" w:eastAsiaTheme="minorEastAsia" w:hAnsi="Times New Roman" w:cs="Times New Roman"/>
          <w:bCs/>
          <w:sz w:val="24"/>
          <w:szCs w:val="24"/>
        </w:rPr>
        <w:instrText xml:space="preserve">21.1 km/h in a cohort of the world’s best male distance runners. We provide new information on the absolute and relative O2 uptake required to run at 2-h marathon pace.","container-title":"Journal of Applied Physiology","DOI":"10.1152/japplphysiol.00647.2020","ISSN":"8750-7587","issue":"2","note":"publisher: American Physiological Society","page":"369-379","source":"journals.physiology.org (Atypon)","title":"Physiological demands of running at 2-hour marathon race pace","volume":"130","author":[{"family":"Jones","given":"Andrew M."},{"family":"Kirby","given":"Brett S."},{"family":"Clark","given":"Ida E."},{"family":"Rice","given":"Hannah M."},{"family":"Fulkerson","given":"Elizabeth"},{"family":"Wylie","given":"Lee J."},{"family":"Wilkerson","given":"Daryl P."},{"family":"Vanhatalo","given":"Anni"},{"family":"Wilkins","given":"Brad W."}],"issued":{"date-parts":[["2021",2]]}}}],"schema":"https://github.com/citation-style-language/schema/raw/master/csl-citation.json"} </w:instrText>
      </w:r>
      <w:r w:rsidR="00BA3C48" w:rsidRPr="00165ED2">
        <w:rPr>
          <w:rFonts w:ascii="Times New Roman" w:eastAsiaTheme="minorEastAsia" w:hAnsi="Times New Roman" w:cs="Times New Roman"/>
          <w:bCs/>
          <w:sz w:val="24"/>
          <w:szCs w:val="24"/>
        </w:rPr>
        <w:fldChar w:fldCharType="separate"/>
      </w:r>
      <w:r w:rsidR="00624DC9" w:rsidRPr="00165ED2">
        <w:rPr>
          <w:rFonts w:ascii="Times New Roman" w:hAnsi="Times New Roman" w:cs="Times New Roman"/>
          <w:sz w:val="24"/>
        </w:rPr>
        <w:t>[157]</w:t>
      </w:r>
      <w:r w:rsidR="00BA3C48" w:rsidRPr="00165ED2">
        <w:rPr>
          <w:rFonts w:ascii="Times New Roman" w:eastAsiaTheme="minorEastAsia" w:hAnsi="Times New Roman" w:cs="Times New Roman"/>
          <w:bCs/>
          <w:sz w:val="24"/>
          <w:szCs w:val="24"/>
        </w:rPr>
        <w:fldChar w:fldCharType="end"/>
      </w:r>
      <w:r w:rsidR="00BA3C48" w:rsidRPr="00165ED2">
        <w:rPr>
          <w:rFonts w:ascii="Times New Roman" w:eastAsiaTheme="minorEastAsia" w:hAnsi="Times New Roman" w:cs="Times New Roman"/>
          <w:bCs/>
          <w:sz w:val="24"/>
          <w:szCs w:val="24"/>
        </w:rPr>
        <w:t xml:space="preserve">, </w:t>
      </w:r>
      <w:r w:rsidR="003727F8" w:rsidRPr="00165ED2">
        <w:rPr>
          <w:rFonts w:ascii="Times New Roman" w:eastAsiaTheme="minorEastAsia" w:hAnsi="Times New Roman" w:cs="Times New Roman"/>
          <w:bCs/>
          <w:sz w:val="24"/>
          <w:szCs w:val="24"/>
        </w:rPr>
        <w:t xml:space="preserve">young trained, active young, healthy elderly, and patients with chronic obstructive pulmonary disease) and other species where measurements of </w:t>
      </w:r>
      <w:r w:rsidR="009A34BE" w:rsidRPr="00165ED2">
        <w:rPr>
          <w:rFonts w:ascii="Times New Roman" w:hAnsi="Times New Roman" w:cs="Times New Roman"/>
          <w:sz w:val="24"/>
        </w:rPr>
        <w:t>τ</w:t>
      </w:r>
      <w:r w:rsidR="009A34BE" w:rsidRPr="00165ED2">
        <w:rPr>
          <w:rFonts w:ascii="Times New Roman" w:hAnsi="Times New Roman" w:cs="Times New Roman"/>
          <w:sz w:val="24"/>
          <w:vertAlign w:val="subscript"/>
        </w:rPr>
        <w:t xml:space="preserve">V̇O2 </w:t>
      </w:r>
      <w:r w:rsidR="003727F8" w:rsidRPr="00165ED2">
        <w:rPr>
          <w:rFonts w:ascii="Times New Roman" w:eastAsiaTheme="minorEastAsia" w:hAnsi="Times New Roman" w:cs="Times New Roman"/>
          <w:bCs/>
          <w:sz w:val="24"/>
          <w:szCs w:val="24"/>
        </w:rPr>
        <w:t>and critical power have both been conducted (i.e. the thoroughbred racehorse, rat, ghost crab and lungless salamander).</w:t>
      </w:r>
      <w:r w:rsidR="009A34BE" w:rsidRPr="00165ED2">
        <w:rPr>
          <w:rFonts w:ascii="Times New Roman" w:hAnsi="Times New Roman" w:cs="Times New Roman"/>
          <w:sz w:val="24"/>
          <w:szCs w:val="24"/>
        </w:rPr>
        <w:t xml:space="preserve"> The figure is derived from values reported in the literature of 28 papers published between 1982 and 2010; human populations were originally reported by</w:t>
      </w:r>
      <w:r w:rsidR="00A34531" w:rsidRPr="00165ED2">
        <w:rPr>
          <w:rFonts w:ascii="Times New Roman" w:hAnsi="Times New Roman" w:cs="Times New Roman"/>
          <w:sz w:val="24"/>
          <w:szCs w:val="24"/>
        </w:rPr>
        <w:t xml:space="preserve"> Rossiter</w:t>
      </w:r>
      <w:r w:rsidR="009A34BE" w:rsidRPr="00165ED2">
        <w:rPr>
          <w:rFonts w:ascii="Times New Roman" w:hAnsi="Times New Roman" w:cs="Times New Roman"/>
          <w:sz w:val="24"/>
          <w:szCs w:val="24"/>
        </w:rPr>
        <w:t xml:space="preserve"> </w:t>
      </w:r>
      <w:r w:rsidR="009A34BE" w:rsidRPr="00165ED2">
        <w:rPr>
          <w:rFonts w:ascii="Times New Roman" w:hAnsi="Times New Roman" w:cs="Times New Roman"/>
          <w:sz w:val="24"/>
          <w:szCs w:val="24"/>
        </w:rPr>
        <w:fldChar w:fldCharType="begin"/>
      </w:r>
      <w:r w:rsidR="00624DC9" w:rsidRPr="00165ED2">
        <w:rPr>
          <w:rFonts w:ascii="Times New Roman" w:hAnsi="Times New Roman" w:cs="Times New Roman"/>
          <w:sz w:val="24"/>
          <w:szCs w:val="24"/>
        </w:rPr>
        <w:instrText xml:space="preserve"> ADDIN ZOTERO_ITEM CSL_CITATION {"citationID":"NQkj4gvb","properties":{"formattedCitation":"[104]","plainCitation":"[104]","noteIndex":0},"citationItems":[{"id":169,"uris":["http://zotero.org/users/5056530/items/V8V82EFQ"],"itemData":{"id":169,"type":"chapter","abstract":"The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Physiology","ISBN":"978-0-470-65071-4","language":"en","license":"Copyright © 2011 American Physiological Society. All rights reserved.","note":"DOI: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9A34BE" w:rsidRPr="00165ED2">
        <w:rPr>
          <w:rFonts w:ascii="Times New Roman" w:hAnsi="Times New Roman" w:cs="Times New Roman"/>
          <w:sz w:val="24"/>
          <w:szCs w:val="24"/>
        </w:rPr>
        <w:fldChar w:fldCharType="separate"/>
      </w:r>
      <w:r w:rsidR="00624DC9" w:rsidRPr="00165ED2">
        <w:rPr>
          <w:rFonts w:ascii="Times New Roman" w:hAnsi="Times New Roman" w:cs="Times New Roman"/>
          <w:sz w:val="24"/>
        </w:rPr>
        <w:t>[104]</w:t>
      </w:r>
      <w:r w:rsidR="009A34BE" w:rsidRPr="00165ED2">
        <w:rPr>
          <w:rFonts w:ascii="Times New Roman" w:hAnsi="Times New Roman" w:cs="Times New Roman"/>
          <w:sz w:val="24"/>
          <w:szCs w:val="24"/>
        </w:rPr>
        <w:fldChar w:fldCharType="end"/>
      </w:r>
      <w:r w:rsidR="009A34BE" w:rsidRPr="00165ED2">
        <w:rPr>
          <w:rFonts w:ascii="Times New Roman" w:hAnsi="Times New Roman" w:cs="Times New Roman"/>
          <w:sz w:val="24"/>
          <w:szCs w:val="24"/>
        </w:rPr>
        <w:t xml:space="preserve">, with groups </w:t>
      </w:r>
      <w:r w:rsidR="00372705" w:rsidRPr="00165ED2">
        <w:rPr>
          <w:rFonts w:ascii="Times New Roman" w:hAnsi="Times New Roman" w:cs="Times New Roman"/>
          <w:sz w:val="24"/>
          <w:szCs w:val="24"/>
        </w:rPr>
        <w:t xml:space="preserve">which </w:t>
      </w:r>
      <w:r w:rsidR="009A34BE" w:rsidRPr="00165ED2">
        <w:rPr>
          <w:rFonts w:ascii="Times New Roman" w:hAnsi="Times New Roman" w:cs="Times New Roman"/>
          <w:sz w:val="24"/>
          <w:szCs w:val="24"/>
        </w:rPr>
        <w:t xml:space="preserve">were approximately matched for age, </w:t>
      </w:r>
      <m:oMath>
        <m:acc>
          <m:accPr>
            <m:chr m:val="̇"/>
            <m:ctrlPr>
              <w:rPr>
                <w:rFonts w:ascii="Cambria Math" w:eastAsia="Cambria" w:hAnsi="Cambria Math" w:cs="Times New Roman"/>
                <w:i/>
                <w:sz w:val="24"/>
                <w:szCs w:val="24"/>
              </w:rPr>
            </m:ctrlPr>
          </m:accPr>
          <m:e>
            <m:r>
              <w:rPr>
                <w:rFonts w:ascii="Cambria Math" w:eastAsia="Cambria" w:hAnsi="Cambria Math" w:cs="Times New Roman"/>
                <w:sz w:val="24"/>
                <w:szCs w:val="24"/>
              </w:rPr>
              <m:t>V</m:t>
            </m:r>
          </m:e>
        </m:acc>
      </m:oMath>
      <w:r w:rsidR="009A34BE" w:rsidRPr="00165ED2">
        <w:rPr>
          <w:rFonts w:ascii="Times New Roman" w:eastAsia="Calibri" w:hAnsi="Times New Roman" w:cs="Times New Roman"/>
          <w:i/>
          <w:sz w:val="24"/>
          <w:szCs w:val="24"/>
        </w:rPr>
        <w:t>O</w:t>
      </w:r>
      <w:r w:rsidR="009A34BE" w:rsidRPr="00165ED2">
        <w:rPr>
          <w:rFonts w:ascii="Times New Roman" w:eastAsia="Calibri" w:hAnsi="Times New Roman" w:cs="Times New Roman"/>
          <w:i/>
          <w:sz w:val="24"/>
          <w:szCs w:val="24"/>
          <w:vertAlign w:val="subscript"/>
        </w:rPr>
        <w:t xml:space="preserve">2 </w:t>
      </w:r>
      <w:r w:rsidR="009A34BE" w:rsidRPr="00165ED2">
        <w:rPr>
          <w:rFonts w:ascii="Times New Roman" w:eastAsia="Calibri" w:hAnsi="Times New Roman" w:cs="Times New Roman"/>
          <w:sz w:val="24"/>
          <w:szCs w:val="24"/>
        </w:rPr>
        <w:t xml:space="preserve">max, and health status. </w:t>
      </w:r>
      <w:r w:rsidR="00D17D59" w:rsidRPr="00165ED2">
        <w:rPr>
          <w:rFonts w:ascii="Times New Roman" w:eastAsia="Calibri" w:hAnsi="Times New Roman" w:cs="Times New Roman"/>
          <w:sz w:val="24"/>
          <w:szCs w:val="24"/>
        </w:rPr>
        <w:t xml:space="preserve">Electronic Supplementary Material Table S1 </w:t>
      </w:r>
      <w:r w:rsidR="009A34BE" w:rsidRPr="00165ED2">
        <w:rPr>
          <w:rFonts w:ascii="Times New Roman" w:eastAsia="Calibri" w:hAnsi="Times New Roman" w:cs="Times New Roman"/>
          <w:sz w:val="24"/>
          <w:szCs w:val="24"/>
        </w:rPr>
        <w:t>should be consulted for details</w:t>
      </w:r>
      <w:r w:rsidR="00A34531" w:rsidRPr="00165ED2">
        <w:rPr>
          <w:rFonts w:ascii="Times New Roman" w:eastAsia="Calibri" w:hAnsi="Times New Roman" w:cs="Times New Roman"/>
          <w:sz w:val="24"/>
          <w:szCs w:val="24"/>
        </w:rPr>
        <w:t xml:space="preserve"> regarding derivation of </w:t>
      </w:r>
      <w:r w:rsidR="00A34531" w:rsidRPr="00165ED2">
        <w:rPr>
          <w:rFonts w:ascii="Times New Roman" w:hAnsi="Times New Roman" w:cs="Times New Roman"/>
          <w:sz w:val="24"/>
        </w:rPr>
        <w:t xml:space="preserve">critical </w:t>
      </w: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w:r w:rsidR="00A34531" w:rsidRPr="00165ED2">
        <w:rPr>
          <w:rFonts w:ascii="Times New Roman" w:eastAsiaTheme="minorEastAsia" w:hAnsi="Times New Roman" w:cs="Times New Roman"/>
          <w:bCs/>
          <w:sz w:val="24"/>
          <w:szCs w:val="24"/>
        </w:rPr>
        <w:t>O</w:t>
      </w:r>
      <w:r w:rsidR="00A34531" w:rsidRPr="00165ED2">
        <w:rPr>
          <w:rFonts w:ascii="Times New Roman" w:eastAsiaTheme="minorEastAsia" w:hAnsi="Times New Roman" w:cs="Times New Roman"/>
          <w:bCs/>
          <w:sz w:val="24"/>
          <w:szCs w:val="24"/>
          <w:vertAlign w:val="subscript"/>
        </w:rPr>
        <w:t xml:space="preserve">2 </w:t>
      </w:r>
      <w:r w:rsidR="00A34531" w:rsidRPr="00165ED2">
        <w:rPr>
          <w:rFonts w:ascii="Times New Roman" w:eastAsiaTheme="minorEastAsia" w:hAnsi="Times New Roman" w:cs="Times New Roman"/>
          <w:bCs/>
          <w:sz w:val="24"/>
          <w:szCs w:val="24"/>
        </w:rPr>
        <w:t>in different species</w:t>
      </w:r>
      <w:r w:rsidR="00372705" w:rsidRPr="00165ED2">
        <w:rPr>
          <w:rFonts w:ascii="Times New Roman" w:eastAsia="Calibri" w:hAnsi="Times New Roman" w:cs="Times New Roman"/>
          <w:sz w:val="24"/>
          <w:szCs w:val="24"/>
        </w:rPr>
        <w:t>.</w:t>
      </w:r>
      <w:r w:rsidR="00D17D59" w:rsidRPr="00165ED2">
        <w:rPr>
          <w:rFonts w:ascii="Times New Roman" w:eastAsia="Calibri" w:hAnsi="Times New Roman" w:cs="Times New Roman"/>
          <w:sz w:val="24"/>
          <w:szCs w:val="24"/>
        </w:rPr>
        <w:t xml:space="preserve"> </w:t>
      </w:r>
      <w:r w:rsidR="00D73094" w:rsidRPr="00165ED2">
        <w:rPr>
          <w:rFonts w:ascii="Times New Roman" w:eastAsia="Calibri" w:hAnsi="Times New Roman" w:cs="Times New Roman"/>
          <w:sz w:val="24"/>
          <w:szCs w:val="24"/>
        </w:rPr>
        <w:t>Panel E shows human-only data</w:t>
      </w:r>
      <w:r w:rsidR="00BB0555" w:rsidRPr="00165ED2">
        <w:rPr>
          <w:rFonts w:ascii="Times New Roman" w:eastAsia="Calibri" w:hAnsi="Times New Roman" w:cs="Times New Roman"/>
          <w:sz w:val="24"/>
          <w:szCs w:val="24"/>
        </w:rPr>
        <w:t xml:space="preserve"> from panel D</w:t>
      </w:r>
      <w:r w:rsidR="00D73094" w:rsidRPr="00165ED2">
        <w:rPr>
          <w:rFonts w:ascii="Times New Roman" w:eastAsia="Calibri" w:hAnsi="Times New Roman" w:cs="Times New Roman"/>
          <w:sz w:val="24"/>
          <w:szCs w:val="24"/>
        </w:rPr>
        <w:t xml:space="preserve"> of CP (ml.kg</w:t>
      </w:r>
      <w:r w:rsidR="00D73094" w:rsidRPr="00165ED2">
        <w:rPr>
          <w:rFonts w:ascii="Times New Roman" w:eastAsia="Calibri" w:hAnsi="Times New Roman" w:cs="Times New Roman"/>
          <w:sz w:val="24"/>
          <w:szCs w:val="24"/>
          <w:vertAlign w:val="superscript"/>
        </w:rPr>
        <w:t>-1</w:t>
      </w:r>
      <w:r w:rsidR="00D73094" w:rsidRPr="00165ED2">
        <w:rPr>
          <w:rFonts w:ascii="Times New Roman" w:eastAsia="Calibri" w:hAnsi="Times New Roman" w:cs="Times New Roman"/>
          <w:sz w:val="24"/>
          <w:szCs w:val="24"/>
        </w:rPr>
        <w:t>.min</w:t>
      </w:r>
      <w:r w:rsidR="00D73094" w:rsidRPr="00165ED2">
        <w:rPr>
          <w:rFonts w:ascii="Times New Roman" w:eastAsia="Calibri" w:hAnsi="Times New Roman" w:cs="Times New Roman"/>
          <w:sz w:val="24"/>
          <w:szCs w:val="24"/>
          <w:vertAlign w:val="superscript"/>
        </w:rPr>
        <w:t>-1</w:t>
      </w:r>
      <w:r w:rsidR="00D73094" w:rsidRPr="00165ED2">
        <w:rPr>
          <w:rFonts w:ascii="Times New Roman" w:eastAsia="Calibri" w:hAnsi="Times New Roman" w:cs="Times New Roman"/>
          <w:sz w:val="24"/>
          <w:szCs w:val="24"/>
        </w:rPr>
        <w:t>) plotted as a function of 1/</w:t>
      </w:r>
      <w:r w:rsidR="00D73094" w:rsidRPr="00165ED2">
        <w:rPr>
          <w:rFonts w:ascii="Times New Roman" w:hAnsi="Times New Roman" w:cs="Times New Roman"/>
          <w:sz w:val="24"/>
        </w:rPr>
        <w:t xml:space="preserve"> τ</w:t>
      </w:r>
      <w:r w:rsidR="00D73094" w:rsidRPr="00165ED2">
        <w:rPr>
          <w:rFonts w:ascii="Times New Roman" w:hAnsi="Times New Roman" w:cs="Times New Roman"/>
          <w:sz w:val="24"/>
          <w:vertAlign w:val="subscript"/>
        </w:rPr>
        <w:t xml:space="preserve">V̇O2 </w:t>
      </w:r>
      <w:r w:rsidR="00D73094" w:rsidRPr="00165ED2">
        <w:rPr>
          <w:rFonts w:ascii="Times New Roman" w:hAnsi="Times New Roman" w:cs="Times New Roman"/>
          <w:sz w:val="24"/>
        </w:rPr>
        <w:t>(i.e.</w:t>
      </w:r>
      <w:r w:rsidR="00BA3C48" w:rsidRPr="00165ED2">
        <w:rPr>
          <w:rFonts w:ascii="Times New Roman" w:hAnsi="Times New Roman" w:cs="Times New Roman"/>
          <w:sz w:val="24"/>
        </w:rPr>
        <w:t xml:space="preserve"> the rate constant,</w:t>
      </w:r>
      <w:r w:rsidR="00D73094" w:rsidRPr="00165ED2">
        <w:rPr>
          <w:rFonts w:ascii="Times New Roman" w:hAnsi="Times New Roman" w:cs="Times New Roman"/>
          <w:sz w:val="24"/>
        </w:rPr>
        <w:t xml:space="preserve"> </w:t>
      </w:r>
      <w:r w:rsidR="00D73094" w:rsidRPr="00165ED2">
        <w:rPr>
          <w:rFonts w:ascii="Times New Roman" w:hAnsi="Times New Roman" w:cs="Times New Roman"/>
          <w:i/>
          <w:sz w:val="24"/>
        </w:rPr>
        <w:t>k</w:t>
      </w:r>
      <w:r w:rsidR="00D73094" w:rsidRPr="00165ED2">
        <w:rPr>
          <w:rFonts w:ascii="Times New Roman" w:hAnsi="Times New Roman" w:cs="Times New Roman"/>
          <w:sz w:val="24"/>
        </w:rPr>
        <w:t>)</w:t>
      </w:r>
      <w:r w:rsidR="00BB0555" w:rsidRPr="00165ED2">
        <w:rPr>
          <w:rFonts w:ascii="Times New Roman" w:hAnsi="Times New Roman" w:cs="Times New Roman"/>
          <w:sz w:val="24"/>
        </w:rPr>
        <w:t>. There is a notable linear relationship across what can be regarded as the complete range of human fitness, indicating that the relationship between τ</w:t>
      </w:r>
      <w:r w:rsidR="00BB0555" w:rsidRPr="00165ED2">
        <w:rPr>
          <w:rFonts w:ascii="Times New Roman" w:hAnsi="Times New Roman" w:cs="Times New Roman"/>
          <w:sz w:val="24"/>
          <w:vertAlign w:val="subscript"/>
        </w:rPr>
        <w:t xml:space="preserve">V̇O2 </w:t>
      </w:r>
      <w:r w:rsidR="00BB0555" w:rsidRPr="00165ED2">
        <w:rPr>
          <w:rFonts w:ascii="Times New Roman" w:hAnsi="Times New Roman" w:cs="Times New Roman"/>
          <w:sz w:val="24"/>
        </w:rPr>
        <w:t xml:space="preserve">and CP is hyperbolic, with previously published linear </w:t>
      </w:r>
      <w:r w:rsidR="00BB0555" w:rsidRPr="00165ED2">
        <w:rPr>
          <w:rFonts w:ascii="Times New Roman" w:hAnsi="Times New Roman" w:cs="Times New Roman"/>
          <w:sz w:val="24"/>
        </w:rPr>
        <w:lastRenderedPageBreak/>
        <w:t>relationships likely being a function of participant homogeneity, and thus reflecting only a truncated portion of the hyperbolic relationship</w:t>
      </w:r>
      <w:r w:rsidR="00BA3C48" w:rsidRPr="00165ED2">
        <w:rPr>
          <w:rFonts w:ascii="Times New Roman" w:hAnsi="Times New Roman" w:cs="Times New Roman"/>
          <w:sz w:val="24"/>
        </w:rPr>
        <w:t>.</w:t>
      </w:r>
      <w:r w:rsidR="00BA3C48" w:rsidRPr="00165ED2">
        <w:rPr>
          <w:rFonts w:ascii="Times New Roman" w:eastAsia="Calibri" w:hAnsi="Times New Roman" w:cs="Times New Roman"/>
          <w:sz w:val="24"/>
          <w:szCs w:val="24"/>
        </w:rPr>
        <w:t xml:space="preserve"> COPD, chronic obstructive pulmonary disease.</w:t>
      </w:r>
    </w:p>
    <w:p w14:paraId="0C607CB3" w14:textId="7AF9FF95" w:rsidR="00F6682F" w:rsidRDefault="00376C6E" w:rsidP="0031111D">
      <w:pPr>
        <w:spacing w:line="480" w:lineRule="auto"/>
        <w:jc w:val="both"/>
        <w:rPr>
          <w:rFonts w:ascii="Times New Roman" w:eastAsia="MS Mincho" w:hAnsi="Times New Roman" w:cs="Times New Roman"/>
          <w:bCs/>
          <w:sz w:val="24"/>
          <w:szCs w:val="24"/>
        </w:rPr>
      </w:pPr>
      <w:r w:rsidRPr="00165ED2">
        <w:rPr>
          <w:rFonts w:ascii="Times New Roman" w:eastAsia="MS Mincho" w:hAnsi="Times New Roman" w:cs="Times New Roman"/>
          <w:b/>
          <w:bCs/>
          <w:sz w:val="24"/>
          <w:szCs w:val="24"/>
        </w:rPr>
        <w:t>Figure 4</w:t>
      </w:r>
      <w:r w:rsidR="00DF5081" w:rsidRPr="00165ED2">
        <w:rPr>
          <w:rFonts w:ascii="Times New Roman" w:eastAsia="MS Mincho" w:hAnsi="Times New Roman" w:cs="Times New Roman"/>
          <w:b/>
          <w:bCs/>
          <w:sz w:val="24"/>
          <w:szCs w:val="24"/>
        </w:rPr>
        <w:t xml:space="preserve">. </w:t>
      </w:r>
      <w:r w:rsidR="00F868F4" w:rsidRPr="00165ED2">
        <w:rPr>
          <w:rFonts w:ascii="Times New Roman" w:eastAsia="MS Mincho" w:hAnsi="Times New Roman" w:cs="Times New Roman"/>
          <w:bCs/>
          <w:sz w:val="24"/>
          <w:szCs w:val="24"/>
        </w:rPr>
        <w:t>This schematic illustrates each of the factors that has been demonstrated to impact upon critical power. Convective and diffusive O</w:t>
      </w:r>
      <w:r w:rsidR="00F868F4" w:rsidRPr="00165ED2">
        <w:rPr>
          <w:rFonts w:ascii="Times New Roman" w:eastAsia="MS Mincho" w:hAnsi="Times New Roman" w:cs="Times New Roman"/>
          <w:bCs/>
          <w:sz w:val="24"/>
          <w:szCs w:val="24"/>
          <w:vertAlign w:val="subscript"/>
        </w:rPr>
        <w:t>2</w:t>
      </w:r>
      <w:r w:rsidR="00F868F4" w:rsidRPr="00165ED2">
        <w:rPr>
          <w:rFonts w:ascii="Times New Roman" w:eastAsia="MS Mincho" w:hAnsi="Times New Roman" w:cs="Times New Roman"/>
          <w:bCs/>
          <w:sz w:val="24"/>
          <w:szCs w:val="24"/>
        </w:rPr>
        <w:t xml:space="preserve"> delivery act in concert with muscle O</w:t>
      </w:r>
      <w:r w:rsidR="00F868F4" w:rsidRPr="00165ED2">
        <w:rPr>
          <w:rFonts w:ascii="Times New Roman" w:eastAsia="MS Mincho" w:hAnsi="Times New Roman" w:cs="Times New Roman"/>
          <w:bCs/>
          <w:sz w:val="24"/>
          <w:szCs w:val="24"/>
          <w:vertAlign w:val="subscript"/>
        </w:rPr>
        <w:t>2</w:t>
      </w:r>
      <w:r w:rsidR="00F868F4" w:rsidRPr="00165ED2">
        <w:rPr>
          <w:rFonts w:ascii="Times New Roman" w:eastAsia="MS Mincho" w:hAnsi="Times New Roman" w:cs="Times New Roman"/>
          <w:bCs/>
          <w:sz w:val="24"/>
          <w:szCs w:val="24"/>
        </w:rPr>
        <w:t xml:space="preserve"> utilization to determine the degree of intracellular metabolic perturbation and fatigue induction incurred during the rest-to-exercise transition. The extent of such metabolic perturbations, in turn, determine whether or not an exercise bout can be met in a metabolic steady-state within a given myocyte. Within a given individual, whether or not an ext</w:t>
      </w:r>
      <w:r w:rsidR="00A63E67" w:rsidRPr="00165ED2">
        <w:rPr>
          <w:rFonts w:ascii="Times New Roman" w:eastAsia="MS Mincho" w:hAnsi="Times New Roman" w:cs="Times New Roman"/>
          <w:bCs/>
          <w:sz w:val="24"/>
          <w:szCs w:val="24"/>
        </w:rPr>
        <w:t>a</w:t>
      </w:r>
      <w:r w:rsidR="00F868F4" w:rsidRPr="00165ED2">
        <w:rPr>
          <w:rFonts w:ascii="Times New Roman" w:eastAsia="MS Mincho" w:hAnsi="Times New Roman" w:cs="Times New Roman"/>
          <w:bCs/>
          <w:sz w:val="24"/>
          <w:szCs w:val="24"/>
        </w:rPr>
        <w:t>nt power output is met in a whole-body steady-state will depend on the muscle fibre type composition of the individual, the muscle recruitment patterns employed during the task, and the extent of metabolic derangement and fatigue induction incurred in the recruited fibres during the rest-to-exercise transition. This figure was created with BioRender.com and was exported under a paid subscription.</w:t>
      </w:r>
      <w:r w:rsidR="00D17D59" w:rsidRPr="00165ED2">
        <w:rPr>
          <w:rFonts w:ascii="Times New Roman" w:eastAsia="MS Mincho" w:hAnsi="Times New Roman" w:cs="Times New Roman"/>
          <w:bCs/>
          <w:sz w:val="24"/>
          <w:szCs w:val="24"/>
        </w:rPr>
        <w:t xml:space="preserve"> </w:t>
      </w:r>
      <m:oMath>
        <m:acc>
          <m:accPr>
            <m:chr m:val="̇"/>
            <m:ctrlPr>
              <w:rPr>
                <w:rFonts w:ascii="Cambria Math" w:hAnsi="Cambria Math" w:cs="Times New Roman"/>
                <w:bCs/>
                <w:i/>
                <w:sz w:val="24"/>
                <w:szCs w:val="24"/>
              </w:rPr>
            </m:ctrlPr>
          </m:accPr>
          <m:e>
            <m:r>
              <w:rPr>
                <w:rFonts w:ascii="Cambria Math" w:hAnsi="Cambria Math" w:cs="Times New Roman"/>
                <w:sz w:val="24"/>
                <w:szCs w:val="24"/>
              </w:rPr>
              <m:t>Q</m:t>
            </m:r>
          </m:e>
        </m:acc>
      </m:oMath>
      <w:r w:rsidR="00D17D59" w:rsidRPr="00165ED2">
        <w:rPr>
          <w:rFonts w:ascii="Times New Roman" w:eastAsia="MS Mincho" w:hAnsi="Times New Roman" w:cs="Times New Roman"/>
          <w:bCs/>
          <w:sz w:val="24"/>
          <w:szCs w:val="24"/>
        </w:rPr>
        <w:t>, cardiac output; CaO</w:t>
      </w:r>
      <w:r w:rsidR="00D17D59" w:rsidRPr="00165ED2">
        <w:rPr>
          <w:rFonts w:ascii="Times New Roman" w:eastAsia="MS Mincho" w:hAnsi="Times New Roman" w:cs="Times New Roman"/>
          <w:bCs/>
          <w:sz w:val="24"/>
          <w:szCs w:val="24"/>
          <w:vertAlign w:val="subscript"/>
        </w:rPr>
        <w:t>2</w:t>
      </w:r>
      <w:r w:rsidR="00D17D59" w:rsidRPr="00165ED2">
        <w:rPr>
          <w:rFonts w:ascii="Times New Roman" w:eastAsia="MS Mincho" w:hAnsi="Times New Roman" w:cs="Times New Roman"/>
          <w:bCs/>
          <w:sz w:val="24"/>
          <w:szCs w:val="24"/>
        </w:rPr>
        <w:t>, arterial oxygen content, PO</w:t>
      </w:r>
      <w:r w:rsidR="00D17D59" w:rsidRPr="00165ED2">
        <w:rPr>
          <w:rFonts w:ascii="Times New Roman" w:eastAsia="MS Mincho" w:hAnsi="Times New Roman" w:cs="Times New Roman"/>
          <w:bCs/>
          <w:sz w:val="24"/>
          <w:szCs w:val="24"/>
          <w:vertAlign w:val="subscript"/>
        </w:rPr>
        <w:t>2cap</w:t>
      </w:r>
      <w:r w:rsidR="00D17D59" w:rsidRPr="00165ED2">
        <w:rPr>
          <w:rFonts w:ascii="Times New Roman" w:eastAsia="MS Mincho" w:hAnsi="Times New Roman" w:cs="Times New Roman"/>
          <w:bCs/>
          <w:sz w:val="24"/>
          <w:szCs w:val="24"/>
        </w:rPr>
        <w:t>, capillary O</w:t>
      </w:r>
      <w:r w:rsidR="00D17D59" w:rsidRPr="00165ED2">
        <w:rPr>
          <w:rFonts w:ascii="Times New Roman" w:eastAsia="MS Mincho" w:hAnsi="Times New Roman" w:cs="Times New Roman"/>
          <w:bCs/>
          <w:sz w:val="24"/>
          <w:szCs w:val="24"/>
          <w:vertAlign w:val="subscript"/>
        </w:rPr>
        <w:t>2</w:t>
      </w:r>
      <w:r w:rsidR="00D17D59" w:rsidRPr="00165ED2">
        <w:rPr>
          <w:rFonts w:ascii="Times New Roman" w:eastAsia="MS Mincho" w:hAnsi="Times New Roman" w:cs="Times New Roman"/>
          <w:bCs/>
          <w:sz w:val="24"/>
          <w:szCs w:val="24"/>
        </w:rPr>
        <w:t xml:space="preserve"> pressure; </w:t>
      </w:r>
      <w:r w:rsidR="00D17D59" w:rsidRPr="00165ED2">
        <w:rPr>
          <w:rFonts w:ascii="Times New Roman" w:eastAsia="MS Mincho" w:hAnsi="Times New Roman" w:cs="Times New Roman"/>
          <w:bCs/>
          <w:i/>
          <w:sz w:val="24"/>
          <w:szCs w:val="24"/>
        </w:rPr>
        <w:t>P</w:t>
      </w:r>
      <w:r w:rsidR="00D17D59" w:rsidRPr="00165ED2">
        <w:rPr>
          <w:rFonts w:ascii="Times New Roman" w:eastAsia="MS Mincho" w:hAnsi="Times New Roman" w:cs="Times New Roman"/>
          <w:bCs/>
          <w:sz w:val="24"/>
          <w:szCs w:val="24"/>
        </w:rPr>
        <w:t>O</w:t>
      </w:r>
      <w:r w:rsidR="00D17D59" w:rsidRPr="00165ED2">
        <w:rPr>
          <w:rFonts w:ascii="Times New Roman" w:eastAsia="MS Mincho" w:hAnsi="Times New Roman" w:cs="Times New Roman"/>
          <w:bCs/>
          <w:sz w:val="24"/>
          <w:szCs w:val="24"/>
          <w:vertAlign w:val="subscript"/>
        </w:rPr>
        <w:t>2im</w:t>
      </w:r>
      <w:r w:rsidR="00D17D59" w:rsidRPr="00165ED2">
        <w:rPr>
          <w:rFonts w:ascii="Times New Roman" w:eastAsia="MS Mincho" w:hAnsi="Times New Roman" w:cs="Times New Roman"/>
          <w:bCs/>
          <w:sz w:val="24"/>
          <w:szCs w:val="24"/>
        </w:rPr>
        <w:t xml:space="preserve">, </w:t>
      </w:r>
      <w:proofErr w:type="spellStart"/>
      <w:r w:rsidR="00D17D59" w:rsidRPr="00165ED2">
        <w:rPr>
          <w:rFonts w:ascii="Times New Roman" w:eastAsia="MS Mincho" w:hAnsi="Times New Roman" w:cs="Times New Roman"/>
          <w:bCs/>
          <w:sz w:val="24"/>
          <w:szCs w:val="24"/>
        </w:rPr>
        <w:t>intramyocyte</w:t>
      </w:r>
      <w:proofErr w:type="spellEnd"/>
      <w:r w:rsidR="00D17D59" w:rsidRPr="00165ED2">
        <w:rPr>
          <w:rFonts w:ascii="Times New Roman" w:eastAsia="MS Mincho" w:hAnsi="Times New Roman" w:cs="Times New Roman"/>
          <w:bCs/>
          <w:sz w:val="24"/>
          <w:szCs w:val="24"/>
        </w:rPr>
        <w:t xml:space="preserve"> O</w:t>
      </w:r>
      <w:r w:rsidR="00D17D59" w:rsidRPr="00165ED2">
        <w:rPr>
          <w:rFonts w:ascii="Times New Roman" w:eastAsia="MS Mincho" w:hAnsi="Times New Roman" w:cs="Times New Roman"/>
          <w:bCs/>
          <w:sz w:val="24"/>
          <w:szCs w:val="24"/>
          <w:vertAlign w:val="subscript"/>
        </w:rPr>
        <w:t>2</w:t>
      </w:r>
      <w:r w:rsidR="00D17D59" w:rsidRPr="00165ED2">
        <w:rPr>
          <w:rFonts w:ascii="Times New Roman" w:eastAsia="MS Mincho" w:hAnsi="Times New Roman" w:cs="Times New Roman"/>
          <w:bCs/>
          <w:sz w:val="24"/>
          <w:szCs w:val="24"/>
        </w:rPr>
        <w:t xml:space="preserve"> pressure; DO</w:t>
      </w:r>
      <w:r w:rsidR="00D17D59" w:rsidRPr="00165ED2">
        <w:rPr>
          <w:rFonts w:ascii="Times New Roman" w:eastAsia="MS Mincho" w:hAnsi="Times New Roman" w:cs="Times New Roman"/>
          <w:bCs/>
          <w:sz w:val="24"/>
          <w:szCs w:val="24"/>
          <w:vertAlign w:val="subscript"/>
        </w:rPr>
        <w:t>2</w:t>
      </w:r>
      <w:r w:rsidR="00D17D59" w:rsidRPr="00165ED2">
        <w:rPr>
          <w:rFonts w:ascii="Times New Roman" w:eastAsia="MS Mincho" w:hAnsi="Times New Roman" w:cs="Times New Roman"/>
          <w:bCs/>
          <w:sz w:val="24"/>
          <w:szCs w:val="24"/>
        </w:rPr>
        <w:t>, muscle diffusive capacity.</w:t>
      </w:r>
      <w:r w:rsidR="009F4F5B" w:rsidRPr="00165ED2">
        <w:rPr>
          <w:rFonts w:ascii="Times New Roman" w:eastAsia="MS Mincho" w:hAnsi="Times New Roman" w:cs="Times New Roman"/>
          <w:bCs/>
          <w:sz w:val="24"/>
          <w:szCs w:val="24"/>
        </w:rPr>
        <w:t xml:space="preserve"> </w:t>
      </w:r>
    </w:p>
    <w:p w14:paraId="63CEEBF1" w14:textId="77777777" w:rsidR="00F6682F" w:rsidRDefault="00F6682F">
      <w:pPr>
        <w:rPr>
          <w:rFonts w:ascii="Times New Roman" w:eastAsia="MS Mincho" w:hAnsi="Times New Roman" w:cs="Times New Roman"/>
          <w:bCs/>
          <w:sz w:val="24"/>
          <w:szCs w:val="24"/>
        </w:rPr>
      </w:pPr>
      <w:r>
        <w:rPr>
          <w:rFonts w:ascii="Times New Roman" w:eastAsia="MS Mincho" w:hAnsi="Times New Roman" w:cs="Times New Roman"/>
          <w:bCs/>
          <w:sz w:val="24"/>
          <w:szCs w:val="24"/>
        </w:rPr>
        <w:br w:type="page"/>
      </w:r>
    </w:p>
    <w:p w14:paraId="3FB45636" w14:textId="77777777" w:rsidR="000B2B2F" w:rsidRPr="00DF5081" w:rsidRDefault="000B2B2F" w:rsidP="000B2B2F">
      <w:pPr>
        <w:spacing w:line="480" w:lineRule="auto"/>
        <w:jc w:val="both"/>
        <w:rPr>
          <w:rFonts w:ascii="Times New Roman" w:eastAsia="MS Mincho" w:hAnsi="Times New Roman" w:cs="Times New Roman"/>
          <w:b/>
          <w:bCs/>
          <w:color w:val="000000"/>
          <w:sz w:val="24"/>
          <w:szCs w:val="24"/>
        </w:rPr>
      </w:pPr>
      <w:r w:rsidRPr="00DF5081">
        <w:rPr>
          <w:rFonts w:ascii="Times New Roman" w:eastAsia="MS Mincho" w:hAnsi="Times New Roman" w:cs="Times New Roman"/>
          <w:b/>
          <w:bCs/>
          <w:color w:val="000000"/>
          <w:sz w:val="24"/>
          <w:szCs w:val="24"/>
        </w:rPr>
        <w:lastRenderedPageBreak/>
        <w:t>Figure 1.</w:t>
      </w:r>
      <w:r w:rsidRPr="003B0401">
        <w:rPr>
          <w:rFonts w:eastAsia="Calibri" w:cs="Calibri"/>
          <w:noProof/>
          <w:sz w:val="24"/>
          <w:szCs w:val="24"/>
          <w:lang w:eastAsia="en-GB"/>
        </w:rPr>
        <mc:AlternateContent>
          <mc:Choice Requires="wpg">
            <w:drawing>
              <wp:anchor distT="0" distB="0" distL="114300" distR="114300" simplePos="0" relativeHeight="251659264" behindDoc="0" locked="0" layoutInCell="1" allowOverlap="1" wp14:anchorId="01D18DBA" wp14:editId="5F36D5A3">
                <wp:simplePos x="0" y="0"/>
                <wp:positionH relativeFrom="margin">
                  <wp:posOffset>0</wp:posOffset>
                </wp:positionH>
                <wp:positionV relativeFrom="paragraph">
                  <wp:posOffset>0</wp:posOffset>
                </wp:positionV>
                <wp:extent cx="5400675" cy="3829050"/>
                <wp:effectExtent l="0" t="0" r="0" b="0"/>
                <wp:wrapNone/>
                <wp:docPr id="13" name="Group 8"/>
                <wp:cNvGraphicFramePr/>
                <a:graphic xmlns:a="http://schemas.openxmlformats.org/drawingml/2006/main">
                  <a:graphicData uri="http://schemas.microsoft.com/office/word/2010/wordprocessingGroup">
                    <wpg:wgp>
                      <wpg:cNvGrpSpPr/>
                      <wpg:grpSpPr>
                        <a:xfrm>
                          <a:off x="0" y="0"/>
                          <a:ext cx="5400675" cy="3829050"/>
                          <a:chOff x="0" y="0"/>
                          <a:chExt cx="4371975" cy="3286125"/>
                        </a:xfrm>
                      </wpg:grpSpPr>
                      <pic:pic xmlns:pic="http://schemas.openxmlformats.org/drawingml/2006/picture">
                        <pic:nvPicPr>
                          <pic:cNvPr id="14" name="Picture 14"/>
                          <pic:cNvPicPr/>
                        </pic:nvPicPr>
                        <pic:blipFill>
                          <a:blip r:embed="rId7"/>
                          <a:stretch>
                            <a:fillRect/>
                          </a:stretch>
                        </pic:blipFill>
                        <pic:spPr>
                          <a:xfrm>
                            <a:off x="0" y="0"/>
                            <a:ext cx="4371975" cy="3286125"/>
                          </a:xfrm>
                          <a:prstGeom prst="rect">
                            <a:avLst/>
                          </a:prstGeom>
                        </pic:spPr>
                      </pic:pic>
                      <wps:wsp>
                        <wps:cNvPr id="15" name="Left Brace 15"/>
                        <wps:cNvSpPr/>
                        <wps:spPr>
                          <a:xfrm rot="10800000">
                            <a:off x="3619037" y="671255"/>
                            <a:ext cx="117987" cy="90702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Left Brace 16"/>
                        <wps:cNvSpPr/>
                        <wps:spPr>
                          <a:xfrm rot="10800000">
                            <a:off x="3619036" y="1578280"/>
                            <a:ext cx="117987" cy="52356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Left Brace 17"/>
                        <wps:cNvSpPr/>
                        <wps:spPr>
                          <a:xfrm rot="10800000">
                            <a:off x="3619034" y="2101849"/>
                            <a:ext cx="117987" cy="52356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047229" id="Group 8" o:spid="_x0000_s1026" style="position:absolute;margin-left:0;margin-top:0;width:425.25pt;height:301.5pt;z-index:251659264;mso-position-horizontal-relative:margin;mso-width-relative:margin;mso-height-relative:margin" coordsize="43719,328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3719;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">
                  <v:imagedata r:id="rId8"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8" type="#_x0000_t87" style="position:absolute;left:36190;top:6712;width:1180;height:90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" adj="234" strokecolor="black [3213]" strokeweight=".5pt">
                  <v:stroke joinstyle="miter"/>
                </v:shape>
                <v:shape id="Left Brace 16" o:spid="_x0000_s1029" type="#_x0000_t87" style="position:absolute;left:36190;top:15782;width:1180;height:52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" adj="406" strokecolor="black [3213]" strokeweight=".5pt">
                  <v:stroke joinstyle="miter"/>
                </v:shape>
                <v:shape id="Left Brace 17" o:spid="_x0000_s1030" type="#_x0000_t87" style="position:absolute;left:36190;top:21018;width:1180;height:52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" adj="406" strokecolor="black [3213]" strokeweight=".5pt">
                  <v:stroke joinstyle="miter"/>
                </v:shape>
                <w10:wrap anchorx="margin"/>
              </v:group>
            </w:pict>
          </mc:Fallback>
        </mc:AlternateContent>
      </w:r>
    </w:p>
    <w:p w14:paraId="045C2AAA"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5EDD7573"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70EFB7BB"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376883E9"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3F99489A"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7683164E"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1DFBB0CA"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5BB9F200"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0785C1D2"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31694445"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E6CE0A3"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1F29154"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71BDFB42"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05D1893"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E849426"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F3439FE"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01A183FE"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C515C06"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48442739" w14:textId="77777777" w:rsidR="000B2B2F" w:rsidRDefault="000B2B2F" w:rsidP="000B2B2F">
      <w:pPr>
        <w:spacing w:line="480" w:lineRule="auto"/>
        <w:jc w:val="both"/>
        <w:rPr>
          <w:rFonts w:ascii="Times New Roman" w:eastAsia="MS Mincho" w:hAnsi="Times New Roman" w:cs="Times New Roman"/>
          <w:b/>
          <w:bCs/>
          <w:color w:val="000000"/>
          <w:sz w:val="24"/>
          <w:szCs w:val="24"/>
        </w:rPr>
      </w:pPr>
    </w:p>
    <w:p w14:paraId="79A1A143" w14:textId="77777777" w:rsidR="000B2B2F" w:rsidRDefault="000B2B2F" w:rsidP="000B2B2F">
      <w:pPr>
        <w:spacing w:line="480" w:lineRule="auto"/>
        <w:jc w:val="both"/>
        <w:rPr>
          <w:rFonts w:ascii="Times New Roman" w:eastAsia="MS Mincho" w:hAnsi="Times New Roman" w:cs="Times New Roman"/>
          <w:b/>
          <w:bCs/>
          <w:color w:val="000000"/>
          <w:sz w:val="24"/>
          <w:szCs w:val="24"/>
        </w:rPr>
      </w:pPr>
      <w:r>
        <w:rPr>
          <w:rFonts w:ascii="Times New Roman" w:eastAsia="MS Mincho" w:hAnsi="Times New Roman" w:cs="Times New Roman"/>
          <w:b/>
          <w:bCs/>
          <w:color w:val="000000"/>
          <w:sz w:val="24"/>
          <w:szCs w:val="24"/>
        </w:rPr>
        <w:lastRenderedPageBreak/>
        <w:t>F</w:t>
      </w:r>
      <w:r w:rsidRPr="00DF5081">
        <w:rPr>
          <w:rFonts w:ascii="Times New Roman" w:eastAsia="MS Mincho" w:hAnsi="Times New Roman" w:cs="Times New Roman"/>
          <w:b/>
          <w:bCs/>
          <w:color w:val="000000"/>
          <w:sz w:val="24"/>
          <w:szCs w:val="24"/>
        </w:rPr>
        <w:t>igure 2.</w:t>
      </w:r>
    </w:p>
    <w:p w14:paraId="48B490E8" w14:textId="77777777" w:rsidR="000B2B2F" w:rsidRDefault="000B2B2F" w:rsidP="000B2B2F">
      <w:pPr>
        <w:spacing w:line="480" w:lineRule="auto"/>
        <w:jc w:val="both"/>
        <w:rPr>
          <w:rFonts w:ascii="Times New Roman" w:eastAsia="MS Mincho" w:hAnsi="Times New Roman" w:cs="Times New Roman"/>
          <w:bCs/>
          <w:color w:val="000000"/>
          <w:sz w:val="24"/>
          <w:szCs w:val="24"/>
        </w:rPr>
      </w:pPr>
      <w:r w:rsidRPr="00CD19B2">
        <w:rPr>
          <w:rFonts w:ascii="Times New Roman" w:eastAsia="MS Mincho" w:hAnsi="Times New Roman" w:cs="Times New Roman"/>
          <w:bCs/>
          <w:noProof/>
          <w:color w:val="000000"/>
          <w:sz w:val="24"/>
          <w:szCs w:val="24"/>
          <w:lang w:eastAsia="en-GB"/>
        </w:rPr>
        <w:drawing>
          <wp:inline distT="0" distB="0" distL="0" distR="0" wp14:anchorId="55AEA97B" wp14:editId="28A8A74E">
            <wp:extent cx="5731510" cy="5731510"/>
            <wp:effectExtent l="0" t="0" r="2540" b="2540"/>
            <wp:docPr id="2" name="Picture 2" descr="C:\Users\RGG370\Downloads\Richie Wasserman's Gear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GG370\Downloads\Richie Wasserman's Gears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2280100"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63BB4C57"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236CA2AA"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19A90D4E"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05702FFF"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3BEE0821" w14:textId="77777777" w:rsidR="000B2B2F" w:rsidRDefault="000B2B2F" w:rsidP="000B2B2F">
      <w:pPr>
        <w:spacing w:line="480" w:lineRule="auto"/>
        <w:jc w:val="both"/>
        <w:rPr>
          <w:rFonts w:ascii="Times New Roman" w:eastAsia="MS Mincho" w:hAnsi="Times New Roman" w:cs="Times New Roman"/>
          <w:b/>
          <w:bCs/>
          <w:color w:val="000000"/>
          <w:sz w:val="24"/>
          <w:szCs w:val="24"/>
        </w:rPr>
      </w:pPr>
      <w:r w:rsidRPr="00DF5081">
        <w:rPr>
          <w:rFonts w:ascii="Times New Roman" w:eastAsia="MS Mincho" w:hAnsi="Times New Roman" w:cs="Times New Roman"/>
          <w:b/>
          <w:bCs/>
          <w:color w:val="000000"/>
          <w:sz w:val="24"/>
          <w:szCs w:val="24"/>
        </w:rPr>
        <w:lastRenderedPageBreak/>
        <w:t xml:space="preserve">Figure 3. </w:t>
      </w:r>
    </w:p>
    <w:p w14:paraId="35BAA032" w14:textId="77777777" w:rsidR="000B2B2F" w:rsidRDefault="000B2B2F" w:rsidP="000B2B2F">
      <w:pPr>
        <w:spacing w:line="480" w:lineRule="auto"/>
        <w:jc w:val="both"/>
        <w:rPr>
          <w:rFonts w:ascii="Times New Roman" w:eastAsia="MS Mincho" w:hAnsi="Times New Roman" w:cs="Times New Roman"/>
          <w:b/>
          <w:bCs/>
          <w:color w:val="000000"/>
          <w:sz w:val="24"/>
          <w:szCs w:val="24"/>
        </w:rPr>
      </w:pPr>
      <w:r w:rsidRPr="0079187B">
        <w:t xml:space="preserve"> </w:t>
      </w:r>
      <w:r w:rsidRPr="005D1BB2">
        <w:rPr>
          <w:noProof/>
          <w:lang w:eastAsia="en-GB"/>
        </w:rPr>
        <w:drawing>
          <wp:inline distT="0" distB="0" distL="0" distR="0" wp14:anchorId="69272A15" wp14:editId="1E866429">
            <wp:extent cx="5731510" cy="5852428"/>
            <wp:effectExtent l="0" t="0" r="2540" b="0"/>
            <wp:docPr id="7" name="Picture 7" descr="G:\My Drive\Documents\Documents\Amsterdam\CP review\Revisi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y Drive\Documents\Documents\Amsterdam\CP review\Revision\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852428"/>
                    </a:xfrm>
                    <a:prstGeom prst="rect">
                      <a:avLst/>
                    </a:prstGeom>
                    <a:noFill/>
                    <a:ln>
                      <a:noFill/>
                    </a:ln>
                  </pic:spPr>
                </pic:pic>
              </a:graphicData>
            </a:graphic>
          </wp:inline>
        </w:drawing>
      </w:r>
    </w:p>
    <w:p w14:paraId="53A07F92" w14:textId="77777777" w:rsidR="000B2B2F" w:rsidRDefault="000B2B2F" w:rsidP="000B2B2F">
      <w:pPr>
        <w:spacing w:line="480" w:lineRule="auto"/>
        <w:jc w:val="both"/>
        <w:rPr>
          <w:rFonts w:ascii="Times New Roman" w:eastAsia="MS Mincho" w:hAnsi="Times New Roman" w:cs="Times New Roman"/>
          <w:b/>
          <w:bCs/>
          <w:color w:val="000000"/>
          <w:sz w:val="24"/>
          <w:szCs w:val="24"/>
        </w:rPr>
      </w:pPr>
    </w:p>
    <w:p w14:paraId="4F4AE2F9" w14:textId="77777777" w:rsidR="000B2B2F" w:rsidRDefault="000B2B2F" w:rsidP="000B2B2F">
      <w:pPr>
        <w:spacing w:line="480" w:lineRule="auto"/>
        <w:jc w:val="both"/>
        <w:rPr>
          <w:rFonts w:ascii="Times New Roman" w:eastAsia="MS Mincho" w:hAnsi="Times New Roman" w:cs="Times New Roman"/>
          <w:b/>
          <w:bCs/>
          <w:color w:val="000000"/>
          <w:sz w:val="24"/>
          <w:szCs w:val="24"/>
        </w:rPr>
      </w:pPr>
    </w:p>
    <w:p w14:paraId="06F2499F" w14:textId="77777777" w:rsidR="000B2B2F" w:rsidRDefault="000B2B2F" w:rsidP="000B2B2F">
      <w:pPr>
        <w:spacing w:line="480" w:lineRule="auto"/>
        <w:jc w:val="both"/>
        <w:rPr>
          <w:rFonts w:ascii="Times New Roman" w:eastAsia="MS Mincho" w:hAnsi="Times New Roman" w:cs="Times New Roman"/>
          <w:b/>
          <w:bCs/>
          <w:color w:val="000000"/>
          <w:sz w:val="24"/>
          <w:szCs w:val="24"/>
        </w:rPr>
      </w:pPr>
    </w:p>
    <w:p w14:paraId="17FF001A" w14:textId="77777777" w:rsidR="000B2B2F" w:rsidRDefault="000B2B2F" w:rsidP="000B2B2F">
      <w:pPr>
        <w:spacing w:line="480" w:lineRule="auto"/>
        <w:jc w:val="both"/>
        <w:rPr>
          <w:rFonts w:ascii="Times New Roman" w:eastAsia="MS Mincho" w:hAnsi="Times New Roman" w:cs="Times New Roman"/>
          <w:b/>
          <w:bCs/>
          <w:color w:val="000000"/>
          <w:sz w:val="24"/>
          <w:szCs w:val="24"/>
        </w:rPr>
      </w:pPr>
    </w:p>
    <w:p w14:paraId="2CB3A6C9" w14:textId="77777777" w:rsidR="000B2B2F" w:rsidRPr="00DF5081" w:rsidRDefault="000B2B2F" w:rsidP="000B2B2F">
      <w:pPr>
        <w:spacing w:line="480" w:lineRule="auto"/>
        <w:jc w:val="both"/>
        <w:rPr>
          <w:rFonts w:ascii="Times New Roman" w:eastAsia="MS Mincho" w:hAnsi="Times New Roman" w:cs="Times New Roman"/>
          <w:b/>
          <w:bCs/>
          <w:color w:val="000000"/>
          <w:sz w:val="24"/>
          <w:szCs w:val="24"/>
        </w:rPr>
      </w:pPr>
      <w:r>
        <w:rPr>
          <w:rFonts w:ascii="Times New Roman" w:eastAsia="MS Mincho" w:hAnsi="Times New Roman" w:cs="Times New Roman"/>
          <w:b/>
          <w:bCs/>
          <w:color w:val="000000"/>
          <w:sz w:val="24"/>
          <w:szCs w:val="24"/>
        </w:rPr>
        <w:lastRenderedPageBreak/>
        <w:t>Figure 4.</w:t>
      </w:r>
    </w:p>
    <w:p w14:paraId="03122F7C" w14:textId="77777777" w:rsidR="000B2B2F" w:rsidRDefault="000B2B2F" w:rsidP="000B2B2F">
      <w:pPr>
        <w:spacing w:line="480" w:lineRule="auto"/>
        <w:jc w:val="both"/>
        <w:rPr>
          <w:rFonts w:ascii="Times New Roman" w:eastAsia="MS Mincho" w:hAnsi="Times New Roman" w:cs="Times New Roman"/>
          <w:bCs/>
          <w:color w:val="000000"/>
          <w:sz w:val="24"/>
          <w:szCs w:val="24"/>
        </w:rPr>
      </w:pPr>
      <w:r w:rsidRPr="005D1BB2">
        <w:rPr>
          <w:rFonts w:ascii="Times New Roman" w:eastAsia="MS Mincho" w:hAnsi="Times New Roman" w:cs="Times New Roman"/>
          <w:bCs/>
          <w:noProof/>
          <w:color w:val="000000"/>
          <w:sz w:val="24"/>
          <w:szCs w:val="24"/>
          <w:lang w:eastAsia="en-GB"/>
        </w:rPr>
        <w:drawing>
          <wp:inline distT="0" distB="0" distL="0" distR="0" wp14:anchorId="24BD4E64" wp14:editId="0D750F79">
            <wp:extent cx="5731510" cy="7450963"/>
            <wp:effectExtent l="0" t="0" r="2540" b="0"/>
            <wp:docPr id="5" name="Picture 5" descr="C:\Users\RGG370\Downloads\Richie critical power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GG370\Downloads\Richie critical power diagram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50963"/>
                    </a:xfrm>
                    <a:prstGeom prst="rect">
                      <a:avLst/>
                    </a:prstGeom>
                    <a:noFill/>
                    <a:ln>
                      <a:noFill/>
                    </a:ln>
                  </pic:spPr>
                </pic:pic>
              </a:graphicData>
            </a:graphic>
          </wp:inline>
        </w:drawing>
      </w:r>
    </w:p>
    <w:p w14:paraId="6BB45FF1" w14:textId="77777777" w:rsidR="000B2B2F" w:rsidRDefault="000B2B2F" w:rsidP="000B2B2F">
      <w:pPr>
        <w:spacing w:line="480" w:lineRule="auto"/>
        <w:jc w:val="both"/>
        <w:rPr>
          <w:rFonts w:ascii="Times New Roman" w:eastAsia="MS Mincho" w:hAnsi="Times New Roman" w:cs="Times New Roman"/>
          <w:bCs/>
          <w:color w:val="000000"/>
          <w:sz w:val="24"/>
          <w:szCs w:val="24"/>
        </w:rPr>
      </w:pPr>
    </w:p>
    <w:p w14:paraId="027FF4C1" w14:textId="24B1AE37" w:rsidR="0031579A" w:rsidRDefault="000B2B2F" w:rsidP="000B2B2F">
      <w:pPr>
        <w:rPr>
          <w:rFonts w:ascii="Times New Roman" w:eastAsia="MS Mincho" w:hAnsi="Times New Roman" w:cs="Times New Roman"/>
          <w:bCs/>
          <w:sz w:val="24"/>
          <w:szCs w:val="24"/>
        </w:rPr>
      </w:pPr>
      <w:r>
        <w:rPr>
          <w:rFonts w:ascii="Times New Roman" w:eastAsia="MS Mincho" w:hAnsi="Times New Roman" w:cs="Times New Roman"/>
          <w:bCs/>
          <w:sz w:val="24"/>
          <w:szCs w:val="24"/>
        </w:rPr>
        <w:br w:type="page"/>
      </w:r>
    </w:p>
    <w:p w14:paraId="59C29A27" w14:textId="4D8F0357" w:rsidR="000B2B2F" w:rsidRDefault="000B2B2F" w:rsidP="0031111D">
      <w:pPr>
        <w:spacing w:line="480" w:lineRule="auto"/>
        <w:jc w:val="both"/>
        <w:rPr>
          <w:rFonts w:ascii="Times New Roman" w:eastAsia="MS Mincho" w:hAnsi="Times New Roman" w:cs="Times New Roman"/>
          <w:bCs/>
          <w:sz w:val="24"/>
          <w:szCs w:val="24"/>
        </w:rPr>
        <w:sectPr w:rsidR="000B2B2F" w:rsidSect="009157E3">
          <w:pgSz w:w="11906" w:h="16838"/>
          <w:pgMar w:top="1440" w:right="1440" w:bottom="1440" w:left="1440" w:header="706" w:footer="706" w:gutter="0"/>
          <w:lnNumType w:countBy="1" w:restart="continuous"/>
          <w:cols w:space="708"/>
          <w:docGrid w:linePitch="360"/>
        </w:sectPr>
      </w:pPr>
    </w:p>
    <w:p w14:paraId="2E5E8BFB" w14:textId="77777777" w:rsidR="008E3D4D" w:rsidRDefault="008E3D4D" w:rsidP="008E3D4D">
      <w:r>
        <w:lastRenderedPageBreak/>
        <w:t>Table 1. Summary of studies that have altered CP via chronic or acute interventions</w:t>
      </w:r>
    </w:p>
    <w:tbl>
      <w:tblPr>
        <w:tblW w:w="5000" w:type="pct"/>
        <w:tblCellMar>
          <w:left w:w="0" w:type="dxa"/>
          <w:right w:w="0" w:type="dxa"/>
        </w:tblCellMar>
        <w:tblLook w:val="04A0" w:firstRow="1" w:lastRow="0" w:firstColumn="1" w:lastColumn="0" w:noHBand="0" w:noVBand="1"/>
      </w:tblPr>
      <w:tblGrid>
        <w:gridCol w:w="2674"/>
        <w:gridCol w:w="1093"/>
        <w:gridCol w:w="1371"/>
        <w:gridCol w:w="2314"/>
        <w:gridCol w:w="1611"/>
        <w:gridCol w:w="3161"/>
        <w:gridCol w:w="1714"/>
      </w:tblGrid>
      <w:tr w:rsidR="008E3D4D" w:rsidRPr="002A0126" w14:paraId="0930496A" w14:textId="77777777" w:rsidTr="008E3D4D">
        <w:trPr>
          <w:trHeight w:val="285"/>
        </w:trPr>
        <w:tc>
          <w:tcPr>
            <w:tcW w:w="959" w:type="pct"/>
            <w:tcBorders>
              <w:top w:val="single" w:sz="8" w:space="0" w:color="auto"/>
              <w:left w:val="single" w:sz="8" w:space="0" w:color="auto"/>
              <w:bottom w:val="single" w:sz="8" w:space="0" w:color="auto"/>
              <w:right w:val="single" w:sz="6" w:space="0" w:color="CCCCCC"/>
            </w:tcBorders>
            <w:tcMar>
              <w:top w:w="0" w:type="dxa"/>
              <w:left w:w="45" w:type="dxa"/>
              <w:bottom w:w="0" w:type="dxa"/>
              <w:right w:w="45" w:type="dxa"/>
            </w:tcMar>
            <w:hideMark/>
          </w:tcPr>
          <w:p w14:paraId="7C2CD547" w14:textId="77777777" w:rsidR="008E3D4D" w:rsidRPr="002A0126" w:rsidRDefault="008E3D4D" w:rsidP="008E3D4D">
            <w:pPr>
              <w:spacing w:after="0" w:line="240" w:lineRule="auto"/>
              <w:rPr>
                <w:rFonts w:ascii="Calibri" w:eastAsia="Times New Roman" w:hAnsi="Calibri" w:cs="Calibri"/>
                <w:b/>
                <w:bCs/>
                <w:lang w:eastAsia="en-GB"/>
              </w:rPr>
            </w:pPr>
            <w:r w:rsidRPr="002A0126">
              <w:rPr>
                <w:rFonts w:ascii="Calibri" w:eastAsia="Times New Roman" w:hAnsi="Calibri" w:cs="Calibri"/>
                <w:b/>
                <w:bCs/>
                <w:lang w:eastAsia="en-GB"/>
              </w:rPr>
              <w:t>Author / date</w:t>
            </w:r>
          </w:p>
        </w:tc>
        <w:tc>
          <w:tcPr>
            <w:tcW w:w="392" w:type="pct"/>
            <w:tcBorders>
              <w:top w:val="single" w:sz="8" w:space="0" w:color="auto"/>
              <w:left w:val="single" w:sz="6" w:space="0" w:color="CCCCCC"/>
              <w:bottom w:val="single" w:sz="8" w:space="0" w:color="auto"/>
              <w:right w:val="single" w:sz="6" w:space="0" w:color="CCCCCC"/>
            </w:tcBorders>
            <w:tcMar>
              <w:top w:w="0" w:type="dxa"/>
              <w:left w:w="45" w:type="dxa"/>
              <w:bottom w:w="0" w:type="dxa"/>
              <w:right w:w="45" w:type="dxa"/>
            </w:tcMar>
            <w:hideMark/>
          </w:tcPr>
          <w:p w14:paraId="5EFEEE5E" w14:textId="77777777" w:rsidR="008E3D4D" w:rsidRPr="002A0126" w:rsidRDefault="008E3D4D" w:rsidP="008E3D4D">
            <w:pPr>
              <w:spacing w:after="0" w:line="240" w:lineRule="auto"/>
              <w:jc w:val="center"/>
              <w:rPr>
                <w:rFonts w:ascii="Calibri" w:eastAsia="Times New Roman" w:hAnsi="Calibri" w:cs="Calibri"/>
                <w:b/>
                <w:bCs/>
                <w:lang w:eastAsia="en-GB"/>
              </w:rPr>
            </w:pPr>
            <w:r w:rsidRPr="002A0126">
              <w:rPr>
                <w:rFonts w:ascii="Calibri" w:eastAsia="Times New Roman" w:hAnsi="Calibri" w:cs="Calibri"/>
                <w:b/>
                <w:bCs/>
                <w:lang w:eastAsia="en-GB"/>
              </w:rPr>
              <w:t>Population</w:t>
            </w:r>
          </w:p>
        </w:tc>
        <w:tc>
          <w:tcPr>
            <w:tcW w:w="492" w:type="pct"/>
            <w:tcBorders>
              <w:top w:val="single" w:sz="8" w:space="0" w:color="auto"/>
              <w:left w:val="single" w:sz="6" w:space="0" w:color="CCCCCC"/>
              <w:bottom w:val="single" w:sz="8" w:space="0" w:color="auto"/>
              <w:right w:val="single" w:sz="6" w:space="0" w:color="CCCCCC"/>
            </w:tcBorders>
            <w:tcMar>
              <w:top w:w="0" w:type="dxa"/>
              <w:left w:w="45" w:type="dxa"/>
              <w:bottom w:w="0" w:type="dxa"/>
              <w:right w:w="45" w:type="dxa"/>
            </w:tcMar>
            <w:hideMark/>
          </w:tcPr>
          <w:p w14:paraId="750B6370" w14:textId="77777777" w:rsidR="008E3D4D" w:rsidRPr="002A0126" w:rsidRDefault="008E3D4D" w:rsidP="008E3D4D">
            <w:pPr>
              <w:spacing w:after="0" w:line="240" w:lineRule="auto"/>
              <w:jc w:val="center"/>
              <w:rPr>
                <w:rFonts w:ascii="Calibri" w:eastAsia="Times New Roman" w:hAnsi="Calibri" w:cs="Calibri"/>
                <w:b/>
                <w:bCs/>
                <w:lang w:eastAsia="en-GB"/>
              </w:rPr>
            </w:pPr>
            <w:r w:rsidRPr="002A0126">
              <w:rPr>
                <w:rFonts w:ascii="Calibri" w:eastAsia="Times New Roman" w:hAnsi="Calibri" w:cs="Calibri"/>
                <w:b/>
                <w:bCs/>
                <w:lang w:eastAsia="en-GB"/>
              </w:rPr>
              <w:t>Mode</w:t>
            </w:r>
          </w:p>
        </w:tc>
        <w:tc>
          <w:tcPr>
            <w:tcW w:w="830" w:type="pct"/>
            <w:tcBorders>
              <w:top w:val="single" w:sz="8" w:space="0" w:color="auto"/>
              <w:left w:val="single" w:sz="6" w:space="0" w:color="CCCCCC"/>
              <w:bottom w:val="single" w:sz="8" w:space="0" w:color="auto"/>
              <w:right w:val="single" w:sz="6" w:space="0" w:color="CCCCCC"/>
            </w:tcBorders>
            <w:tcMar>
              <w:top w:w="0" w:type="dxa"/>
              <w:left w:w="45" w:type="dxa"/>
              <w:bottom w:w="0" w:type="dxa"/>
              <w:right w:w="45" w:type="dxa"/>
            </w:tcMar>
            <w:hideMark/>
          </w:tcPr>
          <w:p w14:paraId="50F2B0FA" w14:textId="77777777" w:rsidR="008E3D4D" w:rsidRPr="002A0126" w:rsidRDefault="008E3D4D" w:rsidP="008E3D4D">
            <w:pPr>
              <w:spacing w:after="0" w:line="240" w:lineRule="auto"/>
              <w:jc w:val="center"/>
              <w:rPr>
                <w:rFonts w:ascii="Calibri" w:eastAsia="Times New Roman" w:hAnsi="Calibri" w:cs="Calibri"/>
                <w:b/>
                <w:bCs/>
                <w:lang w:eastAsia="en-GB"/>
              </w:rPr>
            </w:pPr>
            <w:r w:rsidRPr="002A0126">
              <w:rPr>
                <w:rFonts w:ascii="Calibri" w:eastAsia="Times New Roman" w:hAnsi="Calibri" w:cs="Calibri"/>
                <w:b/>
                <w:bCs/>
                <w:lang w:eastAsia="en-GB"/>
              </w:rPr>
              <w:t>Intervention</w:t>
            </w:r>
          </w:p>
        </w:tc>
        <w:tc>
          <w:tcPr>
            <w:tcW w:w="578" w:type="pct"/>
            <w:tcBorders>
              <w:top w:val="single" w:sz="8" w:space="0" w:color="auto"/>
              <w:left w:val="single" w:sz="6" w:space="0" w:color="CCCCCC"/>
              <w:bottom w:val="single" w:sz="8" w:space="0" w:color="auto"/>
              <w:right w:val="single" w:sz="6" w:space="0" w:color="CCCCCC"/>
            </w:tcBorders>
            <w:tcMar>
              <w:top w:w="0" w:type="dxa"/>
              <w:left w:w="45" w:type="dxa"/>
              <w:bottom w:w="0" w:type="dxa"/>
              <w:right w:w="45" w:type="dxa"/>
            </w:tcMar>
            <w:hideMark/>
          </w:tcPr>
          <w:p w14:paraId="097C593D" w14:textId="77777777" w:rsidR="008E3D4D" w:rsidRPr="002A0126" w:rsidRDefault="008E3D4D" w:rsidP="008E3D4D">
            <w:pPr>
              <w:spacing w:after="0" w:line="240" w:lineRule="auto"/>
              <w:jc w:val="center"/>
              <w:rPr>
                <w:rFonts w:ascii="Calibri" w:eastAsia="Times New Roman" w:hAnsi="Calibri" w:cs="Calibri"/>
                <w:b/>
                <w:bCs/>
                <w:lang w:eastAsia="en-GB"/>
              </w:rPr>
            </w:pPr>
            <w:r w:rsidRPr="002A0126">
              <w:rPr>
                <w:rFonts w:ascii="Calibri" w:eastAsia="Times New Roman" w:hAnsi="Calibri" w:cs="Calibri"/>
                <w:b/>
                <w:bCs/>
                <w:lang w:eastAsia="en-GB"/>
              </w:rPr>
              <w:t>Effect on CP</w:t>
            </w:r>
          </w:p>
        </w:tc>
        <w:tc>
          <w:tcPr>
            <w:tcW w:w="1134" w:type="pct"/>
            <w:tcBorders>
              <w:top w:val="single" w:sz="8" w:space="0" w:color="auto"/>
              <w:left w:val="single" w:sz="6" w:space="0" w:color="CCCCCC"/>
              <w:bottom w:val="single" w:sz="8" w:space="0" w:color="auto"/>
              <w:right w:val="single" w:sz="6" w:space="0" w:color="CCCCCC"/>
            </w:tcBorders>
            <w:shd w:val="clear" w:color="auto" w:fill="FFFFFF"/>
            <w:tcMar>
              <w:top w:w="0" w:type="dxa"/>
              <w:left w:w="45" w:type="dxa"/>
              <w:bottom w:w="0" w:type="dxa"/>
              <w:right w:w="45" w:type="dxa"/>
            </w:tcMar>
            <w:hideMark/>
          </w:tcPr>
          <w:p w14:paraId="02783AA7" w14:textId="77777777" w:rsidR="008E3D4D" w:rsidRPr="002A0126" w:rsidRDefault="008E3D4D" w:rsidP="008E3D4D">
            <w:pPr>
              <w:spacing w:after="0" w:line="240" w:lineRule="auto"/>
              <w:jc w:val="center"/>
              <w:rPr>
                <w:rFonts w:ascii="Calibri" w:eastAsia="Times New Roman" w:hAnsi="Calibri" w:cs="Calibri"/>
                <w:b/>
                <w:bCs/>
                <w:lang w:eastAsia="en-GB"/>
              </w:rPr>
            </w:pPr>
            <w:r w:rsidRPr="002A0126">
              <w:rPr>
                <w:rFonts w:ascii="Calibri" w:eastAsia="Times New Roman" w:hAnsi="Calibri" w:cs="Calibri"/>
                <w:b/>
                <w:bCs/>
                <w:lang w:eastAsia="en-GB"/>
              </w:rPr>
              <w:t>Physiological effects</w:t>
            </w:r>
            <w:r>
              <w:rPr>
                <w:rFonts w:ascii="Calibri" w:eastAsia="Times New Roman" w:hAnsi="Calibri" w:cs="Calibri"/>
                <w:b/>
                <w:bCs/>
                <w:lang w:eastAsia="en-GB"/>
              </w:rPr>
              <w:t xml:space="preserve"> of intervention</w:t>
            </w:r>
          </w:p>
        </w:tc>
        <w:tc>
          <w:tcPr>
            <w:tcW w:w="615" w:type="pct"/>
            <w:tcBorders>
              <w:top w:val="single" w:sz="8" w:space="0" w:color="auto"/>
              <w:left w:val="single" w:sz="6" w:space="0" w:color="CCCCCC"/>
              <w:bottom w:val="single" w:sz="8" w:space="0" w:color="auto"/>
              <w:right w:val="single" w:sz="8" w:space="0" w:color="auto"/>
            </w:tcBorders>
            <w:tcMar>
              <w:top w:w="0" w:type="dxa"/>
              <w:left w:w="45" w:type="dxa"/>
              <w:bottom w:w="0" w:type="dxa"/>
              <w:right w:w="45" w:type="dxa"/>
            </w:tcMar>
            <w:hideMark/>
          </w:tcPr>
          <w:p w14:paraId="596EC2B4" w14:textId="77777777" w:rsidR="008E3D4D" w:rsidRPr="002A0126" w:rsidRDefault="008E3D4D" w:rsidP="008E3D4D">
            <w:pPr>
              <w:spacing w:after="0" w:line="240" w:lineRule="auto"/>
              <w:jc w:val="center"/>
              <w:rPr>
                <w:rFonts w:ascii="Calibri" w:eastAsia="Times New Roman" w:hAnsi="Calibri" w:cs="Calibri"/>
                <w:b/>
                <w:bCs/>
                <w:lang w:eastAsia="en-GB"/>
              </w:rPr>
            </w:pPr>
            <w:r w:rsidRPr="002A0126">
              <w:rPr>
                <w:rFonts w:ascii="Calibri" w:eastAsia="Times New Roman" w:hAnsi="Calibri" w:cs="Calibri"/>
                <w:b/>
                <w:bCs/>
                <w:lang w:eastAsia="en-GB"/>
              </w:rPr>
              <w:t>CP determination method</w:t>
            </w:r>
          </w:p>
        </w:tc>
      </w:tr>
      <w:tr w:rsidR="008E3D4D" w:rsidRPr="002A0126" w14:paraId="528E8A94" w14:textId="77777777" w:rsidTr="008E3D4D">
        <w:trPr>
          <w:trHeight w:val="285"/>
        </w:trPr>
        <w:tc>
          <w:tcPr>
            <w:tcW w:w="959" w:type="pct"/>
            <w:tcBorders>
              <w:top w:val="single" w:sz="8" w:space="0" w:color="auto"/>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1C7D1FB5" w14:textId="33BF538A" w:rsidR="008E3D4D" w:rsidRPr="002A0126" w:rsidRDefault="008E3D4D" w:rsidP="008E3D4D">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Moritani</w:t>
            </w:r>
            <w:proofErr w:type="spellEnd"/>
            <w:r>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hgBYTya6","properties":{"formattedCitation":"[21]","plainCitation":"[21]","noteIndex":0},"citationItems":[{"id":278,"uris":["http://zotero.org/users/5056530/items/KBSS4CTK"],"itemData":{"id":278,"type":"article-journal","container-title":"Ergonomics","DOI":"10.1080/00140138108924856","ISSN":"0014-0139","issue":"5","journalAbbreviation":"Ergonomics","language":"eng","note":"PMID: 7262059","page":"339-350","source":"PubMed","title":"Critical power as a measure of physical work capacity and anaerobic threshold","volume":"24","author":[{"family":"Moritani","given":"T."},{"family":"Nagata","given":"A."},{"family":"deVries","given":"H. A."},{"family":"Muro","given":"M."}],"issued":{"date-parts":[["1981",5]]}}}],"schema":"https://github.com/citation-style-language/schema/raw/master/csl-citation.json"}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[21]</w:t>
            </w:r>
            <w:r>
              <w:rPr>
                <w:rFonts w:ascii="Calibri" w:eastAsia="Times New Roman" w:hAnsi="Calibri" w:cs="Calibri"/>
                <w:lang w:eastAsia="en-GB"/>
              </w:rPr>
              <w:fldChar w:fldCharType="end"/>
            </w:r>
          </w:p>
        </w:tc>
        <w:tc>
          <w:tcPr>
            <w:tcW w:w="392" w:type="pct"/>
            <w:tcBorders>
              <w:top w:val="single" w:sz="8"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361F1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 (2)</w:t>
            </w:r>
          </w:p>
        </w:tc>
        <w:tc>
          <w:tcPr>
            <w:tcW w:w="492" w:type="pct"/>
            <w:tcBorders>
              <w:top w:val="single" w:sz="8"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52D7D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8"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2F5F4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 (FiO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0.09)</w:t>
            </w:r>
          </w:p>
        </w:tc>
        <w:tc>
          <w:tcPr>
            <w:tcW w:w="578" w:type="pct"/>
            <w:tcBorders>
              <w:top w:val="single" w:sz="8"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67BAAE"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4171778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(106 vs 214 W)</w:t>
            </w:r>
          </w:p>
        </w:tc>
        <w:tc>
          <w:tcPr>
            <w:tcW w:w="1134" w:type="pct"/>
            <w:tcBorders>
              <w:top w:val="single" w:sz="8" w:space="0" w:color="auto"/>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9047454"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8" w:space="0" w:color="auto"/>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AEF8A0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6CADFFB8"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41672269" w14:textId="1156C2AD"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Gaesser</w:t>
            </w:r>
            <w:r>
              <w:rPr>
                <w:rFonts w:ascii="Calibri" w:eastAsia="Times New Roman" w:hAnsi="Calibri" w:cs="Calibri"/>
                <w:lang w:eastAsia="en-GB"/>
              </w:rPr>
              <w:t xml:space="preserve"> </w:t>
            </w:r>
            <w:r w:rsidRPr="002A0126">
              <w:rPr>
                <w:rFonts w:ascii="Calibri" w:eastAsia="Times New Roman" w:hAnsi="Calibri" w:cs="Calibri"/>
                <w:lang w:eastAsia="en-GB"/>
              </w:rPr>
              <w:t xml:space="preserve">&amp; Wilson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{"citationID":"BY3SVDIM","properties":{"formattedCitation":"[158]","plainCitation":"[158]","noteIndex":0},"citationItems":[{"id":330,"uris":["http://zotero.org/users/5056530/items/IHB77SV8"],"itemData":{"id":330,"type":"article-journal","abstract":"The purpose of this study was to evaluate the effects of 6 weeks of low-intensity continuous exercise training (CE; 40 min at 50% VO2peak, 3 days/week) and high-intensity interval exercise training (IE: 10 x 2 min at VO2peak, 3 days/week) on the parameters of the power-endurance time relationship for cycle ergometry. The hyperbolic relationship between power and endurance time was linearized by expressing the power against the inverse of time, as described by Whipp et al. (22). This model consists of two parameters: theta f, a fatigue threshold reflecting the capability for sustained aerobic power, and W', a constant postulated to reflect a finite energy store (i.e., those factors comprising the O2 deficit: Phosphagen stores, anaerobic glycogenolysis, myoglobin O2 stores). Prior to training, test-retest reliability coefficients (r2) for theta f and W' were 0.92 and 0.62, respectively (P less than 0.01). Training resulted in significant (P less than 0.01) increases in theta f for both CE [27 +/- 3 W (13.4%) increase] and IE [33 +/- 5 W (15.0%) increase], with no difference between groups. Increases in theta f were not dependent upon improvements in VO2peak. W' was not changed significantly in either group after training. However, a significant negative correlation between the training-induced changes in theta f and W' (R = 0.76; P less than 0.01) was obtained. The minimum intensity threshold for exercise training necessary to elicit increases in theta f has yet to be identified, but is at least as low as 50% of VO2peak.","container-title":"International Journal of Sports Medicine","DOI":"10.1055/s-2007-1025043","ISSN":"0172-4622","issue":"6","journalAbbreviation":"Int J Sports Med","language":"eng","note":"PMID: 3253231","page":"417-421","source":"PubMed","title":"Effects of continuous and interval training on the parameters of the power-endurance time relationship for high-intensity exercise","volume":"9","author":[{"family":"Gaesser","given":"G. A."},{"family":"Wilson","given":"L. A."}],"issued":{"date-parts":[["1988",12]]}}}],"schema":"https://github.com/citation-style-language/schema/raw/master/csl-citation.json"}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[158]</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9FFD6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(2) HM (3)</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C8F11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D5102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Endurance training </w:t>
            </w:r>
          </w:p>
          <w:p w14:paraId="13D9DFD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(6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6C367C"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5A72F98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(228 vs 201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7DC938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4138A5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05072FF1"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6A381BD2" w14:textId="0929102F"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Gaesser</w:t>
            </w:r>
            <w:r>
              <w:rPr>
                <w:rFonts w:ascii="Calibri" w:eastAsia="Times New Roman" w:hAnsi="Calibri" w:cs="Calibri"/>
                <w:lang w:eastAsia="en-GB"/>
              </w:rPr>
              <w:t xml:space="preserve"> </w:t>
            </w:r>
            <w:r w:rsidRPr="002A0126">
              <w:rPr>
                <w:rFonts w:ascii="Calibri" w:eastAsia="Times New Roman" w:hAnsi="Calibri" w:cs="Calibri"/>
                <w:lang w:eastAsia="en-GB"/>
              </w:rPr>
              <w:t xml:space="preserve">&amp; Wilson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{"citationID":"gXzwYSb2","properties":{"formattedCitation":"[158]","plainCitation":"[158]","noteIndex":0},"citationItems":[{"id":330,"uris":["http://zotero.org/users/5056530/items/IHB77SV8"],"itemData":{"id":330,"type":"article-journal","abstract":"The purpose of this study was to evaluate the effects of 6 weeks of low-intensity continuous exercise training (CE; 40 min at 50% VO2peak, 3 days/week) and high-intensity interval exercise training (IE: 10 x 2 min at VO2peak, 3 days/week) on the parameters of the power-endurance time relationship for cycle ergometry. The hyperbolic relationship between power and endurance time was linearized by expressing the power against the inverse of time, as described by Whipp et al. (22). This model consists of two parameters: theta f, a fatigue threshold reflecting the capability for sustained aerobic power, and W', a constant postulated to reflect a finite energy store (i.e., those factors comprising the O2 deficit: Phosphagen stores, anaerobic glycogenolysis, myoglobin O2 stores). Prior to training, test-retest reliability coefficients (r2) for theta f and W' were 0.92 and 0.62, respectively (P less than 0.01). Training resulted in significant (P less than 0.01) increases in theta f for both CE [27 +/- 3 W (13.4%) increase] and IE [33 +/- 5 W (15.0%) increase], with no difference between groups. Increases in theta f were not dependent upon improvements in VO2peak. W' was not changed significantly in either group after training. However, a significant negative correlation between the training-induced changes in theta f and W' (R = 0.76; P less than 0.01) was obtained. The minimum intensity threshold for exercise training necessary to elicit increases in theta f has yet to be identified, but is at least as low as 50% of VO2peak.","container-title":"International Journal of Sports Medicine","DOI":"10.1055/s-2007-1025043","ISSN":"0172-4622","issue":"6","journalAbbreviation":"Int J Sports Med","language":"eng","note":"PMID: 3253231","page":"417-421","source":"PubMed","title":"Effects of continuous and interval training on the parameters of the power-endurance time relationship for high-intensity exercise","volume":"9","author":[{"family":"Gaesser","given":"G. A."},{"family":"Wilson","given":"L. A."}],"issued":{"date-parts":[["1988",12]]}}}],"schema":"https://github.com/citation-style-language/schema/raw/master/csl-citation.json"}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[158]</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90296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(3) HM (3)</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8FF27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46CC1"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HIIT </w:t>
            </w:r>
          </w:p>
          <w:p w14:paraId="50DD1F8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(6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102C3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5D7D9C4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(254 vs 220W)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6E0A57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633861A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1727FF98"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FC6F615" w14:textId="7898C94E"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Poole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{"citationID":"xJL2BFRt","properties":{"formattedCitation":"[159]","plainCitation":"[159]","noteIndex":0},"citationItems":[{"id":553,"uris":["http://zotero.org/users/5056530/items/C2T78U45"],"itemData":{"id":553,"type":"article-journal","abstract":"The tolerable work duration (t) for high-intensity cycling is well described as a hyperbolic function of power (W): W = (W'.t-1) + Wa, where Wa is the upper limit for sustainable power (lying between maximum W and the threshold for sustained blood [lactate] increase, theta lac), and W' is a constant which defines the amount of work which can be performed greater than Wa. As training increases the tolerable duration of high-intensity cycling, we explored whether this reflected an alteration of Wa, W' or both. Before and after a 7-week regimen of intense interval cycle-training by healthy males, we estimated ( ) theta lac and determined maximum O2 uptake (mu VO2); Wa; W'; and the temporal profiles of pulmonary gas exchange, blood gas, acid-base and metabolic response to constant-load cycling at and above Wa. Although training increased theta lac (24%), mu VO2 (15%) and Wa (15%), W' was unaffected. For exercise at Wa, a steady state was attained for VO2, [lactate] and pH both pre- and post-training, despite blood [norepinephrine] and [epinephrine] ([NE], [E]) and rectal temperature continuing to rise. For exercise greater than Wa, there was a progressive increase in VO2 (resulting in mu VO2 at fatigue), [lactate], [NE], [E] and rectal temperature, and a progressive decrease for pH. We conclude that the increased endurance capacity for high-intensity exercise following training reflects an increased W asymptote of the W-t relationship with no effect on its curvature; consequently, there is no appreciable change in the amount of work which can be performed above Wa.(ABSTRACT TRUNCATED AT 250 WORDS)","container-title":"European Journal of Applied Physiology and Occupational Physiology","ISSN":"0301-5548","issue":"6","journalAbbreviation":"Eur J Appl Physiol Occup Physiol","language":"eng","note":"PMID: 2303047","page":"421-429","source":"PubMed","title":"The effects of training on the metabolic and respiratory profile of high-intensity cycle ergometer exercise","volume":"59","author":[{"family":"Poole","given":"D. C."},{"family":"Ward","given":"S. A."},{"family":"Whipp","given":"B. J."}],"issued":{"date-parts":[["1990"]]}}}],"schema":"https://github.com/citation-style-language/schema/raw/master/csl-citation.json"}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[159]</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DB730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(8)</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D9711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D4887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HIIT</w:t>
            </w:r>
          </w:p>
          <w:p w14:paraId="4F84733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(7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45802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3051B98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(288 vs 325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47185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r w:rsidRPr="002A0126">
              <w:rPr>
                <w:rFonts w:ascii="Calibri" w:eastAsia="Times New Roman" w:hAnsi="Calibri" w:cs="Calibri"/>
                <w:lang w:eastAsia="en-GB"/>
              </w:rPr>
              <w:t>, ↑LT</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247E2A4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5CWR</w:t>
            </w:r>
          </w:p>
        </w:tc>
      </w:tr>
      <w:tr w:rsidR="008E3D4D" w:rsidRPr="002A0126" w14:paraId="2DC25347"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48526FC" w14:textId="721C9793"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Jenkins &amp; Quigley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{"citationID":"HGuHPUQ8","properties":{"formattedCitation":"[160]","plainCitation":"[160]","noteIndex":0},"citationItems":[{"id":331,"uris":["http://zotero.org/users/5056530/items/5XV2BIPB"],"itemData":{"id":331,"type":"article-journal","abstract":"The present investigation was conducted to determine whether critical power (CP) assesses the ability to perform continuous aerobic exercise and to determine whether training-induced changes in aerobic endurance are reflected by changes in the slope, but not the y-intercept of the CP function. Twelve healthy, active, but untrained male students (mean age +/- SD = 19.1 +/- 0.8 yr) undertook 8 wk of cycle ergometer endurance training (30-40 min a day, three times a week) at an intensity corresponding to their CP. Six control subjects of similar age and initial training status refrained from regular exercise for the same period. Before and immediately following the training period, each of the 18 participants completed three cycle ergometer tests to determine their CP function, an incremental exercise task to establish their maximal oxygen uptake (VO2max), and 40 min of continuous cycle ergometry at or near their calculated CP. CP was significantly correlated with endurance time at 270 W (r = 0.65, P &lt; 0.05) and with the mean power that could be maintained for 40 min (r = 0.87-0.95, P &lt; 0.01), but overestimated the latter by less than 6%. In response to endurance training, CP increased from a mean of 196 +/- 40.9 W to 255 +/- 28.4 W (31%) (ANCOVA, P &lt; 0.01), while the mean power output maintained for 40 min of exercise increased from 190 +/- 34.5 W to 242 +/- 34.9 W (28%). VO2max increased from 49.2 +/- 7.8 ml.kg-1.min-1 to 53.4 +/- 6.4 ml.kg-1.min-1 (8.5%) (P &lt; 0.01).(ABSTRACT TRUNCATED AT 250 WORDS)","container-title":"Medicine and Science in Sports and Exercise","ISSN":"0195-9131","issue":"11","journalAbbreviation":"Med Sci Sports Exerc","language":"eng","note":"PMID: 1435180","page":"1283-1289","source":"PubMed","title":"Endurance training enhances critical power","volume":"24","author":[{"family":"Jenkins","given":"D. G."},{"family":"Quigley","given":"B. M."}],"issued":{"date-parts":[["1992",11]]}}}],"schema":"https://github.com/citation-style-language/schema/raw/master/csl-citation.json"}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[160]</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35774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(12)</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2E923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C78F7"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Endurance training</w:t>
            </w:r>
          </w:p>
          <w:p w14:paraId="21A9508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(8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843398"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25BC508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(255 vs 196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469D35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2ADE507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3CWR</w:t>
            </w:r>
          </w:p>
        </w:tc>
      </w:tr>
      <w:tr w:rsidR="008E3D4D" w:rsidRPr="002A0126" w14:paraId="3CE6755E"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1301A768" w14:textId="55310A82"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Hill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{"citationID":"gtSmSGyx","properties":{"formattedCitation":"[161]","plainCitation":"[161]","noteIndex":0},"citationItems":[{"id":853,"uris":["http://zotero.org/users/5056530/items/BVTDN4CX"],"itemData":{"id":853,"type":"article-journal","abstract":"The purpose of this study was to evaluate the effect of pedal cadence methodology on the relationship between power output and time to exhaustion. Twenty-four subjects each performed 12 all-out cycle ergometer tests (four at a constant 60 rpm, four at a constant 100 rpm, and four where they were allowed to select and, within each test, vary their cadence). The parameters of the hyperbolic power-time relationship, AWC (anaerobic work capacity) and CP (critical power), were estimated for each pedal cadence methodology using three regression models: nonlinear power-time, linear work-time, and linear power-time-1. In all cases, R2 was high and standard errors of the estimate of AWC and CP were low. With the two constant rpm methodologies, the estimates of AWC and CP were influenced by the choice of regression model. The estimates of AWC and CP were also influenced by the pedal cadence in the all-out tests. For example, the CP derived from the 100 rpm tests (mean +/- SD: 195 +/- 50 W) was lower (p &lt; 0.05) than the CP from the other methodologies (207 +/- 50 W and 204 +/- 48 W), and the AWC from the variable cadence methodology (16.1 +/- 6.2 kJ) was greater than the AWC from constant rpm trials (14.5 +/- 5.9 kJ and 14.6 +/- 5.7 kJ). It is concluded that pedal cadence methodology influences the parameters of the power-time relationship.","container-title":"International Journal of Sports Medicine","DOI":"10.1055/s-2007-972969","ISSN":"0172-4622","issue":"2","journalAbbreviation":"Int J Sports Med","language":"eng","note":"PMID: 7751081","page":"82-87","source":"PubMed","title":"Effect of pedal cadence on parameters of the hyperbolic power-time relationship","volume":"16","author":[{"family":"Hill","given":"D. W."},{"family":"Smith","given":"J. C."},{"family":"Leuschel","given":"J. L."},{"family":"Chasteen","given":"S. D."},{"family":"Miller","given":"S. A."}],"issued":{"date-parts":[["1995",2]]}}}],"schema":"https://github.com/citation-style-language/schema/raw/master/csl-citation.json"}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[161]</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8007B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(13) HF (11)</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B5B80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619A4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Cadence</w:t>
            </w:r>
          </w:p>
          <w:p w14:paraId="5868059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(100 rpm vs 60rpm)</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AC0285"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46E981C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(195 vs 207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724AADA"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24BB34D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1F61EF7B"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0317482" w14:textId="5D9534B7" w:rsidR="008E3D4D" w:rsidRPr="002A0126" w:rsidRDefault="008E3D4D" w:rsidP="008E3D4D">
            <w:pPr>
              <w:spacing w:after="0" w:line="240" w:lineRule="auto"/>
              <w:rPr>
                <w:rFonts w:ascii="Calibri" w:eastAsia="Times New Roman" w:hAnsi="Calibri" w:cs="Calibri"/>
                <w:lang w:eastAsia="en-GB"/>
              </w:rPr>
            </w:pPr>
            <w:proofErr w:type="spellStart"/>
            <w:r w:rsidRPr="002A0126">
              <w:rPr>
                <w:rFonts w:ascii="Calibri" w:eastAsia="Times New Roman" w:hAnsi="Calibri" w:cs="Calibri"/>
                <w:lang w:eastAsia="en-GB"/>
              </w:rPr>
              <w:t>Serres</w:t>
            </w:r>
            <w:proofErr w:type="spellEnd"/>
            <w:r w:rsidRPr="002A0126">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{"citationID":"c0IetjI4","properties":{"formattedCitation":"[162]","plainCitation":"[162]","noteIndex":0},"citationItems":[{"id":3396,"uris":["http://zotero.org/users/5056530/items/CMAEDR5I"],"itemData":{"id":3396,"type":"article-journal","abstract":"Background. \n        In addition to the respiratory limitation in patients with chronic obstructive pulmonary disease (COPD), skeletal muscle abnormalities may occur and contribute to the exercise intolerance. This study assessed the ability of the skeletal muscle of patients with COPD to adapt to individualized exercise training at the gas exchange threshold (GET).\n        Methods. \n        Fourteen patients (8 in a training group and 6 controls) performed the following exercise tests before and after a 3-week training period: an incremental exercise test, maximal voluntary contraction of the quadriceps, and three endurance tests consisting of dynamic contractions of the quadriceps until exhaustion. These endurance tests, characterized by three different power outputs, were used to determine muscle limit times and critical power.\n        Results. \n        The results showed that training increased exercise tolerance (+ 11% for symptom limited peak oxygen consumption [VO2 sl], P &lt; 0.05), maximum voluntary contraction (+ 8%, P &lt; 0.05), limit times (from + 45% to + 161%, P &lt; 0.05) and critical power (+ 39%, P &lt; 0.05).\n        Conclusions. \n        These findings indicate greater muscle strength and endurance after training in COPD patients and suggest better muscular recruitment and improved oxidative capacity in the exercising muscles. The sharp differences in the magnitude of VO2 sl and limit times suggest that the kinetics of peripheral and central changes in response to training are different. In conclusion, peripheral muscle performance can be increased rapidly in response to an individualized training program at the GET in COPD patients.","container-title":"Journal of Cardiopulmonary Rehabilitation and Prevention","ISSN":"1932-7501","issue":"4","language":"en-US","page":"232–238","source":"journals.lww.com","title":"Improved Skeletal Muscle Performance After Individualized Exercise Training in Patients With Chronic Obstructive Pulmonary Disease","volume":"17","author":[{"family":"Serres","given":"Isabelle"},{"family":"Varray","given":"Alain"},{"family":"Vallet","given":"Gilles"},{"family":"Micallef","given":"Jean Paul"},{"family":"Préfaut","given":"Christian"}],"issued":{"date-parts":[["1997",8]]}}}],"schema":"https://github.com/citation-style-language/schema/raw/master/csl-citation.json"}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[162]</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4F858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COPD (8)</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C17D7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Upright </w:t>
            </w:r>
            <w:r>
              <w:rPr>
                <w:rFonts w:ascii="Calibri" w:eastAsia="Times New Roman" w:hAnsi="Calibri" w:cs="Calibri"/>
                <w:lang w:eastAsia="en-GB"/>
              </w:rPr>
              <w:t>s</w:t>
            </w:r>
            <w:r w:rsidRPr="002A0126">
              <w:rPr>
                <w:rFonts w:ascii="Calibri" w:eastAsia="Times New Roman" w:hAnsi="Calibri" w:cs="Calibri"/>
                <w:lang w:eastAsia="en-GB"/>
              </w:rPr>
              <w:t>ingle leg knee extension</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F6B1F1"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Endurance training</w:t>
            </w:r>
          </w:p>
          <w:p w14:paraId="19154C7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23F408"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3B55BF9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(1.8 vs 1.3 kg</w:t>
            </w:r>
            <w:r>
              <w:rPr>
                <w:rFonts w:ascii="Calibri" w:eastAsia="Times New Roman" w:hAnsi="Calibri" w:cs="Calibri"/>
                <w:lang w:eastAsia="en-GB"/>
              </w:rPr>
              <w:t>.</w:t>
            </w:r>
            <w:r w:rsidRPr="002A0126">
              <w:rPr>
                <w:rFonts w:ascii="Calibri" w:eastAsia="Times New Roman" w:hAnsi="Calibri" w:cs="Calibri"/>
                <w:lang w:eastAsia="en-GB"/>
              </w:rPr>
              <w:t>s</w:t>
            </w:r>
            <w:r>
              <w:rPr>
                <w:rFonts w:ascii="Calibri" w:eastAsia="Times New Roman" w:hAnsi="Calibri" w:cs="Calibri"/>
                <w:vertAlign w:val="superscript"/>
                <w:lang w:eastAsia="en-GB"/>
              </w:rPr>
              <w:t>-1</w:t>
            </w:r>
            <w:r w:rsidRPr="002A0126">
              <w:rPr>
                <w:rFonts w:ascii="Calibri" w:eastAsia="Times New Roman" w:hAnsi="Calibri" w:cs="Calibri"/>
                <w:lang w:eastAsia="en-GB"/>
              </w:rPr>
              <w:t>)</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3A3877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r w:rsidRPr="002A0126">
              <w:rPr>
                <w:rFonts w:ascii="Calibri" w:eastAsia="Times New Roman" w:hAnsi="Calibri" w:cs="Calibri"/>
                <w:lang w:eastAsia="en-GB"/>
              </w:rPr>
              <w:t>, ↑MVC</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13903C3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3CWR</w:t>
            </w:r>
          </w:p>
        </w:tc>
      </w:tr>
      <w:tr w:rsidR="008E3D4D" w:rsidRPr="002A0126" w14:paraId="1254B2D6"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0B2D06B2" w14:textId="224BE4C0"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Puente-</w:t>
            </w:r>
            <w:proofErr w:type="spellStart"/>
            <w:r w:rsidRPr="002A0126">
              <w:rPr>
                <w:rFonts w:ascii="Calibri" w:eastAsia="Times New Roman" w:hAnsi="Calibri" w:cs="Calibri"/>
                <w:lang w:eastAsia="en-GB"/>
              </w:rPr>
              <w:t>Maestu</w:t>
            </w:r>
            <w:proofErr w:type="spellEnd"/>
            <w:r w:rsidRPr="002A0126">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{"citationID":"glfLGuq6","properties":{"formattedCitation":"[38]","plainCitation":"[38]","noteIndex":0},"citationItems":[{"id":857,"uris":["http://zotero.org/users/5056530/items/JXBUZEP6"],"itemData":{"id":857,"type":"article-journal","abstract":"BACKGROUND: There has been no systemic investigation of the effects of training on endurance at different high-intensity work rates in patients with COPD to date.\nOBJECTIVES: We wanted to determine the effects of intense endurance training on tolerance to several high-intensity work rates and to establish the relationship between power (WR) and its tolerable duration (t) (t = W'/(WR - CP), being W', the curvature constant, thought to be reflective of anaerobic energy availability and/or tolerance to the uncomfortable sensations associated with the high-intensity exercise, and CP the critical power.\nMETHODS: We studied 27 patients: age 62 +/- 5 years; FEV(1) 1.2 +/- 0.2 liters. Before and after the intervention, the subjects randomly underwent 4 high-intensity constant WR exercise tests. The endurance times of the highest 3 tests were used.\nRESULTS: Ventilation reached approximately the same level in each of the tests. In response to the training, the average peak increased by 9 +/- 5% (p &lt; 0.0001), CP by 14 +/- 12% (p &lt; 0.0001) and W' 18 +/- 22% (p = 0.002). In 67% of the patients, CP increased, accompanied by changes in other related physiological variables of aerobic capacity. In the remaining 33%, W' increased but not CP. Smaller or no changes in the other variables of aerobic capacity were found in those subjects. This latter group was significantly older and had more hyperinflation (i.e. higher RV/TLC%).\nCONCLUSIONS: Our results suggest that neither an incremental nor a single endurance test at constant WR provides an adequate characterisation of exercise tolerance at other WRs. CP and W' appear to be important parameters characterizing exercise tolerance over a range high-intensity work rates and identifying two distinct types of response to training.","container-title":"Respiration; International Review of Thoracic Diseases","DOI":"10.1159/000072899","ISSN":"0025-7931","issue":"4","journalAbbreviation":"Respiration","language":"eng","note":"PMID: 14512671","page":"367-370","source":"PubMed","title":"Effects of training on the tolerance to high-intensity exercise in patients with severe COPD","volume":"70","author":[{"family":"Puente-Maestu","given":"Luis"},{"family":"SantaCruz","given":"Antonio"},{"family":"Vargas","given":"Teresa"},{"family":"Martínez-Abad","given":"Yolanda"},{"family":"Whipp","given":"Brian J."}],"issued":{"date-parts":[["2003",8]]}},"label":"page"}],"schema":"https://github.com/citation-style-language/schema/raw/master/csl-citation.json"}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[38]</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66994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COPDM (27)</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14197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225CD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Endurance training</w:t>
            </w:r>
          </w:p>
          <w:p w14:paraId="7750D08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(6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5C3011"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55ACED6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(65 vs 58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61C00D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r>
              <w:rPr>
                <w:rFonts w:ascii="Calibri" w:eastAsia="Times New Roman" w:hAnsi="Calibri" w:cs="Calibri"/>
                <w:lang w:eastAsia="en-GB"/>
              </w:rPr>
              <w:t xml:space="preserve">, </w:t>
            </w:r>
            <w:r w:rsidRPr="002A0126">
              <w:rPr>
                <w:rFonts w:ascii="Calibri" w:eastAsia="Times New Roman" w:hAnsi="Calibri" w:cs="Calibri"/>
                <w:lang w:eastAsia="en-GB"/>
              </w:rPr>
              <w:t>↓</w:t>
            </w:r>
            <w:r>
              <w:rPr>
                <w:rFonts w:ascii="Calibri" w:eastAsia="Times New Roman" w:hAnsi="Calibri" w:cs="Calibri"/>
                <w:lang w:eastAsia="en-GB"/>
              </w:rPr>
              <w:t xml:space="preserve">peak blood </w:t>
            </w:r>
            <w:r w:rsidRPr="002A0126">
              <w:rPr>
                <w:rFonts w:ascii="Calibri" w:eastAsia="Times New Roman" w:hAnsi="Calibri" w:cs="Calibri"/>
                <w:lang w:eastAsia="en-GB"/>
              </w:rPr>
              <w:t>[La]</w:t>
            </w:r>
            <w:r>
              <w:rPr>
                <w:rFonts w:ascii="Calibri" w:eastAsia="Times New Roman" w:hAnsi="Calibri" w:cs="Calibri"/>
                <w:lang w:eastAsia="en-GB"/>
              </w:rPr>
              <w:t>,</w:t>
            </w:r>
            <w:r w:rsidRPr="002A0126">
              <w:rPr>
                <w:rFonts w:ascii="Calibri" w:eastAsia="Times New Roman" w:hAnsi="Calibri" w:cs="Calibri"/>
                <w:lang w:eastAsia="en-GB"/>
              </w:rPr>
              <w:t xml:space="preserve"> ↓</w:t>
            </w:r>
            <w:bookmarkStart w:id="1" w:name="_Hlk107405686"/>
            <w:proofErr w:type="spellStart"/>
            <w:r w:rsidRPr="002A0126">
              <w:rPr>
                <w:rFonts w:ascii="Calibri" w:eastAsia="Times New Roman" w:hAnsi="Calibri" w:cs="Calibri"/>
                <w:lang w:eastAsia="en-GB"/>
              </w:rPr>
              <w:t>V</w:t>
            </w:r>
            <w:r>
              <w:rPr>
                <w:rFonts w:ascii="Calibri" w:eastAsia="Times New Roman" w:hAnsi="Calibri" w:cs="Calibri"/>
                <w:lang w:eastAsia="en-GB"/>
              </w:rPr>
              <w:t>̇e</w:t>
            </w:r>
            <w:r w:rsidRPr="002A0126">
              <w:rPr>
                <w:rFonts w:ascii="Calibri" w:eastAsia="Times New Roman" w:hAnsi="Calibri" w:cs="Calibri"/>
                <w:vertAlign w:val="subscript"/>
                <w:lang w:eastAsia="en-GB"/>
              </w:rPr>
              <w:t>peak</w:t>
            </w:r>
            <w:bookmarkEnd w:id="1"/>
            <w:proofErr w:type="spellEnd"/>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5B5977C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3CWR</w:t>
            </w:r>
          </w:p>
        </w:tc>
      </w:tr>
      <w:tr w:rsidR="008E3D4D" w:rsidRPr="002A0126" w14:paraId="210AAF7F"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565D6F4B" w14:textId="09CF1370"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Barker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{"citationID":"g4Bu322r","properties":{"formattedCitation":"[163]","plainCitation":"[163]","noteIndex":0},"citationItems":[{"id":273,"uris":["http://zotero.org/users/5056530/items/77TSNMUK"],"itemData":{"id":273,"type":"article-journal","abstract":"Critical power (CP) is lower at faster rather than slower pedalling frequencies and traditionally reported in watts (W). Faster pedalling frequencies also engender a greater metabolic rate \nat low work rates, but with progressive increases in power output, the initial difference in\nbetween fast and slower pedalling frequencies is reduced. We tested the hypothesis that CP represents a unique metabolic rate for any given individual which would be similar at different pedalling frequencies. Eleven collegiate athletes (five cross-country runners, END; six sprinters, SPR), aged 18–23 years, performed exhaustive rides at either 60 or 100 r.p.m. on separate days for the determination of the pedal rate-specific CP. The\nat CP (CP-\n) was determined from an 8 min ride at the CP for each pedal frequency. The group mean CP was significantly lower at 100 r.p.m. (189 ± 50 W) compared to 60 r.p.m. (207 ± 53 W, P &lt; 0.05). However, the group mean CP-\nvalues at 60 (2.53 ± 0.60 l min−1) and 100 r.p.m. (2.58 ± 0.53 l min−1) were not significantly different. Critical power was significantly higher in the END athletes (242 ± 50 W at 60 r.p.m.; 221 ± 56 W at 100 r.p.m.) compared to SPR athletes at both pedal frequencies (177 ± 38 W at 60 r.p.m.; 162 ± 27 W at 100 r.p.m., P &lt; 0.05), but the CP-\nwas not (P &gt; 0.05). However, when the CP-\nwas scaled to body weight, the END athletes had a significantly greater CP-\n(41.3 ± 4.1 ml min−1 kg−1 at 60 r.p.m.; 40.8 ± 5.5 ml min−1 kg−1 at 100 r.p.m.) compared to the SPR athletes at both pedal frequencies (27.7 ± 4.6 ml min−1 kg−1 at 60 r.p.m.; 29.4 ± 2.8 ml min−1 kg−1 at 100 r.p.m., P &lt; 0.05). We conclude that CP represents a specific metabolic rate\nwhich can be achieved at different combinations of power outputs and pedalling frequencies.","container-title":"Experimental Physiology","DOI":"10.1113/expphysiol.2005.032789","ISSN":"1469-445X","issue":"3","language":"en","page":"621-632","source":"Wiley Online Library","title":"Human critical power–oxygen uptake relationship at different pedalling frequencies","volume":"91","author":[{"family":"Barker","given":"Tyler"},{"family":"Poole","given":"David C."},{"family":"Noble","given":"M. Larry"},{"family":"Barstow","given":"Thomas J."}],"issued":{"date-parts":[["2006",5,1]]}}}],"schema":"https://github.com/citation-style-language/schema/raw/master/csl-citation.json"}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[163]</w:t>
            </w:r>
            <w:r>
              <w:rPr>
                <w:rFonts w:ascii="Calibri" w:eastAsia="Times New Roman" w:hAnsi="Calibri" w:cs="Calibri"/>
                <w:lang w:eastAsia="en-GB"/>
              </w:rPr>
              <w:fldChar w:fldCharType="end"/>
            </w:r>
            <w:r w:rsidRPr="002A0126">
              <w:rPr>
                <w:rFonts w:ascii="Calibri" w:eastAsia="Times New Roman" w:hAnsi="Calibri" w:cs="Calibri"/>
                <w:lang w:eastAsia="en-GB"/>
              </w:rPr>
              <w:t>*</w:t>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8368E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(5) ATM (6)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5BA1B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877E5"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Cadence</w:t>
            </w:r>
          </w:p>
          <w:p w14:paraId="03FC7AC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(100 rpm vs 60rpm)</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FF4EC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687D24D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(189 vs 297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3FC41ED"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1F79DC7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77294B45"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1FB69D0" w14:textId="4DB374FA" w:rsidR="008E3D4D" w:rsidRPr="002A0126" w:rsidRDefault="008E3D4D" w:rsidP="008E3D4D">
            <w:pPr>
              <w:spacing w:after="0" w:line="240" w:lineRule="auto"/>
              <w:rPr>
                <w:rFonts w:ascii="Calibri" w:eastAsia="Times New Roman" w:hAnsi="Calibri" w:cs="Calibri"/>
                <w:lang w:eastAsia="en-GB"/>
              </w:rPr>
            </w:pPr>
            <w:proofErr w:type="spellStart"/>
            <w:r w:rsidRPr="002A0126">
              <w:rPr>
                <w:rFonts w:ascii="Calibri" w:eastAsia="Times New Roman" w:hAnsi="Calibri" w:cs="Calibri"/>
                <w:lang w:eastAsia="en-GB"/>
              </w:rPr>
              <w:t>Vanhatalo</w:t>
            </w:r>
            <w:proofErr w:type="spellEnd"/>
            <w:r w:rsidRPr="002A0126">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{"citationID":"nYhX6hmw","properties":{"formattedCitation":"[164]","plainCitation":"[164]","noteIndex":0},"citationItems":[{"id":604,"uris":["http://zotero.org/users/5056530/items/YTAUH9U2"],"itemData":{"id":604,"type":"article-journal","abstract":"PURPOSE: The aim of this investigation was to test the hypothesis that a 3-min all-out cycling test would detect a change in critical power (CP) after a 4-wk interval training intervention.\nMETHODS: Nine habitually active subjects completed a ramp test, two 3-min all-out tests to establish the end power (EP) and the work done above EP (WEP), and three predicting trials to establish CP and W' using the work-time model (W = CPt + W'). After 12 supervised high-intensity interval training sessions over 4 wk, subjects repeated the testing procedures.\nRESULTS: The CP increased in all subjects after training (pretraining: 230 +/- 53 W; posttraining: 255 +/- 50 W; t8 = 7.47, P &lt; 0.001), with no statistically significant effect on the W' (pretraining: 17.2 +/- 4.2 kJ; posttraining: 15.5 +/- 3.8 kJ; t8 = 2.03, P = 0.08). The all-out test EP was increased after training from 225 +/- 52 W to 248 +/- 46 W (t8 = 6.26, P &lt; 0.001). The EP and CP estimates before and after training were not different and were highly correlated (pretraining: r = 0.96, P &lt; 0.001; posttraining: r = 0.95, P &lt; 0.001). In addition, the increase in EP was correlated with (r = 0.77, P = 0.016) and not different from (t8 = 0.60, P = 0.57) the increase in CP. There was no change in the WEP from pretraining to posttraining (t8 = 1.89, P = 0.10).\nCONCLUSIONS: The present study shows that the 3-min all-out test closely estimates CP across a wide range of aerobic fitness and is sensitive to training-induced changes in CP.","container-title":"Medicine and Science in Sports and Exercise","DOI":"10.1249/MSS.0b013e318177871a","ISSN":"1530-0315","issue":"9","journalAbbreviation":"Med Sci Sports Exerc","language":"eng","note":"PMID: 18685519","page":"1693-1699","source":"PubMed","title":"A 3-min all-out cycling test is sensitive to a change in critical power","volume":"40","author":[{"family":"Vanhatalo","given":"Anni"},{"family":"Doust","given":"Jonathan H."},{"family":"Burnley","given":"Mark"}],"issued":{"date-parts":[["2008",9]]}}}],"schema":"https://github.com/citation-style-language/schema/raw/master/csl-citation.json"}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[164]</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171FC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HM (8) </w:t>
            </w:r>
          </w:p>
          <w:p w14:paraId="332A557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HF (1)</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1D264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520AD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HIIT</w:t>
            </w:r>
          </w:p>
          <w:p w14:paraId="2575E78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407D63"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40171A2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(255 vs 230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153262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r w:rsidRPr="002A0126">
              <w:rPr>
                <w:rFonts w:ascii="Calibri" w:eastAsia="Times New Roman" w:hAnsi="Calibri" w:cs="Calibri"/>
                <w:lang w:eastAsia="en-GB"/>
              </w:rPr>
              <w:t>, ↑GET</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DEC8EA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68AB2E5C"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063995AC" w14:textId="3C66B82F"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Miura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{"citationID":"G2FwYq1l","properties":{"formattedCitation":"[165]","plainCitation":"[165]","noteIndex":0},"citationItems":[{"id":481,"uris":["http://zotero.org/users/5056530/items/GTVTT3KQ"],"itemData":{"id":481,"type":"article-journal","abstract":"The tolerable duration (t) of high-intensity cycle ergometry is well characterized by a hyperbolic function of power output (P) with an asymptote (termed the critical power (CP)) and a curvature constant (denoted W'). The purpose of this study was to investigate the effect of prior heavy exercise (W-up) that specifically engenders an acidosis on CP and W'. Eight healthy subjects performed 2 sets of 4 high-intensity square-wave exercise bouts on a bicycle ergometer to estimate CP and W', with (W-up) and without (control) prior exercise, respectively. Exercise intensities of the 4 main bouts were selected in the range of 90% to 135% peak oxygen uptake so as to reach the limit of tolerance between approximately 1.5 and 10 min. The W-up bout was preceded by 6 min cycling at a work rate halfway between the lactate threshold and peak oxygen uptake (mean +/- SD of 153.8 +/- 29.8 W) starting 12 min before the main bout. Blood lactate levels ([La]b) just before the main exercise bouts in W-up conditions were significantly higher than those of the control (4.7 +/- 1.1 and 1.4 +/- 0.4 mEq.L(-1), respectively; p &lt; 0.05). However, there were no significant differences in end-exercise [La]b. W-up increased significantly the tolerable duration at every work rate compared with the control, which was attributable exclusively to increased CP (176.5 +/- 34.3 and 168.7 +/- 31.3 W, respectively; p &lt; 0.05), without any significant change in W' (11.0 +/- 3.2 and 11.0 +/- 3.1 kJ, respectively). It is concluded that the prior heavy exercise improved performance mainly because of an enhanced aerobic component of exercise energetics, as indicated by a higher CP and lower increment in the [La]b.","container-title":"Applied Physiology, Nutrition, and Metabolism = Physiologie Appliquee, Nutrition Et Metabolisme","DOI":"10.1139/H09-103","ISSN":"1715-5312","issue":"6","journalAbbreviation":"Appl Physiol Nutr Metab","language":"eng","note":"PMID: 20029507","page":"1001-1007","source":"PubMed","title":"The effect of prior heavy exercise on the parameters of the power-duration curve for cycle ergometry","volume":"34","author":[{"family":"Miura","given":"Akira"},{"family":"Shiragiku","given":"Chiaki"},{"family":"Hirotoshi","given":"Yuiko"},{"family":"Kitano","given":"Asami"},{"family":"Endo","given":"Masako Yamaoka"},{"family":"Barstow","given":"Thomas J."},{"family":"Morton","given":"R. Hugh"},{"family":"Fukuba","given":"Yoshiyuki"}],"issued":{"date-parts":[["2009",12]]}}}],"schema":"https://github.com/citation-style-language/schema/raw/master/csl-citation.json"}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[165]</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2FA7D8"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HM (6) </w:t>
            </w:r>
          </w:p>
          <w:p w14:paraId="41470AC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HF (2)</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75FB3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33554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Heavy priming exercise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5B7F00"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0F2406A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(177 vs 169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42024D5"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1031FC5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7457C8FA"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0A1E7091" w14:textId="30217B77" w:rsidR="008E3D4D" w:rsidRPr="002A0126" w:rsidRDefault="008E3D4D" w:rsidP="008E3D4D">
            <w:pPr>
              <w:spacing w:after="0" w:line="240" w:lineRule="auto"/>
              <w:rPr>
                <w:rFonts w:ascii="Calibri" w:eastAsia="Times New Roman" w:hAnsi="Calibri" w:cs="Calibri"/>
                <w:lang w:eastAsia="en-GB"/>
              </w:rPr>
            </w:pPr>
            <w:proofErr w:type="spellStart"/>
            <w:r w:rsidRPr="002A0126">
              <w:rPr>
                <w:rFonts w:ascii="Calibri" w:eastAsia="Times New Roman" w:hAnsi="Calibri" w:cs="Calibri"/>
                <w:lang w:eastAsia="en-GB"/>
              </w:rPr>
              <w:t>Vanhatalo</w:t>
            </w:r>
            <w:proofErr w:type="spellEnd"/>
            <w:r w:rsidRPr="002A0126">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{"citationID":"mrbiE23n","properties":{"formattedCitation":"[37]","plainCitation":"[37]","noteIndex":0},"citationItems":[{"id":177,"uris":["http://zotero.org/users/5056530/items/JM6EASHA"],"itemData":{"id":177,"type":"article-journal","abstract":"Severe-intensity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[37]</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128C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(7)</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16BD7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Prone knee extension</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6FC0F7"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Hyperoxia</w:t>
            </w:r>
          </w:p>
          <w:p w14:paraId="384AC72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0.7)</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C71416"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1B5A5F9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(18 vs 16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51113C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↓rate of change: muscle [ADP], [</w:t>
            </w:r>
            <w:proofErr w:type="spellStart"/>
            <w:r w:rsidRPr="002A0126">
              <w:rPr>
                <w:rFonts w:ascii="Calibri" w:eastAsia="Times New Roman" w:hAnsi="Calibri" w:cs="Calibri"/>
                <w:lang w:eastAsia="en-GB"/>
              </w:rPr>
              <w:t>PCr</w:t>
            </w:r>
            <w:proofErr w:type="spellEnd"/>
            <w:r w:rsidRPr="002A0126">
              <w:rPr>
                <w:rFonts w:ascii="Calibri" w:eastAsia="Times New Roman" w:hAnsi="Calibri" w:cs="Calibri"/>
                <w:lang w:eastAsia="en-GB"/>
              </w:rPr>
              <w:t>], [Pi], pH; ↑</w:t>
            </w:r>
            <w:r w:rsidRPr="00A94E9D">
              <w:rPr>
                <w:rFonts w:ascii="Symbol" w:eastAsia="Times New Roman" w:hAnsi="Symbol" w:cs="Calibri"/>
                <w:lang w:eastAsia="en-GB"/>
              </w:rPr>
              <w:t></w:t>
            </w:r>
            <w:proofErr w:type="spellStart"/>
            <w:r w:rsidRPr="00A94E9D">
              <w:rPr>
                <w:rFonts w:ascii="Calibri" w:eastAsia="Times New Roman" w:hAnsi="Calibri" w:cs="Calibri"/>
                <w:vertAlign w:val="subscript"/>
                <w:lang w:eastAsia="en-GB"/>
              </w:rPr>
              <w:t>PCr</w:t>
            </w:r>
            <w:proofErr w:type="spellEnd"/>
            <w:r w:rsidRPr="002A0126">
              <w:rPr>
                <w:rFonts w:ascii="Calibri" w:eastAsia="Times New Roman" w:hAnsi="Calibri" w:cs="Calibri"/>
                <w:lang w:eastAsia="en-GB"/>
              </w:rPr>
              <w:t>, ↑Δ[HbO</w:t>
            </w:r>
            <w:r w:rsidRPr="004C4E01">
              <w:rPr>
                <w:rFonts w:ascii="Calibri" w:eastAsia="Times New Roman" w:hAnsi="Calibri" w:cs="Calibri"/>
                <w:vertAlign w:val="subscript"/>
                <w:lang w:eastAsia="en-GB"/>
              </w:rPr>
              <w:t>2</w:t>
            </w:r>
            <w:r w:rsidRPr="002A0126">
              <w:rPr>
                <w:rFonts w:ascii="Calibri" w:eastAsia="Times New Roman" w:hAnsi="Calibri" w:cs="Calibri"/>
                <w:lang w:eastAsia="en-GB"/>
              </w:rPr>
              <w:t>], ↓Δ[</w:t>
            </w:r>
            <w:proofErr w:type="spellStart"/>
            <w:r w:rsidRPr="002A0126">
              <w:rPr>
                <w:rFonts w:ascii="Calibri" w:eastAsia="Times New Roman" w:hAnsi="Calibri" w:cs="Calibri"/>
                <w:lang w:eastAsia="en-GB"/>
              </w:rPr>
              <w:t>HHb</w:t>
            </w:r>
            <w:proofErr w:type="spellEnd"/>
            <w:r w:rsidRPr="002A0126">
              <w:rPr>
                <w:rFonts w:ascii="Calibri" w:eastAsia="Times New Roman" w:hAnsi="Calibri" w:cs="Calibri"/>
                <w:lang w:eastAsia="en-GB"/>
              </w:rPr>
              <w:t>], ↑TOI , ↑TD</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r w:rsidRPr="002A0126">
              <w:rPr>
                <w:rFonts w:ascii="Calibri" w:eastAsia="Times New Roman" w:hAnsi="Calibri" w:cs="Calibri"/>
                <w:lang w:eastAsia="en-GB"/>
              </w:rPr>
              <w:t xml:space="preserve">, ↔ </w:t>
            </w:r>
            <w:r w:rsidRPr="00810DBA">
              <w:rPr>
                <w:rFonts w:ascii="Symbol" w:eastAsia="Times New Roman" w:hAnsi="Symbol" w:cs="Calibri"/>
                <w:lang w:eastAsia="en-GB"/>
              </w:rPr>
              <w:t></w:t>
            </w:r>
            <w:r w:rsidRPr="00810DBA">
              <w:rPr>
                <w:rFonts w:ascii="Symbol" w:eastAsia="Times New Roman" w:hAnsi="Symbol" w:cs="Calibri"/>
                <w:vertAlign w:val="subscript"/>
                <w:lang w:eastAsia="en-GB"/>
              </w:rPr>
              <w:t></w:t>
            </w:r>
            <w:proofErr w:type="spellStart"/>
            <w:r w:rsidRPr="00810DBA">
              <w:rPr>
                <w:rFonts w:ascii="Calibri" w:eastAsia="Times New Roman" w:hAnsi="Calibri" w:cs="Calibri"/>
                <w:vertAlign w:val="subscript"/>
                <w:lang w:eastAsia="en-GB"/>
              </w:rPr>
              <w:t>HHb</w:t>
            </w:r>
            <w:proofErr w:type="spellEnd"/>
            <w:r w:rsidRPr="00810DBA">
              <w:rPr>
                <w:rFonts w:ascii="Calibri" w:eastAsia="Times New Roman" w:hAnsi="Calibri" w:cs="Calibri"/>
                <w:vertAlign w:val="subscript"/>
                <w:lang w:eastAsia="en-GB"/>
              </w:rPr>
              <w:t>]</w:t>
            </w:r>
            <w:r w:rsidRPr="002A0126">
              <w:rPr>
                <w:rFonts w:ascii="Calibri" w:eastAsia="Times New Roman" w:hAnsi="Calibri" w:cs="Calibri"/>
                <w:vertAlign w:val="subscript"/>
                <w:lang w:eastAsia="en-GB"/>
              </w:rPr>
              <w:t xml:space="preserve"> </w:t>
            </w:r>
            <w:r w:rsidRPr="002A0126">
              <w:rPr>
                <w:rFonts w:ascii="Calibri" w:eastAsia="Times New Roman" w:hAnsi="Calibri" w:cs="Calibri"/>
                <w:vertAlign w:val="superscript"/>
                <w:lang w:eastAsia="en-GB"/>
              </w:rPr>
              <w:t>1</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2B303B1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0E34072B"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66C6270A" w14:textId="28DA8382"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lastRenderedPageBreak/>
              <w:t xml:space="preserve">Corn &amp; Barstow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{"citationID":"0slJW3Ki","properties":{"formattedCitation":"[166]","plainCitation":"[166]","noteIndex":0},"citationItems":[{"id":3394,"uris":["http://zotero.org/users/5056530/items/CYR6HRIJ"],"itemData":{"id":3394,"type":"article-journal","abstract":"The accumulation of reactive oxygen species (ROS) is associated with muscular fatigue. The antioxidant N-acetylcysteine (NAC) can extend time to fatigue (TTF), but the effect appears to be exercise intensity dependent. The purpose of this study was to determine the effects of an acute oral dose of NAC on time to fatigue (TTF), critical power (CP), W' (curvature constant), V(O2) kinetics and muscle EMG during cycling exercise. Male (n=7) subjects performed four tests at power outputs corresponding to 80, 90, 100, and 110% of the peak power output achieved during the incremental test (Pmax) under NAC and placebo (PLA) conditions. TTF was increased only in the 80% Pmax trial (p=0.033). CP was higher with NAC (NAC: 232±28 W versus PLA: 226±31 W; p=0.032), but W' tended to decrease (NAC: 15.5±3.8 kJ versus W': 16.4±4.5 kJ; p=0.10). The change in W' was negatively related to the change in CP (r = -0.96). MdPF and RMS of EMG tended to change less with NAC. There were no significant differences in V(O2) kinetics. These results demonstrate that oral NAC was successful in extending time to fatigue at 80% Pmax but not at higher work rates.","container-title":"Respiratory Physiology &amp; Neurobiology","DOI":"10.1016/j.resp.2011.06.020","ISSN":"1878-1519","issue":"2","journalAbbreviation":"Respir Physiol Neurobiol","language":"eng","note":"PMID: 21740986","page":"261-268","source":"PubMed","title":"Effects of oral N-acetylcysteine on fatigue, critical power, and W' in exercising humans","volume":"178","author":[{"family":"Corn","given":"Sarah D."},{"family":"Barstow","given":"Thomas J."}],"issued":{"date-parts":[["2011",9,15]]}}}],"schema":"https://github.com/citation-style-language/schema/raw/master/csl-citation.json"}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[166]</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D48D2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(7)</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3858A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ACE03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N-acetylcysteine</w:t>
            </w:r>
          </w:p>
          <w:p w14:paraId="7E21B17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(acute oral supplementation)</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2BB49"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16F7C64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(232 vs 226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A7D39E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↑GSH, ↑EMG</w:t>
            </w:r>
            <w:r w:rsidRPr="002A0126">
              <w:rPr>
                <w:rFonts w:ascii="Calibri" w:eastAsia="Times New Roman" w:hAnsi="Calibri" w:cs="Calibri"/>
                <w:vertAlign w:val="subscript"/>
                <w:lang w:eastAsia="en-GB"/>
              </w:rPr>
              <w:t>MPF</w:t>
            </w:r>
            <w:r w:rsidRPr="002A0126">
              <w:rPr>
                <w:rFonts w:ascii="Calibri" w:eastAsia="Times New Roman" w:hAnsi="Calibri" w:cs="Calibri"/>
                <w:lang w:eastAsia="en-GB"/>
              </w:rPr>
              <w:t xml:space="preserve"> (RF), ↓EMG</w:t>
            </w:r>
            <w:r w:rsidRPr="002A0126">
              <w:rPr>
                <w:rFonts w:ascii="Calibri" w:eastAsia="Times New Roman" w:hAnsi="Calibri" w:cs="Calibri"/>
                <w:vertAlign w:val="subscript"/>
                <w:lang w:eastAsia="en-GB"/>
              </w:rPr>
              <w:t>RMS</w:t>
            </w:r>
            <w:r w:rsidRPr="002A0126">
              <w:rPr>
                <w:rFonts w:ascii="Calibri" w:eastAsia="Times New Roman" w:hAnsi="Calibri" w:cs="Calibri"/>
                <w:lang w:eastAsia="en-GB"/>
              </w:rPr>
              <w:t xml:space="preserve"> (VL)</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124072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3F9AD5D7"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D03AA8C" w14:textId="3726CB23" w:rsidR="008E3D4D" w:rsidRPr="002A0126" w:rsidRDefault="008E3D4D" w:rsidP="008E3D4D">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Dekerle</w:t>
            </w:r>
            <w:proofErr w:type="spellEnd"/>
            <w:r>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{"citationID":"5QEzAntG","properties":{"formattedCitation":"[56]","plainCitation":"[56]","noteIndex":0},"citationItems":[{"id":675,"uris":["http://zotero.org/users/5056530/items/UD27HX7K"],"itemData":{"id":675,"type":"article-journal","abstract":"It remains uncertain as how the reduction in systemic oxygen transport limits high-intensity exercise tolerance. 11 participants (5 males; age 35 ± 10 years; peak [Formula: see text] 3.5 ± 0.4 L min(-1)) performed cycle ergometry to the limit of tolerance: (1) a ramp test to determine ventilatory threshold (VT) and peak [Formula: see text]; (2) three to four constant-load tests in order to model the linear P-t (-1) relationship for estimation of intercept (critical power; CP) and slope (AWC). All tests were performed in a random order under moderate hypoxia (FiO(2) = 0.15) and normoxia. The linearity of the P-t (-1) relationship was retained under hypoxia, with a systematic reduction in CP (220 ± 25 W vs. 190 ± 28 W; P &lt; 0.01) but no significant difference in AWC (11.7 ± 5.5 kJ vs. 12.1 ± 4.4 kJ; P &gt; 0.05). However, large individual variations in the change of the latter were observed (-36 to +66%). A significant relationship was found between the % change in CP (r = 0.80, P &lt; 0.01) and both peak [Formula: see text] (CP: r = -0.65, P &lt; 0.05) and VT values recorded under normoxia (CP: r = -0.65, P &lt; 0.05). The present study demonstrates the aerobic nature of the intercept of the P-t (-1) relationship, i.e. CP. However, the extreme within-individual changes in AWC do not support the original assumption that AWC reflects a finite energy store. Lower hypoxia-induced decrements in CP were observed in aerobically fitter participants. This study also demonstrates the greater ability these participants have to exercise at supra-CP but close to CP workloads under moderate hypoxia.","container-title":"European Journal of Applied Physiology","DOI":"10.1007/s00421-011-1979-z","ISSN":"1439-6327","issue":"1","journalAbbreviation":"Eur. J. Appl. Physiol.","language":"eng","note":"PMID: 21556815","page":"327-335","source":"PubMed","title":"Influence of moderate hypoxia on tolerance to high-intensity exercise","volume":"112","author":[{"family":"Dekerle","given":"J."},{"family":"Mucci","given":"P."},{"family":"Carter","given":"H."}],"issued":{"date-parts":[["2012",1]]}}}],"schema":"https://github.com/citation-style-language/schema/raw/master/csl-citation.json"}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[56]</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2CA5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HM (5) </w:t>
            </w:r>
          </w:p>
          <w:p w14:paraId="3608A99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HF (6)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5F051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52E0CE"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w:t>
            </w:r>
          </w:p>
          <w:p w14:paraId="6B87011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0.15)</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40FF4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198D5A3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(190 vs 220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ECB0EF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↓SaO</w:t>
            </w:r>
            <w:r w:rsidRPr="002A0126">
              <w:rPr>
                <w:rFonts w:ascii="Calibri" w:eastAsia="Times New Roman" w:hAnsi="Calibri" w:cs="Calibri"/>
                <w:vertAlign w:val="subscript"/>
                <w:lang w:eastAsia="en-GB"/>
              </w:rPr>
              <w:t>2</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2F0A779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3-4CWR</w:t>
            </w:r>
          </w:p>
        </w:tc>
      </w:tr>
      <w:tr w:rsidR="008E3D4D" w:rsidRPr="002A0126" w14:paraId="6208B12F"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20A67DB" w14:textId="585F9A30"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Valli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{"citationID":"EXaXHmhS","properties":{"formattedCitation":"[61]","plainCitation":"[61]","noteIndex":0},"citationItems":[{"id":856,"uris":["http://zotero.org/users/5056530/items/8MVUX8K5"],"itemData":{"id":856,"type":"article-journal","abstract":"The relationship between work rate (WR) and its tolerable duration (t(LIM)) has not been investigated at high altitude (HA). At HA (5050 m) and at sea level (SL), six subjects therefore performed symptom-limited cycle-ergometry: an incremental test (IET) and three constant-WR tests (% of IET WR(max), HA and SL respectively: WR(1) 70±8%, 74±7%; WR(2) 86±14%, 88±10%; WR(3) 105±13%, 104±9%). The power asymptote (CP) and curvature constant (W') of the hyperbolic WR-t(LIM) relationship were reduced at HA compared to SL (CP: 81±21 vs. 123±38 W; W': 7.2±2.9 vs. 13.1±4.3 kJ). HA breathing reserve (estimated maximum voluntary ventilation minus end-exercise ventilation) was also compromised (WR(1): 25±25 vs. 50±18 l min(-1); WR(2): 4±23 vs. 38±23 l min(-1); WR(3): -3±18 vs. 32±24 l min(-1)) with near-maximal dyspnea levels (Borg) (WR(1): 7.2±1.2 vs. 4.8±1.3; WR(2): 8.8±0.8 vs. 5.3±1.2; WR(3): 9.3±1.0 vs. 5.3±1.5). The CP reduction is consistent with a reduced O(2) availability; that of W' with reduced muscle-venous O(2) storage, exacerbated by ventilatory limitation and dyspnea.","container-title":"Respiratory Physiology &amp; Neurobiology","DOI":"10.1016/j.resp.2011.05.014","ISSN":"1878-1519","issue":"3","journalAbbreviation":"Respir Physiol Neurobiol","language":"eng","note":"PMID: 21621651","page":"333-341","source":"PubMed","title":"Exercise intolerance at high altitude (5050 m): critical power and W'","title-short":"Exercise intolerance at high altitude (5050 m)","volume":"177","author":[{"family":"Valli","given":"G."},{"family":"Cogo","given":"A."},{"family":"Passino","given":"C."},{"family":"Bonardi","given":"D."},{"family":"Morici","given":"G."},{"family":"Fasano","given":"V."},{"family":"Agnesi","given":"M."},{"family":"Bernardi","given":"L."},{"family":"Ferrazza","given":"A. M."},{"family":"Ward","given":"S. A."},{"family":"Palange","given":"P."}],"issued":{"date-parts":[["2011",8,15]]}}}],"schema":"https://github.com/citation-style-language/schema/raw/master/csl-citation.json"}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[61]</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3F12B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HM (4) </w:t>
            </w:r>
          </w:p>
          <w:p w14:paraId="12BE3F1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HF (2)</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862C5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5F01A8"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w:t>
            </w:r>
          </w:p>
          <w:p w14:paraId="14CF68E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(altitude = 5050m)</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F7CB0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043450A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(123 vs 81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606648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O2</w:t>
            </w:r>
            <w:r w:rsidRPr="002A0126">
              <w:rPr>
                <w:rFonts w:ascii="Calibri" w:eastAsia="Times New Roman" w:hAnsi="Calibri" w:cs="Calibri"/>
                <w:vertAlign w:val="subscript"/>
                <w:lang w:eastAsia="en-GB"/>
              </w:rPr>
              <w:t>peak</w:t>
            </w:r>
            <w:r w:rsidRPr="002A0126">
              <w:rPr>
                <w:rFonts w:ascii="Calibri" w:eastAsia="Times New Roman" w:hAnsi="Calibri" w:cs="Calibri"/>
                <w:lang w:eastAsia="en-GB"/>
              </w:rPr>
              <w:t>, ↓blood</w:t>
            </w:r>
            <w:r>
              <w:rPr>
                <w:rFonts w:ascii="Calibri" w:eastAsia="Times New Roman" w:hAnsi="Calibri" w:cs="Calibri"/>
                <w:lang w:eastAsia="en-GB"/>
              </w:rPr>
              <w:t xml:space="preserve"> </w:t>
            </w:r>
            <w:r w:rsidRPr="002A0126">
              <w:rPr>
                <w:rFonts w:ascii="Calibri" w:eastAsia="Times New Roman" w:hAnsi="Calibri" w:cs="Calibri"/>
                <w:lang w:eastAsia="en-GB"/>
              </w:rPr>
              <w:t>[lactate], ↓</w:t>
            </w:r>
            <w:bookmarkStart w:id="2" w:name="_Hlk107406967"/>
            <w:r w:rsidRPr="002A0126">
              <w:rPr>
                <w:rFonts w:ascii="Calibri" w:eastAsia="Times New Roman" w:hAnsi="Calibri" w:cs="Calibri"/>
                <w:lang w:eastAsia="en-GB"/>
              </w:rPr>
              <w:t>SaO</w:t>
            </w:r>
            <w:r w:rsidRPr="002A0126">
              <w:rPr>
                <w:rFonts w:ascii="Calibri" w:eastAsia="Times New Roman" w:hAnsi="Calibri" w:cs="Calibri"/>
                <w:vertAlign w:val="subscript"/>
                <w:lang w:eastAsia="en-GB"/>
              </w:rPr>
              <w:t>2</w:t>
            </w:r>
            <w:bookmarkEnd w:id="2"/>
            <w:r w:rsidRPr="002A0126">
              <w:rPr>
                <w:rFonts w:ascii="Calibri" w:eastAsia="Times New Roman" w:hAnsi="Calibri" w:cs="Calibri"/>
                <w:lang w:eastAsia="en-GB"/>
              </w:rPr>
              <w:t>, ↓O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pulse</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1E4BEE7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 CWR</w:t>
            </w:r>
          </w:p>
        </w:tc>
      </w:tr>
      <w:tr w:rsidR="008E3D4D" w:rsidRPr="002A0126" w14:paraId="20D12E33"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02824360" w14:textId="75CB797A" w:rsidR="008E3D4D" w:rsidRPr="002A0126" w:rsidRDefault="008E3D4D" w:rsidP="008E3D4D">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Broxterman</w:t>
            </w:r>
            <w:proofErr w:type="spellEnd"/>
            <w:r>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{"citationID":"rSLkVP0o","properties":{"formattedCitation":"[73]","plainCitation":"[73]","noteIndex":0},"citationItems":[{"id":855,"uris":["http://zotero.org/users/5056530/items/WFIBGSJR"],"itemData":{"id":855,"type":"article-journal","abstract":"The highest sustainable rate of aerobic metabolism [critical power (CP)] and the finite amount of work that can be performed above CP (W’ [curvature constant]) were determined under two muscle contraction duty cycles. Eight men completed at least three constant-power handgrip tests to exhaustion to determine CP and W’ for 50% and 20% duty cycles, while brachial artery blood flow (Q̇BA) and deoxygenated-[hemoglobin + myoglobin] (deoxy-[Hb+Mb]) were measured. CP was lower for the 50% duty cycle (3.9 ± 0.9 W) than the 20% duty cycle (5.1 ± 0.8 W; p &lt; 0.001), while W’ was not significantly different (50% duty cycle: 452 ± 141 J vs. 20% duty cycle: 432 ± 130 J; p &gt; 0.05). At the same power output, Q̇BA and deoxy-[Hb + Mb] achieved higher end-exercise values for the 20% duty cycle (9.87 ± 1.73 ml·s−1; 51.7 ± 4.7 μM) than the 50% duty cycle (7.37 ± 1.76 ml·s−1, p &lt; 0.001; 44.3 ± 2.4 μM, p &lt; 0.03). These findings indicate that blood flow influences CP, but not W’.","container-title":"Respiratory Physiology &amp; Neurobiology","DOI":"10.1016/j.resp.2013.11.010","ISSN":"1569-9048","journalAbbreviation":"Respiratory Physiology &amp; Neurobiology","page":"102-111","source":"ScienceDirect","title":"Influence of duty cycle on the power-duration relationship: Observations and potential mechanisms","title-short":"Influence of duty cycle on the power-duration relationship","volume":"192","author":[{"literal":"Broxterman"},{"family":"Ade","given":"C. J."},{"family":"Wilcox","given":"S. L."},{"family":"Schlup","given":"S. J."},{"family":"Craig","given":"J. C."},{"family":"Barstow","given":"T. J."}],"issued":{"date-parts":[["2014",2,1]]}}}],"schema":"https://github.com/citation-style-language/schema/raw/master/csl-citation.json"}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[73]</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5F718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(8)</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93E02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Handgrip</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0A1B6B"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Duty cycle</w:t>
            </w:r>
          </w:p>
          <w:p w14:paraId="3CCAB20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(50% vs 20%)</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1BE446"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14111A5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(3.9 vs 5.1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F2C24F7" w14:textId="77777777" w:rsidR="008E3D4D" w:rsidRPr="002A0126" w:rsidRDefault="008E3D4D" w:rsidP="008E3D4D">
            <w:pPr>
              <w:spacing w:after="0" w:line="240" w:lineRule="auto"/>
              <w:jc w:val="center"/>
              <w:rPr>
                <w:rFonts w:eastAsia="Times New Roman" w:cstheme="minorHAnsi"/>
                <w:lang w:eastAsia="en-GB"/>
              </w:rPr>
            </w:pPr>
            <w:r w:rsidRPr="002A0126">
              <w:rPr>
                <w:rFonts w:eastAsia="Times New Roman" w:cstheme="minorHAnsi"/>
                <w:lang w:eastAsia="en-GB"/>
              </w:rPr>
              <w:t>↓</w:t>
            </w:r>
            <w:bookmarkStart w:id="3" w:name="_Hlk107407038"/>
            <w:r w:rsidRPr="002A0126">
              <w:rPr>
                <w:rFonts w:eastAsia="Times New Roman" w:cstheme="minorHAnsi"/>
                <w:lang w:eastAsia="en-GB"/>
              </w:rPr>
              <w:t>Q</w:t>
            </w:r>
            <w:r>
              <w:rPr>
                <w:rFonts w:eastAsia="Times New Roman" w:cstheme="minorHAnsi"/>
                <w:lang w:eastAsia="en-GB"/>
              </w:rPr>
              <w:t>̇</w:t>
            </w:r>
            <w:r w:rsidRPr="002A0126">
              <w:rPr>
                <w:rFonts w:eastAsia="Times New Roman" w:cstheme="minorHAnsi"/>
                <w:vertAlign w:val="subscript"/>
                <w:lang w:eastAsia="en-GB"/>
              </w:rPr>
              <w:t>BA</w:t>
            </w:r>
            <w:bookmarkEnd w:id="3"/>
            <w:r w:rsidRPr="002A0126">
              <w:rPr>
                <w:rFonts w:eastAsia="Times New Roman" w:cstheme="minorHAnsi"/>
                <w:lang w:eastAsia="en-GB"/>
              </w:rPr>
              <w:t>, ↑</w:t>
            </w:r>
            <w:bookmarkStart w:id="4" w:name="_Hlk107407053"/>
            <w:proofErr w:type="spellStart"/>
            <w:r w:rsidRPr="002A0126">
              <w:rPr>
                <w:rFonts w:eastAsia="Times New Roman" w:cstheme="minorHAnsi"/>
                <w:lang w:eastAsia="en-GB"/>
              </w:rPr>
              <w:t>iEMG</w:t>
            </w:r>
            <w:bookmarkEnd w:id="4"/>
            <w:proofErr w:type="spellEnd"/>
            <w:r w:rsidRPr="002A0126">
              <w:rPr>
                <w:rFonts w:eastAsia="Times New Roman" w:cstheme="minorHAnsi"/>
                <w:lang w:eastAsia="en-GB"/>
              </w:rPr>
              <w:t>, ↓EMG</w:t>
            </w:r>
            <w:r w:rsidRPr="002A0126">
              <w:rPr>
                <w:rFonts w:eastAsia="Times New Roman" w:cstheme="minorHAnsi"/>
                <w:vertAlign w:val="subscript"/>
                <w:lang w:eastAsia="en-GB"/>
              </w:rPr>
              <w:t>MPF</w:t>
            </w:r>
            <w:r w:rsidRPr="002A0126">
              <w:rPr>
                <w:rFonts w:eastAsia="Times New Roman" w:cstheme="minorHAnsi"/>
                <w:lang w:eastAsia="en-GB"/>
              </w:rPr>
              <w:t>, ↓</w:t>
            </w:r>
            <w:bookmarkStart w:id="5" w:name="_Hlk107407205"/>
            <w:r w:rsidRPr="002A0126">
              <w:rPr>
                <w:rFonts w:eastAsia="Times New Roman" w:cstheme="minorHAnsi"/>
                <w:lang w:eastAsia="en-GB"/>
              </w:rPr>
              <w:t>m</w:t>
            </w:r>
            <w:r>
              <w:rPr>
                <w:rFonts w:eastAsia="Times New Roman" w:cstheme="minorHAnsi"/>
                <w:lang w:eastAsia="en-GB"/>
              </w:rPr>
              <w:t>V̇</w:t>
            </w:r>
            <w:r w:rsidRPr="004B4CEB">
              <w:rPr>
                <w:rFonts w:eastAsiaTheme="minorEastAsia" w:cstheme="minorHAnsi"/>
                <w:bCs/>
              </w:rPr>
              <w:t>O</w:t>
            </w:r>
            <w:r w:rsidRPr="004B4CEB">
              <w:rPr>
                <w:rFonts w:eastAsiaTheme="minorEastAsia" w:cstheme="minorHAnsi"/>
                <w:bCs/>
                <w:vertAlign w:val="subscript"/>
              </w:rPr>
              <w:t>2</w:t>
            </w:r>
            <w:bookmarkEnd w:id="5"/>
            <w:r w:rsidRPr="002A0126">
              <w:rPr>
                <w:rFonts w:eastAsia="Times New Roman" w:cstheme="minorHAnsi"/>
                <w:lang w:eastAsia="en-GB"/>
              </w:rPr>
              <w:t>, ↔ [</w:t>
            </w:r>
            <w:proofErr w:type="spellStart"/>
            <w:r w:rsidRPr="002A0126">
              <w:rPr>
                <w:rFonts w:eastAsia="Times New Roman" w:cstheme="minorHAnsi"/>
                <w:lang w:eastAsia="en-GB"/>
              </w:rPr>
              <w:t>THb</w:t>
            </w:r>
            <w:proofErr w:type="spellEnd"/>
            <w:r w:rsidRPr="002A0126">
              <w:rPr>
                <w:rFonts w:eastAsia="Times New Roman" w:cstheme="minorHAnsi"/>
                <w:lang w:eastAsia="en-GB"/>
              </w:rPr>
              <w:t>], ↓end-exercise [</w:t>
            </w:r>
            <w:proofErr w:type="spellStart"/>
            <w:r w:rsidRPr="002A0126">
              <w:rPr>
                <w:rFonts w:eastAsia="Times New Roman" w:cstheme="minorHAnsi"/>
                <w:lang w:eastAsia="en-GB"/>
              </w:rPr>
              <w:t>HHb</w:t>
            </w:r>
            <w:proofErr w:type="spellEnd"/>
            <w:r w:rsidRPr="002A0126">
              <w:rPr>
                <w:rFonts w:eastAsia="Times New Roman" w:cstheme="minorHAnsi"/>
                <w:lang w:eastAsia="en-GB"/>
              </w:rPr>
              <w:t xml:space="preserve">] </w:t>
            </w:r>
            <w:r>
              <w:rPr>
                <w:rFonts w:eastAsia="Times New Roman" w:cstheme="minorHAnsi"/>
                <w:vertAlign w:val="superscript"/>
                <w:lang w:eastAsia="en-GB"/>
              </w:rPr>
              <w:t>2</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0B92FBC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3-4CWR</w:t>
            </w:r>
          </w:p>
        </w:tc>
      </w:tr>
      <w:tr w:rsidR="008E3D4D" w:rsidRPr="002A0126" w14:paraId="5F72C502"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13E62383" w14:textId="1B30EF6F"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Mueller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{"citationID":"SZrhTzM9","properties":{"formattedCitation":"[167]","plainCitation":"[167]","noteIndex":0},"citationItems":[{"id":3390,"uris":["http://zotero.org/users/5056530/items/EHATIVM3"],"itemData":{"id":3390,"type":"article-journal","abstract":"It is a widely accepted premise in the scientific community and by athletes alike, that adding resistance exercise to a regular regimen of endurance training increases endurance performance in endurance-trained men. However, critical power (CP), capillarization, and myofiber size remain unaffected by this addition. Therefore, we tested whether the superimposition of resistance exercise with whole-body vibration and vascular occlusion (vibroX) would improve these variables in endurance-trained males relative to resistance exercise alone.","container-title":"European Journal of Applied Physiology","DOI":"10.1007/s00421-013-2752-2","ISSN":"1439-6327","issue":"1","journalAbbreviation":"Eur J Appl Physiol","language":"en","page":"123-133","source":"Springer Link","title":"High-load resistance exercise with superimposed vibration and vascular occlusion increases critical power, capillaries and lean mass in endurance-trained men","volume":"114","author":[{"family":"Mueller","given":"Sandro Manuel"},{"family":"Aguayo","given":"David"},{"family":"Lunardi","given":"Fabio"},{"family":"Ruoss","given":"Severin"},{"family":"Boutellier","given":"Urs"},{"family":"Frese","given":"Sebastian"},{"family":"Petersen","given":"Jens A."},{"family":"Jung","given":"Hans H."},{"family":"Toigo","given":"Marco"}],"issued":{"date-parts":[["2014",1,1]]}},"label":"page"}],"schema":"https://github.com/citation-style-language/schema/raw/master/csl-citation.json"}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[167]</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ED08E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(11)</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7BFF4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D33D0"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Resistance + vibration training</w:t>
            </w:r>
          </w:p>
          <w:p w14:paraId="35B9976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(8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F2AA15"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1773A2A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(296 vs 286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347F6B"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proofErr w:type="spellStart"/>
            <w:r w:rsidRPr="002A0126">
              <w:rPr>
                <w:rFonts w:ascii="Calibri" w:eastAsia="Times New Roman" w:hAnsi="Calibri" w:cs="Calibri"/>
                <w:lang w:eastAsia="en-GB"/>
              </w:rPr>
              <w:t>capillary:fibre</w:t>
            </w:r>
            <w:proofErr w:type="spellEnd"/>
            <w:r w:rsidRPr="002A0126">
              <w:rPr>
                <w:rFonts w:ascii="Calibri" w:eastAsia="Times New Roman" w:hAnsi="Calibri" w:cs="Calibri"/>
                <w:lang w:eastAsia="en-GB"/>
              </w:rPr>
              <w:t>, ↑thigh LBM, ↑MyHC1</w:t>
            </w:r>
            <w:r>
              <w:rPr>
                <w:rFonts w:ascii="Calibri" w:eastAsia="Times New Roman" w:hAnsi="Calibri" w:cs="Calibri"/>
                <w:lang w:eastAsia="en-GB"/>
              </w:rPr>
              <w:t xml:space="preserve"> &amp;</w:t>
            </w:r>
            <w:r w:rsidRPr="002A0126">
              <w:rPr>
                <w:rFonts w:ascii="Calibri" w:eastAsia="Times New Roman" w:hAnsi="Calibri" w:cs="Calibri"/>
                <w:lang w:eastAsia="en-GB"/>
              </w:rPr>
              <w:t xml:space="preserve"> ↑MyHC2 CSA, </w:t>
            </w:r>
          </w:p>
          <w:p w14:paraId="5B090B0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SDH</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04F8FF9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29D32DB5"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50FCC68D" w14:textId="7105C06E" w:rsidR="008E3D4D" w:rsidRPr="002A0126" w:rsidRDefault="008E3D4D" w:rsidP="008E3D4D">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Broxterman</w:t>
            </w:r>
            <w:proofErr w:type="spellEnd"/>
            <w:r>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{"citationID":"NQOIYzCf","properties":{"formattedCitation":"[168]","plainCitation":"[168]","noteIndex":0},"citationItems":[{"id":3398,"uris":["http://zotero.org/users/5056530/items/CC68R5H3"],"itemData":{"id":3398,"type":"article-journal","abstract":"It is not known if the respiratory compensation point (RCP) is a distinct work rate (Watts (W)) or metabolic rate (V˙O2) and if the RCP is mechanistically related to critical power (CP). To examine these relationships, 10 collegiate men athletes performed cycling incremental and constant-power tests at 60 and 100rpm to determine RCP and CP. RCP work rate was significantly (p≤0.05) lower for 100 than 60rpm (197±24W vs. 222±24W), while RCP V˙O2 was not significantly different (3.00±0.33lmin−1 vs. 3.12±0.41lmin−1). CP at 60rpm (214±51W; V˙O2: 3.01±0.69lmin−1) and 100rpm (196±46W; V˙O2: 2.95±0.54lmin−1) were not significantly different from RCP. However, RCP and CP were not significantly correlated. These findings demonstrate that RCP represents a distinct metabolic rate, which can be achieved at different power outputs, but that RCP and CP are not equivalent parameters and should not, therefore, be used synonymously.","container-title":"Respiratory Physiology &amp; Neurobiology","DOI":"10.1016/j.resp.2014.12.008","ISSN":"1569-9048","journalAbbreviation":"Respiratory Physiology &amp; Neurobiology","language":"en","page":"1-7","source":"ScienceDirect","title":"Influence of pedal cadence on the respiratory compensation point and its relation to critical power","volume":"208","author":[{"family":"Broxterman","given":"R. M."},{"family":"Ade","given":"C. J."},{"family":"Barker","given":"T."},{"family":"Barstow","given":"T. J."}],"issued":{"date-parts":[["2015",3,1]]}}}],"schema":"https://github.com/citation-style-language/schema/raw/master/csl-citation.json"}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[168]</w:t>
            </w:r>
            <w:r>
              <w:rPr>
                <w:rFonts w:ascii="Calibri" w:eastAsia="Times New Roman" w:hAnsi="Calibri" w:cs="Calibri"/>
                <w:lang w:eastAsia="en-GB"/>
              </w:rPr>
              <w:fldChar w:fldCharType="end"/>
            </w:r>
            <w:r w:rsidRPr="002A0126">
              <w:rPr>
                <w:rFonts w:ascii="Calibri" w:eastAsia="Times New Roman" w:hAnsi="Calibri" w:cs="Calibri"/>
                <w:lang w:eastAsia="en-GB"/>
              </w:rPr>
              <w:t>*</w:t>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59ED7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(5) ATM (5)</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F874D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7C1FD"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Cadence</w:t>
            </w:r>
          </w:p>
          <w:p w14:paraId="6CC9C4E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(100 rpm vs 60rpm)</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92A789"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7C31E47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(196 vs 214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15D3AA"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5D65EA1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 CWR</w:t>
            </w:r>
          </w:p>
        </w:tc>
      </w:tr>
      <w:tr w:rsidR="008E3D4D" w:rsidRPr="002A0126" w14:paraId="1726B469"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258D440F" w14:textId="6D66480A"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Black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{"citationID":"rL8KrxLb","properties":{"formattedCitation":"[169]","plainCitation":"[169]","noteIndex":0},"citationItems":[{"id":3400,"uris":["http://zotero.org/users/5056530/items/VV5UKL8K"],"itemData":{"id":3400,"type":"article-journal","abstract":"The parameters of the power-duration relationship for severe-intensity exercise (i.e., the critical power (CP) and the curvature constant (W')) are related to the kinetics of pulmonary O2 uptake, which may be altered by pacing strategy. We tested the hypothesis that the CP would be higher when derived from a series of self-paced time-trials (TT) than when derived from the conventional series of constant work-rate (CWR) exercise tests. Ten male subjects (age, 21.5 ± 1.9 years; mass, 75.2 ± 11.5 kg) completed 3-4 CWR and 3-4 TT prediction trial protocols on a cycle ergometer for the determination of the CP and W'. The CP derived from the TT protocol (265 ± 44 W) was greater (P &lt; 0.05) than the CP derived from the CWR protocol (250 ± 47 W), while the W' was not different between protocols (TT: 18.1 ± 5.7 kJ, CWR: 20.6 ± 7.4 kJ, P &gt; 0.05). The mean response time of pulmonary O2 uptake was shorter during the TTs than the CWR trials (TT: 34 ± 16, CWR: 39 ± 19 s, P &lt; 0.05). The CP was correlated with the total O2 consumed in the first 60 s across both protocols (r = 0.88, P &lt; 0.05, n = 20). These results suggest that in comparison with the conventional CWR exercise protocol, a self-selected pacing strategy enhances CP and improves severe-intensity exercise performance. The greater CP during TT compared with CWR exercise has important implications for performance prediction, suggesting that TT completion times may be overestimated by CP and W' parameters derived from CWR protocols.","container-title":"Applied Physiology, Nutrition, and Metabolism = Physiologie Appliquee, Nutrition Et Metabolisme","DOI":"10.1139/apnm-2014-0442","ISSN":"1715-5320","issue":"7","journalAbbreviation":"Appl Physiol Nutr Metab","language":"eng","note":"PMID: 26088158","page":"662-670","source":"PubMed","title":"Self-pacing increases critical power and improves performance during severe-intensity exercise","volume":"40","author":[{"family":"Black","given":"Matthew I."},{"family":"Jones","given":"Andrew M."},{"family":"Bailey","given":"Stephen J."},{"family":"Vanhatalo","given":"Anni"}],"issued":{"date-parts":[["2015",7]]}}}],"schema":"https://github.com/citation-style-language/schema/raw/master/csl-citation.json"}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[169]</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8BBF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(10)</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D05F6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9D13C"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Pacing</w:t>
            </w:r>
          </w:p>
          <w:p w14:paraId="7E0CAF3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(self vs. constant load)</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A57E0"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6CF9FB1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(265 vs 250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D23D0C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bookmarkStart w:id="6" w:name="_Hlk107407319"/>
            <w:r w:rsidRPr="002A0126">
              <w:rPr>
                <w:rFonts w:ascii="Calibri" w:eastAsia="Times New Roman" w:hAnsi="Calibri" w:cs="Calibri"/>
                <w:lang w:eastAsia="en-GB"/>
              </w:rPr>
              <w:t>MRT</w:t>
            </w:r>
            <w:r>
              <w:rPr>
                <w:rFonts w:ascii="Calibri" w:eastAsia="Times New Roman" w:hAnsi="Calibri" w:cs="Calibri"/>
                <w:vertAlign w:val="subscript"/>
                <w:lang w:eastAsia="en-GB"/>
              </w:rPr>
              <w:t>V̇O2</w:t>
            </w:r>
            <w:bookmarkEnd w:id="6"/>
            <w:r w:rsidRPr="002A0126">
              <w:rPr>
                <w:rFonts w:ascii="Calibri" w:eastAsia="Times New Roman" w:hAnsi="Calibri" w:cs="Calibri"/>
                <w:lang w:eastAsia="en-GB"/>
              </w:rPr>
              <w:t>, ↑VO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in first 60 s</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20DD16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3-4TT / 3-4CWR</w:t>
            </w:r>
          </w:p>
        </w:tc>
      </w:tr>
      <w:tr w:rsidR="008E3D4D" w:rsidRPr="002A0126" w14:paraId="6E9E7A7B"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42E3D3EC" w14:textId="755E22F3" w:rsidR="008E3D4D" w:rsidRPr="002A0126" w:rsidRDefault="008E3D4D" w:rsidP="008E3D4D">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Broxterman</w:t>
            </w:r>
            <w:proofErr w:type="spellEnd"/>
            <w:r>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{"citationID":"u5G69PiI","properties":{"formattedCitation":"[75]","plainCitation":"[75]","noteIndex":0},"citationItems":[{"id":854,"uris":["http://zotero.org/users/5056530/items/KQFG5TKS"],"itemData":{"id":854,"type":"article-journal","abstract":"It has previously been postulated that the anaerobic work capacity (W') may be utilized during resting blood flow occlusion in the absence of mechanical work. We tested the hypothesis that W' would not be utilized during an initial range of time following the onset of resting blood flow occlusion, after which W' would be utilized progressively more. Seven men completed blood flow occlusion constant power severe intensity handgrip exercise to task failure following 0, 300, 600, 900, and 1,200 s of resting blood flow occlusion. The work performed above critical power (CP) was not significantly different between the 0-, 300-, and 600-s conditions and was not significantly different from the total W' available. Significantly less work was performed above CP during the 1,200-s condition than the 900-s condition (P &lt; 0.05), while both conditions were significantly less than the 0-, 300-, and 600-s conditions (P &lt; 0.05). The work performed above CP during these conditions was significantly less than the total W' available (P &lt; 0.05). The utilization of W' during resting blood flow occlusion did not begin until 751 ± 118 s, after which time W' was progressively utilized. The current findings demonstrate that W' is not utilized during the initial </w:instrText>
            </w:r>
            <w:r>
              <w:rPr>
                <w:rFonts w:ascii="Cambria Math" w:eastAsia="Times New Roman" w:hAnsi="Cambria Math" w:cs="Cambria Math"/>
                <w:lang w:eastAsia="en-GB"/>
              </w:rPr>
              <w:instrText>∼</w:instrText>
            </w:r>
            <w:r>
              <w:rPr>
                <w:rFonts w:ascii="Calibri" w:eastAsia="Times New Roman" w:hAnsi="Calibri" w:cs="Calibri"/>
                <w:lang w:eastAsia="en-GB"/>
              </w:rPr>
              <w:instrText xml:space="preserve">751 s of resting blood flow occlusion, but is progressively utilized thereafter, despite no mechanical work being performed. Thus, the utilization of W' is not exclusive to exercise, and a constant amount of work that can be performed above CP is not the determining mechanism of W'.","container-title":"American Journal of Physiology. Regulatory, Integrative and Comparative Physiology","DOI":"10.1152/ajpregu.00283.2015","ISSN":"1522-1490","issue":"6","journalAbbreviation":"Am. J. Physiol. Regul. Integr. Comp. Physiol.","language":"eng","note":"PMID: 26224689\nPMCID: PMC4591365","page":"R684-691","source":"PubMed","title":"The effect of resting blood flow occlusion on exercise tolerance and W'","volume":"309","author":[{"family":"Broxterman","given":""},{"family":"Craig","given":"Jesse C."},{"family":"Ade","given":"Carl J."},{"family":"Wilcox","given":"Samuel L."},{"family":"Barstow","given":"Thomas J."}],"issued":{"date-parts":[["2015",9,15]]}}}],"schema":"https://github.com/citation-style-language/schema/raw/master/csl-citation.json"}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[75]</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45CBE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ACBF4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Handgrip</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32D68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Blood flow occlusion</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5C69F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705AAED4" w14:textId="77777777" w:rsidR="008E3D4D" w:rsidRPr="002A0126" w:rsidRDefault="008E3D4D" w:rsidP="008E3D4D">
            <w:pPr>
              <w:spacing w:after="0" w:line="240" w:lineRule="auto"/>
              <w:jc w:val="center"/>
              <w:rPr>
                <w:rFonts w:ascii="Calibri" w:eastAsia="Times New Roman" w:hAnsi="Calibri" w:cs="Calibri"/>
                <w:color w:val="FF0000"/>
                <w:lang w:eastAsia="en-GB"/>
              </w:rPr>
            </w:pPr>
            <w:r w:rsidRPr="002A0126">
              <w:rPr>
                <w:rFonts w:ascii="Calibri" w:eastAsia="Times New Roman" w:hAnsi="Calibri" w:cs="Calibri"/>
                <w:lang w:eastAsia="en-GB"/>
              </w:rPr>
              <w:t>(-0.7 vs 4.1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1F1E36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bookmarkStart w:id="7" w:name="_Hlk107407356"/>
            <w:r w:rsidRPr="002A0126">
              <w:rPr>
                <w:rFonts w:ascii="Calibri" w:eastAsia="Times New Roman" w:hAnsi="Calibri" w:cs="Calibri"/>
                <w:lang w:eastAsia="en-GB"/>
              </w:rPr>
              <w:t>EMG</w:t>
            </w:r>
            <w:r w:rsidRPr="002A0126">
              <w:rPr>
                <w:rFonts w:ascii="Calibri" w:eastAsia="Times New Roman" w:hAnsi="Calibri" w:cs="Calibri"/>
                <w:vertAlign w:val="subscript"/>
                <w:lang w:eastAsia="en-GB"/>
              </w:rPr>
              <w:t>RMS</w:t>
            </w:r>
            <w:bookmarkEnd w:id="7"/>
            <w:r w:rsidRPr="002A0126">
              <w:rPr>
                <w:rFonts w:ascii="Calibri" w:eastAsia="Times New Roman" w:hAnsi="Calibri" w:cs="Calibri"/>
                <w:lang w:eastAsia="en-GB"/>
              </w:rPr>
              <w:t>, ↑[</w:t>
            </w:r>
            <w:proofErr w:type="spellStart"/>
            <w:r w:rsidRPr="002A0126">
              <w:rPr>
                <w:rFonts w:ascii="Calibri" w:eastAsia="Times New Roman" w:hAnsi="Calibri" w:cs="Calibri"/>
                <w:lang w:eastAsia="en-GB"/>
              </w:rPr>
              <w:t>HHb</w:t>
            </w:r>
            <w:proofErr w:type="spellEnd"/>
            <w:r w:rsidRPr="002A0126">
              <w:rPr>
                <w:rFonts w:ascii="Calibri" w:eastAsia="Times New Roman" w:hAnsi="Calibri" w:cs="Calibri"/>
                <w:lang w:eastAsia="en-GB"/>
              </w:rPr>
              <w:t>], ↓[</w:t>
            </w:r>
            <w:bookmarkStart w:id="8" w:name="_Hlk107406932"/>
            <w:r w:rsidRPr="002A0126">
              <w:rPr>
                <w:rFonts w:ascii="Calibri" w:eastAsia="Times New Roman" w:hAnsi="Calibri" w:cs="Calibri"/>
                <w:lang w:eastAsia="en-GB"/>
              </w:rPr>
              <w:t>HbO</w:t>
            </w:r>
            <w:r w:rsidRPr="004C4E01">
              <w:rPr>
                <w:rFonts w:ascii="Calibri" w:eastAsia="Times New Roman" w:hAnsi="Calibri" w:cs="Calibri"/>
                <w:vertAlign w:val="subscript"/>
                <w:lang w:eastAsia="en-GB"/>
              </w:rPr>
              <w:t>2</w:t>
            </w:r>
            <w:bookmarkEnd w:id="8"/>
            <w:r w:rsidRPr="002A0126">
              <w:rPr>
                <w:rFonts w:ascii="Calibri" w:eastAsia="Times New Roman" w:hAnsi="Calibri" w:cs="Calibri"/>
                <w:lang w:eastAsia="en-GB"/>
              </w:rPr>
              <w:t>], ↓[</w:t>
            </w:r>
            <w:proofErr w:type="spellStart"/>
            <w:r w:rsidRPr="002A0126">
              <w:rPr>
                <w:rFonts w:ascii="Calibri" w:eastAsia="Times New Roman" w:hAnsi="Calibri" w:cs="Calibri"/>
                <w:lang w:eastAsia="en-GB"/>
              </w:rPr>
              <w:t>THb</w:t>
            </w:r>
            <w:proofErr w:type="spellEnd"/>
            <w:r w:rsidRPr="002A0126">
              <w:rPr>
                <w:rFonts w:ascii="Calibri" w:eastAsia="Times New Roman" w:hAnsi="Calibri" w:cs="Calibri"/>
                <w:lang w:eastAsia="en-GB"/>
              </w:rPr>
              <w:t xml:space="preserve">] </w:t>
            </w:r>
            <w:r>
              <w:rPr>
                <w:rFonts w:ascii="Calibri" w:eastAsia="Times New Roman" w:hAnsi="Calibri" w:cs="Calibri"/>
                <w:vertAlign w:val="superscript"/>
                <w:lang w:eastAsia="en-GB"/>
              </w:rPr>
              <w:t>2</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17AD4E3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67EE3DA4"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50CDAD1B" w14:textId="2EFD6BF5"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Parker-Simpson et</w:t>
            </w:r>
            <w:r>
              <w:rPr>
                <w:rFonts w:ascii="Calibri" w:eastAsia="Times New Roman" w:hAnsi="Calibri" w:cs="Calibri"/>
                <w:lang w:eastAsia="en-GB"/>
              </w:rPr>
              <w:t xml:space="preserve">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{"citationID":"MnszeeXo","properties":{"formattedCitation":"[60]","plainCitation":"[60]","noteIndex":0},"citationItems":[{"id":674,"uris":["http://zotero.org/users/5056530/items/B3PJNQI3"],"itemData":{"id":674,"type":"article-journal","abstract":"We investigated the influence of hypoxia on the asymptote (critical power, CP) and the curvature constant (W') of the hyperbolic power-duration relationship, as measured by both conventional and all-out testing procedures. 13 females completed 5 constant-power prediction trials and a 3-min all-out test to estimate CP and W', in both normoxia (N) and moderate hypoxia (H; FiO2=0.13). CP was significantly reduced in hypoxia compared to normoxia when estimated by conventional (H:132±17 vs. N:175±25 W; P&lt;0.001) and all-out methods (H:134±23 vs. N:172±30 W; P&lt;0.01). The W' was not significantly different in hypoxia compared to normoxia when established by conventional (H:12.3±2.7 vs. N:13.2±2.2 kJ) and all-out methods (H:12.0±2.6 vs. N:12.5±1.4 kJ). Estimates of CP and W' obtained with conventional and all-out methods were not significantly different either in normoxia or hypoxia. There was a significant relationship between the % change in CP relative to V̇(O2peak) and the % change in W' in normoxia compared to hypoxia (r=0.83, P&lt;0.001; conventional test). Changes in the W' in hypoxia are related to changes in the CP relative to V̇(O2peak), suggesting that the W' may not be defined simply as an 'anaerobic' energy store.","container-title":"International Journal of Sports Medicine","DOI":"10.1055/s-0034-1389943","ISSN":"1439-3964","issue":"2","journalAbbreviation":"Int J Sports Med","language":"eng","note":"PMID: 25329429","page":"113-119","source":"PubMed","title":"Influence of hypoxia on the power-duration relationship during high-intensity exercise","volume":"36","author":[{"family":"Simpson","given":"L. Parker"},{"family":"Jones","given":"A. M."},{"family":"Skiba","given":"P. F."},{"family":"Vanhatalo","given":"A."},{"family":"Wilkerson","given":"D."}],"issued":{"date-parts":[["2015",2]]}}}],"schema":"https://github.com/citation-style-language/schema/raw/master/csl-citation.json"}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[60]</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6B85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HF (13)</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8B42D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900C8B"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w:t>
            </w:r>
          </w:p>
          <w:p w14:paraId="643E138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(FiO2 = 0.13)</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80E70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382B08F3"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(132 vs 175 W) ↓ EP</w:t>
            </w:r>
          </w:p>
          <w:p w14:paraId="6603283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(134 vs 172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22AD34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O2</w:t>
            </w:r>
            <w:r w:rsidRPr="00D201E6">
              <w:rPr>
                <w:rFonts w:ascii="Calibri" w:eastAsia="Times New Roman" w:hAnsi="Calibri" w:cs="Calibri"/>
                <w:vertAlign w:val="subscript"/>
                <w:lang w:eastAsia="en-GB"/>
              </w:rPr>
              <w:t>max</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5FF8D41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5CWR </w:t>
            </w:r>
            <w:r>
              <w:rPr>
                <w:rFonts w:ascii="Calibri" w:eastAsia="Times New Roman" w:hAnsi="Calibri" w:cs="Calibri"/>
                <w:lang w:eastAsia="en-GB"/>
              </w:rPr>
              <w:t>&amp;</w:t>
            </w:r>
            <w:r w:rsidRPr="002A0126">
              <w:rPr>
                <w:rFonts w:ascii="Calibri" w:eastAsia="Times New Roman" w:hAnsi="Calibri" w:cs="Calibri"/>
                <w:lang w:eastAsia="en-GB"/>
              </w:rPr>
              <w:t xml:space="preserve"> 3MT</w:t>
            </w:r>
          </w:p>
        </w:tc>
      </w:tr>
      <w:tr w:rsidR="008E3D4D" w:rsidRPr="002A0126" w14:paraId="5E6971CE"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9BFA601" w14:textId="00B14FC6"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Deb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{"citationID":"Huury5oG","properties":{"formattedCitation":"[170]","plainCitation":"[170]","noteIndex":0},"citationItems":[{"id":3392,"uris":["http://zotero.org/users/5056530/items/5JIIEBJM"],"itemData":{"id":3392,"type":"article-journal","abstract":"This study investigated the effect of induced alkalosis on the curvature constant (W’) of the power-duration relationship under normoxic and hypoxic conditions.","container-title":"European Journal of Applied Physiology","DOI":"10.1007/s00421-017-3574-4","ISSN":"1439-6327","issue":"5","journalAbbreviation":"Eur J Appl Physiol","language":"en","page":"901-912","source":"Springer Link","title":"Determinants of curvature constant (W’) of the power duration relationship under normoxia and hypoxia: the effect of pre-exercise alkalosis","title-short":"Determinants of curvature constant (W’) of the power duration relationship under normoxia and hypoxia","volume":"117","author":[{"family":"Deb","given":"Sanjoy K."},{"family":"Gough","given":"Lewis A."},{"family":"Sparks","given":"S. Andy"},{"family":"McNaughton","given":"Lars R."}],"issued":{"date-parts":[["2017",5,1]]}},"label":"page"}],"schema":"https://github.com/citation-style-language/schema/raw/master/csl-citation.json"}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[170]</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503DA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(11)</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59AF2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A0EDDD"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w:t>
            </w:r>
          </w:p>
          <w:p w14:paraId="48D225C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0.145) +/- sodium bicarbonate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01269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CP </w:t>
            </w:r>
          </w:p>
          <w:p w14:paraId="6432C8D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(26</w:t>
            </w:r>
            <w:r>
              <w:rPr>
                <w:rFonts w:ascii="Calibri" w:eastAsia="Times New Roman" w:hAnsi="Calibri" w:cs="Calibri"/>
                <w:lang w:eastAsia="en-GB"/>
              </w:rPr>
              <w:t xml:space="preserve">5 </w:t>
            </w:r>
            <w:r w:rsidRPr="002A0126">
              <w:rPr>
                <w:rFonts w:ascii="Calibri" w:eastAsia="Times New Roman" w:hAnsi="Calibri" w:cs="Calibri"/>
                <w:lang w:eastAsia="en-GB"/>
              </w:rPr>
              <w:t xml:space="preserve">vs </w:t>
            </w:r>
            <w:r>
              <w:rPr>
                <w:rFonts w:ascii="Calibri" w:eastAsia="Times New Roman" w:hAnsi="Calibri" w:cs="Calibri"/>
                <w:lang w:eastAsia="en-GB"/>
              </w:rPr>
              <w:t>263 vs</w:t>
            </w:r>
            <w:r w:rsidRPr="002A0126">
              <w:rPr>
                <w:rFonts w:ascii="Calibri" w:eastAsia="Times New Roman" w:hAnsi="Calibri" w:cs="Calibri"/>
                <w:lang w:eastAsia="en-GB"/>
              </w:rPr>
              <w:t xml:space="preserve"> 301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B4F093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↓SaO</w:t>
            </w:r>
            <w:r w:rsidRPr="002A0126">
              <w:rPr>
                <w:rFonts w:ascii="Calibri" w:eastAsia="Times New Roman" w:hAnsi="Calibri" w:cs="Calibri"/>
                <w:vertAlign w:val="subscript"/>
                <w:lang w:eastAsia="en-GB"/>
              </w:rPr>
              <w:t>2</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2205BA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17031545"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0E3FDF27" w14:textId="35916539"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{"citationID":"YEQUSiEG","properties":{"formattedCitation":"[114]","plainCitation":"[114]","noteIndex":0},"citationItems":[{"id":609,"uris":["http://zotero.org/users/5056530/items/2P7JNTBF"],"itemData":{"id":609,"type":"article-journal","abstract":"NEW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Pr>
                <w:rFonts w:ascii="Cambria Math" w:eastAsia="Times New Roman" w:hAnsi="Cambria Math" w:cs="Cambria Math"/>
                <w:lang w:eastAsia="en-GB"/>
              </w:rPr>
              <w:instrText>∼</w:instrText>
            </w:r>
            <w:r>
              <w:rPr>
                <w:rFonts w:ascii="Calibri" w:eastAsia="Times New Roman" w:hAnsi="Calibri" w:cs="Calibri"/>
                <w:lang w:eastAsia="en-GB"/>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[114]</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60A38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(10)</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6F1D8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Supine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CCC4E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Heavy priming exercise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AB556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53F7DE5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(185 vs 177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71A1AC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bookmarkStart w:id="9" w:name="_Hlk107407391"/>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bookmarkEnd w:id="9"/>
            <w:r w:rsidRPr="002A0126">
              <w:rPr>
                <w:rFonts w:ascii="Calibri" w:eastAsia="Times New Roman" w:hAnsi="Calibri" w:cs="Calibri"/>
                <w:lang w:eastAsia="en-GB"/>
              </w:rPr>
              <w:t>, ↔V</w:t>
            </w:r>
            <w:r>
              <w:rPr>
                <w:rFonts w:ascii="Calibri" w:eastAsia="Times New Roman" w:hAnsi="Calibri" w:cs="Calibri"/>
                <w:lang w:eastAsia="en-GB"/>
              </w:rPr>
              <w:t>̇</w:t>
            </w:r>
            <w:r w:rsidRPr="002A0126">
              <w:rPr>
                <w:rFonts w:ascii="Calibri" w:eastAsia="Times New Roman" w:hAnsi="Calibri" w:cs="Calibri"/>
                <w:lang w:eastAsia="en-GB"/>
              </w:rPr>
              <w:t>O</w:t>
            </w:r>
            <w:r w:rsidRPr="001A33A9">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r w:rsidRPr="002A0126">
              <w:rPr>
                <w:rFonts w:ascii="Calibri" w:eastAsia="Times New Roman" w:hAnsi="Calibri" w:cs="Calibri"/>
                <w:lang w:eastAsia="en-GB"/>
              </w:rPr>
              <w:t>, ↑[HbO</w:t>
            </w:r>
            <w:r w:rsidRPr="004C4E01">
              <w:rPr>
                <w:rFonts w:ascii="Calibri" w:eastAsia="Times New Roman" w:hAnsi="Calibri" w:cs="Calibri"/>
                <w:vertAlign w:val="subscript"/>
                <w:lang w:eastAsia="en-GB"/>
              </w:rPr>
              <w:t>2</w:t>
            </w:r>
            <w:r w:rsidRPr="002A0126">
              <w:rPr>
                <w:rFonts w:ascii="Calibri" w:eastAsia="Times New Roman" w:hAnsi="Calibri" w:cs="Calibri"/>
                <w:lang w:eastAsia="en-GB"/>
              </w:rPr>
              <w:t>], ↑</w:t>
            </w:r>
            <w:bookmarkStart w:id="10" w:name="_Hlk107407454"/>
            <w:r w:rsidRPr="002A0126">
              <w:rPr>
                <w:rFonts w:ascii="Symbol" w:eastAsia="Times New Roman" w:hAnsi="Symbol" w:cs="Calibri"/>
                <w:lang w:eastAsia="en-GB"/>
              </w:rPr>
              <w:t></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bookmarkEnd w:id="10"/>
            <w:r w:rsidRPr="002A0126">
              <w:rPr>
                <w:rFonts w:ascii="Calibri" w:eastAsia="Times New Roman" w:hAnsi="Calibri" w:cs="Calibri"/>
                <w:lang w:eastAsia="en-GB"/>
              </w:rPr>
              <w:t xml:space="preserve"> </w:t>
            </w:r>
            <w:r w:rsidRPr="002A0126">
              <w:rPr>
                <w:rFonts w:ascii="Calibri" w:eastAsia="Times New Roman" w:hAnsi="Calibri" w:cs="Calibri"/>
                <w:vertAlign w:val="superscript"/>
                <w:lang w:eastAsia="en-GB"/>
              </w:rPr>
              <w:t>1</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6F83313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7B030BCC"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6C53C444" w14:textId="1B34E311"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Townsend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{"citationID":"2TV6btmG","properties":{"formattedCitation":"[63]","plainCitation":"[63]","noteIndex":0},"citationItems":[{"id":3369,"uris":["http://zotero.org/users/5056530/items/ZHIVULZ7"],"itemData":{"id":3369,"type":"article-journal","abstract":"Purpose: Develop a prediction equation for critical power (CP) and work above CP (W') in hypoxia for use in the work-balance ([Formula: see text]) model. Methods: Nine trained male cyclists completed cycling time trials (TT; 12, 7, and 3 min) to determine CP and W' at five altitudes (250, 1,250, 2,250, 3,250, and 4,250 m). Least squares regression was used to predict CP and W' at altitude. A high-intensity intermittent test (HIIT) was performed at 250 and 2,250 m. Actual and predicted CP and W' were used to compute W' during HIIT using differential ([Formula: see text]) and integral ([Formula: see text]) forms of the [Formula: see text] model. Results: CP decreased at altitude (P &lt; 0.001) as described by 3rd order polynomial function (R2 = 0.99). W' decreased at 4,250 m only (P &lt; 0.001). A double-linear function characterized the effect of altitude on W' (R2 = 0.99). There was no significant effect of parameter input (actual vs. predicted CP and W') on modelled [Formula: see text] at 2,250 m (P = 0.24). [Formula: see text] returned higher values than [Formula: see text] throughout HIIT (P &lt; 0.001). During HIIT, [Formula: see text] was not different to 0 kJ at completion, at 250 m (0.7 ± 2.0 kJ; P = 0.33) and 2,250 m (-1.3 ± 3.5 kJ; P = 0.30). However, [Formula: see text] was lower than 0 kJ at 250 m (-0.9 ± 1.3 kJ; P = 0.058) and 2,250 m (-2.8 ± 2.8 kJ; P = 0.02). Conclusion: The altitude prediction equations for CP and W' developed in this study are suitable for use with the [Formula: see text] model in acute hypoxia. This enables the application of [Formula: see text] modelling to training prescription and competition analysis at altitude.","container-title":"Frontiers in Physiology","DOI":"10.3389/fphys.2017.00180","ISSN":"1664-042X","journalAbbreviation":"Front Physiol","language":"eng","note":"PMID: 28386237\nPMCID: PMC5362642","page":"180","source":"PubMed","title":"Prediction of Critical Power and W' in Hypoxia: Application to Work-Balance Modelling","title-short":"Prediction of Critical Power and W' in Hypoxia","volume":"8","author":[{"family":"Townsend","given":"Nathan E."},{"family":"Nichols","given":"David S."},{"family":"Skiba","given":"Philip F."},{"family":"Racinais","given":"Sebastien"},{"family":"Périard","given":"Julien D."}],"issued":{"date-parts":[["2017"]]}}}],"schema":"https://github.com/citation-style-language/schema/raw/master/csl-citation.json"}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[63]</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9D5A7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(9)</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A55BE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C4903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w:t>
            </w:r>
          </w:p>
          <w:p w14:paraId="04DDE7F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0.18, 0.159, 0.14, 0.123)</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1817E3"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47594BA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(257, 235, 218, 196 vs 270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7B87753"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0AC6785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3TT</w:t>
            </w:r>
          </w:p>
        </w:tc>
      </w:tr>
      <w:tr w:rsidR="008E3D4D" w:rsidRPr="002A0126" w14:paraId="7103B4CA"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EE896C8" w14:textId="1A72BFE3"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lastRenderedPageBreak/>
              <w:t xml:space="preserve">Clark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{"citationID":"p9IBqUBJ","properties":{"formattedCitation":"[171]","plainCitation":"[171]","noteIndex":0},"citationItems":[{"id":3402,"uris":["http://zotero.org/users/5056530/items/WDKJAPDQ"],"itemData":{"id":3402,"type":"article-journal","abstract":"INTRODUCTION:Changes in the parameters of the power-time relationship (critical power (CP) and W') during endurance exercise would have important implications for performance. We tested the hypotheses that CP and W', estimated using the end-test power (EP) and the work done above EP (WEP), respectively, during a the 3-min all-out test (3MT), can be reliably determined, and would be lower, after completing 2 h of heavy-intensity exercise. METHODS:In study 1, six cyclists completed a 3MT immediately after 2 h of heavy-intensity exercise on two occasions to establish the reliability of EP and WEP. In study 2, nine cyclists completed a control 3MT, and a fatigued 3MT and constant power output tests to 30 min or the limit of tolerance (Tlim) below and above F-EP after 2 h of heavy-intensity exercise. RESULTS:In study 1, EP (273 ± 52 vs 276 ± 58 W) and WEP (12.4 ± 4.3 vs 12.8 ± 4.3 kJ) after 2 h of heavy-intensity exercise were not different (P &gt; 0.05) and were highly correlated (r = 0.99; P F-EP and Tlim was shorter than 30 min during exercise &lt;F-EP (18.2 ± 10.7 min). CONCLUSIONS:The EP and WEP may be reliably determined after 2-h heavy-intensity exercise. The 8% and 20% reductions in EP and WEP, respectively, have important implications for performance during endurance exercise. The physiological characterization of EP (and, by extension, CP) may differ in a fatigued compared with a rested state.","container-title":"Medicine and science in sports and exercise","DOI":"10.1249/mss.0000000000001601","ISSN":"1530-0315","issue":"8","journalAbbreviation":"Med Sci Sports Exerc","language":"eng","note":"PMID: 29521722","page":"1658-1668","source":"Europe PMC","title":"Effects of Two Hours of Heavy-Intensity Exercise on the Power-Duration Relationship","volume":"50","author":[{"family":"Clark","given":"Ida E"},{"family":"Vanhatalo","given":"Anni"},{"family":"Bailey","given":"Stephen J"},{"family":"Wylie","given":"Lee J"},{"family":"Kirby","given":"Brett S"},{"family":"Wilkins","given":"Brad W"},{"family":"Jones","given":"Andrew M"}],"issued":{"date-parts":[["2018",8,1]]}}}],"schema":"https://github.com/citation-style-language/schema/raw/master/csl-citation.json"}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[171]</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ED524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7AE6B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F1711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 hours heavy exercise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8D4AB0"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7B77240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(282 vs 306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4ADA4BE" w14:textId="77777777" w:rsidR="008E3D4D" w:rsidRPr="002A0126" w:rsidRDefault="008E3D4D" w:rsidP="008E3D4D">
            <w:pPr>
              <w:spacing w:after="0" w:line="240" w:lineRule="auto"/>
              <w:jc w:val="center"/>
              <w:rPr>
                <w:rFonts w:ascii="Calibri" w:eastAsia="Times New Roman" w:hAnsi="Calibri" w:cs="Calibri"/>
                <w:lang w:eastAsia="en-GB"/>
              </w:rPr>
            </w:pP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495C71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247F04E1"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63B97C1" w14:textId="3C961156"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Goulding et al</w:t>
            </w:r>
            <w:r>
              <w:rPr>
                <w:rFonts w:ascii="Calibri" w:eastAsia="Times New Roman" w:hAnsi="Calibri" w:cs="Calibri"/>
                <w:lang w:eastAsia="en-GB"/>
              </w:rPr>
              <w:t xml:space="preserve">.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{"citationID":"Mt8sWFD9","properties":{"formattedCitation":"[117]","plainCitation":"[117]","noteIndex":0},"citationItems":[{"id":412,"uris":["http://zotero.org/users/5056530/items/T7RPAF4P"],"itemData":{"id":412,"type":"article-journal","abstract":"We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severe-intensity constant-power exercise tests completed in two conditions: (1) with exercise initiated from an unloaded cycling baseline (U→S), and (2) with exercise initiated from a moderate-intensity baseline work rate of 90% of the gas exchange threshold (M→S). In M→S, critical power was lower (U→S = 146 ± 39 W vs. M→S = 132 ± 33 W, P = 0.023) and \n                        \n                            τ\n                            \n                                \n                                    v\n                                    ˙\n                                \n                                \n                                    o\n                                    2\n                                \n                            \n                        \n                     was greater (U→S = 45 ± 16 sec, vs. M→S = 69 ± 129 sec, P = 0.001) when compared to U→S. There was no difference in tissue oxyhemoglobin concentration ([HbO2  + MbO2 ]) at baseline or during exercise. The concomitant increase in \n                        \n                            τ\n                            \n                                \n                                    v\n                                    ˙\n                                \n                                \n                                    o\n                                    2\n                                \n                            \n                        \n                     and reduction in CP during M→S compared to U→S shows for the first time that \n                        \n                            τ\n                            \n                                \n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[117]</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39900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(8)</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56DF8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Supine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CA952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Exercise transition from elevated baseline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9328A"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74A4C08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(132 vs 146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F7A160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2A0126">
              <w:rPr>
                <w:rFonts w:ascii="Calibri" w:eastAsia="Times New Roman" w:hAnsi="Calibri" w:cs="Calibri"/>
                <w:lang w:eastAsia="en-GB"/>
              </w:rPr>
              <w:t>, ↔V</w:t>
            </w:r>
            <w:r>
              <w:rPr>
                <w:rFonts w:ascii="Calibri" w:eastAsia="Times New Roman" w:hAnsi="Calibri" w:cs="Calibri"/>
                <w:lang w:eastAsia="en-GB"/>
              </w:rPr>
              <w:t>̇</w:t>
            </w:r>
            <w:r w:rsidRPr="002A0126">
              <w:rPr>
                <w:rFonts w:ascii="Calibri" w:eastAsia="Times New Roman" w:hAnsi="Calibri" w:cs="Calibri"/>
                <w:lang w:eastAsia="en-GB"/>
              </w:rPr>
              <w:t>O2</w:t>
            </w:r>
            <w:r w:rsidRPr="00D201E6">
              <w:rPr>
                <w:rFonts w:ascii="Calibri" w:eastAsia="Times New Roman" w:hAnsi="Calibri" w:cs="Calibri"/>
                <w:vertAlign w:val="subscript"/>
                <w:lang w:eastAsia="en-GB"/>
              </w:rPr>
              <w:t>max</w:t>
            </w:r>
            <w:r w:rsidRPr="002A0126">
              <w:rPr>
                <w:rFonts w:ascii="Calibri" w:eastAsia="Times New Roman" w:hAnsi="Calibri" w:cs="Calibri"/>
                <w:lang w:eastAsia="en-GB"/>
              </w:rPr>
              <w:t>, ↔ [HbO</w:t>
            </w:r>
            <w:r w:rsidRPr="004C4E01">
              <w:rPr>
                <w:rFonts w:ascii="Calibri" w:eastAsia="Times New Roman" w:hAnsi="Calibri" w:cs="Calibri"/>
                <w:vertAlign w:val="subscript"/>
                <w:lang w:eastAsia="en-GB"/>
              </w:rPr>
              <w:t>2</w:t>
            </w:r>
            <w:r w:rsidRPr="002A0126">
              <w:rPr>
                <w:rFonts w:ascii="Calibri" w:eastAsia="Times New Roman" w:hAnsi="Calibri" w:cs="Calibri"/>
                <w:lang w:eastAsia="en-GB"/>
              </w:rPr>
              <w:t>], ↑</w:t>
            </w:r>
            <w:r w:rsidRPr="002A0126">
              <w:rPr>
                <w:rFonts w:ascii="Symbol" w:eastAsia="Times New Roman" w:hAnsi="Symbol" w:cs="Calibri"/>
                <w:lang w:eastAsia="en-GB"/>
              </w:rPr>
              <w:t></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r w:rsidRPr="002A0126">
              <w:rPr>
                <w:rFonts w:ascii="Calibri" w:eastAsia="Times New Roman" w:hAnsi="Calibri" w:cs="Calibri"/>
                <w:lang w:eastAsia="en-GB"/>
              </w:rPr>
              <w:t>, ↓Δ[</w:t>
            </w:r>
            <w:proofErr w:type="spellStart"/>
            <w:r w:rsidRPr="002A0126">
              <w:rPr>
                <w:rFonts w:ascii="Calibri" w:eastAsia="Times New Roman" w:hAnsi="Calibri" w:cs="Calibri"/>
                <w:lang w:eastAsia="en-GB"/>
              </w:rPr>
              <w:t>HHb</w:t>
            </w:r>
            <w:proofErr w:type="spellEnd"/>
            <w:r w:rsidRPr="002A0126">
              <w:rPr>
                <w:rFonts w:ascii="Calibri" w:eastAsia="Times New Roman" w:hAnsi="Calibri" w:cs="Calibri"/>
                <w:lang w:eastAsia="en-GB"/>
              </w:rPr>
              <w:t>]/ΔV</w:t>
            </w:r>
            <w:r>
              <w:rPr>
                <w:rFonts w:ascii="Calibri" w:eastAsia="Times New Roman" w:hAnsi="Calibri" w:cs="Calibri"/>
                <w:lang w:eastAsia="en-GB"/>
              </w:rPr>
              <w:t>̇</w:t>
            </w:r>
            <w:r w:rsidRPr="002A0126">
              <w:rPr>
                <w:rFonts w:ascii="Calibri" w:eastAsia="Times New Roman" w:hAnsi="Calibri" w:cs="Calibri"/>
                <w:lang w:eastAsia="en-GB"/>
              </w:rPr>
              <w:t>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w:t>
            </w:r>
            <w:r>
              <w:rPr>
                <w:rFonts w:ascii="Calibri" w:eastAsia="Times New Roman" w:hAnsi="Calibri" w:cs="Calibri"/>
                <w:vertAlign w:val="superscript"/>
                <w:lang w:eastAsia="en-GB"/>
              </w:rPr>
              <w:t>3</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9AC5D2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514D3F68"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7EADF71" w14:textId="5AA9E528"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{"citationID":"5gE3SSVO","properties":{"formattedCitation":"[130]","plainCitation":"[130]","noteIndex":0},"citationItems":[{"id":768,"uris":["http://zotero.org/users/5056530/items/BGE7LJ5D"],"itemData":{"id":768,"type":"article-journal","abstract":"Critical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[130]</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8AB24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(7)</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E5A7B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60804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Exercise transition from elevated baseline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2631B6"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254DC7A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(203 vs 213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3F0C51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2A0126">
              <w:rPr>
                <w:rFonts w:ascii="Calibri" w:eastAsia="Times New Roman" w:hAnsi="Calibri" w:cs="Calibri"/>
                <w:lang w:eastAsia="en-GB"/>
              </w:rPr>
              <w:t>, ↑ [HbO</w:t>
            </w:r>
            <w:r w:rsidRPr="004C4E01">
              <w:rPr>
                <w:rFonts w:ascii="Calibri" w:eastAsia="Times New Roman" w:hAnsi="Calibri" w:cs="Calibri"/>
                <w:vertAlign w:val="subscript"/>
                <w:lang w:eastAsia="en-GB"/>
              </w:rPr>
              <w:t>2</w:t>
            </w:r>
            <w:r w:rsidRPr="002A0126">
              <w:rPr>
                <w:rFonts w:ascii="Calibri" w:eastAsia="Times New Roman" w:hAnsi="Calibri" w:cs="Calibri"/>
                <w:lang w:eastAsia="en-GB"/>
              </w:rPr>
              <w:t>], ↑</w:t>
            </w:r>
            <w:r w:rsidRPr="002A0126">
              <w:rPr>
                <w:rFonts w:ascii="Symbol" w:eastAsia="Times New Roman" w:hAnsi="Symbol" w:cs="Calibri"/>
                <w:lang w:eastAsia="en-GB"/>
              </w:rPr>
              <w:t></w:t>
            </w:r>
            <w:r w:rsidRPr="002A0126">
              <w:rPr>
                <w:rFonts w:ascii="Symbol" w:eastAsia="Times New Roman" w:hAnsi="Symbol" w:cs="Calibri"/>
                <w:lang w:eastAsia="en-GB"/>
              </w:rPr>
              <w:t></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r w:rsidRPr="002A0126">
              <w:rPr>
                <w:rFonts w:ascii="Calibri" w:eastAsia="Times New Roman" w:hAnsi="Calibri" w:cs="Calibri"/>
                <w:lang w:eastAsia="en-GB"/>
              </w:rPr>
              <w:t>, ↓Δ[</w:t>
            </w:r>
            <w:proofErr w:type="spellStart"/>
            <w:r w:rsidRPr="002A0126">
              <w:rPr>
                <w:rFonts w:ascii="Calibri" w:eastAsia="Times New Roman" w:hAnsi="Calibri" w:cs="Calibri"/>
                <w:lang w:eastAsia="en-GB"/>
              </w:rPr>
              <w:t>HHb</w:t>
            </w:r>
            <w:proofErr w:type="spellEnd"/>
            <w:r w:rsidRPr="002A0126">
              <w:rPr>
                <w:rFonts w:ascii="Calibri" w:eastAsia="Times New Roman" w:hAnsi="Calibri" w:cs="Calibri"/>
                <w:lang w:eastAsia="en-GB"/>
              </w:rPr>
              <w:t>]/ΔV</w:t>
            </w:r>
            <w:r>
              <w:rPr>
                <w:rFonts w:ascii="Calibri" w:eastAsia="Times New Roman" w:hAnsi="Calibri" w:cs="Calibri"/>
                <w:lang w:eastAsia="en-GB"/>
              </w:rPr>
              <w:t>̇</w:t>
            </w:r>
            <w:r w:rsidRPr="002A0126">
              <w:rPr>
                <w:rFonts w:ascii="Calibri" w:eastAsia="Times New Roman" w:hAnsi="Calibri" w:cs="Calibri"/>
                <w:lang w:eastAsia="en-GB"/>
              </w:rPr>
              <w:t>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w:t>
            </w:r>
            <w:r w:rsidRPr="002A0126">
              <w:rPr>
                <w:rFonts w:ascii="Calibri" w:eastAsia="Times New Roman" w:hAnsi="Calibri" w:cs="Calibri"/>
                <w:vertAlign w:val="superscript"/>
                <w:lang w:eastAsia="en-GB"/>
              </w:rPr>
              <w:t>1</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6C57CB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39AC40F0"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1B865FF6" w14:textId="7902FC50"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La Monica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{"citationID":"AHDvdaT5","properties":{"formattedCitation":"[62]","plainCitation":"[62]","noteIndex":0},"citationItems":[{"id":676,"uris":["http://zotero.org/users/5056530/items/EIV8KZ4Z"],"itemData":{"id":676,"type":"article-journal","abstract":"PURPOSE: To evaluate the effects of moderate normobaric hypoxia on the parameters of the work-time relationship in the upper body.\nMETHODS: Twenty-one recreationally active men completed a graded exercise test in both normobaric hypoxia (H) and normoxia (N) to exhaustion on an arm ergometer to determine V̇O2peak and peak power output (PPO). Each participant completed four constant work-rate (CWR) arm-cranking tests at 90-120% PPO in both environmental conditions. Linear regression was used to estimate critical power (CP) and anaerobic working capacity (AWC) via work-time relationship during the CWR tests.\nRESULTS: H significantly reduced V̇O2peak (N: 2.34 ± 0.34 L vs. H: 2.27 ± 0.34 L, p = 0.041), PPO (N: 125.29 ± 17.98 W vs. H: 121.11 ± 17.98 W, p = 0.001), and CP (N: 90.22 ± 12.88 W vs. H: 85.26 ± 9.64 W, p = 0.042), but had no effect on AWC (N: 9.16 ± 2.81 kJ vs. H: 8.75 ± 3.23 kJ, p = 0.600).\nDISCUSSION: Moderate normobaric hypoxia appears to reduce CP in the upper body but has a variable effect on AWC.","container-title":"Respiratory Physiology &amp; Neurobiology","DOI":"10.1016/j.resp.2017.12.002","ISSN":"1878-1519","journalAbbreviation":"Respir Physiol Neurobiol","language":"eng","note":"PMID: 29247712","page":"1-6","source":"PubMed","title":"Effects of normobaric hypoxia on upper body critical power and anaerobic working capacity","volume":"249","author":[{"family":"La Monica","given":"Michael B."},{"family":"Fukuda","given":"David H."},{"family":"Starling-Smith","given":"Tristan M."},{"family":"Wang","given":"Ran"},{"family":"Hoffman","given":"Jay R."},{"family":"Stout","given":"Jeffrey R."}],"issued":{"date-parts":[["2017",12,13]]}}}],"schema":"https://github.com/citation-style-language/schema/raw/master/csl-citation.json"}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[62]</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1C186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(21)</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E16F4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arm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75D4CD"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Hypoxia</w:t>
            </w:r>
          </w:p>
          <w:p w14:paraId="4B717B3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0.14)</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8FBB8D"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341AE54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(85 vs 90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6DA41C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E19AA6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17BB4573"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2043FE26" w14:textId="3C4A8F1C"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Mitchell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{"citationID":"CN2uFgjX","properties":{"formattedCitation":"[86]","plainCitation":"[86]","noteIndex":0},"citationItems":[{"id":764,"uris":["http://zotero.org/users/5056530/items/QR2C7P5W"],"itemData":{"id":764,"type":"article-journal","abstract":"The asymptote (critical power; CP) and curvature constant (W′) of the hyperbolic power-duration relationship can predict performance within the severe-intensity exercise domain. However, the extent which these parameters relate to skeletal muscle morphology is less clear, particularly in endurance trained individuals who, relative to their lesser trained counterparts, possess skeletal muscles that can support high levels of oxygen transport and oxidative capacity i.e. elevated type I fiber proportion and cross-sectional area (CSA) and capillarity. Fourteen endurance trained males performed a maximal incremental test to determine peak oxygen uptake (V̇O2peak; 63.2 ± 4.1 ml.min-1.kg-1), maximal aerobic power (406 ± 63 W), and 3-5 constant load tests to task failure for the determination of CP (303 ± 52 W) and W' (17.0 ± 3.0 kJ). Skeletal muscle biopsies were obtained from the vastus lateralis and analyzed for % fiber type proportion, CSA and indices of capillarity. CP was positively correlated with the % proportion (r = 0.79; P = 0.001) and CSA (r = 0.73; P = 0.003) of type I fibers, capillary to fiber ratio (r = 0.88; P &lt; 0.001) and capillary contacts around type I fibers (r = 0.94; P &lt; 0.001) and type II fibers (r = 0.68; P = 0.008). W' was not correlated with any morphological variables. These data reveal a strong positive association between CP and skeletal muscle capillarity. Our findings support the assertion that CP is an important parameter of aerobic function and offer novel insights into the physiological bases of CP.","container-title":"Journal of Applied Physiology","DOI":"10.1152/japplphysiol.01126.2017","ISSN":"8750-7587","journalAbbreviation":"Journal of Applied Physiology","source":"physiology.org (Atypon)","title":"Critical power is positively related to skeletal muscle capillarity and type I muscle fibers in endurance trained individuals","URL":"https://www.physiology.org/doi/abs/10.1152/japplphysiol.01126.2017","author":[{"family":"Mitchell","given":"Emma A."},{"family":"Martin","given":"Neil Richard William"},{"family":"Bailey","given":"Stephen J."},{"family":"Ferguson","given":"Richard A."}],"accessed":{"date-parts":[["2018",8,8]]},"issued":{"date-parts":[["2018",6,7]]}}}],"schema":"https://github.com/citation-style-language/schema/raw/master/csl-citation.json"}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[86]</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79ABC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(21)</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C0D9E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7515B7"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SIT, SIT + blood flow restriction</w:t>
            </w:r>
          </w:p>
          <w:p w14:paraId="20CEE54C" w14:textId="77777777" w:rsidR="008E3D4D" w:rsidRPr="002A0126" w:rsidRDefault="008E3D4D" w:rsidP="008E3D4D">
            <w:pPr>
              <w:spacing w:after="0" w:line="240" w:lineRule="auto"/>
              <w:jc w:val="center"/>
              <w:rPr>
                <w:rFonts w:ascii="Calibri" w:eastAsia="Times New Roman" w:hAnsi="Calibri" w:cs="Calibri"/>
                <w:lang w:eastAsia="en-GB"/>
              </w:rPr>
            </w:pPr>
            <w:r>
              <w:rPr>
                <w:rFonts w:ascii="Calibri" w:eastAsia="Times New Roman" w:hAnsi="Calibri" w:cs="Calibri"/>
                <w:lang w:eastAsia="en-GB"/>
              </w:rPr>
              <w:t>(4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3F69F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67D08B3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(302, 302 vs 292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6795AB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r w:rsidRPr="002A0126">
              <w:rPr>
                <w:rFonts w:ascii="Calibri" w:eastAsia="Times New Roman" w:hAnsi="Calibri" w:cs="Calibri"/>
                <w:lang w:eastAsia="en-GB"/>
              </w:rPr>
              <w:t>, ↔capillarity, ↔mitochondrial protein content</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89A6FA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3-5CWR</w:t>
            </w:r>
          </w:p>
        </w:tc>
      </w:tr>
      <w:tr w:rsidR="008E3D4D" w:rsidRPr="002A0126" w14:paraId="41A1FCD3"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0663FB16" w14:textId="30DFCDFF"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Clark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{"citationID":"P4dDwRCu","properties":{"formattedCitation":"[172]","plainCitation":"[172]","noteIndex":0},"citationItems":[{"id":3403,"uris":["http://zotero.org/users/5056530/items/TQKUJ6W4"],"itemData":{"id":3403,"type":"article-journal","abstract":"We tested the hypotheses that the parameters of the power-duration relationship, estimated as the end-test power (EP) and work done above EP (WEP) during a 3-min all-out exercise test (3MT), would be reduced progressively after 40 min, 80 min, and 2 h of heavy-intensity cycling and that carbohydrate (CHO) ingestion would attenuate the reduction in EP and WEP. Sixteen participants completed a 3MT without prior exercise (control), immediately after 40 min, 80 min, and 2 h of heavy-intensity exercise while consuming a placebo beverage, and also after 2 h of heavy-intensity exercise while consuming a CHO supplement (60 g/h CHO). There was no difference in EP measured without prior exercise (260 ± 37 W) compared with EP after 40 min (268 ± 39 W) or 80 min (260 ± 40 W) of heavy-intensity exercise; however, after 2 h EP was 9% lower compared with control (236 ± 47 W; P &lt; 0.05). There was no difference in WEP measured without prior exercise (17.9 ± 3.3 kJ) compared with after 40 min of heavy-intensity exercise (16.1 ± 3.3 kJ), but WEP was lower (P &lt; 0.05) than control after 80 min (14.7 ± 2.9 kJ) and 2 h (13.8 ± 2.7 kJ). Compared with placebo, CHO ingestion negated the reduction of EP following 2 h of heavy-intensity exercise (254 ± 49 W) but had no effect on WEP (13.5 ± 3.4 kJ). These results reveal a different time course for the deterioration of EP and WEP during prolonged endurance exercise and indicate that EP is sensitive to CHO availability.\n\nNEW &amp; NOTEWORTHY The parameters of the power-duration relationship [critical power (CP) and the curvature constant (W′)] have typically been considered to be static. Here we report the time course for reductions in CP and W′, as estimated with the 3-min all-out cycle test, during 2 h of heavy-intensity exercise. We also show that carbohydrate ingestion during exercise preserves CP, but not W′, without altering muscle glycogen depletion. These results provide new mechanistic and practical insight into the power-duration curve and its relationship to exercise-related fatigue development.","container-title":"Journal of Applied Physiology","DOI":"10.1152/japplphysiol.00207.2019","ISSN":"8750-7587","issue":"3","note":"publisher: American Physiological Society","page":"726-736","source":"journals.physiology.org (Atypon)","title":"Dynamics of the power-duration relationship during prolonged endurance exercise and influence of carbohydrate ingestion","volume":"127","author":[{"family":"Clark","given":"Ida E."},{"family":"Vanhatalo","given":"Anni"},{"family":"Thompson","given":"Christopher"},{"family":"Joseph","given":"Charlotte"},{"family":"Black","given":"Matthew I."},{"family":"Blackwell","given":"Jamie R."},{"family":"Wylie","given":"Lee J."},{"family":"Tan","given":"Rachel"},{"family":"Bailey","given":"Stephen J."},{"family":"Wilkins","given":"Brad W."},{"family":"Kirby","given":"Brett S."},{"family":"Jones","given":"Andrew M."}],"issued":{"date-parts":[["2019",9]]}},"label":"page"}],"schema":"https://github.com/citation-style-language/schema/raw/master/csl-citation.json"}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[172]</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A4383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(14)</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0D327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5566E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 hours heavy exercise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589E6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61C0C49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r>
              <w:rPr>
                <w:rFonts w:ascii="Calibri" w:eastAsia="Times New Roman" w:hAnsi="Calibri" w:cs="Calibri"/>
                <w:lang w:eastAsia="en-GB"/>
              </w:rPr>
              <w:t xml:space="preserve">CWR: </w:t>
            </w:r>
            <w:r w:rsidRPr="002A0126">
              <w:rPr>
                <w:rFonts w:ascii="Calibri" w:eastAsia="Times New Roman" w:hAnsi="Calibri" w:cs="Calibri"/>
                <w:lang w:eastAsia="en-GB"/>
              </w:rPr>
              <w:t xml:space="preserve">256, </w:t>
            </w:r>
            <w:r>
              <w:rPr>
                <w:rFonts w:ascii="Calibri" w:eastAsia="Times New Roman" w:hAnsi="Calibri" w:cs="Calibri"/>
                <w:lang w:eastAsia="en-GB"/>
              </w:rPr>
              <w:t xml:space="preserve">EP: </w:t>
            </w:r>
            <w:r w:rsidRPr="002A0126">
              <w:rPr>
                <w:rFonts w:ascii="Calibri" w:eastAsia="Times New Roman" w:hAnsi="Calibri" w:cs="Calibri"/>
                <w:lang w:eastAsia="en-GB"/>
              </w:rPr>
              <w:t>256 vs</w:t>
            </w:r>
            <w:r>
              <w:rPr>
                <w:rFonts w:ascii="Calibri" w:eastAsia="Times New Roman" w:hAnsi="Calibri" w:cs="Calibri"/>
                <w:lang w:eastAsia="en-GB"/>
              </w:rPr>
              <w:t xml:space="preserve"> EP:</w:t>
            </w:r>
            <w:r w:rsidRPr="002A0126">
              <w:rPr>
                <w:rFonts w:ascii="Calibri" w:eastAsia="Times New Roman" w:hAnsi="Calibri" w:cs="Calibri"/>
                <w:lang w:eastAsia="en-GB"/>
              </w:rPr>
              <w:t xml:space="preserve"> 287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B425DB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↓muscle [glycogen], ↔V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C11602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4CWR </w:t>
            </w:r>
            <w:r>
              <w:rPr>
                <w:rFonts w:ascii="Calibri" w:eastAsia="Times New Roman" w:hAnsi="Calibri" w:cs="Calibri"/>
                <w:lang w:eastAsia="en-GB"/>
              </w:rPr>
              <w:t>&amp;</w:t>
            </w:r>
            <w:r w:rsidRPr="002A0126">
              <w:rPr>
                <w:rFonts w:ascii="Calibri" w:eastAsia="Times New Roman" w:hAnsi="Calibri" w:cs="Calibri"/>
                <w:lang w:eastAsia="en-GB"/>
              </w:rPr>
              <w:t xml:space="preserve"> 3MT</w:t>
            </w:r>
          </w:p>
        </w:tc>
      </w:tr>
      <w:tr w:rsidR="008E3D4D" w:rsidRPr="002A0126" w14:paraId="3F2424AB"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E6D09E2" w14:textId="61610F26"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Clark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{"citationID":"9p1vidyq","properties":{"formattedCitation":"[173]","plainCitation":"[173]","noteIndex":0},"citationItems":[{"id":3405,"uris":["http://zotero.org/users/5056530/items/9PA8FK9T"],"itemData":{"id":3405,"type":"article-journal","abstract":"It is not clear how the parameters of the power-duration relationship [critical power (CP) and W′] are influenced by the performance of prolonged endurance exercise. We used severe-intensity prediction trials (conventional protocol) and the 3-min all-out test (3MT) to measure CP and W′ following 2 h of heavy-intensity cycling exercise and took muscle biopsies to investigate possible relationships to changes in muscle glycogen concentration ([glycogen]). Fourteen participants completed a rested 3MT to establish end-test power (Control-EP) and work done above EP (Control-WEP). Subsequently, on separate days, immediately following 2 h of heavy-intensity exercise, participants completed a 3MT to establish Fatigued-EP and Fatigued-WEP and three severe-intensity prediction trials to the limit of tolerance (Tlim) to establish Fatigued-CP and Fatigued-W′. A muscle biopsy was collected immediately before and after one of the 2-h exercise bouts. Fatigued-CP (256 ± 41 W) and Fatigued-EP (256 ± 52 W), and Fatigued-Wʹ (15.3 ± 5.0 kJ) and Fatigued-WEP (14.6 ± 5.3 kJ), were not different (P &gt; 0.05) but were ~11% and ~20% lower than Control-EP (287 ± 46 W) and Control-WEP (18.7 ± 4.7 kJ), respectively (P &lt; 0.05). The change in muscle [glycogen] was not significantly correlated with the changes in either EP (r = 0.19) or WEP (r = 0.07). The power-duration relationship is adversely impacted by prolonged endurance exercise. The 3MT provides valid estimates of CP and W′ following 2 h of heavy-intensity exercise, but the changes in these parameters are not primarily determined by changes in muscle [glycogen].","container-title":"American Journal of Physiology-Regulatory, Integrative and Comparative Physiology","DOI":"10.1152/ajpregu.00031.2019","ISSN":"0363-6119","issue":"1","note":"publisher: American Physiological Society","page":"R59-R67","source":"journals.physiology.org (Atypon)","title":"Changes in the power-duration relationship following prolonged exercise: estimation using conventional and all-out protocols and relationship with muscle glycogen","title-short":"Changes in the power-duration relationship following prolonged exercise","volume":"317","author":[{"family":"Clark","given":"Ida E."},{"family":"Vanhatalo","given":"Anni"},{"family":"Thompson","given":"Christopher"},{"family":"Wylie","given":"Lee J."},{"family":"Bailey","given":"Stephen J."},{"family":"Kirby","given":"Brett S."},{"family":"Wilkins","given":"Brad W."},{"family":"Jones","given":"Andrew M."}],"issued":{"date-parts":[["2019",7]]}}}],"schema":"https://github.com/citation-style-language/schema/raw/master/csl-citation.json"}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[173]</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211E2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ETM (16)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8DE21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27106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 hours heavy exercise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AD11EB"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6695175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(236 vs 260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0ACA96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↓muscle [glycogen], ↔V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AEBB24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256F713D"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689F7A54" w14:textId="02406940"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{"citationID":"KWoiQs0T","properties":{"formattedCitation":"[64]","plainCitation":"[64]","noteIndex":0},"citationItems":[{"id":1082,"uris":["http://zotero.org/users/5056530/items/CRA7TTMN"],"itemData":{"id":1082,"type":"article-journal","abstract":"NEW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[64]</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24C9E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(8)</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6341A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Supine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DB1C48"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Hyperoxia</w:t>
            </w:r>
          </w:p>
          <w:p w14:paraId="3DD8C3D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0.5)</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DE9042"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58511CC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(148 vs 134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ACAC2B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r w:rsidRPr="002A0126">
              <w:rPr>
                <w:rFonts w:ascii="Calibri" w:eastAsia="Times New Roman" w:hAnsi="Calibri" w:cs="Calibri"/>
                <w:lang w:eastAsia="en-GB"/>
              </w:rPr>
              <w:t>,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2A0126">
              <w:rPr>
                <w:rFonts w:ascii="Calibri" w:eastAsia="Times New Roman" w:hAnsi="Calibri" w:cs="Calibri"/>
                <w:lang w:eastAsia="en-GB"/>
              </w:rPr>
              <w:t>, ↑[HbO</w:t>
            </w:r>
            <w:r w:rsidRPr="004C4E01">
              <w:rPr>
                <w:rFonts w:ascii="Calibri" w:eastAsia="Times New Roman" w:hAnsi="Calibri" w:cs="Calibri"/>
                <w:vertAlign w:val="subscript"/>
                <w:lang w:eastAsia="en-GB"/>
              </w:rPr>
              <w:t>2</w:t>
            </w:r>
            <w:r w:rsidRPr="002A0126">
              <w:rPr>
                <w:rFonts w:ascii="Calibri" w:eastAsia="Times New Roman" w:hAnsi="Calibri" w:cs="Calibri"/>
                <w:lang w:eastAsia="en-GB"/>
              </w:rPr>
              <w:t>], ↔</w:t>
            </w:r>
            <w:r w:rsidRPr="002A0126">
              <w:rPr>
                <w:rFonts w:ascii="Symbol" w:eastAsia="Times New Roman" w:hAnsi="Symbol" w:cs="Calibri"/>
                <w:lang w:eastAsia="en-GB"/>
              </w:rPr>
              <w:t></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r w:rsidRPr="002A0126">
              <w:rPr>
                <w:rFonts w:ascii="Calibri" w:eastAsia="Times New Roman" w:hAnsi="Calibri" w:cs="Calibri"/>
                <w:lang w:eastAsia="en-GB"/>
              </w:rPr>
              <w:t xml:space="preserve"> </w:t>
            </w:r>
            <w:r>
              <w:rPr>
                <w:rFonts w:ascii="Calibri" w:eastAsia="Times New Roman" w:hAnsi="Calibri" w:cs="Calibri"/>
                <w:vertAlign w:val="superscript"/>
                <w:lang w:eastAsia="en-GB"/>
              </w:rPr>
              <w:t>3</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0F9D6D1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3EAF8F42"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3F57EF20" w14:textId="366490F1"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Morgan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{"citationID":"CIey4e0y","properties":{"formattedCitation":"[152]","plainCitation":"[152]","noteIndex":0},"citationItems":[{"id":3087,"uris":["http://zotero.org/users/5056530/items/SWQ3F2TA"],"itemData":{"id":3087,"type":"article-journal","abstract":"Acute acetaminophen (ACT) ingestion has been shown to enhance cycling time-trial performance. The purpose of this study was to assess whether ACT ingestion enhances muscle activation and critical power (CP) during maximal cycling exercise. Sixteen active male participants completed two 3-min all-out tests against a fixed resistance on an electronically braked cycle ergometer 60 min after ingestion of 1 g of ACT or placebo (maltodextrin, PL). CP was estimated as the mean power output over the final 30 s of the test and W' (the curvature constant of the power-duration relationship) was estimated as the work done above CP. The femoral nerve was stimulated every 30 s to measure membrane excitability (M-wave) and surface electromyography (EMGRMS) was recorded continuously to infer muscle activation. Compared with PL, ACT ingestion increased CP (ACT: 297 ± 32 W vs. PL: 288 ± 31 W, P &lt; 0.001) and total work done (ACT: 66.4 ± 6.5 kJ vs. PL: 65.4 ± 6.4 kJ, P = 0.03) without impacting W' (ACT: 13.1 ± 2.9 kJ vs. PL: 13.6 ± 2.4 kJ, P = 0.19) or the M-wave amplitude (P = 0.66) during the 3-min all-out cycling test. Normalised EMGRMS amplitude declined throughout the 3-min protocol in both PL and ACT conditions; however, the decline in EMGRMS amplitude was attenuated in the ACT condition, such that the EMGRMS amplitude was greater in ACT compared with PL over the last 60 s of the test (P = 0.04). These findings indicate that acute ACT ingestion might increase performance and CP during maximal cycling exercise by enhancing muscle activation.","container-title":"Applied Physiology, Nutrition, and Metabolism = Physiologie Appliquee, Nutrition Et Metabolisme","DOI":"10.1139/apnm-2018-0506","ISSN":"1715-5320","issue":"4","journalAbbreviation":"Appl Physiol Nutr Metab","language":"eng","note":"PMID: 30270639","page":"434-442","source":"PubMed","title":"Acetaminophen ingestion improves muscle activation and performance during a 3-min all-out cycling test","volume":"44","author":[{"family":"Morgan","given":"Paul T."},{"family":"Vanhatalo","given":"Anni"},{"family":"Bowtell","given":"Joanna L."},{"family":"Jones","given":"Andrew M."},{"family":"Bailey","given":"Stephen J."}],"issued":{"date-parts":[["2019",4]]}},"label":"page"}],"schema":"https://github.com/citation-style-language/schema/raw/master/csl-citation.json"}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[152]</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7D80C8"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2508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98E72C"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Acetaminophen</w:t>
            </w:r>
          </w:p>
          <w:p w14:paraId="01E9546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(acute oral supplementation)</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8EACE"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4134E1C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(297 vs 288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4C6E404"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↑EMG</w:t>
            </w:r>
            <w:r w:rsidRPr="002A0126">
              <w:rPr>
                <w:rFonts w:ascii="Calibri" w:eastAsia="Times New Roman" w:hAnsi="Calibri" w:cs="Calibri"/>
                <w:vertAlign w:val="subscript"/>
                <w:lang w:eastAsia="en-GB"/>
              </w:rPr>
              <w:t>RMS</w:t>
            </w:r>
            <w:r w:rsidRPr="002A0126">
              <w:rPr>
                <w:rFonts w:ascii="Calibri" w:eastAsia="Times New Roman" w:hAnsi="Calibri" w:cs="Calibri"/>
                <w:lang w:eastAsia="en-GB"/>
              </w:rPr>
              <w:t>, ↔V</w:t>
            </w:r>
            <w:r>
              <w:rPr>
                <w:rFonts w:ascii="Calibri" w:eastAsia="Times New Roman" w:hAnsi="Calibri" w:cs="Calibri"/>
                <w:lang w:eastAsia="en-GB"/>
              </w:rPr>
              <w:t>̇</w:t>
            </w:r>
            <w:r w:rsidRPr="002A0126">
              <w:rPr>
                <w:rFonts w:ascii="Calibri" w:eastAsia="Times New Roman" w:hAnsi="Calibri" w:cs="Calibri"/>
                <w:lang w:eastAsia="en-GB"/>
              </w:rPr>
              <w:t>O2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7D263AE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4BBA955F"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017A5E0" w14:textId="63ACC72A"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Waldron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{"citationID":"w4KU1r1Y","properties":{"formattedCitation":"[174]","plainCitation":"[174]","noteIndex":0},"citationItems":[{"id":3407,"uris":["http://zotero.org/users/5056530/items/QVS28IF3"],"itemData":{"id":3407,"type":"article-journal","abstract":"This study investigated the effects of acute oral taurine ingestion on: (1) the power–time relationship using the 3-min all-out test (3MAOT); (2) time to exhaustion (TTE) 5% &gt; critical power (CP) and (3) the estimated time to complete (Tlim) a range of fixed target intensities. Twelve males completed a baseline 3MAOT test on a cycle ergometer. Following this, a double-blind, randomised cross-over design was followed, where participants were allocated to one of four conditions, separated by 72 h: TTE + taurine; TTE + placebo; 3MAOT + taurine; 3MAOT + placebo. Taurine was provided at 50 mg kg−1, whilst the placebo was 3 mg kg−1 maltodextrin. CP was higher (P &lt; 0.05) in taurine (212 ± 36 W) than baseline (197 ± 40 W) and placebo (193 ± 35 W). Work end power was not affected by supplement (P &gt; 0.05), yet TTE 5% &gt; CP increased (P &lt; 0.05) by 1.7 min after taurine (17.7 min) compared to placebo (16.0 min) and there were higher (P &lt; 0.001) estimated Tlim across all work targets. Acute supplementation of 50 mg kg−1 of taurine improved CP and estimated performance at a range of severe work intensities. Oral taurine can be taken prior to exercise to enhance endurance performance.","container-title":"Amino Acids","DOI":"10.1007/s00726-019-02775-6","ISSN":"1438-2199","issue":"10","journalAbbreviation":"Amino Acids","language":"en","page":"1433-1441","source":"Springer Link","title":"Oral taurine improves critical power and severe-intensity exercise tolerance","volume":"51","author":[{"family":"Waldron","given":"Mark"},{"family":"Patterson","given":"Stephen David"},{"family":"Jeffries","given":"Owen"}],"issued":{"date-parts":[["2019",11,1]]}}}],"schema":"https://github.com/citation-style-language/schema/raw/master/csl-citation.json"}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[174]</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43667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(12)</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BF49E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843A1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Taurine</w:t>
            </w:r>
          </w:p>
          <w:p w14:paraId="7EB4EC9A"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(acute oral supplementation)</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E5B9E4"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71195A0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(212 vs 197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49FEEF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↑post-exercise blood [lactate]</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6A0A3D9"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05F5D158"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500139AC" w14:textId="759A8531" w:rsidR="008E3D4D" w:rsidRPr="002A0126" w:rsidRDefault="008E3D4D" w:rsidP="008E3D4D">
            <w:pPr>
              <w:spacing w:after="0" w:line="240" w:lineRule="auto"/>
              <w:rPr>
                <w:rFonts w:ascii="Calibri" w:eastAsia="Times New Roman" w:hAnsi="Calibri" w:cs="Calibri"/>
                <w:lang w:eastAsia="en-GB"/>
              </w:rPr>
            </w:pPr>
            <w:r w:rsidRPr="002A0126">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{"citationID":"kyKfEeT0","properties":{"formattedCitation":"[65]","plainCitation":"[65]","noteIndex":0},"citationItems":[{"id":1054,"uris":["http://zotero.org/users/5056530/items/AWRUGRC8"],"itemData":{"id":1054,"type":"article-journal","abstract":"Critical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[65]</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0E655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HM (9)</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53472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DD56A6"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Hyperoxia</w:t>
            </w:r>
          </w:p>
          <w:p w14:paraId="4451C9B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0.5)</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3454C"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48763EB7"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(216 vs 197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50BE9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r w:rsidRPr="002A0126">
              <w:rPr>
                <w:rFonts w:ascii="Calibri" w:eastAsia="Times New Roman" w:hAnsi="Calibri" w:cs="Calibri"/>
                <w:lang w:eastAsia="en-GB"/>
              </w:rPr>
              <w:t xml:space="preserve">, ↔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2A0126">
              <w:rPr>
                <w:rFonts w:ascii="Calibri" w:eastAsia="Times New Roman" w:hAnsi="Calibri" w:cs="Calibri"/>
                <w:lang w:eastAsia="en-GB"/>
              </w:rPr>
              <w:t xml:space="preserve"> ↑</w:t>
            </w:r>
            <w:bookmarkStart w:id="11" w:name="_Hlk107407596"/>
            <w:r w:rsidRPr="002A0126">
              <w:rPr>
                <w:rFonts w:ascii="Calibri" w:eastAsia="Times New Roman" w:hAnsi="Calibri" w:cs="Calibri"/>
                <w:lang w:eastAsia="en-GB"/>
              </w:rPr>
              <w:t>PetO</w:t>
            </w:r>
            <w:r w:rsidRPr="002A0126">
              <w:rPr>
                <w:rFonts w:ascii="Calibri" w:eastAsia="Times New Roman" w:hAnsi="Calibri" w:cs="Calibri"/>
                <w:vertAlign w:val="subscript"/>
                <w:lang w:eastAsia="en-GB"/>
              </w:rPr>
              <w:t>2</w:t>
            </w:r>
            <w:bookmarkEnd w:id="11"/>
            <w:r w:rsidRPr="002A0126">
              <w:rPr>
                <w:rFonts w:ascii="Calibri" w:eastAsia="Times New Roman" w:hAnsi="Calibri" w:cs="Calibri"/>
                <w:lang w:eastAsia="en-GB"/>
              </w:rPr>
              <w:t>, ↑[HbO2], ↓[</w:t>
            </w:r>
            <w:proofErr w:type="spellStart"/>
            <w:r w:rsidRPr="002A0126">
              <w:rPr>
                <w:rFonts w:ascii="Calibri" w:eastAsia="Times New Roman" w:hAnsi="Calibri" w:cs="Calibri"/>
                <w:lang w:eastAsia="en-GB"/>
              </w:rPr>
              <w:t>HHb</w:t>
            </w:r>
            <w:proofErr w:type="spellEnd"/>
            <w:r w:rsidRPr="002A0126">
              <w:rPr>
                <w:rFonts w:ascii="Calibri" w:eastAsia="Times New Roman" w:hAnsi="Calibri" w:cs="Calibri"/>
                <w:lang w:eastAsia="en-GB"/>
              </w:rPr>
              <w:t>], ↔</w:t>
            </w:r>
            <w:r w:rsidRPr="002A0126">
              <w:rPr>
                <w:rFonts w:ascii="Symbol" w:eastAsia="Times New Roman" w:hAnsi="Symbol" w:cs="Calibri"/>
                <w:lang w:eastAsia="en-GB"/>
              </w:rPr>
              <w:t></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r>
              <w:rPr>
                <w:rFonts w:ascii="Calibri" w:eastAsia="Times New Roman" w:hAnsi="Calibri" w:cs="Calibri"/>
                <w:vertAlign w:val="subscript"/>
                <w:lang w:eastAsia="en-GB"/>
              </w:rPr>
              <w:t xml:space="preserve"> </w:t>
            </w:r>
            <w:r>
              <w:rPr>
                <w:rFonts w:ascii="Calibri" w:eastAsia="Times New Roman" w:hAnsi="Calibri" w:cs="Calibri"/>
                <w:vertAlign w:val="superscript"/>
                <w:lang w:eastAsia="en-GB"/>
              </w:rPr>
              <w:t>3</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63AD2F20"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430A3C9E"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426CD3F7" w14:textId="73A5BBD5" w:rsidR="008E3D4D" w:rsidRPr="002A0126" w:rsidRDefault="008E3D4D" w:rsidP="008E3D4D">
            <w:pPr>
              <w:spacing w:after="0" w:line="240" w:lineRule="auto"/>
              <w:rPr>
                <w:rFonts w:ascii="Calibri" w:eastAsia="Times New Roman" w:hAnsi="Calibri" w:cs="Calibri"/>
                <w:lang w:eastAsia="en-GB"/>
              </w:rPr>
            </w:pPr>
            <w:r>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{"citationID":"c2KAXXJD","properties":{"formattedCitation":"[131]","plainCitation":"[131]","noteIndex":0},"citationItems":[{"id":78,"uris":["http://zotero.org/users/5056530/items/Q9M2NM2G"],"itemData":{"id":78,"type":"article-journal","abstract":"We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[131]</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0C9101"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T1DM (7)</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23D13E"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1F175B"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Heavy priming exercise</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CFE41C"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CP</w:t>
            </w:r>
          </w:p>
          <w:p w14:paraId="2F6EEF26"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(161 vs 149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DD94AA3"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2A0126">
              <w:rPr>
                <w:rFonts w:ascii="Calibri" w:eastAsia="Times New Roman" w:hAnsi="Calibri" w:cs="Calibri"/>
                <w:lang w:eastAsia="en-GB"/>
              </w:rPr>
              <w:t>, ↔V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r w:rsidRPr="002A0126">
              <w:rPr>
                <w:rFonts w:ascii="Calibri" w:eastAsia="Times New Roman" w:hAnsi="Calibri" w:cs="Calibri"/>
                <w:lang w:eastAsia="en-GB"/>
              </w:rPr>
              <w:t>, ↔[HbO</w:t>
            </w:r>
            <w:r w:rsidRPr="004C4E01">
              <w:rPr>
                <w:rFonts w:ascii="Calibri" w:eastAsia="Times New Roman" w:hAnsi="Calibri" w:cs="Calibri"/>
                <w:vertAlign w:val="subscript"/>
                <w:lang w:eastAsia="en-GB"/>
              </w:rPr>
              <w:t>2</w:t>
            </w:r>
            <w:r w:rsidRPr="002A0126">
              <w:rPr>
                <w:rFonts w:ascii="Calibri" w:eastAsia="Times New Roman" w:hAnsi="Calibri" w:cs="Calibri"/>
                <w:lang w:eastAsia="en-GB"/>
              </w:rPr>
              <w:t>], ↓</w:t>
            </w:r>
            <w:r w:rsidRPr="002A0126">
              <w:rPr>
                <w:rFonts w:ascii="Symbol" w:eastAsia="Times New Roman" w:hAnsi="Symbol" w:cs="Calibri"/>
                <w:lang w:eastAsia="en-GB"/>
              </w:rPr>
              <w:t></w:t>
            </w:r>
            <w:r w:rsidRPr="002A0126">
              <w:rPr>
                <w:rFonts w:ascii="Calibri" w:eastAsia="Times New Roman" w:hAnsi="Calibri" w:cs="Calibri"/>
                <w:vertAlign w:val="subscript"/>
                <w:lang w:eastAsia="en-GB"/>
              </w:rPr>
              <w:t>[</w:t>
            </w:r>
            <w:proofErr w:type="spellStart"/>
            <w:r w:rsidRPr="002A0126">
              <w:rPr>
                <w:rFonts w:ascii="Calibri" w:eastAsia="Times New Roman" w:hAnsi="Calibri" w:cs="Calibri"/>
                <w:vertAlign w:val="subscript"/>
                <w:lang w:eastAsia="en-GB"/>
              </w:rPr>
              <w:t>HHb</w:t>
            </w:r>
            <w:proofErr w:type="spellEnd"/>
            <w:r w:rsidRPr="002A0126">
              <w:rPr>
                <w:rFonts w:ascii="Calibri" w:eastAsia="Times New Roman" w:hAnsi="Calibri" w:cs="Calibri"/>
                <w:vertAlign w:val="subscript"/>
                <w:lang w:eastAsia="en-GB"/>
              </w:rPr>
              <w:t>]</w:t>
            </w:r>
            <w:r w:rsidRPr="002A0126">
              <w:rPr>
                <w:rFonts w:ascii="Calibri" w:eastAsia="Times New Roman" w:hAnsi="Calibri" w:cs="Calibri"/>
                <w:lang w:eastAsia="en-GB"/>
              </w:rPr>
              <w:t xml:space="preserve"> </w:t>
            </w:r>
            <w:r w:rsidRPr="002A0126">
              <w:rPr>
                <w:rFonts w:ascii="Calibri" w:eastAsia="Times New Roman" w:hAnsi="Calibri" w:cs="Calibri"/>
                <w:vertAlign w:val="superscript"/>
                <w:lang w:eastAsia="en-GB"/>
              </w:rPr>
              <w:t>1</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2411342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4CWR</w:t>
            </w:r>
          </w:p>
        </w:tc>
      </w:tr>
      <w:tr w:rsidR="008E3D4D" w:rsidRPr="002A0126" w14:paraId="249E5424" w14:textId="77777777" w:rsidTr="008E3D4D">
        <w:trPr>
          <w:trHeight w:val="285"/>
        </w:trPr>
        <w:tc>
          <w:tcPr>
            <w:tcW w:w="959" w:type="pct"/>
            <w:tcBorders>
              <w:top w:val="single" w:sz="6" w:space="0" w:color="CCCCCC"/>
              <w:left w:val="single" w:sz="8" w:space="0" w:color="auto"/>
              <w:bottom w:val="single" w:sz="6" w:space="0" w:color="CCCCCC"/>
              <w:right w:val="single" w:sz="6" w:space="0" w:color="CCCCCC"/>
            </w:tcBorders>
            <w:tcMar>
              <w:top w:w="0" w:type="dxa"/>
              <w:left w:w="45" w:type="dxa"/>
              <w:bottom w:w="0" w:type="dxa"/>
              <w:right w:w="45" w:type="dxa"/>
            </w:tcMar>
            <w:vAlign w:val="bottom"/>
            <w:hideMark/>
          </w:tcPr>
          <w:p w14:paraId="7AC456AE" w14:textId="245B82AA" w:rsidR="008E3D4D" w:rsidRPr="002A0126" w:rsidRDefault="008E3D4D" w:rsidP="008E3D4D">
            <w:pPr>
              <w:spacing w:after="0" w:line="240" w:lineRule="auto"/>
              <w:rPr>
                <w:rFonts w:ascii="Calibri" w:eastAsia="Times New Roman" w:hAnsi="Calibri" w:cs="Calibri"/>
                <w:lang w:eastAsia="en-GB"/>
              </w:rPr>
            </w:pPr>
            <w:proofErr w:type="spellStart"/>
            <w:r w:rsidRPr="002A0126">
              <w:rPr>
                <w:rFonts w:ascii="Calibri" w:eastAsia="Times New Roman" w:hAnsi="Calibri" w:cs="Calibri"/>
                <w:lang w:eastAsia="en-GB"/>
              </w:rPr>
              <w:t>Karabiyik</w:t>
            </w:r>
            <w:proofErr w:type="spellEnd"/>
            <w:r w:rsidRPr="002A0126">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{"citationID":"h62HroYd","properties":{"formattedCitation":"[175]","plainCitation":"[175]","noteIndex":0},"citationItems":[{"id":3387,"uris":["http://zotero.org/users/5056530/items/Q9BHEQ98"],"itemData":{"id":3387,"type":"article-journal","abstract":"Sprint interval training (SIT) is a concept that has been shown to enhance aerobic-anaerobic training adaptations and induce larger effects in hypoxia. The purpose of this study was to examine the effects of 4 weeks of SIT with 15 or 30 s in hypoxia on aerobic, anaerobic performance and critical power (CP). A total of 32 male team players were divided into four groups: SIT with 15 s at FiO2: 0.209 (15 N); FiO2: 0.135 (15 H); SIT with 30 s at FiO2: 0.209 (30 N); and FiO2: 0.135 (30 H). VO2max did not significantly increase, however time-to-exhaustion (TTE) was found to be significantly longer in the post test compared to pre test (p = 0.001) with no difference between groups (p = 0.86). Mean power (MPw.kg) after repeated wingate tests was significantly higher compared to pre training in all groups (p = 0.001) with no difference between groups (p = 0.66). Similarly, CP was increased in all groups with 4 weeks of SIT (p = 0.001) with no difference between groups (p = 0.82). This study showed that 4 weeks of SIT with 15 and 30 s sprint bouts in normoxia or hypoxia did not increased VO2max in trained athletes. However, anerobic performance and CP can be increased with 4 weeks of SIT both in normoxia or hypoxia with 15 or 30 s of sprint durations.","container-title":"International Journal of Environmental Research and Public Health","DOI":"10.3390/ijerph18083976","ISSN":"1661-7827","issue":"8","journalAbbreviation":"Int J Environ Res Public Health","note":"PMID: 33918866\nPMCID: PMC8069352","page":"3976","source":"PubMed Central","title":"The Effects of 15 or 30 s SIT in Normobaric Hypoxia on Aerobic, Anaerobic Performance and Critical Power","volume":"18","author":[{"family":"Karabiyik","given":"Hakan"},{"family":"Eser","given":"Mustafa Can"},{"family":"Guler","given":"Ozkan"},{"family":"Yasli","given":"Burak Caglar"},{"family":"Ertetik","given":"Goktug"},{"family":"Sisman","given":"Aysegul"},{"family":"Koz","given":"Mitat"},{"family":"Gabrys","given":"Tomasz"},{"family":"Pilis","given":"Karol"},{"family":"Karayigit","given":"Raci"}],"issued":{"date-parts":[["2021",4,9]]}}}],"schema":"https://github.com/citation-style-language/schema/raw/master/csl-citation.json"} </w:instrText>
            </w:r>
            <w:r>
              <w:rPr>
                <w:rFonts w:ascii="Calibri" w:eastAsia="Times New Roman" w:hAnsi="Calibri" w:cs="Calibri"/>
                <w:lang w:eastAsia="en-GB"/>
              </w:rPr>
              <w:fldChar w:fldCharType="separate"/>
            </w:r>
            <w:r w:rsidRPr="008E3D4D">
              <w:rPr>
                <w:rFonts w:ascii="Calibri" w:hAnsi="Calibri" w:cs="Calibri"/>
              </w:rPr>
              <w:t>[175]</w:t>
            </w:r>
            <w:r>
              <w:rPr>
                <w:rFonts w:ascii="Calibri" w:eastAsia="Times New Roman" w:hAnsi="Calibri" w:cs="Calibri"/>
                <w:lang w:eastAsia="en-GB"/>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3E56E2"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TM (32)</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97F7BD"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7ED1F"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 xml:space="preserve">SIT </w:t>
            </w:r>
          </w:p>
          <w:p w14:paraId="47208179" w14:textId="77777777" w:rsidR="008E3D4D" w:rsidRDefault="008E3D4D" w:rsidP="008E3D4D">
            <w:pPr>
              <w:spacing w:after="0" w:line="240" w:lineRule="auto"/>
              <w:jc w:val="center"/>
              <w:rPr>
                <w:rFonts w:ascii="Calibri" w:eastAsia="Times New Roman" w:hAnsi="Calibri" w:cs="Calibri"/>
                <w:lang w:eastAsia="en-GB"/>
              </w:rPr>
            </w:pPr>
            <w:r>
              <w:rPr>
                <w:rFonts w:ascii="Calibri" w:eastAsia="Times New Roman" w:hAnsi="Calibri" w:cs="Calibri"/>
                <w:lang w:eastAsia="en-GB"/>
              </w:rPr>
              <w:t>(4 weeks)</w:t>
            </w:r>
          </w:p>
          <w:p w14:paraId="4513D62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lastRenderedPageBreak/>
              <w:t>+/- hypoxia (FiO</w:t>
            </w:r>
            <w:r w:rsidRPr="002A0126">
              <w:rPr>
                <w:rFonts w:ascii="Calibri" w:eastAsia="Times New Roman" w:hAnsi="Calibri" w:cs="Calibri"/>
                <w:vertAlign w:val="subscript"/>
                <w:lang w:eastAsia="en-GB"/>
              </w:rPr>
              <w:t>2</w:t>
            </w:r>
            <w:r w:rsidRPr="002A0126">
              <w:rPr>
                <w:rFonts w:ascii="Calibri" w:eastAsia="Times New Roman" w:hAnsi="Calibri" w:cs="Calibri"/>
                <w:lang w:eastAsia="en-GB"/>
              </w:rPr>
              <w:t xml:space="preserve"> = 0.135)</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0C404F" w14:textId="77777777" w:rsidR="008E3D4D"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lastRenderedPageBreak/>
              <w:t>↑ CP</w:t>
            </w:r>
          </w:p>
          <w:p w14:paraId="620BE6DF"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(200 vs 170 W)</w:t>
            </w:r>
            <w:r w:rsidRPr="002A0126">
              <w:rPr>
                <w:rFonts w:ascii="Calibri" w:eastAsia="Times New Roman" w:hAnsi="Calibri" w:cs="Calibri"/>
                <w:vertAlign w:val="superscript"/>
                <w:lang w:eastAsia="en-GB"/>
              </w:rPr>
              <w:t>#</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DA4E07C"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↑post-ramp blood [lactate], ↔V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2A0126">
              <w:rPr>
                <w:rFonts w:ascii="Calibri" w:eastAsia="Times New Roman" w:hAnsi="Calibri" w:cs="Calibri"/>
                <w:vertAlign w:val="subscript"/>
                <w:lang w:eastAsia="en-GB"/>
              </w:rPr>
              <w:t>peak</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hideMark/>
          </w:tcPr>
          <w:p w14:paraId="3944EF55" w14:textId="77777777" w:rsidR="008E3D4D" w:rsidRPr="002A0126" w:rsidRDefault="008E3D4D" w:rsidP="008E3D4D">
            <w:pPr>
              <w:spacing w:after="0" w:line="240" w:lineRule="auto"/>
              <w:jc w:val="center"/>
              <w:rPr>
                <w:rFonts w:ascii="Calibri" w:eastAsia="Times New Roman" w:hAnsi="Calibri" w:cs="Calibri"/>
                <w:lang w:eastAsia="en-GB"/>
              </w:rPr>
            </w:pPr>
            <w:r w:rsidRPr="002A0126">
              <w:rPr>
                <w:rFonts w:ascii="Calibri" w:eastAsia="Times New Roman" w:hAnsi="Calibri" w:cs="Calibri"/>
                <w:lang w:eastAsia="en-GB"/>
              </w:rPr>
              <w:t>3MT</w:t>
            </w:r>
          </w:p>
        </w:tc>
      </w:tr>
      <w:tr w:rsidR="008E3D4D" w:rsidRPr="002A0126" w14:paraId="7E49C791" w14:textId="77777777" w:rsidTr="008E3D4D">
        <w:trPr>
          <w:trHeight w:val="285"/>
        </w:trPr>
        <w:tc>
          <w:tcPr>
            <w:tcW w:w="959" w:type="pct"/>
            <w:tcBorders>
              <w:top w:val="single" w:sz="6" w:space="0" w:color="CCCCCC"/>
              <w:left w:val="single" w:sz="4" w:space="0" w:color="auto"/>
              <w:bottom w:val="single" w:sz="6" w:space="0" w:color="CCCCCC"/>
              <w:right w:val="single" w:sz="6" w:space="0" w:color="CCCCCC"/>
            </w:tcBorders>
            <w:tcMar>
              <w:top w:w="0" w:type="dxa"/>
              <w:left w:w="45" w:type="dxa"/>
              <w:bottom w:w="0" w:type="dxa"/>
              <w:right w:w="45" w:type="dxa"/>
            </w:tcMar>
            <w:vAlign w:val="bottom"/>
          </w:tcPr>
          <w:p w14:paraId="690EAEC2" w14:textId="5DAA417E" w:rsidR="008E3D4D" w:rsidRDefault="008E3D4D" w:rsidP="008E3D4D">
            <w:pPr>
              <w:spacing w:after="0" w:line="240" w:lineRule="auto"/>
              <w:rPr>
                <w:rFonts w:ascii="Calibri" w:hAnsi="Calibri" w:cs="Calibri"/>
              </w:rPr>
            </w:pPr>
            <w:r>
              <w:rPr>
                <w:rFonts w:ascii="Calibri" w:hAnsi="Calibri" w:cs="Calibri"/>
              </w:rPr>
              <w:t xml:space="preserve">Collins et al. </w:t>
            </w:r>
            <w:r>
              <w:rPr>
                <w:rFonts w:ascii="Calibri" w:hAnsi="Calibri" w:cs="Calibri"/>
              </w:rPr>
              <w:fldChar w:fldCharType="begin"/>
            </w:r>
            <w:r>
              <w:rPr>
                <w:rFonts w:ascii="Calibri" w:hAnsi="Calibri" w:cs="Calibri"/>
              </w:rPr>
              <w:instrText xml:space="preserve"> ADDIN ZOTERO_ITEM CSL_CITATION {"citationID":"mBrgAN5X","properties":{"formattedCitation":"[176]","plainCitation":"[176]","noteIndex":0},"citationItems":[{"id":3522,"uris":["http://zotero.org/users/5056530/items/B36S7GL6"],"itemData":{"id":3522,"type":"article-journal","abstract":"Responses to exercise at a given percentage of one's maximum rate of oxygen consumption (V̇o2max), or percentage of the power associated with V̇o2max during a graded exercise test (i.e., PGXT), vary. The purpose of this study was to determine if differences in critical power (PCRIT, maximum metabolic steady state) and work-prime (W', the amount of work tolerated above steady state) are related to training-induced changes in endurance. PCRIT, W', V̇o2max, and other variables were determined before and after 22 adults completed 8 wk of either moderate-intensity continuous training (MICT) or high-intensity interval training (HIIT) performed at fixed percentages of PGXT. On average, PCRIT increased to a greater extent following HIIT (MICT: 15.7 ± 3.1% vs. HIIT: 27.5 ± 4.3%; P = 0.03), but the magnitude of change varied widely within each group (MICT: 4%-36%, HIIT: 4%-61%). The intensity of the prescribed exercise relative to pretraining PCRIT, not PGXT, accounted for most of the variance in changes to PCRIT in response to a given protocol (R2 = 0.61-0.64; P &lt; 0.01). Although PCRIT and V̇o2max were related before training (R2 = 0.92, P &lt; 0.01), the training-induced change in PCRIT was not significantly related to the change in V̇o2max (R2 = 0.06, P = 0.26). Before training, time-to-failure at PGXT was related to W' (R2 = 0.52; P &lt; 0.01), but not V̇o2max (R2 = 0.13; P = 0.10). Training-induced changes in time-to-failure at the initial PGXT were better captured by the combined changes in W' and PCRIT (R2 = 0.77, P &lt; 0.01), than by the change in V̇o2max (R2 = 0.24; P = 0.02). Differences in PCRIT and W' account for some of the variability in responses to endurance exercise.NEW &amp; NOTEWORTHY As the highest percentage of V̇O2max at which steady state conditions can be achieved, a person's critical power (PCRIT) strongly influences the metabolic strain of a given exercise. In this study we demonstrate that training-induced changes in endurance are more strongly related to the intensity of an exercise training program, relative to PCRIT than relative to V̇o2max. Thus, exercise may be more homogenously and effectively prescribed in relation to PCRIT than traditional factors like V̇o2max.","container-title":"Journal of Applied Physiology (Bethesda, Md.: 1985)","DOI":"10.1152/japplphysiol.00344.2022","ISSN":"1522-1601","issue":"4","journalAbbreviation":"J Appl Physiol (1985)","language":"eng","note":"PMID: 36107986","page":"986-1000","source":"PubMed","title":"Critical power and work-prime account for variability in endurance training adaptations not captured by V̇o2max","volume":"133","author":[{"family":"Collins","given":"Jessica"},{"family":"Leach","given":"Olivia"},{"family":"Dorff","given":"Abigail"},{"family":"Linde","given":"Jessica"},{"family":"Kofoed","given":"Jason"},{"family":"Sherman","given":"Megan"},{"family":"Proffit","given":"Meagan"},{"family":"Gifford","given":"Jayson R."}],"issued":{"date-parts":[["2022",10,1]]}}}],"schema":"https://github.com/citation-style-language/schema/raw/master/csl-citation.json"} </w:instrText>
            </w:r>
            <w:r>
              <w:rPr>
                <w:rFonts w:ascii="Calibri" w:hAnsi="Calibri" w:cs="Calibri"/>
              </w:rPr>
              <w:fldChar w:fldCharType="separate"/>
            </w:r>
            <w:r w:rsidRPr="008E3D4D">
              <w:rPr>
                <w:rFonts w:ascii="Calibri" w:hAnsi="Calibri" w:cs="Calibri"/>
              </w:rPr>
              <w:t>[176]</w:t>
            </w:r>
            <w:r>
              <w:rPr>
                <w:rFonts w:ascii="Calibri" w:hAnsi="Calibri" w:cs="Calibri"/>
              </w:rPr>
              <w:fldChar w:fldCharType="end"/>
            </w:r>
          </w:p>
        </w:tc>
        <w:tc>
          <w:tcPr>
            <w:tcW w:w="3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5345D4" w14:textId="77777777" w:rsidR="008E3D4D" w:rsidRDefault="008E3D4D" w:rsidP="008E3D4D">
            <w:pPr>
              <w:spacing w:after="0" w:line="240" w:lineRule="auto"/>
              <w:jc w:val="center"/>
              <w:rPr>
                <w:rFonts w:ascii="Calibri" w:hAnsi="Calibri" w:cs="Calibri"/>
              </w:rPr>
            </w:pPr>
            <w:r>
              <w:rPr>
                <w:rFonts w:ascii="Calibri" w:hAnsi="Calibri" w:cs="Calibri"/>
              </w:rPr>
              <w:t xml:space="preserve">HM (5) </w:t>
            </w:r>
          </w:p>
          <w:p w14:paraId="5CAAD1CC" w14:textId="77777777" w:rsidR="008E3D4D" w:rsidRDefault="008E3D4D" w:rsidP="008E3D4D">
            <w:pPr>
              <w:spacing w:after="0" w:line="240" w:lineRule="auto"/>
              <w:jc w:val="center"/>
              <w:rPr>
                <w:rFonts w:ascii="Calibri" w:hAnsi="Calibri" w:cs="Calibri"/>
              </w:rPr>
            </w:pPr>
            <w:r>
              <w:rPr>
                <w:rFonts w:ascii="Calibri" w:hAnsi="Calibri" w:cs="Calibri"/>
              </w:rPr>
              <w:t>HF (6)</w:t>
            </w:r>
          </w:p>
        </w:tc>
        <w:tc>
          <w:tcPr>
            <w:tcW w:w="492"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3F5BA6" w14:textId="77777777" w:rsidR="008E3D4D" w:rsidRDefault="008E3D4D" w:rsidP="008E3D4D">
            <w:pPr>
              <w:spacing w:after="0" w:line="240" w:lineRule="auto"/>
              <w:jc w:val="center"/>
              <w:rPr>
                <w:rFonts w:ascii="Calibri" w:hAnsi="Calibri" w:cs="Calibri"/>
              </w:rPr>
            </w:pPr>
            <w:r>
              <w:rPr>
                <w:rFonts w:ascii="Calibri" w:hAnsi="Calibri" w:cs="Calibri"/>
              </w:rPr>
              <w:t>Upright cycling</w:t>
            </w:r>
          </w:p>
        </w:tc>
        <w:tc>
          <w:tcPr>
            <w:tcW w:w="830"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ABAF4B" w14:textId="77777777" w:rsidR="008E3D4D" w:rsidRDefault="008E3D4D" w:rsidP="008E3D4D">
            <w:pPr>
              <w:spacing w:after="0" w:line="240" w:lineRule="auto"/>
              <w:jc w:val="center"/>
              <w:rPr>
                <w:rFonts w:ascii="Calibri" w:hAnsi="Calibri" w:cs="Calibri"/>
              </w:rPr>
            </w:pPr>
            <w:r>
              <w:rPr>
                <w:rFonts w:ascii="Calibri" w:hAnsi="Calibri" w:cs="Calibri"/>
              </w:rPr>
              <w:t xml:space="preserve">Endurance training </w:t>
            </w:r>
          </w:p>
          <w:p w14:paraId="0A70AEBC" w14:textId="77777777" w:rsidR="008E3D4D" w:rsidRDefault="008E3D4D" w:rsidP="008E3D4D">
            <w:pPr>
              <w:spacing w:after="0" w:line="240" w:lineRule="auto"/>
              <w:jc w:val="center"/>
              <w:rPr>
                <w:rFonts w:ascii="Calibri" w:hAnsi="Calibri" w:cs="Calibri"/>
              </w:rPr>
            </w:pPr>
            <w:r>
              <w:rPr>
                <w:rFonts w:ascii="Calibri" w:hAnsi="Calibri" w:cs="Calibri"/>
              </w:rPr>
              <w:t>(8 weeks)</w:t>
            </w:r>
          </w:p>
        </w:tc>
        <w:tc>
          <w:tcPr>
            <w:tcW w:w="578"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EC17A6" w14:textId="77777777" w:rsidR="008E3D4D" w:rsidRDefault="008E3D4D" w:rsidP="008E3D4D">
            <w:pPr>
              <w:spacing w:after="0" w:line="240" w:lineRule="auto"/>
              <w:jc w:val="center"/>
              <w:rPr>
                <w:rFonts w:ascii="Calibri" w:hAnsi="Calibri" w:cs="Calibri"/>
              </w:rPr>
            </w:pPr>
            <w:r>
              <w:rPr>
                <w:rFonts w:ascii="Calibri" w:hAnsi="Calibri" w:cs="Calibri"/>
              </w:rPr>
              <w:t>↑ CP</w:t>
            </w:r>
          </w:p>
          <w:p w14:paraId="3F53FB5E" w14:textId="77777777" w:rsidR="008E3D4D" w:rsidRDefault="008E3D4D" w:rsidP="008E3D4D">
            <w:pPr>
              <w:spacing w:after="0" w:line="240" w:lineRule="auto"/>
              <w:jc w:val="center"/>
              <w:rPr>
                <w:rFonts w:ascii="Calibri" w:hAnsi="Calibri" w:cs="Calibri"/>
              </w:rPr>
            </w:pPr>
            <w:r>
              <w:rPr>
                <w:rFonts w:ascii="Calibri" w:hAnsi="Calibri" w:cs="Calibri"/>
              </w:rPr>
              <w:t>(161 vs 140 W)</w:t>
            </w:r>
          </w:p>
        </w:tc>
        <w:tc>
          <w:tcPr>
            <w:tcW w:w="1134" w:type="pct"/>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3DF2A9B" w14:textId="77777777" w:rsidR="008E3D4D" w:rsidRDefault="008E3D4D" w:rsidP="008E3D4D">
            <w:pPr>
              <w:spacing w:after="0" w:line="240" w:lineRule="auto"/>
              <w:jc w:val="center"/>
              <w:rPr>
                <w:rFonts w:ascii="Calibri" w:hAnsi="Calibri" w:cs="Calibri"/>
              </w:rPr>
            </w:pPr>
            <w:r>
              <w:rPr>
                <w:rFonts w:ascii="Calibri" w:hAnsi="Calibri" w:cs="Calibri"/>
              </w:rPr>
              <w:t>↑</w:t>
            </w: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p>
        </w:tc>
        <w:tc>
          <w:tcPr>
            <w:tcW w:w="615" w:type="pct"/>
            <w:tcBorders>
              <w:top w:val="single" w:sz="6" w:space="0" w:color="CCCCCC"/>
              <w:left w:val="single" w:sz="6" w:space="0" w:color="CCCCCC"/>
              <w:bottom w:val="single" w:sz="6" w:space="0" w:color="CCCCCC"/>
              <w:right w:val="single" w:sz="8" w:space="0" w:color="auto"/>
            </w:tcBorders>
            <w:tcMar>
              <w:top w:w="0" w:type="dxa"/>
              <w:left w:w="45" w:type="dxa"/>
              <w:bottom w:w="0" w:type="dxa"/>
              <w:right w:w="45" w:type="dxa"/>
            </w:tcMar>
            <w:vAlign w:val="bottom"/>
          </w:tcPr>
          <w:p w14:paraId="73722D89" w14:textId="77777777" w:rsidR="008E3D4D" w:rsidRPr="002A0126" w:rsidRDefault="008E3D4D" w:rsidP="008E3D4D">
            <w:pPr>
              <w:spacing w:after="0" w:line="240" w:lineRule="auto"/>
              <w:jc w:val="center"/>
              <w:rPr>
                <w:rFonts w:ascii="Calibri" w:eastAsia="Times New Roman" w:hAnsi="Calibri" w:cs="Calibri"/>
                <w:lang w:eastAsia="en-GB"/>
              </w:rPr>
            </w:pPr>
            <w:r>
              <w:rPr>
                <w:rFonts w:ascii="Calibri" w:eastAsia="Times New Roman" w:hAnsi="Calibri" w:cs="Calibri"/>
                <w:lang w:eastAsia="en-GB"/>
              </w:rPr>
              <w:t>3-6CWR</w:t>
            </w:r>
          </w:p>
        </w:tc>
      </w:tr>
      <w:tr w:rsidR="008E3D4D" w:rsidRPr="002A0126" w14:paraId="56C2A19A" w14:textId="77777777" w:rsidTr="008E3D4D">
        <w:trPr>
          <w:trHeight w:val="285"/>
        </w:trPr>
        <w:tc>
          <w:tcPr>
            <w:tcW w:w="959" w:type="pct"/>
            <w:tcBorders>
              <w:top w:val="single" w:sz="6" w:space="0" w:color="CCCCCC"/>
              <w:left w:val="single" w:sz="4" w:space="0" w:color="auto"/>
              <w:bottom w:val="single" w:sz="4" w:space="0" w:color="auto"/>
              <w:right w:val="single" w:sz="6" w:space="0" w:color="CCCCCC"/>
            </w:tcBorders>
            <w:tcMar>
              <w:top w:w="0" w:type="dxa"/>
              <w:left w:w="45" w:type="dxa"/>
              <w:bottom w:w="0" w:type="dxa"/>
              <w:right w:w="45" w:type="dxa"/>
            </w:tcMar>
            <w:vAlign w:val="bottom"/>
          </w:tcPr>
          <w:p w14:paraId="6F7A0DF8" w14:textId="1AE6290E" w:rsidR="008E3D4D" w:rsidRDefault="008E3D4D" w:rsidP="008E3D4D">
            <w:pPr>
              <w:spacing w:after="0" w:line="240" w:lineRule="auto"/>
              <w:rPr>
                <w:rFonts w:ascii="Calibri" w:hAnsi="Calibri" w:cs="Calibri"/>
              </w:rPr>
            </w:pPr>
            <w:r>
              <w:rPr>
                <w:rFonts w:ascii="Calibri" w:hAnsi="Calibri" w:cs="Calibri"/>
              </w:rPr>
              <w:t xml:space="preserve">Collins et al. </w:t>
            </w:r>
            <w:r>
              <w:rPr>
                <w:rFonts w:ascii="Calibri" w:hAnsi="Calibri" w:cs="Calibri"/>
              </w:rPr>
              <w:fldChar w:fldCharType="begin"/>
            </w:r>
            <w:r>
              <w:rPr>
                <w:rFonts w:ascii="Calibri" w:hAnsi="Calibri" w:cs="Calibri"/>
              </w:rPr>
              <w:instrText xml:space="preserve"> ADDIN ZOTERO_ITEM CSL_CITATION {"citationID":"c5cfOEKc","properties":{"formattedCitation":"[176]","plainCitation":"[176]","noteIndex":0},"citationItems":[{"id":3522,"uris":["http://zotero.org/users/5056530/items/B36S7GL6"],"itemData":{"id":3522,"type":"article-journal","abstract":"Responses to exercise at a given percentage of one's maximum rate of oxygen consumption (V̇o2max), or percentage of the power associated with V̇o2max during a graded exercise test (i.e., PGXT), vary. The purpose of this study was to determine if differences in critical power (PCRIT, maximum metabolic steady state) and work-prime (W', the amount of work tolerated above steady state) are related to training-induced changes in endurance. PCRIT, W', V̇o2max, and other variables were determined before and after 22 adults completed 8 wk of either moderate-intensity continuous training (MICT) or high-intensity interval training (HIIT) performed at fixed percentages of PGXT. On average, PCRIT increased to a greater extent following HIIT (MICT: 15.7 ± 3.1% vs. HIIT: 27.5 ± 4.3%; P = 0.03), but the magnitude of change varied widely within each group (MICT: 4%-36%, HIIT: 4%-61%). The intensity of the prescribed exercise relative to pretraining PCRIT, not PGXT, accounted for most of the variance in changes to PCRIT in response to a given protocol (R2 = 0.61-0.64; P &lt; 0.01). Although PCRIT and V̇o2max were related before training (R2 = 0.92, P &lt; 0.01), the training-induced change in PCRIT was not significantly related to the change in V̇o2max (R2 = 0.06, P = 0.26). Before training, time-to-failure at PGXT was related to W' (R2 = 0.52; P &lt; 0.01), but not V̇o2max (R2 = 0.13; P = 0.10). Training-induced changes in time-to-failure at the initial PGXT were better captured by the combined changes in W' and PCRIT (R2 = 0.77, P &lt; 0.01), than by the change in V̇o2max (R2 = 0.24; P = 0.02). Differences in PCRIT and W' account for some of the variability in responses to endurance exercise.NEW &amp; NOTEWORTHY As the highest percentage of V̇O2max at which steady state conditions can be achieved, a person's critical power (PCRIT) strongly influences the metabolic strain of a given exercise. In this study we demonstrate that training-induced changes in endurance are more strongly related to the intensity of an exercise training program, relative to PCRIT than relative to V̇o2max. Thus, exercise may be more homogenously and effectively prescribed in relation to PCRIT than traditional factors like V̇o2max.","container-title":"Journal of Applied Physiology (Bethesda, Md.: 1985)","DOI":"10.1152/japplphysiol.00344.2022","ISSN":"1522-1601","issue":"4","journalAbbreviation":"J Appl Physiol (1985)","language":"eng","note":"PMID: 36107986","page":"986-1000","source":"PubMed","title":"Critical power and work-prime account for variability in endurance training adaptations not captured by V̇o2max","volume":"133","author":[{"family":"Collins","given":"Jessica"},{"family":"Leach","given":"Olivia"},{"family":"Dorff","given":"Abigail"},{"family":"Linde","given":"Jessica"},{"family":"Kofoed","given":"Jason"},{"family":"Sherman","given":"Megan"},{"family":"Proffit","given":"Meagan"},{"family":"Gifford","given":"Jayson R."}],"issued":{"date-parts":[["2022",10,1]]}}}],"schema":"https://github.com/citation-style-language/schema/raw/master/csl-citation.json"} </w:instrText>
            </w:r>
            <w:r>
              <w:rPr>
                <w:rFonts w:ascii="Calibri" w:hAnsi="Calibri" w:cs="Calibri"/>
              </w:rPr>
              <w:fldChar w:fldCharType="separate"/>
            </w:r>
            <w:r w:rsidRPr="008E3D4D">
              <w:rPr>
                <w:rFonts w:ascii="Calibri" w:hAnsi="Calibri" w:cs="Calibri"/>
              </w:rPr>
              <w:t>[176]</w:t>
            </w:r>
            <w:r>
              <w:rPr>
                <w:rFonts w:ascii="Calibri" w:hAnsi="Calibri" w:cs="Calibri"/>
              </w:rPr>
              <w:fldChar w:fldCharType="end"/>
            </w:r>
          </w:p>
        </w:tc>
        <w:tc>
          <w:tcPr>
            <w:tcW w:w="392" w:type="pct"/>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tcPr>
          <w:p w14:paraId="3876CC85" w14:textId="77777777" w:rsidR="008E3D4D" w:rsidRDefault="008E3D4D" w:rsidP="008E3D4D">
            <w:pPr>
              <w:spacing w:after="0" w:line="240" w:lineRule="auto"/>
              <w:jc w:val="center"/>
              <w:rPr>
                <w:rFonts w:ascii="Calibri" w:hAnsi="Calibri" w:cs="Calibri"/>
              </w:rPr>
            </w:pPr>
            <w:r>
              <w:rPr>
                <w:rFonts w:ascii="Calibri" w:hAnsi="Calibri" w:cs="Calibri"/>
              </w:rPr>
              <w:t xml:space="preserve">HM (6) </w:t>
            </w:r>
          </w:p>
          <w:p w14:paraId="4090D3AC" w14:textId="77777777" w:rsidR="008E3D4D" w:rsidRDefault="008E3D4D" w:rsidP="008E3D4D">
            <w:pPr>
              <w:spacing w:after="0" w:line="240" w:lineRule="auto"/>
              <w:jc w:val="center"/>
              <w:rPr>
                <w:rFonts w:ascii="Calibri" w:hAnsi="Calibri" w:cs="Calibri"/>
              </w:rPr>
            </w:pPr>
            <w:r>
              <w:rPr>
                <w:rFonts w:ascii="Calibri" w:hAnsi="Calibri" w:cs="Calibri"/>
              </w:rPr>
              <w:t>HF (5)</w:t>
            </w:r>
          </w:p>
        </w:tc>
        <w:tc>
          <w:tcPr>
            <w:tcW w:w="492" w:type="pct"/>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tcPr>
          <w:p w14:paraId="0F1540A8" w14:textId="77777777" w:rsidR="008E3D4D" w:rsidRDefault="008E3D4D" w:rsidP="008E3D4D">
            <w:pPr>
              <w:spacing w:after="0" w:line="240" w:lineRule="auto"/>
              <w:jc w:val="center"/>
              <w:rPr>
                <w:rFonts w:ascii="Calibri" w:hAnsi="Calibri" w:cs="Calibri"/>
              </w:rPr>
            </w:pPr>
            <w:r>
              <w:rPr>
                <w:rFonts w:ascii="Calibri" w:hAnsi="Calibri" w:cs="Calibri"/>
              </w:rPr>
              <w:t>Upright cycling</w:t>
            </w:r>
          </w:p>
        </w:tc>
        <w:tc>
          <w:tcPr>
            <w:tcW w:w="830" w:type="pct"/>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tcPr>
          <w:p w14:paraId="3D5E3856" w14:textId="77777777" w:rsidR="008E3D4D" w:rsidRDefault="008E3D4D" w:rsidP="008E3D4D">
            <w:pPr>
              <w:spacing w:after="0" w:line="240" w:lineRule="auto"/>
              <w:jc w:val="center"/>
              <w:rPr>
                <w:rFonts w:ascii="Calibri" w:hAnsi="Calibri" w:cs="Calibri"/>
              </w:rPr>
            </w:pPr>
            <w:r>
              <w:rPr>
                <w:rFonts w:ascii="Calibri" w:hAnsi="Calibri" w:cs="Calibri"/>
              </w:rPr>
              <w:t>HIIT (8 weeks)</w:t>
            </w:r>
          </w:p>
        </w:tc>
        <w:tc>
          <w:tcPr>
            <w:tcW w:w="578" w:type="pct"/>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tcPr>
          <w:p w14:paraId="62A403C5" w14:textId="77777777" w:rsidR="008E3D4D" w:rsidRDefault="008E3D4D" w:rsidP="008E3D4D">
            <w:pPr>
              <w:spacing w:after="0" w:line="240" w:lineRule="auto"/>
              <w:jc w:val="center"/>
              <w:rPr>
                <w:rFonts w:ascii="Calibri" w:hAnsi="Calibri" w:cs="Calibri"/>
              </w:rPr>
            </w:pPr>
            <w:r>
              <w:rPr>
                <w:rFonts w:ascii="Calibri" w:hAnsi="Calibri" w:cs="Calibri"/>
              </w:rPr>
              <w:t>↑ CP</w:t>
            </w:r>
          </w:p>
          <w:p w14:paraId="4931962D" w14:textId="77777777" w:rsidR="008E3D4D" w:rsidRDefault="008E3D4D" w:rsidP="008E3D4D">
            <w:pPr>
              <w:spacing w:after="0" w:line="240" w:lineRule="auto"/>
              <w:jc w:val="center"/>
              <w:rPr>
                <w:rFonts w:ascii="Calibri" w:hAnsi="Calibri" w:cs="Calibri"/>
              </w:rPr>
            </w:pPr>
            <w:r>
              <w:rPr>
                <w:rFonts w:ascii="Calibri" w:hAnsi="Calibri" w:cs="Calibri"/>
              </w:rPr>
              <w:t>(176 vs 140 W)</w:t>
            </w:r>
          </w:p>
        </w:tc>
        <w:tc>
          <w:tcPr>
            <w:tcW w:w="1134" w:type="pct"/>
            <w:tcBorders>
              <w:top w:val="single" w:sz="6" w:space="0" w:color="CCCCCC"/>
              <w:left w:val="single" w:sz="6" w:space="0" w:color="CCCCCC"/>
              <w:bottom w:val="single" w:sz="4" w:space="0" w:color="auto"/>
              <w:right w:val="single" w:sz="6" w:space="0" w:color="CCCCCC"/>
            </w:tcBorders>
            <w:shd w:val="clear" w:color="auto" w:fill="FFFFFF"/>
            <w:tcMar>
              <w:top w:w="0" w:type="dxa"/>
              <w:left w:w="45" w:type="dxa"/>
              <w:bottom w:w="0" w:type="dxa"/>
              <w:right w:w="45" w:type="dxa"/>
            </w:tcMar>
            <w:vAlign w:val="bottom"/>
          </w:tcPr>
          <w:p w14:paraId="0E5B0E9F" w14:textId="77777777" w:rsidR="008E3D4D" w:rsidRDefault="008E3D4D" w:rsidP="008E3D4D">
            <w:pPr>
              <w:spacing w:after="0" w:line="240" w:lineRule="auto"/>
              <w:jc w:val="center"/>
              <w:rPr>
                <w:rFonts w:ascii="Calibri" w:hAnsi="Calibri" w:cs="Calibri"/>
              </w:rPr>
            </w:pPr>
            <w:r>
              <w:rPr>
                <w:rFonts w:ascii="Calibri" w:hAnsi="Calibri" w:cs="Calibri"/>
              </w:rPr>
              <w:t>↑</w:t>
            </w: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p>
        </w:tc>
        <w:tc>
          <w:tcPr>
            <w:tcW w:w="615" w:type="pct"/>
            <w:tcBorders>
              <w:top w:val="single" w:sz="6" w:space="0" w:color="CCCCCC"/>
              <w:left w:val="single" w:sz="6" w:space="0" w:color="CCCCCC"/>
              <w:bottom w:val="single" w:sz="8" w:space="0" w:color="auto"/>
              <w:right w:val="single" w:sz="8" w:space="0" w:color="auto"/>
            </w:tcBorders>
            <w:tcMar>
              <w:top w:w="0" w:type="dxa"/>
              <w:left w:w="45" w:type="dxa"/>
              <w:bottom w:w="0" w:type="dxa"/>
              <w:right w:w="45" w:type="dxa"/>
            </w:tcMar>
            <w:vAlign w:val="bottom"/>
          </w:tcPr>
          <w:p w14:paraId="564CAE2C" w14:textId="77777777" w:rsidR="008E3D4D" w:rsidRPr="002A0126" w:rsidRDefault="008E3D4D" w:rsidP="008E3D4D">
            <w:pPr>
              <w:spacing w:after="0" w:line="240" w:lineRule="auto"/>
              <w:jc w:val="center"/>
              <w:rPr>
                <w:rFonts w:ascii="Calibri" w:eastAsia="Times New Roman" w:hAnsi="Calibri" w:cs="Calibri"/>
                <w:lang w:eastAsia="en-GB"/>
              </w:rPr>
            </w:pPr>
            <w:r>
              <w:rPr>
                <w:rFonts w:ascii="Calibri" w:eastAsia="Times New Roman" w:hAnsi="Calibri" w:cs="Calibri"/>
                <w:lang w:eastAsia="en-GB"/>
              </w:rPr>
              <w:t>3-6CWR</w:t>
            </w:r>
          </w:p>
        </w:tc>
      </w:tr>
    </w:tbl>
    <w:p w14:paraId="03BE8610" w14:textId="77777777" w:rsidR="008E3D4D" w:rsidRDefault="008E3D4D" w:rsidP="008E3D4D"/>
    <w:p w14:paraId="3F29C39E" w14:textId="77777777" w:rsidR="008E3D4D" w:rsidRPr="00A45FBC" w:rsidRDefault="008E3D4D" w:rsidP="008E3D4D">
      <w:pPr>
        <w:rPr>
          <w:sz w:val="20"/>
        </w:rPr>
      </w:pPr>
      <w:r>
        <w:rPr>
          <w:b/>
          <w:sz w:val="20"/>
        </w:rPr>
        <w:t xml:space="preserve">Author/date: </w:t>
      </w:r>
      <w:r>
        <w:rPr>
          <w:sz w:val="20"/>
        </w:rPr>
        <w:t>*latter publication uses a sub-set of data taken from the former publication</w:t>
      </w:r>
    </w:p>
    <w:p w14:paraId="404259E4" w14:textId="77777777" w:rsidR="008E3D4D" w:rsidRDefault="008E3D4D" w:rsidP="008E3D4D">
      <w:pPr>
        <w:rPr>
          <w:sz w:val="20"/>
        </w:rPr>
      </w:pPr>
      <w:r w:rsidRPr="00775526">
        <w:rPr>
          <w:b/>
          <w:sz w:val="20"/>
        </w:rPr>
        <w:t>Population</w:t>
      </w:r>
      <w:r>
        <w:rPr>
          <w:sz w:val="20"/>
        </w:rPr>
        <w:t>: M, healthy male; F, healthy female; ET, endurance trained; COPD, chronic obstructive pulmonary disease; AT, anaerobically trained; T1D, type 1 diabetes; (n), number of participants</w:t>
      </w:r>
    </w:p>
    <w:p w14:paraId="4C7F6355" w14:textId="77777777" w:rsidR="008E3D4D" w:rsidRDefault="008E3D4D" w:rsidP="008E3D4D">
      <w:pPr>
        <w:rPr>
          <w:sz w:val="20"/>
        </w:rPr>
      </w:pPr>
      <w:r>
        <w:rPr>
          <w:b/>
          <w:sz w:val="20"/>
        </w:rPr>
        <w:t xml:space="preserve">Intervention: </w:t>
      </w:r>
      <w:r>
        <w:rPr>
          <w:sz w:val="20"/>
        </w:rPr>
        <w:t>FiO</w:t>
      </w:r>
      <w:r>
        <w:rPr>
          <w:sz w:val="20"/>
          <w:vertAlign w:val="subscript"/>
        </w:rPr>
        <w:t>2</w:t>
      </w:r>
      <w:r>
        <w:rPr>
          <w:sz w:val="20"/>
        </w:rPr>
        <w:t>, fraction of inspired O</w:t>
      </w:r>
      <w:r>
        <w:rPr>
          <w:sz w:val="20"/>
          <w:vertAlign w:val="subscript"/>
        </w:rPr>
        <w:t>2</w:t>
      </w:r>
      <w:r>
        <w:rPr>
          <w:sz w:val="20"/>
        </w:rPr>
        <w:t>; HIIT, high intensity interval training; SIT, sprint interval training; rpm, revolutions per minute, +/-, with and without</w:t>
      </w:r>
    </w:p>
    <w:p w14:paraId="4E12961C" w14:textId="77777777" w:rsidR="008E3D4D" w:rsidRPr="00E943DD" w:rsidRDefault="008E3D4D" w:rsidP="008E3D4D">
      <w:pPr>
        <w:rPr>
          <w:rFonts w:ascii="Calibri" w:eastAsia="Times New Roman" w:hAnsi="Calibri" w:cs="Calibri"/>
          <w:sz w:val="20"/>
          <w:szCs w:val="20"/>
          <w:lang w:eastAsia="en-GB"/>
        </w:rPr>
      </w:pPr>
      <w:r w:rsidRPr="00E943DD">
        <w:rPr>
          <w:b/>
          <w:sz w:val="20"/>
          <w:szCs w:val="20"/>
        </w:rPr>
        <w:t>Effect on CP</w:t>
      </w:r>
      <w:r w:rsidRPr="00E943DD">
        <w:rPr>
          <w:sz w:val="20"/>
          <w:szCs w:val="20"/>
        </w:rPr>
        <w:t xml:space="preserve">: CP, critical power; </w:t>
      </w:r>
      <w:r w:rsidRPr="00E943DD">
        <w:rPr>
          <w:rFonts w:ascii="Calibri" w:eastAsia="Times New Roman" w:hAnsi="Calibri" w:cs="Calibri"/>
          <w:sz w:val="20"/>
          <w:szCs w:val="20"/>
          <w:lang w:eastAsia="en-GB"/>
        </w:rPr>
        <w:t xml:space="preserve">↑, increased; ↓, decreased; </w:t>
      </w:r>
      <w:r w:rsidRPr="00E943DD">
        <w:rPr>
          <w:rFonts w:ascii="Calibri" w:eastAsia="Times New Roman" w:hAnsi="Calibri" w:cs="Calibri"/>
          <w:sz w:val="20"/>
          <w:szCs w:val="20"/>
          <w:vertAlign w:val="superscript"/>
          <w:lang w:eastAsia="en-GB"/>
        </w:rPr>
        <w:t>#</w:t>
      </w:r>
      <w:r w:rsidRPr="00E943DD">
        <w:rPr>
          <w:rFonts w:ascii="Calibri" w:eastAsia="Times New Roman" w:hAnsi="Calibri" w:cs="Calibri"/>
          <w:sz w:val="20"/>
          <w:szCs w:val="20"/>
          <w:lang w:eastAsia="en-GB"/>
        </w:rPr>
        <w:t>, values for CP estimated from visual inspection of figures</w:t>
      </w:r>
    </w:p>
    <w:p w14:paraId="3A158F08" w14:textId="77777777" w:rsidR="008E3D4D" w:rsidRPr="00E943DD" w:rsidRDefault="008E3D4D" w:rsidP="008E3D4D">
      <w:pPr>
        <w:rPr>
          <w:rFonts w:eastAsia="Times New Roman" w:cstheme="minorHAnsi"/>
          <w:sz w:val="20"/>
          <w:szCs w:val="20"/>
          <w:lang w:eastAsia="en-GB"/>
        </w:rPr>
      </w:pPr>
      <w:r w:rsidRPr="00E943DD">
        <w:rPr>
          <w:rFonts w:cstheme="minorHAnsi"/>
          <w:b/>
          <w:sz w:val="20"/>
          <w:szCs w:val="20"/>
        </w:rPr>
        <w:t xml:space="preserve">Physiological effects of intervention </w:t>
      </w:r>
      <w:r>
        <w:rPr>
          <w:rFonts w:cstheme="minorHAnsi"/>
          <w:b/>
          <w:sz w:val="20"/>
          <w:szCs w:val="20"/>
        </w:rPr>
        <w:t>(</w:t>
      </w:r>
      <w:r w:rsidRPr="00E943DD">
        <w:rPr>
          <w:rFonts w:cstheme="minorHAnsi"/>
          <w:b/>
          <w:sz w:val="20"/>
          <w:szCs w:val="20"/>
        </w:rPr>
        <w:t>all factors considered for chronic interventions, only those factors measured during the determination of CP considered for acute interventions</w:t>
      </w:r>
      <w:r>
        <w:rPr>
          <w:rFonts w:cstheme="minorHAnsi"/>
          <w:b/>
          <w:sz w:val="20"/>
          <w:szCs w:val="20"/>
        </w:rPr>
        <w:t>):</w:t>
      </w:r>
      <w:r>
        <w:rPr>
          <w:rFonts w:cstheme="minorHAnsi"/>
          <w:sz w:val="20"/>
          <w:szCs w:val="20"/>
        </w:rPr>
        <w:t xml:space="preserve"> </w:t>
      </w:r>
      <w:r w:rsidRPr="00E943DD">
        <w:rPr>
          <w:rFonts w:eastAsia="Times New Roman" w:cstheme="minorHAnsi"/>
          <w:sz w:val="20"/>
          <w:szCs w:val="20"/>
          <w:lang w:eastAsia="en-GB"/>
        </w:rPr>
        <w:t>↔, unchanged; V̇O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rate of oxygen uptake; VO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total oxygen consumed;</w:t>
      </w:r>
      <w:r w:rsidRPr="00E943DD">
        <w:rPr>
          <w:rFonts w:eastAsia="Times New Roman" w:cstheme="minorHAnsi"/>
          <w:sz w:val="20"/>
          <w:szCs w:val="20"/>
          <w:vertAlign w:val="subscript"/>
          <w:lang w:eastAsia="en-GB"/>
        </w:rPr>
        <w:t xml:space="preserve"> </w:t>
      </w:r>
      <w:r w:rsidRPr="00E943DD">
        <w:rPr>
          <w:rFonts w:eastAsia="Times New Roman" w:cstheme="minorHAnsi"/>
          <w:sz w:val="20"/>
          <w:szCs w:val="20"/>
          <w:lang w:eastAsia="en-GB"/>
        </w:rPr>
        <w:t>V̇O</w:t>
      </w:r>
      <w:r w:rsidRPr="00E943DD">
        <w:rPr>
          <w:rFonts w:eastAsia="Times New Roman" w:cstheme="minorHAnsi"/>
          <w:sz w:val="20"/>
          <w:szCs w:val="20"/>
          <w:vertAlign w:val="subscript"/>
          <w:lang w:eastAsia="en-GB"/>
        </w:rPr>
        <w:t>2peak</w:t>
      </w:r>
      <w:r w:rsidRPr="00E943DD">
        <w:rPr>
          <w:rFonts w:eastAsia="Times New Roman" w:cstheme="minorHAnsi"/>
          <w:sz w:val="20"/>
          <w:szCs w:val="20"/>
          <w:lang w:eastAsia="en-GB"/>
        </w:rPr>
        <w:t>, highest V̇O</w:t>
      </w:r>
      <w:r w:rsidRPr="00E943DD">
        <w:rPr>
          <w:rFonts w:eastAsia="Times New Roman" w:cstheme="minorHAnsi"/>
          <w:sz w:val="20"/>
          <w:szCs w:val="20"/>
          <w:vertAlign w:val="subscript"/>
          <w:lang w:eastAsia="en-GB"/>
        </w:rPr>
        <w:t xml:space="preserve">2 </w:t>
      </w:r>
      <w:r w:rsidRPr="00E943DD">
        <w:rPr>
          <w:rFonts w:eastAsia="Times New Roman" w:cstheme="minorHAnsi"/>
          <w:sz w:val="20"/>
          <w:szCs w:val="20"/>
          <w:lang w:eastAsia="en-GB"/>
        </w:rPr>
        <w:t>recorded but not verified with additional tests &gt;CP; V̇O</w:t>
      </w:r>
      <w:r w:rsidRPr="00E943DD">
        <w:rPr>
          <w:rFonts w:eastAsia="Times New Roman" w:cstheme="minorHAnsi"/>
          <w:sz w:val="20"/>
          <w:szCs w:val="20"/>
          <w:vertAlign w:val="subscript"/>
          <w:lang w:eastAsia="en-GB"/>
        </w:rPr>
        <w:t>2max</w:t>
      </w:r>
      <w:r w:rsidRPr="00E943DD">
        <w:rPr>
          <w:rFonts w:eastAsia="Times New Roman" w:cstheme="minorHAnsi"/>
          <w:sz w:val="20"/>
          <w:szCs w:val="20"/>
          <w:lang w:eastAsia="en-GB"/>
        </w:rPr>
        <w:t>, maximal V̇O</w:t>
      </w:r>
      <w:r w:rsidRPr="00E943DD">
        <w:rPr>
          <w:rFonts w:eastAsia="Times New Roman" w:cstheme="minorHAnsi"/>
          <w:sz w:val="20"/>
          <w:szCs w:val="20"/>
          <w:vertAlign w:val="subscript"/>
          <w:lang w:eastAsia="en-GB"/>
        </w:rPr>
        <w:t xml:space="preserve">2 </w:t>
      </w:r>
      <w:r w:rsidRPr="00E943DD">
        <w:rPr>
          <w:rFonts w:eastAsia="Times New Roman" w:cstheme="minorHAnsi"/>
          <w:sz w:val="20"/>
          <w:szCs w:val="20"/>
          <w:lang w:eastAsia="en-GB"/>
        </w:rPr>
        <w:t>recorded following verification from additional trials &gt;CP; MRT</w:t>
      </w:r>
      <w:r w:rsidRPr="00E943DD">
        <w:rPr>
          <w:rFonts w:eastAsia="Times New Roman" w:cstheme="minorHAnsi"/>
          <w:sz w:val="20"/>
          <w:szCs w:val="20"/>
          <w:vertAlign w:val="subscript"/>
          <w:lang w:eastAsia="en-GB"/>
        </w:rPr>
        <w:t>V̇O2</w:t>
      </w:r>
      <w:r w:rsidRPr="00E943DD">
        <w:rPr>
          <w:rFonts w:eastAsia="Times New Roman" w:cstheme="minorHAnsi"/>
          <w:sz w:val="20"/>
          <w:szCs w:val="20"/>
          <w:lang w:eastAsia="en-GB"/>
        </w:rPr>
        <w:t>, mean response time of V̇O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xml:space="preserve">;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E943DD">
        <w:rPr>
          <w:rFonts w:eastAsia="Times New Roman" w:cstheme="minorHAnsi"/>
          <w:sz w:val="20"/>
          <w:szCs w:val="20"/>
          <w:lang w:eastAsia="en-GB"/>
        </w:rPr>
        <w:t>, time constant of V̇O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xml:space="preserve"> kinetics; LT, lactate threshold; MVC, maximal voluntary contraction; La, lactate, </w:t>
      </w:r>
      <w:proofErr w:type="spellStart"/>
      <w:r w:rsidRPr="00E943DD">
        <w:rPr>
          <w:rFonts w:eastAsia="Times New Roman" w:cstheme="minorHAnsi"/>
          <w:sz w:val="20"/>
          <w:szCs w:val="20"/>
          <w:lang w:eastAsia="en-GB"/>
        </w:rPr>
        <w:t>V̇e</w:t>
      </w:r>
      <w:r w:rsidRPr="00E943DD">
        <w:rPr>
          <w:rFonts w:eastAsia="Times New Roman" w:cstheme="minorHAnsi"/>
          <w:sz w:val="20"/>
          <w:szCs w:val="20"/>
          <w:vertAlign w:val="subscript"/>
          <w:lang w:eastAsia="en-GB"/>
        </w:rPr>
        <w:t>peak</w:t>
      </w:r>
      <w:proofErr w:type="spellEnd"/>
      <w:r w:rsidRPr="00E943DD">
        <w:rPr>
          <w:rFonts w:eastAsia="Times New Roman" w:cstheme="minorHAnsi"/>
          <w:sz w:val="20"/>
          <w:szCs w:val="20"/>
          <w:lang w:eastAsia="en-GB"/>
        </w:rPr>
        <w:t xml:space="preserve">, highest ventilation measured; GET, gas exchange threshold; ADP, adenosine diphosphate; </w:t>
      </w:r>
      <w:proofErr w:type="spellStart"/>
      <w:r w:rsidRPr="00E943DD">
        <w:rPr>
          <w:rFonts w:eastAsia="Times New Roman" w:cstheme="minorHAnsi"/>
          <w:sz w:val="20"/>
          <w:szCs w:val="20"/>
          <w:lang w:eastAsia="en-GB"/>
        </w:rPr>
        <w:t>PCr</w:t>
      </w:r>
      <w:proofErr w:type="spellEnd"/>
      <w:r w:rsidRPr="00E943DD">
        <w:rPr>
          <w:rFonts w:eastAsia="Times New Roman" w:cstheme="minorHAnsi"/>
          <w:sz w:val="20"/>
          <w:szCs w:val="20"/>
          <w:lang w:eastAsia="en-GB"/>
        </w:rPr>
        <w:t>, phosphocreatine; Pi, inorganic phosphate; HbO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xml:space="preserve">, oxygenated haemoglobin; </w:t>
      </w:r>
      <w:proofErr w:type="spellStart"/>
      <w:r w:rsidRPr="00E943DD">
        <w:rPr>
          <w:rFonts w:eastAsia="Times New Roman" w:cstheme="minorHAnsi"/>
          <w:sz w:val="20"/>
          <w:szCs w:val="20"/>
          <w:lang w:eastAsia="en-GB"/>
        </w:rPr>
        <w:t>HHb</w:t>
      </w:r>
      <w:proofErr w:type="spellEnd"/>
      <w:r w:rsidRPr="00E943DD">
        <w:rPr>
          <w:rFonts w:eastAsia="Times New Roman" w:cstheme="minorHAnsi"/>
          <w:sz w:val="20"/>
          <w:szCs w:val="20"/>
          <w:lang w:eastAsia="en-GB"/>
        </w:rPr>
        <w:t xml:space="preserve">, deoxygenated haemoglobin; </w:t>
      </w:r>
      <w:proofErr w:type="spellStart"/>
      <w:r w:rsidRPr="00E943DD">
        <w:rPr>
          <w:rFonts w:eastAsia="Times New Roman" w:cstheme="minorHAnsi"/>
          <w:sz w:val="20"/>
          <w:szCs w:val="20"/>
          <w:lang w:eastAsia="en-GB"/>
        </w:rPr>
        <w:t>THb</w:t>
      </w:r>
      <w:proofErr w:type="spellEnd"/>
      <w:r w:rsidRPr="00E943DD">
        <w:rPr>
          <w:rFonts w:eastAsia="Times New Roman" w:cstheme="minorHAnsi"/>
          <w:sz w:val="20"/>
          <w:szCs w:val="20"/>
          <w:lang w:eastAsia="en-GB"/>
        </w:rPr>
        <w:t xml:space="preserve">, total haemoglobin; </w:t>
      </w:r>
      <w:r w:rsidRPr="00533702">
        <w:rPr>
          <w:rFonts w:ascii="Symbol" w:eastAsia="Times New Roman" w:hAnsi="Symbol" w:cstheme="minorHAnsi"/>
          <w:sz w:val="20"/>
          <w:szCs w:val="20"/>
          <w:lang w:eastAsia="en-GB"/>
        </w:rPr>
        <w:t></w:t>
      </w:r>
      <w:r w:rsidRPr="00E943DD">
        <w:rPr>
          <w:rFonts w:eastAsia="Times New Roman" w:cstheme="minorHAnsi"/>
          <w:sz w:val="20"/>
          <w:szCs w:val="20"/>
          <w:vertAlign w:val="subscript"/>
          <w:lang w:eastAsia="en-GB"/>
        </w:rPr>
        <w:t>[</w:t>
      </w:r>
      <w:proofErr w:type="spellStart"/>
      <w:r w:rsidRPr="00E943DD">
        <w:rPr>
          <w:rFonts w:eastAsia="Times New Roman" w:cstheme="minorHAnsi"/>
          <w:sz w:val="20"/>
          <w:szCs w:val="20"/>
          <w:vertAlign w:val="subscript"/>
          <w:lang w:eastAsia="en-GB"/>
        </w:rPr>
        <w:t>HHb</w:t>
      </w:r>
      <w:proofErr w:type="spellEnd"/>
      <w:r w:rsidRPr="00E943DD">
        <w:rPr>
          <w:rFonts w:eastAsia="Times New Roman" w:cstheme="minorHAnsi"/>
          <w:sz w:val="20"/>
          <w:szCs w:val="20"/>
          <w:vertAlign w:val="subscript"/>
          <w:lang w:eastAsia="en-GB"/>
        </w:rPr>
        <w:t>]</w:t>
      </w:r>
      <w:r w:rsidRPr="00E943DD">
        <w:rPr>
          <w:rFonts w:eastAsia="Times New Roman" w:cstheme="minorHAnsi"/>
          <w:sz w:val="20"/>
          <w:szCs w:val="20"/>
          <w:lang w:eastAsia="en-GB"/>
        </w:rPr>
        <w:t>, time constant of [</w:t>
      </w:r>
      <w:proofErr w:type="spellStart"/>
      <w:r w:rsidRPr="00E943DD">
        <w:rPr>
          <w:rFonts w:eastAsia="Times New Roman" w:cstheme="minorHAnsi"/>
          <w:sz w:val="20"/>
          <w:szCs w:val="20"/>
          <w:lang w:eastAsia="en-GB"/>
        </w:rPr>
        <w:t>HHb</w:t>
      </w:r>
      <w:proofErr w:type="spellEnd"/>
      <w:r w:rsidRPr="00E943DD">
        <w:rPr>
          <w:rFonts w:eastAsia="Times New Roman" w:cstheme="minorHAnsi"/>
          <w:sz w:val="20"/>
          <w:szCs w:val="20"/>
          <w:lang w:eastAsia="en-GB"/>
        </w:rPr>
        <w:t>] kinetics;</w:t>
      </w:r>
      <w:r w:rsidRPr="00E943DD">
        <w:rPr>
          <w:rFonts w:eastAsia="Times New Roman" w:cstheme="minorHAnsi"/>
          <w:sz w:val="20"/>
          <w:szCs w:val="20"/>
          <w:vertAlign w:val="subscript"/>
          <w:lang w:eastAsia="en-GB"/>
        </w:rPr>
        <w:t xml:space="preserve"> </w:t>
      </w:r>
      <w:r w:rsidRPr="00E943DD">
        <w:rPr>
          <w:rFonts w:eastAsia="Times New Roman" w:cstheme="minorHAnsi"/>
          <w:sz w:val="20"/>
          <w:szCs w:val="20"/>
          <w:lang w:eastAsia="en-GB"/>
        </w:rPr>
        <w:t>SaO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arterial oxygen saturation; Q̇</w:t>
      </w:r>
      <w:r w:rsidRPr="00E943DD">
        <w:rPr>
          <w:rFonts w:eastAsia="Times New Roman" w:cstheme="minorHAnsi"/>
          <w:sz w:val="20"/>
          <w:szCs w:val="20"/>
          <w:vertAlign w:val="subscript"/>
          <w:lang w:eastAsia="en-GB"/>
        </w:rPr>
        <w:t>BA</w:t>
      </w:r>
      <w:r w:rsidRPr="00E943DD">
        <w:rPr>
          <w:rFonts w:eastAsia="Times New Roman" w:cstheme="minorHAnsi"/>
          <w:sz w:val="20"/>
          <w:szCs w:val="20"/>
          <w:lang w:eastAsia="en-GB"/>
        </w:rPr>
        <w:t>, brachial artery blood flow; mV̇</w:t>
      </w:r>
      <w:r w:rsidRPr="00E943DD">
        <w:rPr>
          <w:rFonts w:eastAsiaTheme="minorEastAsia" w:cstheme="minorHAnsi"/>
          <w:bCs/>
          <w:sz w:val="20"/>
          <w:szCs w:val="20"/>
        </w:rPr>
        <w:t>O</w:t>
      </w:r>
      <w:r w:rsidRPr="00E943DD">
        <w:rPr>
          <w:rFonts w:eastAsiaTheme="minorEastAsia" w:cstheme="minorHAnsi"/>
          <w:bCs/>
          <w:sz w:val="20"/>
          <w:szCs w:val="20"/>
          <w:vertAlign w:val="subscript"/>
        </w:rPr>
        <w:t>2</w:t>
      </w:r>
      <w:r w:rsidRPr="00E943DD">
        <w:rPr>
          <w:rFonts w:eastAsiaTheme="minorEastAsia" w:cstheme="minorHAnsi"/>
          <w:bCs/>
          <w:sz w:val="20"/>
          <w:szCs w:val="20"/>
        </w:rPr>
        <w:t xml:space="preserve">: muscle </w:t>
      </w:r>
      <w:r w:rsidRPr="00E943DD">
        <w:rPr>
          <w:rFonts w:eastAsia="Times New Roman" w:cstheme="minorHAnsi"/>
          <w:sz w:val="20"/>
          <w:szCs w:val="20"/>
          <w:lang w:eastAsia="en-GB"/>
        </w:rPr>
        <w:t>V̇</w:t>
      </w:r>
      <w:r w:rsidRPr="00E943DD">
        <w:rPr>
          <w:rFonts w:eastAsiaTheme="minorEastAsia" w:cstheme="minorHAnsi"/>
          <w:bCs/>
          <w:sz w:val="20"/>
          <w:szCs w:val="20"/>
        </w:rPr>
        <w:t>O</w:t>
      </w:r>
      <w:r w:rsidRPr="00E943DD">
        <w:rPr>
          <w:rFonts w:eastAsiaTheme="minorEastAsia" w:cstheme="minorHAnsi"/>
          <w:bCs/>
          <w:sz w:val="20"/>
          <w:szCs w:val="20"/>
          <w:vertAlign w:val="subscript"/>
        </w:rPr>
        <w:t>2</w:t>
      </w:r>
      <w:r w:rsidRPr="00E943DD">
        <w:rPr>
          <w:rFonts w:eastAsiaTheme="minorEastAsia" w:cstheme="minorHAnsi"/>
          <w:bCs/>
          <w:sz w:val="20"/>
          <w:szCs w:val="20"/>
        </w:rPr>
        <w:t xml:space="preserve"> estimated via combined near infrared spectroscopy and doppler ultrasound; </w:t>
      </w:r>
      <w:proofErr w:type="spellStart"/>
      <w:r w:rsidRPr="00E943DD">
        <w:rPr>
          <w:rFonts w:eastAsia="Times New Roman" w:cstheme="minorHAnsi"/>
          <w:sz w:val="20"/>
          <w:szCs w:val="20"/>
          <w:lang w:eastAsia="en-GB"/>
        </w:rPr>
        <w:t>iEMG</w:t>
      </w:r>
      <w:proofErr w:type="spellEnd"/>
      <w:r w:rsidRPr="00E943DD">
        <w:rPr>
          <w:rFonts w:eastAsia="Times New Roman" w:cstheme="minorHAnsi"/>
          <w:sz w:val="20"/>
          <w:szCs w:val="20"/>
          <w:lang w:eastAsia="en-GB"/>
        </w:rPr>
        <w:t>, integrated electromyography; EMG</w:t>
      </w:r>
      <w:r w:rsidRPr="00E943DD">
        <w:rPr>
          <w:rFonts w:eastAsia="Times New Roman" w:cstheme="minorHAnsi"/>
          <w:sz w:val="20"/>
          <w:szCs w:val="20"/>
          <w:vertAlign w:val="subscript"/>
          <w:lang w:eastAsia="en-GB"/>
        </w:rPr>
        <w:t>MPF</w:t>
      </w:r>
      <w:r w:rsidRPr="00E943DD">
        <w:rPr>
          <w:rFonts w:eastAsia="Times New Roman" w:cstheme="minorHAnsi"/>
          <w:sz w:val="20"/>
          <w:szCs w:val="20"/>
          <w:lang w:eastAsia="en-GB"/>
        </w:rPr>
        <w:t>, electromyography median power frequency; EMG</w:t>
      </w:r>
      <w:r w:rsidRPr="00E943DD">
        <w:rPr>
          <w:rFonts w:eastAsia="Times New Roman" w:cstheme="minorHAnsi"/>
          <w:sz w:val="20"/>
          <w:szCs w:val="20"/>
          <w:vertAlign w:val="subscript"/>
          <w:lang w:eastAsia="en-GB"/>
        </w:rPr>
        <w:t>RMS</w:t>
      </w:r>
      <w:r w:rsidRPr="00E943DD">
        <w:rPr>
          <w:rFonts w:eastAsia="Times New Roman" w:cstheme="minorHAnsi"/>
          <w:sz w:val="20"/>
          <w:szCs w:val="20"/>
          <w:lang w:eastAsia="en-GB"/>
        </w:rPr>
        <w:t xml:space="preserve">, electromyography root mean squared; </w:t>
      </w:r>
      <w:r w:rsidRPr="00E943DD">
        <w:rPr>
          <w:rFonts w:eastAsiaTheme="minorEastAsia" w:cstheme="minorHAnsi"/>
          <w:bCs/>
          <w:sz w:val="20"/>
          <w:szCs w:val="20"/>
        </w:rPr>
        <w:t xml:space="preserve">LBM, lean body mass; MyHC1, myosin heavy chain 1; MyHC2, myosin heavy chain 2; CSA, cross-sectional area; SDH, succinate dehydrogenase; </w:t>
      </w:r>
      <w:r w:rsidRPr="00E943DD">
        <w:rPr>
          <w:rFonts w:eastAsia="Times New Roman" w:cstheme="minorHAnsi"/>
          <w:sz w:val="20"/>
          <w:szCs w:val="20"/>
          <w:lang w:eastAsia="en-GB"/>
        </w:rPr>
        <w:t>PetO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end-tidal pressure of 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w:t>
      </w:r>
      <w:r>
        <w:rPr>
          <w:rFonts w:eastAsia="Times New Roman" w:cstheme="minorHAnsi"/>
          <w:sz w:val="20"/>
          <w:szCs w:val="20"/>
          <w:lang w:eastAsia="en-GB"/>
        </w:rPr>
        <w:t xml:space="preserve"> RF, rectus femoris; VL, vastus lateralis;</w:t>
      </w:r>
      <w:r w:rsidRPr="00E943DD">
        <w:rPr>
          <w:rFonts w:eastAsia="Times New Roman" w:cstheme="minorHAnsi"/>
          <w:sz w:val="20"/>
          <w:szCs w:val="20"/>
          <w:lang w:eastAsia="en-GB"/>
        </w:rPr>
        <w:t xml:space="preserve"> </w:t>
      </w:r>
      <w:r w:rsidRPr="00E943DD">
        <w:rPr>
          <w:rFonts w:cstheme="minorHAnsi"/>
          <w:color w:val="000000"/>
          <w:sz w:val="20"/>
          <w:szCs w:val="20"/>
          <w:shd w:val="clear" w:color="auto" w:fill="FFFFFF"/>
          <w:vertAlign w:val="superscript"/>
        </w:rPr>
        <w:t>1</w:t>
      </w:r>
      <w:r w:rsidRPr="00E943DD">
        <w:rPr>
          <w:rFonts w:cstheme="minorHAnsi"/>
          <w:color w:val="000000"/>
          <w:sz w:val="20"/>
          <w:szCs w:val="20"/>
          <w:shd w:val="clear" w:color="auto" w:fill="FFFFFF"/>
        </w:rPr>
        <w:t>[</w:t>
      </w:r>
      <w:proofErr w:type="spellStart"/>
      <w:r w:rsidRPr="00E943DD">
        <w:rPr>
          <w:rFonts w:cstheme="minorHAnsi"/>
          <w:color w:val="000000"/>
          <w:sz w:val="20"/>
          <w:szCs w:val="20"/>
          <w:shd w:val="clear" w:color="auto" w:fill="FFFFFF"/>
        </w:rPr>
        <w:t>HHb</w:t>
      </w:r>
      <w:proofErr w:type="spellEnd"/>
      <w:r w:rsidRPr="00E943DD">
        <w:rPr>
          <w:rFonts w:cstheme="minorHAnsi"/>
          <w:color w:val="000000"/>
          <w:sz w:val="20"/>
          <w:szCs w:val="20"/>
          <w:shd w:val="clear" w:color="auto" w:fill="FFFFFF"/>
        </w:rPr>
        <w:t>], [</w:t>
      </w:r>
      <w:proofErr w:type="spellStart"/>
      <w:r w:rsidRPr="00E943DD">
        <w:rPr>
          <w:rFonts w:cstheme="minorHAnsi"/>
          <w:color w:val="000000"/>
          <w:sz w:val="20"/>
          <w:szCs w:val="20"/>
          <w:shd w:val="clear" w:color="auto" w:fill="FFFFFF"/>
        </w:rPr>
        <w:t>THb</w:t>
      </w:r>
      <w:proofErr w:type="spellEnd"/>
      <w:r w:rsidRPr="00E943DD">
        <w:rPr>
          <w:rFonts w:cstheme="minorHAnsi"/>
          <w:color w:val="000000"/>
          <w:sz w:val="20"/>
          <w:szCs w:val="20"/>
          <w:shd w:val="clear" w:color="auto" w:fill="FFFFFF"/>
        </w:rPr>
        <w:t>], [HbO</w:t>
      </w:r>
      <w:r w:rsidRPr="00E943DD">
        <w:rPr>
          <w:rFonts w:cstheme="minorHAnsi"/>
          <w:color w:val="000000"/>
          <w:sz w:val="20"/>
          <w:szCs w:val="20"/>
          <w:shd w:val="clear" w:color="auto" w:fill="FFFFFF"/>
          <w:vertAlign w:val="subscript"/>
        </w:rPr>
        <w:t>2</w:t>
      </w:r>
      <w:r w:rsidRPr="00E943DD">
        <w:rPr>
          <w:rFonts w:cstheme="minorHAnsi"/>
          <w:color w:val="000000"/>
          <w:sz w:val="20"/>
          <w:szCs w:val="20"/>
          <w:shd w:val="clear" w:color="auto" w:fill="FFFFFF"/>
        </w:rPr>
        <w:t xml:space="preserve">] determined via near infrared spectroscopy on the </w:t>
      </w:r>
      <w:r>
        <w:rPr>
          <w:rFonts w:cstheme="minorHAnsi"/>
          <w:color w:val="000000"/>
          <w:sz w:val="20"/>
          <w:szCs w:val="20"/>
          <w:shd w:val="clear" w:color="auto" w:fill="FFFFFF"/>
        </w:rPr>
        <w:t>VL</w:t>
      </w:r>
      <w:r w:rsidRPr="00E943DD">
        <w:rPr>
          <w:rFonts w:cstheme="minorHAnsi"/>
          <w:color w:val="000000"/>
          <w:sz w:val="20"/>
          <w:szCs w:val="20"/>
          <w:shd w:val="clear" w:color="auto" w:fill="FFFFFF"/>
        </w:rPr>
        <w:t xml:space="preserve">; </w:t>
      </w:r>
      <w:r w:rsidRPr="00E943DD">
        <w:rPr>
          <w:rFonts w:cstheme="minorHAnsi"/>
          <w:color w:val="000000"/>
          <w:sz w:val="20"/>
          <w:szCs w:val="20"/>
          <w:shd w:val="clear" w:color="auto" w:fill="FFFFFF"/>
          <w:vertAlign w:val="superscript"/>
        </w:rPr>
        <w:t>2</w:t>
      </w:r>
      <w:r w:rsidRPr="00E943DD">
        <w:rPr>
          <w:rFonts w:cstheme="minorHAnsi"/>
          <w:color w:val="000000"/>
          <w:sz w:val="20"/>
          <w:szCs w:val="20"/>
          <w:shd w:val="clear" w:color="auto" w:fill="FFFFFF"/>
        </w:rPr>
        <w:t>[</w:t>
      </w:r>
      <w:proofErr w:type="spellStart"/>
      <w:r w:rsidRPr="00E943DD">
        <w:rPr>
          <w:rFonts w:cstheme="minorHAnsi"/>
          <w:color w:val="000000"/>
          <w:sz w:val="20"/>
          <w:szCs w:val="20"/>
          <w:shd w:val="clear" w:color="auto" w:fill="FFFFFF"/>
        </w:rPr>
        <w:t>HHb</w:t>
      </w:r>
      <w:proofErr w:type="spellEnd"/>
      <w:r w:rsidRPr="00E943DD">
        <w:rPr>
          <w:rFonts w:cstheme="minorHAnsi"/>
          <w:color w:val="000000"/>
          <w:sz w:val="20"/>
          <w:szCs w:val="20"/>
          <w:shd w:val="clear" w:color="auto" w:fill="FFFFFF"/>
        </w:rPr>
        <w:t>], [</w:t>
      </w:r>
      <w:proofErr w:type="spellStart"/>
      <w:r w:rsidRPr="00E943DD">
        <w:rPr>
          <w:rFonts w:cstheme="minorHAnsi"/>
          <w:color w:val="000000"/>
          <w:sz w:val="20"/>
          <w:szCs w:val="20"/>
          <w:shd w:val="clear" w:color="auto" w:fill="FFFFFF"/>
        </w:rPr>
        <w:t>THb</w:t>
      </w:r>
      <w:proofErr w:type="spellEnd"/>
      <w:r w:rsidRPr="00E943DD">
        <w:rPr>
          <w:rFonts w:cstheme="minorHAnsi"/>
          <w:color w:val="000000"/>
          <w:sz w:val="20"/>
          <w:szCs w:val="20"/>
          <w:shd w:val="clear" w:color="auto" w:fill="FFFFFF"/>
        </w:rPr>
        <w:t>], [HbO</w:t>
      </w:r>
      <w:r w:rsidRPr="00E943DD">
        <w:rPr>
          <w:rFonts w:cstheme="minorHAnsi"/>
          <w:color w:val="000000"/>
          <w:sz w:val="20"/>
          <w:szCs w:val="20"/>
          <w:shd w:val="clear" w:color="auto" w:fill="FFFFFF"/>
          <w:vertAlign w:val="subscript"/>
        </w:rPr>
        <w:t>2</w:t>
      </w:r>
      <w:r w:rsidRPr="00E943DD">
        <w:rPr>
          <w:rFonts w:cstheme="minorHAnsi"/>
          <w:color w:val="000000"/>
          <w:sz w:val="20"/>
          <w:szCs w:val="20"/>
          <w:shd w:val="clear" w:color="auto" w:fill="FFFFFF"/>
        </w:rPr>
        <w:t xml:space="preserve">] determined via near infrared spectroscopy on the flexor digitorum superficialis; </w:t>
      </w:r>
      <w:r w:rsidRPr="00E943DD">
        <w:rPr>
          <w:rFonts w:cstheme="minorHAnsi"/>
          <w:color w:val="000000"/>
          <w:sz w:val="20"/>
          <w:szCs w:val="20"/>
          <w:shd w:val="clear" w:color="auto" w:fill="FFFFFF"/>
          <w:vertAlign w:val="superscript"/>
        </w:rPr>
        <w:t>3</w:t>
      </w:r>
      <w:r w:rsidRPr="00E943DD">
        <w:rPr>
          <w:rFonts w:cstheme="minorHAnsi"/>
          <w:color w:val="000000"/>
          <w:sz w:val="20"/>
          <w:szCs w:val="20"/>
          <w:shd w:val="clear" w:color="auto" w:fill="FFFFFF"/>
        </w:rPr>
        <w:t>[</w:t>
      </w:r>
      <w:proofErr w:type="spellStart"/>
      <w:r w:rsidRPr="00E943DD">
        <w:rPr>
          <w:rFonts w:cstheme="minorHAnsi"/>
          <w:color w:val="000000"/>
          <w:sz w:val="20"/>
          <w:szCs w:val="20"/>
          <w:shd w:val="clear" w:color="auto" w:fill="FFFFFF"/>
        </w:rPr>
        <w:t>HHb</w:t>
      </w:r>
      <w:proofErr w:type="spellEnd"/>
      <w:r w:rsidRPr="00E943DD">
        <w:rPr>
          <w:rFonts w:cstheme="minorHAnsi"/>
          <w:color w:val="000000"/>
          <w:sz w:val="20"/>
          <w:szCs w:val="20"/>
          <w:shd w:val="clear" w:color="auto" w:fill="FFFFFF"/>
        </w:rPr>
        <w:t>], [</w:t>
      </w:r>
      <w:proofErr w:type="spellStart"/>
      <w:r w:rsidRPr="00E943DD">
        <w:rPr>
          <w:rFonts w:cstheme="minorHAnsi"/>
          <w:color w:val="000000"/>
          <w:sz w:val="20"/>
          <w:szCs w:val="20"/>
          <w:shd w:val="clear" w:color="auto" w:fill="FFFFFF"/>
        </w:rPr>
        <w:t>THb</w:t>
      </w:r>
      <w:proofErr w:type="spellEnd"/>
      <w:r w:rsidRPr="00E943DD">
        <w:rPr>
          <w:rFonts w:cstheme="minorHAnsi"/>
          <w:color w:val="000000"/>
          <w:sz w:val="20"/>
          <w:szCs w:val="20"/>
          <w:shd w:val="clear" w:color="auto" w:fill="FFFFFF"/>
        </w:rPr>
        <w:t>], [HbO</w:t>
      </w:r>
      <w:r w:rsidRPr="00E943DD">
        <w:rPr>
          <w:rFonts w:cstheme="minorHAnsi"/>
          <w:color w:val="000000"/>
          <w:sz w:val="20"/>
          <w:szCs w:val="20"/>
          <w:shd w:val="clear" w:color="auto" w:fill="FFFFFF"/>
          <w:vertAlign w:val="subscript"/>
        </w:rPr>
        <w:t>2</w:t>
      </w:r>
      <w:r w:rsidRPr="00E943DD">
        <w:rPr>
          <w:rFonts w:cstheme="minorHAnsi"/>
          <w:color w:val="000000"/>
          <w:sz w:val="20"/>
          <w:szCs w:val="20"/>
          <w:shd w:val="clear" w:color="auto" w:fill="FFFFFF"/>
        </w:rPr>
        <w:t xml:space="preserve">] determined via near infrared spectroscopy on </w:t>
      </w:r>
      <w:r>
        <w:rPr>
          <w:rFonts w:cstheme="minorHAnsi"/>
          <w:color w:val="000000"/>
          <w:sz w:val="20"/>
          <w:szCs w:val="20"/>
          <w:shd w:val="clear" w:color="auto" w:fill="FFFFFF"/>
        </w:rPr>
        <w:t>the VL &amp; RF</w:t>
      </w:r>
      <w:r w:rsidRPr="00E943DD">
        <w:rPr>
          <w:rFonts w:cstheme="minorHAnsi"/>
          <w:color w:val="000000"/>
          <w:sz w:val="20"/>
          <w:szCs w:val="20"/>
          <w:shd w:val="clear" w:color="auto" w:fill="FFFFFF"/>
        </w:rPr>
        <w:t xml:space="preserve"> </w:t>
      </w:r>
    </w:p>
    <w:p w14:paraId="681CFE18" w14:textId="77777777" w:rsidR="008E3D4D" w:rsidRPr="007B6522" w:rsidRDefault="008E3D4D" w:rsidP="008E3D4D">
      <w:pPr>
        <w:rPr>
          <w:sz w:val="20"/>
        </w:rPr>
      </w:pPr>
      <w:r>
        <w:rPr>
          <w:b/>
          <w:sz w:val="20"/>
        </w:rPr>
        <w:t xml:space="preserve">CP determination method: </w:t>
      </w:r>
      <w:proofErr w:type="spellStart"/>
      <w:r w:rsidRPr="007B6522">
        <w:rPr>
          <w:sz w:val="20"/>
        </w:rPr>
        <w:t>n</w:t>
      </w:r>
      <w:r>
        <w:rPr>
          <w:sz w:val="20"/>
        </w:rPr>
        <w:t>CWR</w:t>
      </w:r>
      <w:proofErr w:type="spellEnd"/>
      <w:r>
        <w:rPr>
          <w:sz w:val="20"/>
        </w:rPr>
        <w:t xml:space="preserve">, number of constant work-rate trials; 3MT, 3-minute all-out test; </w:t>
      </w:r>
      <w:proofErr w:type="spellStart"/>
      <w:r>
        <w:rPr>
          <w:sz w:val="20"/>
        </w:rPr>
        <w:t>nTT</w:t>
      </w:r>
      <w:proofErr w:type="spellEnd"/>
      <w:r>
        <w:rPr>
          <w:sz w:val="20"/>
        </w:rPr>
        <w:t>, number of time-trials</w:t>
      </w:r>
    </w:p>
    <w:p w14:paraId="203BEA0D" w14:textId="77777777" w:rsidR="008E3D4D" w:rsidRDefault="008E3D4D" w:rsidP="0031579A"/>
    <w:p w14:paraId="3EE75364" w14:textId="77777777" w:rsidR="008E3D4D" w:rsidRDefault="008E3D4D" w:rsidP="0031579A"/>
    <w:p w14:paraId="5A93BAD8" w14:textId="77777777" w:rsidR="008E3D4D" w:rsidRDefault="008E3D4D" w:rsidP="0031579A"/>
    <w:p w14:paraId="1299382F" w14:textId="77777777" w:rsidR="008E3D4D" w:rsidRDefault="008E3D4D" w:rsidP="0031579A"/>
    <w:p w14:paraId="602C5512" w14:textId="77777777" w:rsidR="008E498A" w:rsidRDefault="008E498A" w:rsidP="008E498A">
      <w:r>
        <w:lastRenderedPageBreak/>
        <w:t>Table 2: Summary of studies demonstrating physiological or performance factors that correlate with CP</w:t>
      </w:r>
    </w:p>
    <w:tbl>
      <w:tblPr>
        <w:tblW w:w="13401" w:type="dxa"/>
        <w:tblBorders>
          <w:top w:val="single" w:sz="8" w:space="0" w:color="auto"/>
          <w:left w:val="single" w:sz="8" w:space="0" w:color="auto"/>
          <w:bottom w:val="single" w:sz="8" w:space="0" w:color="auto"/>
          <w:right w:val="single" w:sz="8" w:space="0" w:color="auto"/>
          <w:insideH w:val="single" w:sz="6" w:space="0" w:color="CCCCCC"/>
          <w:insideV w:val="single" w:sz="6" w:space="0" w:color="CCCCCC"/>
        </w:tblBorders>
        <w:tblCellMar>
          <w:left w:w="0" w:type="dxa"/>
          <w:right w:w="0" w:type="dxa"/>
        </w:tblCellMar>
        <w:tblLook w:val="04A0" w:firstRow="1" w:lastRow="0" w:firstColumn="1" w:lastColumn="0" w:noHBand="0" w:noVBand="1"/>
      </w:tblPr>
      <w:tblGrid>
        <w:gridCol w:w="3096"/>
        <w:gridCol w:w="1091"/>
        <w:gridCol w:w="1316"/>
        <w:gridCol w:w="6487"/>
        <w:gridCol w:w="1411"/>
      </w:tblGrid>
      <w:tr w:rsidR="008E498A" w:rsidRPr="00533702" w14:paraId="7516593D" w14:textId="77777777" w:rsidTr="009A5C18">
        <w:trPr>
          <w:trHeight w:val="300"/>
        </w:trPr>
        <w:tc>
          <w:tcPr>
            <w:tcW w:w="3096" w:type="dxa"/>
            <w:tcBorders>
              <w:top w:val="single" w:sz="8" w:space="0" w:color="auto"/>
              <w:bottom w:val="single" w:sz="8" w:space="0" w:color="auto"/>
            </w:tcBorders>
            <w:tcMar>
              <w:top w:w="0" w:type="dxa"/>
              <w:left w:w="45" w:type="dxa"/>
              <w:bottom w:w="0" w:type="dxa"/>
              <w:right w:w="45" w:type="dxa"/>
            </w:tcMar>
            <w:hideMark/>
          </w:tcPr>
          <w:p w14:paraId="1FC8783F" w14:textId="77777777" w:rsidR="008E498A" w:rsidRPr="00533702" w:rsidRDefault="008E498A" w:rsidP="009A5C18">
            <w:pPr>
              <w:spacing w:after="0" w:line="240" w:lineRule="auto"/>
              <w:rPr>
                <w:rFonts w:ascii="Calibri" w:eastAsia="Times New Roman" w:hAnsi="Calibri" w:cs="Calibri"/>
                <w:b/>
                <w:bCs/>
                <w:lang w:eastAsia="en-GB"/>
              </w:rPr>
            </w:pPr>
            <w:r w:rsidRPr="00533702">
              <w:rPr>
                <w:rFonts w:ascii="Calibri" w:eastAsia="Times New Roman" w:hAnsi="Calibri" w:cs="Calibri"/>
                <w:b/>
                <w:bCs/>
                <w:lang w:eastAsia="en-GB"/>
              </w:rPr>
              <w:t>Study</w:t>
            </w:r>
          </w:p>
        </w:tc>
        <w:tc>
          <w:tcPr>
            <w:tcW w:w="1091" w:type="dxa"/>
            <w:tcBorders>
              <w:top w:val="single" w:sz="8" w:space="0" w:color="auto"/>
              <w:bottom w:val="single" w:sz="8" w:space="0" w:color="auto"/>
            </w:tcBorders>
            <w:tcMar>
              <w:top w:w="0" w:type="dxa"/>
              <w:left w:w="45" w:type="dxa"/>
              <w:bottom w:w="0" w:type="dxa"/>
              <w:right w:w="45" w:type="dxa"/>
            </w:tcMar>
            <w:hideMark/>
          </w:tcPr>
          <w:p w14:paraId="68B9C128" w14:textId="77777777" w:rsidR="008E498A" w:rsidRPr="00533702" w:rsidRDefault="008E498A" w:rsidP="009A5C18">
            <w:pPr>
              <w:spacing w:after="0" w:line="240" w:lineRule="auto"/>
              <w:jc w:val="center"/>
              <w:rPr>
                <w:rFonts w:ascii="Calibri" w:eastAsia="Times New Roman" w:hAnsi="Calibri" w:cs="Calibri"/>
                <w:b/>
                <w:bCs/>
                <w:lang w:eastAsia="en-GB"/>
              </w:rPr>
            </w:pPr>
            <w:r w:rsidRPr="00533702">
              <w:rPr>
                <w:rFonts w:ascii="Calibri" w:eastAsia="Times New Roman" w:hAnsi="Calibri" w:cs="Calibri"/>
                <w:b/>
                <w:bCs/>
                <w:lang w:eastAsia="en-GB"/>
              </w:rPr>
              <w:t>Population</w:t>
            </w:r>
          </w:p>
        </w:tc>
        <w:tc>
          <w:tcPr>
            <w:tcW w:w="1316" w:type="dxa"/>
            <w:tcBorders>
              <w:top w:val="single" w:sz="8" w:space="0" w:color="auto"/>
              <w:bottom w:val="single" w:sz="8" w:space="0" w:color="auto"/>
            </w:tcBorders>
            <w:tcMar>
              <w:top w:w="0" w:type="dxa"/>
              <w:left w:w="45" w:type="dxa"/>
              <w:bottom w:w="0" w:type="dxa"/>
              <w:right w:w="45" w:type="dxa"/>
            </w:tcMar>
            <w:hideMark/>
          </w:tcPr>
          <w:p w14:paraId="3934052E" w14:textId="77777777" w:rsidR="008E498A" w:rsidRPr="00533702" w:rsidRDefault="008E498A" w:rsidP="009A5C18">
            <w:pPr>
              <w:spacing w:after="0" w:line="240" w:lineRule="auto"/>
              <w:jc w:val="center"/>
              <w:rPr>
                <w:rFonts w:ascii="Calibri" w:eastAsia="Times New Roman" w:hAnsi="Calibri" w:cs="Calibri"/>
                <w:b/>
                <w:bCs/>
                <w:lang w:eastAsia="en-GB"/>
              </w:rPr>
            </w:pPr>
            <w:r w:rsidRPr="00533702">
              <w:rPr>
                <w:rFonts w:ascii="Calibri" w:eastAsia="Times New Roman" w:hAnsi="Calibri" w:cs="Calibri"/>
                <w:b/>
                <w:bCs/>
                <w:lang w:eastAsia="en-GB"/>
              </w:rPr>
              <w:t>Mode</w:t>
            </w:r>
          </w:p>
        </w:tc>
        <w:tc>
          <w:tcPr>
            <w:tcW w:w="6487" w:type="dxa"/>
            <w:tcBorders>
              <w:top w:val="single" w:sz="8" w:space="0" w:color="auto"/>
              <w:bottom w:val="single" w:sz="8" w:space="0" w:color="auto"/>
            </w:tcBorders>
            <w:tcMar>
              <w:top w:w="0" w:type="dxa"/>
              <w:left w:w="45" w:type="dxa"/>
              <w:bottom w:w="0" w:type="dxa"/>
              <w:right w:w="45" w:type="dxa"/>
            </w:tcMar>
            <w:hideMark/>
          </w:tcPr>
          <w:p w14:paraId="1BB793E6" w14:textId="77777777" w:rsidR="008E498A" w:rsidRPr="00533702" w:rsidRDefault="008E498A" w:rsidP="009A5C18">
            <w:pPr>
              <w:spacing w:after="0" w:line="240" w:lineRule="auto"/>
              <w:jc w:val="center"/>
              <w:rPr>
                <w:rFonts w:ascii="Calibri" w:eastAsia="Times New Roman" w:hAnsi="Calibri" w:cs="Calibri"/>
                <w:b/>
                <w:bCs/>
                <w:lang w:eastAsia="en-GB"/>
              </w:rPr>
            </w:pPr>
            <w:r w:rsidRPr="00533702">
              <w:rPr>
                <w:rFonts w:ascii="Calibri" w:eastAsia="Times New Roman" w:hAnsi="Calibri" w:cs="Calibri"/>
                <w:b/>
                <w:bCs/>
                <w:lang w:eastAsia="en-GB"/>
              </w:rPr>
              <w:t>Correlation details</w:t>
            </w:r>
          </w:p>
        </w:tc>
        <w:tc>
          <w:tcPr>
            <w:tcW w:w="1411" w:type="dxa"/>
            <w:tcBorders>
              <w:top w:val="single" w:sz="8" w:space="0" w:color="auto"/>
              <w:bottom w:val="single" w:sz="8" w:space="0" w:color="auto"/>
            </w:tcBorders>
            <w:tcMar>
              <w:top w:w="0" w:type="dxa"/>
              <w:left w:w="45" w:type="dxa"/>
              <w:bottom w:w="0" w:type="dxa"/>
              <w:right w:w="45" w:type="dxa"/>
            </w:tcMar>
            <w:hideMark/>
          </w:tcPr>
          <w:p w14:paraId="6CB19E64" w14:textId="77777777" w:rsidR="008E498A" w:rsidRPr="00533702" w:rsidRDefault="008E498A" w:rsidP="009A5C18">
            <w:pPr>
              <w:spacing w:after="0" w:line="240" w:lineRule="auto"/>
              <w:jc w:val="center"/>
              <w:rPr>
                <w:rFonts w:ascii="Calibri" w:eastAsia="Times New Roman" w:hAnsi="Calibri" w:cs="Calibri"/>
                <w:b/>
                <w:bCs/>
                <w:lang w:eastAsia="en-GB"/>
              </w:rPr>
            </w:pPr>
            <w:r w:rsidRPr="00533702">
              <w:rPr>
                <w:rFonts w:ascii="Calibri" w:eastAsia="Times New Roman" w:hAnsi="Calibri" w:cs="Calibri"/>
                <w:b/>
                <w:bCs/>
                <w:lang w:eastAsia="en-GB"/>
              </w:rPr>
              <w:t>CP</w:t>
            </w:r>
            <w:r>
              <w:rPr>
                <w:rFonts w:ascii="Calibri" w:eastAsia="Times New Roman" w:hAnsi="Calibri" w:cs="Calibri"/>
                <w:b/>
                <w:bCs/>
                <w:lang w:eastAsia="en-GB"/>
              </w:rPr>
              <w:t xml:space="preserve"> determination</w:t>
            </w:r>
            <w:r w:rsidRPr="00533702">
              <w:rPr>
                <w:rFonts w:ascii="Calibri" w:eastAsia="Times New Roman" w:hAnsi="Calibri" w:cs="Calibri"/>
                <w:b/>
                <w:bCs/>
                <w:lang w:eastAsia="en-GB"/>
              </w:rPr>
              <w:t xml:space="preserve"> method</w:t>
            </w:r>
          </w:p>
        </w:tc>
      </w:tr>
      <w:tr w:rsidR="008E498A" w:rsidRPr="00533702" w14:paraId="57B25287" w14:textId="77777777" w:rsidTr="009A5C18">
        <w:trPr>
          <w:trHeight w:val="300"/>
        </w:trPr>
        <w:tc>
          <w:tcPr>
            <w:tcW w:w="3096" w:type="dxa"/>
            <w:tcBorders>
              <w:top w:val="single" w:sz="8" w:space="0" w:color="auto"/>
            </w:tcBorders>
            <w:tcMar>
              <w:top w:w="0" w:type="dxa"/>
              <w:left w:w="45" w:type="dxa"/>
              <w:bottom w:w="0" w:type="dxa"/>
              <w:right w:w="45" w:type="dxa"/>
            </w:tcMar>
            <w:vAlign w:val="center"/>
            <w:hideMark/>
          </w:tcPr>
          <w:p w14:paraId="756A5D30" w14:textId="0CD7E647" w:rsidR="008E498A" w:rsidRPr="00533702" w:rsidRDefault="008E498A" w:rsidP="009A5C18">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Neder</w:t>
            </w:r>
            <w:proofErr w:type="spellEnd"/>
            <w:r>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{"citationID":"RQCZDm8b","properties":{"formattedCitation":"[34]","plainCitation":"[34]","noteIndex":0},"citationItems":[{"id":326,"uris":["http://zotero.org/users/5056530/items/GQUHKT4W"],"itemData":{"id":326,"type":"article-journal","abstract":"To characterize the determinants of the power-duration (W-t) relationship in patients with chronic obstructive pulmonary disease (COPD), we evaluated 8 nonhypoxemic patients (FEV(1) = 1.27 +/- 0.26 L) and 10 healthy controls. After an initial maximum-incremental exercise test on cycle ergometer (peak), the subjects underwent four high-intensity constant-load tests to the limit of tolerance (t), each on different days. The W-t relationship was found to be hyperbolic in both groups. Absolute values of both the critical power asymptote (theta(F)) and the curvature constant (W') were lower in patients than in control subjects. However, when expressed as percentage of peak work rate theta(F) was significantly higher in patients compared with control subjects (81.8 +/- 3.3% versus 67.5 +/- 3.7%, respectively, p &lt; 0.01). There were severe reductions in t in the patients that were consistently associated with higher breathlessness scores and V E/MVV ratios. Interestingly, all patients were able to sustain exercise at theta(F) for 20 min despite near-maximum physiological and subjective stresses. We conclude that the reductions of both parameters of the hyperbolic W-t relationship (theta(F) and W') in patients with COPD were due to the ventilatory constraints and their sensory consequences. Importantly, theta(F) separated a \"sustainable\" from a \"nonsustainable\" exercise-intensity domain: this parameter consistently occurred closer to peak work rate in patients than the healthy control subjects.","container-title":"American Journal of Respiratory and Critical Care Medicine","DOI":"10.1164/ajrccm.162.2.9907122","ISSN":"1073-449X","issue":"2 Pt 1","journalAbbreviation":"Am. J. Respir. Crit. Care Med.","language":"eng","note":"PMID: 10934077","page":"497-504","source":"PubMed","title":"Determinants of the exercise endurance capacity in patients with chronic obstructive pulmonary disease. The power-duration relationship","volume":"162","author":[{"family":"Neder","given":"J. A."},{"family":"Jones","given":"P. W."},{"family":"Nery","given":"L. E."},{"family":"Whipp","given":"B. J."}],"issued":{"date-parts":[["2000",8]]}}}],"schema":"https://github.com/citation-style-language/schema/raw/master/csl-citation.json"}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[34]</w:t>
            </w:r>
            <w:r>
              <w:rPr>
                <w:rFonts w:ascii="Calibri" w:eastAsia="Times New Roman" w:hAnsi="Calibri" w:cs="Calibri"/>
                <w:lang w:eastAsia="en-GB"/>
              </w:rPr>
              <w:fldChar w:fldCharType="end"/>
            </w:r>
          </w:p>
        </w:tc>
        <w:tc>
          <w:tcPr>
            <w:tcW w:w="1091" w:type="dxa"/>
            <w:tcBorders>
              <w:top w:val="single" w:sz="8" w:space="0" w:color="auto"/>
            </w:tcBorders>
            <w:tcMar>
              <w:top w:w="0" w:type="dxa"/>
              <w:left w:w="45" w:type="dxa"/>
              <w:bottom w:w="0" w:type="dxa"/>
              <w:right w:w="45" w:type="dxa"/>
            </w:tcMar>
            <w:vAlign w:val="center"/>
            <w:hideMark/>
          </w:tcPr>
          <w:p w14:paraId="0C85E729"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MH</w:t>
            </w:r>
            <w:r>
              <w:rPr>
                <w:rFonts w:ascii="Calibri" w:eastAsia="Times New Roman" w:hAnsi="Calibri" w:cs="Calibri"/>
                <w:lang w:eastAsia="en-GB"/>
              </w:rPr>
              <w:t xml:space="preserve"> </w:t>
            </w:r>
            <w:r w:rsidRPr="00533702">
              <w:rPr>
                <w:rFonts w:ascii="Calibri" w:eastAsia="Times New Roman" w:hAnsi="Calibri" w:cs="Calibri"/>
                <w:lang w:eastAsia="en-GB"/>
              </w:rPr>
              <w:t>(10) &amp; MCOPD (8)</w:t>
            </w:r>
          </w:p>
        </w:tc>
        <w:tc>
          <w:tcPr>
            <w:tcW w:w="1316" w:type="dxa"/>
            <w:tcBorders>
              <w:top w:val="single" w:sz="8" w:space="0" w:color="auto"/>
            </w:tcBorders>
            <w:tcMar>
              <w:top w:w="0" w:type="dxa"/>
              <w:left w:w="45" w:type="dxa"/>
              <w:bottom w:w="0" w:type="dxa"/>
              <w:right w:w="45" w:type="dxa"/>
            </w:tcMar>
            <w:vAlign w:val="center"/>
            <w:hideMark/>
          </w:tcPr>
          <w:p w14:paraId="0801D8F4"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Borders>
              <w:top w:val="single" w:sz="8" w:space="0" w:color="auto"/>
            </w:tcBorders>
            <w:tcMar>
              <w:top w:w="0" w:type="dxa"/>
              <w:left w:w="45" w:type="dxa"/>
              <w:bottom w:w="0" w:type="dxa"/>
              <w:right w:w="45" w:type="dxa"/>
            </w:tcMar>
            <w:vAlign w:val="center"/>
            <w:hideMark/>
          </w:tcPr>
          <w:p w14:paraId="49ECBFF0" w14:textId="77777777" w:rsidR="008E498A"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 xml:space="preserve">CP (W) correlated with </w:t>
            </w:r>
            <w:r w:rsidRPr="00E943DD">
              <w:rPr>
                <w:rFonts w:eastAsia="Times New Roman" w:cstheme="minorHAnsi"/>
                <w:sz w:val="20"/>
                <w:szCs w:val="20"/>
                <w:lang w:eastAsia="en-GB"/>
              </w:rPr>
              <w:t>MRT</w:t>
            </w:r>
            <w:r w:rsidRPr="00E943DD">
              <w:rPr>
                <w:rFonts w:eastAsia="Times New Roman" w:cstheme="minorHAnsi"/>
                <w:sz w:val="20"/>
                <w:szCs w:val="20"/>
                <w:vertAlign w:val="subscript"/>
                <w:lang w:eastAsia="en-GB"/>
              </w:rPr>
              <w:t>V̇O2</w:t>
            </w:r>
            <w:r>
              <w:rPr>
                <w:rFonts w:eastAsia="Times New Roman" w:cstheme="minorHAnsi"/>
                <w:sz w:val="20"/>
                <w:szCs w:val="20"/>
                <w:vertAlign w:val="subscript"/>
                <w:lang w:eastAsia="en-GB"/>
              </w:rPr>
              <w:t xml:space="preserve"> </w:t>
            </w:r>
            <w:r w:rsidRPr="003A0106">
              <w:rPr>
                <w:rFonts w:eastAsia="Times New Roman" w:cstheme="minorHAnsi"/>
                <w:sz w:val="20"/>
                <w:szCs w:val="20"/>
                <w:lang w:eastAsia="en-GB"/>
              </w:rPr>
              <w:t>(s)</w:t>
            </w:r>
            <w:r>
              <w:rPr>
                <w:rFonts w:eastAsia="Times New Roman" w:cstheme="minorHAnsi"/>
                <w:sz w:val="20"/>
                <w:szCs w:val="20"/>
                <w:vertAlign w:val="subscript"/>
                <w:lang w:eastAsia="en-GB"/>
              </w:rPr>
              <w:t xml:space="preserve"> </w:t>
            </w:r>
            <w:r>
              <w:rPr>
                <w:rFonts w:ascii="Calibri" w:eastAsia="Times New Roman" w:hAnsi="Calibri" w:cs="Calibri"/>
                <w:lang w:eastAsia="en-GB"/>
              </w:rPr>
              <w:t>d</w:t>
            </w:r>
            <w:r w:rsidRPr="00533702">
              <w:rPr>
                <w:rFonts w:ascii="Calibri" w:eastAsia="Times New Roman" w:hAnsi="Calibri" w:cs="Calibri"/>
                <w:lang w:eastAsia="en-GB"/>
              </w:rPr>
              <w:t xml:space="preserve">uring severe intensity exercise in MH </w:t>
            </w:r>
          </w:p>
          <w:p w14:paraId="1A8C35FA"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-0.65) but not MCOPD</w:t>
            </w:r>
          </w:p>
        </w:tc>
        <w:tc>
          <w:tcPr>
            <w:tcW w:w="1411" w:type="dxa"/>
            <w:tcBorders>
              <w:top w:val="single" w:sz="8" w:space="0" w:color="auto"/>
            </w:tcBorders>
            <w:tcMar>
              <w:top w:w="0" w:type="dxa"/>
              <w:left w:w="45" w:type="dxa"/>
              <w:bottom w:w="0" w:type="dxa"/>
              <w:right w:w="45" w:type="dxa"/>
            </w:tcMar>
            <w:vAlign w:val="center"/>
            <w:hideMark/>
          </w:tcPr>
          <w:p w14:paraId="0FFF7EDB"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4CWR</w:t>
            </w:r>
          </w:p>
        </w:tc>
      </w:tr>
      <w:tr w:rsidR="008E498A" w:rsidRPr="00533702" w14:paraId="5EF87FF9" w14:textId="77777777" w:rsidTr="009A5C18">
        <w:trPr>
          <w:trHeight w:val="300"/>
        </w:trPr>
        <w:tc>
          <w:tcPr>
            <w:tcW w:w="3096" w:type="dxa"/>
            <w:tcMar>
              <w:top w:w="0" w:type="dxa"/>
              <w:left w:w="45" w:type="dxa"/>
              <w:bottom w:w="0" w:type="dxa"/>
              <w:right w:w="45" w:type="dxa"/>
            </w:tcMar>
            <w:vAlign w:val="center"/>
            <w:hideMark/>
          </w:tcPr>
          <w:p w14:paraId="6F14DD02" w14:textId="3DE95DFA" w:rsidR="008E498A" w:rsidRPr="00533702" w:rsidRDefault="008E498A" w:rsidP="009A5C18">
            <w:pPr>
              <w:spacing w:after="0" w:line="240" w:lineRule="auto"/>
              <w:rPr>
                <w:rFonts w:ascii="Calibri" w:eastAsia="Times New Roman" w:hAnsi="Calibri" w:cs="Calibri"/>
                <w:lang w:eastAsia="en-GB"/>
              </w:rPr>
            </w:pPr>
            <w:r>
              <w:rPr>
                <w:rFonts w:ascii="Calibri" w:eastAsia="Times New Roman" w:hAnsi="Calibri" w:cs="Calibri"/>
                <w:lang w:eastAsia="en-GB"/>
              </w:rPr>
              <w:t xml:space="preserve">Murgatroyd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{"citationID":"aRgLJJ8v","properties":{"formattedCitation":"[14]","plainCitation":"[14]","noteIndex":0},"citationItems":[{"id":208,"uris":["http://zotero.org/users/5056530/items/5SW9UQIW"],"itemData":{"id":208,"type":"article-journal","abstract":"Tolerance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 Fourteen healthy men performed cycle ergometry protocols to the limit of tolerance: 1) an incremental ramp test; 2) a series of constant-P tests to determine V̇o2max, CP, and W′; and 3) repeated constant-P tests (WR6) normalized to a 6 min tlim for τV̇o2 and ΔV̇o2sc estimation. The WR6 tlim averaged 365 ± 16 s, and V̇o2max (4.18 ± 0.49 l/min) was achieved in every case. CP (range: 171–294 W) was inversely correlated with τV̇o2 (18–38 s; R2 = 0.90), and W′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1522-1601","issue":"6","language":"en","license":"Copyright © 2011 the American Physiological Society","note":"PMID: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[14]</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0E6F7903"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HM (14)</w:t>
            </w:r>
          </w:p>
        </w:tc>
        <w:tc>
          <w:tcPr>
            <w:tcW w:w="1316" w:type="dxa"/>
            <w:tcMar>
              <w:top w:w="0" w:type="dxa"/>
              <w:left w:w="45" w:type="dxa"/>
              <w:bottom w:w="0" w:type="dxa"/>
              <w:right w:w="45" w:type="dxa"/>
            </w:tcMar>
            <w:vAlign w:val="center"/>
            <w:hideMark/>
          </w:tcPr>
          <w:p w14:paraId="65820F20"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498B30D1" w14:textId="77777777" w:rsidR="008E498A"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 xml:space="preserve">CP (W) correlated with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Pr>
                <w:rFonts w:ascii="Calibri" w:eastAsia="Times New Roman" w:hAnsi="Calibri" w:cs="Calibri"/>
                <w:vertAlign w:val="subscript"/>
                <w:lang w:eastAsia="en-GB"/>
              </w:rPr>
              <w:t xml:space="preserve"> </w:t>
            </w:r>
            <w:r w:rsidRPr="003A0106">
              <w:rPr>
                <w:rFonts w:eastAsia="Times New Roman" w:cstheme="minorHAnsi"/>
                <w:sz w:val="20"/>
                <w:szCs w:val="20"/>
                <w:lang w:eastAsia="en-GB"/>
              </w:rPr>
              <w:t>(s)</w:t>
            </w:r>
            <w:r>
              <w:rPr>
                <w:rFonts w:eastAsia="Times New Roman" w:cstheme="minorHAnsi"/>
                <w:sz w:val="20"/>
                <w:szCs w:val="20"/>
                <w:vertAlign w:val="subscript"/>
                <w:lang w:eastAsia="en-GB"/>
              </w:rPr>
              <w:t xml:space="preserve"> </w:t>
            </w:r>
            <w:r w:rsidRPr="00533702">
              <w:rPr>
                <w:rFonts w:ascii="Calibri" w:eastAsia="Times New Roman" w:hAnsi="Calibri" w:cs="Calibri"/>
                <w:lang w:eastAsia="en-GB"/>
              </w:rPr>
              <w:t xml:space="preserve">during severe intensity exercise </w:t>
            </w:r>
          </w:p>
          <w:p w14:paraId="7BDC94DE"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-0.95)</w:t>
            </w:r>
          </w:p>
        </w:tc>
        <w:tc>
          <w:tcPr>
            <w:tcW w:w="1411" w:type="dxa"/>
            <w:tcMar>
              <w:top w:w="0" w:type="dxa"/>
              <w:left w:w="45" w:type="dxa"/>
              <w:bottom w:w="0" w:type="dxa"/>
              <w:right w:w="45" w:type="dxa"/>
            </w:tcMar>
            <w:vAlign w:val="center"/>
            <w:hideMark/>
          </w:tcPr>
          <w:p w14:paraId="58480BC6"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4CWR</w:t>
            </w:r>
          </w:p>
        </w:tc>
      </w:tr>
      <w:tr w:rsidR="008E498A" w:rsidRPr="00533702" w14:paraId="126D55E1" w14:textId="77777777" w:rsidTr="009A5C18">
        <w:trPr>
          <w:trHeight w:val="300"/>
        </w:trPr>
        <w:tc>
          <w:tcPr>
            <w:tcW w:w="3096" w:type="dxa"/>
            <w:tcMar>
              <w:top w:w="0" w:type="dxa"/>
              <w:left w:w="45" w:type="dxa"/>
              <w:bottom w:w="0" w:type="dxa"/>
              <w:right w:w="45" w:type="dxa"/>
            </w:tcMar>
            <w:vAlign w:val="center"/>
            <w:hideMark/>
          </w:tcPr>
          <w:p w14:paraId="7E525383" w14:textId="0AB454F5" w:rsidR="008E498A" w:rsidRPr="00533702" w:rsidRDefault="008E498A" w:rsidP="009A5C18">
            <w:pPr>
              <w:spacing w:after="0" w:line="240" w:lineRule="auto"/>
              <w:rPr>
                <w:rFonts w:ascii="Calibri" w:eastAsia="Times New Roman" w:hAnsi="Calibri" w:cs="Calibri"/>
                <w:lang w:eastAsia="en-GB"/>
              </w:rPr>
            </w:pPr>
            <w:r>
              <w:rPr>
                <w:rFonts w:ascii="Calibri" w:eastAsia="Times New Roman" w:hAnsi="Calibri" w:cs="Calibri"/>
                <w:lang w:eastAsia="en-GB"/>
              </w:rPr>
              <w:t xml:space="preserve">Black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{"citationID":"u9t2PHhv","properties":{"formattedCitation":"[13]","plainCitation":"[13]","noteIndex":0},"citationItems":[{"id":826,"uris":["http://zotero.org/users/5056530/items/HA27VC82"],"itemData":{"id":826,"type":"article-journal","abstract":"It has been shown that the critical power (CP) in cycling estimated using a novel 3-min all-out protocol is reliable and closely matches the CP derived from conventional procedures. The purpose of this study was to assess the predictive validity of the all-out test CP estimate. We hypothesised that the all-out test CP would be significantly correlated with 16.1-km road time-trial (TT) performance and more strongly correlated with performance than the gas exchange threshold (GET), respiratory compensation point (RCP) and VO2 max. Ten club-level male cyclists (mean±SD: age 33.8±8.2 y, body mass 73.8±4.3 kg, VO2 max 60±4 ml·kg(-1)·min(-1)) performed a 10-mile road TT, a ramp incremental test to exhaustion, and two 3-min all-out tests, the first of which served as familiarisation. The 16.1-km TT performance (27.1±1.2 min) was significantly correlated with the CP (309±34 W; r = -0.83, P&lt;0.01) and total work done during the all-out test (70.9±6.5 kJ; r = -0.86, P&lt;0.01), the ramp incremental test peak power (433±30 W; r = -0.75, P&lt;0.05) and the RCP (315±29 W; r = -0.68, P&lt;0.05), but not with GET (151±32 W; r = -0.21) or the VO2 max (4.41±0.25 L·min(-1); r = -0.60). These data provide evidence for the predictive validity and practical performance relevance of the 3-min all-out test. The 3-min all-out test CP may represent a useful addition to the battery of tests employed by applied sport physiologists or coaches to track fitness and predict performance in atheletes.","container-title":"European Journal of Sport Science","DOI":"10.1080/17461391.2013.810306","ISSN":"1536-7290","issue":"3","journalAbbreviation":"Eur J Sport Sci","language":"eng","note":"PMID: 23802599","page":"217-223","source":"PubMed","title":"Critical power derived from a 3-min all-out test predicts 16.1-km road time-trial performance","volume":"14","author":[{"family":"Black","given":"Matthew I."},{"family":"Durant","given":"Jacob"},{"family":"Jones","given":"Andrew M."},{"family":"Vanhatalo","given":"Anni"}],"issued":{"date-parts":[["2014"]]}}}],"schema":"https://github.com/citation-style-language/schema/raw/master/csl-citation.json"}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[13]</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375AC38C"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ETM (10)</w:t>
            </w:r>
          </w:p>
        </w:tc>
        <w:tc>
          <w:tcPr>
            <w:tcW w:w="1316" w:type="dxa"/>
            <w:tcMar>
              <w:top w:w="0" w:type="dxa"/>
              <w:left w:w="45" w:type="dxa"/>
              <w:bottom w:w="0" w:type="dxa"/>
              <w:right w:w="45" w:type="dxa"/>
            </w:tcMar>
            <w:vAlign w:val="center"/>
            <w:hideMark/>
          </w:tcPr>
          <w:p w14:paraId="300CAE8C"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7190FEC8"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CP (W) correlated with 10mile TT performance</w:t>
            </w:r>
            <w:r>
              <w:rPr>
                <w:rFonts w:ascii="Calibri" w:eastAsia="Times New Roman" w:hAnsi="Calibri" w:cs="Calibri"/>
                <w:lang w:eastAsia="en-GB"/>
              </w:rPr>
              <w:t xml:space="preserve"> (min)</w:t>
            </w:r>
            <w:r w:rsidRPr="00533702">
              <w:rPr>
                <w:rFonts w:ascii="Calibri" w:eastAsia="Times New Roman" w:hAnsi="Calibri" w:cs="Calibri"/>
                <w:lang w:eastAsia="en-GB"/>
              </w:rPr>
              <w:t xml:space="preserve">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0</w:t>
            </w:r>
            <w:r w:rsidRPr="00533702">
              <w:rPr>
                <w:rFonts w:ascii="Calibri" w:eastAsia="Times New Roman" w:hAnsi="Calibri" w:cs="Calibri"/>
                <w:lang w:eastAsia="en-GB"/>
              </w:rPr>
              <w:t>.83)</w:t>
            </w:r>
          </w:p>
        </w:tc>
        <w:tc>
          <w:tcPr>
            <w:tcW w:w="1411" w:type="dxa"/>
            <w:tcMar>
              <w:top w:w="0" w:type="dxa"/>
              <w:left w:w="45" w:type="dxa"/>
              <w:bottom w:w="0" w:type="dxa"/>
              <w:right w:w="45" w:type="dxa"/>
            </w:tcMar>
            <w:vAlign w:val="center"/>
            <w:hideMark/>
          </w:tcPr>
          <w:p w14:paraId="628B3B43"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3MT</w:t>
            </w:r>
          </w:p>
        </w:tc>
      </w:tr>
      <w:tr w:rsidR="008E498A" w:rsidRPr="00533702" w14:paraId="79E68D4C" w14:textId="77777777" w:rsidTr="009A5C18">
        <w:trPr>
          <w:trHeight w:val="300"/>
        </w:trPr>
        <w:tc>
          <w:tcPr>
            <w:tcW w:w="3096" w:type="dxa"/>
            <w:tcMar>
              <w:top w:w="0" w:type="dxa"/>
              <w:left w:w="45" w:type="dxa"/>
              <w:bottom w:w="0" w:type="dxa"/>
              <w:right w:w="45" w:type="dxa"/>
            </w:tcMar>
            <w:vAlign w:val="center"/>
            <w:hideMark/>
          </w:tcPr>
          <w:p w14:paraId="078458BB" w14:textId="1B68E8E0" w:rsidR="008E498A" w:rsidRPr="00533702" w:rsidRDefault="008E498A" w:rsidP="009A5C18">
            <w:pPr>
              <w:spacing w:after="0" w:line="240" w:lineRule="auto"/>
              <w:rPr>
                <w:rFonts w:ascii="Calibri" w:eastAsia="Times New Roman" w:hAnsi="Calibri" w:cs="Calibri"/>
                <w:lang w:eastAsia="en-GB"/>
              </w:rPr>
            </w:pPr>
            <w:proofErr w:type="spellStart"/>
            <w:r w:rsidRPr="00533702">
              <w:rPr>
                <w:rFonts w:ascii="Calibri" w:eastAsia="Times New Roman" w:hAnsi="Calibri" w:cs="Calibri"/>
                <w:lang w:eastAsia="en-GB"/>
              </w:rPr>
              <w:t>Vanhatalo</w:t>
            </w:r>
            <w:proofErr w:type="spellEnd"/>
            <w:r w:rsidRPr="00533702">
              <w:rPr>
                <w:rFonts w:ascii="Calibri" w:eastAsia="Times New Roman" w:hAnsi="Calibri" w:cs="Calibri"/>
                <w:lang w:eastAsia="en-GB"/>
              </w:rPr>
              <w:t xml:space="preserve">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{"citationID":"rGjBtLKZ","properties":{"formattedCitation":"[31]","plainCitation":"[31]","noteIndex":0},"citationItems":[{"id":274,"uris":["http://zotero.org/users/5056530/items/VNEUXIGT"],"itemData":{"id":274,"type":"article-journal","abstract":"KEY POINTS: The power-asymptote (critical power; CP) of the hyperbolic power-time relationship for high-intensity exercise defines a threshold between steady-state and non-steady-state exercise intensities and the curvature constant (W') indicates a fixed capacity for work &gt;CP that is related to a loss of muscular efficiency. The present study reports novel evidence on the muscle metabolic underpinnings of CP and W' during whole-body exercise and their relationships to muscle fibre type. We show that the W' is not correlated with muscle fibre type distribution and that it represents an elevated energy contribution from both oxidative and glycolytic/glycogenolytic metabolism. We show that there is a positive correlation between CP and highly oxidative type I muscle fibres and that muscle metabolic steady-state is attainable &lt;CP but not &gt;CP. Our findings indicate a mechanistic link between the bioenergetic characteristics of muscle fibre types and the power-time relationship for high-intensity exercise.\nABSTRACT: We hypothesized that: (1) the critical power (CP) will represent a boundary separating steady-state from non-steady-state muscle metabolic responses during whole-body exercise and (2) that the CP and the curvature constant (W') of the power-time relationship for high-intensity exercise will be correlated with type I and type IIx muscle fibre distributions, respectively. Four men and four women performed a 3 min all-out cycling test for the estimation of CP and constant work rate (CWR) tests slightly &gt;CP until exhaustion (Tlim ), slightly &lt;CP for 24 min and until the &gt;CP Tlim isotime to test the first hypothesis. Eleven men performed 3 min all-out tests and donated muscle biopsies to test the second hypothesis. Below CP, muscle [PCr] [42.6 ± 7.1 vs. 49.4 ± 6.9 mmol (kg d.w.)(-1) ], [La(-) ] [34.8 ± 12.6 vs. 35.5 ± 13.2 mmol (kg d.w.)(-1) ] and pH (7.11 ± 0.08 vs. 7.10 ± 0.11) remained stable between </w:instrText>
            </w:r>
            <w:r>
              <w:rPr>
                <w:rFonts w:ascii="Cambria Math" w:eastAsia="Times New Roman" w:hAnsi="Cambria Math" w:cs="Cambria Math"/>
                <w:lang w:eastAsia="en-GB"/>
              </w:rPr>
              <w:instrText>∼</w:instrText>
            </w:r>
            <w:r>
              <w:rPr>
                <w:rFonts w:ascii="Calibri" w:eastAsia="Times New Roman" w:hAnsi="Calibri" w:cs="Calibri"/>
                <w:lang w:eastAsia="en-GB"/>
              </w:rPr>
              <w:instrText xml:space="preserve">12 and 24 min (P &gt; 0.05 for all), whereas these variables changed with time &gt;CP such that they were greater [[La(-) ] 95.6 ± 14.1 mmol (kg d.w.)(-1) ] and lower [[PCr] 24.2 ± 3.9 mmol (kg d.w.)(-1) ; pH 6.84 ± 0.06] (P &lt; 0.05) at Tlim (740 ± 186 s) than during the &lt;CP trial. The CP (234 ± 53 W) was correlated with muscle type I (r = 0.67, P = 0.025) and inversely correlated with muscle type IIx fibre proportion (r = -0.76, P = 0.01). There was no relationship between W' (19.4 ± 6.3 kJ) and muscle fibre type. These data indicate a mechanistic link between the bioenergetic characteristics of different muscle fibre types and the power-duration relationship. The CP reflects the bioenergetic characteristics of highly oxidative type I muscle fibres, such that a muscle metabolic steady-state is attainable below and not above CP.","container-title":"The Journal of Physiology","DOI":"10.1113/JP271879","ISSN":"1469-7793","issue":"15","journalAbbreviation":"J. Physiol. (Lond.)","language":"eng","note":"PMID: 26940850\nPMCID: PMC4967754","page":"4407-4423","source":"PubMed","title":"The mechanistic bases of the power-time relationship: muscle metabolic responses and relationships to muscle fibre type","title-short":"The mechanistic bases of the power-time relationship","volume":"594","author":[{"family":"Vanhatalo","given":"Anni"},{"family":"Black","given":"Matthew I."},{"family":"DiMenna","given":"Fred J."},{"family":"Blackwell","given":"Jamie R."},{"family":"Schmidt","given":"Jakob Friis"},{"family":"Thompson","given":"Christopher"},{"family":"Wylie","given":"Lee J."},{"family":"Mohr","given":"Magni"},{"family":"Bangsbo","given":"Jens"},{"family":"Krustrup","given":"Peter"},{"family":"Jones","given":"Andrew M."}],"issued":{"date-parts":[["2016",8,1]]}}}],"schema":"https://github.com/citation-style-language/schema/raw/master/csl-citation.json"}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[31]</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7B4CB60D"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HM (4) HF (4)</w:t>
            </w:r>
          </w:p>
        </w:tc>
        <w:tc>
          <w:tcPr>
            <w:tcW w:w="1316" w:type="dxa"/>
            <w:tcMar>
              <w:top w:w="0" w:type="dxa"/>
              <w:left w:w="45" w:type="dxa"/>
              <w:bottom w:w="0" w:type="dxa"/>
              <w:right w:w="45" w:type="dxa"/>
            </w:tcMar>
            <w:vAlign w:val="center"/>
            <w:hideMark/>
          </w:tcPr>
          <w:p w14:paraId="48F112CC"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636B0289"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CP (W) correlated with %type 1 fibre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0.67)</w:t>
            </w:r>
          </w:p>
        </w:tc>
        <w:tc>
          <w:tcPr>
            <w:tcW w:w="1411" w:type="dxa"/>
            <w:tcMar>
              <w:top w:w="0" w:type="dxa"/>
              <w:left w:w="45" w:type="dxa"/>
              <w:bottom w:w="0" w:type="dxa"/>
              <w:right w:w="45" w:type="dxa"/>
            </w:tcMar>
            <w:vAlign w:val="center"/>
            <w:hideMark/>
          </w:tcPr>
          <w:p w14:paraId="1B4D273A"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3MT</w:t>
            </w:r>
          </w:p>
        </w:tc>
      </w:tr>
      <w:tr w:rsidR="008E498A" w:rsidRPr="00533702" w14:paraId="664FE432" w14:textId="77777777" w:rsidTr="009A5C18">
        <w:trPr>
          <w:trHeight w:val="300"/>
        </w:trPr>
        <w:tc>
          <w:tcPr>
            <w:tcW w:w="3096" w:type="dxa"/>
            <w:tcMar>
              <w:top w:w="0" w:type="dxa"/>
              <w:left w:w="45" w:type="dxa"/>
              <w:bottom w:w="0" w:type="dxa"/>
              <w:right w:w="45" w:type="dxa"/>
            </w:tcMar>
            <w:vAlign w:val="center"/>
            <w:hideMark/>
          </w:tcPr>
          <w:p w14:paraId="1CC7836A" w14:textId="7D91FAE8" w:rsidR="008E498A" w:rsidRPr="00533702" w:rsidRDefault="008E498A" w:rsidP="009A5C18">
            <w:pPr>
              <w:spacing w:after="0" w:line="240" w:lineRule="auto"/>
              <w:rPr>
                <w:rFonts w:ascii="Calibri" w:eastAsia="Times New Roman" w:hAnsi="Calibri" w:cs="Calibri"/>
                <w:lang w:eastAsia="en-GB"/>
              </w:rPr>
            </w:pPr>
            <w:r>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{"citationID":"UZ1d7JQU","properties":{"formattedCitation":"[114]","plainCitation":"[114]","noteIndex":0},"citationItems":[{"id":609,"uris":["http://zotero.org/users/5056530/items/2P7JNTBF"],"itemData":{"id":609,"type":"article-journal","abstract":"NEW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Pr>
                <w:rFonts w:ascii="Cambria Math" w:eastAsia="Times New Roman" w:hAnsi="Cambria Math" w:cs="Cambria Math"/>
                <w:lang w:eastAsia="en-GB"/>
              </w:rPr>
              <w:instrText>∼</w:instrText>
            </w:r>
            <w:r>
              <w:rPr>
                <w:rFonts w:ascii="Calibri" w:eastAsia="Times New Roman" w:hAnsi="Calibri" w:cs="Calibri"/>
                <w:lang w:eastAsia="en-GB"/>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[114]</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2D093514"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HM (10)</w:t>
            </w:r>
          </w:p>
        </w:tc>
        <w:tc>
          <w:tcPr>
            <w:tcW w:w="1316" w:type="dxa"/>
            <w:tcMar>
              <w:top w:w="0" w:type="dxa"/>
              <w:left w:w="45" w:type="dxa"/>
              <w:bottom w:w="0" w:type="dxa"/>
              <w:right w:w="45" w:type="dxa"/>
            </w:tcMar>
            <w:vAlign w:val="center"/>
            <w:hideMark/>
          </w:tcPr>
          <w:p w14:paraId="55460340"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79F796EC" w14:textId="77777777" w:rsidR="008E498A"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CP (W.kg</w:t>
            </w:r>
            <w:r w:rsidRPr="00533702">
              <w:rPr>
                <w:rFonts w:ascii="Calibri" w:eastAsia="Times New Roman" w:hAnsi="Calibri" w:cs="Calibri"/>
                <w:vertAlign w:val="superscript"/>
                <w:lang w:eastAsia="en-GB"/>
              </w:rPr>
              <w:t>-1</w:t>
            </w:r>
            <w:r w:rsidRPr="00533702">
              <w:rPr>
                <w:rFonts w:ascii="Calibri" w:eastAsia="Times New Roman" w:hAnsi="Calibri" w:cs="Calibri"/>
                <w:lang w:eastAsia="en-GB"/>
              </w:rPr>
              <w:t xml:space="preserve">) correlated with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Pr>
                <w:rFonts w:ascii="Calibri" w:eastAsia="Times New Roman" w:hAnsi="Calibri" w:cs="Calibri"/>
                <w:vertAlign w:val="subscript"/>
                <w:lang w:eastAsia="en-GB"/>
              </w:rPr>
              <w:t xml:space="preserve"> </w:t>
            </w:r>
            <w:r w:rsidRPr="003A0106">
              <w:rPr>
                <w:rFonts w:eastAsia="Times New Roman" w:cstheme="minorHAnsi"/>
                <w:sz w:val="20"/>
                <w:szCs w:val="20"/>
                <w:lang w:eastAsia="en-GB"/>
              </w:rPr>
              <w:t>(s)</w:t>
            </w:r>
            <w:r>
              <w:rPr>
                <w:rFonts w:eastAsia="Times New Roman" w:cstheme="minorHAnsi"/>
                <w:sz w:val="20"/>
                <w:szCs w:val="20"/>
                <w:vertAlign w:val="subscript"/>
                <w:lang w:eastAsia="en-GB"/>
              </w:rPr>
              <w:t xml:space="preserve"> </w:t>
            </w:r>
            <w:r w:rsidRPr="00533702">
              <w:rPr>
                <w:rFonts w:ascii="Calibri" w:eastAsia="Times New Roman" w:hAnsi="Calibri" w:cs="Calibri"/>
                <w:lang w:eastAsia="en-GB"/>
              </w:rPr>
              <w:t xml:space="preserve">during heavy intensity exercise </w:t>
            </w:r>
          </w:p>
          <w:p w14:paraId="2A65D26C"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-0.80)</w:t>
            </w:r>
          </w:p>
        </w:tc>
        <w:tc>
          <w:tcPr>
            <w:tcW w:w="1411" w:type="dxa"/>
            <w:tcMar>
              <w:top w:w="0" w:type="dxa"/>
              <w:left w:w="45" w:type="dxa"/>
              <w:bottom w:w="0" w:type="dxa"/>
              <w:right w:w="45" w:type="dxa"/>
            </w:tcMar>
            <w:vAlign w:val="center"/>
            <w:hideMark/>
          </w:tcPr>
          <w:p w14:paraId="1F464849"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4CWR</w:t>
            </w:r>
          </w:p>
        </w:tc>
      </w:tr>
      <w:tr w:rsidR="008E498A" w:rsidRPr="00533702" w14:paraId="7A0C55C7" w14:textId="77777777" w:rsidTr="009A5C18">
        <w:trPr>
          <w:trHeight w:val="300"/>
        </w:trPr>
        <w:tc>
          <w:tcPr>
            <w:tcW w:w="3096" w:type="dxa"/>
            <w:tcMar>
              <w:top w:w="0" w:type="dxa"/>
              <w:left w:w="45" w:type="dxa"/>
              <w:bottom w:w="0" w:type="dxa"/>
              <w:right w:w="45" w:type="dxa"/>
            </w:tcMar>
            <w:vAlign w:val="center"/>
            <w:hideMark/>
          </w:tcPr>
          <w:p w14:paraId="21F23D8A" w14:textId="11C66C8B" w:rsidR="008E498A" w:rsidRPr="00533702" w:rsidRDefault="008E498A" w:rsidP="009A5C18">
            <w:pPr>
              <w:spacing w:after="0" w:line="240" w:lineRule="auto"/>
              <w:rPr>
                <w:rFonts w:ascii="Calibri" w:eastAsia="Times New Roman" w:hAnsi="Calibri" w:cs="Calibri"/>
                <w:lang w:eastAsia="en-GB"/>
              </w:rPr>
            </w:pPr>
            <w:r w:rsidRPr="00533702">
              <w:rPr>
                <w:rFonts w:ascii="Calibri" w:eastAsia="Times New Roman" w:hAnsi="Calibri" w:cs="Calibri"/>
                <w:lang w:eastAsia="en-GB"/>
              </w:rPr>
              <w:t xml:space="preserve">Byrd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{"citationID":"DlTuDbOE","properties":{"formattedCitation":"[177]","plainCitation":"[177]","noteIndex":0},"citationItems":[{"id":3409,"uris":["http://zotero.org/users/5056530/items/ZP7NYUJ4"],"itemData":{"id":3409,"type":"article-journal","abstract":"Critical power (CP) and anaerobic work capacity (AWC) from the CP test represent distinct parameters related to metabolic characteristics of the whole body and active muscle tissue, respectively. Purpose: To examine the contribution of whole-body composition characteristics and local lean mass to further elucidate the differences in metabolic characteristics between CP and AWC as they relate to whole body and local factors. Methods: Fifteen anaerobically trained men were assessed for whole-body (% body fat and mineral-free lean mass [LBM]) and local mineral-free thigh lean mass (TLM) composition characteristics. CP and AWC were determined from the 3-min all-out CP test. Statistical analyses included Pearson product–moment correlations and stepwise multiple-regression analyses (P ≤ .05). Results: Only LBM contributed significantly to the prediction of CP (CP = 2.3 [LBM] + 56.7 [r2 = .346, standard error of the estimate (SEE) = 31.4 W, P = .021]), and only TLM to AWC (AWC = 0.8 [TLM] + 3.7 [r2 = .479, SEE = 2.2 kJ, P = .004]). Conclusions: The aerobic component (CP) of the CP test was most closely related to LBM, and the anaerobic component (AWC) was more closely related to the TLM. These findings support the theory that CP and AWC are separate measures of whole-body metabolic capabilities and the energy stores in the activated local muscle groups, respectively. Thus, training programs to improve CP and AWC should be designed to include resistance-training exercises to increase whole-body LBM and local TLM.","container-title":"International Journal of Sports Physiology and Performance","DOI":"10.1123/ijspp.2016-0810","ISSN":"1555-0273, 1555-0265","issue":"2","language":"en_US","note":"publisher: Human Kinetics\nsection: International Journal of Sports Physiology and Performance","page":"189-193","source":"journals.humankinetics.com","title":"Contributions of Body-Composition Characteristics to Critical Power and Anaerobic Work Capacity","volume":"13","author":[{"family":"Byrd","given":"M. Travis"},{"family":"Switalla","given":"Jonathan Robert"},{"family":"Eastman","given":"Joel E."},{"family":"Wallace","given":"Brian J."},{"family":"Clasey","given":"Jody L."},{"family":"Bergstrom","given":"Haley C."}]}}],"schema":"https://github.com/citation-style-language/schema/raw/master/csl-citation.json"}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[177]</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652F95C5"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ATM (15)</w:t>
            </w:r>
          </w:p>
        </w:tc>
        <w:tc>
          <w:tcPr>
            <w:tcW w:w="1316" w:type="dxa"/>
            <w:tcMar>
              <w:top w:w="0" w:type="dxa"/>
              <w:left w:w="45" w:type="dxa"/>
              <w:bottom w:w="0" w:type="dxa"/>
              <w:right w:w="45" w:type="dxa"/>
            </w:tcMar>
            <w:vAlign w:val="center"/>
            <w:hideMark/>
          </w:tcPr>
          <w:p w14:paraId="6D91A112"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06DD2F12"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 xml:space="preserve">CP (W) correlated with LBM </w:t>
            </w:r>
            <w:r>
              <w:rPr>
                <w:rFonts w:ascii="Calibri" w:eastAsia="Times New Roman" w:hAnsi="Calibri" w:cs="Calibri"/>
                <w:lang w:eastAsia="en-GB"/>
              </w:rPr>
              <w:t xml:space="preserve">(kg) </w:t>
            </w:r>
            <w:r w:rsidRPr="00533702">
              <w:rPr>
                <w:rFonts w:ascii="Calibri" w:eastAsia="Times New Roman" w:hAnsi="Calibri" w:cs="Calibri"/>
                <w:lang w:eastAsia="en-GB"/>
              </w:rPr>
              <w:t>(r = 0.59)</w:t>
            </w:r>
          </w:p>
        </w:tc>
        <w:tc>
          <w:tcPr>
            <w:tcW w:w="1411" w:type="dxa"/>
            <w:tcMar>
              <w:top w:w="0" w:type="dxa"/>
              <w:left w:w="45" w:type="dxa"/>
              <w:bottom w:w="0" w:type="dxa"/>
              <w:right w:w="45" w:type="dxa"/>
            </w:tcMar>
            <w:vAlign w:val="center"/>
            <w:hideMark/>
          </w:tcPr>
          <w:p w14:paraId="6E637F02"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3MT</w:t>
            </w:r>
          </w:p>
        </w:tc>
      </w:tr>
      <w:tr w:rsidR="008E498A" w:rsidRPr="00533702" w14:paraId="32B0D2FC" w14:textId="77777777" w:rsidTr="009A5C18">
        <w:trPr>
          <w:trHeight w:val="300"/>
        </w:trPr>
        <w:tc>
          <w:tcPr>
            <w:tcW w:w="3096" w:type="dxa"/>
            <w:tcMar>
              <w:top w:w="0" w:type="dxa"/>
              <w:left w:w="45" w:type="dxa"/>
              <w:bottom w:w="0" w:type="dxa"/>
              <w:right w:w="45" w:type="dxa"/>
            </w:tcMar>
            <w:vAlign w:val="center"/>
            <w:hideMark/>
          </w:tcPr>
          <w:p w14:paraId="46439C6B" w14:textId="51CB5C3D" w:rsidR="008E498A" w:rsidRPr="00533702" w:rsidRDefault="008E498A" w:rsidP="009A5C18">
            <w:pPr>
              <w:spacing w:after="0" w:line="240" w:lineRule="auto"/>
              <w:rPr>
                <w:rFonts w:ascii="Calibri" w:eastAsia="Times New Roman" w:hAnsi="Calibri" w:cs="Calibri"/>
                <w:lang w:eastAsia="en-GB"/>
              </w:rPr>
            </w:pPr>
            <w:r w:rsidRPr="00533702">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{"citationID":"JVgV8obV","properties":{"formattedCitation":"[130]","plainCitation":"[130]","noteIndex":0},"citationItems":[{"id":768,"uris":["http://zotero.org/users/5056530/items/BGE7LJ5D"],"itemData":{"id":768,"type":"article-journal","abstract":"Critical power is a fundamental parameter defining high‐intensity exercise tolerance, and is related to the phase II time constant of pulmonary oxygen uptake kinetics (τV˙O2). Whether this relationship is causative is presently unclear. This study determined the impact of raised baseline work rate, which increases τV˙O2, on critical power during upright cycle exercise. Critical power was determined via four constant‐power exercise tests to exhaustion in two conditions: (1) with exercise initiated from an unloaded cycling baseline (U→S), and (2) with exercise initiated from a baseline work rate of 90% of the gas exchange threshold (M→S). During these exercise transitions, τV˙O2 and the time constant of muscle deoxyhemoglobin kinetics (τ\n[HHb + Mb]) (the latter via near‐infrared spectroscopy) were determined. In M→S, critical power was lower (M→S = 203 ± 44 W vs. U→S = 213 ± 45 W, P = 0.011) and τV˙O2 was greater (M→S = 51 ± 14 sec vs. U→S = 34 ± 16 sec, P = 0.002) when compared with U→S. Additionally, τ\n[HHb + Mb] was greater in M→S compared with U→S (M→S = 28 ± 7 sec vs. U→S = 14 ± 7 sec, P = 0.007). The increase in τV˙O2 and concomitant reduction in critical power in M→S compared with U→S suggests a causal relationship between these two parameters. However, that τ\n[HHb + Mb] was greater in M→S exculpates reduced oxygen availability as being a confounding factor. These data therefore provide the first experimental evidence that τV˙O2 is an independent determinant of critical power. Keywords critical power, exercise tolerance, oxygen uptake kinetics, power‐duration relationship, muscle deoxyhemoglobin kinetics, work‐to‐work exercise.","container-title":"Physiological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M."},{"family":"Marwood","given":"Simon"}],"accessed":{"date-parts":[["2018",8,6]]},"issued":{"date-parts":[["2018",7,23]]}}}],"schema":"https://github.com/citation-style-language/schema/raw/master/csl-citation.json"}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[130]</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2AD488B8"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HM (7)</w:t>
            </w:r>
          </w:p>
        </w:tc>
        <w:tc>
          <w:tcPr>
            <w:tcW w:w="1316" w:type="dxa"/>
            <w:tcMar>
              <w:top w:w="0" w:type="dxa"/>
              <w:left w:w="45" w:type="dxa"/>
              <w:bottom w:w="0" w:type="dxa"/>
              <w:right w:w="45" w:type="dxa"/>
            </w:tcMar>
            <w:vAlign w:val="center"/>
            <w:hideMark/>
          </w:tcPr>
          <w:p w14:paraId="368DB823"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75DDE084" w14:textId="77777777" w:rsidR="008E498A"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CP (W.kg</w:t>
            </w:r>
            <w:r w:rsidRPr="00533702">
              <w:rPr>
                <w:rFonts w:ascii="Calibri" w:eastAsia="Times New Roman" w:hAnsi="Calibri" w:cs="Calibri"/>
                <w:vertAlign w:val="superscript"/>
                <w:lang w:eastAsia="en-GB"/>
              </w:rPr>
              <w:t>-1</w:t>
            </w:r>
            <w:r w:rsidRPr="00533702">
              <w:rPr>
                <w:rFonts w:ascii="Calibri" w:eastAsia="Times New Roman" w:hAnsi="Calibri" w:cs="Calibri"/>
                <w:lang w:eastAsia="en-GB"/>
              </w:rPr>
              <w:t xml:space="preserve">) correlated with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Pr>
                <w:rFonts w:ascii="Calibri" w:eastAsia="Times New Roman" w:hAnsi="Calibri" w:cs="Calibri"/>
                <w:vertAlign w:val="subscript"/>
                <w:lang w:eastAsia="en-GB"/>
              </w:rPr>
              <w:t xml:space="preserve"> </w:t>
            </w:r>
            <w:r w:rsidRPr="003A0106">
              <w:rPr>
                <w:rFonts w:eastAsia="Times New Roman" w:cstheme="minorHAnsi"/>
                <w:sz w:val="20"/>
                <w:szCs w:val="20"/>
                <w:lang w:eastAsia="en-GB"/>
              </w:rPr>
              <w:t>(s)</w:t>
            </w:r>
            <w:r>
              <w:rPr>
                <w:rFonts w:eastAsia="Times New Roman" w:cstheme="minorHAnsi"/>
                <w:sz w:val="20"/>
                <w:szCs w:val="20"/>
                <w:vertAlign w:val="subscript"/>
                <w:lang w:eastAsia="en-GB"/>
              </w:rPr>
              <w:t xml:space="preserve"> </w:t>
            </w:r>
            <w:r w:rsidRPr="00533702">
              <w:rPr>
                <w:rFonts w:ascii="Calibri" w:eastAsia="Times New Roman" w:hAnsi="Calibri" w:cs="Calibri"/>
                <w:lang w:eastAsia="en-GB"/>
              </w:rPr>
              <w:t xml:space="preserve">during moderate intensity exercise </w:t>
            </w:r>
          </w:p>
          <w:p w14:paraId="5BFB24EF"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-0.95)</w:t>
            </w:r>
          </w:p>
        </w:tc>
        <w:tc>
          <w:tcPr>
            <w:tcW w:w="1411" w:type="dxa"/>
            <w:tcMar>
              <w:top w:w="0" w:type="dxa"/>
              <w:left w:w="45" w:type="dxa"/>
              <w:bottom w:w="0" w:type="dxa"/>
              <w:right w:w="45" w:type="dxa"/>
            </w:tcMar>
            <w:vAlign w:val="center"/>
            <w:hideMark/>
          </w:tcPr>
          <w:p w14:paraId="4CC4BDC3"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4CWR</w:t>
            </w:r>
          </w:p>
        </w:tc>
      </w:tr>
      <w:tr w:rsidR="008E498A" w:rsidRPr="00533702" w14:paraId="68E5F87C" w14:textId="77777777" w:rsidTr="009A5C18">
        <w:trPr>
          <w:trHeight w:val="300"/>
        </w:trPr>
        <w:tc>
          <w:tcPr>
            <w:tcW w:w="3096" w:type="dxa"/>
            <w:tcMar>
              <w:top w:w="0" w:type="dxa"/>
              <w:left w:w="45" w:type="dxa"/>
              <w:bottom w:w="0" w:type="dxa"/>
              <w:right w:w="45" w:type="dxa"/>
            </w:tcMar>
            <w:vAlign w:val="center"/>
            <w:hideMark/>
          </w:tcPr>
          <w:p w14:paraId="449ACBAA" w14:textId="1C035435" w:rsidR="008E498A" w:rsidRPr="00533702" w:rsidRDefault="008E498A" w:rsidP="009A5C18">
            <w:pPr>
              <w:spacing w:after="0" w:line="240" w:lineRule="auto"/>
              <w:rPr>
                <w:rFonts w:ascii="Calibri" w:eastAsia="Times New Roman" w:hAnsi="Calibri" w:cs="Calibri"/>
                <w:lang w:eastAsia="en-GB"/>
              </w:rPr>
            </w:pPr>
            <w:r w:rsidRPr="00533702">
              <w:rPr>
                <w:rFonts w:ascii="Calibri" w:eastAsia="Times New Roman" w:hAnsi="Calibri" w:cs="Calibri"/>
                <w:lang w:eastAsia="en-GB"/>
              </w:rPr>
              <w:t xml:space="preserve">Mitchell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{"citationID":"XxnEVqOj","properties":{"formattedCitation":"[86]","plainCitation":"[86]","noteIndex":0},"citationItems":[{"id":764,"uris":["http://zotero.org/users/5056530/items/QR2C7P5W"],"itemData":{"id":764,"type":"article-journal","abstract":"The asymptote (critical power; CP) and curvature constant (W′) of the hyperbolic power-duration relationship can predict performance within the severe-intensity exercise domain. However, the extent which these parameters relate to skeletal muscle morphology is less clear, particularly in endurance trained individuals who, relative to their lesser trained counterparts, possess skeletal muscles that can support high levels of oxygen transport and oxidative capacity i.e. elevated type I fiber proportion and cross-sectional area (CSA) and capillarity. Fourteen endurance trained males performed a maximal incremental test to determine peak oxygen uptake (V̇O2peak; 63.2 ± 4.1 ml.min-1.kg-1), maximal aerobic power (406 ± 63 W), and 3-5 constant load tests to task failure for the determination of CP (303 ± 52 W) and W' (17.0 ± 3.0 kJ). Skeletal muscle biopsies were obtained from the vastus lateralis and analyzed for % fiber type proportion, CSA and indices of capillarity. CP was positively correlated with the % proportion (r = 0.79; P = 0.001) and CSA (r = 0.73; P = 0.003) of type I fibers, capillary to fiber ratio (r = 0.88; P &lt; 0.001) and capillary contacts around type I fibers (r = 0.94; P &lt; 0.001) and type II fibers (r = 0.68; P = 0.008). W' was not correlated with any morphological variables. These data reveal a strong positive association between CP and skeletal muscle capillarity. Our findings support the assertion that CP is an important parameter of aerobic function and offer novel insights into the physiological bases of CP.","container-title":"Journal of Applied Physiology","DOI":"10.1152/japplphysiol.01126.2017","ISSN":"8750-7587","journalAbbreviation":"Journal of Applied Physiology","source":"physiology.org (Atypon)","title":"Critical power is positively related to skeletal muscle capillarity and type I muscle fibers in endurance trained individuals","URL":"https://www.physiology.org/doi/abs/10.1152/japplphysiol.01126.2017","author":[{"family":"Mitchell","given":"Emma A."},{"family":"Martin","given":"Neil Richard William"},{"family":"Bailey","given":"Stephen J."},{"family":"Ferguson","given":"Richard A."}],"accessed":{"date-parts":[["2018",8,8]]},"issued":{"date-parts":[["2018",6,7]]}}}],"schema":"https://github.com/citation-style-language/schema/raw/master/csl-citation.json"}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[86]</w:t>
            </w:r>
            <w:r>
              <w:rPr>
                <w:rFonts w:ascii="Calibri" w:eastAsia="Times New Roman" w:hAnsi="Calibri" w:cs="Calibri"/>
                <w:lang w:eastAsia="en-GB"/>
              </w:rPr>
              <w:fldChar w:fldCharType="end"/>
            </w:r>
          </w:p>
        </w:tc>
        <w:tc>
          <w:tcPr>
            <w:tcW w:w="1091" w:type="dxa"/>
            <w:tcMar>
              <w:top w:w="0" w:type="dxa"/>
              <w:left w:w="45" w:type="dxa"/>
              <w:bottom w:w="0" w:type="dxa"/>
              <w:right w:w="45" w:type="dxa"/>
            </w:tcMar>
            <w:vAlign w:val="center"/>
            <w:hideMark/>
          </w:tcPr>
          <w:p w14:paraId="0184027E"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ETM (14)</w:t>
            </w:r>
          </w:p>
        </w:tc>
        <w:tc>
          <w:tcPr>
            <w:tcW w:w="1316" w:type="dxa"/>
            <w:tcMar>
              <w:top w:w="0" w:type="dxa"/>
              <w:left w:w="45" w:type="dxa"/>
              <w:bottom w:w="0" w:type="dxa"/>
              <w:right w:w="45" w:type="dxa"/>
            </w:tcMar>
            <w:vAlign w:val="center"/>
            <w:hideMark/>
          </w:tcPr>
          <w:p w14:paraId="4060450F"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Mar>
              <w:top w:w="0" w:type="dxa"/>
              <w:left w:w="45" w:type="dxa"/>
              <w:bottom w:w="0" w:type="dxa"/>
              <w:right w:w="45" w:type="dxa"/>
            </w:tcMar>
            <w:vAlign w:val="center"/>
            <w:hideMark/>
          </w:tcPr>
          <w:p w14:paraId="48462D83"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CP (W) correlated with: %type 1 fibre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 xml:space="preserve">0.79), </w:t>
            </w:r>
            <w:r>
              <w:rPr>
                <w:rFonts w:ascii="Calibri" w:eastAsia="Times New Roman" w:hAnsi="Calibri" w:cs="Calibri"/>
                <w:lang w:eastAsia="en-GB"/>
              </w:rPr>
              <w:t xml:space="preserve">no. of </w:t>
            </w:r>
            <w:r w:rsidRPr="00533702">
              <w:rPr>
                <w:rFonts w:ascii="Calibri" w:eastAsia="Times New Roman" w:hAnsi="Calibri" w:cs="Calibri"/>
                <w:lang w:eastAsia="en-GB"/>
              </w:rPr>
              <w:t>capillary contacts in type 1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0.94) &amp; type 2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 xml:space="preserve">0.68) fibres, </w:t>
            </w:r>
            <w:proofErr w:type="spellStart"/>
            <w:r w:rsidRPr="00533702">
              <w:rPr>
                <w:rFonts w:ascii="Calibri" w:eastAsia="Times New Roman" w:hAnsi="Calibri" w:cs="Calibri"/>
                <w:lang w:eastAsia="en-GB"/>
              </w:rPr>
              <w:t>capillary:fibre</w:t>
            </w:r>
            <w:proofErr w:type="spellEnd"/>
            <w:r w:rsidRPr="00533702">
              <w:rPr>
                <w:rFonts w:ascii="Calibri" w:eastAsia="Times New Roman" w:hAnsi="Calibri" w:cs="Calibri"/>
                <w:lang w:eastAsia="en-GB"/>
              </w:rPr>
              <w:t xml:space="preserve">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0.88)</w:t>
            </w:r>
          </w:p>
        </w:tc>
        <w:tc>
          <w:tcPr>
            <w:tcW w:w="1411" w:type="dxa"/>
            <w:tcMar>
              <w:top w:w="0" w:type="dxa"/>
              <w:left w:w="45" w:type="dxa"/>
              <w:bottom w:w="0" w:type="dxa"/>
              <w:right w:w="45" w:type="dxa"/>
            </w:tcMar>
            <w:vAlign w:val="center"/>
            <w:hideMark/>
          </w:tcPr>
          <w:p w14:paraId="474CD075"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3-4CWR</w:t>
            </w:r>
          </w:p>
        </w:tc>
      </w:tr>
      <w:tr w:rsidR="008E498A" w:rsidRPr="00533702" w14:paraId="27E20436" w14:textId="77777777" w:rsidTr="009A5C18">
        <w:trPr>
          <w:trHeight w:val="300"/>
        </w:trPr>
        <w:tc>
          <w:tcPr>
            <w:tcW w:w="3096" w:type="dxa"/>
            <w:tcBorders>
              <w:bottom w:val="single" w:sz="6" w:space="0" w:color="CCCCCC"/>
            </w:tcBorders>
            <w:tcMar>
              <w:top w:w="0" w:type="dxa"/>
              <w:left w:w="45" w:type="dxa"/>
              <w:bottom w:w="0" w:type="dxa"/>
              <w:right w:w="45" w:type="dxa"/>
            </w:tcMar>
            <w:vAlign w:val="center"/>
            <w:hideMark/>
          </w:tcPr>
          <w:p w14:paraId="597AA109" w14:textId="77D8B26D" w:rsidR="008E498A" w:rsidRPr="00533702" w:rsidRDefault="008E498A" w:rsidP="009A5C18">
            <w:pPr>
              <w:spacing w:after="0" w:line="240" w:lineRule="auto"/>
              <w:rPr>
                <w:rFonts w:ascii="Calibri" w:eastAsia="Times New Roman" w:hAnsi="Calibri" w:cs="Calibri"/>
                <w:lang w:eastAsia="en-GB"/>
              </w:rPr>
            </w:pPr>
            <w:r w:rsidRPr="00533702">
              <w:rPr>
                <w:rFonts w:ascii="Calibri" w:eastAsia="Times New Roman" w:hAnsi="Calibri" w:cs="Calibri"/>
                <w:lang w:eastAsia="en-GB"/>
              </w:rPr>
              <w:t xml:space="preserve">Goulding et al.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{"citationID":"75J5Uxrb","properties":{"formattedCitation":"[131]","plainCitation":"[131]","noteIndex":0},"citationItems":[{"id":78,"uris":["http://zotero.org/users/5056530/items/Q9M2NM2G"],"itemData":{"id":78,"type":"article-journal","abstract":"We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[131]</w:t>
            </w:r>
            <w:r>
              <w:rPr>
                <w:rFonts w:ascii="Calibri" w:eastAsia="Times New Roman" w:hAnsi="Calibri" w:cs="Calibri"/>
                <w:lang w:eastAsia="en-GB"/>
              </w:rPr>
              <w:fldChar w:fldCharType="end"/>
            </w:r>
          </w:p>
        </w:tc>
        <w:tc>
          <w:tcPr>
            <w:tcW w:w="1091" w:type="dxa"/>
            <w:tcBorders>
              <w:bottom w:val="single" w:sz="6" w:space="0" w:color="CCCCCC"/>
            </w:tcBorders>
            <w:tcMar>
              <w:top w:w="0" w:type="dxa"/>
              <w:left w:w="45" w:type="dxa"/>
              <w:bottom w:w="0" w:type="dxa"/>
              <w:right w:w="45" w:type="dxa"/>
            </w:tcMar>
            <w:vAlign w:val="center"/>
            <w:hideMark/>
          </w:tcPr>
          <w:p w14:paraId="5080B700"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HM (9)</w:t>
            </w:r>
          </w:p>
        </w:tc>
        <w:tc>
          <w:tcPr>
            <w:tcW w:w="1316" w:type="dxa"/>
            <w:tcBorders>
              <w:bottom w:val="single" w:sz="6" w:space="0" w:color="CCCCCC"/>
            </w:tcBorders>
            <w:tcMar>
              <w:top w:w="0" w:type="dxa"/>
              <w:left w:w="45" w:type="dxa"/>
              <w:bottom w:w="0" w:type="dxa"/>
              <w:right w:w="45" w:type="dxa"/>
            </w:tcMar>
            <w:vAlign w:val="center"/>
            <w:hideMark/>
          </w:tcPr>
          <w:p w14:paraId="74F967F1"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Borders>
              <w:bottom w:val="single" w:sz="6" w:space="0" w:color="CCCCCC"/>
            </w:tcBorders>
            <w:tcMar>
              <w:top w:w="0" w:type="dxa"/>
              <w:left w:w="45" w:type="dxa"/>
              <w:bottom w:w="0" w:type="dxa"/>
              <w:right w:w="45" w:type="dxa"/>
            </w:tcMar>
            <w:vAlign w:val="center"/>
            <w:hideMark/>
          </w:tcPr>
          <w:p w14:paraId="1F158CCD" w14:textId="77777777" w:rsidR="008E498A"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CP (W.kg</w:t>
            </w:r>
            <w:r w:rsidRPr="00533702">
              <w:rPr>
                <w:rFonts w:ascii="Calibri" w:eastAsia="Times New Roman" w:hAnsi="Calibri" w:cs="Calibri"/>
                <w:vertAlign w:val="superscript"/>
                <w:lang w:eastAsia="en-GB"/>
              </w:rPr>
              <w:t>-1</w:t>
            </w:r>
            <w:r w:rsidRPr="00533702">
              <w:rPr>
                <w:rFonts w:ascii="Calibri" w:eastAsia="Times New Roman" w:hAnsi="Calibri" w:cs="Calibri"/>
                <w:lang w:eastAsia="en-GB"/>
              </w:rPr>
              <w:t xml:space="preserve">) correlated with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Pr>
                <w:rFonts w:ascii="Calibri" w:eastAsia="Times New Roman" w:hAnsi="Calibri" w:cs="Calibri"/>
                <w:vertAlign w:val="subscript"/>
                <w:lang w:eastAsia="en-GB"/>
              </w:rPr>
              <w:t xml:space="preserve"> </w:t>
            </w:r>
            <w:r w:rsidRPr="003A0106">
              <w:rPr>
                <w:rFonts w:eastAsia="Times New Roman" w:cstheme="minorHAnsi"/>
                <w:sz w:val="20"/>
                <w:szCs w:val="20"/>
                <w:lang w:eastAsia="en-GB"/>
              </w:rPr>
              <w:t>(s)</w:t>
            </w:r>
            <w:r>
              <w:rPr>
                <w:rFonts w:eastAsia="Times New Roman" w:cstheme="minorHAnsi"/>
                <w:sz w:val="20"/>
                <w:szCs w:val="20"/>
                <w:vertAlign w:val="subscript"/>
                <w:lang w:eastAsia="en-GB"/>
              </w:rPr>
              <w:t xml:space="preserve"> </w:t>
            </w:r>
            <w:r w:rsidRPr="00533702">
              <w:rPr>
                <w:rFonts w:ascii="Calibri" w:eastAsia="Times New Roman" w:hAnsi="Calibri" w:cs="Calibri"/>
                <w:lang w:eastAsia="en-GB"/>
              </w:rPr>
              <w:t xml:space="preserve">during moderate intensity exercise </w:t>
            </w:r>
          </w:p>
          <w:p w14:paraId="18C75EE1"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-0.92)</w:t>
            </w:r>
          </w:p>
        </w:tc>
        <w:tc>
          <w:tcPr>
            <w:tcW w:w="1411" w:type="dxa"/>
            <w:tcBorders>
              <w:bottom w:val="single" w:sz="6" w:space="0" w:color="CCCCCC"/>
            </w:tcBorders>
            <w:tcMar>
              <w:top w:w="0" w:type="dxa"/>
              <w:left w:w="45" w:type="dxa"/>
              <w:bottom w:w="0" w:type="dxa"/>
              <w:right w:w="45" w:type="dxa"/>
            </w:tcMar>
            <w:vAlign w:val="center"/>
            <w:hideMark/>
          </w:tcPr>
          <w:p w14:paraId="338F9F60"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4CWR</w:t>
            </w:r>
          </w:p>
        </w:tc>
      </w:tr>
      <w:tr w:rsidR="008E498A" w:rsidRPr="00533702" w14:paraId="3799BA63" w14:textId="77777777" w:rsidTr="009A5C18">
        <w:trPr>
          <w:trHeight w:val="300"/>
        </w:trPr>
        <w:tc>
          <w:tcPr>
            <w:tcW w:w="3096" w:type="dxa"/>
            <w:tcBorders>
              <w:top w:val="single" w:sz="6" w:space="0" w:color="CCCCCC"/>
              <w:bottom w:val="single" w:sz="6" w:space="0" w:color="CCCCCC"/>
            </w:tcBorders>
            <w:tcMar>
              <w:top w:w="0" w:type="dxa"/>
              <w:left w:w="45" w:type="dxa"/>
              <w:bottom w:w="0" w:type="dxa"/>
              <w:right w:w="45" w:type="dxa"/>
            </w:tcMar>
            <w:vAlign w:val="center"/>
            <w:hideMark/>
          </w:tcPr>
          <w:p w14:paraId="24C85965" w14:textId="2C0BC438" w:rsidR="008E498A" w:rsidRPr="00533702" w:rsidRDefault="008E498A" w:rsidP="009A5C18">
            <w:pPr>
              <w:spacing w:after="0" w:line="240" w:lineRule="auto"/>
              <w:rPr>
                <w:rFonts w:ascii="Calibri" w:eastAsia="Times New Roman" w:hAnsi="Calibri" w:cs="Calibri"/>
                <w:lang w:eastAsia="en-GB"/>
              </w:rPr>
            </w:pPr>
            <w:r w:rsidRPr="00533702">
              <w:rPr>
                <w:rFonts w:ascii="Calibri" w:eastAsia="Times New Roman" w:hAnsi="Calibri" w:cs="Calibri"/>
                <w:lang w:eastAsia="en-GB"/>
              </w:rPr>
              <w:t>Smyth &amp; Muniz-</w:t>
            </w:r>
            <w:proofErr w:type="spellStart"/>
            <w:r w:rsidRPr="00533702">
              <w:rPr>
                <w:rFonts w:ascii="Calibri" w:eastAsia="Times New Roman" w:hAnsi="Calibri" w:cs="Calibri"/>
                <w:lang w:eastAsia="en-GB"/>
              </w:rPr>
              <w:t>Pamares</w:t>
            </w:r>
            <w:proofErr w:type="spellEnd"/>
            <w:r w:rsidRPr="00533702">
              <w:rPr>
                <w:rFonts w:ascii="Calibri" w:eastAsia="Times New Roman" w:hAnsi="Calibri" w:cs="Calibri"/>
                <w:lang w:eastAsia="en-GB"/>
              </w:rPr>
              <w:t xml:space="preserve"> </w:t>
            </w:r>
            <w:r>
              <w:rPr>
                <w:rFonts w:ascii="Calibri" w:eastAsia="Times New Roman" w:hAnsi="Calibri" w:cs="Calibri"/>
                <w:lang w:eastAsia="en-GB"/>
              </w:rPr>
              <w:fldChar w:fldCharType="begin"/>
            </w:r>
            <w:r>
              <w:rPr>
                <w:rFonts w:ascii="Calibri" w:eastAsia="Times New Roman" w:hAnsi="Calibri" w:cs="Calibri"/>
                <w:lang w:eastAsia="en-GB"/>
              </w:rPr>
              <w:instrText xml:space="preserve"> ADDIN ZOTERO_ITEM CSL_CITATION {"citationID":"QJqS3ofb","properties":{"formattedCitation":"[28]","plainCitation":"[28]","noteIndex":0},"citationItems":[{"id":1115,"uris":["http://zotero.org/users/5056530/items/B895F8PG"],"itemData":{"id":1115,"type":"article-journal","abstract":"INTRODUCTION: Critical speed (CS) represents the highest intensity at which a physiological steady state may be reached. The aim of this study was to evaluate whether estimations of CS obtained from raw training data can predict performance and pacing in marathons.\nMETHODS: We investigated running activities logged into an online fitness platform by &gt;25,000 runners prior to big-city marathons. Each activity contained time, distance, and elevation every 100 m. We computed grade-adjusted pacing and the fastest pace recorded for a set of target distances (400, 800, 1000, 1500, 3000, 5000 m). CS was determined as the slope of the distance-time relationship using all combinations of, at least, three target distances.\nRESULTS: The relationship between distance and time was linear, irrespective of the target distances used (pooled mean ± standard deviation: R = 0.9999±0.0001). The estimated values of CS from all models were not different (3.74±0.08 m·s), and all models correlated with marathon performance (R = 0.672±0.036, error = 8.01±0.51%). CS from the model including 400, 800 and 5000 m best predicted performance (R = 0.695, error = 7.67%), and was used in further analysis. Runners completed the marathon at 84.8±13.6% CS, with faster runners competing at speeds closer to CS (93.0% CS for 150 min marathon times vs. 78.9% CS for 360 min marathon times). Runners who completed the first half of the marathon at &gt;94% of their CS, and particularly faster than CS, were more likely slowdown by more than 25% in the second half of race.\nCONCLUSION: This study suggests that estimations of CS from raw training data can successfully predict marathon performance and provide useful pacing information.","container-title":"Medicine and Science in Sports and Exercise","DOI":"10.1249/MSS.0000000000002412","ISSN":"1530-0315","journalAbbreviation":"Med Sci Sports Exerc","language":"eng","note":"PMID: 32472926","source":"PubMed","title":"Calculation of Critical Speed from Raw Training Data in Recreational Marathon Runners","author":[{"family":"Smyth","given":"Barry"},{"family":"Muniz-Pumares","given":"Daniel"}],"issued":{"date-parts":[["2020",5,27]]}}}],"schema":"https://github.com/citation-style-language/schema/raw/master/csl-citation.json"} </w:instrText>
            </w:r>
            <w:r>
              <w:rPr>
                <w:rFonts w:ascii="Calibri" w:eastAsia="Times New Roman" w:hAnsi="Calibri" w:cs="Calibri"/>
                <w:lang w:eastAsia="en-GB"/>
              </w:rPr>
              <w:fldChar w:fldCharType="separate"/>
            </w:r>
            <w:r w:rsidRPr="008E498A">
              <w:rPr>
                <w:rFonts w:ascii="Calibri" w:hAnsi="Calibri" w:cs="Calibri"/>
              </w:rPr>
              <w:t>[28]</w:t>
            </w:r>
            <w:r>
              <w:rPr>
                <w:rFonts w:ascii="Calibri" w:eastAsia="Times New Roman" w:hAnsi="Calibri" w:cs="Calibri"/>
                <w:lang w:eastAsia="en-GB"/>
              </w:rPr>
              <w:fldChar w:fldCharType="end"/>
            </w:r>
          </w:p>
        </w:tc>
        <w:tc>
          <w:tcPr>
            <w:tcW w:w="1091" w:type="dxa"/>
            <w:tcBorders>
              <w:top w:val="single" w:sz="6" w:space="0" w:color="CCCCCC"/>
              <w:bottom w:val="single" w:sz="6" w:space="0" w:color="CCCCCC"/>
            </w:tcBorders>
            <w:tcMar>
              <w:top w:w="0" w:type="dxa"/>
              <w:left w:w="45" w:type="dxa"/>
              <w:bottom w:w="0" w:type="dxa"/>
              <w:right w:w="45" w:type="dxa"/>
            </w:tcMar>
            <w:vAlign w:val="center"/>
            <w:hideMark/>
          </w:tcPr>
          <w:p w14:paraId="351A4000"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HM &amp; HF (31,190)</w:t>
            </w:r>
          </w:p>
        </w:tc>
        <w:tc>
          <w:tcPr>
            <w:tcW w:w="1316" w:type="dxa"/>
            <w:tcBorders>
              <w:top w:val="single" w:sz="6" w:space="0" w:color="CCCCCC"/>
              <w:bottom w:val="single" w:sz="6" w:space="0" w:color="CCCCCC"/>
            </w:tcBorders>
            <w:tcMar>
              <w:top w:w="0" w:type="dxa"/>
              <w:left w:w="45" w:type="dxa"/>
              <w:bottom w:w="0" w:type="dxa"/>
              <w:right w:w="45" w:type="dxa"/>
            </w:tcMar>
            <w:vAlign w:val="center"/>
            <w:hideMark/>
          </w:tcPr>
          <w:p w14:paraId="4B15FE57"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Running</w:t>
            </w:r>
          </w:p>
        </w:tc>
        <w:tc>
          <w:tcPr>
            <w:tcW w:w="6487" w:type="dxa"/>
            <w:tcBorders>
              <w:top w:val="single" w:sz="6" w:space="0" w:color="CCCCCC"/>
              <w:bottom w:val="single" w:sz="6" w:space="0" w:color="CCCCCC"/>
            </w:tcBorders>
            <w:tcMar>
              <w:top w:w="0" w:type="dxa"/>
              <w:left w:w="45" w:type="dxa"/>
              <w:bottom w:w="0" w:type="dxa"/>
              <w:right w:w="45" w:type="dxa"/>
            </w:tcMar>
            <w:vAlign w:val="center"/>
            <w:hideMark/>
          </w:tcPr>
          <w:p w14:paraId="25CB2E3E"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CS (m.s</w:t>
            </w:r>
            <w:r w:rsidRPr="00533702">
              <w:rPr>
                <w:rFonts w:ascii="Calibri" w:eastAsia="Times New Roman" w:hAnsi="Calibri" w:cs="Calibri"/>
                <w:vertAlign w:val="superscript"/>
                <w:lang w:eastAsia="en-GB"/>
              </w:rPr>
              <w:t>-1</w:t>
            </w:r>
            <w:r w:rsidRPr="00533702">
              <w:rPr>
                <w:rFonts w:ascii="Calibri" w:eastAsia="Times New Roman" w:hAnsi="Calibri" w:cs="Calibri"/>
                <w:lang w:eastAsia="en-GB"/>
              </w:rPr>
              <w:t>) correlated with marathon time</w:t>
            </w:r>
            <w:r>
              <w:rPr>
                <w:rFonts w:ascii="Calibri" w:eastAsia="Times New Roman" w:hAnsi="Calibri" w:cs="Calibri"/>
                <w:lang w:eastAsia="en-GB"/>
              </w:rPr>
              <w:t xml:space="preserve"> (min)</w:t>
            </w:r>
            <w:r w:rsidRPr="00533702">
              <w:rPr>
                <w:rFonts w:ascii="Calibri" w:eastAsia="Times New Roman" w:hAnsi="Calibri" w:cs="Calibri"/>
                <w:lang w:eastAsia="en-GB"/>
              </w:rPr>
              <w:t xml:space="preserve"> (r</w:t>
            </w:r>
            <w:r>
              <w:rPr>
                <w:rFonts w:ascii="Calibri" w:eastAsia="Times New Roman" w:hAnsi="Calibri" w:cs="Calibri"/>
                <w:lang w:eastAsia="en-GB"/>
              </w:rPr>
              <w:t xml:space="preserve"> </w:t>
            </w:r>
            <w:r w:rsidRPr="00533702">
              <w:rPr>
                <w:rFonts w:ascii="Calibri" w:eastAsia="Times New Roman" w:hAnsi="Calibri" w:cs="Calibri"/>
                <w:lang w:eastAsia="en-GB"/>
              </w:rPr>
              <w:t>=</w:t>
            </w:r>
            <w:r>
              <w:rPr>
                <w:rFonts w:ascii="Calibri" w:eastAsia="Times New Roman" w:hAnsi="Calibri" w:cs="Calibri"/>
                <w:lang w:eastAsia="en-GB"/>
              </w:rPr>
              <w:t xml:space="preserve"> </w:t>
            </w:r>
            <w:r w:rsidRPr="00533702">
              <w:rPr>
                <w:rFonts w:ascii="Calibri" w:eastAsia="Times New Roman" w:hAnsi="Calibri" w:cs="Calibri"/>
                <w:lang w:eastAsia="en-GB"/>
              </w:rPr>
              <w:t>-0.83)</w:t>
            </w:r>
          </w:p>
        </w:tc>
        <w:tc>
          <w:tcPr>
            <w:tcW w:w="1411" w:type="dxa"/>
            <w:tcBorders>
              <w:top w:val="single" w:sz="6" w:space="0" w:color="CCCCCC"/>
              <w:bottom w:val="single" w:sz="6" w:space="0" w:color="CCCCCC"/>
            </w:tcBorders>
            <w:tcMar>
              <w:top w:w="0" w:type="dxa"/>
              <w:left w:w="45" w:type="dxa"/>
              <w:bottom w:w="0" w:type="dxa"/>
              <w:right w:w="45" w:type="dxa"/>
            </w:tcMar>
            <w:vAlign w:val="center"/>
            <w:hideMark/>
          </w:tcPr>
          <w:p w14:paraId="7EB9C3CE"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3TT</w:t>
            </w:r>
          </w:p>
        </w:tc>
      </w:tr>
      <w:tr w:rsidR="008E498A" w:rsidRPr="00533702" w14:paraId="1B060DBB" w14:textId="77777777" w:rsidTr="009A5C18">
        <w:trPr>
          <w:trHeight w:val="300"/>
        </w:trPr>
        <w:tc>
          <w:tcPr>
            <w:tcW w:w="3096" w:type="dxa"/>
            <w:tcBorders>
              <w:top w:val="single" w:sz="6" w:space="0" w:color="CCCCCC"/>
              <w:bottom w:val="single" w:sz="8" w:space="0" w:color="auto"/>
            </w:tcBorders>
            <w:tcMar>
              <w:top w:w="0" w:type="dxa"/>
              <w:left w:w="45" w:type="dxa"/>
              <w:bottom w:w="0" w:type="dxa"/>
              <w:right w:w="45" w:type="dxa"/>
            </w:tcMar>
            <w:vAlign w:val="center"/>
          </w:tcPr>
          <w:p w14:paraId="1F9027E2" w14:textId="2DE6B7F4" w:rsidR="008E498A" w:rsidRPr="00533702" w:rsidRDefault="008E498A" w:rsidP="009A5C18">
            <w:pPr>
              <w:spacing w:after="0" w:line="240" w:lineRule="auto"/>
              <w:rPr>
                <w:rFonts w:ascii="Calibri" w:eastAsia="Times New Roman" w:hAnsi="Calibri" w:cs="Calibri"/>
                <w:lang w:eastAsia="en-GB"/>
              </w:rPr>
            </w:pPr>
            <w:r>
              <w:rPr>
                <w:rFonts w:ascii="Calibri" w:hAnsi="Calibri" w:cs="Calibri"/>
              </w:rPr>
              <w:t xml:space="preserve">Collins et al. </w:t>
            </w:r>
            <w:r>
              <w:rPr>
                <w:rFonts w:ascii="Calibri" w:hAnsi="Calibri" w:cs="Calibri"/>
              </w:rPr>
              <w:fldChar w:fldCharType="begin"/>
            </w:r>
            <w:r>
              <w:rPr>
                <w:rFonts w:ascii="Calibri" w:hAnsi="Calibri" w:cs="Calibri"/>
              </w:rPr>
              <w:instrText xml:space="preserve"> ADDIN ZOTERO_ITEM CSL_CITATION {"citationID":"r9IgmiZw","properties":{"formattedCitation":"[176]","plainCitation":"[176]","noteIndex":0},"citationItems":[{"id":3522,"uris":["http://zotero.org/users/5056530/items/B36S7GL6"],"itemData":{"id":3522,"type":"article-journal","abstract":"Responses to exercise at a given percentage of one's maximum rate of oxygen consumption (V̇o2max), or percentage of the power associated with V̇o2max during a graded exercise test (i.e., PGXT), vary. The purpose of this study was to determine if differences in critical power (PCRIT, maximum metabolic steady state) and work-prime (W', the amount of work tolerated above steady state) are related to training-induced changes in endurance. PCRIT, W', V̇o2max, and other variables were determined before and after 22 adults completed 8 wk of either moderate-intensity continuous training (MICT) or high-intensity interval training (HIIT) performed at fixed percentages of PGXT. On average, PCRIT increased to a greater extent following HIIT (MICT: 15.7 ± 3.1% vs. HIIT: 27.5 ± 4.3%; P = 0.03), but the magnitude of change varied widely within each group (MICT: 4%-36%, HIIT: 4%-61%). The intensity of the prescribed exercise relative to pretraining PCRIT, not PGXT, accounted for most of the variance in changes to PCRIT in response to a given protocol (R2 = 0.61-0.64; P &lt; 0.01). Although PCRIT and V̇o2max were related before training (R2 = 0.92, P &lt; 0.01), the training-induced change in PCRIT was not significantly related to the change in V̇o2max (R2 = 0.06, P = 0.26). Before training, time-to-failure at PGXT was related to W' (R2 = 0.52; P &lt; 0.01), but not V̇o2max (R2 = 0.13; P = 0.10). Training-induced changes in time-to-failure at the initial PGXT were better captured by the combined changes in W' and PCRIT (R2 = 0.77, P &lt; 0.01), than by the change in V̇o2max (R2 = 0.24; P = 0.02). Differences in PCRIT and W' account for some of the variability in responses to endurance exercise.NEW &amp; NOTEWORTHY As the highest percentage of V̇O2max at which steady state conditions can be achieved, a person's critical power (PCRIT) strongly influences the metabolic strain of a given exercise. In this study we demonstrate that training-induced changes in endurance are more strongly related to the intensity of an exercise training program, relative to PCRIT than relative to V̇o2max. Thus, exercise may be more homogenously and effectively prescribed in relation to PCRIT than traditional factors like V̇o2max.","container-title":"Journal of Applied Physiology (Bethesda, Md.: 1985)","DOI":"10.1152/japplphysiol.00344.2022","ISSN":"1522-1601","issue":"4","journalAbbreviation":"J Appl Physiol (1985)","language":"eng","note":"PMID: 36107986","page":"986-1000","source":"PubMed","title":"Critical power and work-prime account for variability in endurance training adaptations not captured by V̇o2max","volume":"133","author":[{"family":"Collins","given":"Jessica"},{"family":"Leach","given":"Olivia"},{"family":"Dorff","given":"Abigail"},{"family":"Linde","given":"Jessica"},{"family":"Kofoed","given":"Jason"},{"family":"Sherman","given":"Megan"},{"family":"Proffit","given":"Meagan"},{"family":"Gifford","given":"Jayson R."}],"issued":{"date-parts":[["2022",10,1]]}}}],"schema":"https://github.com/citation-style-language/schema/raw/master/csl-citation.json"} </w:instrText>
            </w:r>
            <w:r>
              <w:rPr>
                <w:rFonts w:ascii="Calibri" w:hAnsi="Calibri" w:cs="Calibri"/>
              </w:rPr>
              <w:fldChar w:fldCharType="separate"/>
            </w:r>
            <w:r w:rsidRPr="008E498A">
              <w:rPr>
                <w:rFonts w:ascii="Calibri" w:hAnsi="Calibri" w:cs="Calibri"/>
              </w:rPr>
              <w:t>[176]</w:t>
            </w:r>
            <w:r>
              <w:rPr>
                <w:rFonts w:ascii="Calibri" w:hAnsi="Calibri" w:cs="Calibri"/>
              </w:rPr>
              <w:fldChar w:fldCharType="end"/>
            </w:r>
          </w:p>
        </w:tc>
        <w:tc>
          <w:tcPr>
            <w:tcW w:w="1091" w:type="dxa"/>
            <w:tcBorders>
              <w:top w:val="single" w:sz="6" w:space="0" w:color="CCCCCC"/>
              <w:bottom w:val="single" w:sz="8" w:space="0" w:color="auto"/>
            </w:tcBorders>
            <w:tcMar>
              <w:top w:w="0" w:type="dxa"/>
              <w:left w:w="45" w:type="dxa"/>
              <w:bottom w:w="0" w:type="dxa"/>
              <w:right w:w="45" w:type="dxa"/>
            </w:tcMar>
            <w:vAlign w:val="center"/>
          </w:tcPr>
          <w:p w14:paraId="7856BA40" w14:textId="77777777" w:rsidR="008E498A" w:rsidRPr="00533702" w:rsidRDefault="008E498A" w:rsidP="009A5C18">
            <w:pPr>
              <w:spacing w:after="0" w:line="240" w:lineRule="auto"/>
              <w:jc w:val="center"/>
              <w:rPr>
                <w:rFonts w:ascii="Calibri" w:eastAsia="Times New Roman" w:hAnsi="Calibri" w:cs="Calibri"/>
                <w:lang w:eastAsia="en-GB"/>
              </w:rPr>
            </w:pPr>
            <w:r>
              <w:rPr>
                <w:rFonts w:ascii="Calibri" w:eastAsia="Times New Roman" w:hAnsi="Calibri" w:cs="Calibri"/>
                <w:lang w:eastAsia="en-GB"/>
              </w:rPr>
              <w:t>HM (11) HF (11)</w:t>
            </w:r>
          </w:p>
        </w:tc>
        <w:tc>
          <w:tcPr>
            <w:tcW w:w="1316" w:type="dxa"/>
            <w:tcBorders>
              <w:top w:val="single" w:sz="6" w:space="0" w:color="CCCCCC"/>
              <w:bottom w:val="single" w:sz="8" w:space="0" w:color="auto"/>
            </w:tcBorders>
            <w:tcMar>
              <w:top w:w="0" w:type="dxa"/>
              <w:left w:w="45" w:type="dxa"/>
              <w:bottom w:w="0" w:type="dxa"/>
              <w:right w:w="45" w:type="dxa"/>
            </w:tcMar>
            <w:vAlign w:val="center"/>
          </w:tcPr>
          <w:p w14:paraId="32342F73"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Upright cycling</w:t>
            </w:r>
          </w:p>
        </w:tc>
        <w:tc>
          <w:tcPr>
            <w:tcW w:w="6487" w:type="dxa"/>
            <w:tcBorders>
              <w:top w:val="single" w:sz="6" w:space="0" w:color="CCCCCC"/>
              <w:bottom w:val="single" w:sz="8" w:space="0" w:color="auto"/>
            </w:tcBorders>
            <w:tcMar>
              <w:top w:w="0" w:type="dxa"/>
              <w:left w:w="45" w:type="dxa"/>
              <w:bottom w:w="0" w:type="dxa"/>
              <w:right w:w="45" w:type="dxa"/>
            </w:tcMar>
            <w:vAlign w:val="center"/>
          </w:tcPr>
          <w:p w14:paraId="170D0E8B" w14:textId="77777777" w:rsidR="008E498A" w:rsidRDefault="008E498A" w:rsidP="009A5C18">
            <w:pPr>
              <w:spacing w:after="0" w:line="240" w:lineRule="auto"/>
              <w:jc w:val="center"/>
              <w:rPr>
                <w:rFonts w:ascii="Calibri" w:eastAsia="Times New Roman" w:hAnsi="Calibri" w:cs="Calibri"/>
                <w:lang w:eastAsia="en-GB"/>
              </w:rPr>
            </w:pPr>
            <w:r>
              <w:rPr>
                <w:rFonts w:ascii="Calibri" w:eastAsia="Times New Roman" w:hAnsi="Calibri" w:cs="Calibri"/>
                <w:lang w:eastAsia="en-GB"/>
              </w:rPr>
              <w:t xml:space="preserve">CP (W) correlated with: </w:t>
            </w: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r>
              <w:rPr>
                <w:rFonts w:ascii="Calibri" w:eastAsia="Times New Roman" w:hAnsi="Calibri" w:cs="Calibri"/>
                <w:vertAlign w:val="subscript"/>
                <w:lang w:eastAsia="en-GB"/>
              </w:rPr>
              <w:t xml:space="preserve"> </w:t>
            </w:r>
            <w:r>
              <w:rPr>
                <w:rFonts w:ascii="Calibri" w:eastAsia="Times New Roman" w:hAnsi="Calibri" w:cs="Calibri"/>
                <w:lang w:eastAsia="en-GB"/>
              </w:rPr>
              <w:t>(ml.min</w:t>
            </w:r>
            <w:r>
              <w:rPr>
                <w:rFonts w:ascii="Calibri" w:eastAsia="Times New Roman" w:hAnsi="Calibri" w:cs="Calibri"/>
                <w:vertAlign w:val="superscript"/>
                <w:lang w:eastAsia="en-GB"/>
              </w:rPr>
              <w:t>-1</w:t>
            </w:r>
            <w:r>
              <w:rPr>
                <w:rFonts w:ascii="Calibri" w:eastAsia="Times New Roman" w:hAnsi="Calibri" w:cs="Calibri"/>
                <w:lang w:eastAsia="en-GB"/>
              </w:rPr>
              <w:t xml:space="preserve">) (r=0.96), </w:t>
            </w:r>
            <w:proofErr w:type="spellStart"/>
            <w:r>
              <w:rPr>
                <w:rFonts w:ascii="Calibri" w:eastAsia="Times New Roman" w:hAnsi="Calibri" w:cs="Calibri"/>
                <w:lang w:eastAsia="en-GB"/>
              </w:rPr>
              <w:t>P</w:t>
            </w:r>
            <w:r>
              <w:rPr>
                <w:rFonts w:ascii="Calibri" w:eastAsia="Times New Roman" w:hAnsi="Calibri" w:cs="Calibri"/>
                <w:vertAlign w:val="subscript"/>
                <w:lang w:eastAsia="en-GB"/>
              </w:rPr>
              <w:t>peak</w:t>
            </w:r>
            <w:proofErr w:type="spellEnd"/>
            <w:r>
              <w:rPr>
                <w:rFonts w:ascii="Calibri" w:eastAsia="Times New Roman" w:hAnsi="Calibri" w:cs="Calibri"/>
                <w:vertAlign w:val="subscript"/>
                <w:lang w:eastAsia="en-GB"/>
              </w:rPr>
              <w:t xml:space="preserve"> </w:t>
            </w:r>
            <w:r>
              <w:rPr>
                <w:rFonts w:ascii="Calibri" w:eastAsia="Times New Roman" w:hAnsi="Calibri" w:cs="Calibri"/>
                <w:lang w:eastAsia="en-GB"/>
              </w:rPr>
              <w:t>(W) (r=0.97), P</w:t>
            </w:r>
            <w:r w:rsidRPr="003A0106">
              <w:rPr>
                <w:rFonts w:ascii="Calibri" w:eastAsia="Times New Roman" w:hAnsi="Calibri" w:cs="Calibri"/>
                <w:vertAlign w:val="subscript"/>
                <w:lang w:eastAsia="en-GB"/>
              </w:rPr>
              <w:t>max</w:t>
            </w:r>
            <w:r>
              <w:rPr>
                <w:rFonts w:ascii="Calibri" w:eastAsia="Times New Roman" w:hAnsi="Calibri" w:cs="Calibri"/>
                <w:vertAlign w:val="subscript"/>
                <w:lang w:eastAsia="en-GB"/>
              </w:rPr>
              <w:t xml:space="preserve"> </w:t>
            </w:r>
            <w:r>
              <w:rPr>
                <w:rFonts w:ascii="Calibri" w:eastAsia="Times New Roman" w:hAnsi="Calibri" w:cs="Calibri"/>
                <w:lang w:eastAsia="en-GB"/>
              </w:rPr>
              <w:t>(W) (r=0.84), Leg LBM</w:t>
            </w:r>
            <w:r>
              <w:rPr>
                <w:rFonts w:ascii="Calibri" w:eastAsia="Times New Roman" w:hAnsi="Calibri" w:cs="Calibri"/>
                <w:vertAlign w:val="subscript"/>
                <w:lang w:eastAsia="en-GB"/>
              </w:rPr>
              <w:t xml:space="preserve"> </w:t>
            </w:r>
            <w:r>
              <w:rPr>
                <w:rFonts w:ascii="Calibri" w:eastAsia="Times New Roman" w:hAnsi="Calibri" w:cs="Calibri"/>
                <w:lang w:eastAsia="en-GB"/>
              </w:rPr>
              <w:t>(kg)) (r=0.81)</w:t>
            </w:r>
          </w:p>
          <w:p w14:paraId="6AF3B413" w14:textId="77777777" w:rsidR="008E498A" w:rsidRDefault="008E498A" w:rsidP="009A5C18">
            <w:pPr>
              <w:spacing w:after="0" w:line="240" w:lineRule="auto"/>
              <w:jc w:val="center"/>
              <w:rPr>
                <w:rFonts w:ascii="Calibri" w:eastAsia="Times New Roman" w:hAnsi="Calibri" w:cs="Calibri"/>
                <w:lang w:eastAsia="en-GB"/>
              </w:rPr>
            </w:pPr>
          </w:p>
          <w:p w14:paraId="225024FB" w14:textId="77777777" w:rsidR="008E498A" w:rsidRDefault="008E498A" w:rsidP="009A5C18">
            <w:pPr>
              <w:spacing w:after="0" w:line="240" w:lineRule="auto"/>
              <w:jc w:val="center"/>
              <w:rPr>
                <w:rFonts w:ascii="Calibri" w:eastAsia="Times New Roman" w:hAnsi="Calibri" w:cs="Calibri"/>
                <w:lang w:eastAsia="en-GB"/>
              </w:rPr>
            </w:pPr>
            <w:r>
              <w:rPr>
                <w:rFonts w:ascii="Calibri" w:eastAsia="Times New Roman" w:hAnsi="Calibri" w:cs="Calibri"/>
                <w:lang w:eastAsia="en-GB"/>
              </w:rPr>
              <w:t>CP (W.kg</w:t>
            </w:r>
            <w:r>
              <w:rPr>
                <w:rFonts w:ascii="Calibri" w:eastAsia="Times New Roman" w:hAnsi="Calibri" w:cs="Calibri"/>
                <w:vertAlign w:val="superscript"/>
                <w:lang w:eastAsia="en-GB"/>
              </w:rPr>
              <w:t>-1</w:t>
            </w:r>
            <w:r>
              <w:rPr>
                <w:rFonts w:ascii="Calibri" w:eastAsia="Times New Roman" w:hAnsi="Calibri" w:cs="Calibri"/>
                <w:lang w:eastAsia="en-GB"/>
              </w:rPr>
              <w:t xml:space="preserve">) correlated with: </w:t>
            </w:r>
            <w:r w:rsidRPr="002A0126">
              <w:rPr>
                <w:rFonts w:ascii="Calibri" w:eastAsia="Times New Roman" w:hAnsi="Calibri" w:cs="Calibri"/>
                <w:lang w:eastAsia="en-GB"/>
              </w:rPr>
              <w:t>V</w:t>
            </w:r>
            <w:r>
              <w:rPr>
                <w:rFonts w:ascii="Calibri" w:eastAsia="Times New Roman" w:hAnsi="Calibri" w:cs="Calibri"/>
                <w:lang w:eastAsia="en-GB"/>
              </w:rPr>
              <w:t>̇</w:t>
            </w:r>
            <w:r w:rsidRPr="002A0126">
              <w:rPr>
                <w:rFonts w:ascii="Calibri" w:eastAsia="Times New Roman" w:hAnsi="Calibri" w:cs="Calibri"/>
                <w:lang w:eastAsia="en-GB"/>
              </w:rPr>
              <w:t>O</w:t>
            </w:r>
            <w:r w:rsidRPr="00A94E9D">
              <w:rPr>
                <w:rFonts w:ascii="Calibri" w:eastAsia="Times New Roman" w:hAnsi="Calibri" w:cs="Calibri"/>
                <w:vertAlign w:val="subscript"/>
                <w:lang w:eastAsia="en-GB"/>
              </w:rPr>
              <w:t>2</w:t>
            </w:r>
            <w:r w:rsidRPr="00D201E6">
              <w:rPr>
                <w:rFonts w:ascii="Calibri" w:eastAsia="Times New Roman" w:hAnsi="Calibri" w:cs="Calibri"/>
                <w:vertAlign w:val="subscript"/>
                <w:lang w:eastAsia="en-GB"/>
              </w:rPr>
              <w:t>max</w:t>
            </w:r>
            <w:r>
              <w:rPr>
                <w:rFonts w:ascii="Calibri" w:eastAsia="Times New Roman" w:hAnsi="Calibri" w:cs="Calibri"/>
                <w:vertAlign w:val="subscript"/>
                <w:lang w:eastAsia="en-GB"/>
              </w:rPr>
              <w:t xml:space="preserve"> </w:t>
            </w:r>
            <w:r>
              <w:rPr>
                <w:rFonts w:ascii="Calibri" w:eastAsia="Times New Roman" w:hAnsi="Calibri" w:cs="Calibri"/>
                <w:lang w:eastAsia="en-GB"/>
              </w:rPr>
              <w:t>(ml.min</w:t>
            </w:r>
            <w:r>
              <w:rPr>
                <w:rFonts w:ascii="Calibri" w:eastAsia="Times New Roman" w:hAnsi="Calibri" w:cs="Calibri"/>
                <w:vertAlign w:val="superscript"/>
                <w:lang w:eastAsia="en-GB"/>
              </w:rPr>
              <w:t>-1</w:t>
            </w:r>
            <w:r>
              <w:rPr>
                <w:rFonts w:ascii="Calibri" w:eastAsia="Times New Roman" w:hAnsi="Calibri" w:cs="Calibri"/>
                <w:lang w:eastAsia="en-GB"/>
              </w:rPr>
              <w:t>.kg</w:t>
            </w:r>
            <w:r>
              <w:rPr>
                <w:rFonts w:ascii="Calibri" w:eastAsia="Times New Roman" w:hAnsi="Calibri" w:cs="Calibri"/>
                <w:vertAlign w:val="superscript"/>
                <w:lang w:eastAsia="en-GB"/>
              </w:rPr>
              <w:t>-1</w:t>
            </w:r>
            <w:r>
              <w:rPr>
                <w:rFonts w:ascii="Calibri" w:eastAsia="Times New Roman" w:hAnsi="Calibri" w:cs="Calibri"/>
                <w:lang w:eastAsia="en-GB"/>
              </w:rPr>
              <w:t xml:space="preserve">) (r=0.85), </w:t>
            </w:r>
            <w:proofErr w:type="spellStart"/>
            <w:r>
              <w:rPr>
                <w:rFonts w:ascii="Calibri" w:eastAsia="Times New Roman" w:hAnsi="Calibri" w:cs="Calibri"/>
                <w:lang w:eastAsia="en-GB"/>
              </w:rPr>
              <w:t>P</w:t>
            </w:r>
            <w:r>
              <w:rPr>
                <w:rFonts w:ascii="Calibri" w:eastAsia="Times New Roman" w:hAnsi="Calibri" w:cs="Calibri"/>
                <w:vertAlign w:val="subscript"/>
                <w:lang w:eastAsia="en-GB"/>
              </w:rPr>
              <w:t>peak</w:t>
            </w:r>
            <w:proofErr w:type="spellEnd"/>
            <w:r>
              <w:rPr>
                <w:rFonts w:ascii="Calibri" w:eastAsia="Times New Roman" w:hAnsi="Calibri" w:cs="Calibri"/>
                <w:vertAlign w:val="subscript"/>
                <w:lang w:eastAsia="en-GB"/>
              </w:rPr>
              <w:t xml:space="preserve"> </w:t>
            </w:r>
            <w:r>
              <w:rPr>
                <w:rFonts w:ascii="Calibri" w:eastAsia="Times New Roman" w:hAnsi="Calibri" w:cs="Calibri"/>
                <w:lang w:eastAsia="en-GB"/>
              </w:rPr>
              <w:t>(W.kg</w:t>
            </w:r>
            <w:r>
              <w:rPr>
                <w:rFonts w:ascii="Calibri" w:eastAsia="Times New Roman" w:hAnsi="Calibri" w:cs="Calibri"/>
                <w:vertAlign w:val="superscript"/>
                <w:lang w:eastAsia="en-GB"/>
              </w:rPr>
              <w:t>-1</w:t>
            </w:r>
            <w:r>
              <w:rPr>
                <w:rFonts w:ascii="Calibri" w:eastAsia="Times New Roman" w:hAnsi="Calibri" w:cs="Calibri"/>
                <w:lang w:eastAsia="en-GB"/>
              </w:rPr>
              <w:t>) (r=0.89), P</w:t>
            </w:r>
            <w:r w:rsidRPr="003A0106">
              <w:rPr>
                <w:rFonts w:ascii="Calibri" w:eastAsia="Times New Roman" w:hAnsi="Calibri" w:cs="Calibri"/>
                <w:vertAlign w:val="subscript"/>
                <w:lang w:eastAsia="en-GB"/>
              </w:rPr>
              <w:t>max</w:t>
            </w:r>
            <w:r>
              <w:rPr>
                <w:rFonts w:ascii="Calibri" w:eastAsia="Times New Roman" w:hAnsi="Calibri" w:cs="Calibri"/>
                <w:vertAlign w:val="subscript"/>
                <w:lang w:eastAsia="en-GB"/>
              </w:rPr>
              <w:t xml:space="preserve"> </w:t>
            </w:r>
            <w:r>
              <w:rPr>
                <w:rFonts w:ascii="Calibri" w:eastAsia="Times New Roman" w:hAnsi="Calibri" w:cs="Calibri"/>
                <w:lang w:eastAsia="en-GB"/>
              </w:rPr>
              <w:t>(W.kg</w:t>
            </w:r>
            <w:r>
              <w:rPr>
                <w:rFonts w:ascii="Calibri" w:eastAsia="Times New Roman" w:hAnsi="Calibri" w:cs="Calibri"/>
                <w:vertAlign w:val="superscript"/>
                <w:lang w:eastAsia="en-GB"/>
              </w:rPr>
              <w:t>-1</w:t>
            </w:r>
            <w:r>
              <w:rPr>
                <w:rFonts w:ascii="Calibri" w:eastAsia="Times New Roman" w:hAnsi="Calibri" w:cs="Calibri"/>
                <w:lang w:eastAsia="en-GB"/>
              </w:rPr>
              <w:t>) (r=0.52)</w:t>
            </w:r>
          </w:p>
          <w:p w14:paraId="77A77032" w14:textId="77777777" w:rsidR="008E498A" w:rsidRPr="003A0106" w:rsidRDefault="008E498A" w:rsidP="009A5C18">
            <w:pPr>
              <w:spacing w:after="0" w:line="240" w:lineRule="auto"/>
              <w:jc w:val="center"/>
              <w:rPr>
                <w:rFonts w:ascii="Calibri" w:eastAsia="Times New Roman" w:hAnsi="Calibri" w:cs="Calibri"/>
                <w:lang w:eastAsia="en-GB"/>
              </w:rPr>
            </w:pPr>
          </w:p>
        </w:tc>
        <w:tc>
          <w:tcPr>
            <w:tcW w:w="1411" w:type="dxa"/>
            <w:tcBorders>
              <w:top w:val="single" w:sz="6" w:space="0" w:color="CCCCCC"/>
              <w:bottom w:val="single" w:sz="8" w:space="0" w:color="auto"/>
            </w:tcBorders>
            <w:tcMar>
              <w:top w:w="0" w:type="dxa"/>
              <w:left w:w="45" w:type="dxa"/>
              <w:bottom w:w="0" w:type="dxa"/>
              <w:right w:w="45" w:type="dxa"/>
            </w:tcMar>
            <w:vAlign w:val="center"/>
          </w:tcPr>
          <w:p w14:paraId="6D882526" w14:textId="77777777" w:rsidR="008E498A" w:rsidRPr="00533702" w:rsidRDefault="008E498A" w:rsidP="009A5C18">
            <w:pPr>
              <w:spacing w:after="0" w:line="240" w:lineRule="auto"/>
              <w:jc w:val="center"/>
              <w:rPr>
                <w:rFonts w:ascii="Calibri" w:eastAsia="Times New Roman" w:hAnsi="Calibri" w:cs="Calibri"/>
                <w:lang w:eastAsia="en-GB"/>
              </w:rPr>
            </w:pPr>
            <w:r w:rsidRPr="00533702">
              <w:rPr>
                <w:rFonts w:ascii="Calibri" w:eastAsia="Times New Roman" w:hAnsi="Calibri" w:cs="Calibri"/>
                <w:lang w:eastAsia="en-GB"/>
              </w:rPr>
              <w:t>3-</w:t>
            </w:r>
            <w:r>
              <w:rPr>
                <w:rFonts w:ascii="Calibri" w:eastAsia="Times New Roman" w:hAnsi="Calibri" w:cs="Calibri"/>
                <w:lang w:eastAsia="en-GB"/>
              </w:rPr>
              <w:t>6</w:t>
            </w:r>
            <w:r w:rsidRPr="00533702">
              <w:rPr>
                <w:rFonts w:ascii="Calibri" w:eastAsia="Times New Roman" w:hAnsi="Calibri" w:cs="Calibri"/>
                <w:lang w:eastAsia="en-GB"/>
              </w:rPr>
              <w:t>CWR</w:t>
            </w:r>
          </w:p>
        </w:tc>
      </w:tr>
    </w:tbl>
    <w:p w14:paraId="52497A33" w14:textId="77777777" w:rsidR="008E498A" w:rsidRDefault="008E498A" w:rsidP="008E498A">
      <w:pPr>
        <w:rPr>
          <w:sz w:val="20"/>
        </w:rPr>
      </w:pPr>
      <w:r w:rsidRPr="00775526">
        <w:rPr>
          <w:b/>
          <w:sz w:val="20"/>
        </w:rPr>
        <w:t>Population</w:t>
      </w:r>
      <w:r>
        <w:rPr>
          <w:sz w:val="20"/>
        </w:rPr>
        <w:t>: M, healthy male; F, healthy female; ET, endurance trained; COPD, chronic obstructive pulmonary disease; (n), number of participants</w:t>
      </w:r>
    </w:p>
    <w:p w14:paraId="67E1EA5D" w14:textId="77777777" w:rsidR="008E498A" w:rsidRPr="001F71E7" w:rsidRDefault="008E498A" w:rsidP="008E498A">
      <w:pPr>
        <w:rPr>
          <w:rFonts w:eastAsia="Times New Roman" w:cstheme="minorHAnsi"/>
          <w:sz w:val="20"/>
          <w:szCs w:val="20"/>
          <w:lang w:eastAsia="en-GB"/>
        </w:rPr>
      </w:pPr>
      <w:r>
        <w:rPr>
          <w:rFonts w:cstheme="minorHAnsi"/>
          <w:b/>
          <w:sz w:val="20"/>
          <w:szCs w:val="20"/>
        </w:rPr>
        <w:lastRenderedPageBreak/>
        <w:t>Correlation details:</w:t>
      </w:r>
      <w:r>
        <w:rPr>
          <w:rFonts w:cstheme="minorHAnsi"/>
          <w:sz w:val="20"/>
          <w:szCs w:val="20"/>
        </w:rPr>
        <w:t xml:space="preserve"> </w:t>
      </w:r>
      <w:r w:rsidRPr="00E943DD">
        <w:rPr>
          <w:rFonts w:eastAsia="Times New Roman" w:cstheme="minorHAnsi"/>
          <w:sz w:val="20"/>
          <w:szCs w:val="20"/>
          <w:lang w:eastAsia="en-GB"/>
        </w:rPr>
        <w:t>MRT</w:t>
      </w:r>
      <w:r w:rsidRPr="00E943DD">
        <w:rPr>
          <w:rFonts w:eastAsia="Times New Roman" w:cstheme="minorHAnsi"/>
          <w:sz w:val="20"/>
          <w:szCs w:val="20"/>
          <w:vertAlign w:val="subscript"/>
          <w:lang w:eastAsia="en-GB"/>
        </w:rPr>
        <w:t>V̇O2</w:t>
      </w:r>
      <w:r w:rsidRPr="00E943DD">
        <w:rPr>
          <w:rFonts w:eastAsia="Times New Roman" w:cstheme="minorHAnsi"/>
          <w:sz w:val="20"/>
          <w:szCs w:val="20"/>
          <w:lang w:eastAsia="en-GB"/>
        </w:rPr>
        <w:t>, mean response time of V̇O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xml:space="preserve">; </w:t>
      </w:r>
      <w:r w:rsidRPr="00D201E6">
        <w:rPr>
          <w:rFonts w:ascii="Symbol" w:eastAsia="Times New Roman" w:hAnsi="Symbol" w:cs="Calibri"/>
          <w:lang w:eastAsia="en-GB"/>
        </w:rPr>
        <w:t></w:t>
      </w:r>
      <w:r w:rsidRPr="00D201E6">
        <w:rPr>
          <w:rFonts w:ascii="Calibri" w:eastAsia="Times New Roman" w:hAnsi="Calibri" w:cs="Calibri"/>
          <w:vertAlign w:val="subscript"/>
          <w:lang w:eastAsia="en-GB"/>
        </w:rPr>
        <w:t>V</w:t>
      </w:r>
      <w:r>
        <w:rPr>
          <w:rFonts w:ascii="Calibri" w:eastAsia="Times New Roman" w:hAnsi="Calibri" w:cs="Calibri"/>
          <w:vertAlign w:val="subscript"/>
          <w:lang w:eastAsia="en-GB"/>
        </w:rPr>
        <w:t>̇</w:t>
      </w:r>
      <w:r w:rsidRPr="00D201E6">
        <w:rPr>
          <w:rFonts w:ascii="Calibri" w:eastAsia="Times New Roman" w:hAnsi="Calibri" w:cs="Calibri"/>
          <w:vertAlign w:val="subscript"/>
          <w:lang w:eastAsia="en-GB"/>
        </w:rPr>
        <w:t>O2</w:t>
      </w:r>
      <w:r w:rsidRPr="00E943DD">
        <w:rPr>
          <w:rFonts w:eastAsia="Times New Roman" w:cstheme="minorHAnsi"/>
          <w:sz w:val="20"/>
          <w:szCs w:val="20"/>
          <w:lang w:eastAsia="en-GB"/>
        </w:rPr>
        <w:t>, time constant of V̇O</w:t>
      </w:r>
      <w:r w:rsidRPr="00E943DD">
        <w:rPr>
          <w:rFonts w:eastAsia="Times New Roman" w:cstheme="minorHAnsi"/>
          <w:sz w:val="20"/>
          <w:szCs w:val="20"/>
          <w:vertAlign w:val="subscript"/>
          <w:lang w:eastAsia="en-GB"/>
        </w:rPr>
        <w:t>2</w:t>
      </w:r>
      <w:r w:rsidRPr="00E943DD">
        <w:rPr>
          <w:rFonts w:eastAsia="Times New Roman" w:cstheme="minorHAnsi"/>
          <w:sz w:val="20"/>
          <w:szCs w:val="20"/>
          <w:lang w:eastAsia="en-GB"/>
        </w:rPr>
        <w:t xml:space="preserve"> kinetics;</w:t>
      </w:r>
      <w:r>
        <w:rPr>
          <w:rFonts w:eastAsia="Times New Roman" w:cstheme="minorHAnsi"/>
          <w:sz w:val="20"/>
          <w:szCs w:val="20"/>
          <w:lang w:eastAsia="en-GB"/>
        </w:rPr>
        <w:t xml:space="preserve"> TT, time-trial; LBM, lean body mass; </w:t>
      </w:r>
      <w:r w:rsidRPr="00E943DD">
        <w:rPr>
          <w:rFonts w:eastAsia="Times New Roman" w:cstheme="minorHAnsi"/>
          <w:sz w:val="20"/>
          <w:szCs w:val="20"/>
          <w:lang w:eastAsia="en-GB"/>
        </w:rPr>
        <w:t>V̇O</w:t>
      </w:r>
      <w:r w:rsidRPr="00E943DD">
        <w:rPr>
          <w:rFonts w:eastAsia="Times New Roman" w:cstheme="minorHAnsi"/>
          <w:sz w:val="20"/>
          <w:szCs w:val="20"/>
          <w:vertAlign w:val="subscript"/>
          <w:lang w:eastAsia="en-GB"/>
        </w:rPr>
        <w:t>2max</w:t>
      </w:r>
      <w:r w:rsidRPr="00E943DD">
        <w:rPr>
          <w:rFonts w:eastAsia="Times New Roman" w:cstheme="minorHAnsi"/>
          <w:sz w:val="20"/>
          <w:szCs w:val="20"/>
          <w:lang w:eastAsia="en-GB"/>
        </w:rPr>
        <w:t>, maximal V̇O</w:t>
      </w:r>
      <w:r w:rsidRPr="00E943DD">
        <w:rPr>
          <w:rFonts w:eastAsia="Times New Roman" w:cstheme="minorHAnsi"/>
          <w:sz w:val="20"/>
          <w:szCs w:val="20"/>
          <w:vertAlign w:val="subscript"/>
          <w:lang w:eastAsia="en-GB"/>
        </w:rPr>
        <w:t xml:space="preserve">2 </w:t>
      </w:r>
      <w:r w:rsidRPr="00E943DD">
        <w:rPr>
          <w:rFonts w:eastAsia="Times New Roman" w:cstheme="minorHAnsi"/>
          <w:sz w:val="20"/>
          <w:szCs w:val="20"/>
          <w:lang w:eastAsia="en-GB"/>
        </w:rPr>
        <w:t>recorded following verification from additional trials &gt;CP</w:t>
      </w:r>
      <w:r>
        <w:rPr>
          <w:rFonts w:eastAsia="Times New Roman" w:cstheme="minorHAnsi"/>
          <w:sz w:val="20"/>
          <w:szCs w:val="20"/>
          <w:lang w:eastAsia="en-GB"/>
        </w:rPr>
        <w:t xml:space="preserve">; </w:t>
      </w:r>
      <w:proofErr w:type="spellStart"/>
      <w:r>
        <w:rPr>
          <w:rFonts w:eastAsia="Times New Roman" w:cstheme="minorHAnsi"/>
          <w:sz w:val="20"/>
          <w:szCs w:val="20"/>
          <w:lang w:eastAsia="en-GB"/>
        </w:rPr>
        <w:t>P</w:t>
      </w:r>
      <w:r>
        <w:rPr>
          <w:rFonts w:eastAsia="Times New Roman" w:cstheme="minorHAnsi"/>
          <w:sz w:val="20"/>
          <w:szCs w:val="20"/>
          <w:vertAlign w:val="subscript"/>
          <w:lang w:eastAsia="en-GB"/>
        </w:rPr>
        <w:t>peak</w:t>
      </w:r>
      <w:proofErr w:type="spellEnd"/>
      <w:r>
        <w:rPr>
          <w:rFonts w:eastAsia="Times New Roman" w:cstheme="minorHAnsi"/>
          <w:sz w:val="20"/>
          <w:szCs w:val="20"/>
          <w:lang w:eastAsia="en-GB"/>
        </w:rPr>
        <w:t>, highest power attained during an incremental exercise test; P</w:t>
      </w:r>
      <w:r>
        <w:rPr>
          <w:rFonts w:eastAsia="Times New Roman" w:cstheme="minorHAnsi"/>
          <w:sz w:val="20"/>
          <w:szCs w:val="20"/>
          <w:vertAlign w:val="subscript"/>
          <w:lang w:eastAsia="en-GB"/>
        </w:rPr>
        <w:t>max</w:t>
      </w:r>
      <w:r>
        <w:rPr>
          <w:rFonts w:eastAsia="Times New Roman" w:cstheme="minorHAnsi"/>
          <w:sz w:val="20"/>
          <w:szCs w:val="20"/>
          <w:lang w:eastAsia="en-GB"/>
        </w:rPr>
        <w:t>, highest power attained during a 30-s all-out exercise test</w:t>
      </w:r>
    </w:p>
    <w:p w14:paraId="60E8EAF1" w14:textId="77777777" w:rsidR="008E498A" w:rsidRPr="007B6522" w:rsidRDefault="008E498A" w:rsidP="008E498A">
      <w:pPr>
        <w:rPr>
          <w:sz w:val="20"/>
        </w:rPr>
      </w:pPr>
      <w:r>
        <w:rPr>
          <w:b/>
          <w:sz w:val="20"/>
        </w:rPr>
        <w:t xml:space="preserve">CP determination method: </w:t>
      </w:r>
      <w:proofErr w:type="spellStart"/>
      <w:r w:rsidRPr="007B6522">
        <w:rPr>
          <w:sz w:val="20"/>
        </w:rPr>
        <w:t>n</w:t>
      </w:r>
      <w:r>
        <w:rPr>
          <w:sz w:val="20"/>
        </w:rPr>
        <w:t>CWR</w:t>
      </w:r>
      <w:proofErr w:type="spellEnd"/>
      <w:r>
        <w:rPr>
          <w:sz w:val="20"/>
        </w:rPr>
        <w:t xml:space="preserve">, number of constant work-rate trials; 3MT, 3-minute all-out test; </w:t>
      </w:r>
      <w:proofErr w:type="spellStart"/>
      <w:r>
        <w:rPr>
          <w:sz w:val="20"/>
        </w:rPr>
        <w:t>nTT</w:t>
      </w:r>
      <w:proofErr w:type="spellEnd"/>
      <w:r>
        <w:rPr>
          <w:sz w:val="20"/>
        </w:rPr>
        <w:t>, number of time-trials</w:t>
      </w:r>
    </w:p>
    <w:p w14:paraId="71D57F2C" w14:textId="039D558B" w:rsidR="0031579A" w:rsidRDefault="0031579A" w:rsidP="0031111D">
      <w:pPr>
        <w:spacing w:line="480" w:lineRule="auto"/>
        <w:jc w:val="both"/>
        <w:rPr>
          <w:rFonts w:ascii="Times New Roman" w:eastAsia="MS Mincho" w:hAnsi="Times New Roman" w:cs="Times New Roman"/>
          <w:bCs/>
          <w:sz w:val="24"/>
          <w:szCs w:val="24"/>
        </w:rPr>
      </w:pPr>
    </w:p>
    <w:p w14:paraId="45E767EC" w14:textId="1438D7E4" w:rsidR="0031579A" w:rsidRDefault="0031579A" w:rsidP="0031111D">
      <w:pPr>
        <w:spacing w:line="480" w:lineRule="auto"/>
        <w:jc w:val="both"/>
        <w:rPr>
          <w:rFonts w:ascii="Times New Roman" w:eastAsia="MS Mincho" w:hAnsi="Times New Roman" w:cs="Times New Roman"/>
          <w:bCs/>
          <w:sz w:val="24"/>
          <w:szCs w:val="24"/>
        </w:rPr>
      </w:pPr>
    </w:p>
    <w:p w14:paraId="63BEFE8C" w14:textId="22D2FB6D" w:rsidR="0031579A" w:rsidRDefault="0031579A" w:rsidP="0031111D">
      <w:pPr>
        <w:spacing w:line="480" w:lineRule="auto"/>
        <w:jc w:val="both"/>
        <w:rPr>
          <w:rFonts w:ascii="Times New Roman" w:eastAsia="MS Mincho" w:hAnsi="Times New Roman" w:cs="Times New Roman"/>
          <w:bCs/>
          <w:sz w:val="24"/>
          <w:szCs w:val="24"/>
        </w:rPr>
      </w:pPr>
    </w:p>
    <w:p w14:paraId="13043FCB" w14:textId="67005D32" w:rsidR="0031579A" w:rsidRDefault="0031579A" w:rsidP="0031111D">
      <w:pPr>
        <w:spacing w:line="480" w:lineRule="auto"/>
        <w:jc w:val="both"/>
        <w:rPr>
          <w:rFonts w:ascii="Times New Roman" w:eastAsia="MS Mincho" w:hAnsi="Times New Roman" w:cs="Times New Roman"/>
          <w:bCs/>
          <w:sz w:val="24"/>
          <w:szCs w:val="24"/>
        </w:rPr>
      </w:pPr>
    </w:p>
    <w:p w14:paraId="14042653" w14:textId="77777777" w:rsidR="0031579A" w:rsidRPr="00165ED2" w:rsidRDefault="0031579A" w:rsidP="0031111D">
      <w:pPr>
        <w:spacing w:line="480" w:lineRule="auto"/>
        <w:jc w:val="both"/>
        <w:rPr>
          <w:rFonts w:ascii="Times New Roman" w:eastAsia="MS Mincho" w:hAnsi="Times New Roman" w:cs="Times New Roman"/>
          <w:b/>
          <w:bCs/>
          <w:sz w:val="24"/>
          <w:szCs w:val="24"/>
        </w:rPr>
      </w:pPr>
    </w:p>
    <w:p w14:paraId="5FE8CBC7" w14:textId="5FBFECE3" w:rsidR="00A34531" w:rsidRPr="00165ED2" w:rsidRDefault="00A34531" w:rsidP="0031111D">
      <w:pPr>
        <w:spacing w:line="480" w:lineRule="auto"/>
        <w:jc w:val="both"/>
        <w:rPr>
          <w:rFonts w:ascii="Times New Roman" w:eastAsia="MS Mincho" w:hAnsi="Times New Roman" w:cs="Times New Roman"/>
          <w:b/>
          <w:bCs/>
          <w:sz w:val="24"/>
          <w:szCs w:val="24"/>
        </w:rPr>
      </w:pPr>
    </w:p>
    <w:p w14:paraId="0B18F916" w14:textId="77777777" w:rsidR="00703529" w:rsidRPr="00165ED2" w:rsidRDefault="00703529" w:rsidP="00703529"/>
    <w:p w14:paraId="33377D90" w14:textId="39806999" w:rsidR="00703529" w:rsidRPr="00165ED2" w:rsidRDefault="00703529" w:rsidP="0031111D">
      <w:pPr>
        <w:spacing w:line="480" w:lineRule="auto"/>
        <w:jc w:val="both"/>
        <w:rPr>
          <w:rFonts w:ascii="Times New Roman" w:eastAsia="MS Mincho" w:hAnsi="Times New Roman" w:cs="Times New Roman"/>
          <w:bCs/>
          <w:sz w:val="24"/>
          <w:szCs w:val="24"/>
        </w:rPr>
      </w:pPr>
    </w:p>
    <w:sectPr w:rsidR="00703529" w:rsidRPr="00165ED2" w:rsidSect="0031579A">
      <w:pgSz w:w="16838" w:h="11906" w:orient="landscape"/>
      <w:pgMar w:top="1440" w:right="1440" w:bottom="1440" w:left="1440" w:header="706" w:footer="706"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22AFB"/>
    <w:multiLevelType w:val="hybridMultilevel"/>
    <w:tmpl w:val="941A4A04"/>
    <w:lvl w:ilvl="0" w:tplc="1B841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1178A5"/>
    <w:multiLevelType w:val="hybridMultilevel"/>
    <w:tmpl w:val="A104A766"/>
    <w:lvl w:ilvl="0" w:tplc="4860D7E2">
      <w:start w:val="1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B82E22"/>
    <w:multiLevelType w:val="hybridMultilevel"/>
    <w:tmpl w:val="097C3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B86324"/>
    <w:multiLevelType w:val="hybridMultilevel"/>
    <w:tmpl w:val="5F3C1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A7366E"/>
    <w:multiLevelType w:val="hybridMultilevel"/>
    <w:tmpl w:val="ABD0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D9B"/>
    <w:rsid w:val="00012C55"/>
    <w:rsid w:val="00026F2A"/>
    <w:rsid w:val="00027ED1"/>
    <w:rsid w:val="0003606D"/>
    <w:rsid w:val="000375DB"/>
    <w:rsid w:val="00040BDD"/>
    <w:rsid w:val="00040F24"/>
    <w:rsid w:val="00051EAC"/>
    <w:rsid w:val="00054F45"/>
    <w:rsid w:val="00065397"/>
    <w:rsid w:val="00067322"/>
    <w:rsid w:val="00070BBF"/>
    <w:rsid w:val="00093B01"/>
    <w:rsid w:val="0009630A"/>
    <w:rsid w:val="00096B9C"/>
    <w:rsid w:val="000A09A3"/>
    <w:rsid w:val="000B05E0"/>
    <w:rsid w:val="000B0DC7"/>
    <w:rsid w:val="000B2B2F"/>
    <w:rsid w:val="000B37F1"/>
    <w:rsid w:val="000C3D2F"/>
    <w:rsid w:val="000C5B42"/>
    <w:rsid w:val="000D0C83"/>
    <w:rsid w:val="000D1160"/>
    <w:rsid w:val="000F3FB7"/>
    <w:rsid w:val="00105CC6"/>
    <w:rsid w:val="00115515"/>
    <w:rsid w:val="00116852"/>
    <w:rsid w:val="0012169A"/>
    <w:rsid w:val="00122794"/>
    <w:rsid w:val="00124505"/>
    <w:rsid w:val="00124898"/>
    <w:rsid w:val="00124D43"/>
    <w:rsid w:val="0012567E"/>
    <w:rsid w:val="00132BF6"/>
    <w:rsid w:val="001571D6"/>
    <w:rsid w:val="001618B6"/>
    <w:rsid w:val="00165770"/>
    <w:rsid w:val="00165ED2"/>
    <w:rsid w:val="00170C2B"/>
    <w:rsid w:val="00172074"/>
    <w:rsid w:val="001730EE"/>
    <w:rsid w:val="0019249F"/>
    <w:rsid w:val="00195867"/>
    <w:rsid w:val="001B198B"/>
    <w:rsid w:val="001B434A"/>
    <w:rsid w:val="001B5024"/>
    <w:rsid w:val="001B7EFC"/>
    <w:rsid w:val="001C0B05"/>
    <w:rsid w:val="001C45B2"/>
    <w:rsid w:val="001C4834"/>
    <w:rsid w:val="001D0408"/>
    <w:rsid w:val="001E52D4"/>
    <w:rsid w:val="001F2437"/>
    <w:rsid w:val="001F2457"/>
    <w:rsid w:val="00217DA4"/>
    <w:rsid w:val="0022035E"/>
    <w:rsid w:val="00220538"/>
    <w:rsid w:val="00224073"/>
    <w:rsid w:val="00226EAD"/>
    <w:rsid w:val="0024482A"/>
    <w:rsid w:val="002448F6"/>
    <w:rsid w:val="0026738E"/>
    <w:rsid w:val="00267AE6"/>
    <w:rsid w:val="00273717"/>
    <w:rsid w:val="00276311"/>
    <w:rsid w:val="00294BFC"/>
    <w:rsid w:val="00297BE6"/>
    <w:rsid w:val="002B6248"/>
    <w:rsid w:val="002D0312"/>
    <w:rsid w:val="0030079A"/>
    <w:rsid w:val="0030293D"/>
    <w:rsid w:val="0031111D"/>
    <w:rsid w:val="0031579A"/>
    <w:rsid w:val="00322A08"/>
    <w:rsid w:val="0032747A"/>
    <w:rsid w:val="003508AF"/>
    <w:rsid w:val="00357FC9"/>
    <w:rsid w:val="00372705"/>
    <w:rsid w:val="003727F8"/>
    <w:rsid w:val="003736CF"/>
    <w:rsid w:val="00376C6E"/>
    <w:rsid w:val="00377997"/>
    <w:rsid w:val="0038203D"/>
    <w:rsid w:val="003822BA"/>
    <w:rsid w:val="003965E1"/>
    <w:rsid w:val="003B48EC"/>
    <w:rsid w:val="003B7418"/>
    <w:rsid w:val="003D130A"/>
    <w:rsid w:val="003E2849"/>
    <w:rsid w:val="003E640F"/>
    <w:rsid w:val="003F3944"/>
    <w:rsid w:val="003F67A4"/>
    <w:rsid w:val="0041021D"/>
    <w:rsid w:val="00417A79"/>
    <w:rsid w:val="004243D8"/>
    <w:rsid w:val="004272CF"/>
    <w:rsid w:val="004613FF"/>
    <w:rsid w:val="00467E1C"/>
    <w:rsid w:val="00484B20"/>
    <w:rsid w:val="00495456"/>
    <w:rsid w:val="00495507"/>
    <w:rsid w:val="00495E02"/>
    <w:rsid w:val="004A4C85"/>
    <w:rsid w:val="004C1674"/>
    <w:rsid w:val="004C2F7C"/>
    <w:rsid w:val="004C5EC2"/>
    <w:rsid w:val="004C5F43"/>
    <w:rsid w:val="004D316E"/>
    <w:rsid w:val="004E2092"/>
    <w:rsid w:val="004F5387"/>
    <w:rsid w:val="004F6784"/>
    <w:rsid w:val="005174B6"/>
    <w:rsid w:val="005210C1"/>
    <w:rsid w:val="005322B2"/>
    <w:rsid w:val="00534DC4"/>
    <w:rsid w:val="0054703A"/>
    <w:rsid w:val="0055604F"/>
    <w:rsid w:val="00557F00"/>
    <w:rsid w:val="00567CB8"/>
    <w:rsid w:val="005745FE"/>
    <w:rsid w:val="00576222"/>
    <w:rsid w:val="005931B0"/>
    <w:rsid w:val="00593D73"/>
    <w:rsid w:val="0059404A"/>
    <w:rsid w:val="005A113D"/>
    <w:rsid w:val="005A1F88"/>
    <w:rsid w:val="005A2B22"/>
    <w:rsid w:val="005A3F39"/>
    <w:rsid w:val="005B1C20"/>
    <w:rsid w:val="005B5DA6"/>
    <w:rsid w:val="005C3E03"/>
    <w:rsid w:val="005D1BB2"/>
    <w:rsid w:val="005E2917"/>
    <w:rsid w:val="005E5B32"/>
    <w:rsid w:val="005E77DE"/>
    <w:rsid w:val="005F6FF4"/>
    <w:rsid w:val="00603EAD"/>
    <w:rsid w:val="00615049"/>
    <w:rsid w:val="00624B2A"/>
    <w:rsid w:val="00624DC9"/>
    <w:rsid w:val="00655D1D"/>
    <w:rsid w:val="00660C0A"/>
    <w:rsid w:val="00663A58"/>
    <w:rsid w:val="00663B3B"/>
    <w:rsid w:val="00665EB6"/>
    <w:rsid w:val="006756AC"/>
    <w:rsid w:val="006756F4"/>
    <w:rsid w:val="00677E6B"/>
    <w:rsid w:val="00680711"/>
    <w:rsid w:val="006A2130"/>
    <w:rsid w:val="006A4589"/>
    <w:rsid w:val="006A66AC"/>
    <w:rsid w:val="006B2490"/>
    <w:rsid w:val="006B43A5"/>
    <w:rsid w:val="006B4837"/>
    <w:rsid w:val="006C57E1"/>
    <w:rsid w:val="006D5E04"/>
    <w:rsid w:val="006D6C1D"/>
    <w:rsid w:val="006E3B69"/>
    <w:rsid w:val="006E7888"/>
    <w:rsid w:val="006E7B3C"/>
    <w:rsid w:val="006F4E50"/>
    <w:rsid w:val="006F682E"/>
    <w:rsid w:val="006F74A3"/>
    <w:rsid w:val="00701BC5"/>
    <w:rsid w:val="00702A57"/>
    <w:rsid w:val="00703529"/>
    <w:rsid w:val="007039B1"/>
    <w:rsid w:val="00707496"/>
    <w:rsid w:val="00717508"/>
    <w:rsid w:val="00726BD5"/>
    <w:rsid w:val="00744D12"/>
    <w:rsid w:val="00750C67"/>
    <w:rsid w:val="00762B8C"/>
    <w:rsid w:val="007716A4"/>
    <w:rsid w:val="00771A1F"/>
    <w:rsid w:val="0078141E"/>
    <w:rsid w:val="0079187B"/>
    <w:rsid w:val="007A3303"/>
    <w:rsid w:val="007A4408"/>
    <w:rsid w:val="007A4DF0"/>
    <w:rsid w:val="007B5D6E"/>
    <w:rsid w:val="007C60D7"/>
    <w:rsid w:val="007C7508"/>
    <w:rsid w:val="007D14DF"/>
    <w:rsid w:val="007E2DCF"/>
    <w:rsid w:val="007E34FC"/>
    <w:rsid w:val="0082362C"/>
    <w:rsid w:val="00825C59"/>
    <w:rsid w:val="00832B34"/>
    <w:rsid w:val="00851C4F"/>
    <w:rsid w:val="00870D2D"/>
    <w:rsid w:val="00871ABA"/>
    <w:rsid w:val="008721A7"/>
    <w:rsid w:val="0087282B"/>
    <w:rsid w:val="00874957"/>
    <w:rsid w:val="0088105D"/>
    <w:rsid w:val="00884298"/>
    <w:rsid w:val="00892F5D"/>
    <w:rsid w:val="00896688"/>
    <w:rsid w:val="00896753"/>
    <w:rsid w:val="008B115B"/>
    <w:rsid w:val="008B2D94"/>
    <w:rsid w:val="008C42CB"/>
    <w:rsid w:val="008C59E0"/>
    <w:rsid w:val="008C78C8"/>
    <w:rsid w:val="008C7BBE"/>
    <w:rsid w:val="008D0A1E"/>
    <w:rsid w:val="008D1919"/>
    <w:rsid w:val="008D5857"/>
    <w:rsid w:val="008D7226"/>
    <w:rsid w:val="008E29E0"/>
    <w:rsid w:val="008E3D4D"/>
    <w:rsid w:val="008E498A"/>
    <w:rsid w:val="008F1729"/>
    <w:rsid w:val="008F617D"/>
    <w:rsid w:val="00905415"/>
    <w:rsid w:val="00913A83"/>
    <w:rsid w:val="009157E3"/>
    <w:rsid w:val="0092082E"/>
    <w:rsid w:val="00925538"/>
    <w:rsid w:val="00951FDC"/>
    <w:rsid w:val="00952A30"/>
    <w:rsid w:val="00960B8E"/>
    <w:rsid w:val="00961084"/>
    <w:rsid w:val="00962E15"/>
    <w:rsid w:val="0096591B"/>
    <w:rsid w:val="0097229B"/>
    <w:rsid w:val="00982097"/>
    <w:rsid w:val="00986D88"/>
    <w:rsid w:val="0099297F"/>
    <w:rsid w:val="0099440A"/>
    <w:rsid w:val="009A2DFE"/>
    <w:rsid w:val="009A34BE"/>
    <w:rsid w:val="009A3D9B"/>
    <w:rsid w:val="009B338D"/>
    <w:rsid w:val="009E27E6"/>
    <w:rsid w:val="009E2F68"/>
    <w:rsid w:val="009E3F4F"/>
    <w:rsid w:val="009E4947"/>
    <w:rsid w:val="009E778B"/>
    <w:rsid w:val="009F4F5B"/>
    <w:rsid w:val="009F6EE7"/>
    <w:rsid w:val="00A0426D"/>
    <w:rsid w:val="00A215C7"/>
    <w:rsid w:val="00A32ABC"/>
    <w:rsid w:val="00A33648"/>
    <w:rsid w:val="00A34531"/>
    <w:rsid w:val="00A35039"/>
    <w:rsid w:val="00A41AD1"/>
    <w:rsid w:val="00A470CA"/>
    <w:rsid w:val="00A56F19"/>
    <w:rsid w:val="00A56F88"/>
    <w:rsid w:val="00A63E67"/>
    <w:rsid w:val="00A76404"/>
    <w:rsid w:val="00A95352"/>
    <w:rsid w:val="00AB0547"/>
    <w:rsid w:val="00AB1966"/>
    <w:rsid w:val="00AB688A"/>
    <w:rsid w:val="00AC2178"/>
    <w:rsid w:val="00AE3E41"/>
    <w:rsid w:val="00AE7B49"/>
    <w:rsid w:val="00AF566B"/>
    <w:rsid w:val="00AF7DBB"/>
    <w:rsid w:val="00B24CAD"/>
    <w:rsid w:val="00B27B6F"/>
    <w:rsid w:val="00B3012B"/>
    <w:rsid w:val="00B32430"/>
    <w:rsid w:val="00B41883"/>
    <w:rsid w:val="00B535E3"/>
    <w:rsid w:val="00B61EC2"/>
    <w:rsid w:val="00B64DC5"/>
    <w:rsid w:val="00B73469"/>
    <w:rsid w:val="00B75922"/>
    <w:rsid w:val="00B85949"/>
    <w:rsid w:val="00B93B97"/>
    <w:rsid w:val="00BA3C48"/>
    <w:rsid w:val="00BA5189"/>
    <w:rsid w:val="00BB0555"/>
    <w:rsid w:val="00BC0C84"/>
    <w:rsid w:val="00BC25D8"/>
    <w:rsid w:val="00BC28E8"/>
    <w:rsid w:val="00BC37A0"/>
    <w:rsid w:val="00BD5C49"/>
    <w:rsid w:val="00BE02FE"/>
    <w:rsid w:val="00BF09BC"/>
    <w:rsid w:val="00C05244"/>
    <w:rsid w:val="00C153E3"/>
    <w:rsid w:val="00C22359"/>
    <w:rsid w:val="00C25214"/>
    <w:rsid w:val="00C303BC"/>
    <w:rsid w:val="00C33A3C"/>
    <w:rsid w:val="00C33BAB"/>
    <w:rsid w:val="00C35640"/>
    <w:rsid w:val="00C45D0F"/>
    <w:rsid w:val="00C56BA7"/>
    <w:rsid w:val="00C73713"/>
    <w:rsid w:val="00C74237"/>
    <w:rsid w:val="00C83C72"/>
    <w:rsid w:val="00C90D46"/>
    <w:rsid w:val="00C92D4D"/>
    <w:rsid w:val="00C95EB6"/>
    <w:rsid w:val="00C96B2C"/>
    <w:rsid w:val="00CA02B8"/>
    <w:rsid w:val="00CA20B5"/>
    <w:rsid w:val="00CA25CA"/>
    <w:rsid w:val="00CA7195"/>
    <w:rsid w:val="00CB50A3"/>
    <w:rsid w:val="00CB6126"/>
    <w:rsid w:val="00CC0986"/>
    <w:rsid w:val="00CC0CE1"/>
    <w:rsid w:val="00CC3EA7"/>
    <w:rsid w:val="00CD19B2"/>
    <w:rsid w:val="00CD1CBB"/>
    <w:rsid w:val="00CD4112"/>
    <w:rsid w:val="00CE04AB"/>
    <w:rsid w:val="00CF206E"/>
    <w:rsid w:val="00CF2DBE"/>
    <w:rsid w:val="00CF2DCD"/>
    <w:rsid w:val="00D00E65"/>
    <w:rsid w:val="00D05E98"/>
    <w:rsid w:val="00D064A1"/>
    <w:rsid w:val="00D10EF1"/>
    <w:rsid w:val="00D13B68"/>
    <w:rsid w:val="00D152FE"/>
    <w:rsid w:val="00D17D59"/>
    <w:rsid w:val="00D225A5"/>
    <w:rsid w:val="00D27C1D"/>
    <w:rsid w:val="00D33468"/>
    <w:rsid w:val="00D73094"/>
    <w:rsid w:val="00D84351"/>
    <w:rsid w:val="00D87616"/>
    <w:rsid w:val="00D9104C"/>
    <w:rsid w:val="00DB1888"/>
    <w:rsid w:val="00DC501F"/>
    <w:rsid w:val="00DC6878"/>
    <w:rsid w:val="00DC7078"/>
    <w:rsid w:val="00DD5AE3"/>
    <w:rsid w:val="00DE0F5F"/>
    <w:rsid w:val="00DE1B51"/>
    <w:rsid w:val="00DE3754"/>
    <w:rsid w:val="00DF5081"/>
    <w:rsid w:val="00DF6E0F"/>
    <w:rsid w:val="00DF7B16"/>
    <w:rsid w:val="00E10614"/>
    <w:rsid w:val="00E16E1B"/>
    <w:rsid w:val="00E23FD2"/>
    <w:rsid w:val="00E319A6"/>
    <w:rsid w:val="00E40706"/>
    <w:rsid w:val="00E40A3B"/>
    <w:rsid w:val="00E613A8"/>
    <w:rsid w:val="00E63B40"/>
    <w:rsid w:val="00E73B1D"/>
    <w:rsid w:val="00E85202"/>
    <w:rsid w:val="00EC02DD"/>
    <w:rsid w:val="00EC33B5"/>
    <w:rsid w:val="00EC432D"/>
    <w:rsid w:val="00EC57D1"/>
    <w:rsid w:val="00ED0892"/>
    <w:rsid w:val="00EE37A9"/>
    <w:rsid w:val="00EE7BAE"/>
    <w:rsid w:val="00F0213A"/>
    <w:rsid w:val="00F2440C"/>
    <w:rsid w:val="00F260F9"/>
    <w:rsid w:val="00F26F21"/>
    <w:rsid w:val="00F3664A"/>
    <w:rsid w:val="00F42F16"/>
    <w:rsid w:val="00F6682F"/>
    <w:rsid w:val="00F706DB"/>
    <w:rsid w:val="00F81405"/>
    <w:rsid w:val="00F83B6A"/>
    <w:rsid w:val="00F868F4"/>
    <w:rsid w:val="00F91527"/>
    <w:rsid w:val="00FA4BBE"/>
    <w:rsid w:val="00FF7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A1C05"/>
  <w15:chartTrackingRefBased/>
  <w15:docId w15:val="{F232F2D6-17CD-4776-8D44-A112839C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rsid w:val="00CF206E"/>
    <w:pPr>
      <w:keepNext/>
      <w:keepLines/>
      <w:spacing w:before="360" w:after="80" w:line="276" w:lineRule="auto"/>
      <w:outlineLvl w:val="1"/>
    </w:pPr>
    <w:rPr>
      <w:rFonts w:eastAsia="Times New Roman" w:cs="Times New Roman"/>
      <w:b/>
      <w:color w:val="000000"/>
      <w:sz w:val="24"/>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3D9B"/>
    <w:rPr>
      <w:color w:val="0563C1" w:themeColor="hyperlink"/>
      <w:u w:val="single"/>
    </w:rPr>
  </w:style>
  <w:style w:type="character" w:styleId="PlaceholderText">
    <w:name w:val="Placeholder Text"/>
    <w:basedOn w:val="DefaultParagraphFont"/>
    <w:uiPriority w:val="99"/>
    <w:semiHidden/>
    <w:rsid w:val="000375DB"/>
    <w:rPr>
      <w:color w:val="808080"/>
    </w:rPr>
  </w:style>
  <w:style w:type="paragraph" w:styleId="BalloonText">
    <w:name w:val="Balloon Text"/>
    <w:basedOn w:val="Normal"/>
    <w:link w:val="BalloonTextChar"/>
    <w:uiPriority w:val="99"/>
    <w:semiHidden/>
    <w:unhideWhenUsed/>
    <w:rsid w:val="00744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D12"/>
    <w:rPr>
      <w:rFonts w:ascii="Segoe UI" w:hAnsi="Segoe UI" w:cs="Segoe UI"/>
      <w:sz w:val="18"/>
      <w:szCs w:val="18"/>
    </w:rPr>
  </w:style>
  <w:style w:type="paragraph" w:styleId="ListParagraph">
    <w:name w:val="List Paragraph"/>
    <w:basedOn w:val="Normal"/>
    <w:uiPriority w:val="34"/>
    <w:qFormat/>
    <w:rsid w:val="00040F24"/>
    <w:pPr>
      <w:ind w:left="720"/>
      <w:contextualSpacing/>
    </w:pPr>
  </w:style>
  <w:style w:type="character" w:styleId="CommentReference">
    <w:name w:val="annotation reference"/>
    <w:basedOn w:val="DefaultParagraphFont"/>
    <w:uiPriority w:val="99"/>
    <w:semiHidden/>
    <w:unhideWhenUsed/>
    <w:rsid w:val="0022035E"/>
    <w:rPr>
      <w:sz w:val="16"/>
      <w:szCs w:val="16"/>
    </w:rPr>
  </w:style>
  <w:style w:type="paragraph" w:styleId="CommentText">
    <w:name w:val="annotation text"/>
    <w:basedOn w:val="Normal"/>
    <w:link w:val="CommentTextChar"/>
    <w:uiPriority w:val="99"/>
    <w:unhideWhenUsed/>
    <w:rsid w:val="0022035E"/>
    <w:pPr>
      <w:spacing w:after="200" w:line="240" w:lineRule="auto"/>
    </w:pPr>
    <w:rPr>
      <w:rFonts w:eastAsia="MS Mincho"/>
      <w:sz w:val="20"/>
      <w:szCs w:val="20"/>
    </w:rPr>
  </w:style>
  <w:style w:type="character" w:customStyle="1" w:styleId="CommentTextChar">
    <w:name w:val="Comment Text Char"/>
    <w:basedOn w:val="DefaultParagraphFont"/>
    <w:link w:val="CommentText"/>
    <w:uiPriority w:val="99"/>
    <w:rsid w:val="0022035E"/>
    <w:rPr>
      <w:rFonts w:eastAsia="MS Mincho"/>
      <w:sz w:val="20"/>
      <w:szCs w:val="20"/>
    </w:rPr>
  </w:style>
  <w:style w:type="paragraph" w:styleId="CommentSubject">
    <w:name w:val="annotation subject"/>
    <w:basedOn w:val="CommentText"/>
    <w:next w:val="CommentText"/>
    <w:link w:val="CommentSubjectChar"/>
    <w:uiPriority w:val="99"/>
    <w:semiHidden/>
    <w:unhideWhenUsed/>
    <w:rsid w:val="00FF70EE"/>
    <w:pPr>
      <w:spacing w:after="160"/>
    </w:pPr>
    <w:rPr>
      <w:rFonts w:eastAsiaTheme="minorHAnsi"/>
      <w:b/>
      <w:bCs/>
    </w:rPr>
  </w:style>
  <w:style w:type="character" w:customStyle="1" w:styleId="CommentSubjectChar">
    <w:name w:val="Comment Subject Char"/>
    <w:basedOn w:val="CommentTextChar"/>
    <w:link w:val="CommentSubject"/>
    <w:uiPriority w:val="99"/>
    <w:semiHidden/>
    <w:rsid w:val="00FF70EE"/>
    <w:rPr>
      <w:rFonts w:eastAsia="MS Mincho"/>
      <w:b/>
      <w:bCs/>
      <w:sz w:val="20"/>
      <w:szCs w:val="20"/>
    </w:rPr>
  </w:style>
  <w:style w:type="paragraph" w:styleId="Bibliography">
    <w:name w:val="Bibliography"/>
    <w:basedOn w:val="Normal"/>
    <w:next w:val="Normal"/>
    <w:uiPriority w:val="37"/>
    <w:unhideWhenUsed/>
    <w:rsid w:val="00DD5AE3"/>
    <w:pPr>
      <w:spacing w:after="240" w:line="240" w:lineRule="auto"/>
    </w:pPr>
  </w:style>
  <w:style w:type="paragraph" w:styleId="Revision">
    <w:name w:val="Revision"/>
    <w:hidden/>
    <w:uiPriority w:val="99"/>
    <w:semiHidden/>
    <w:rsid w:val="0009630A"/>
    <w:pPr>
      <w:spacing w:after="0" w:line="240" w:lineRule="auto"/>
    </w:pPr>
  </w:style>
  <w:style w:type="character" w:customStyle="1" w:styleId="UnresolvedMention1">
    <w:name w:val="Unresolved Mention1"/>
    <w:basedOn w:val="DefaultParagraphFont"/>
    <w:uiPriority w:val="99"/>
    <w:semiHidden/>
    <w:unhideWhenUsed/>
    <w:rsid w:val="00832B34"/>
    <w:rPr>
      <w:color w:val="605E5C"/>
      <w:shd w:val="clear" w:color="auto" w:fill="E1DFDD"/>
    </w:rPr>
  </w:style>
  <w:style w:type="character" w:styleId="FollowedHyperlink">
    <w:name w:val="FollowedHyperlink"/>
    <w:basedOn w:val="DefaultParagraphFont"/>
    <w:uiPriority w:val="99"/>
    <w:semiHidden/>
    <w:unhideWhenUsed/>
    <w:rsid w:val="007C7508"/>
    <w:rPr>
      <w:color w:val="954F72" w:themeColor="followedHyperlink"/>
      <w:u w:val="single"/>
    </w:rPr>
  </w:style>
  <w:style w:type="character" w:styleId="LineNumber">
    <w:name w:val="line number"/>
    <w:basedOn w:val="DefaultParagraphFont"/>
    <w:uiPriority w:val="99"/>
    <w:semiHidden/>
    <w:unhideWhenUsed/>
    <w:rsid w:val="00C96B2C"/>
  </w:style>
  <w:style w:type="character" w:customStyle="1" w:styleId="Heading2Char">
    <w:name w:val="Heading 2 Char"/>
    <w:basedOn w:val="DefaultParagraphFont"/>
    <w:link w:val="Heading2"/>
    <w:rsid w:val="00CF206E"/>
    <w:rPr>
      <w:rFonts w:eastAsia="Times New Roman" w:cs="Times New Roman"/>
      <w:b/>
      <w:color w:val="000000"/>
      <w:sz w:val="24"/>
      <w:szCs w:val="36"/>
      <w:lang w:eastAsia="en-GB"/>
    </w:rPr>
  </w:style>
  <w:style w:type="table" w:styleId="TableGrid">
    <w:name w:val="Table Grid"/>
    <w:basedOn w:val="TableNormal"/>
    <w:uiPriority w:val="39"/>
    <w:rsid w:val="00CF206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0352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p.goulding@vu.nl"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60A3-A874-4778-8EC4-E6F2FC75F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162624</Words>
  <Characters>926958</Characters>
  <Application>Microsoft Office Word</Application>
  <DocSecurity>0</DocSecurity>
  <Lines>7724</Lines>
  <Paragraphs>2174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Richie Goulding</dc:creator>
  <cp:keywords/>
  <dc:description/>
  <cp:lastModifiedBy>Simon Marwood</cp:lastModifiedBy>
  <cp:revision>3</cp:revision>
  <cp:lastPrinted>2022-09-28T17:42:00Z</cp:lastPrinted>
  <dcterms:created xsi:type="dcterms:W3CDTF">2024-02-12T09:33:00Z</dcterms:created>
  <dcterms:modified xsi:type="dcterms:W3CDTF">2024-02-12T09:43:00Z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id="dQOfRnOT"/&gt;&lt;style id="http://www.zotero.org/styles/sports-medicine" hasBibliography="1" bibliographyStyleHasBeenSet="1"/&gt;&lt;prefs&gt;&lt;pref name="fieldType" value="Field"/&gt;&lt;pref name="automaticJournalA</vt:lpwstr>
  </property>
  <property fmtid="{D5CDD505-2E9C-101B-9397-08002B2CF9AE}" pid="3" name="ZOTERO_PREF_2">
    <vt:lpwstr>bbreviations" value="true"/&gt;&lt;pref name="dontAskDelayCitationUpdates" value="true"/&gt;&lt;/prefs&gt;&lt;/data&gt;</vt:lpwstr>
  </property>
</Properties>
</file>