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B23F7" w14:textId="0D8312AA" w:rsidR="009749C0" w:rsidRPr="004636DC" w:rsidRDefault="009749C0" w:rsidP="003B4F3B">
      <w:pPr>
        <w:spacing w:line="360" w:lineRule="auto"/>
        <w:jc w:val="both"/>
        <w:rPr>
          <w:b/>
          <w:bCs/>
          <w:color w:val="000000" w:themeColor="text1"/>
        </w:rPr>
      </w:pPr>
      <w:r w:rsidRPr="004636DC">
        <w:rPr>
          <w:b/>
          <w:bCs/>
          <w:color w:val="000000" w:themeColor="text1"/>
        </w:rPr>
        <w:t xml:space="preserve">Over 55 years of </w:t>
      </w:r>
      <w:r w:rsidR="0005722D" w:rsidRPr="004636DC">
        <w:rPr>
          <w:b/>
          <w:bCs/>
          <w:color w:val="000000" w:themeColor="text1"/>
        </w:rPr>
        <w:t>critical power: fact</w:t>
      </w:r>
    </w:p>
    <w:p w14:paraId="6A9D3FFA" w14:textId="3516F361" w:rsidR="009749C0" w:rsidRPr="004636DC" w:rsidRDefault="00085D5A" w:rsidP="003B4F3B">
      <w:pPr>
        <w:spacing w:line="360" w:lineRule="auto"/>
        <w:jc w:val="both"/>
        <w:rPr>
          <w:color w:val="000000" w:themeColor="text1"/>
          <w:vertAlign w:val="superscript"/>
        </w:rPr>
      </w:pPr>
      <w:r w:rsidRPr="004636DC">
        <w:rPr>
          <w:color w:val="000000" w:themeColor="text1"/>
        </w:rPr>
        <w:t>Simon Marwood</w:t>
      </w:r>
      <w:r w:rsidRPr="004636DC">
        <w:rPr>
          <w:color w:val="000000" w:themeColor="text1"/>
          <w:vertAlign w:val="superscript"/>
        </w:rPr>
        <w:t>1</w:t>
      </w:r>
      <w:r w:rsidRPr="004636DC">
        <w:rPr>
          <w:color w:val="000000" w:themeColor="text1"/>
        </w:rPr>
        <w:t xml:space="preserve"> &amp; Richie P. Goulding</w:t>
      </w:r>
      <w:r w:rsidRPr="004636DC">
        <w:rPr>
          <w:color w:val="000000" w:themeColor="text1"/>
          <w:vertAlign w:val="superscript"/>
        </w:rPr>
        <w:t>2</w:t>
      </w:r>
    </w:p>
    <w:p w14:paraId="4C83B085" w14:textId="6DDE95FA" w:rsidR="00085D5A" w:rsidRPr="004636DC" w:rsidRDefault="00085D5A" w:rsidP="003B4F3B">
      <w:pPr>
        <w:spacing w:line="360" w:lineRule="auto"/>
        <w:jc w:val="both"/>
        <w:rPr>
          <w:color w:val="000000" w:themeColor="text1"/>
        </w:rPr>
      </w:pPr>
      <w:r w:rsidRPr="004636DC">
        <w:rPr>
          <w:color w:val="000000" w:themeColor="text1"/>
          <w:vertAlign w:val="superscript"/>
        </w:rPr>
        <w:t>1</w:t>
      </w:r>
      <w:r w:rsidRPr="004636DC">
        <w:rPr>
          <w:color w:val="000000" w:themeColor="text1"/>
        </w:rPr>
        <w:t>School of Health &amp; Sport Sciences, Liverpool Hope University, Liverpool, UK</w:t>
      </w:r>
    </w:p>
    <w:p w14:paraId="206712E0" w14:textId="3A83AA84" w:rsidR="00085D5A" w:rsidRPr="004636DC" w:rsidRDefault="00085D5A" w:rsidP="003B4F3B">
      <w:pPr>
        <w:spacing w:line="360" w:lineRule="auto"/>
        <w:jc w:val="both"/>
        <w:rPr>
          <w:color w:val="000000" w:themeColor="text1"/>
        </w:rPr>
      </w:pPr>
      <w:r w:rsidRPr="004636DC">
        <w:rPr>
          <w:color w:val="000000" w:themeColor="text1"/>
          <w:vertAlign w:val="superscript"/>
        </w:rPr>
        <w:t>2</w:t>
      </w:r>
      <w:r w:rsidRPr="004636DC">
        <w:rPr>
          <w:color w:val="000000" w:themeColor="text1"/>
        </w:rPr>
        <w:t>Laboratory for Myology, Vrije Universiteit, Amsterdam, The Netherlands</w:t>
      </w:r>
    </w:p>
    <w:p w14:paraId="68314BBD" w14:textId="77777777" w:rsidR="00085D5A" w:rsidRPr="004636DC" w:rsidRDefault="00085D5A" w:rsidP="003B4F3B">
      <w:pPr>
        <w:spacing w:line="360" w:lineRule="auto"/>
        <w:jc w:val="both"/>
        <w:rPr>
          <w:color w:val="000000" w:themeColor="text1"/>
        </w:rPr>
      </w:pPr>
    </w:p>
    <w:p w14:paraId="54FA940B" w14:textId="246FA86E" w:rsidR="008A4240" w:rsidRPr="004636DC" w:rsidRDefault="00F814C6" w:rsidP="003B4F3B">
      <w:pPr>
        <w:spacing w:line="360" w:lineRule="auto"/>
        <w:jc w:val="both"/>
        <w:rPr>
          <w:color w:val="000000" w:themeColor="text1"/>
        </w:rPr>
      </w:pPr>
      <w:r w:rsidRPr="004636DC">
        <w:rPr>
          <w:color w:val="000000" w:themeColor="text1"/>
        </w:rPr>
        <w:t xml:space="preserve">Dear </w:t>
      </w:r>
      <w:r w:rsidR="005558C0" w:rsidRPr="004636DC">
        <w:rPr>
          <w:color w:val="000000" w:themeColor="text1"/>
        </w:rPr>
        <w:t>E</w:t>
      </w:r>
      <w:r w:rsidRPr="004636DC">
        <w:rPr>
          <w:color w:val="000000" w:themeColor="text1"/>
        </w:rPr>
        <w:t>ditor</w:t>
      </w:r>
      <w:r w:rsidR="005558C0" w:rsidRPr="004636DC">
        <w:rPr>
          <w:color w:val="000000" w:themeColor="text1"/>
        </w:rPr>
        <w:t>-</w:t>
      </w:r>
      <w:r w:rsidRPr="004636DC">
        <w:rPr>
          <w:color w:val="000000" w:themeColor="text1"/>
        </w:rPr>
        <w:t>in</w:t>
      </w:r>
      <w:r w:rsidR="005558C0" w:rsidRPr="004636DC">
        <w:rPr>
          <w:color w:val="000000" w:themeColor="text1"/>
        </w:rPr>
        <w:t>-C</w:t>
      </w:r>
      <w:r w:rsidRPr="004636DC">
        <w:rPr>
          <w:color w:val="000000" w:themeColor="text1"/>
        </w:rPr>
        <w:t>hief,</w:t>
      </w:r>
    </w:p>
    <w:p w14:paraId="4FD41708" w14:textId="1757E8F7" w:rsidR="00F814C6" w:rsidRPr="004636DC" w:rsidRDefault="00F814C6" w:rsidP="0061586C">
      <w:pPr>
        <w:spacing w:line="360" w:lineRule="auto"/>
        <w:jc w:val="both"/>
        <w:rPr>
          <w:color w:val="000000" w:themeColor="text1"/>
        </w:rPr>
      </w:pPr>
      <w:r w:rsidRPr="004636DC">
        <w:rPr>
          <w:color w:val="000000" w:themeColor="text1"/>
        </w:rPr>
        <w:t xml:space="preserve">We read with </w:t>
      </w:r>
      <w:r w:rsidR="0061586C" w:rsidRPr="004636DC">
        <w:rPr>
          <w:color w:val="000000" w:themeColor="text1"/>
        </w:rPr>
        <w:t xml:space="preserve">interest the paper by </w:t>
      </w:r>
      <w:proofErr w:type="spellStart"/>
      <w:r w:rsidR="0061586C" w:rsidRPr="004636DC">
        <w:rPr>
          <w:color w:val="000000" w:themeColor="text1"/>
        </w:rPr>
        <w:t>Gorostiaga</w:t>
      </w:r>
      <w:proofErr w:type="spellEnd"/>
      <w:r w:rsidR="0061586C" w:rsidRPr="004636DC">
        <w:rPr>
          <w:color w:val="000000" w:themeColor="text1"/>
        </w:rPr>
        <w:t xml:space="preserve"> et al.</w:t>
      </w:r>
      <w:r w:rsidR="00936924" w:rsidRPr="004636DC">
        <w:rPr>
          <w:color w:val="000000" w:themeColor="text1"/>
          <w:vertAlign w:val="superscript"/>
        </w:rPr>
        <w:t>1</w:t>
      </w:r>
      <w:r w:rsidR="00936924" w:rsidRPr="004636DC">
        <w:rPr>
          <w:color w:val="000000" w:themeColor="text1"/>
        </w:rPr>
        <w:t xml:space="preserve"> </w:t>
      </w:r>
      <w:r w:rsidR="0061586C" w:rsidRPr="004636DC">
        <w:rPr>
          <w:color w:val="000000" w:themeColor="text1"/>
        </w:rPr>
        <w:t>entitled “Over 5</w:t>
      </w:r>
      <w:r w:rsidR="0005722D" w:rsidRPr="004636DC">
        <w:rPr>
          <w:color w:val="000000" w:themeColor="text1"/>
        </w:rPr>
        <w:t>5</w:t>
      </w:r>
      <w:r w:rsidR="0061586C" w:rsidRPr="004636DC">
        <w:rPr>
          <w:color w:val="000000" w:themeColor="text1"/>
        </w:rPr>
        <w:t xml:space="preserve"> years of critical power: fact or artifact?”. It is our opinion, however, that the conclusions drawn by the authors (chiefly that critical power should be considered a mathematical artifact) stem from a </w:t>
      </w:r>
      <w:r w:rsidR="00C97F92" w:rsidRPr="004636DC">
        <w:rPr>
          <w:color w:val="000000" w:themeColor="text1"/>
        </w:rPr>
        <w:t xml:space="preserve">grave </w:t>
      </w:r>
      <w:r w:rsidR="0061586C" w:rsidRPr="004636DC">
        <w:rPr>
          <w:color w:val="000000" w:themeColor="text1"/>
        </w:rPr>
        <w:t xml:space="preserve">misunderstanding of the critical power concept and its underlying physiology. </w:t>
      </w:r>
      <w:r w:rsidR="00663B41" w:rsidRPr="004636DC">
        <w:rPr>
          <w:color w:val="000000" w:themeColor="text1"/>
        </w:rPr>
        <w:t>The authors’ position is based upon a number of erroneous arguments: (</w:t>
      </w:r>
      <w:proofErr w:type="spellStart"/>
      <w:r w:rsidR="00663B41" w:rsidRPr="004636DC">
        <w:rPr>
          <w:color w:val="000000" w:themeColor="text1"/>
        </w:rPr>
        <w:t>i</w:t>
      </w:r>
      <w:proofErr w:type="spellEnd"/>
      <w:r w:rsidR="00663B41" w:rsidRPr="004636DC">
        <w:rPr>
          <w:color w:val="000000" w:themeColor="text1"/>
        </w:rPr>
        <w:t xml:space="preserve">) that critical power fails its own “definition” of being sustainable for </w:t>
      </w:r>
      <w:r w:rsidR="00B676AB" w:rsidRPr="004636DC">
        <w:rPr>
          <w:color w:val="000000" w:themeColor="text1"/>
        </w:rPr>
        <w:t>‘</w:t>
      </w:r>
      <w:r w:rsidR="00663B41" w:rsidRPr="004636DC">
        <w:rPr>
          <w:color w:val="000000" w:themeColor="text1"/>
        </w:rPr>
        <w:t>a lo</w:t>
      </w:r>
      <w:r w:rsidR="00B676AB" w:rsidRPr="004636DC">
        <w:rPr>
          <w:color w:val="000000" w:themeColor="text1"/>
        </w:rPr>
        <w:t>ng time without fatigue’</w:t>
      </w:r>
      <w:r w:rsidR="00E31798" w:rsidRPr="004636DC">
        <w:rPr>
          <w:color w:val="000000" w:themeColor="text1"/>
        </w:rPr>
        <w:t xml:space="preserve"> (Monod &amp; Scherrer, p.329</w:t>
      </w:r>
      <w:r w:rsidR="00F842C4" w:rsidRPr="004636DC">
        <w:rPr>
          <w:color w:val="000000" w:themeColor="text1"/>
          <w:vertAlign w:val="superscript"/>
        </w:rPr>
        <w:t>2</w:t>
      </w:r>
      <w:r w:rsidR="00E31798" w:rsidRPr="004636DC">
        <w:rPr>
          <w:color w:val="000000" w:themeColor="text1"/>
        </w:rPr>
        <w:t>)</w:t>
      </w:r>
      <w:r w:rsidR="00B676AB" w:rsidRPr="004636DC">
        <w:rPr>
          <w:color w:val="000000" w:themeColor="text1"/>
        </w:rPr>
        <w:t>, (ii) use of arbitrary exercise durations to establish the power-duration curve (iii)</w:t>
      </w:r>
      <w:r w:rsidR="008B603E" w:rsidRPr="004636DC">
        <w:rPr>
          <w:color w:val="000000" w:themeColor="text1"/>
        </w:rPr>
        <w:t>,</w:t>
      </w:r>
      <w:r w:rsidR="00E31798" w:rsidRPr="004636DC">
        <w:rPr>
          <w:color w:val="000000" w:themeColor="text1"/>
        </w:rPr>
        <w:t xml:space="preserve"> that critical power approaches a high fraction of the speed or power providing the longest exercise duration</w:t>
      </w:r>
      <w:r w:rsidR="008B603E" w:rsidRPr="004636DC">
        <w:rPr>
          <w:color w:val="000000" w:themeColor="text1"/>
        </w:rPr>
        <w:t>,</w:t>
      </w:r>
      <w:r w:rsidR="00E31798" w:rsidRPr="004636DC">
        <w:rPr>
          <w:color w:val="000000" w:themeColor="text1"/>
        </w:rPr>
        <w:t xml:space="preserve"> </w:t>
      </w:r>
      <w:r w:rsidR="008B603E" w:rsidRPr="004636DC">
        <w:rPr>
          <w:color w:val="000000" w:themeColor="text1"/>
        </w:rPr>
        <w:t xml:space="preserve">and </w:t>
      </w:r>
      <w:r w:rsidR="00E31798" w:rsidRPr="004636DC">
        <w:rPr>
          <w:color w:val="000000" w:themeColor="text1"/>
        </w:rPr>
        <w:t>(iv)</w:t>
      </w:r>
      <w:r w:rsidR="00B676AB" w:rsidRPr="004636DC">
        <w:rPr>
          <w:color w:val="000000" w:themeColor="text1"/>
        </w:rPr>
        <w:t xml:space="preserve"> critical power not residing at a fixed fraction of maximal oxygen uptake (V̇O</w:t>
      </w:r>
      <w:r w:rsidR="00B676AB" w:rsidRPr="004636DC">
        <w:rPr>
          <w:color w:val="000000" w:themeColor="text1"/>
          <w:vertAlign w:val="subscript"/>
        </w:rPr>
        <w:t>2max</w:t>
      </w:r>
      <w:r w:rsidR="00B676AB" w:rsidRPr="004636DC">
        <w:rPr>
          <w:color w:val="000000" w:themeColor="text1"/>
        </w:rPr>
        <w:t>) or maximal voluntary contraction (MVC)</w:t>
      </w:r>
      <w:r w:rsidR="00E31798" w:rsidRPr="004636DC">
        <w:rPr>
          <w:color w:val="000000" w:themeColor="text1"/>
        </w:rPr>
        <w:t>.</w:t>
      </w:r>
      <w:r w:rsidR="00B676AB" w:rsidRPr="004636DC">
        <w:rPr>
          <w:color w:val="000000" w:themeColor="text1"/>
        </w:rPr>
        <w:t xml:space="preserve"> </w:t>
      </w:r>
    </w:p>
    <w:p w14:paraId="2B6C2FEF" w14:textId="77777777" w:rsidR="00E31798" w:rsidRPr="004636DC" w:rsidRDefault="00E31798" w:rsidP="003B4F3B">
      <w:pPr>
        <w:spacing w:line="360" w:lineRule="auto"/>
        <w:jc w:val="both"/>
        <w:rPr>
          <w:color w:val="000000" w:themeColor="text1"/>
        </w:rPr>
      </w:pPr>
    </w:p>
    <w:p w14:paraId="799BBBA2" w14:textId="70143E93" w:rsidR="00E31798" w:rsidRPr="004636DC" w:rsidRDefault="00E31798" w:rsidP="00E31798">
      <w:pPr>
        <w:pStyle w:val="ListParagraph"/>
        <w:numPr>
          <w:ilvl w:val="0"/>
          <w:numId w:val="2"/>
        </w:numPr>
        <w:spacing w:line="360" w:lineRule="auto"/>
        <w:jc w:val="both"/>
        <w:rPr>
          <w:color w:val="000000" w:themeColor="text1"/>
        </w:rPr>
      </w:pPr>
      <w:r w:rsidRPr="004636DC">
        <w:rPr>
          <w:color w:val="000000" w:themeColor="text1"/>
        </w:rPr>
        <w:t>Notwithstanding that “a very long time” is somewhat indefinite, skeletal muscle fatigue occurs during exercise in the moderate exercise intensity domai</w:t>
      </w:r>
      <w:r w:rsidR="00936924" w:rsidRPr="004636DC">
        <w:rPr>
          <w:color w:val="000000" w:themeColor="text1"/>
        </w:rPr>
        <w:t>n</w:t>
      </w:r>
      <w:r w:rsidR="00F842C4" w:rsidRPr="004636DC">
        <w:rPr>
          <w:color w:val="000000" w:themeColor="text1"/>
          <w:vertAlign w:val="superscript"/>
        </w:rPr>
        <w:t>3</w:t>
      </w:r>
      <w:r w:rsidRPr="004636DC">
        <w:rPr>
          <w:color w:val="000000" w:themeColor="text1"/>
        </w:rPr>
        <w:t>, and as is rightfully noted, the indefinitely sustainable exercise intensity tends toward zero. However</w:t>
      </w:r>
      <w:r w:rsidR="00F842C4" w:rsidRPr="004636DC">
        <w:rPr>
          <w:color w:val="000000" w:themeColor="text1"/>
        </w:rPr>
        <w:t>,</w:t>
      </w:r>
      <w:r w:rsidRPr="004636DC">
        <w:rPr>
          <w:color w:val="000000" w:themeColor="text1"/>
        </w:rPr>
        <w:t xml:space="preserve"> the authors fail to </w:t>
      </w:r>
      <w:proofErr w:type="spellStart"/>
      <w:r w:rsidRPr="004636DC">
        <w:rPr>
          <w:color w:val="000000" w:themeColor="text1"/>
        </w:rPr>
        <w:t>realise</w:t>
      </w:r>
      <w:proofErr w:type="spellEnd"/>
      <w:r w:rsidRPr="004636DC">
        <w:rPr>
          <w:color w:val="000000" w:themeColor="text1"/>
        </w:rPr>
        <w:t xml:space="preserve"> that critical power was never </w:t>
      </w:r>
      <w:r w:rsidRPr="004636DC">
        <w:rPr>
          <w:i/>
          <w:iCs/>
          <w:color w:val="000000" w:themeColor="text1"/>
        </w:rPr>
        <w:t>defined</w:t>
      </w:r>
      <w:r w:rsidRPr="004636DC">
        <w:rPr>
          <w:color w:val="000000" w:themeColor="text1"/>
        </w:rPr>
        <w:t xml:space="preserve"> as such; critical power was defined as the slope of the work-time relationship during muscular work performed to </w:t>
      </w:r>
      <w:r w:rsidR="00594DB9" w:rsidRPr="004636DC">
        <w:rPr>
          <w:color w:val="000000" w:themeColor="text1"/>
        </w:rPr>
        <w:t>task failure</w:t>
      </w:r>
      <w:r w:rsidR="00F842C4" w:rsidRPr="004636DC">
        <w:rPr>
          <w:color w:val="000000" w:themeColor="text1"/>
          <w:vertAlign w:val="superscript"/>
        </w:rPr>
        <w:t>2</w:t>
      </w:r>
      <w:r w:rsidRPr="004636DC">
        <w:rPr>
          <w:color w:val="000000" w:themeColor="text1"/>
        </w:rPr>
        <w:t xml:space="preserve">. Notions of the </w:t>
      </w:r>
      <w:proofErr w:type="spellStart"/>
      <w:r w:rsidRPr="004636DC">
        <w:rPr>
          <w:color w:val="000000" w:themeColor="text1"/>
        </w:rPr>
        <w:t>fatiguelessness</w:t>
      </w:r>
      <w:proofErr w:type="spellEnd"/>
      <w:r w:rsidRPr="004636DC">
        <w:rPr>
          <w:color w:val="000000" w:themeColor="text1"/>
        </w:rPr>
        <w:t xml:space="preserve"> of exercise at or below critical power were </w:t>
      </w:r>
      <w:r w:rsidRPr="004636DC">
        <w:rPr>
          <w:i/>
          <w:color w:val="000000" w:themeColor="text1"/>
        </w:rPr>
        <w:t>interpretations</w:t>
      </w:r>
      <w:r w:rsidRPr="004636DC">
        <w:rPr>
          <w:color w:val="000000" w:themeColor="text1"/>
        </w:rPr>
        <w:t xml:space="preserve">, not definitions. </w:t>
      </w:r>
    </w:p>
    <w:p w14:paraId="164AB0AE" w14:textId="083C2D43" w:rsidR="002B678B" w:rsidRPr="004636DC" w:rsidRDefault="005558C0" w:rsidP="00E31798">
      <w:pPr>
        <w:pStyle w:val="ListParagraph"/>
        <w:numPr>
          <w:ilvl w:val="0"/>
          <w:numId w:val="2"/>
        </w:numPr>
        <w:spacing w:line="360" w:lineRule="auto"/>
        <w:jc w:val="both"/>
        <w:rPr>
          <w:color w:val="000000" w:themeColor="text1"/>
        </w:rPr>
      </w:pPr>
      <w:r w:rsidRPr="004636DC">
        <w:rPr>
          <w:color w:val="000000" w:themeColor="text1"/>
        </w:rPr>
        <w:t>T</w:t>
      </w:r>
      <w:r w:rsidR="002B678B" w:rsidRPr="004636DC">
        <w:rPr>
          <w:color w:val="000000" w:themeColor="text1"/>
        </w:rPr>
        <w:t>here is unequivocal evidence that critical power represents the upper limit of the metabolic steady state</w:t>
      </w:r>
      <w:r w:rsidRPr="004636DC">
        <w:rPr>
          <w:color w:val="000000" w:themeColor="text1"/>
        </w:rPr>
        <w:t xml:space="preserve">, </w:t>
      </w:r>
      <w:r w:rsidR="002B678B" w:rsidRPr="004636DC">
        <w:rPr>
          <w:color w:val="000000" w:themeColor="text1"/>
        </w:rPr>
        <w:t>reflect</w:t>
      </w:r>
      <w:r w:rsidRPr="004636DC">
        <w:rPr>
          <w:color w:val="000000" w:themeColor="text1"/>
        </w:rPr>
        <w:t>ing</w:t>
      </w:r>
      <w:r w:rsidR="002B678B" w:rsidRPr="004636DC">
        <w:rPr>
          <w:color w:val="000000" w:themeColor="text1"/>
        </w:rPr>
        <w:t xml:space="preserve"> the transition point between steady- and non-steady-state system behavior for an array of physiological responses such as whole-body oxygen consumption, intramuscular phosphate metabolism, motor unit recruitment, peripheral fatigue</w:t>
      </w:r>
      <w:r w:rsidR="00E17200" w:rsidRPr="004636DC">
        <w:rPr>
          <w:color w:val="000000" w:themeColor="text1"/>
        </w:rPr>
        <w:t xml:space="preserve"> (for review see Poole et al.</w:t>
      </w:r>
      <w:r w:rsidR="00F842C4" w:rsidRPr="004636DC">
        <w:rPr>
          <w:color w:val="000000" w:themeColor="text1"/>
          <w:vertAlign w:val="superscript"/>
        </w:rPr>
        <w:t>4</w:t>
      </w:r>
      <w:r w:rsidR="00E17200" w:rsidRPr="004636DC">
        <w:rPr>
          <w:color w:val="000000" w:themeColor="text1"/>
        </w:rPr>
        <w:t>)</w:t>
      </w:r>
      <w:r w:rsidR="002B678B" w:rsidRPr="004636DC">
        <w:rPr>
          <w:color w:val="000000" w:themeColor="text1"/>
        </w:rPr>
        <w:t xml:space="preserve"> and localized muscle oxygen consumption</w:t>
      </w:r>
      <w:r w:rsidR="00E17200" w:rsidRPr="004636DC">
        <w:rPr>
          <w:color w:val="000000" w:themeColor="text1"/>
          <w:vertAlign w:val="superscript"/>
        </w:rPr>
        <w:t>5</w:t>
      </w:r>
      <w:r w:rsidR="002B678B" w:rsidRPr="004636DC">
        <w:rPr>
          <w:color w:val="000000" w:themeColor="text1"/>
        </w:rPr>
        <w:t xml:space="preserve">.  </w:t>
      </w:r>
      <w:r w:rsidR="001E28A5" w:rsidRPr="004636DC">
        <w:rPr>
          <w:color w:val="000000" w:themeColor="text1"/>
        </w:rPr>
        <w:t>A</w:t>
      </w:r>
      <w:r w:rsidR="00B341AC" w:rsidRPr="004636DC">
        <w:rPr>
          <w:color w:val="000000" w:themeColor="text1"/>
        </w:rPr>
        <w:t>c</w:t>
      </w:r>
      <w:r w:rsidR="000627F8" w:rsidRPr="004636DC">
        <w:rPr>
          <w:color w:val="000000" w:themeColor="text1"/>
        </w:rPr>
        <w:t>cordingly, the</w:t>
      </w:r>
      <w:r w:rsidR="002B678B" w:rsidRPr="004636DC">
        <w:rPr>
          <w:color w:val="000000" w:themeColor="text1"/>
        </w:rPr>
        <w:t xml:space="preserve"> range of exercise </w:t>
      </w:r>
      <w:r w:rsidR="000627F8" w:rsidRPr="004636DC">
        <w:rPr>
          <w:color w:val="000000" w:themeColor="text1"/>
        </w:rPr>
        <w:t>intensities that form the power-duration curve</w:t>
      </w:r>
      <w:r w:rsidR="00B341AC" w:rsidRPr="004636DC">
        <w:rPr>
          <w:color w:val="000000" w:themeColor="text1"/>
        </w:rPr>
        <w:t xml:space="preserve"> are far from arbitrary. Rather</w:t>
      </w:r>
      <w:r w:rsidR="008B603E" w:rsidRPr="004636DC">
        <w:rPr>
          <w:color w:val="000000" w:themeColor="text1"/>
        </w:rPr>
        <w:t>,</w:t>
      </w:r>
      <w:r w:rsidR="00B341AC" w:rsidRPr="004636DC">
        <w:rPr>
          <w:color w:val="000000" w:themeColor="text1"/>
        </w:rPr>
        <w:t xml:space="preserve"> they</w:t>
      </w:r>
      <w:r w:rsidR="000627F8" w:rsidRPr="004636DC">
        <w:rPr>
          <w:color w:val="000000" w:themeColor="text1"/>
        </w:rPr>
        <w:t xml:space="preserve"> must be judiciously selected such that V̇O</w:t>
      </w:r>
      <w:r w:rsidR="000627F8" w:rsidRPr="004636DC">
        <w:rPr>
          <w:color w:val="000000" w:themeColor="text1"/>
          <w:vertAlign w:val="subscript"/>
        </w:rPr>
        <w:t>2max</w:t>
      </w:r>
      <w:r w:rsidR="000627F8" w:rsidRPr="004636DC">
        <w:rPr>
          <w:color w:val="000000" w:themeColor="text1"/>
        </w:rPr>
        <w:t xml:space="preserve"> is achieved at </w:t>
      </w:r>
      <w:r w:rsidR="00594DB9" w:rsidRPr="004636DC">
        <w:rPr>
          <w:color w:val="000000" w:themeColor="text1"/>
        </w:rPr>
        <w:t>task failure</w:t>
      </w:r>
      <w:r w:rsidR="001E28A5" w:rsidRPr="004636DC">
        <w:rPr>
          <w:color w:val="000000" w:themeColor="text1"/>
        </w:rPr>
        <w:t xml:space="preserve">. </w:t>
      </w:r>
    </w:p>
    <w:p w14:paraId="61778F98" w14:textId="07A11219" w:rsidR="00625681" w:rsidRPr="004636DC" w:rsidRDefault="003763E6" w:rsidP="00625681">
      <w:pPr>
        <w:pStyle w:val="ListParagraph"/>
        <w:numPr>
          <w:ilvl w:val="0"/>
          <w:numId w:val="2"/>
        </w:numPr>
        <w:spacing w:line="360" w:lineRule="auto"/>
        <w:jc w:val="both"/>
        <w:rPr>
          <w:color w:val="000000" w:themeColor="text1"/>
        </w:rPr>
      </w:pPr>
      <w:r w:rsidRPr="004636DC">
        <w:rPr>
          <w:color w:val="000000" w:themeColor="text1"/>
        </w:rPr>
        <w:lastRenderedPageBreak/>
        <w:t>Accordingly, i</w:t>
      </w:r>
      <w:r w:rsidR="00625681" w:rsidRPr="004636DC">
        <w:rPr>
          <w:color w:val="000000" w:themeColor="text1"/>
        </w:rPr>
        <w:t xml:space="preserve">n extending their </w:t>
      </w:r>
      <w:r w:rsidR="001F7946" w:rsidRPr="004636DC">
        <w:rPr>
          <w:color w:val="000000" w:themeColor="text1"/>
        </w:rPr>
        <w:t xml:space="preserve">own </w:t>
      </w:r>
      <w:r w:rsidR="00625681" w:rsidRPr="004636DC">
        <w:rPr>
          <w:color w:val="000000" w:themeColor="text1"/>
        </w:rPr>
        <w:t xml:space="preserve">analysis to the half-marathon and beyond, </w:t>
      </w:r>
      <w:proofErr w:type="spellStart"/>
      <w:r w:rsidR="00625681" w:rsidRPr="004636DC">
        <w:rPr>
          <w:color w:val="000000" w:themeColor="text1"/>
        </w:rPr>
        <w:t>Gorostiga</w:t>
      </w:r>
      <w:proofErr w:type="spellEnd"/>
      <w:r w:rsidR="00625681" w:rsidRPr="004636DC">
        <w:rPr>
          <w:color w:val="000000" w:themeColor="text1"/>
        </w:rPr>
        <w:t xml:space="preserve"> et al.</w:t>
      </w:r>
      <w:r w:rsidR="00936924" w:rsidRPr="004636DC">
        <w:rPr>
          <w:color w:val="000000" w:themeColor="text1"/>
          <w:vertAlign w:val="superscript"/>
        </w:rPr>
        <w:t>1</w:t>
      </w:r>
      <w:r w:rsidR="00625681" w:rsidRPr="004636DC">
        <w:rPr>
          <w:color w:val="000000" w:themeColor="text1"/>
        </w:rPr>
        <w:t xml:space="preserve"> </w:t>
      </w:r>
      <w:r w:rsidR="0081006B" w:rsidRPr="004636DC">
        <w:rPr>
          <w:color w:val="000000" w:themeColor="text1"/>
        </w:rPr>
        <w:t>overlook</w:t>
      </w:r>
      <w:r w:rsidR="00625681" w:rsidRPr="004636DC">
        <w:rPr>
          <w:color w:val="000000" w:themeColor="text1"/>
        </w:rPr>
        <w:t xml:space="preserve"> the necessity of including only severe-domain exercise bouts in their analysis. Consequently, it is a mathematical certainty that the apparent critical speed will reduce as ever longer durations/lower speeds are included in the model</w:t>
      </w:r>
      <w:r w:rsidR="002E54B2" w:rsidRPr="004636DC">
        <w:rPr>
          <w:color w:val="000000" w:themeColor="text1"/>
        </w:rPr>
        <w:t xml:space="preserve"> with the apparent critical speed being a high fraction of the lowest speed included in the model</w:t>
      </w:r>
      <w:r w:rsidR="00625681" w:rsidRPr="004636DC">
        <w:rPr>
          <w:color w:val="000000" w:themeColor="text1"/>
        </w:rPr>
        <w:t>.</w:t>
      </w:r>
      <w:r w:rsidRPr="004636DC">
        <w:rPr>
          <w:color w:val="000000" w:themeColor="text1"/>
        </w:rPr>
        <w:t xml:space="preserve"> </w:t>
      </w:r>
      <w:r w:rsidR="002E54B2" w:rsidRPr="004636DC">
        <w:rPr>
          <w:color w:val="000000" w:themeColor="text1"/>
        </w:rPr>
        <w:t xml:space="preserve">That this fraction will be relatively fixed in such a homogenous group of participants is unsurprising. </w:t>
      </w:r>
      <w:r w:rsidRPr="004636DC">
        <w:rPr>
          <w:color w:val="000000" w:themeColor="text1"/>
        </w:rPr>
        <w:t xml:space="preserve">The analysis presented by </w:t>
      </w:r>
      <w:proofErr w:type="spellStart"/>
      <w:r w:rsidRPr="004636DC">
        <w:rPr>
          <w:color w:val="000000" w:themeColor="text1"/>
        </w:rPr>
        <w:t>Gorostiga</w:t>
      </w:r>
      <w:proofErr w:type="spellEnd"/>
      <w:r w:rsidRPr="004636DC">
        <w:rPr>
          <w:color w:val="000000" w:themeColor="text1"/>
        </w:rPr>
        <w:t xml:space="preserve"> et al.</w:t>
      </w:r>
      <w:r w:rsidRPr="004636DC">
        <w:rPr>
          <w:color w:val="000000" w:themeColor="text1"/>
          <w:vertAlign w:val="superscript"/>
        </w:rPr>
        <w:t>1</w:t>
      </w:r>
      <w:r w:rsidRPr="004636DC">
        <w:rPr>
          <w:color w:val="000000" w:themeColor="text1"/>
        </w:rPr>
        <w:t xml:space="preserve"> is thus not evidence</w:t>
      </w:r>
      <w:r w:rsidR="00625681" w:rsidRPr="004636DC">
        <w:rPr>
          <w:color w:val="000000" w:themeColor="text1"/>
        </w:rPr>
        <w:t xml:space="preserve"> that the principle of critical power should be re-evaluated</w:t>
      </w:r>
      <w:r w:rsidR="002E54B2" w:rsidRPr="004636DC">
        <w:rPr>
          <w:color w:val="000000" w:themeColor="text1"/>
        </w:rPr>
        <w:t xml:space="preserve">. Rather it reflects the erroneous application of </w:t>
      </w:r>
      <w:r w:rsidR="004A1A60" w:rsidRPr="004636DC">
        <w:rPr>
          <w:color w:val="000000" w:themeColor="text1"/>
        </w:rPr>
        <w:t>the hyperbolic speed-duration relationship beyond the realms of the sever</w:t>
      </w:r>
      <w:r w:rsidR="008B603E" w:rsidRPr="004636DC">
        <w:rPr>
          <w:color w:val="000000" w:themeColor="text1"/>
        </w:rPr>
        <w:t>e</w:t>
      </w:r>
      <w:r w:rsidR="004A1A60" w:rsidRPr="004636DC">
        <w:rPr>
          <w:color w:val="000000" w:themeColor="text1"/>
        </w:rPr>
        <w:t xml:space="preserve"> intensity domain.</w:t>
      </w:r>
      <w:r w:rsidR="002E54B2" w:rsidRPr="004636DC">
        <w:rPr>
          <w:color w:val="000000" w:themeColor="text1"/>
        </w:rPr>
        <w:t xml:space="preserve"> </w:t>
      </w:r>
    </w:p>
    <w:p w14:paraId="0FDCEB1F" w14:textId="050F2514" w:rsidR="00625681" w:rsidRPr="004636DC" w:rsidRDefault="00625681" w:rsidP="00083B7A">
      <w:pPr>
        <w:pStyle w:val="ListParagraph"/>
        <w:spacing w:line="360" w:lineRule="auto"/>
        <w:ind w:left="1080"/>
        <w:jc w:val="both"/>
        <w:rPr>
          <w:color w:val="000000" w:themeColor="text1"/>
        </w:rPr>
      </w:pPr>
    </w:p>
    <w:p w14:paraId="21C44528" w14:textId="18D5FD8C" w:rsidR="001E193D" w:rsidRPr="004636DC" w:rsidRDefault="002B66C1" w:rsidP="00083B7A">
      <w:pPr>
        <w:pStyle w:val="ListParagraph"/>
        <w:numPr>
          <w:ilvl w:val="0"/>
          <w:numId w:val="2"/>
        </w:numPr>
        <w:spacing w:line="360" w:lineRule="auto"/>
        <w:jc w:val="both"/>
        <w:rPr>
          <w:color w:val="000000" w:themeColor="text1"/>
        </w:rPr>
      </w:pPr>
      <w:r w:rsidRPr="004636DC">
        <w:rPr>
          <w:color w:val="000000" w:themeColor="text1"/>
        </w:rPr>
        <w:t xml:space="preserve">The authors note that an “issue” with the notion of </w:t>
      </w:r>
      <w:r w:rsidR="0061586C" w:rsidRPr="004636DC">
        <w:rPr>
          <w:color w:val="000000" w:themeColor="text1"/>
        </w:rPr>
        <w:t xml:space="preserve">critical power/critical force </w:t>
      </w:r>
      <w:r w:rsidRPr="004636DC">
        <w:rPr>
          <w:color w:val="000000" w:themeColor="text1"/>
        </w:rPr>
        <w:t xml:space="preserve">is that its </w:t>
      </w:r>
      <w:r w:rsidR="00B67A9D" w:rsidRPr="004636DC">
        <w:rPr>
          <w:color w:val="000000" w:themeColor="text1"/>
        </w:rPr>
        <w:t xml:space="preserve">expression </w:t>
      </w:r>
      <w:r w:rsidRPr="004636DC">
        <w:rPr>
          <w:color w:val="000000" w:themeColor="text1"/>
        </w:rPr>
        <w:t>as a fraction of maximal oxygen uptake</w:t>
      </w:r>
      <w:r w:rsidR="002D3E1A" w:rsidRPr="004636DC">
        <w:rPr>
          <w:color w:val="000000" w:themeColor="text1"/>
        </w:rPr>
        <w:t xml:space="preserve"> (V̇O</w:t>
      </w:r>
      <w:r w:rsidR="002D3E1A" w:rsidRPr="004636DC">
        <w:rPr>
          <w:color w:val="000000" w:themeColor="text1"/>
          <w:vertAlign w:val="subscript"/>
        </w:rPr>
        <w:t>2max</w:t>
      </w:r>
      <w:r w:rsidR="002D3E1A" w:rsidRPr="004636DC">
        <w:rPr>
          <w:color w:val="000000" w:themeColor="text1"/>
        </w:rPr>
        <w:t xml:space="preserve">) </w:t>
      </w:r>
      <w:r w:rsidR="00596259" w:rsidRPr="004636DC">
        <w:rPr>
          <w:color w:val="000000" w:themeColor="text1"/>
        </w:rPr>
        <w:t xml:space="preserve">or </w:t>
      </w:r>
      <w:r w:rsidRPr="004636DC">
        <w:rPr>
          <w:color w:val="000000" w:themeColor="text1"/>
        </w:rPr>
        <w:t xml:space="preserve">maximal </w:t>
      </w:r>
      <w:r w:rsidR="00596259" w:rsidRPr="004636DC">
        <w:rPr>
          <w:color w:val="000000" w:themeColor="text1"/>
        </w:rPr>
        <w:t xml:space="preserve">voluntary contraction (MVC) </w:t>
      </w:r>
      <w:r w:rsidRPr="004636DC">
        <w:rPr>
          <w:color w:val="000000" w:themeColor="text1"/>
        </w:rPr>
        <w:t xml:space="preserve">is not fixed. </w:t>
      </w:r>
      <w:r w:rsidR="00596259" w:rsidRPr="004636DC">
        <w:rPr>
          <w:color w:val="000000" w:themeColor="text1"/>
        </w:rPr>
        <w:t>Of course, since</w:t>
      </w:r>
      <w:r w:rsidR="007E4045" w:rsidRPr="004636DC">
        <w:rPr>
          <w:color w:val="000000" w:themeColor="text1"/>
        </w:rPr>
        <w:t xml:space="preserve"> the former is a rate of oxygen uptake and the latter a maximal force, comparison across </w:t>
      </w:r>
      <w:r w:rsidR="005558C0" w:rsidRPr="004636DC">
        <w:rPr>
          <w:color w:val="000000" w:themeColor="text1"/>
        </w:rPr>
        <w:t xml:space="preserve">these </w:t>
      </w:r>
      <w:r w:rsidR="007E4045" w:rsidRPr="004636DC">
        <w:rPr>
          <w:color w:val="000000" w:themeColor="text1"/>
        </w:rPr>
        <w:t>different measurements is spurious (</w:t>
      </w:r>
      <w:r w:rsidR="00A43694" w:rsidRPr="004636DC">
        <w:rPr>
          <w:color w:val="000000" w:themeColor="text1"/>
        </w:rPr>
        <w:t>though</w:t>
      </w:r>
      <w:r w:rsidR="007E4045" w:rsidRPr="004636DC">
        <w:rPr>
          <w:color w:val="000000" w:themeColor="text1"/>
        </w:rPr>
        <w:t xml:space="preserve"> notably V̇O</w:t>
      </w:r>
      <w:r w:rsidR="007E4045" w:rsidRPr="004636DC">
        <w:rPr>
          <w:color w:val="000000" w:themeColor="text1"/>
          <w:vertAlign w:val="subscript"/>
        </w:rPr>
        <w:t>2max</w:t>
      </w:r>
      <w:r w:rsidR="007E4045" w:rsidRPr="004636DC">
        <w:rPr>
          <w:color w:val="000000" w:themeColor="text1"/>
        </w:rPr>
        <w:t xml:space="preserve"> </w:t>
      </w:r>
      <w:r w:rsidR="008B603E" w:rsidRPr="004636DC">
        <w:rPr>
          <w:color w:val="000000" w:themeColor="text1"/>
        </w:rPr>
        <w:t>may be</w:t>
      </w:r>
      <w:r w:rsidR="00970474" w:rsidRPr="004636DC">
        <w:rPr>
          <w:color w:val="000000" w:themeColor="text1"/>
        </w:rPr>
        <w:t xml:space="preserve"> </w:t>
      </w:r>
      <w:r w:rsidR="007E4045" w:rsidRPr="004636DC">
        <w:rPr>
          <w:color w:val="000000" w:themeColor="text1"/>
        </w:rPr>
        <w:t>achieved with a muscular force of as little as 20% MVC</w:t>
      </w:r>
      <w:r w:rsidR="00E17200" w:rsidRPr="004636DC">
        <w:rPr>
          <w:color w:val="000000" w:themeColor="text1"/>
          <w:vertAlign w:val="superscript"/>
        </w:rPr>
        <w:t>6</w:t>
      </w:r>
      <w:r w:rsidR="004A1A60" w:rsidRPr="004636DC">
        <w:rPr>
          <w:color w:val="000000" w:themeColor="text1"/>
        </w:rPr>
        <w:t>).</w:t>
      </w:r>
      <w:r w:rsidR="007E4045" w:rsidRPr="004636DC">
        <w:rPr>
          <w:color w:val="000000" w:themeColor="text1"/>
        </w:rPr>
        <w:t xml:space="preserve"> </w:t>
      </w:r>
      <w:r w:rsidR="005558C0" w:rsidRPr="004636DC">
        <w:rPr>
          <w:color w:val="000000" w:themeColor="text1"/>
        </w:rPr>
        <w:t>T</w:t>
      </w:r>
      <w:r w:rsidR="007228FE" w:rsidRPr="004636DC">
        <w:rPr>
          <w:color w:val="000000" w:themeColor="text1"/>
        </w:rPr>
        <w:t xml:space="preserve">he calls to authority </w:t>
      </w:r>
      <w:r w:rsidR="00A43694" w:rsidRPr="004636DC">
        <w:rPr>
          <w:color w:val="000000" w:themeColor="text1"/>
        </w:rPr>
        <w:t>regarding</w:t>
      </w:r>
      <w:r w:rsidR="007228FE" w:rsidRPr="004636DC">
        <w:rPr>
          <w:color w:val="000000" w:themeColor="text1"/>
        </w:rPr>
        <w:t xml:space="preserve"> prior proposals for </w:t>
      </w:r>
      <w:r w:rsidR="0061586C" w:rsidRPr="004636DC">
        <w:rPr>
          <w:color w:val="000000" w:themeColor="text1"/>
        </w:rPr>
        <w:t xml:space="preserve">critical power </w:t>
      </w:r>
      <w:r w:rsidR="007228FE" w:rsidRPr="004636DC">
        <w:rPr>
          <w:color w:val="000000" w:themeColor="text1"/>
        </w:rPr>
        <w:t xml:space="preserve">to reside </w:t>
      </w:r>
      <w:r w:rsidR="008A4240" w:rsidRPr="004636DC">
        <w:rPr>
          <w:color w:val="000000" w:themeColor="text1"/>
        </w:rPr>
        <w:t xml:space="preserve">above </w:t>
      </w:r>
      <w:r w:rsidR="002D3E1A" w:rsidRPr="004636DC">
        <w:rPr>
          <w:color w:val="000000" w:themeColor="text1"/>
        </w:rPr>
        <w:t>V̇O</w:t>
      </w:r>
      <w:r w:rsidR="002D3E1A" w:rsidRPr="004636DC">
        <w:rPr>
          <w:color w:val="000000" w:themeColor="text1"/>
          <w:vertAlign w:val="subscript"/>
        </w:rPr>
        <w:t>2</w:t>
      </w:r>
      <w:r w:rsidR="007228FE" w:rsidRPr="004636DC">
        <w:rPr>
          <w:color w:val="000000" w:themeColor="text1"/>
          <w:vertAlign w:val="subscript"/>
        </w:rPr>
        <w:t>max</w:t>
      </w:r>
      <w:r w:rsidR="007228FE" w:rsidRPr="004636DC">
        <w:rPr>
          <w:color w:val="000000" w:themeColor="text1"/>
        </w:rPr>
        <w:t xml:space="preserve"> </w:t>
      </w:r>
      <w:r w:rsidR="008A4240" w:rsidRPr="004636DC">
        <w:rPr>
          <w:color w:val="000000" w:themeColor="text1"/>
        </w:rPr>
        <w:t xml:space="preserve">are </w:t>
      </w:r>
      <w:r w:rsidR="005558C0" w:rsidRPr="004636DC">
        <w:rPr>
          <w:color w:val="000000" w:themeColor="text1"/>
        </w:rPr>
        <w:t>also</w:t>
      </w:r>
      <w:r w:rsidR="008A4240" w:rsidRPr="004636DC">
        <w:rPr>
          <w:color w:val="000000" w:themeColor="text1"/>
        </w:rPr>
        <w:t xml:space="preserve"> not a serious contribution to a debate on how best to determine the upper limit of the metabolic steady state. </w:t>
      </w:r>
      <w:r w:rsidRPr="004636DC">
        <w:rPr>
          <w:color w:val="000000" w:themeColor="text1"/>
        </w:rPr>
        <w:t>More importantly</w:t>
      </w:r>
      <w:r w:rsidR="002D3E1A" w:rsidRPr="004636DC">
        <w:rPr>
          <w:color w:val="000000" w:themeColor="text1"/>
        </w:rPr>
        <w:t>,</w:t>
      </w:r>
      <w:r w:rsidR="008A4240" w:rsidRPr="004636DC">
        <w:rPr>
          <w:color w:val="000000" w:themeColor="text1"/>
        </w:rPr>
        <w:t xml:space="preserve"> of course</w:t>
      </w:r>
      <w:r w:rsidRPr="004636DC">
        <w:rPr>
          <w:color w:val="000000" w:themeColor="text1"/>
        </w:rPr>
        <w:t xml:space="preserve">, </w:t>
      </w:r>
      <w:r w:rsidR="001E193D" w:rsidRPr="004636DC">
        <w:rPr>
          <w:color w:val="000000" w:themeColor="text1"/>
        </w:rPr>
        <w:t xml:space="preserve">the very point of determining </w:t>
      </w:r>
      <w:r w:rsidR="002D3E1A" w:rsidRPr="004636DC">
        <w:rPr>
          <w:color w:val="000000" w:themeColor="text1"/>
        </w:rPr>
        <w:t xml:space="preserve">critical power </w:t>
      </w:r>
      <w:r w:rsidR="001E193D" w:rsidRPr="004636DC">
        <w:rPr>
          <w:color w:val="000000" w:themeColor="text1"/>
        </w:rPr>
        <w:t xml:space="preserve">is that the threshold between the </w:t>
      </w:r>
      <w:r w:rsidR="00BA0413" w:rsidRPr="004636DC">
        <w:rPr>
          <w:color w:val="000000" w:themeColor="text1"/>
        </w:rPr>
        <w:t>heavy</w:t>
      </w:r>
      <w:r w:rsidR="001E193D" w:rsidRPr="004636DC">
        <w:rPr>
          <w:color w:val="000000" w:themeColor="text1"/>
        </w:rPr>
        <w:t xml:space="preserve">- and severe-domains of exercise intensity </w:t>
      </w:r>
      <w:r w:rsidR="00BA0413" w:rsidRPr="004636DC">
        <w:rPr>
          <w:color w:val="000000" w:themeColor="text1"/>
        </w:rPr>
        <w:t xml:space="preserve">cannot be predicted based upon a fixed </w:t>
      </w:r>
      <w:r w:rsidRPr="004636DC">
        <w:rPr>
          <w:color w:val="000000" w:themeColor="text1"/>
        </w:rPr>
        <w:t>fraction</w:t>
      </w:r>
      <w:r w:rsidR="00BA0413" w:rsidRPr="004636DC">
        <w:rPr>
          <w:color w:val="000000" w:themeColor="text1"/>
        </w:rPr>
        <w:t xml:space="preserve"> of </w:t>
      </w:r>
      <w:r w:rsidR="002D3E1A" w:rsidRPr="004636DC">
        <w:rPr>
          <w:color w:val="000000" w:themeColor="text1"/>
        </w:rPr>
        <w:t>V̇O</w:t>
      </w:r>
      <w:r w:rsidR="002D3E1A" w:rsidRPr="004636DC">
        <w:rPr>
          <w:color w:val="000000" w:themeColor="text1"/>
          <w:vertAlign w:val="subscript"/>
        </w:rPr>
        <w:t>2max</w:t>
      </w:r>
      <w:r w:rsidR="00BA0413" w:rsidRPr="004636DC">
        <w:rPr>
          <w:color w:val="000000" w:themeColor="text1"/>
        </w:rPr>
        <w:t xml:space="preserve">. </w:t>
      </w:r>
      <w:r w:rsidR="00030941" w:rsidRPr="004636DC">
        <w:rPr>
          <w:color w:val="000000" w:themeColor="text1"/>
        </w:rPr>
        <w:t xml:space="preserve">Hence criticisms of the measurement of </w:t>
      </w:r>
      <w:r w:rsidR="002D3E1A" w:rsidRPr="004636DC">
        <w:rPr>
          <w:color w:val="000000" w:themeColor="text1"/>
        </w:rPr>
        <w:t xml:space="preserve">critical power </w:t>
      </w:r>
      <w:r w:rsidR="00030941" w:rsidRPr="004636DC">
        <w:rPr>
          <w:color w:val="000000" w:themeColor="text1"/>
        </w:rPr>
        <w:t>on the basis of it not residing at a fixed fraction of the maximal oxygen uptake miss the entire point of the exercise.</w:t>
      </w:r>
    </w:p>
    <w:p w14:paraId="069DDF53" w14:textId="482F2782" w:rsidR="00030941" w:rsidRPr="004636DC" w:rsidRDefault="007F2650" w:rsidP="003B4F3B">
      <w:pPr>
        <w:spacing w:line="360" w:lineRule="auto"/>
        <w:jc w:val="both"/>
        <w:rPr>
          <w:color w:val="000000" w:themeColor="text1"/>
        </w:rPr>
      </w:pPr>
      <w:r w:rsidRPr="004636DC">
        <w:rPr>
          <w:color w:val="000000" w:themeColor="text1"/>
        </w:rPr>
        <w:t>Critical power, and its analogues, is firmly established as a fundamental feature of exercise with a strong theoretical basis</w:t>
      </w:r>
      <w:r w:rsidR="00E17200" w:rsidRPr="004636DC">
        <w:rPr>
          <w:color w:val="000000" w:themeColor="text1"/>
          <w:vertAlign w:val="superscript"/>
        </w:rPr>
        <w:t>7</w:t>
      </w:r>
      <w:r w:rsidRPr="004636DC">
        <w:rPr>
          <w:color w:val="000000" w:themeColor="text1"/>
        </w:rPr>
        <w:t xml:space="preserve">. </w:t>
      </w:r>
      <w:r w:rsidR="00180017" w:rsidRPr="004636DC">
        <w:rPr>
          <w:color w:val="000000" w:themeColor="text1"/>
        </w:rPr>
        <w:t xml:space="preserve">A persistent feature of criticisms of its relevance in </w:t>
      </w:r>
      <w:r w:rsidR="00970474" w:rsidRPr="004636DC">
        <w:rPr>
          <w:color w:val="000000" w:themeColor="text1"/>
        </w:rPr>
        <w:t>exercise science</w:t>
      </w:r>
      <w:r w:rsidR="00180017" w:rsidRPr="004636DC">
        <w:rPr>
          <w:color w:val="000000" w:themeColor="text1"/>
        </w:rPr>
        <w:t xml:space="preserve"> is extending its application outside of the severe exercise intensity</w:t>
      </w:r>
      <w:r w:rsidR="002C14FE" w:rsidRPr="004636DC">
        <w:rPr>
          <w:color w:val="000000" w:themeColor="text1"/>
        </w:rPr>
        <w:t xml:space="preserve"> domain</w:t>
      </w:r>
      <w:r w:rsidR="00180017" w:rsidRPr="004636DC">
        <w:rPr>
          <w:color w:val="000000" w:themeColor="text1"/>
        </w:rPr>
        <w:t xml:space="preserve">, which </w:t>
      </w:r>
      <w:r w:rsidR="002C14FE" w:rsidRPr="004636DC">
        <w:rPr>
          <w:color w:val="000000" w:themeColor="text1"/>
        </w:rPr>
        <w:t>highlights a misconstrual of the intended usage of the power-duration relationship</w:t>
      </w:r>
      <w:r w:rsidR="00E17200" w:rsidRPr="004636DC">
        <w:rPr>
          <w:color w:val="000000" w:themeColor="text1"/>
          <w:vertAlign w:val="superscript"/>
        </w:rPr>
        <w:t>4</w:t>
      </w:r>
      <w:r w:rsidR="00083B7A" w:rsidRPr="004636DC">
        <w:rPr>
          <w:color w:val="000000" w:themeColor="text1"/>
        </w:rPr>
        <w:t>. Correct application of the power-duration relationship within the severe domain yields fundamental insights into the relationship between exercise tolerance and underlying physiological constructs that extend beyond our species</w:t>
      </w:r>
      <w:r w:rsidR="005260FD" w:rsidRPr="004636DC">
        <w:rPr>
          <w:color w:val="000000" w:themeColor="text1"/>
          <w:vertAlign w:val="superscript"/>
        </w:rPr>
        <w:t>4</w:t>
      </w:r>
      <w:r w:rsidR="00083B7A" w:rsidRPr="004636DC">
        <w:rPr>
          <w:color w:val="000000" w:themeColor="text1"/>
        </w:rPr>
        <w:t>.</w:t>
      </w:r>
      <w:r w:rsidR="00180017" w:rsidRPr="004636DC">
        <w:rPr>
          <w:color w:val="000000" w:themeColor="text1"/>
        </w:rPr>
        <w:t xml:space="preserve">   </w:t>
      </w:r>
    </w:p>
    <w:p w14:paraId="71B8865A" w14:textId="3CC2CAAE" w:rsidR="00D54847" w:rsidRPr="004636DC" w:rsidRDefault="00D54847" w:rsidP="003B4F3B">
      <w:pPr>
        <w:spacing w:line="360" w:lineRule="auto"/>
        <w:jc w:val="both"/>
        <w:rPr>
          <w:color w:val="000000" w:themeColor="text1"/>
        </w:rPr>
      </w:pPr>
    </w:p>
    <w:p w14:paraId="1DD8B277" w14:textId="772A4555" w:rsidR="002C14FE" w:rsidRPr="004636DC" w:rsidRDefault="00E956ED" w:rsidP="00C97F92">
      <w:pPr>
        <w:rPr>
          <w:color w:val="000000" w:themeColor="text1"/>
        </w:rPr>
      </w:pPr>
      <w:r w:rsidRPr="004636DC">
        <w:rPr>
          <w:b/>
          <w:color w:val="000000" w:themeColor="text1"/>
        </w:rPr>
        <w:t>REFERENCES</w:t>
      </w:r>
    </w:p>
    <w:p w14:paraId="3B5ADBD5" w14:textId="77777777" w:rsidR="002C14FE" w:rsidRPr="004636DC" w:rsidRDefault="002A3B45" w:rsidP="002C14FE">
      <w:pPr>
        <w:pStyle w:val="Bibliography"/>
        <w:rPr>
          <w:rFonts w:ascii="Calibri" w:hAnsi="Calibri" w:cs="Calibri"/>
          <w:color w:val="000000" w:themeColor="text1"/>
        </w:rPr>
      </w:pPr>
      <w:r w:rsidRPr="004636DC">
        <w:rPr>
          <w:color w:val="000000" w:themeColor="text1"/>
        </w:rPr>
        <w:lastRenderedPageBreak/>
        <w:fldChar w:fldCharType="begin"/>
      </w:r>
      <w:r w:rsidRPr="004636DC">
        <w:rPr>
          <w:color w:val="000000" w:themeColor="text1"/>
        </w:rPr>
        <w:instrText xml:space="preserve"> ADDIN ZOTERO_BIBL {"uncited":[],"omitted":[],"custom":[]} CSL_BIBLIOGRAPHY </w:instrText>
      </w:r>
      <w:r w:rsidRPr="004636DC">
        <w:rPr>
          <w:color w:val="000000" w:themeColor="text1"/>
        </w:rPr>
        <w:fldChar w:fldCharType="separate"/>
      </w:r>
      <w:r w:rsidR="002C14FE" w:rsidRPr="004636DC">
        <w:rPr>
          <w:rFonts w:ascii="Calibri" w:hAnsi="Calibri" w:cs="Calibri"/>
          <w:color w:val="000000" w:themeColor="text1"/>
        </w:rPr>
        <w:t xml:space="preserve">1. </w:t>
      </w:r>
      <w:r w:rsidR="002C14FE" w:rsidRPr="004636DC">
        <w:rPr>
          <w:rFonts w:ascii="Calibri" w:hAnsi="Calibri" w:cs="Calibri"/>
          <w:color w:val="000000" w:themeColor="text1"/>
        </w:rPr>
        <w:tab/>
        <w:t>Gorostiaga EM, Sánchez-Medina L, Garcia-Tabar I. Over 55 years of critical power: Fact or artifact? Scandinavian Journal of Medicine &amp; Science in Sports [Internet]. [cited 2021 Dec 3];n/a(n/a). Available from: https://onlinelibrary.wiley.com/doi/abs/10.1111/sms.14074</w:t>
      </w:r>
    </w:p>
    <w:p w14:paraId="6D13B7DC" w14:textId="28815CF2" w:rsidR="00F842C4" w:rsidRPr="004636DC" w:rsidRDefault="002C14FE" w:rsidP="002C14FE">
      <w:pPr>
        <w:pStyle w:val="Bibliography"/>
        <w:rPr>
          <w:rFonts w:ascii="Calibri" w:hAnsi="Calibri" w:cs="Calibri"/>
          <w:color w:val="000000" w:themeColor="text1"/>
        </w:rPr>
      </w:pPr>
      <w:r w:rsidRPr="004636DC">
        <w:rPr>
          <w:rFonts w:ascii="Calibri" w:hAnsi="Calibri" w:cs="Calibri"/>
          <w:color w:val="000000" w:themeColor="text1"/>
        </w:rPr>
        <w:t xml:space="preserve">2. </w:t>
      </w:r>
      <w:r w:rsidRPr="004636DC">
        <w:rPr>
          <w:rFonts w:ascii="Calibri" w:hAnsi="Calibri" w:cs="Calibri"/>
          <w:color w:val="000000" w:themeColor="text1"/>
        </w:rPr>
        <w:tab/>
      </w:r>
      <w:r w:rsidR="00F842C4" w:rsidRPr="004636DC">
        <w:rPr>
          <w:rFonts w:ascii="Calibri" w:hAnsi="Calibri" w:cs="Calibri"/>
          <w:color w:val="000000" w:themeColor="text1"/>
        </w:rPr>
        <w:t>Monod H, Scherrer J. The Work Capacity of a Synergic Muscular Group. Ergonomics. 1965 Jul 1;8(3):329–38.</w:t>
      </w:r>
    </w:p>
    <w:p w14:paraId="31BB841B" w14:textId="3EFC14CD" w:rsidR="002C14FE" w:rsidRPr="004636DC" w:rsidRDefault="002C14FE" w:rsidP="002C14FE">
      <w:pPr>
        <w:pStyle w:val="Bibliography"/>
        <w:rPr>
          <w:rFonts w:ascii="Calibri" w:hAnsi="Calibri" w:cs="Calibri"/>
          <w:color w:val="000000" w:themeColor="text1"/>
        </w:rPr>
      </w:pPr>
      <w:r w:rsidRPr="004636DC">
        <w:rPr>
          <w:rFonts w:ascii="Calibri" w:hAnsi="Calibri" w:cs="Calibri"/>
          <w:color w:val="000000" w:themeColor="text1"/>
        </w:rPr>
        <w:t xml:space="preserve">3. </w:t>
      </w:r>
      <w:r w:rsidRPr="004636DC">
        <w:rPr>
          <w:rFonts w:ascii="Calibri" w:hAnsi="Calibri" w:cs="Calibri"/>
          <w:color w:val="000000" w:themeColor="text1"/>
        </w:rPr>
        <w:tab/>
      </w:r>
      <w:r w:rsidR="00F842C4" w:rsidRPr="004636DC">
        <w:rPr>
          <w:rFonts w:ascii="Calibri" w:hAnsi="Calibri" w:cs="Calibri"/>
          <w:color w:val="000000" w:themeColor="text1"/>
        </w:rPr>
        <w:t xml:space="preserve">Black MI, Jones AM, Blackwell JR, Bailey SJ, Wylie LJ, McDonagh STJ, et al. Muscle metabolic and neuromuscular determinants of fatigue during cycling in different exercise intensity domains. J Appl Physiol (1985). 2017 Mar 1;122(3):446–59. </w:t>
      </w:r>
      <w:r w:rsidRPr="004636DC">
        <w:rPr>
          <w:rFonts w:ascii="Calibri" w:hAnsi="Calibri" w:cs="Calibri"/>
          <w:color w:val="000000" w:themeColor="text1"/>
        </w:rPr>
        <w:t xml:space="preserve"> </w:t>
      </w:r>
    </w:p>
    <w:p w14:paraId="01C7C160" w14:textId="0928A621" w:rsidR="002C14FE" w:rsidRPr="004636DC" w:rsidRDefault="002C14FE" w:rsidP="002C14FE">
      <w:pPr>
        <w:pStyle w:val="Bibliography"/>
        <w:rPr>
          <w:rFonts w:ascii="Calibri" w:hAnsi="Calibri" w:cs="Calibri"/>
          <w:color w:val="000000" w:themeColor="text1"/>
        </w:rPr>
      </w:pPr>
      <w:r w:rsidRPr="004636DC">
        <w:rPr>
          <w:rFonts w:ascii="Calibri" w:hAnsi="Calibri" w:cs="Calibri"/>
          <w:color w:val="000000" w:themeColor="text1"/>
        </w:rPr>
        <w:t xml:space="preserve">4. </w:t>
      </w:r>
      <w:r w:rsidRPr="004636DC">
        <w:rPr>
          <w:rFonts w:ascii="Calibri" w:hAnsi="Calibri" w:cs="Calibri"/>
          <w:color w:val="000000" w:themeColor="text1"/>
        </w:rPr>
        <w:tab/>
      </w:r>
      <w:r w:rsidR="00F842C4" w:rsidRPr="004636DC">
        <w:rPr>
          <w:rFonts w:ascii="Calibri" w:hAnsi="Calibri" w:cs="Calibri"/>
          <w:color w:val="000000" w:themeColor="text1"/>
        </w:rPr>
        <w:t>Poole DC, Burnley M, Vanhatalo A, Rossiter HB, Jones AM. Critical Power: An Important Fatigue Threshold in Exercise Physiology. Med Sci Sports Exerc. 2016 Nov;48(11):2320–34.</w:t>
      </w:r>
      <w:r w:rsidRPr="004636DC">
        <w:rPr>
          <w:rFonts w:ascii="Calibri" w:hAnsi="Calibri" w:cs="Calibri"/>
          <w:color w:val="000000" w:themeColor="text1"/>
        </w:rPr>
        <w:t xml:space="preserve"> </w:t>
      </w:r>
    </w:p>
    <w:p w14:paraId="675230E0" w14:textId="77777777" w:rsidR="002C14FE" w:rsidRPr="004636DC" w:rsidRDefault="002C14FE" w:rsidP="002C14FE">
      <w:pPr>
        <w:pStyle w:val="Bibliography"/>
        <w:rPr>
          <w:rFonts w:ascii="Calibri" w:hAnsi="Calibri" w:cs="Calibri"/>
          <w:color w:val="000000" w:themeColor="text1"/>
        </w:rPr>
      </w:pPr>
      <w:r w:rsidRPr="004636DC">
        <w:rPr>
          <w:rFonts w:ascii="Calibri" w:hAnsi="Calibri" w:cs="Calibri"/>
          <w:color w:val="000000" w:themeColor="text1"/>
        </w:rPr>
        <w:t xml:space="preserve">5. </w:t>
      </w:r>
      <w:r w:rsidRPr="004636DC">
        <w:rPr>
          <w:rFonts w:ascii="Calibri" w:hAnsi="Calibri" w:cs="Calibri"/>
          <w:color w:val="000000" w:themeColor="text1"/>
        </w:rPr>
        <w:tab/>
        <w:t xml:space="preserve">Vanhatalo A, Black MI, DiMenna FJ, Blackwell JR, Schmidt JF, Thompson C, et al. The mechanistic bases of the power-time relationship: muscle metabolic responses and relationships to muscle fibre type. J Physiol (Lond). 2016 Aug 1;594(15):4407–23. </w:t>
      </w:r>
    </w:p>
    <w:p w14:paraId="2FB67D6A" w14:textId="77777777" w:rsidR="00E17200" w:rsidRPr="004636DC" w:rsidRDefault="002C14FE" w:rsidP="002C14FE">
      <w:pPr>
        <w:pStyle w:val="Bibliography"/>
        <w:rPr>
          <w:rFonts w:ascii="Calibri" w:hAnsi="Calibri" w:cs="Calibri"/>
          <w:color w:val="000000" w:themeColor="text1"/>
        </w:rPr>
      </w:pPr>
      <w:r w:rsidRPr="004636DC">
        <w:rPr>
          <w:rFonts w:ascii="Calibri" w:hAnsi="Calibri" w:cs="Calibri"/>
          <w:color w:val="000000" w:themeColor="text1"/>
        </w:rPr>
        <w:t xml:space="preserve">6. </w:t>
      </w:r>
      <w:r w:rsidRPr="004636DC">
        <w:rPr>
          <w:rFonts w:ascii="Calibri" w:hAnsi="Calibri" w:cs="Calibri"/>
          <w:color w:val="000000" w:themeColor="text1"/>
        </w:rPr>
        <w:tab/>
      </w:r>
      <w:r w:rsidR="00E17200" w:rsidRPr="004636DC">
        <w:rPr>
          <w:rFonts w:ascii="Calibri" w:hAnsi="Calibri" w:cs="Calibri"/>
          <w:color w:val="000000" w:themeColor="text1"/>
        </w:rPr>
        <w:t>Goulding RP, Okushima D, Fukuoka Y, Marwood S, Kondo N, Poole DC, et al. Impact of supine versus upright exercise on muscle deoxygenation heterogeneity during ramp incremental cycling is site specific. Eur J Appl Physiol. 2021 May; 121 (5): 1283-1296. doi: 10.1007/s00421-021-04607-6</w:t>
      </w:r>
    </w:p>
    <w:p w14:paraId="280E4462" w14:textId="46621FB2" w:rsidR="00E17200" w:rsidRPr="004636DC" w:rsidRDefault="002C14FE" w:rsidP="002C14FE">
      <w:pPr>
        <w:pStyle w:val="Bibliography"/>
        <w:rPr>
          <w:rFonts w:ascii="Calibri" w:hAnsi="Calibri" w:cs="Calibri"/>
          <w:color w:val="000000" w:themeColor="text1"/>
        </w:rPr>
      </w:pPr>
      <w:r w:rsidRPr="004636DC">
        <w:rPr>
          <w:rFonts w:ascii="Calibri" w:hAnsi="Calibri" w:cs="Calibri"/>
          <w:color w:val="000000" w:themeColor="text1"/>
        </w:rPr>
        <w:t xml:space="preserve">7. </w:t>
      </w:r>
      <w:r w:rsidRPr="004636DC">
        <w:rPr>
          <w:rFonts w:ascii="Calibri" w:hAnsi="Calibri" w:cs="Calibri"/>
          <w:color w:val="000000" w:themeColor="text1"/>
        </w:rPr>
        <w:tab/>
      </w:r>
      <w:r w:rsidR="00E17200" w:rsidRPr="004636DC">
        <w:rPr>
          <w:rFonts w:ascii="Calibri" w:hAnsi="Calibri" w:cs="Calibri"/>
          <w:color w:val="000000" w:themeColor="text1"/>
        </w:rPr>
        <w:t>Goulding RP, Rossiter HB, Marwood S, Ferguson C. Bioenergetic Mechanisms Linking V[Combining Dot Above]O2 Kinetics and Exercise Tolerance. Exercise and Sport Sciences Reviews. 2021 Oct; 49 (4): 274-283. doi: 10.1249/JES.0000000000000267</w:t>
      </w:r>
    </w:p>
    <w:p w14:paraId="3C259275" w14:textId="41042811" w:rsidR="00D54847" w:rsidRPr="004636DC" w:rsidRDefault="002A3B45">
      <w:pPr>
        <w:spacing w:line="360" w:lineRule="auto"/>
        <w:jc w:val="both"/>
        <w:rPr>
          <w:color w:val="000000" w:themeColor="text1"/>
        </w:rPr>
      </w:pPr>
      <w:r w:rsidRPr="004636DC">
        <w:rPr>
          <w:color w:val="000000" w:themeColor="text1"/>
        </w:rPr>
        <w:fldChar w:fldCharType="end"/>
      </w:r>
    </w:p>
    <w:sectPr w:rsidR="00D54847" w:rsidRPr="004636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671492"/>
    <w:multiLevelType w:val="hybridMultilevel"/>
    <w:tmpl w:val="F84C2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AB1BE7"/>
    <w:multiLevelType w:val="hybridMultilevel"/>
    <w:tmpl w:val="9D9CEE90"/>
    <w:lvl w:ilvl="0" w:tplc="BD5266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93D"/>
    <w:rsid w:val="00030941"/>
    <w:rsid w:val="0005722D"/>
    <w:rsid w:val="000627F8"/>
    <w:rsid w:val="00075912"/>
    <w:rsid w:val="00083B7A"/>
    <w:rsid w:val="00085D5A"/>
    <w:rsid w:val="00180017"/>
    <w:rsid w:val="001E193D"/>
    <w:rsid w:val="001E28A5"/>
    <w:rsid w:val="001F7946"/>
    <w:rsid w:val="00246A14"/>
    <w:rsid w:val="002A3B45"/>
    <w:rsid w:val="002B66C1"/>
    <w:rsid w:val="002B678B"/>
    <w:rsid w:val="002C14FE"/>
    <w:rsid w:val="002D3E1A"/>
    <w:rsid w:val="002E54B2"/>
    <w:rsid w:val="0030135C"/>
    <w:rsid w:val="0031277C"/>
    <w:rsid w:val="00371AA7"/>
    <w:rsid w:val="003763E6"/>
    <w:rsid w:val="003B4F3B"/>
    <w:rsid w:val="004078B9"/>
    <w:rsid w:val="004636DC"/>
    <w:rsid w:val="004A1A60"/>
    <w:rsid w:val="004F690A"/>
    <w:rsid w:val="005260FD"/>
    <w:rsid w:val="005558C0"/>
    <w:rsid w:val="00583A5A"/>
    <w:rsid w:val="00594DB9"/>
    <w:rsid w:val="00596259"/>
    <w:rsid w:val="0061586C"/>
    <w:rsid w:val="00625681"/>
    <w:rsid w:val="00663B41"/>
    <w:rsid w:val="007228FE"/>
    <w:rsid w:val="0076422A"/>
    <w:rsid w:val="007E4045"/>
    <w:rsid w:val="007F2650"/>
    <w:rsid w:val="0081006B"/>
    <w:rsid w:val="008A4240"/>
    <w:rsid w:val="008B603E"/>
    <w:rsid w:val="00936924"/>
    <w:rsid w:val="00970474"/>
    <w:rsid w:val="009749C0"/>
    <w:rsid w:val="00A43694"/>
    <w:rsid w:val="00A84752"/>
    <w:rsid w:val="00B341AC"/>
    <w:rsid w:val="00B676AB"/>
    <w:rsid w:val="00B67A9D"/>
    <w:rsid w:val="00BA0413"/>
    <w:rsid w:val="00C65A68"/>
    <w:rsid w:val="00C97F92"/>
    <w:rsid w:val="00D54847"/>
    <w:rsid w:val="00D913B8"/>
    <w:rsid w:val="00DB0B9C"/>
    <w:rsid w:val="00E17200"/>
    <w:rsid w:val="00E31798"/>
    <w:rsid w:val="00E5086D"/>
    <w:rsid w:val="00E956ED"/>
    <w:rsid w:val="00EE0153"/>
    <w:rsid w:val="00F52F7F"/>
    <w:rsid w:val="00F814C6"/>
    <w:rsid w:val="00F842C4"/>
    <w:rsid w:val="00F947CB"/>
    <w:rsid w:val="00FB0282"/>
    <w:rsid w:val="00FD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B9962"/>
  <w15:chartTrackingRefBased/>
  <w15:docId w15:val="{8D7ED555-6425-49E7-8628-A66027F8C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1586C"/>
    <w:rPr>
      <w:sz w:val="16"/>
      <w:szCs w:val="16"/>
    </w:rPr>
  </w:style>
  <w:style w:type="paragraph" w:styleId="CommentText">
    <w:name w:val="annotation text"/>
    <w:basedOn w:val="Normal"/>
    <w:link w:val="CommentTextChar"/>
    <w:uiPriority w:val="99"/>
    <w:semiHidden/>
    <w:unhideWhenUsed/>
    <w:rsid w:val="0061586C"/>
    <w:pPr>
      <w:spacing w:line="240" w:lineRule="auto"/>
    </w:pPr>
    <w:rPr>
      <w:sz w:val="20"/>
      <w:szCs w:val="20"/>
    </w:rPr>
  </w:style>
  <w:style w:type="character" w:customStyle="1" w:styleId="CommentTextChar">
    <w:name w:val="Comment Text Char"/>
    <w:basedOn w:val="DefaultParagraphFont"/>
    <w:link w:val="CommentText"/>
    <w:uiPriority w:val="99"/>
    <w:semiHidden/>
    <w:rsid w:val="0061586C"/>
    <w:rPr>
      <w:sz w:val="20"/>
      <w:szCs w:val="20"/>
    </w:rPr>
  </w:style>
  <w:style w:type="paragraph" w:styleId="CommentSubject">
    <w:name w:val="annotation subject"/>
    <w:basedOn w:val="CommentText"/>
    <w:next w:val="CommentText"/>
    <w:link w:val="CommentSubjectChar"/>
    <w:uiPriority w:val="99"/>
    <w:semiHidden/>
    <w:unhideWhenUsed/>
    <w:rsid w:val="0061586C"/>
    <w:rPr>
      <w:b/>
      <w:bCs/>
    </w:rPr>
  </w:style>
  <w:style w:type="character" w:customStyle="1" w:styleId="CommentSubjectChar">
    <w:name w:val="Comment Subject Char"/>
    <w:basedOn w:val="CommentTextChar"/>
    <w:link w:val="CommentSubject"/>
    <w:uiPriority w:val="99"/>
    <w:semiHidden/>
    <w:rsid w:val="0061586C"/>
    <w:rPr>
      <w:b/>
      <w:bCs/>
      <w:sz w:val="20"/>
      <w:szCs w:val="20"/>
    </w:rPr>
  </w:style>
  <w:style w:type="paragraph" w:styleId="BalloonText">
    <w:name w:val="Balloon Text"/>
    <w:basedOn w:val="Normal"/>
    <w:link w:val="BalloonTextChar"/>
    <w:uiPriority w:val="99"/>
    <w:semiHidden/>
    <w:unhideWhenUsed/>
    <w:rsid w:val="006158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86C"/>
    <w:rPr>
      <w:rFonts w:ascii="Segoe UI" w:hAnsi="Segoe UI" w:cs="Segoe UI"/>
      <w:sz w:val="18"/>
      <w:szCs w:val="18"/>
    </w:rPr>
  </w:style>
  <w:style w:type="paragraph" w:styleId="Bibliography">
    <w:name w:val="Bibliography"/>
    <w:basedOn w:val="Normal"/>
    <w:next w:val="Normal"/>
    <w:uiPriority w:val="37"/>
    <w:unhideWhenUsed/>
    <w:rsid w:val="002A3B45"/>
    <w:pPr>
      <w:tabs>
        <w:tab w:val="left" w:pos="504"/>
      </w:tabs>
      <w:spacing w:after="240" w:line="240" w:lineRule="auto"/>
      <w:ind w:left="504" w:hanging="504"/>
    </w:pPr>
  </w:style>
  <w:style w:type="paragraph" w:styleId="Revision">
    <w:name w:val="Revision"/>
    <w:hidden/>
    <w:uiPriority w:val="99"/>
    <w:semiHidden/>
    <w:rsid w:val="00B67A9D"/>
    <w:pPr>
      <w:spacing w:after="0" w:line="240" w:lineRule="auto"/>
    </w:pPr>
  </w:style>
  <w:style w:type="paragraph" w:styleId="ListParagraph">
    <w:name w:val="List Paragraph"/>
    <w:basedOn w:val="Normal"/>
    <w:uiPriority w:val="34"/>
    <w:qFormat/>
    <w:rsid w:val="00E31798"/>
    <w:pPr>
      <w:ind w:left="720"/>
      <w:contextualSpacing/>
    </w:pPr>
  </w:style>
  <w:style w:type="character" w:styleId="Hyperlink">
    <w:name w:val="Hyperlink"/>
    <w:basedOn w:val="DefaultParagraphFont"/>
    <w:uiPriority w:val="99"/>
    <w:unhideWhenUsed/>
    <w:rsid w:val="00180017"/>
    <w:rPr>
      <w:color w:val="0563C1" w:themeColor="hyperlink"/>
      <w:u w:val="single"/>
    </w:rPr>
  </w:style>
  <w:style w:type="character" w:customStyle="1" w:styleId="UnresolvedMention1">
    <w:name w:val="Unresolved Mention1"/>
    <w:basedOn w:val="DefaultParagraphFont"/>
    <w:uiPriority w:val="99"/>
    <w:semiHidden/>
    <w:unhideWhenUsed/>
    <w:rsid w:val="001800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030829">
      <w:bodyDiv w:val="1"/>
      <w:marLeft w:val="0"/>
      <w:marRight w:val="0"/>
      <w:marTop w:val="0"/>
      <w:marBottom w:val="0"/>
      <w:divBdr>
        <w:top w:val="none" w:sz="0" w:space="0" w:color="auto"/>
        <w:left w:val="none" w:sz="0" w:space="0" w:color="auto"/>
        <w:bottom w:val="none" w:sz="0" w:space="0" w:color="auto"/>
        <w:right w:val="none" w:sz="0" w:space="0" w:color="auto"/>
      </w:divBdr>
      <w:divsChild>
        <w:div w:id="879629584">
          <w:marLeft w:val="0"/>
          <w:marRight w:val="0"/>
          <w:marTop w:val="0"/>
          <w:marBottom w:val="0"/>
          <w:divBdr>
            <w:top w:val="none" w:sz="0" w:space="0" w:color="auto"/>
            <w:left w:val="none" w:sz="0" w:space="0" w:color="auto"/>
            <w:bottom w:val="none" w:sz="0" w:space="0" w:color="auto"/>
            <w:right w:val="none" w:sz="0" w:space="0" w:color="auto"/>
          </w:divBdr>
        </w:div>
      </w:divsChild>
    </w:div>
    <w:div w:id="1846506934">
      <w:bodyDiv w:val="1"/>
      <w:marLeft w:val="0"/>
      <w:marRight w:val="0"/>
      <w:marTop w:val="0"/>
      <w:marBottom w:val="0"/>
      <w:divBdr>
        <w:top w:val="none" w:sz="0" w:space="0" w:color="auto"/>
        <w:left w:val="none" w:sz="0" w:space="0" w:color="auto"/>
        <w:bottom w:val="none" w:sz="0" w:space="0" w:color="auto"/>
        <w:right w:val="none" w:sz="0" w:space="0" w:color="auto"/>
      </w:divBdr>
      <w:divsChild>
        <w:div w:id="653144210">
          <w:marLeft w:val="0"/>
          <w:marRight w:val="0"/>
          <w:marTop w:val="0"/>
          <w:marBottom w:val="0"/>
          <w:divBdr>
            <w:top w:val="none" w:sz="0" w:space="0" w:color="auto"/>
            <w:left w:val="none" w:sz="0" w:space="0" w:color="auto"/>
            <w:bottom w:val="none" w:sz="0" w:space="0" w:color="auto"/>
            <w:right w:val="none" w:sz="0" w:space="0" w:color="auto"/>
          </w:divBdr>
        </w:div>
      </w:divsChild>
    </w:div>
    <w:div w:id="2095130491">
      <w:bodyDiv w:val="1"/>
      <w:marLeft w:val="0"/>
      <w:marRight w:val="0"/>
      <w:marTop w:val="0"/>
      <w:marBottom w:val="0"/>
      <w:divBdr>
        <w:top w:val="none" w:sz="0" w:space="0" w:color="auto"/>
        <w:left w:val="none" w:sz="0" w:space="0" w:color="auto"/>
        <w:bottom w:val="none" w:sz="0" w:space="0" w:color="auto"/>
        <w:right w:val="none" w:sz="0" w:space="0" w:color="auto"/>
      </w:divBdr>
      <w:divsChild>
        <w:div w:id="17801035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97C2A-4255-42A2-9B40-38C79CA50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963</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Marwood</dc:creator>
  <cp:keywords/>
  <dc:description/>
  <cp:lastModifiedBy>Jack Marwood</cp:lastModifiedBy>
  <cp:revision>2</cp:revision>
  <dcterms:created xsi:type="dcterms:W3CDTF">2022-01-04T12:38:00Z</dcterms:created>
  <dcterms:modified xsi:type="dcterms:W3CDTF">2022-01-04T12:38:00Z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id="TltYoeVv"/&gt;&lt;style id="http://www.zotero.org/styles/national-library-of-medicine" hasBibliography="1" bibliographyStyleHasBeenSet="1"/&gt;&lt;prefs&gt;&lt;pref name="fieldType" value="Field"/&gt;&lt;/prefs&gt;&lt;/data</vt:lpwstr>
  </property>
  <property fmtid="{D5CDD505-2E9C-101B-9397-08002B2CF9AE}" pid="3" name="ZOTERO_PREF_2">
    <vt:lpwstr>&gt;</vt:lpwstr>
  </property>
</Properties>
</file>