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89EC5" w14:textId="2C7D21D0" w:rsidR="00637A9B" w:rsidRPr="00293CBE" w:rsidRDefault="00300F96">
      <w:pPr>
        <w:rPr>
          <w:rFonts w:cstheme="minorHAnsi"/>
          <w:b/>
          <w:bCs/>
          <w:sz w:val="28"/>
          <w:szCs w:val="28"/>
        </w:rPr>
      </w:pPr>
      <w:r>
        <w:rPr>
          <w:rFonts w:cstheme="minorHAnsi"/>
          <w:b/>
          <w:bCs/>
          <w:sz w:val="28"/>
          <w:szCs w:val="28"/>
        </w:rPr>
        <w:t xml:space="preserve"> </w:t>
      </w:r>
      <w:r w:rsidR="00637A9B" w:rsidRPr="00293CBE">
        <w:rPr>
          <w:rFonts w:cstheme="minorHAnsi"/>
          <w:b/>
          <w:bCs/>
          <w:sz w:val="28"/>
          <w:szCs w:val="28"/>
        </w:rPr>
        <w:t>Testate amoeba</w:t>
      </w:r>
      <w:r w:rsidR="006D46BF">
        <w:rPr>
          <w:rFonts w:cstheme="minorHAnsi"/>
          <w:b/>
          <w:bCs/>
          <w:sz w:val="28"/>
          <w:szCs w:val="28"/>
        </w:rPr>
        <w:t>e</w:t>
      </w:r>
      <w:r w:rsidR="00637A9B" w:rsidRPr="00293CBE">
        <w:rPr>
          <w:rFonts w:cstheme="minorHAnsi"/>
          <w:b/>
          <w:bCs/>
          <w:sz w:val="28"/>
          <w:szCs w:val="28"/>
        </w:rPr>
        <w:t xml:space="preserve"> response </w:t>
      </w:r>
      <w:r w:rsidR="004C32CC" w:rsidRPr="00293CBE">
        <w:rPr>
          <w:rFonts w:cstheme="minorHAnsi"/>
          <w:b/>
          <w:bCs/>
          <w:sz w:val="28"/>
          <w:szCs w:val="28"/>
        </w:rPr>
        <w:t xml:space="preserve">and vegetation composition </w:t>
      </w:r>
      <w:r w:rsidR="00936AEC" w:rsidRPr="00293CBE">
        <w:rPr>
          <w:rFonts w:cstheme="minorHAnsi"/>
          <w:b/>
          <w:bCs/>
          <w:sz w:val="28"/>
          <w:szCs w:val="28"/>
        </w:rPr>
        <w:t>after plantation</w:t>
      </w:r>
      <w:r w:rsidR="009F5477" w:rsidRPr="00293CBE">
        <w:rPr>
          <w:rFonts w:cstheme="minorHAnsi"/>
          <w:b/>
          <w:bCs/>
          <w:sz w:val="28"/>
          <w:szCs w:val="28"/>
        </w:rPr>
        <w:t xml:space="preserve"> removal on a </w:t>
      </w:r>
      <w:r w:rsidR="00B52D35" w:rsidRPr="00293CBE">
        <w:rPr>
          <w:rFonts w:cstheme="minorHAnsi"/>
          <w:b/>
          <w:bCs/>
          <w:sz w:val="28"/>
          <w:szCs w:val="28"/>
        </w:rPr>
        <w:t>former</w:t>
      </w:r>
      <w:r w:rsidR="00AD018A" w:rsidRPr="00293CBE">
        <w:rPr>
          <w:rFonts w:cstheme="minorHAnsi"/>
          <w:b/>
          <w:bCs/>
          <w:sz w:val="28"/>
          <w:szCs w:val="28"/>
        </w:rPr>
        <w:t xml:space="preserve"> </w:t>
      </w:r>
      <w:r w:rsidR="009F5477" w:rsidRPr="00293CBE">
        <w:rPr>
          <w:rFonts w:cstheme="minorHAnsi"/>
          <w:b/>
          <w:bCs/>
          <w:sz w:val="28"/>
          <w:szCs w:val="28"/>
        </w:rPr>
        <w:t xml:space="preserve">raised </w:t>
      </w:r>
      <w:r w:rsidR="00D925D8" w:rsidRPr="00293CBE">
        <w:rPr>
          <w:rFonts w:cstheme="minorHAnsi"/>
          <w:b/>
          <w:bCs/>
          <w:sz w:val="28"/>
          <w:szCs w:val="28"/>
        </w:rPr>
        <w:t>bog</w:t>
      </w:r>
      <w:r w:rsidR="00AD018A" w:rsidRPr="00293CBE">
        <w:rPr>
          <w:rFonts w:cstheme="minorHAnsi"/>
          <w:b/>
          <w:bCs/>
          <w:sz w:val="28"/>
          <w:szCs w:val="28"/>
        </w:rPr>
        <w:t xml:space="preserve"> </w:t>
      </w:r>
    </w:p>
    <w:p w14:paraId="05DAD9B8" w14:textId="5B1E88B0" w:rsidR="00E64DA9" w:rsidRPr="00293CBE" w:rsidRDefault="00386A0F" w:rsidP="00386A0F">
      <w:pPr>
        <w:spacing w:line="276" w:lineRule="auto"/>
        <w:jc w:val="both"/>
        <w:rPr>
          <w:rFonts w:cstheme="minorHAnsi"/>
          <w:vertAlign w:val="superscript"/>
        </w:rPr>
      </w:pPr>
      <w:r w:rsidRPr="00293CBE">
        <w:rPr>
          <w:rFonts w:cstheme="minorHAnsi"/>
          <w:lang w:val="en-US"/>
        </w:rPr>
        <w:t>Angela L. Creevy</w:t>
      </w:r>
      <w:r w:rsidRPr="00293CBE">
        <w:rPr>
          <w:rFonts w:cstheme="minorHAnsi"/>
          <w:vertAlign w:val="superscript"/>
          <w:lang w:val="en-US"/>
        </w:rPr>
        <w:t xml:space="preserve"> a</w:t>
      </w:r>
      <w:r w:rsidRPr="00293CBE">
        <w:rPr>
          <w:rFonts w:cstheme="minorHAnsi"/>
          <w:lang w:val="en-US"/>
        </w:rPr>
        <w:t>*, David M. Wilkinson</w:t>
      </w:r>
      <w:r w:rsidR="00B72E42" w:rsidRPr="00293CBE">
        <w:rPr>
          <w:rFonts w:cstheme="minorHAnsi"/>
          <w:lang w:val="en-US"/>
        </w:rPr>
        <w:t xml:space="preserve"> </w:t>
      </w:r>
      <w:r w:rsidR="00587247" w:rsidRPr="00293CBE">
        <w:rPr>
          <w:rFonts w:cstheme="minorHAnsi"/>
          <w:vertAlign w:val="superscript"/>
          <w:lang w:val="en-US"/>
        </w:rPr>
        <w:t>b</w:t>
      </w:r>
      <w:r w:rsidRPr="00293CBE">
        <w:rPr>
          <w:rFonts w:cstheme="minorHAnsi"/>
          <w:lang w:val="en-US"/>
        </w:rPr>
        <w:t>, Roxane Andersen</w:t>
      </w:r>
      <w:r w:rsidRPr="00293CBE">
        <w:rPr>
          <w:rFonts w:cstheme="minorHAnsi"/>
          <w:vertAlign w:val="superscript"/>
          <w:lang w:val="en-US"/>
        </w:rPr>
        <w:t xml:space="preserve"> </w:t>
      </w:r>
      <w:r w:rsidR="00587247" w:rsidRPr="00293CBE">
        <w:rPr>
          <w:rFonts w:cstheme="minorHAnsi"/>
          <w:vertAlign w:val="superscript"/>
          <w:lang w:val="en-US"/>
        </w:rPr>
        <w:t>c</w:t>
      </w:r>
      <w:r w:rsidRPr="00293CBE">
        <w:rPr>
          <w:rFonts w:cstheme="minorHAnsi"/>
          <w:lang w:val="en-US"/>
        </w:rPr>
        <w:t xml:space="preserve"> </w:t>
      </w:r>
      <w:r w:rsidRPr="00293CBE">
        <w:rPr>
          <w:rFonts w:cstheme="minorHAnsi"/>
        </w:rPr>
        <w:t>and Richard J. Payne</w:t>
      </w:r>
      <w:r w:rsidR="008502F5" w:rsidRPr="00293CBE">
        <w:rPr>
          <w:rFonts w:cstheme="minorHAnsi"/>
        </w:rPr>
        <w:t xml:space="preserve"> (deceased)</w:t>
      </w:r>
      <w:r w:rsidRPr="00293CBE">
        <w:rPr>
          <w:rFonts w:cstheme="minorHAnsi"/>
          <w:vertAlign w:val="superscript"/>
        </w:rPr>
        <w:t xml:space="preserve"> </w:t>
      </w:r>
      <w:r w:rsidR="00587247" w:rsidRPr="00293CBE">
        <w:rPr>
          <w:rFonts w:cstheme="minorHAnsi"/>
          <w:vertAlign w:val="superscript"/>
        </w:rPr>
        <w:t>de</w:t>
      </w:r>
    </w:p>
    <w:p w14:paraId="25C1BF54" w14:textId="6C17FA5D" w:rsidR="00E64DA9" w:rsidRPr="00293CBE" w:rsidRDefault="00E64DA9" w:rsidP="00386A0F">
      <w:pPr>
        <w:spacing w:line="276" w:lineRule="auto"/>
        <w:jc w:val="both"/>
        <w:rPr>
          <w:rFonts w:cstheme="minorHAnsi"/>
        </w:rPr>
      </w:pPr>
      <w:r w:rsidRPr="00293CBE">
        <w:rPr>
          <w:rFonts w:cstheme="minorHAnsi"/>
          <w:vertAlign w:val="superscript"/>
        </w:rPr>
        <w:t>a</w:t>
      </w:r>
      <w:r w:rsidRPr="00293CBE">
        <w:rPr>
          <w:rFonts w:cstheme="minorHAnsi"/>
        </w:rPr>
        <w:t xml:space="preserve"> Liverpool Hope University, Department of Geography and Environmental Science, Hope Park, Liverpool, L16 9JD, UK</w:t>
      </w:r>
    </w:p>
    <w:p w14:paraId="50104495" w14:textId="4CBF26CC" w:rsidR="00B72E42" w:rsidRPr="00293CBE" w:rsidRDefault="00587247" w:rsidP="00386A0F">
      <w:pPr>
        <w:spacing w:line="276" w:lineRule="auto"/>
        <w:jc w:val="both"/>
        <w:rPr>
          <w:rFonts w:cstheme="minorHAnsi"/>
          <w:b/>
        </w:rPr>
      </w:pPr>
      <w:r w:rsidRPr="00293CBE">
        <w:rPr>
          <w:rFonts w:cstheme="minorHAnsi"/>
          <w:vertAlign w:val="superscript"/>
        </w:rPr>
        <w:t>b</w:t>
      </w:r>
      <w:r w:rsidR="00B72E42" w:rsidRPr="00293CBE">
        <w:rPr>
          <w:rFonts w:cstheme="minorHAnsi"/>
        </w:rPr>
        <w:t xml:space="preserve"> School of Life </w:t>
      </w:r>
      <w:r w:rsidR="009649AF" w:rsidRPr="00293CBE">
        <w:rPr>
          <w:rFonts w:cstheme="minorHAnsi"/>
        </w:rPr>
        <w:t xml:space="preserve">and </w:t>
      </w:r>
      <w:r w:rsidR="001E27D8" w:rsidRPr="00293CBE">
        <w:rPr>
          <w:rFonts w:cstheme="minorHAnsi"/>
        </w:rPr>
        <w:t>Environmental Sciences</w:t>
      </w:r>
      <w:r w:rsidR="00B72E42" w:rsidRPr="00293CBE">
        <w:rPr>
          <w:rFonts w:cstheme="minorHAnsi"/>
        </w:rPr>
        <w:t>, University of Lincoln, Brayford Pool, Lincoln LN6 7NS, UK</w:t>
      </w:r>
    </w:p>
    <w:p w14:paraId="1C2A78B0" w14:textId="6CC16537" w:rsidR="00386A0F" w:rsidRPr="00293CBE" w:rsidRDefault="00587247" w:rsidP="00386A0F">
      <w:pPr>
        <w:spacing w:line="276" w:lineRule="auto"/>
        <w:jc w:val="both"/>
        <w:rPr>
          <w:rFonts w:cstheme="minorHAnsi"/>
          <w:b/>
        </w:rPr>
      </w:pPr>
      <w:r w:rsidRPr="00293CBE">
        <w:rPr>
          <w:rFonts w:cstheme="minorHAnsi"/>
          <w:vertAlign w:val="superscript"/>
        </w:rPr>
        <w:t xml:space="preserve">c </w:t>
      </w:r>
      <w:r w:rsidR="00386A0F" w:rsidRPr="00293CBE">
        <w:rPr>
          <w:rFonts w:cstheme="minorHAnsi"/>
        </w:rPr>
        <w:t>Environmental Research Institute, University of the Highlands and Islands, Castle Street, Thurso KW14 7JD, UK</w:t>
      </w:r>
    </w:p>
    <w:p w14:paraId="2464C9B0" w14:textId="1F0CB3F6" w:rsidR="00386A0F" w:rsidRPr="00293CBE" w:rsidRDefault="00587247" w:rsidP="00386A0F">
      <w:pPr>
        <w:spacing w:line="276" w:lineRule="auto"/>
        <w:jc w:val="both"/>
        <w:rPr>
          <w:rFonts w:cstheme="minorHAnsi"/>
          <w:color w:val="000000"/>
          <w:sz w:val="24"/>
          <w:szCs w:val="24"/>
        </w:rPr>
      </w:pPr>
      <w:r w:rsidRPr="00293CBE">
        <w:rPr>
          <w:rFonts w:cstheme="minorHAnsi"/>
          <w:vertAlign w:val="superscript"/>
        </w:rPr>
        <w:t>d</w:t>
      </w:r>
      <w:r w:rsidR="00386A0F" w:rsidRPr="00293CBE">
        <w:rPr>
          <w:rFonts w:cstheme="minorHAnsi"/>
          <w:vertAlign w:val="superscript"/>
        </w:rPr>
        <w:t xml:space="preserve"> </w:t>
      </w:r>
      <w:r w:rsidR="00386A0F" w:rsidRPr="00293CBE">
        <w:rPr>
          <w:rFonts w:cstheme="minorHAnsi"/>
        </w:rPr>
        <w:t>University of York, Environment Department, Heslington, York, YO10 5DD, UK</w:t>
      </w:r>
    </w:p>
    <w:p w14:paraId="499A1EEF" w14:textId="292C02EC" w:rsidR="00386A0F" w:rsidRPr="00293CBE" w:rsidRDefault="00587247" w:rsidP="00386A0F">
      <w:pPr>
        <w:spacing w:line="276" w:lineRule="auto"/>
        <w:jc w:val="both"/>
        <w:rPr>
          <w:rFonts w:cstheme="minorHAnsi"/>
          <w:b/>
        </w:rPr>
      </w:pPr>
      <w:r w:rsidRPr="00293CBE">
        <w:rPr>
          <w:rFonts w:cstheme="minorHAnsi"/>
          <w:vertAlign w:val="superscript"/>
        </w:rPr>
        <w:t>e</w:t>
      </w:r>
      <w:r w:rsidR="00386A0F" w:rsidRPr="00293CBE">
        <w:rPr>
          <w:rFonts w:cstheme="minorHAnsi"/>
          <w:color w:val="000000"/>
          <w:sz w:val="24"/>
          <w:szCs w:val="24"/>
        </w:rPr>
        <w:t xml:space="preserve"> </w:t>
      </w:r>
      <w:r w:rsidR="00386A0F" w:rsidRPr="00293CBE">
        <w:rPr>
          <w:rFonts w:cstheme="minorHAnsi"/>
          <w:color w:val="000000"/>
        </w:rPr>
        <w:t>Department of Zoology and Ecology, Penza State University, Krasnaya str. 40, 440026 Penza, Russia</w:t>
      </w:r>
    </w:p>
    <w:p w14:paraId="38A180EE" w14:textId="105920B0" w:rsidR="00386A0F" w:rsidRPr="00293CBE" w:rsidRDefault="00386A0F" w:rsidP="00386A0F">
      <w:pPr>
        <w:spacing w:line="276" w:lineRule="auto"/>
        <w:jc w:val="both"/>
        <w:rPr>
          <w:rFonts w:cstheme="minorHAnsi"/>
        </w:rPr>
      </w:pPr>
      <w:r w:rsidRPr="00293CBE">
        <w:rPr>
          <w:rFonts w:cstheme="minorHAnsi"/>
        </w:rPr>
        <w:t xml:space="preserve">*Corresponding author: </w:t>
      </w:r>
      <w:hyperlink r:id="rId6" w:history="1">
        <w:r w:rsidR="00E64DA9" w:rsidRPr="00293CBE">
          <w:rPr>
            <w:rStyle w:val="Hyperlink"/>
            <w:rFonts w:cstheme="minorHAnsi"/>
          </w:rPr>
          <w:t>creevya@hope.ac.uk</w:t>
        </w:r>
      </w:hyperlink>
    </w:p>
    <w:p w14:paraId="4E3B469E" w14:textId="20859266" w:rsidR="00807A73" w:rsidRPr="00293CBE" w:rsidRDefault="00807A73" w:rsidP="00386A0F">
      <w:pPr>
        <w:spacing w:line="276" w:lineRule="auto"/>
        <w:jc w:val="both"/>
        <w:rPr>
          <w:rFonts w:cstheme="minorHAnsi"/>
          <w:b/>
          <w:bCs/>
          <w:sz w:val="24"/>
          <w:szCs w:val="24"/>
        </w:rPr>
      </w:pPr>
      <w:r w:rsidRPr="00293CBE">
        <w:rPr>
          <w:rFonts w:cstheme="minorHAnsi"/>
          <w:b/>
          <w:bCs/>
          <w:sz w:val="24"/>
          <w:szCs w:val="24"/>
        </w:rPr>
        <w:t>Abstract</w:t>
      </w:r>
    </w:p>
    <w:p w14:paraId="22AB9573" w14:textId="11C1F248" w:rsidR="00891A82" w:rsidRPr="00293CBE" w:rsidRDefault="005B20DA" w:rsidP="001C1AC9">
      <w:pPr>
        <w:spacing w:line="276" w:lineRule="auto"/>
        <w:jc w:val="both"/>
        <w:rPr>
          <w:rFonts w:cstheme="minorHAnsi"/>
        </w:rPr>
      </w:pPr>
      <w:r w:rsidRPr="00293CBE">
        <w:rPr>
          <w:rFonts w:cstheme="minorHAnsi"/>
          <w:bCs/>
        </w:rPr>
        <w:t xml:space="preserve">Extensive drainage of peatlands in north-west Europe for afforestation for timber </w:t>
      </w:r>
      <w:r w:rsidR="001C1AC9" w:rsidRPr="00293CBE">
        <w:rPr>
          <w:rFonts w:cstheme="minorHAnsi"/>
          <w:bCs/>
        </w:rPr>
        <w:t xml:space="preserve">production and </w:t>
      </w:r>
      <w:r w:rsidRPr="00293CBE">
        <w:rPr>
          <w:rFonts w:cstheme="minorHAnsi"/>
          <w:bCs/>
        </w:rPr>
        <w:t xml:space="preserve">harvesting has altered the carbon balance and biodiversity value. Large-scale restoration projects aim to reinstate hydrological conditions </w:t>
      </w:r>
      <w:r w:rsidR="00034B8F" w:rsidRPr="00293CBE">
        <w:rPr>
          <w:rFonts w:cstheme="minorHAnsi"/>
          <w:bCs/>
        </w:rPr>
        <w:t xml:space="preserve">to </w:t>
      </w:r>
      <w:r w:rsidRPr="00293CBE">
        <w:rPr>
          <w:rFonts w:cstheme="minorHAnsi"/>
        </w:rPr>
        <w:t xml:space="preserve">keep </w:t>
      </w:r>
      <w:r w:rsidR="001C1AC9" w:rsidRPr="00293CBE">
        <w:rPr>
          <w:rFonts w:cstheme="minorHAnsi"/>
        </w:rPr>
        <w:t>carbon</w:t>
      </w:r>
      <w:r w:rsidRPr="00293CBE">
        <w:rPr>
          <w:rFonts w:cstheme="minorHAnsi"/>
        </w:rPr>
        <w:t xml:space="preserve"> locked up in the peat and to restart active peat growth</w:t>
      </w:r>
      <w:r w:rsidR="00034B8F" w:rsidRPr="00293CBE">
        <w:rPr>
          <w:rFonts w:cstheme="minorHAnsi"/>
        </w:rPr>
        <w:t xml:space="preserve">. Testate amoebae are an informal grouping of well-studied protists in peatland environments and as microbial consumers play an important role in nutrient and carbon cycling. Using a space for time </w:t>
      </w:r>
      <w:r w:rsidR="00276A46" w:rsidRPr="00293CBE">
        <w:rPr>
          <w:rFonts w:cstheme="minorHAnsi"/>
        </w:rPr>
        <w:t>substitution</w:t>
      </w:r>
      <w:r w:rsidR="00034B8F" w:rsidRPr="00293CBE">
        <w:rPr>
          <w:rFonts w:cstheme="minorHAnsi"/>
        </w:rPr>
        <w:t xml:space="preserve"> approach, this study investigated the response of </w:t>
      </w:r>
      <w:r w:rsidR="002B6A8D">
        <w:rPr>
          <w:rFonts w:cstheme="minorHAnsi"/>
        </w:rPr>
        <w:t>t</w:t>
      </w:r>
      <w:r w:rsidR="00034B8F" w:rsidRPr="00293CBE">
        <w:rPr>
          <w:rFonts w:cstheme="minorHAnsi"/>
        </w:rPr>
        <w:t>estate amoeba</w:t>
      </w:r>
      <w:r w:rsidR="002B6A8D">
        <w:rPr>
          <w:rFonts w:cstheme="minorHAnsi"/>
        </w:rPr>
        <w:t>e</w:t>
      </w:r>
      <w:r w:rsidR="00034B8F" w:rsidRPr="00293CBE">
        <w:rPr>
          <w:rFonts w:cstheme="minorHAnsi"/>
        </w:rPr>
        <w:t xml:space="preserve"> </w:t>
      </w:r>
      <w:r w:rsidR="002F2450">
        <w:rPr>
          <w:rFonts w:cstheme="minorHAnsi"/>
        </w:rPr>
        <w:t xml:space="preserve">assemblages </w:t>
      </w:r>
      <w:r w:rsidR="004C32CC" w:rsidRPr="00293CBE">
        <w:rPr>
          <w:rFonts w:cstheme="minorHAnsi"/>
        </w:rPr>
        <w:t xml:space="preserve">and vegetation composition </w:t>
      </w:r>
      <w:r w:rsidR="00034B8F" w:rsidRPr="00293CBE">
        <w:rPr>
          <w:rFonts w:cstheme="minorHAnsi"/>
        </w:rPr>
        <w:t xml:space="preserve">after tree removal on a drained raised </w:t>
      </w:r>
      <w:r w:rsidR="00276A46" w:rsidRPr="00293CBE">
        <w:rPr>
          <w:rFonts w:cstheme="minorHAnsi"/>
        </w:rPr>
        <w:t>bog</w:t>
      </w:r>
      <w:r w:rsidR="00034B8F" w:rsidRPr="00293CBE">
        <w:rPr>
          <w:rFonts w:cstheme="minorHAnsi"/>
        </w:rPr>
        <w:t xml:space="preserve">. </w:t>
      </w:r>
      <w:r w:rsidR="004C32CC" w:rsidRPr="00293CBE">
        <w:rPr>
          <w:rFonts w:cstheme="minorHAnsi"/>
        </w:rPr>
        <w:t xml:space="preserve">There was a clear difference in microbial </w:t>
      </w:r>
      <w:r w:rsidR="002F2450">
        <w:rPr>
          <w:rFonts w:cstheme="minorHAnsi"/>
        </w:rPr>
        <w:t xml:space="preserve">assemblages </w:t>
      </w:r>
      <w:r w:rsidR="004C32CC" w:rsidRPr="00293CBE">
        <w:rPr>
          <w:rFonts w:cstheme="minorHAnsi"/>
        </w:rPr>
        <w:t xml:space="preserve">between open and a </w:t>
      </w:r>
      <w:r w:rsidR="00936AEC" w:rsidRPr="00293CBE">
        <w:rPr>
          <w:rFonts w:cstheme="minorHAnsi"/>
        </w:rPr>
        <w:t>chronosequence</w:t>
      </w:r>
      <w:r w:rsidR="00452296" w:rsidRPr="00293CBE">
        <w:rPr>
          <w:rFonts w:cstheme="minorHAnsi"/>
          <w:color w:val="202124"/>
          <w:shd w:val="clear" w:color="auto" w:fill="FFFFFF"/>
        </w:rPr>
        <w:t> </w:t>
      </w:r>
      <w:r w:rsidR="004C32CC" w:rsidRPr="00293CBE">
        <w:rPr>
          <w:rFonts w:cstheme="minorHAnsi"/>
        </w:rPr>
        <w:t xml:space="preserve">of restoration areas. Results suggest </w:t>
      </w:r>
      <w:r w:rsidR="00587247" w:rsidRPr="00293CBE">
        <w:rPr>
          <w:rFonts w:cstheme="minorHAnsi"/>
        </w:rPr>
        <w:t>microbial</w:t>
      </w:r>
      <w:r w:rsidR="004C32CC" w:rsidRPr="00293CBE">
        <w:rPr>
          <w:rFonts w:cstheme="minorHAnsi"/>
        </w:rPr>
        <w:t xml:space="preserve"> recovery after rewetting is a slow process with plant </w:t>
      </w:r>
      <w:r w:rsidR="008B0920">
        <w:rPr>
          <w:rFonts w:cstheme="minorHAnsi"/>
        </w:rPr>
        <w:t>composition</w:t>
      </w:r>
      <w:r w:rsidR="004C32CC" w:rsidRPr="00293CBE">
        <w:rPr>
          <w:rFonts w:cstheme="minorHAnsi"/>
        </w:rPr>
        <w:t xml:space="preserve"> showing a faster response than the microbial </w:t>
      </w:r>
      <w:r w:rsidR="008B0920">
        <w:rPr>
          <w:rFonts w:cstheme="minorHAnsi"/>
        </w:rPr>
        <w:t>assemblage</w:t>
      </w:r>
      <w:r w:rsidR="004C32CC" w:rsidRPr="00293CBE">
        <w:rPr>
          <w:rFonts w:cstheme="minorHAnsi"/>
        </w:rPr>
        <w:t>. Mixotrophic testate amoeba</w:t>
      </w:r>
      <w:r w:rsidR="00587247" w:rsidRPr="00293CBE">
        <w:rPr>
          <w:rFonts w:cstheme="minorHAnsi"/>
        </w:rPr>
        <w:t xml:space="preserve">e </w:t>
      </w:r>
      <w:r w:rsidR="004C32CC" w:rsidRPr="00293CBE">
        <w:rPr>
          <w:rFonts w:cstheme="minorHAnsi"/>
        </w:rPr>
        <w:t xml:space="preserve">had not recovered seventeen years following plantation removal and the establishment of </w:t>
      </w:r>
      <w:r w:rsidR="004C32CC" w:rsidRPr="00293CBE">
        <w:rPr>
          <w:rFonts w:cstheme="minorHAnsi"/>
          <w:i/>
        </w:rPr>
        <w:t>Sphagnum</w:t>
      </w:r>
      <w:r w:rsidR="004C32CC" w:rsidRPr="00293CBE">
        <w:rPr>
          <w:rFonts w:cstheme="minorHAnsi"/>
        </w:rPr>
        <w:t xml:space="preserve"> </w:t>
      </w:r>
      <w:r w:rsidR="001C1AC9" w:rsidRPr="00293CBE">
        <w:rPr>
          <w:rFonts w:cstheme="minorHAnsi"/>
        </w:rPr>
        <w:t xml:space="preserve">mosses </w:t>
      </w:r>
      <w:r w:rsidR="004C32CC" w:rsidRPr="00293CBE">
        <w:rPr>
          <w:rFonts w:cstheme="minorHAnsi"/>
        </w:rPr>
        <w:t xml:space="preserve">in the wetter microforms. </w:t>
      </w:r>
      <w:r w:rsidR="004C32CC" w:rsidRPr="00293CBE">
        <w:rPr>
          <w:rFonts w:eastAsia="Times New Roman" w:cstheme="minorHAnsi"/>
          <w:lang w:eastAsia="en-GB"/>
        </w:rPr>
        <w:t xml:space="preserve">These results suggest that vegetation composition and </w:t>
      </w:r>
      <w:r w:rsidR="00587247" w:rsidRPr="00293CBE">
        <w:rPr>
          <w:rFonts w:eastAsia="Times New Roman" w:cstheme="minorHAnsi"/>
          <w:lang w:eastAsia="en-GB"/>
        </w:rPr>
        <w:t>Testate amoeba</w:t>
      </w:r>
      <w:r w:rsidR="004C32CC" w:rsidRPr="00293CBE">
        <w:rPr>
          <w:rFonts w:eastAsia="Times New Roman" w:cstheme="minorHAnsi"/>
          <w:lang w:eastAsia="en-GB"/>
        </w:rPr>
        <w:t xml:space="preserve"> </w:t>
      </w:r>
      <w:r w:rsidR="002F2450">
        <w:rPr>
          <w:rFonts w:eastAsia="Times New Roman" w:cstheme="minorHAnsi"/>
          <w:lang w:eastAsia="en-GB"/>
        </w:rPr>
        <w:t xml:space="preserve">assemblages </w:t>
      </w:r>
      <w:r w:rsidR="004C32CC" w:rsidRPr="00293CBE">
        <w:rPr>
          <w:rFonts w:eastAsia="Times New Roman" w:cstheme="minorHAnsi"/>
          <w:lang w:eastAsia="en-GB"/>
        </w:rPr>
        <w:t>respond differently</w:t>
      </w:r>
      <w:r w:rsidR="004C32CC" w:rsidRPr="00293CBE">
        <w:rPr>
          <w:rFonts w:cstheme="minorHAnsi"/>
        </w:rPr>
        <w:t xml:space="preserve"> to environmental drivers at forest-to-bog restoration areas. </w:t>
      </w:r>
      <w:r w:rsidR="00587247" w:rsidRPr="00293CBE">
        <w:rPr>
          <w:rFonts w:cstheme="minorHAnsi"/>
        </w:rPr>
        <w:t>Local p</w:t>
      </w:r>
      <w:r w:rsidR="004C32CC" w:rsidRPr="00293CBE">
        <w:rPr>
          <w:rFonts w:cstheme="minorHAnsi"/>
        </w:rPr>
        <w:t xml:space="preserve">hysicochemical peat properties were a stronger driver of the testate </w:t>
      </w:r>
      <w:r w:rsidR="008B0920">
        <w:rPr>
          <w:rFonts w:cstheme="minorHAnsi"/>
        </w:rPr>
        <w:t>assemblage</w:t>
      </w:r>
      <w:r w:rsidR="004C32CC" w:rsidRPr="00293CBE">
        <w:rPr>
          <w:rFonts w:cstheme="minorHAnsi"/>
        </w:rPr>
        <w:t xml:space="preserve"> </w:t>
      </w:r>
      <w:r w:rsidR="00587247" w:rsidRPr="00293CBE">
        <w:rPr>
          <w:rFonts w:cstheme="minorHAnsi"/>
        </w:rPr>
        <w:t>compared with vegetation. C</w:t>
      </w:r>
      <w:r w:rsidR="004C32CC" w:rsidRPr="00293CBE">
        <w:rPr>
          <w:rFonts w:cstheme="minorHAnsi"/>
        </w:rPr>
        <w:t xml:space="preserve">omplete recovery of microbial </w:t>
      </w:r>
      <w:r w:rsidR="008B0920">
        <w:rPr>
          <w:rFonts w:cstheme="minorHAnsi"/>
        </w:rPr>
        <w:t>assemblages</w:t>
      </w:r>
      <w:r w:rsidR="004C32CC" w:rsidRPr="00293CBE">
        <w:rPr>
          <w:rFonts w:cstheme="minorHAnsi"/>
        </w:rPr>
        <w:t xml:space="preserve"> may take place over decadal timescales. </w:t>
      </w:r>
    </w:p>
    <w:p w14:paraId="7A59BA8E" w14:textId="5F77A8A9" w:rsidR="00891A82" w:rsidRPr="00293CBE" w:rsidRDefault="00891A82" w:rsidP="001C1AC9">
      <w:pPr>
        <w:spacing w:line="276" w:lineRule="auto"/>
        <w:jc w:val="both"/>
        <w:rPr>
          <w:rFonts w:cstheme="minorHAnsi"/>
          <w:bCs/>
        </w:rPr>
      </w:pPr>
      <w:r w:rsidRPr="00293CBE">
        <w:rPr>
          <w:rFonts w:cstheme="minorHAnsi"/>
          <w:b/>
          <w:bCs/>
        </w:rPr>
        <w:t>Keywords:</w:t>
      </w:r>
      <w:r w:rsidRPr="00293CBE">
        <w:rPr>
          <w:rFonts w:cstheme="minorHAnsi"/>
          <w:bCs/>
        </w:rPr>
        <w:t xml:space="preserve"> Peatland, Raised Bog, Restoration, Testate amoebae, Vegetation</w:t>
      </w:r>
      <w:r w:rsidR="00F06E74">
        <w:rPr>
          <w:rFonts w:cstheme="minorHAnsi"/>
          <w:bCs/>
        </w:rPr>
        <w:t>, Mixotroph</w:t>
      </w:r>
    </w:p>
    <w:p w14:paraId="4494C055" w14:textId="77777777" w:rsidR="00017930" w:rsidRPr="00293CBE" w:rsidRDefault="00017930" w:rsidP="00017930">
      <w:pPr>
        <w:spacing w:line="276" w:lineRule="auto"/>
        <w:rPr>
          <w:rFonts w:cstheme="minorHAnsi"/>
          <w:b/>
          <w:bCs/>
          <w:sz w:val="24"/>
          <w:szCs w:val="24"/>
        </w:rPr>
      </w:pPr>
      <w:r w:rsidRPr="00293CBE">
        <w:rPr>
          <w:rFonts w:cstheme="minorHAnsi"/>
          <w:b/>
          <w:bCs/>
          <w:sz w:val="24"/>
          <w:szCs w:val="24"/>
        </w:rPr>
        <w:t>Acknowledgements</w:t>
      </w:r>
    </w:p>
    <w:p w14:paraId="19A3566C" w14:textId="54140075" w:rsidR="00017930" w:rsidRPr="00293CBE" w:rsidRDefault="00017930" w:rsidP="00017930">
      <w:pPr>
        <w:rPr>
          <w:rFonts w:cstheme="minorHAnsi"/>
        </w:rPr>
      </w:pPr>
      <w:r w:rsidRPr="00293CBE">
        <w:rPr>
          <w:rFonts w:cstheme="minorHAnsi"/>
        </w:rPr>
        <w:t>We greatly appreciate Dr Joan Daniels M.B.E. and Peter Bowyer from Natural England also Mr. Edward Wardle for providing access to the study areas and for sharing local knowledge of the study site. Thank you to Dr Anne Oxbrough at Edge Hill University for providing helpful comments on the draft manuscript</w:t>
      </w:r>
      <w:r w:rsidR="003015BB">
        <w:rPr>
          <w:rFonts w:cstheme="minorHAnsi"/>
        </w:rPr>
        <w:t xml:space="preserve"> and Chris Marsden for help with satellite imagery</w:t>
      </w:r>
      <w:r w:rsidRPr="00293CBE">
        <w:rPr>
          <w:rFonts w:cstheme="minorHAnsi"/>
        </w:rPr>
        <w:t xml:space="preserve">. </w:t>
      </w:r>
      <w:bookmarkStart w:id="0" w:name="_Hlk130734252"/>
      <w:r w:rsidRPr="00293CBE">
        <w:rPr>
          <w:rFonts w:cstheme="minorHAnsi"/>
          <w:bCs/>
        </w:rPr>
        <w:t xml:space="preserve">This work was funded by a Graduate Teaching/PhD Scholarship </w:t>
      </w:r>
      <w:r w:rsidR="001778F8">
        <w:rPr>
          <w:rFonts w:cstheme="minorHAnsi"/>
          <w:bCs/>
        </w:rPr>
        <w:t xml:space="preserve">to A.L.C from </w:t>
      </w:r>
      <w:r w:rsidRPr="00293CBE">
        <w:rPr>
          <w:rFonts w:cstheme="minorHAnsi"/>
          <w:bCs/>
        </w:rPr>
        <w:t xml:space="preserve">Edge Hill University, UK. </w:t>
      </w:r>
      <w:bookmarkEnd w:id="0"/>
      <w:r w:rsidRPr="00293CBE">
        <w:rPr>
          <w:rFonts w:cstheme="minorHAnsi"/>
          <w:bCs/>
        </w:rPr>
        <w:t xml:space="preserve">This paper is dedicated to the memory of our co-author the late Dr Richard Payne. </w:t>
      </w:r>
    </w:p>
    <w:p w14:paraId="6894732F" w14:textId="2213B0F0" w:rsidR="00891A82" w:rsidRPr="00293CBE" w:rsidRDefault="00891A82" w:rsidP="001C1AC9">
      <w:pPr>
        <w:spacing w:line="276" w:lineRule="auto"/>
        <w:jc w:val="both"/>
        <w:rPr>
          <w:rFonts w:cstheme="minorHAnsi"/>
          <w:bCs/>
        </w:rPr>
      </w:pPr>
    </w:p>
    <w:p w14:paraId="68779903" w14:textId="4F360046" w:rsidR="00891A82" w:rsidRPr="00293CBE" w:rsidRDefault="00891A82" w:rsidP="001C1AC9">
      <w:pPr>
        <w:spacing w:line="276" w:lineRule="auto"/>
        <w:jc w:val="both"/>
        <w:rPr>
          <w:rFonts w:cstheme="minorHAnsi"/>
          <w:bCs/>
        </w:rPr>
      </w:pPr>
    </w:p>
    <w:p w14:paraId="65B564C1" w14:textId="7AE72C75" w:rsidR="00891A82" w:rsidRPr="00293CBE" w:rsidRDefault="00891A82" w:rsidP="001C1AC9">
      <w:pPr>
        <w:spacing w:line="276" w:lineRule="auto"/>
        <w:jc w:val="both"/>
        <w:rPr>
          <w:rFonts w:cstheme="minorHAnsi"/>
          <w:bCs/>
        </w:rPr>
      </w:pPr>
    </w:p>
    <w:p w14:paraId="4DBDD2B1" w14:textId="300C4713" w:rsidR="00655AED" w:rsidRPr="00293CBE" w:rsidRDefault="00655AED">
      <w:pPr>
        <w:rPr>
          <w:rFonts w:cstheme="minorHAnsi"/>
          <w:b/>
          <w:bCs/>
          <w:sz w:val="24"/>
          <w:szCs w:val="24"/>
        </w:rPr>
      </w:pPr>
      <w:r w:rsidRPr="00293CBE">
        <w:rPr>
          <w:rFonts w:cstheme="minorHAnsi"/>
          <w:b/>
          <w:bCs/>
          <w:sz w:val="24"/>
          <w:szCs w:val="24"/>
        </w:rPr>
        <w:t>Introduction</w:t>
      </w:r>
    </w:p>
    <w:p w14:paraId="00CBD207" w14:textId="0973FAE3" w:rsidR="00F3552D" w:rsidRPr="00293CBE" w:rsidRDefault="00FA6473" w:rsidP="00655AED">
      <w:pPr>
        <w:spacing w:line="276" w:lineRule="auto"/>
        <w:rPr>
          <w:rFonts w:cstheme="minorHAnsi"/>
        </w:rPr>
      </w:pPr>
      <w:r w:rsidRPr="00293CBE">
        <w:rPr>
          <w:rFonts w:cstheme="minorHAnsi"/>
        </w:rPr>
        <w:t>Northern peatlands have accumulated a large</w:t>
      </w:r>
      <w:r w:rsidR="00577019" w:rsidRPr="00293CBE">
        <w:rPr>
          <w:rFonts w:cstheme="minorHAnsi"/>
        </w:rPr>
        <w:t xml:space="preserve"> soil carbon (C) pool over the Holocene (Yu et al., 2010; Davies et al., 2022) </w:t>
      </w:r>
      <w:r w:rsidR="00777158" w:rsidRPr="00293CBE">
        <w:rPr>
          <w:rFonts w:cstheme="minorHAnsi"/>
        </w:rPr>
        <w:t xml:space="preserve">with a </w:t>
      </w:r>
      <w:r w:rsidR="00577019" w:rsidRPr="00293CBE">
        <w:rPr>
          <w:rFonts w:cstheme="minorHAnsi"/>
        </w:rPr>
        <w:t xml:space="preserve">cooling </w:t>
      </w:r>
      <w:r w:rsidR="00777158" w:rsidRPr="00293CBE">
        <w:rPr>
          <w:rFonts w:cstheme="minorHAnsi"/>
        </w:rPr>
        <w:t xml:space="preserve">influence on </w:t>
      </w:r>
      <w:r w:rsidR="00577019" w:rsidRPr="00293CBE">
        <w:rPr>
          <w:rFonts w:cstheme="minorHAnsi"/>
        </w:rPr>
        <w:t xml:space="preserve">earth’s climate (Frolking and Roulet, 2007). They </w:t>
      </w:r>
      <w:r w:rsidRPr="00293CBE">
        <w:rPr>
          <w:rFonts w:cstheme="minorHAnsi"/>
        </w:rPr>
        <w:t>are estimated to cover 3.7 ± 0.5 million km</w:t>
      </w:r>
      <w:r w:rsidRPr="00293CBE">
        <w:rPr>
          <w:rFonts w:cstheme="minorHAnsi"/>
          <w:vertAlign w:val="superscript"/>
        </w:rPr>
        <w:t>2</w:t>
      </w:r>
      <w:r w:rsidRPr="00293CBE">
        <w:rPr>
          <w:rFonts w:cstheme="minorHAnsi"/>
        </w:rPr>
        <w:t xml:space="preserve"> and store 415 </w:t>
      </w:r>
      <w:r w:rsidR="00577019" w:rsidRPr="00293CBE">
        <w:rPr>
          <w:rFonts w:cstheme="minorHAnsi"/>
        </w:rPr>
        <w:t xml:space="preserve">± </w:t>
      </w:r>
      <w:r w:rsidRPr="00293CBE">
        <w:rPr>
          <w:rFonts w:cstheme="minorHAnsi"/>
        </w:rPr>
        <w:t>150</w:t>
      </w:r>
      <w:r w:rsidR="00577019" w:rsidRPr="00293CBE">
        <w:rPr>
          <w:rFonts w:cstheme="minorHAnsi"/>
        </w:rPr>
        <w:t xml:space="preserve"> Pg C (</w:t>
      </w:r>
      <w:bookmarkStart w:id="1" w:name="_Hlk122092942"/>
      <w:r w:rsidR="00577019" w:rsidRPr="00293CBE">
        <w:rPr>
          <w:rFonts w:cstheme="minorHAnsi"/>
        </w:rPr>
        <w:t>Hugelius et al., 2019</w:t>
      </w:r>
      <w:bookmarkEnd w:id="1"/>
      <w:r w:rsidR="00577019" w:rsidRPr="00293CBE">
        <w:rPr>
          <w:rFonts w:cstheme="minorHAnsi"/>
        </w:rPr>
        <w:t>)</w:t>
      </w:r>
      <w:r w:rsidRPr="00293CBE">
        <w:rPr>
          <w:rFonts w:cstheme="minorHAnsi"/>
        </w:rPr>
        <w:t xml:space="preserve">.  </w:t>
      </w:r>
      <w:r w:rsidR="002F3A72" w:rsidRPr="00293CBE">
        <w:rPr>
          <w:rFonts w:cstheme="minorHAnsi"/>
        </w:rPr>
        <w:t>This century</w:t>
      </w:r>
      <w:r w:rsidR="00577019" w:rsidRPr="00293CBE">
        <w:rPr>
          <w:rFonts w:cstheme="minorHAnsi"/>
        </w:rPr>
        <w:t xml:space="preserve"> however</w:t>
      </w:r>
      <w:r w:rsidR="002F3A72" w:rsidRPr="00293CBE">
        <w:rPr>
          <w:rFonts w:cstheme="minorHAnsi"/>
        </w:rPr>
        <w:t xml:space="preserve">, peatlands </w:t>
      </w:r>
      <w:r w:rsidR="00881D25" w:rsidRPr="00293CBE">
        <w:rPr>
          <w:rFonts w:cstheme="minorHAnsi"/>
        </w:rPr>
        <w:t>may</w:t>
      </w:r>
      <w:r w:rsidR="002F3A72" w:rsidRPr="00293CBE">
        <w:rPr>
          <w:rFonts w:cstheme="minorHAnsi"/>
        </w:rPr>
        <w:t xml:space="preserve"> shift from a carbon </w:t>
      </w:r>
      <w:r w:rsidR="00577019" w:rsidRPr="00293CBE">
        <w:rPr>
          <w:rFonts w:cstheme="minorHAnsi"/>
        </w:rPr>
        <w:t>C</w:t>
      </w:r>
      <w:r w:rsidR="002F3A72" w:rsidRPr="00293CBE">
        <w:rPr>
          <w:rFonts w:cstheme="minorHAnsi"/>
        </w:rPr>
        <w:t xml:space="preserve"> sink to a </w:t>
      </w:r>
      <w:r w:rsidR="00E64DA9" w:rsidRPr="00293CBE">
        <w:rPr>
          <w:rFonts w:cstheme="minorHAnsi"/>
        </w:rPr>
        <w:t>C</w:t>
      </w:r>
      <w:r w:rsidR="002F3A72" w:rsidRPr="00293CBE">
        <w:rPr>
          <w:rFonts w:cstheme="minorHAnsi"/>
        </w:rPr>
        <w:t xml:space="preserve"> source (</w:t>
      </w:r>
      <w:bookmarkStart w:id="2" w:name="_Hlk122092955"/>
      <w:r w:rsidR="00215ACC" w:rsidRPr="00293CBE">
        <w:rPr>
          <w:rFonts w:cstheme="minorHAnsi"/>
        </w:rPr>
        <w:t>Loisel</w:t>
      </w:r>
      <w:r w:rsidR="002F3A72" w:rsidRPr="00293CBE">
        <w:rPr>
          <w:rFonts w:cstheme="minorHAnsi"/>
        </w:rPr>
        <w:t xml:space="preserve"> et al., 202</w:t>
      </w:r>
      <w:r w:rsidR="00215ACC" w:rsidRPr="00293CBE">
        <w:rPr>
          <w:rFonts w:cstheme="minorHAnsi"/>
        </w:rPr>
        <w:t>1</w:t>
      </w:r>
      <w:bookmarkEnd w:id="2"/>
      <w:r w:rsidR="002F3A72" w:rsidRPr="00293CBE">
        <w:rPr>
          <w:rFonts w:cstheme="minorHAnsi"/>
        </w:rPr>
        <w:t xml:space="preserve">). </w:t>
      </w:r>
      <w:r w:rsidR="007A19D6" w:rsidRPr="00293CBE">
        <w:rPr>
          <w:rFonts w:cstheme="minorHAnsi"/>
        </w:rPr>
        <w:t>T</w:t>
      </w:r>
      <w:r w:rsidR="00474476" w:rsidRPr="00293CBE">
        <w:rPr>
          <w:rFonts w:cstheme="minorHAnsi"/>
        </w:rPr>
        <w:t xml:space="preserve">he </w:t>
      </w:r>
      <w:r w:rsidR="00881D25" w:rsidRPr="00293CBE">
        <w:rPr>
          <w:rFonts w:cstheme="minorHAnsi"/>
        </w:rPr>
        <w:t xml:space="preserve">fate of the </w:t>
      </w:r>
      <w:r w:rsidR="00474476" w:rsidRPr="00293CBE">
        <w:rPr>
          <w:rFonts w:cstheme="minorHAnsi"/>
        </w:rPr>
        <w:t xml:space="preserve">C sink potential depends on the balance between C uptake by plants and </w:t>
      </w:r>
      <w:r w:rsidR="00577019" w:rsidRPr="00293CBE">
        <w:rPr>
          <w:rFonts w:cstheme="minorHAnsi"/>
        </w:rPr>
        <w:t xml:space="preserve">C release through </w:t>
      </w:r>
      <w:r w:rsidR="00474476" w:rsidRPr="00293CBE">
        <w:rPr>
          <w:rFonts w:cstheme="minorHAnsi"/>
        </w:rPr>
        <w:t xml:space="preserve">microbial decomposition </w:t>
      </w:r>
      <w:r w:rsidR="00655AED" w:rsidRPr="00293CBE">
        <w:rPr>
          <w:rFonts w:cstheme="minorHAnsi"/>
        </w:rPr>
        <w:t>(</w:t>
      </w:r>
      <w:bookmarkStart w:id="3" w:name="_Hlk122092972"/>
      <w:r w:rsidR="00881D25" w:rsidRPr="00293CBE">
        <w:rPr>
          <w:rFonts w:cstheme="minorHAnsi"/>
        </w:rPr>
        <w:t xml:space="preserve">Clymo 1978; </w:t>
      </w:r>
      <w:r w:rsidR="00474476" w:rsidRPr="00293CBE">
        <w:rPr>
          <w:rFonts w:cstheme="minorHAnsi"/>
        </w:rPr>
        <w:t>Gallego-Sala et al., 2018</w:t>
      </w:r>
      <w:bookmarkEnd w:id="3"/>
      <w:r w:rsidR="00655AED" w:rsidRPr="00293CBE">
        <w:rPr>
          <w:rFonts w:cstheme="minorHAnsi"/>
        </w:rPr>
        <w:t xml:space="preserve">). </w:t>
      </w:r>
      <w:r w:rsidR="00881D25" w:rsidRPr="00293CBE">
        <w:rPr>
          <w:rFonts w:cstheme="minorHAnsi"/>
        </w:rPr>
        <w:t>It has recently been shown that plant composition is an important factor controlling C emissions from peatlands undergoing restoration management (</w:t>
      </w:r>
      <w:bookmarkStart w:id="4" w:name="_Hlk122092993"/>
      <w:r w:rsidR="00881D25" w:rsidRPr="00293CBE">
        <w:rPr>
          <w:rFonts w:cstheme="minorHAnsi"/>
        </w:rPr>
        <w:t>Creevy et al., 2020</w:t>
      </w:r>
      <w:bookmarkEnd w:id="4"/>
      <w:r w:rsidR="00881D25" w:rsidRPr="00293CBE">
        <w:rPr>
          <w:rFonts w:cstheme="minorHAnsi"/>
        </w:rPr>
        <w:t xml:space="preserve">). </w:t>
      </w:r>
    </w:p>
    <w:p w14:paraId="620F6DC8" w14:textId="6B891FE9" w:rsidR="00655AED" w:rsidRPr="00293CBE" w:rsidRDefault="00B841AE" w:rsidP="00655AED">
      <w:pPr>
        <w:spacing w:line="276" w:lineRule="auto"/>
        <w:rPr>
          <w:rFonts w:cstheme="minorHAnsi"/>
        </w:rPr>
      </w:pPr>
      <w:r w:rsidRPr="00293CBE">
        <w:rPr>
          <w:rFonts w:cstheme="minorHAnsi"/>
        </w:rPr>
        <w:t xml:space="preserve">Climate change and large-scale rapid land use change of peatlands </w:t>
      </w:r>
      <w:r w:rsidR="00262D9F" w:rsidRPr="00293CBE">
        <w:rPr>
          <w:rFonts w:cstheme="minorHAnsi"/>
        </w:rPr>
        <w:t xml:space="preserve">create </w:t>
      </w:r>
      <w:r w:rsidRPr="00293CBE">
        <w:rPr>
          <w:rFonts w:cstheme="minorHAnsi"/>
        </w:rPr>
        <w:t xml:space="preserve">uncertainty </w:t>
      </w:r>
      <w:r w:rsidR="00262D9F" w:rsidRPr="00293CBE">
        <w:rPr>
          <w:rFonts w:cstheme="minorHAnsi"/>
        </w:rPr>
        <w:t>for</w:t>
      </w:r>
      <w:r w:rsidRPr="00293CBE">
        <w:rPr>
          <w:rFonts w:cstheme="minorHAnsi"/>
        </w:rPr>
        <w:t xml:space="preserve"> the future</w:t>
      </w:r>
      <w:r w:rsidR="00655AED" w:rsidRPr="00293CBE">
        <w:rPr>
          <w:rFonts w:cstheme="minorHAnsi"/>
        </w:rPr>
        <w:t xml:space="preserve"> fate of </w:t>
      </w:r>
      <w:r w:rsidR="007F2011" w:rsidRPr="00293CBE">
        <w:rPr>
          <w:rFonts w:cstheme="minorHAnsi"/>
        </w:rPr>
        <w:t>the</w:t>
      </w:r>
      <w:r w:rsidR="00655AED" w:rsidRPr="00293CBE">
        <w:rPr>
          <w:rFonts w:cstheme="minorHAnsi"/>
        </w:rPr>
        <w:t xml:space="preserve"> terrestrial C store</w:t>
      </w:r>
      <w:r w:rsidRPr="00293CBE">
        <w:rPr>
          <w:rFonts w:cstheme="minorHAnsi"/>
        </w:rPr>
        <w:t xml:space="preserve"> </w:t>
      </w:r>
      <w:r w:rsidR="00655AED" w:rsidRPr="00293CBE">
        <w:rPr>
          <w:rFonts w:cstheme="minorHAnsi"/>
        </w:rPr>
        <w:t>(</w:t>
      </w:r>
      <w:bookmarkStart w:id="5" w:name="_Hlk122093010"/>
      <w:r w:rsidR="00655AED" w:rsidRPr="00293CBE">
        <w:rPr>
          <w:rFonts w:cstheme="minorHAnsi"/>
        </w:rPr>
        <w:t>Leifield et al., 2019; Lenton and Huntingford, 2003; Billet et al., 2010</w:t>
      </w:r>
      <w:bookmarkEnd w:id="5"/>
      <w:r w:rsidR="00655AED" w:rsidRPr="00293CBE">
        <w:rPr>
          <w:rFonts w:cstheme="minorHAnsi"/>
        </w:rPr>
        <w:t xml:space="preserve">).  </w:t>
      </w:r>
      <w:r w:rsidR="00881D25" w:rsidRPr="00293CBE">
        <w:rPr>
          <w:rFonts w:cstheme="minorHAnsi"/>
        </w:rPr>
        <w:t>For example, i</w:t>
      </w:r>
      <w:r w:rsidR="00655AED" w:rsidRPr="00293CBE">
        <w:rPr>
          <w:rFonts w:cstheme="minorHAnsi"/>
        </w:rPr>
        <w:t>ncreased drought and drying in peatlands may favour microbial decomposition of peat by lowering the water table and introducing oxygen into previously anaerobic soil (</w:t>
      </w:r>
      <w:bookmarkStart w:id="6" w:name="_Hlk122093069"/>
      <w:r w:rsidR="00655AED" w:rsidRPr="00293CBE">
        <w:rPr>
          <w:rFonts w:cstheme="minorHAnsi"/>
        </w:rPr>
        <w:t xml:space="preserve">Bardgett et al., 2008), </w:t>
      </w:r>
      <w:bookmarkEnd w:id="6"/>
      <w:r w:rsidR="00655AED" w:rsidRPr="00293CBE">
        <w:rPr>
          <w:rFonts w:cstheme="minorHAnsi"/>
        </w:rPr>
        <w:t xml:space="preserve">which will potentially shift these ecosystems from being stores of C in their intact form, to accelerating climate change by releasing more </w:t>
      </w:r>
      <w:r w:rsidR="00E64DA9" w:rsidRPr="00293CBE">
        <w:rPr>
          <w:rFonts w:cstheme="minorHAnsi"/>
        </w:rPr>
        <w:t>C</w:t>
      </w:r>
      <w:r w:rsidR="00655AED" w:rsidRPr="00293CBE">
        <w:rPr>
          <w:rFonts w:cstheme="minorHAnsi"/>
        </w:rPr>
        <w:t xml:space="preserve"> into the atmosphere (</w:t>
      </w:r>
      <w:bookmarkStart w:id="7" w:name="_Hlk122093086"/>
      <w:r w:rsidR="00655AED" w:rsidRPr="00293CBE">
        <w:rPr>
          <w:rFonts w:cstheme="minorHAnsi"/>
        </w:rPr>
        <w:t>Dise 2009</w:t>
      </w:r>
      <w:bookmarkEnd w:id="7"/>
      <w:r w:rsidR="00655AED" w:rsidRPr="00293CBE">
        <w:rPr>
          <w:rFonts w:cstheme="minorHAnsi"/>
        </w:rPr>
        <w:t>).</w:t>
      </w:r>
    </w:p>
    <w:p w14:paraId="7B5D5FD3" w14:textId="00949052" w:rsidR="0086594F" w:rsidRPr="00293CBE" w:rsidRDefault="00E64DA9" w:rsidP="00655AED">
      <w:pPr>
        <w:spacing w:line="276" w:lineRule="auto"/>
        <w:rPr>
          <w:rFonts w:cstheme="minorHAnsi"/>
        </w:rPr>
      </w:pPr>
      <w:r w:rsidRPr="00293CBE">
        <w:rPr>
          <w:rFonts w:cstheme="minorHAnsi"/>
        </w:rPr>
        <w:t>H</w:t>
      </w:r>
      <w:r w:rsidR="00562DAD" w:rsidRPr="00293CBE">
        <w:rPr>
          <w:rFonts w:cstheme="minorHAnsi"/>
        </w:rPr>
        <w:t>eathy intact peatlands play a non-trivial role in nature-based climate mitigation (</w:t>
      </w:r>
      <w:bookmarkStart w:id="8" w:name="_Hlk122093104"/>
      <w:r w:rsidR="00562DAD" w:rsidRPr="00293CBE">
        <w:rPr>
          <w:rFonts w:cstheme="minorHAnsi"/>
        </w:rPr>
        <w:t>Beaulne et al., 2021</w:t>
      </w:r>
      <w:bookmarkEnd w:id="8"/>
      <w:r w:rsidR="00562DAD" w:rsidRPr="00293CBE">
        <w:rPr>
          <w:rFonts w:cstheme="minorHAnsi"/>
        </w:rPr>
        <w:t xml:space="preserve">). </w:t>
      </w:r>
      <w:r w:rsidR="00655AED" w:rsidRPr="00293CBE">
        <w:rPr>
          <w:rFonts w:cstheme="minorHAnsi"/>
        </w:rPr>
        <w:t>Large scale degradation of peatlands</w:t>
      </w:r>
      <w:r w:rsidR="002B6A8D">
        <w:rPr>
          <w:rFonts w:cstheme="minorHAnsi"/>
        </w:rPr>
        <w:t>,</w:t>
      </w:r>
      <w:r w:rsidR="00655AED" w:rsidRPr="00293CBE">
        <w:rPr>
          <w:rFonts w:cstheme="minorHAnsi"/>
        </w:rPr>
        <w:t xml:space="preserve"> coupled with appreciation of the climate </w:t>
      </w:r>
      <w:r w:rsidRPr="00293CBE">
        <w:rPr>
          <w:rFonts w:cstheme="minorHAnsi"/>
        </w:rPr>
        <w:t xml:space="preserve">and biodiversity </w:t>
      </w:r>
      <w:r w:rsidR="00655AED" w:rsidRPr="00293CBE">
        <w:rPr>
          <w:rFonts w:cstheme="minorHAnsi"/>
        </w:rPr>
        <w:t>benefits healthy intact peatlands can provide</w:t>
      </w:r>
      <w:r w:rsidR="002B6A8D">
        <w:rPr>
          <w:rFonts w:cstheme="minorHAnsi"/>
        </w:rPr>
        <w:t>,</w:t>
      </w:r>
      <w:r w:rsidR="00D024BE" w:rsidRPr="00293CBE">
        <w:rPr>
          <w:rFonts w:cstheme="minorHAnsi"/>
        </w:rPr>
        <w:t xml:space="preserve"> </w:t>
      </w:r>
      <w:r w:rsidR="001C62D5" w:rsidRPr="00293CBE">
        <w:rPr>
          <w:rFonts w:cstheme="minorHAnsi"/>
        </w:rPr>
        <w:t>has created a substantial interest in the restoration of such sites</w:t>
      </w:r>
      <w:r w:rsidR="002B6A8D">
        <w:rPr>
          <w:rFonts w:cstheme="minorHAnsi"/>
        </w:rPr>
        <w:t xml:space="preserve">. </w:t>
      </w:r>
      <w:r w:rsidR="009736A6">
        <w:rPr>
          <w:rFonts w:cstheme="minorHAnsi"/>
        </w:rPr>
        <w:t xml:space="preserve"> </w:t>
      </w:r>
      <w:r w:rsidR="002B6A8D">
        <w:rPr>
          <w:rFonts w:cstheme="minorHAnsi"/>
        </w:rPr>
        <w:t>T</w:t>
      </w:r>
      <w:r w:rsidR="001C62D5" w:rsidRPr="00293CBE">
        <w:rPr>
          <w:rFonts w:cstheme="minorHAnsi"/>
        </w:rPr>
        <w:t xml:space="preserve">he aim </w:t>
      </w:r>
      <w:r w:rsidR="002B6A8D">
        <w:rPr>
          <w:rFonts w:cstheme="minorHAnsi"/>
        </w:rPr>
        <w:t xml:space="preserve">of restoration is </w:t>
      </w:r>
      <w:r w:rsidR="001C62D5" w:rsidRPr="00293CBE">
        <w:rPr>
          <w:rFonts w:cstheme="minorHAnsi"/>
        </w:rPr>
        <w:t>to keep C locked up in the peat and restart active peat grow</w:t>
      </w:r>
      <w:r w:rsidR="000B0C8A" w:rsidRPr="00293CBE">
        <w:rPr>
          <w:rFonts w:cstheme="minorHAnsi"/>
        </w:rPr>
        <w:t>th</w:t>
      </w:r>
      <w:r w:rsidR="001C62D5" w:rsidRPr="00293CBE">
        <w:rPr>
          <w:rFonts w:cstheme="minorHAnsi"/>
        </w:rPr>
        <w:t xml:space="preserve"> again</w:t>
      </w:r>
      <w:r w:rsidR="00AA0EEE" w:rsidRPr="00293CBE">
        <w:rPr>
          <w:rFonts w:cstheme="minorHAnsi"/>
        </w:rPr>
        <w:t xml:space="preserve"> after peatland drainage for agriculture and forestry</w:t>
      </w:r>
      <w:r w:rsidR="00D024BE" w:rsidRPr="00293CBE">
        <w:rPr>
          <w:rFonts w:cstheme="minorHAnsi"/>
        </w:rPr>
        <w:t xml:space="preserve"> (</w:t>
      </w:r>
      <w:bookmarkStart w:id="9" w:name="_Hlk122093147"/>
      <w:r w:rsidR="00D024BE" w:rsidRPr="00293CBE">
        <w:rPr>
          <w:rFonts w:cstheme="minorHAnsi"/>
        </w:rPr>
        <w:t>Gewin 2020</w:t>
      </w:r>
      <w:bookmarkEnd w:id="9"/>
      <w:r w:rsidR="00D024BE" w:rsidRPr="00293CBE">
        <w:rPr>
          <w:rFonts w:cstheme="minorHAnsi"/>
        </w:rPr>
        <w:t>).</w:t>
      </w:r>
      <w:r w:rsidR="00655AED" w:rsidRPr="00293CBE">
        <w:rPr>
          <w:rFonts w:cstheme="minorHAnsi"/>
        </w:rPr>
        <w:t xml:space="preserve"> </w:t>
      </w:r>
      <w:r w:rsidR="00AA0EEE" w:rsidRPr="00293CBE">
        <w:rPr>
          <w:rFonts w:cstheme="minorHAnsi"/>
        </w:rPr>
        <w:t>Studies in Scotland have shown that the process of forest-to-bog restoration and raising the water table creates a shift in vegetation communities</w:t>
      </w:r>
      <w:r w:rsidR="00344CD1" w:rsidRPr="00293CBE">
        <w:rPr>
          <w:rFonts w:cstheme="minorHAnsi"/>
        </w:rPr>
        <w:t xml:space="preserve"> which are slow to recover and resemble nearby reference sites, especially on ridges where conditions are dry </w:t>
      </w:r>
      <w:r w:rsidR="00AA0EEE" w:rsidRPr="00293CBE">
        <w:rPr>
          <w:rFonts w:cstheme="minorHAnsi"/>
        </w:rPr>
        <w:t>(</w:t>
      </w:r>
      <w:bookmarkStart w:id="10" w:name="_Hlk122093163"/>
      <w:r w:rsidR="00AA0EEE" w:rsidRPr="00293CBE">
        <w:rPr>
          <w:rFonts w:cstheme="minorHAnsi"/>
        </w:rPr>
        <w:t>Hancock et al., 2018)</w:t>
      </w:r>
      <w:bookmarkEnd w:id="10"/>
      <w:r w:rsidR="00344CD1" w:rsidRPr="00293CBE">
        <w:rPr>
          <w:rFonts w:cstheme="minorHAnsi"/>
        </w:rPr>
        <w:t xml:space="preserve">. </w:t>
      </w:r>
      <w:r w:rsidR="00655AED" w:rsidRPr="00293CBE">
        <w:rPr>
          <w:rFonts w:cstheme="minorHAnsi"/>
        </w:rPr>
        <w:t xml:space="preserve">Given that </w:t>
      </w:r>
      <w:r w:rsidR="00562DAD" w:rsidRPr="00293CBE">
        <w:rPr>
          <w:rFonts w:cstheme="minorHAnsi"/>
        </w:rPr>
        <w:t>microorganisms control the decomposition and release of peatland C</w:t>
      </w:r>
      <w:r w:rsidR="007E0300" w:rsidRPr="00293CBE">
        <w:rPr>
          <w:rFonts w:cstheme="minorHAnsi"/>
        </w:rPr>
        <w:t xml:space="preserve"> under drier conditions</w:t>
      </w:r>
      <w:r w:rsidR="00562DAD" w:rsidRPr="00293CBE">
        <w:rPr>
          <w:rFonts w:cstheme="minorHAnsi"/>
        </w:rPr>
        <w:t xml:space="preserve">, understanding </w:t>
      </w:r>
      <w:r w:rsidR="00AA3A92" w:rsidRPr="00293CBE">
        <w:rPr>
          <w:rFonts w:cstheme="minorHAnsi"/>
        </w:rPr>
        <w:t xml:space="preserve">microbial community structure in peatlands can provide fundamental knowledge for assessing peatland quality and the peatland C cycle </w:t>
      </w:r>
      <w:r w:rsidR="00F3552D" w:rsidRPr="00293CBE">
        <w:rPr>
          <w:rFonts w:cstheme="minorHAnsi"/>
        </w:rPr>
        <w:t>(</w:t>
      </w:r>
      <w:bookmarkStart w:id="11" w:name="_Hlk122093183"/>
      <w:r w:rsidR="00AA3A92" w:rsidRPr="00293CBE">
        <w:rPr>
          <w:rFonts w:cstheme="minorHAnsi"/>
        </w:rPr>
        <w:t xml:space="preserve">Li et al., 2022; </w:t>
      </w:r>
      <w:r w:rsidR="002A1DFD" w:rsidRPr="00293CBE">
        <w:rPr>
          <w:rFonts w:cstheme="minorHAnsi"/>
        </w:rPr>
        <w:t>Perryman et al., 2022</w:t>
      </w:r>
      <w:bookmarkEnd w:id="11"/>
      <w:r w:rsidR="002A1DFD" w:rsidRPr="00293CBE">
        <w:rPr>
          <w:rFonts w:cstheme="minorHAnsi"/>
        </w:rPr>
        <w:t>)</w:t>
      </w:r>
      <w:r w:rsidR="00F3552D" w:rsidRPr="00293CBE">
        <w:rPr>
          <w:rFonts w:cstheme="minorHAnsi"/>
        </w:rPr>
        <w:t xml:space="preserve">. </w:t>
      </w:r>
      <w:r w:rsidR="00300F96">
        <w:rPr>
          <w:rFonts w:cstheme="minorHAnsi"/>
        </w:rPr>
        <w:t>Indeed, there is a growing interest in the idea of microbial inoculation as part of ecological restoration, including in peatland habitats (</w:t>
      </w:r>
      <w:r w:rsidR="003413A7">
        <w:rPr>
          <w:rFonts w:cstheme="minorHAnsi"/>
        </w:rPr>
        <w:t>Shepherd et al, 2023).</w:t>
      </w:r>
    </w:p>
    <w:p w14:paraId="3E9F77CA" w14:textId="29F8DD59" w:rsidR="0075611F" w:rsidRPr="00293CBE" w:rsidRDefault="00655AED" w:rsidP="00655AED">
      <w:pPr>
        <w:spacing w:line="276" w:lineRule="auto"/>
        <w:rPr>
          <w:rFonts w:cstheme="minorHAnsi"/>
        </w:rPr>
      </w:pPr>
      <w:r w:rsidRPr="00293CBE">
        <w:rPr>
          <w:rFonts w:cstheme="minorHAnsi"/>
        </w:rPr>
        <w:t xml:space="preserve">Testate amoebae </w:t>
      </w:r>
      <w:r w:rsidR="001A4A34" w:rsidRPr="00293CBE">
        <w:rPr>
          <w:rFonts w:cstheme="minorHAnsi"/>
        </w:rPr>
        <w:t xml:space="preserve">(TA) </w:t>
      </w:r>
      <w:r w:rsidRPr="00293CBE">
        <w:rPr>
          <w:rFonts w:cstheme="minorHAnsi"/>
        </w:rPr>
        <w:t xml:space="preserve">are an informal grouping of </w:t>
      </w:r>
      <w:r w:rsidR="00FF3A7F" w:rsidRPr="00293CBE">
        <w:rPr>
          <w:rFonts w:cstheme="minorHAnsi"/>
        </w:rPr>
        <w:t xml:space="preserve">well-studied </w:t>
      </w:r>
      <w:r w:rsidRPr="00293CBE">
        <w:rPr>
          <w:rFonts w:cstheme="minorHAnsi"/>
        </w:rPr>
        <w:t xml:space="preserve">protists </w:t>
      </w:r>
      <w:r w:rsidR="00FF3A7F" w:rsidRPr="00293CBE">
        <w:rPr>
          <w:rFonts w:cstheme="minorHAnsi"/>
        </w:rPr>
        <w:t>in peatland environments (</w:t>
      </w:r>
      <w:r w:rsidR="00306CEE" w:rsidRPr="00293CBE">
        <w:rPr>
          <w:rFonts w:cstheme="minorHAnsi"/>
        </w:rPr>
        <w:t>Mitchell et al., 2003; Jassey et al., 2013; Marcisz et al., 2014; Lamentowicz et al., 2020</w:t>
      </w:r>
      <w:r w:rsidR="00FF3A7F" w:rsidRPr="00293CBE">
        <w:rPr>
          <w:rFonts w:cstheme="minorHAnsi"/>
        </w:rPr>
        <w:t xml:space="preserve">). </w:t>
      </w:r>
      <w:r w:rsidR="00571B1F" w:rsidRPr="00293CBE">
        <w:rPr>
          <w:rFonts w:cstheme="minorHAnsi"/>
        </w:rPr>
        <w:t>They</w:t>
      </w:r>
      <w:r w:rsidRPr="00293CBE">
        <w:rPr>
          <w:rFonts w:cstheme="minorHAnsi"/>
        </w:rPr>
        <w:t xml:space="preserve"> possess </w:t>
      </w:r>
      <w:r w:rsidR="00571B1F" w:rsidRPr="00293CBE">
        <w:rPr>
          <w:rFonts w:cstheme="minorHAnsi"/>
        </w:rPr>
        <w:t>several functional</w:t>
      </w:r>
      <w:r w:rsidRPr="00293CBE">
        <w:rPr>
          <w:rFonts w:cstheme="minorHAnsi"/>
        </w:rPr>
        <w:t xml:space="preserve"> traits </w:t>
      </w:r>
      <w:r w:rsidR="00D72558" w:rsidRPr="00293CBE">
        <w:rPr>
          <w:rFonts w:cstheme="minorHAnsi"/>
        </w:rPr>
        <w:t>(</w:t>
      </w:r>
      <w:bookmarkStart w:id="12" w:name="_Hlk122093200"/>
      <w:r w:rsidR="00571B1F" w:rsidRPr="00293CBE">
        <w:rPr>
          <w:rFonts w:cstheme="minorHAnsi"/>
        </w:rPr>
        <w:t>Fournier et al., 2015; Marcisz et al., 2020</w:t>
      </w:r>
      <w:bookmarkEnd w:id="12"/>
      <w:r w:rsidR="00D72558" w:rsidRPr="00293CBE">
        <w:rPr>
          <w:rFonts w:cstheme="minorHAnsi"/>
        </w:rPr>
        <w:t xml:space="preserve">) </w:t>
      </w:r>
      <w:r w:rsidRPr="00293CBE">
        <w:rPr>
          <w:rFonts w:cstheme="minorHAnsi"/>
        </w:rPr>
        <w:t xml:space="preserve">making them suitable candidates </w:t>
      </w:r>
      <w:r w:rsidR="003413A7">
        <w:rPr>
          <w:rFonts w:cstheme="minorHAnsi"/>
        </w:rPr>
        <w:t>for</w:t>
      </w:r>
      <w:r w:rsidR="00553266" w:rsidRPr="00293CBE">
        <w:rPr>
          <w:rFonts w:cstheme="minorHAnsi"/>
        </w:rPr>
        <w:t xml:space="preserve"> </w:t>
      </w:r>
      <w:r w:rsidR="00D72558" w:rsidRPr="00293CBE">
        <w:rPr>
          <w:rFonts w:cstheme="minorHAnsi"/>
        </w:rPr>
        <w:t>bioindicators (</w:t>
      </w:r>
      <w:bookmarkStart w:id="13" w:name="_Hlk122093238"/>
      <w:r w:rsidR="00D72558" w:rsidRPr="00293CBE">
        <w:rPr>
          <w:rFonts w:cstheme="minorHAnsi"/>
        </w:rPr>
        <w:t>Payne 201</w:t>
      </w:r>
      <w:r w:rsidR="00553266" w:rsidRPr="00293CBE">
        <w:rPr>
          <w:rFonts w:cstheme="minorHAnsi"/>
        </w:rPr>
        <w:t>3</w:t>
      </w:r>
      <w:r w:rsidR="00D72558" w:rsidRPr="00293CBE">
        <w:rPr>
          <w:rFonts w:cstheme="minorHAnsi"/>
        </w:rPr>
        <w:t xml:space="preserve">; </w:t>
      </w:r>
      <w:r w:rsidR="00553266" w:rsidRPr="00293CBE">
        <w:rPr>
          <w:rFonts w:cstheme="minorHAnsi"/>
        </w:rPr>
        <w:t xml:space="preserve">Swindles et al., 2016; </w:t>
      </w:r>
      <w:r w:rsidR="00D72558" w:rsidRPr="00293CBE">
        <w:rPr>
          <w:rFonts w:cstheme="minorHAnsi"/>
        </w:rPr>
        <w:t>Creevy et al., 2018; Gomes da Silva et al., 2022</w:t>
      </w:r>
      <w:bookmarkEnd w:id="13"/>
      <w:r w:rsidR="00D72558" w:rsidRPr="00293CBE">
        <w:rPr>
          <w:rFonts w:cstheme="minorHAnsi"/>
        </w:rPr>
        <w:t>)</w:t>
      </w:r>
      <w:r w:rsidR="0081682F" w:rsidRPr="00293CBE">
        <w:rPr>
          <w:rFonts w:cstheme="minorHAnsi"/>
        </w:rPr>
        <w:t xml:space="preserve"> and potentially as a monitoring tool in bog restoration (</w:t>
      </w:r>
      <w:bookmarkStart w:id="14" w:name="_Hlk122093317"/>
      <w:r w:rsidR="0081682F" w:rsidRPr="00293CBE">
        <w:rPr>
          <w:rFonts w:cstheme="minorHAnsi"/>
        </w:rPr>
        <w:t>Wilkinson 2022</w:t>
      </w:r>
      <w:bookmarkEnd w:id="14"/>
      <w:r w:rsidR="0081682F" w:rsidRPr="00293CBE">
        <w:rPr>
          <w:rFonts w:cstheme="minorHAnsi"/>
        </w:rPr>
        <w:t>)</w:t>
      </w:r>
      <w:r w:rsidRPr="00293CBE">
        <w:rPr>
          <w:rFonts w:cstheme="minorHAnsi"/>
        </w:rPr>
        <w:t>. As heterotrophic</w:t>
      </w:r>
      <w:r w:rsidR="000E4150" w:rsidRPr="00293CBE">
        <w:rPr>
          <w:rFonts w:cstheme="minorHAnsi"/>
        </w:rPr>
        <w:t>/mixotrophic</w:t>
      </w:r>
      <w:r w:rsidRPr="00293CBE">
        <w:rPr>
          <w:rFonts w:cstheme="minorHAnsi"/>
        </w:rPr>
        <w:t xml:space="preserve"> microbial consumers - sitting at the top of the microbial food web in peatlands (</w:t>
      </w:r>
      <w:bookmarkStart w:id="15" w:name="_Hlk122093338"/>
      <w:r w:rsidRPr="00293CBE">
        <w:rPr>
          <w:rFonts w:cstheme="minorHAnsi"/>
        </w:rPr>
        <w:t xml:space="preserve">Mitchell el al., 2003; </w:t>
      </w:r>
      <w:bookmarkEnd w:id="15"/>
      <w:r w:rsidRPr="00293CBE">
        <w:rPr>
          <w:rFonts w:cstheme="minorHAnsi"/>
        </w:rPr>
        <w:t>Payne 2013), they are important for nutrient and C cycling in organic-rich soils (</w:t>
      </w:r>
      <w:bookmarkStart w:id="16" w:name="_Hlk122093356"/>
      <w:r w:rsidRPr="00293CBE">
        <w:rPr>
          <w:rFonts w:cstheme="minorHAnsi"/>
        </w:rPr>
        <w:t>Wilkinson and Mitchell, 2010</w:t>
      </w:r>
      <w:bookmarkEnd w:id="16"/>
      <w:r w:rsidRPr="00293CBE">
        <w:rPr>
          <w:rFonts w:cstheme="minorHAnsi"/>
        </w:rPr>
        <w:t>), and have been shown to be sensitive to changes in elevated CO</w:t>
      </w:r>
      <w:r w:rsidRPr="00293CBE">
        <w:rPr>
          <w:rFonts w:cstheme="minorHAnsi"/>
          <w:vertAlign w:val="subscript"/>
        </w:rPr>
        <w:t>2</w:t>
      </w:r>
      <w:r w:rsidRPr="00293CBE">
        <w:rPr>
          <w:rFonts w:cstheme="minorHAnsi"/>
        </w:rPr>
        <w:t xml:space="preserve"> in peatlands (Mitchell et al., 2003; Jassey et al., 2013). Using traditional microscopy techniques, populations can be enumerated </w:t>
      </w:r>
      <w:r w:rsidR="00011A8E" w:rsidRPr="00293CBE">
        <w:rPr>
          <w:rFonts w:cstheme="minorHAnsi"/>
        </w:rPr>
        <w:t>by direct counting of individuals</w:t>
      </w:r>
      <w:r w:rsidR="00216AA7" w:rsidRPr="00293CBE">
        <w:rPr>
          <w:rFonts w:cstheme="minorHAnsi"/>
        </w:rPr>
        <w:t xml:space="preserve"> </w:t>
      </w:r>
      <w:r w:rsidR="00011A8E" w:rsidRPr="00293CBE">
        <w:rPr>
          <w:rFonts w:cstheme="minorHAnsi"/>
        </w:rPr>
        <w:t>in a sample –</w:t>
      </w:r>
      <w:r w:rsidRPr="00293CBE">
        <w:rPr>
          <w:rFonts w:cstheme="minorHAnsi"/>
        </w:rPr>
        <w:t xml:space="preserve"> </w:t>
      </w:r>
      <w:r w:rsidR="00216AA7" w:rsidRPr="00293CBE">
        <w:rPr>
          <w:rFonts w:cstheme="minorHAnsi"/>
        </w:rPr>
        <w:t>like</w:t>
      </w:r>
      <w:r w:rsidRPr="00293CBE">
        <w:rPr>
          <w:rFonts w:cstheme="minorHAnsi"/>
        </w:rPr>
        <w:t xml:space="preserve"> data collected in the study of the ecology of macroscopic organisms such as plants (</w:t>
      </w:r>
      <w:bookmarkStart w:id="17" w:name="_Hlk122093384"/>
      <w:r w:rsidRPr="00293CBE">
        <w:rPr>
          <w:rFonts w:cstheme="minorHAnsi"/>
        </w:rPr>
        <w:t>Wilkinson et al., 2012</w:t>
      </w:r>
      <w:bookmarkEnd w:id="17"/>
      <w:r w:rsidRPr="00293CBE">
        <w:rPr>
          <w:rFonts w:cstheme="minorHAnsi"/>
        </w:rPr>
        <w:t>)</w:t>
      </w:r>
      <w:r w:rsidR="00011A8E" w:rsidRPr="00293CBE">
        <w:rPr>
          <w:rFonts w:cstheme="minorHAnsi"/>
        </w:rPr>
        <w:t xml:space="preserve">. In </w:t>
      </w:r>
      <w:r w:rsidR="00216AA7" w:rsidRPr="00293CBE">
        <w:rPr>
          <w:rFonts w:cstheme="minorHAnsi"/>
        </w:rPr>
        <w:t>addition,</w:t>
      </w:r>
      <w:r w:rsidRPr="00293CBE">
        <w:rPr>
          <w:rFonts w:cstheme="minorHAnsi"/>
        </w:rPr>
        <w:t xml:space="preserve"> living individuals can be quantified seasonally (</w:t>
      </w:r>
      <w:bookmarkStart w:id="18" w:name="_Hlk122093408"/>
      <w:r w:rsidRPr="00293CBE">
        <w:rPr>
          <w:rFonts w:cstheme="minorHAnsi"/>
        </w:rPr>
        <w:t>Marcisz et al., 2014</w:t>
      </w:r>
      <w:bookmarkEnd w:id="18"/>
      <w:r w:rsidRPr="00293CBE">
        <w:rPr>
          <w:rFonts w:cstheme="minorHAnsi"/>
        </w:rPr>
        <w:t xml:space="preserve">).  </w:t>
      </w:r>
    </w:p>
    <w:p w14:paraId="5CCA8CF5" w14:textId="543CD57F" w:rsidR="00655AED" w:rsidRPr="00293CBE" w:rsidRDefault="00261E6B" w:rsidP="00655AED">
      <w:pPr>
        <w:spacing w:line="276" w:lineRule="auto"/>
        <w:rPr>
          <w:rFonts w:cstheme="minorHAnsi"/>
          <w:color w:val="FF0000"/>
        </w:rPr>
      </w:pPr>
      <w:r w:rsidRPr="00293CBE">
        <w:rPr>
          <w:rFonts w:cstheme="minorHAnsi"/>
        </w:rPr>
        <w:lastRenderedPageBreak/>
        <w:t xml:space="preserve">Using the Indicator Species Approach, several studies </w:t>
      </w:r>
      <w:r w:rsidR="00E43EDB" w:rsidRPr="00293CBE">
        <w:rPr>
          <w:rFonts w:cstheme="minorHAnsi"/>
        </w:rPr>
        <w:t xml:space="preserve">have shown </w:t>
      </w:r>
      <w:r w:rsidRPr="00293CBE">
        <w:rPr>
          <w:rFonts w:cstheme="minorHAnsi"/>
        </w:rPr>
        <w:t xml:space="preserve">TA </w:t>
      </w:r>
      <w:r w:rsidR="00E43EDB" w:rsidRPr="00293CBE">
        <w:rPr>
          <w:rFonts w:cstheme="minorHAnsi"/>
        </w:rPr>
        <w:t xml:space="preserve">to be useful </w:t>
      </w:r>
      <w:r w:rsidRPr="00293CBE">
        <w:rPr>
          <w:rFonts w:cstheme="minorHAnsi"/>
        </w:rPr>
        <w:t>indicators</w:t>
      </w:r>
      <w:r w:rsidR="00E43EDB" w:rsidRPr="00293CBE">
        <w:rPr>
          <w:rFonts w:cstheme="minorHAnsi"/>
        </w:rPr>
        <w:t xml:space="preserve"> in </w:t>
      </w:r>
      <w:r w:rsidR="005A314A" w:rsidRPr="00293CBE">
        <w:rPr>
          <w:rFonts w:cstheme="minorHAnsi"/>
        </w:rPr>
        <w:t xml:space="preserve">blanket </w:t>
      </w:r>
      <w:r w:rsidR="00E43EDB" w:rsidRPr="00293CBE">
        <w:rPr>
          <w:rFonts w:cstheme="minorHAnsi"/>
        </w:rPr>
        <w:t xml:space="preserve">peatlands undergoing restoration </w:t>
      </w:r>
      <w:r w:rsidR="00EA3412" w:rsidRPr="00293CBE">
        <w:rPr>
          <w:rFonts w:cstheme="minorHAnsi"/>
        </w:rPr>
        <w:t xml:space="preserve">management </w:t>
      </w:r>
      <w:r w:rsidR="00E43EDB" w:rsidRPr="00293CBE">
        <w:rPr>
          <w:rFonts w:cstheme="minorHAnsi"/>
        </w:rPr>
        <w:t xml:space="preserve">(Swindles et al., 2016), </w:t>
      </w:r>
      <w:r w:rsidR="00EA3412" w:rsidRPr="00293CBE">
        <w:rPr>
          <w:rFonts w:cstheme="minorHAnsi"/>
        </w:rPr>
        <w:t xml:space="preserve">and </w:t>
      </w:r>
      <w:r w:rsidR="00E43EDB" w:rsidRPr="00293CBE">
        <w:rPr>
          <w:rFonts w:cstheme="minorHAnsi"/>
        </w:rPr>
        <w:t xml:space="preserve">especially mixotrophic testate amoebae </w:t>
      </w:r>
      <w:r w:rsidR="005A314A" w:rsidRPr="00293CBE">
        <w:rPr>
          <w:rFonts w:cstheme="minorHAnsi"/>
        </w:rPr>
        <w:t xml:space="preserve">(MTA) at </w:t>
      </w:r>
      <w:r w:rsidR="00EA3412" w:rsidRPr="00293CBE">
        <w:rPr>
          <w:rFonts w:cstheme="minorHAnsi"/>
        </w:rPr>
        <w:t>blanket peat</w:t>
      </w:r>
      <w:r w:rsidR="005A314A" w:rsidRPr="00293CBE">
        <w:rPr>
          <w:rFonts w:cstheme="minorHAnsi"/>
        </w:rPr>
        <w:t xml:space="preserve"> sites</w:t>
      </w:r>
      <w:r w:rsidR="00EA3412" w:rsidRPr="00293CBE">
        <w:rPr>
          <w:rFonts w:cstheme="minorHAnsi"/>
        </w:rPr>
        <w:t xml:space="preserve"> where conifer plantations are removed</w:t>
      </w:r>
      <w:r w:rsidR="005A314A" w:rsidRPr="00293CBE">
        <w:rPr>
          <w:rFonts w:cstheme="minorHAnsi"/>
        </w:rPr>
        <w:t xml:space="preserve"> </w:t>
      </w:r>
      <w:r w:rsidR="00EA3412" w:rsidRPr="00293CBE">
        <w:rPr>
          <w:rFonts w:cstheme="minorHAnsi"/>
        </w:rPr>
        <w:t xml:space="preserve">(often referred to as forest-to-bog restoration) </w:t>
      </w:r>
      <w:r w:rsidR="00E43EDB" w:rsidRPr="00293CBE">
        <w:rPr>
          <w:rFonts w:cstheme="minorHAnsi"/>
        </w:rPr>
        <w:t>(Creevy et al., 201</w:t>
      </w:r>
      <w:r w:rsidRPr="00293CBE">
        <w:rPr>
          <w:rFonts w:cstheme="minorHAnsi"/>
        </w:rPr>
        <w:t>8</w:t>
      </w:r>
      <w:r w:rsidR="00E43EDB" w:rsidRPr="00293CBE">
        <w:rPr>
          <w:rFonts w:cstheme="minorHAnsi"/>
        </w:rPr>
        <w:t xml:space="preserve">). </w:t>
      </w:r>
      <w:r w:rsidR="00655AED" w:rsidRPr="00293CBE">
        <w:rPr>
          <w:rFonts w:cstheme="minorHAnsi"/>
        </w:rPr>
        <w:t>MTA are increasingly recognised for their dual role in peatland C cycling at different trophic levels (</w:t>
      </w:r>
      <w:bookmarkStart w:id="19" w:name="_Hlk122093440"/>
      <w:r w:rsidR="00655AED" w:rsidRPr="00293CBE">
        <w:rPr>
          <w:rFonts w:cstheme="minorHAnsi"/>
        </w:rPr>
        <w:t>Jassey et al., 2015; Payne et al., 2016</w:t>
      </w:r>
      <w:r w:rsidR="00553266" w:rsidRPr="00293CBE">
        <w:rPr>
          <w:rFonts w:cstheme="minorHAnsi"/>
        </w:rPr>
        <w:t>; Hamard et al., 20</w:t>
      </w:r>
      <w:r w:rsidR="00D925D8" w:rsidRPr="00293CBE">
        <w:rPr>
          <w:rFonts w:cstheme="minorHAnsi"/>
        </w:rPr>
        <w:t>21</w:t>
      </w:r>
      <w:bookmarkEnd w:id="19"/>
      <w:r w:rsidR="00655AED" w:rsidRPr="00293CBE">
        <w:rPr>
          <w:rFonts w:cstheme="minorHAnsi"/>
        </w:rPr>
        <w:t xml:space="preserve">). MTA contribute to C fixation (primary production) through photosynthesis (phototrophy) and obtain energy though organic compounds (heterotrophy). </w:t>
      </w:r>
      <w:r w:rsidR="006213C5" w:rsidRPr="00293CBE">
        <w:rPr>
          <w:rFonts w:cstheme="minorHAnsi"/>
        </w:rPr>
        <w:t>As such, t</w:t>
      </w:r>
      <w:r w:rsidR="00655AED" w:rsidRPr="00293CBE">
        <w:rPr>
          <w:rFonts w:cstheme="minorHAnsi"/>
        </w:rPr>
        <w:t xml:space="preserve">hey could be potential contenders as </w:t>
      </w:r>
      <w:r w:rsidR="00EA3412" w:rsidRPr="00293CBE">
        <w:rPr>
          <w:rFonts w:cstheme="minorHAnsi"/>
        </w:rPr>
        <w:t xml:space="preserve">bioindicators </w:t>
      </w:r>
      <w:r w:rsidR="006213C5" w:rsidRPr="00293CBE">
        <w:rPr>
          <w:rFonts w:cstheme="minorHAnsi"/>
        </w:rPr>
        <w:t>at peatland</w:t>
      </w:r>
      <w:r w:rsidR="00655AED" w:rsidRPr="00293CBE">
        <w:rPr>
          <w:rFonts w:cstheme="minorHAnsi"/>
        </w:rPr>
        <w:t xml:space="preserve"> restoration sites</w:t>
      </w:r>
      <w:r w:rsidR="00EA3412" w:rsidRPr="00293CBE">
        <w:rPr>
          <w:rFonts w:cstheme="minorHAnsi"/>
        </w:rPr>
        <w:t xml:space="preserve"> on raised </w:t>
      </w:r>
      <w:r w:rsidR="007E0300" w:rsidRPr="00293CBE">
        <w:rPr>
          <w:rFonts w:cstheme="minorHAnsi"/>
        </w:rPr>
        <w:t xml:space="preserve">as well as blanket </w:t>
      </w:r>
      <w:r w:rsidR="00EA3412" w:rsidRPr="00293CBE">
        <w:rPr>
          <w:rFonts w:cstheme="minorHAnsi"/>
        </w:rPr>
        <w:t>bog (Creevy et al., 2018)</w:t>
      </w:r>
      <w:r w:rsidR="001A4A34" w:rsidRPr="00293CBE">
        <w:rPr>
          <w:rFonts w:cstheme="minorHAnsi"/>
        </w:rPr>
        <w:t xml:space="preserve">. </w:t>
      </w:r>
    </w:p>
    <w:p w14:paraId="39889556" w14:textId="5DAFC430" w:rsidR="00EA3412" w:rsidRPr="00293CBE" w:rsidRDefault="001E4E21" w:rsidP="00655AED">
      <w:pPr>
        <w:spacing w:line="276" w:lineRule="auto"/>
        <w:rPr>
          <w:rFonts w:eastAsiaTheme="minorEastAsia" w:cstheme="minorHAnsi"/>
          <w:color w:val="000000" w:themeColor="text1"/>
          <w:kern w:val="24"/>
        </w:rPr>
      </w:pPr>
      <w:r w:rsidRPr="00293CBE">
        <w:rPr>
          <w:rFonts w:cstheme="minorHAnsi"/>
        </w:rPr>
        <w:t>Using a space-for-time substitution approach (Picket 1989) t</w:t>
      </w:r>
      <w:r w:rsidR="00EA3412" w:rsidRPr="00293CBE">
        <w:rPr>
          <w:rFonts w:cstheme="minorHAnsi"/>
        </w:rPr>
        <w:t xml:space="preserve">he aims of this study were to evaluate how TA and MTA respond to forest-to-bog restoration and to assess whether they could be used as microbial indicators of disturbance and recovery </w:t>
      </w:r>
      <w:r w:rsidR="00635445" w:rsidRPr="00293CBE">
        <w:rPr>
          <w:rFonts w:cstheme="minorHAnsi"/>
        </w:rPr>
        <w:t>of restoration of</w:t>
      </w:r>
      <w:r w:rsidR="00EA3412" w:rsidRPr="00293CBE">
        <w:rPr>
          <w:rFonts w:cstheme="minorHAnsi"/>
        </w:rPr>
        <w:t xml:space="preserve"> a raised bog. Water table depth and vegetation are key controls of </w:t>
      </w:r>
      <w:r w:rsidR="00635445" w:rsidRPr="00293CBE">
        <w:rPr>
          <w:rFonts w:cstheme="minorHAnsi"/>
        </w:rPr>
        <w:t xml:space="preserve">C </w:t>
      </w:r>
      <w:r w:rsidR="00EA3412" w:rsidRPr="00293CBE">
        <w:rPr>
          <w:rFonts w:cstheme="minorHAnsi"/>
        </w:rPr>
        <w:t>emissions from peatlands</w:t>
      </w:r>
      <w:r w:rsidR="00635445" w:rsidRPr="00293CBE">
        <w:rPr>
          <w:rFonts w:cstheme="minorHAnsi"/>
        </w:rPr>
        <w:t xml:space="preserve"> (Creevy et al., 2020; </w:t>
      </w:r>
      <w:r w:rsidR="00C110B2" w:rsidRPr="00293CBE">
        <w:rPr>
          <w:rFonts w:cstheme="minorHAnsi"/>
        </w:rPr>
        <w:t xml:space="preserve">Li et al., 2022; </w:t>
      </w:r>
      <w:r w:rsidR="00635445" w:rsidRPr="00293CBE">
        <w:rPr>
          <w:rFonts w:cstheme="minorHAnsi"/>
        </w:rPr>
        <w:t>Perryman et al., 2022) and m</w:t>
      </w:r>
      <w:r w:rsidR="00EA3412" w:rsidRPr="00293CBE">
        <w:rPr>
          <w:rFonts w:cstheme="minorHAnsi"/>
        </w:rPr>
        <w:t>icrotopography integrates these factors into features called microforms</w:t>
      </w:r>
      <w:r w:rsidR="00635445" w:rsidRPr="00293CBE">
        <w:rPr>
          <w:rFonts w:cstheme="minorHAnsi"/>
        </w:rPr>
        <w:t xml:space="preserve"> (Creevy et al., 2018; Perryman et al., 2022)</w:t>
      </w:r>
      <w:r w:rsidR="00EA3412" w:rsidRPr="00293CBE">
        <w:rPr>
          <w:rFonts w:cstheme="minorHAnsi"/>
        </w:rPr>
        <w:t>.</w:t>
      </w:r>
      <w:r w:rsidR="00635445" w:rsidRPr="00293CBE">
        <w:rPr>
          <w:rFonts w:cstheme="minorHAnsi"/>
        </w:rPr>
        <w:t xml:space="preserve"> T</w:t>
      </w:r>
      <w:r w:rsidR="00EA3412" w:rsidRPr="00293CBE">
        <w:rPr>
          <w:rFonts w:cstheme="minorHAnsi"/>
        </w:rPr>
        <w:t xml:space="preserve">o encompass </w:t>
      </w:r>
      <w:r w:rsidR="00292FDE" w:rsidRPr="00293CBE">
        <w:rPr>
          <w:rFonts w:cstheme="minorHAnsi"/>
        </w:rPr>
        <w:t xml:space="preserve">small-scale </w:t>
      </w:r>
      <w:r w:rsidR="00EA3412" w:rsidRPr="00293CBE">
        <w:rPr>
          <w:rFonts w:cstheme="minorHAnsi"/>
        </w:rPr>
        <w:t>variability</w:t>
      </w:r>
      <w:r w:rsidR="00635445" w:rsidRPr="00293CBE">
        <w:rPr>
          <w:rFonts w:cstheme="minorHAnsi"/>
        </w:rPr>
        <w:t xml:space="preserve">, the objective of this study was to sample representative microforms </w:t>
      </w:r>
      <w:r w:rsidR="00292FDE" w:rsidRPr="00293CBE">
        <w:rPr>
          <w:rFonts w:cstheme="minorHAnsi"/>
        </w:rPr>
        <w:t xml:space="preserve">and consider </w:t>
      </w:r>
      <w:r w:rsidR="00292FDE" w:rsidRPr="00293CBE">
        <w:rPr>
          <w:rFonts w:eastAsiaTheme="minorEastAsia" w:cstheme="minorHAnsi"/>
          <w:color w:val="000000" w:themeColor="text1"/>
          <w:kern w:val="24"/>
        </w:rPr>
        <w:t xml:space="preserve">whether TA and vegetation respond similarly to the same edaphic and environmental drivers. </w:t>
      </w:r>
      <w:r w:rsidR="00EA3412" w:rsidRPr="00293CBE">
        <w:rPr>
          <w:rFonts w:cstheme="minorHAnsi"/>
        </w:rPr>
        <w:t xml:space="preserve">The following hypotheses were tested: [H1] </w:t>
      </w:r>
      <w:r w:rsidR="00AA0EEE" w:rsidRPr="00293CBE">
        <w:rPr>
          <w:rFonts w:cstheme="minorHAnsi"/>
        </w:rPr>
        <w:t xml:space="preserve">Seventeen years after plantation removal, TA </w:t>
      </w:r>
      <w:r w:rsidR="002F2450">
        <w:rPr>
          <w:rFonts w:cstheme="minorHAnsi"/>
        </w:rPr>
        <w:t xml:space="preserve">assemblages </w:t>
      </w:r>
      <w:r w:rsidR="00AA0EEE" w:rsidRPr="00293CBE">
        <w:rPr>
          <w:rFonts w:cstheme="minorHAnsi"/>
        </w:rPr>
        <w:t>will be more similar to areas of undisturbed open raised bog.</w:t>
      </w:r>
      <w:r w:rsidR="00EA3412" w:rsidRPr="00293CBE">
        <w:rPr>
          <w:rFonts w:cstheme="minorHAnsi"/>
        </w:rPr>
        <w:t xml:space="preserve"> [H2] </w:t>
      </w:r>
      <w:r w:rsidR="007E0300" w:rsidRPr="00293CBE">
        <w:rPr>
          <w:rFonts w:cstheme="minorHAnsi"/>
        </w:rPr>
        <w:t>MTA will recover ten years after forest-to-bog restoration</w:t>
      </w:r>
      <w:r w:rsidR="00EA3412" w:rsidRPr="00293CBE">
        <w:rPr>
          <w:rFonts w:cstheme="minorHAnsi"/>
        </w:rPr>
        <w:t xml:space="preserve">. </w:t>
      </w:r>
      <w:r w:rsidR="000A7A3A" w:rsidRPr="00293CBE">
        <w:rPr>
          <w:rFonts w:cstheme="minorHAnsi"/>
        </w:rPr>
        <w:t>[</w:t>
      </w:r>
      <w:r w:rsidR="00292FDE" w:rsidRPr="00293CBE">
        <w:rPr>
          <w:rFonts w:cstheme="minorHAnsi"/>
        </w:rPr>
        <w:t>H3</w:t>
      </w:r>
      <w:r w:rsidR="000A7A3A" w:rsidRPr="00293CBE">
        <w:rPr>
          <w:rFonts w:cstheme="minorHAnsi"/>
        </w:rPr>
        <w:t>]</w:t>
      </w:r>
      <w:r w:rsidR="00292FDE" w:rsidRPr="00293CBE">
        <w:rPr>
          <w:rFonts w:cstheme="minorHAnsi"/>
        </w:rPr>
        <w:t xml:space="preserve"> TA and vegetation respond similarly to environmental drivers at </w:t>
      </w:r>
      <w:r w:rsidR="007E0300" w:rsidRPr="00293CBE">
        <w:rPr>
          <w:rFonts w:cstheme="minorHAnsi"/>
        </w:rPr>
        <w:t>forest-to-bog</w:t>
      </w:r>
      <w:r w:rsidR="00292FDE" w:rsidRPr="00293CBE">
        <w:rPr>
          <w:rFonts w:cstheme="minorHAnsi"/>
        </w:rPr>
        <w:t xml:space="preserve"> restoration sites.</w:t>
      </w:r>
    </w:p>
    <w:p w14:paraId="690D843B" w14:textId="337B27A3" w:rsidR="00655AED" w:rsidRPr="00293CBE" w:rsidRDefault="00CE596B" w:rsidP="00386A0F">
      <w:pPr>
        <w:spacing w:line="276" w:lineRule="auto"/>
        <w:rPr>
          <w:rFonts w:cstheme="minorHAnsi"/>
          <w:b/>
          <w:bCs/>
          <w:sz w:val="24"/>
          <w:szCs w:val="24"/>
        </w:rPr>
      </w:pPr>
      <w:r w:rsidRPr="00293CBE">
        <w:rPr>
          <w:rFonts w:cstheme="minorHAnsi"/>
          <w:b/>
          <w:bCs/>
          <w:sz w:val="24"/>
          <w:szCs w:val="24"/>
        </w:rPr>
        <w:t>Methods</w:t>
      </w:r>
    </w:p>
    <w:p w14:paraId="64114F03" w14:textId="21B66B2E" w:rsidR="00CE596B" w:rsidRPr="00293CBE" w:rsidRDefault="00CE596B" w:rsidP="00386A0F">
      <w:pPr>
        <w:spacing w:line="276" w:lineRule="auto"/>
        <w:rPr>
          <w:rFonts w:cstheme="minorHAnsi"/>
          <w:bCs/>
          <w:i/>
          <w:iCs/>
        </w:rPr>
      </w:pPr>
      <w:r w:rsidRPr="00293CBE">
        <w:rPr>
          <w:rFonts w:cstheme="minorHAnsi"/>
          <w:bCs/>
          <w:i/>
          <w:iCs/>
        </w:rPr>
        <w:t>Field site and experimental design</w:t>
      </w:r>
    </w:p>
    <w:p w14:paraId="183C85EF" w14:textId="41F8274C" w:rsidR="00217BC4" w:rsidRPr="00293CBE" w:rsidRDefault="00CE596B" w:rsidP="00DA7DF6">
      <w:pPr>
        <w:pStyle w:val="NoSpacing"/>
        <w:spacing w:line="276" w:lineRule="auto"/>
        <w:jc w:val="both"/>
        <w:rPr>
          <w:rFonts w:asciiTheme="minorHAnsi" w:hAnsiTheme="minorHAnsi" w:cstheme="minorHAnsi"/>
          <w:sz w:val="22"/>
        </w:rPr>
      </w:pPr>
      <w:r w:rsidRPr="00293CBE">
        <w:rPr>
          <w:rFonts w:asciiTheme="minorHAnsi" w:hAnsiTheme="minorHAnsi" w:cstheme="minorHAnsi"/>
          <w:sz w:val="22"/>
        </w:rPr>
        <w:t xml:space="preserve">The experimental site Fenns, Whixall and Bettisfield Mosses National Nature Reserve </w:t>
      </w:r>
      <w:r w:rsidR="00B974A5" w:rsidRPr="00293CBE">
        <w:rPr>
          <w:rFonts w:asciiTheme="minorHAnsi" w:hAnsiTheme="minorHAnsi" w:cstheme="minorHAnsi"/>
          <w:sz w:val="22"/>
        </w:rPr>
        <w:t xml:space="preserve">(52°92’24’’N, 2°76’94’’W) </w:t>
      </w:r>
      <w:r w:rsidRPr="00293CBE">
        <w:rPr>
          <w:rFonts w:asciiTheme="minorHAnsi" w:hAnsiTheme="minorHAnsi" w:cstheme="minorHAnsi"/>
          <w:sz w:val="22"/>
        </w:rPr>
        <w:t xml:space="preserve">is a </w:t>
      </w:r>
      <w:r w:rsidR="00B974A5" w:rsidRPr="00293CBE">
        <w:rPr>
          <w:rFonts w:asciiTheme="minorHAnsi" w:hAnsiTheme="minorHAnsi" w:cstheme="minorHAnsi"/>
          <w:sz w:val="22"/>
        </w:rPr>
        <w:t xml:space="preserve">former </w:t>
      </w:r>
      <w:r w:rsidRPr="00293CBE">
        <w:rPr>
          <w:rFonts w:asciiTheme="minorHAnsi" w:hAnsiTheme="minorHAnsi" w:cstheme="minorHAnsi"/>
          <w:sz w:val="22"/>
        </w:rPr>
        <w:t xml:space="preserve">raised </w:t>
      </w:r>
      <w:r w:rsidR="00B974A5" w:rsidRPr="00293CBE">
        <w:rPr>
          <w:rFonts w:asciiTheme="minorHAnsi" w:hAnsiTheme="minorHAnsi" w:cstheme="minorHAnsi"/>
          <w:sz w:val="22"/>
        </w:rPr>
        <w:t>mire</w:t>
      </w:r>
      <w:r w:rsidRPr="00293CBE">
        <w:rPr>
          <w:rFonts w:asciiTheme="minorHAnsi" w:hAnsiTheme="minorHAnsi" w:cstheme="minorHAnsi"/>
          <w:sz w:val="22"/>
        </w:rPr>
        <w:t xml:space="preserve"> situated on the border between England and Wales </w:t>
      </w:r>
      <w:r w:rsidR="00B974A5" w:rsidRPr="00293CBE">
        <w:rPr>
          <w:rFonts w:asciiTheme="minorHAnsi" w:hAnsiTheme="minorHAnsi" w:cstheme="minorHAnsi"/>
          <w:sz w:val="22"/>
        </w:rPr>
        <w:t>(</w:t>
      </w:r>
      <w:bookmarkStart w:id="20" w:name="_Hlk122093495"/>
      <w:r w:rsidR="00B974A5" w:rsidRPr="00293CBE">
        <w:rPr>
          <w:rFonts w:asciiTheme="minorHAnsi" w:hAnsiTheme="minorHAnsi" w:cstheme="minorHAnsi"/>
          <w:sz w:val="22"/>
        </w:rPr>
        <w:t>Leah et al., 1998</w:t>
      </w:r>
      <w:bookmarkEnd w:id="20"/>
      <w:r w:rsidR="00B974A5" w:rsidRPr="00293CBE">
        <w:rPr>
          <w:rFonts w:asciiTheme="minorHAnsi" w:hAnsiTheme="minorHAnsi" w:cstheme="minorHAnsi"/>
          <w:sz w:val="22"/>
        </w:rPr>
        <w:t>)</w:t>
      </w:r>
      <w:r w:rsidRPr="00293CBE">
        <w:rPr>
          <w:rFonts w:asciiTheme="minorHAnsi" w:hAnsiTheme="minorHAnsi" w:cstheme="minorHAnsi"/>
          <w:sz w:val="22"/>
        </w:rPr>
        <w:t>.</w:t>
      </w:r>
      <w:r w:rsidR="000E4150" w:rsidRPr="00293CBE">
        <w:rPr>
          <w:rFonts w:asciiTheme="minorHAnsi" w:hAnsiTheme="minorHAnsi" w:cstheme="minorHAnsi"/>
          <w:sz w:val="22"/>
        </w:rPr>
        <w:t xml:space="preserve"> </w:t>
      </w:r>
      <w:r w:rsidR="00653E76" w:rsidRPr="00293CBE">
        <w:rPr>
          <w:rFonts w:asciiTheme="minorHAnsi" w:hAnsiTheme="minorHAnsi" w:cstheme="minorHAnsi"/>
          <w:sz w:val="22"/>
        </w:rPr>
        <w:t xml:space="preserve">Monthly average air temperature in this region </w:t>
      </w:r>
      <w:r w:rsidR="00000009" w:rsidRPr="00293CBE">
        <w:rPr>
          <w:rFonts w:asciiTheme="minorHAnsi" w:hAnsiTheme="minorHAnsi" w:cstheme="minorHAnsi"/>
          <w:sz w:val="22"/>
        </w:rPr>
        <w:t>ranges</w:t>
      </w:r>
      <w:r w:rsidR="00653E76" w:rsidRPr="00293CBE">
        <w:rPr>
          <w:rFonts w:asciiTheme="minorHAnsi" w:hAnsiTheme="minorHAnsi" w:cstheme="minorHAnsi"/>
          <w:sz w:val="22"/>
        </w:rPr>
        <w:t xml:space="preserve"> from 0.6</w:t>
      </w:r>
      <w:r w:rsidR="00653E76" w:rsidRPr="00293CBE">
        <w:rPr>
          <w:rFonts w:asciiTheme="minorHAnsi" w:hAnsiTheme="minorHAnsi" w:cstheme="minorHAnsi"/>
          <w:sz w:val="22"/>
          <w:vertAlign w:val="superscript"/>
        </w:rPr>
        <w:t>O</w:t>
      </w:r>
      <w:r w:rsidR="00653E76" w:rsidRPr="00293CBE">
        <w:rPr>
          <w:rFonts w:asciiTheme="minorHAnsi" w:hAnsiTheme="minorHAnsi" w:cstheme="minorHAnsi"/>
          <w:sz w:val="22"/>
        </w:rPr>
        <w:t>C (min) to 21.0</w:t>
      </w:r>
      <w:r w:rsidR="00653E76" w:rsidRPr="00293CBE">
        <w:rPr>
          <w:rFonts w:asciiTheme="minorHAnsi" w:hAnsiTheme="minorHAnsi" w:cstheme="minorHAnsi"/>
          <w:sz w:val="22"/>
          <w:vertAlign w:val="superscript"/>
        </w:rPr>
        <w:t>O</w:t>
      </w:r>
      <w:r w:rsidR="00653E76" w:rsidRPr="00293CBE">
        <w:rPr>
          <w:rFonts w:asciiTheme="minorHAnsi" w:hAnsiTheme="minorHAnsi" w:cstheme="minorHAnsi"/>
          <w:sz w:val="22"/>
        </w:rPr>
        <w:t xml:space="preserve">C (max) and mean annual rainfall is 659.9 mm (1981 – 2010 average at Shawbury Meteorological Station, 22 km from the study site). </w:t>
      </w:r>
    </w:p>
    <w:p w14:paraId="23F6AF41" w14:textId="77777777" w:rsidR="00217BC4" w:rsidRPr="00293CBE" w:rsidRDefault="00217BC4" w:rsidP="00DA7DF6">
      <w:pPr>
        <w:pStyle w:val="NoSpacing"/>
        <w:spacing w:line="276" w:lineRule="auto"/>
        <w:jc w:val="both"/>
        <w:rPr>
          <w:rFonts w:asciiTheme="minorHAnsi" w:hAnsiTheme="minorHAnsi" w:cstheme="minorHAnsi"/>
          <w:sz w:val="22"/>
        </w:rPr>
      </w:pPr>
    </w:p>
    <w:p w14:paraId="13761C7B" w14:textId="150AFA89" w:rsidR="0080298C" w:rsidRPr="00293CBE" w:rsidRDefault="000E4150" w:rsidP="00DA7DF6">
      <w:pPr>
        <w:pStyle w:val="NoSpacing"/>
        <w:spacing w:line="276" w:lineRule="auto"/>
        <w:jc w:val="both"/>
        <w:rPr>
          <w:rFonts w:asciiTheme="minorHAnsi" w:hAnsiTheme="minorHAnsi" w:cstheme="minorHAnsi"/>
          <w:sz w:val="22"/>
        </w:rPr>
      </w:pPr>
      <w:r w:rsidRPr="00293CBE">
        <w:rPr>
          <w:rFonts w:asciiTheme="minorHAnsi" w:hAnsiTheme="minorHAnsi" w:cstheme="minorHAnsi"/>
          <w:sz w:val="22"/>
        </w:rPr>
        <w:t xml:space="preserve">Since peat </w:t>
      </w:r>
      <w:r w:rsidR="00B974A5" w:rsidRPr="00293CBE">
        <w:rPr>
          <w:rFonts w:asciiTheme="minorHAnsi" w:hAnsiTheme="minorHAnsi" w:cstheme="minorHAnsi"/>
          <w:sz w:val="22"/>
        </w:rPr>
        <w:t>extraction</w:t>
      </w:r>
      <w:r w:rsidRPr="00293CBE">
        <w:rPr>
          <w:rFonts w:asciiTheme="minorHAnsi" w:hAnsiTheme="minorHAnsi" w:cstheme="minorHAnsi"/>
          <w:sz w:val="22"/>
        </w:rPr>
        <w:t xml:space="preserve"> ended here in 199</w:t>
      </w:r>
      <w:r w:rsidR="00B974A5" w:rsidRPr="00293CBE">
        <w:rPr>
          <w:rFonts w:asciiTheme="minorHAnsi" w:hAnsiTheme="minorHAnsi" w:cstheme="minorHAnsi"/>
          <w:sz w:val="22"/>
        </w:rPr>
        <w:t>1,</w:t>
      </w:r>
      <w:r w:rsidRPr="00293CBE">
        <w:rPr>
          <w:rFonts w:asciiTheme="minorHAnsi" w:hAnsiTheme="minorHAnsi" w:cstheme="minorHAnsi"/>
          <w:sz w:val="22"/>
        </w:rPr>
        <w:t xml:space="preserve"> </w:t>
      </w:r>
      <w:r w:rsidR="00B974A5" w:rsidRPr="00293CBE">
        <w:rPr>
          <w:rFonts w:asciiTheme="minorHAnsi" w:hAnsiTheme="minorHAnsi" w:cstheme="minorHAnsi"/>
          <w:sz w:val="22"/>
        </w:rPr>
        <w:t xml:space="preserve">the site </w:t>
      </w:r>
      <w:r w:rsidRPr="00293CBE">
        <w:rPr>
          <w:rFonts w:asciiTheme="minorHAnsi" w:hAnsiTheme="minorHAnsi" w:cstheme="minorHAnsi"/>
          <w:sz w:val="22"/>
        </w:rPr>
        <w:t>has been managed for nature conservation</w:t>
      </w:r>
      <w:r w:rsidR="00613AE0" w:rsidRPr="00293CBE">
        <w:rPr>
          <w:rFonts w:asciiTheme="minorHAnsi" w:hAnsiTheme="minorHAnsi" w:cstheme="minorHAnsi"/>
          <w:sz w:val="22"/>
        </w:rPr>
        <w:t>. One aspect of the nature conservation management involves</w:t>
      </w:r>
      <w:r w:rsidR="00613AE0" w:rsidRPr="00293CBE">
        <w:rPr>
          <w:rFonts w:asciiTheme="minorHAnsi" w:hAnsiTheme="minorHAnsi" w:cstheme="minorHAnsi"/>
        </w:rPr>
        <w:t xml:space="preserve"> </w:t>
      </w:r>
      <w:r w:rsidR="00AF791E" w:rsidRPr="00293CBE">
        <w:rPr>
          <w:rFonts w:asciiTheme="minorHAnsi" w:hAnsiTheme="minorHAnsi" w:cstheme="minorHAnsi"/>
          <w:sz w:val="22"/>
        </w:rPr>
        <w:t>the removal of</w:t>
      </w:r>
      <w:r w:rsidR="00AF791E" w:rsidRPr="00293CBE">
        <w:rPr>
          <w:rFonts w:asciiTheme="minorHAnsi" w:hAnsiTheme="minorHAnsi" w:cstheme="minorHAnsi"/>
        </w:rPr>
        <w:t xml:space="preserve"> </w:t>
      </w:r>
      <w:r w:rsidR="00613AE0" w:rsidRPr="00293CBE">
        <w:rPr>
          <w:rFonts w:asciiTheme="minorHAnsi" w:hAnsiTheme="minorHAnsi" w:cstheme="minorHAnsi"/>
          <w:sz w:val="22"/>
        </w:rPr>
        <w:t>marginal forestry plantings</w:t>
      </w:r>
      <w:r w:rsidR="00AF791E" w:rsidRPr="00293CBE">
        <w:rPr>
          <w:rFonts w:asciiTheme="minorHAnsi" w:hAnsiTheme="minorHAnsi" w:cstheme="minorHAnsi"/>
          <w:sz w:val="22"/>
        </w:rPr>
        <w:t xml:space="preserve">. Trees </w:t>
      </w:r>
      <w:r w:rsidR="006B0BF7" w:rsidRPr="00293CBE">
        <w:rPr>
          <w:rFonts w:asciiTheme="minorHAnsi" w:hAnsiTheme="minorHAnsi" w:cstheme="minorHAnsi"/>
          <w:sz w:val="22"/>
        </w:rPr>
        <w:t>(</w:t>
      </w:r>
      <w:r w:rsidR="00AF791E" w:rsidRPr="00293CBE">
        <w:rPr>
          <w:rFonts w:asciiTheme="minorHAnsi" w:hAnsiTheme="minorHAnsi" w:cstheme="minorHAnsi"/>
          <w:sz w:val="22"/>
        </w:rPr>
        <w:t xml:space="preserve">Lodgepole pine </w:t>
      </w:r>
      <w:r w:rsidR="00AF791E" w:rsidRPr="00293CBE">
        <w:rPr>
          <w:rFonts w:asciiTheme="minorHAnsi" w:hAnsiTheme="minorHAnsi" w:cstheme="minorHAnsi"/>
          <w:i/>
          <w:sz w:val="22"/>
        </w:rPr>
        <w:t>Pinus contorta</w:t>
      </w:r>
      <w:r w:rsidR="00AF791E" w:rsidRPr="00293CBE">
        <w:rPr>
          <w:rFonts w:asciiTheme="minorHAnsi" w:hAnsiTheme="minorHAnsi" w:cstheme="minorHAnsi"/>
          <w:sz w:val="22"/>
        </w:rPr>
        <w:t xml:space="preserve">, Norway spruce </w:t>
      </w:r>
      <w:r w:rsidR="00AF791E" w:rsidRPr="00293CBE">
        <w:rPr>
          <w:rFonts w:asciiTheme="minorHAnsi" w:hAnsiTheme="minorHAnsi" w:cstheme="minorHAnsi"/>
          <w:i/>
          <w:sz w:val="22"/>
        </w:rPr>
        <w:t>Picea abies</w:t>
      </w:r>
      <w:r w:rsidR="00AF791E" w:rsidRPr="00293CBE">
        <w:rPr>
          <w:rFonts w:asciiTheme="minorHAnsi" w:hAnsiTheme="minorHAnsi" w:cstheme="minorHAnsi"/>
          <w:sz w:val="22"/>
        </w:rPr>
        <w:t xml:space="preserve"> and Scots pine </w:t>
      </w:r>
      <w:r w:rsidR="00AF791E" w:rsidRPr="00293CBE">
        <w:rPr>
          <w:rFonts w:asciiTheme="minorHAnsi" w:hAnsiTheme="minorHAnsi" w:cstheme="minorHAnsi"/>
          <w:i/>
          <w:sz w:val="22"/>
        </w:rPr>
        <w:t>Pinus sylvestris</w:t>
      </w:r>
      <w:r w:rsidR="006B0BF7" w:rsidRPr="00293CBE">
        <w:rPr>
          <w:rFonts w:asciiTheme="minorHAnsi" w:hAnsiTheme="minorHAnsi" w:cstheme="minorHAnsi"/>
          <w:i/>
          <w:sz w:val="22"/>
        </w:rPr>
        <w:t>)</w:t>
      </w:r>
      <w:r w:rsidR="00AF791E" w:rsidRPr="00293CBE">
        <w:rPr>
          <w:rFonts w:asciiTheme="minorHAnsi" w:hAnsiTheme="minorHAnsi" w:cstheme="minorHAnsi"/>
          <w:i/>
          <w:sz w:val="22"/>
        </w:rPr>
        <w:t xml:space="preserve"> </w:t>
      </w:r>
      <w:r w:rsidR="00AF791E" w:rsidRPr="00293CBE">
        <w:rPr>
          <w:rFonts w:asciiTheme="minorHAnsi" w:hAnsiTheme="minorHAnsi" w:cstheme="minorHAnsi"/>
          <w:iCs/>
          <w:sz w:val="22"/>
        </w:rPr>
        <w:t xml:space="preserve">were </w:t>
      </w:r>
      <w:r w:rsidR="00AF791E" w:rsidRPr="00293CBE">
        <w:rPr>
          <w:rFonts w:asciiTheme="minorHAnsi" w:hAnsiTheme="minorHAnsi" w:cstheme="minorHAnsi"/>
          <w:sz w:val="22"/>
        </w:rPr>
        <w:t xml:space="preserve">planted at 2 metre spacings </w:t>
      </w:r>
      <w:r w:rsidR="00613AE0" w:rsidRPr="00293CBE">
        <w:rPr>
          <w:rFonts w:asciiTheme="minorHAnsi" w:hAnsiTheme="minorHAnsi" w:cstheme="minorHAnsi"/>
          <w:sz w:val="22"/>
        </w:rPr>
        <w:t xml:space="preserve">at the study areas </w:t>
      </w:r>
      <w:r w:rsidR="00653E76" w:rsidRPr="00293CBE">
        <w:rPr>
          <w:rFonts w:asciiTheme="minorHAnsi" w:hAnsiTheme="minorHAnsi" w:cstheme="minorHAnsi"/>
          <w:sz w:val="22"/>
        </w:rPr>
        <w:t>~</w:t>
      </w:r>
      <w:r w:rsidR="00613AE0" w:rsidRPr="00293CBE">
        <w:rPr>
          <w:rFonts w:asciiTheme="minorHAnsi" w:hAnsiTheme="minorHAnsi" w:cstheme="minorHAnsi"/>
          <w:sz w:val="22"/>
        </w:rPr>
        <w:t xml:space="preserve"> 1960</w:t>
      </w:r>
      <w:r w:rsidR="00AF791E" w:rsidRPr="00293CBE">
        <w:rPr>
          <w:rFonts w:asciiTheme="minorHAnsi" w:hAnsiTheme="minorHAnsi" w:cstheme="minorHAnsi"/>
          <w:sz w:val="22"/>
        </w:rPr>
        <w:t>, however, s</w:t>
      </w:r>
      <w:r w:rsidR="00613AE0" w:rsidRPr="00293CBE">
        <w:rPr>
          <w:rFonts w:asciiTheme="minorHAnsi" w:hAnsiTheme="minorHAnsi" w:cstheme="minorHAnsi"/>
          <w:sz w:val="22"/>
        </w:rPr>
        <w:t xml:space="preserve">ince the late 1990’s management efforts have focused on removing existing plantations to reduce interception, evapotranspiration, shading and tree seed sources combined with damming ditches to raise the water table (Joan Daniels, </w:t>
      </w:r>
      <w:r w:rsidR="00613AE0" w:rsidRPr="00293CBE">
        <w:rPr>
          <w:rFonts w:asciiTheme="minorHAnsi" w:hAnsiTheme="minorHAnsi" w:cstheme="minorHAnsi"/>
          <w:iCs/>
          <w:sz w:val="22"/>
        </w:rPr>
        <w:t>pers comm</w:t>
      </w:r>
      <w:r w:rsidR="00613AE0" w:rsidRPr="00293CBE">
        <w:rPr>
          <w:rFonts w:asciiTheme="minorHAnsi" w:hAnsiTheme="minorHAnsi" w:cstheme="minorHAnsi"/>
          <w:sz w:val="22"/>
        </w:rPr>
        <w:t xml:space="preserve">). </w:t>
      </w:r>
      <w:r w:rsidR="00A27329" w:rsidRPr="00293CBE">
        <w:rPr>
          <w:rFonts w:asciiTheme="minorHAnsi" w:hAnsiTheme="minorHAnsi" w:cstheme="minorHAnsi"/>
          <w:sz w:val="22"/>
        </w:rPr>
        <w:t>Because trees were removed at different timescales, this study site provided the opportunity to investigate changes over a restoration chronosequence</w:t>
      </w:r>
      <w:r w:rsidR="00EC18DB">
        <w:rPr>
          <w:rFonts w:asciiTheme="minorHAnsi" w:hAnsiTheme="minorHAnsi" w:cstheme="minorHAnsi"/>
          <w:sz w:val="22"/>
        </w:rPr>
        <w:t xml:space="preserve"> (Fig 1)</w:t>
      </w:r>
      <w:r w:rsidR="00A27329" w:rsidRPr="00293CBE">
        <w:rPr>
          <w:rFonts w:asciiTheme="minorHAnsi" w:hAnsiTheme="minorHAnsi" w:cstheme="minorHAnsi"/>
          <w:sz w:val="22"/>
        </w:rPr>
        <w:t xml:space="preserve">. </w:t>
      </w:r>
      <w:r w:rsidR="00744B3E" w:rsidRPr="00293CBE">
        <w:rPr>
          <w:rFonts w:asciiTheme="minorHAnsi" w:hAnsiTheme="minorHAnsi" w:cstheme="minorHAnsi"/>
          <w:sz w:val="22"/>
        </w:rPr>
        <w:t>Although chronosequences have to be interpreted with some care</w:t>
      </w:r>
      <w:r w:rsidR="00BA0D2A" w:rsidRPr="00293CBE">
        <w:rPr>
          <w:rFonts w:asciiTheme="minorHAnsi" w:hAnsiTheme="minorHAnsi" w:cstheme="minorHAnsi"/>
          <w:sz w:val="22"/>
        </w:rPr>
        <w:t xml:space="preserve"> (Johnson and Miyanishi 2008)</w:t>
      </w:r>
      <w:r w:rsidR="00744B3E" w:rsidRPr="00293CBE">
        <w:rPr>
          <w:rFonts w:asciiTheme="minorHAnsi" w:hAnsiTheme="minorHAnsi" w:cstheme="minorHAnsi"/>
          <w:sz w:val="22"/>
        </w:rPr>
        <w:t>, their utility is that they can be studied now rather than having to wait several decades for the results from a more conventional experimental approach</w:t>
      </w:r>
      <w:r w:rsidR="0055522D" w:rsidRPr="00293CBE">
        <w:rPr>
          <w:rFonts w:asciiTheme="minorHAnsi" w:hAnsiTheme="minorHAnsi" w:cstheme="minorHAnsi"/>
          <w:sz w:val="22"/>
        </w:rPr>
        <w:t>.</w:t>
      </w:r>
    </w:p>
    <w:p w14:paraId="6743CD89" w14:textId="77777777" w:rsidR="00DA7DF6" w:rsidRPr="00293CBE" w:rsidRDefault="00DA7DF6" w:rsidP="00DA7DF6">
      <w:pPr>
        <w:pStyle w:val="NoSpacing"/>
        <w:spacing w:line="276" w:lineRule="auto"/>
        <w:jc w:val="both"/>
        <w:rPr>
          <w:rFonts w:asciiTheme="minorHAnsi" w:hAnsiTheme="minorHAnsi" w:cstheme="minorHAnsi"/>
          <w:sz w:val="22"/>
        </w:rPr>
      </w:pPr>
    </w:p>
    <w:p w14:paraId="6D0DC5AF" w14:textId="3B06596D" w:rsidR="00895C65" w:rsidRPr="00293CBE" w:rsidRDefault="00B52D35" w:rsidP="00386A0F">
      <w:pPr>
        <w:spacing w:line="276" w:lineRule="auto"/>
        <w:rPr>
          <w:rFonts w:cstheme="minorHAnsi"/>
        </w:rPr>
      </w:pPr>
      <w:r w:rsidRPr="00293CBE">
        <w:rPr>
          <w:rFonts w:cstheme="minorHAnsi"/>
        </w:rPr>
        <w:t>S</w:t>
      </w:r>
      <w:r w:rsidR="00CF5144" w:rsidRPr="00293CBE">
        <w:rPr>
          <w:rFonts w:cstheme="minorHAnsi"/>
        </w:rPr>
        <w:t xml:space="preserve">amples for quantification of </w:t>
      </w:r>
      <w:r w:rsidR="00A27329" w:rsidRPr="00293CBE">
        <w:rPr>
          <w:rFonts w:cstheme="minorHAnsi"/>
        </w:rPr>
        <w:t>TA</w:t>
      </w:r>
      <w:r w:rsidR="00CE596B" w:rsidRPr="00293CBE">
        <w:rPr>
          <w:rFonts w:cstheme="minorHAnsi"/>
        </w:rPr>
        <w:t xml:space="preserve"> </w:t>
      </w:r>
      <w:r w:rsidR="002F2450">
        <w:rPr>
          <w:rFonts w:cstheme="minorHAnsi"/>
        </w:rPr>
        <w:t xml:space="preserve">assemblages </w:t>
      </w:r>
      <w:r w:rsidR="00CE596B" w:rsidRPr="00293CBE">
        <w:rPr>
          <w:rFonts w:cstheme="minorHAnsi"/>
        </w:rPr>
        <w:t xml:space="preserve">were </w:t>
      </w:r>
      <w:r w:rsidR="00CF5144" w:rsidRPr="00293CBE">
        <w:rPr>
          <w:rFonts w:cstheme="minorHAnsi"/>
        </w:rPr>
        <w:t>collected</w:t>
      </w:r>
      <w:r w:rsidR="00CE596B" w:rsidRPr="00293CBE">
        <w:rPr>
          <w:rFonts w:cstheme="minorHAnsi"/>
        </w:rPr>
        <w:t xml:space="preserve"> in August 2015, November 2015, February 2016 and May 2016</w:t>
      </w:r>
      <w:r w:rsidR="00CF5144" w:rsidRPr="00293CBE">
        <w:rPr>
          <w:rFonts w:cstheme="minorHAnsi"/>
        </w:rPr>
        <w:t xml:space="preserve"> across three study areas</w:t>
      </w:r>
      <w:r w:rsidR="00CE596B" w:rsidRPr="00293CBE">
        <w:rPr>
          <w:rFonts w:cstheme="minorHAnsi"/>
        </w:rPr>
        <w:t xml:space="preserve">. Above-ground vegetation (vascular plants, mosses) </w:t>
      </w:r>
      <w:r w:rsidRPr="00293CBE">
        <w:rPr>
          <w:rFonts w:cstheme="minorHAnsi"/>
        </w:rPr>
        <w:t>were</w:t>
      </w:r>
      <w:r w:rsidR="00CE596B" w:rsidRPr="00293CBE">
        <w:rPr>
          <w:rFonts w:cstheme="minorHAnsi"/>
        </w:rPr>
        <w:t xml:space="preserve"> </w:t>
      </w:r>
      <w:r w:rsidR="00891B5D" w:rsidRPr="00293CBE">
        <w:rPr>
          <w:rFonts w:cstheme="minorHAnsi"/>
        </w:rPr>
        <w:t>quantified</w:t>
      </w:r>
      <w:r w:rsidR="00CE596B" w:rsidRPr="00293CBE">
        <w:rPr>
          <w:rFonts w:cstheme="minorHAnsi"/>
        </w:rPr>
        <w:t xml:space="preserve"> in August 2015 and 2016.</w:t>
      </w:r>
      <w:r w:rsidR="00232839" w:rsidRPr="00293CBE">
        <w:rPr>
          <w:rFonts w:cstheme="minorHAnsi"/>
        </w:rPr>
        <w:t xml:space="preserve"> </w:t>
      </w:r>
      <w:r w:rsidR="00A904A1" w:rsidRPr="00293CBE">
        <w:rPr>
          <w:rFonts w:cstheme="minorHAnsi"/>
        </w:rPr>
        <w:t xml:space="preserve">The </w:t>
      </w:r>
      <w:r w:rsidR="00CF5144" w:rsidRPr="00293CBE">
        <w:rPr>
          <w:rFonts w:cstheme="minorHAnsi"/>
        </w:rPr>
        <w:t xml:space="preserve">three study areas </w:t>
      </w:r>
      <w:r w:rsidR="00A904A1" w:rsidRPr="00293CBE">
        <w:rPr>
          <w:rFonts w:cstheme="minorHAnsi"/>
        </w:rPr>
        <w:t xml:space="preserve">consisted of </w:t>
      </w:r>
      <w:r w:rsidR="00CF5144" w:rsidRPr="00293CBE">
        <w:rPr>
          <w:rFonts w:cstheme="minorHAnsi"/>
        </w:rPr>
        <w:t xml:space="preserve">an area with </w:t>
      </w:r>
      <w:r w:rsidR="00A904A1" w:rsidRPr="00293CBE">
        <w:rPr>
          <w:rFonts w:cstheme="minorHAnsi"/>
        </w:rPr>
        <w:lastRenderedPageBreak/>
        <w:t>trees removed in 1998 (</w:t>
      </w:r>
      <w:r w:rsidR="00CF5144" w:rsidRPr="00293CBE">
        <w:rPr>
          <w:rFonts w:cstheme="minorHAnsi"/>
        </w:rPr>
        <w:t xml:space="preserve">referred to as </w:t>
      </w:r>
      <w:r w:rsidR="00A904A1" w:rsidRPr="00293CBE">
        <w:rPr>
          <w:rFonts w:cstheme="minorHAnsi"/>
        </w:rPr>
        <w:t>RES17YRS</w:t>
      </w:r>
      <w:r w:rsidR="00CF5144" w:rsidRPr="00293CBE">
        <w:rPr>
          <w:rFonts w:cstheme="minorHAnsi"/>
        </w:rPr>
        <w:t xml:space="preserve"> i.e. 17 years post</w:t>
      </w:r>
      <w:r w:rsidR="000638FB" w:rsidRPr="00293CBE">
        <w:rPr>
          <w:rFonts w:cstheme="minorHAnsi"/>
        </w:rPr>
        <w:t>-</w:t>
      </w:r>
      <w:r w:rsidR="00CF5144" w:rsidRPr="00293CBE">
        <w:rPr>
          <w:rFonts w:cstheme="minorHAnsi"/>
        </w:rPr>
        <w:t>restoration</w:t>
      </w:r>
      <w:r w:rsidR="00A904A1" w:rsidRPr="00293CBE">
        <w:rPr>
          <w:rFonts w:cstheme="minorHAnsi"/>
        </w:rPr>
        <w:t>)</w:t>
      </w:r>
      <w:r w:rsidR="00495913">
        <w:rPr>
          <w:rFonts w:cstheme="minorHAnsi"/>
        </w:rPr>
        <w:t xml:space="preserve"> (</w:t>
      </w:r>
      <w:r w:rsidR="00495913" w:rsidRPr="00495913">
        <w:rPr>
          <w:rFonts w:cstheme="minorHAnsi"/>
        </w:rPr>
        <w:t>52°93’49’’</w:t>
      </w:r>
      <w:r w:rsidR="00FB2CB4">
        <w:rPr>
          <w:rFonts w:cstheme="minorHAnsi"/>
        </w:rPr>
        <w:t xml:space="preserve"> N, </w:t>
      </w:r>
      <w:r w:rsidR="00FB2CB4" w:rsidRPr="00FB2CB4">
        <w:rPr>
          <w:rFonts w:cstheme="minorHAnsi"/>
        </w:rPr>
        <w:t>02°76’00’’</w:t>
      </w:r>
      <w:r w:rsidR="00FB2CB4">
        <w:rPr>
          <w:rFonts w:cstheme="minorHAnsi"/>
        </w:rPr>
        <w:t xml:space="preserve"> W)</w:t>
      </w:r>
      <w:r w:rsidR="00CF5144" w:rsidRPr="00293CBE">
        <w:rPr>
          <w:rFonts w:cstheme="minorHAnsi"/>
        </w:rPr>
        <w:t xml:space="preserve">, trees removed in 2009 (RES6YRS) </w:t>
      </w:r>
      <w:r w:rsidR="00FB2CB4">
        <w:rPr>
          <w:rFonts w:cstheme="minorHAnsi"/>
        </w:rPr>
        <w:t>(</w:t>
      </w:r>
      <w:r w:rsidR="00FB2CB4" w:rsidRPr="00FB2CB4">
        <w:rPr>
          <w:rFonts w:cstheme="minorHAnsi"/>
        </w:rPr>
        <w:t>52°93’52’’</w:t>
      </w:r>
      <w:r w:rsidR="00FB2CB4">
        <w:rPr>
          <w:rFonts w:cstheme="minorHAnsi"/>
        </w:rPr>
        <w:t xml:space="preserve"> N, </w:t>
      </w:r>
      <w:r w:rsidR="00FB2CB4" w:rsidRPr="00FB2CB4">
        <w:rPr>
          <w:rFonts w:cstheme="minorHAnsi"/>
        </w:rPr>
        <w:t>02°75’86’’</w:t>
      </w:r>
      <w:r w:rsidR="00FB2CB4">
        <w:rPr>
          <w:rFonts w:cstheme="minorHAnsi"/>
        </w:rPr>
        <w:t xml:space="preserve"> W) </w:t>
      </w:r>
      <w:r w:rsidR="00CF5144" w:rsidRPr="00293CBE">
        <w:rPr>
          <w:rFonts w:cstheme="minorHAnsi"/>
        </w:rPr>
        <w:t>and these areas were compared to a reference ‘control’ area not planted with trees (OPEN)</w:t>
      </w:r>
      <w:r w:rsidR="00FB2CB4">
        <w:rPr>
          <w:rFonts w:cstheme="minorHAnsi"/>
        </w:rPr>
        <w:t xml:space="preserve"> (</w:t>
      </w:r>
      <w:r w:rsidR="00FB2CB4" w:rsidRPr="00FB2CB4">
        <w:rPr>
          <w:rFonts w:cstheme="minorHAnsi"/>
        </w:rPr>
        <w:t>52°91’44’’</w:t>
      </w:r>
      <w:r w:rsidR="00FB2CB4">
        <w:rPr>
          <w:rFonts w:cstheme="minorHAnsi"/>
        </w:rPr>
        <w:t xml:space="preserve"> N, </w:t>
      </w:r>
      <w:r w:rsidR="00FB2CB4" w:rsidRPr="00FB2CB4">
        <w:rPr>
          <w:rFonts w:cstheme="minorHAnsi"/>
        </w:rPr>
        <w:t>02°77’23’’</w:t>
      </w:r>
      <w:r w:rsidR="00FB2CB4">
        <w:rPr>
          <w:rFonts w:cstheme="minorHAnsi"/>
        </w:rPr>
        <w:t xml:space="preserve"> W)</w:t>
      </w:r>
      <w:r w:rsidR="00CF5144" w:rsidRPr="00293CBE">
        <w:rPr>
          <w:rFonts w:cstheme="minorHAnsi"/>
        </w:rPr>
        <w:t xml:space="preserve">. </w:t>
      </w:r>
    </w:p>
    <w:p w14:paraId="442DC163" w14:textId="7C381E8E" w:rsidR="00891B5D" w:rsidRDefault="00891B5D" w:rsidP="00386A0F">
      <w:pPr>
        <w:spacing w:line="276" w:lineRule="auto"/>
        <w:rPr>
          <w:rFonts w:cstheme="minorHAnsi"/>
        </w:rPr>
      </w:pPr>
      <w:r w:rsidRPr="00293CBE">
        <w:rPr>
          <w:rFonts w:cstheme="minorHAnsi"/>
        </w:rPr>
        <w:t xml:space="preserve">Reference areas were characterised by hummock-hollow microtopography and supported typical peatland plant species such as: </w:t>
      </w:r>
      <w:r w:rsidRPr="00293CBE">
        <w:rPr>
          <w:rFonts w:cstheme="minorHAnsi"/>
          <w:i/>
        </w:rPr>
        <w:t xml:space="preserve">Sphagnum </w:t>
      </w:r>
      <w:r w:rsidRPr="00293CBE">
        <w:rPr>
          <w:rFonts w:cstheme="minorHAnsi"/>
        </w:rPr>
        <w:t>spp</w:t>
      </w:r>
      <w:r w:rsidRPr="00293CBE">
        <w:rPr>
          <w:rFonts w:cstheme="minorHAnsi"/>
          <w:i/>
        </w:rPr>
        <w:t>.</w:t>
      </w:r>
      <w:r w:rsidRPr="00293CBE">
        <w:rPr>
          <w:rFonts w:cstheme="minorHAnsi"/>
        </w:rPr>
        <w:t xml:space="preserve">, </w:t>
      </w:r>
      <w:r w:rsidRPr="00293CBE">
        <w:rPr>
          <w:rFonts w:cstheme="minorHAnsi"/>
          <w:i/>
        </w:rPr>
        <w:t>Aulacomnium palustre</w:t>
      </w:r>
      <w:r w:rsidRPr="00293CBE">
        <w:rPr>
          <w:rFonts w:cstheme="minorHAnsi"/>
        </w:rPr>
        <w:t xml:space="preserve">, </w:t>
      </w:r>
      <w:r w:rsidRPr="00293CBE">
        <w:rPr>
          <w:rFonts w:cstheme="minorHAnsi"/>
          <w:i/>
        </w:rPr>
        <w:t xml:space="preserve">Vaccinium oxycoccos, Erica tetralix </w:t>
      </w:r>
      <w:r w:rsidRPr="00293CBE">
        <w:rPr>
          <w:rFonts w:cstheme="minorHAnsi"/>
        </w:rPr>
        <w:t>and</w:t>
      </w:r>
      <w:r w:rsidRPr="00293CBE">
        <w:rPr>
          <w:rFonts w:cstheme="minorHAnsi"/>
          <w:i/>
        </w:rPr>
        <w:t xml:space="preserve"> Eriophorum vaginatum. </w:t>
      </w:r>
      <w:r w:rsidRPr="00293CBE">
        <w:rPr>
          <w:rFonts w:cstheme="minorHAnsi"/>
        </w:rPr>
        <w:t xml:space="preserve">Restoration areas were characterised by ridge-furrow microtopography. Vegetation/cover in RES17YRS was dominated by ericaceous species such as: </w:t>
      </w:r>
      <w:r w:rsidRPr="00293CBE">
        <w:rPr>
          <w:rFonts w:cstheme="minorHAnsi"/>
          <w:i/>
        </w:rPr>
        <w:t xml:space="preserve">Calluna vulgaris, </w:t>
      </w:r>
      <w:bookmarkStart w:id="21" w:name="_Hlk534715786"/>
      <w:r w:rsidRPr="00293CBE">
        <w:rPr>
          <w:rFonts w:cstheme="minorHAnsi"/>
          <w:i/>
        </w:rPr>
        <w:t>Vaccinium oxycoccos</w:t>
      </w:r>
      <w:r w:rsidRPr="00293CBE">
        <w:rPr>
          <w:rFonts w:cstheme="minorHAnsi"/>
        </w:rPr>
        <w:t xml:space="preserve"> </w:t>
      </w:r>
      <w:bookmarkEnd w:id="21"/>
      <w:r w:rsidRPr="00293CBE">
        <w:rPr>
          <w:rFonts w:cstheme="minorHAnsi"/>
        </w:rPr>
        <w:t xml:space="preserve">and </w:t>
      </w:r>
      <w:r w:rsidRPr="00293CBE">
        <w:rPr>
          <w:rFonts w:cstheme="minorHAnsi"/>
          <w:i/>
        </w:rPr>
        <w:t>Erica tetralix</w:t>
      </w:r>
      <w:r w:rsidRPr="00293CBE">
        <w:rPr>
          <w:rFonts w:cstheme="minorHAnsi"/>
        </w:rPr>
        <w:t xml:space="preserve"> on the drier ridges with </w:t>
      </w:r>
      <w:r w:rsidRPr="00293CBE">
        <w:rPr>
          <w:rFonts w:cstheme="minorHAnsi"/>
          <w:i/>
        </w:rPr>
        <w:t>Eriophorum vaginatum</w:t>
      </w:r>
      <w:r w:rsidRPr="00293CBE">
        <w:rPr>
          <w:rFonts w:cstheme="minorHAnsi"/>
        </w:rPr>
        <w:t xml:space="preserve"> and </w:t>
      </w:r>
      <w:r w:rsidRPr="00293CBE">
        <w:rPr>
          <w:rFonts w:cstheme="minorHAnsi"/>
          <w:i/>
        </w:rPr>
        <w:t>Sphagnum</w:t>
      </w:r>
      <w:r w:rsidRPr="00293CBE">
        <w:rPr>
          <w:rFonts w:cstheme="minorHAnsi"/>
        </w:rPr>
        <w:t xml:space="preserve"> spp., colonising the wetter furrows. At RES6YRS ridges consisted of bare peat and brash (e.g. conifer needle litter and woody debris) with </w:t>
      </w:r>
      <w:r w:rsidRPr="00293CBE">
        <w:rPr>
          <w:rFonts w:cstheme="minorHAnsi"/>
          <w:i/>
        </w:rPr>
        <w:t>Calluna vulgaris</w:t>
      </w:r>
      <w:r w:rsidRPr="00293CBE">
        <w:rPr>
          <w:rFonts w:cstheme="minorHAnsi"/>
        </w:rPr>
        <w:t xml:space="preserve"> and furrows were colonised by </w:t>
      </w:r>
      <w:r w:rsidRPr="00293CBE">
        <w:rPr>
          <w:rFonts w:cstheme="minorHAnsi"/>
          <w:i/>
        </w:rPr>
        <w:t xml:space="preserve">Eriophorum angustifolium </w:t>
      </w:r>
      <w:r w:rsidRPr="00293CBE">
        <w:rPr>
          <w:rFonts w:cstheme="minorHAnsi"/>
        </w:rPr>
        <w:t xml:space="preserve">on bare peat and brash. </w:t>
      </w:r>
    </w:p>
    <w:p w14:paraId="78A376CB" w14:textId="77777777" w:rsidR="002B6A8D" w:rsidRPr="00293CBE" w:rsidRDefault="002B6A8D" w:rsidP="002B6A8D">
      <w:pPr>
        <w:spacing w:line="276" w:lineRule="auto"/>
        <w:jc w:val="both"/>
        <w:rPr>
          <w:rFonts w:cstheme="minorHAnsi"/>
          <w:i/>
          <w:iCs/>
        </w:rPr>
      </w:pPr>
      <w:r w:rsidRPr="00293CBE">
        <w:rPr>
          <w:rFonts w:cstheme="minorHAnsi"/>
          <w:i/>
          <w:iCs/>
        </w:rPr>
        <w:t>Edaphic and environmental variables</w:t>
      </w:r>
    </w:p>
    <w:p w14:paraId="32114A53" w14:textId="7A1A7BD5" w:rsidR="002B6A8D" w:rsidRPr="00293CBE" w:rsidRDefault="002B6A8D" w:rsidP="002B6A8D">
      <w:pPr>
        <w:spacing w:line="276" w:lineRule="auto"/>
        <w:rPr>
          <w:rFonts w:cstheme="minorHAnsi"/>
        </w:rPr>
      </w:pPr>
      <w:r w:rsidRPr="00293CBE">
        <w:rPr>
          <w:rFonts w:cstheme="minorHAnsi"/>
          <w:szCs w:val="24"/>
        </w:rPr>
        <w:t xml:space="preserve">At each sampling point, dipwells were permanently installed to allow for repeated water table measurements. </w:t>
      </w:r>
      <w:r w:rsidRPr="00293CBE">
        <w:rPr>
          <w:rFonts w:cstheme="minorHAnsi"/>
        </w:rPr>
        <w:t xml:space="preserve">Samples for the measurement of pH, conductivity, moisture content, bulk organic matter content and bulk density were collected in December 2015. Three replicate sub-samples were collected from each sampling point (n = 63). Samples for measurement of micro-environmental variables were prepared according to standard methods (Chambers et al., 2010). Bulk density samples were carefully extracted by cutting into the surface vegetation/peat using an open cylinder of known volume (400 ml). Samples were weighed, oven-dried at 105°C and reweighed to determine bulk density and moisture content. Organic matter content was determined by loss on ignition at a temperature of 550°C (Chambers et al., 2010). Samples for measurements of pH and conductivity were prepared by mixing 20 ml surface sample with 25 ml de-ionised water. Samples were shaken at 400 rpm for 30 minutes and centrifuged at 3000 rpm for 5 minutes. Measurements were obtained using a Hanna </w:t>
      </w:r>
      <w:r w:rsidRPr="00293CBE">
        <w:rPr>
          <w:rFonts w:cstheme="minorHAnsi"/>
          <w:color w:val="222222"/>
          <w:shd w:val="clear" w:color="auto" w:fill="FFFFFF"/>
        </w:rPr>
        <w:t>HI 98128</w:t>
      </w:r>
      <w:r w:rsidRPr="00293CBE">
        <w:rPr>
          <w:rFonts w:cstheme="minorHAnsi"/>
        </w:rPr>
        <w:t xml:space="preserve"> multiparameter probe for pH and conductivity was measured using a Hanna </w:t>
      </w:r>
      <w:r w:rsidRPr="00293CBE">
        <w:rPr>
          <w:rFonts w:cstheme="minorHAnsi"/>
          <w:color w:val="222222"/>
          <w:shd w:val="clear" w:color="auto" w:fill="FFFFFF"/>
        </w:rPr>
        <w:t>HI 98311 probe</w:t>
      </w:r>
      <w:r w:rsidRPr="00293CBE">
        <w:rPr>
          <w:rFonts w:cstheme="minorHAnsi"/>
        </w:rPr>
        <w:t xml:space="preserve">. Water table position was measured </w:t>
      </w:r>
      <w:r w:rsidR="00855E2D">
        <w:rPr>
          <w:rFonts w:cstheme="minorHAnsi"/>
        </w:rPr>
        <w:t xml:space="preserve">at the same time as TA sampling </w:t>
      </w:r>
      <w:r w:rsidRPr="00293CBE">
        <w:rPr>
          <w:rFonts w:cstheme="minorHAnsi"/>
        </w:rPr>
        <w:t xml:space="preserve">using dipwells located within one metre of the TA sampling points. </w:t>
      </w:r>
    </w:p>
    <w:p w14:paraId="5E0109A4" w14:textId="77777777" w:rsidR="002B6A8D" w:rsidRPr="00293CBE" w:rsidRDefault="002B6A8D" w:rsidP="002B6A8D">
      <w:pPr>
        <w:spacing w:line="276" w:lineRule="auto"/>
        <w:rPr>
          <w:rFonts w:cstheme="minorHAnsi"/>
          <w:i/>
          <w:iCs/>
        </w:rPr>
      </w:pPr>
      <w:r w:rsidRPr="00293CBE">
        <w:rPr>
          <w:rFonts w:cstheme="minorHAnsi"/>
          <w:i/>
          <w:iCs/>
        </w:rPr>
        <w:t>Vegetation composition</w:t>
      </w:r>
    </w:p>
    <w:p w14:paraId="0FF93669" w14:textId="38A57F27" w:rsidR="002B6A8D" w:rsidRPr="00293CBE" w:rsidRDefault="002B6A8D" w:rsidP="00386A0F">
      <w:pPr>
        <w:spacing w:line="276" w:lineRule="auto"/>
        <w:rPr>
          <w:rFonts w:cstheme="minorHAnsi"/>
        </w:rPr>
      </w:pPr>
      <w:r w:rsidRPr="00293CBE">
        <w:rPr>
          <w:rFonts w:cstheme="minorHAnsi"/>
        </w:rPr>
        <w:t xml:space="preserve">Vegetation surveys were carried out at the peak biomass period in August 2015 and August 2016 using the line point-intercept (LPI) method (Rochefort et al., 2013). This involved carefully placing a 50 x 50 cm frame over each sampling area and taking 25 measurements at equal 5 cm intervals based on the number of species touches with a vertically placed pin (1 mm diameter). Plant species composition for both surveys was averaged and the and moss and vascular plant abundances were expressed as percentage of mean number of hits (%). </w:t>
      </w:r>
      <w:bookmarkStart w:id="22" w:name="_Hlk130630829"/>
      <w:r w:rsidR="005A6B95">
        <w:rPr>
          <w:rFonts w:cstheme="minorHAnsi"/>
        </w:rPr>
        <w:t>The relative proportion (%) of key plant groups w</w:t>
      </w:r>
      <w:r w:rsidR="00E3549F">
        <w:rPr>
          <w:rFonts w:cstheme="minorHAnsi"/>
        </w:rPr>
        <w:t>as</w:t>
      </w:r>
      <w:r w:rsidR="005A6B95">
        <w:rPr>
          <w:rFonts w:cstheme="minorHAnsi"/>
        </w:rPr>
        <w:t xml:space="preserve"> calculated. Cover of aerenchymas plants (AERENCOV) included </w:t>
      </w:r>
      <w:r w:rsidR="005A6B95" w:rsidRPr="008B0920">
        <w:rPr>
          <w:rFonts w:cstheme="minorHAnsi"/>
          <w:i/>
        </w:rPr>
        <w:t>Eriophorum angustifolium</w:t>
      </w:r>
      <w:r w:rsidR="005A6B95">
        <w:rPr>
          <w:rFonts w:cstheme="minorHAnsi"/>
        </w:rPr>
        <w:t xml:space="preserve"> and </w:t>
      </w:r>
      <w:r w:rsidR="005A6B95" w:rsidRPr="008B0920">
        <w:rPr>
          <w:rFonts w:cstheme="minorHAnsi"/>
          <w:i/>
        </w:rPr>
        <w:t>Eriophorum vaginatum</w:t>
      </w:r>
      <w:r w:rsidR="00D02D61">
        <w:rPr>
          <w:rFonts w:cstheme="minorHAnsi"/>
        </w:rPr>
        <w:t xml:space="preserve">, </w:t>
      </w:r>
      <w:r w:rsidR="005A6B95" w:rsidRPr="008B0920">
        <w:rPr>
          <w:rFonts w:cstheme="minorHAnsi"/>
          <w:i/>
        </w:rPr>
        <w:t>Sphagnum</w:t>
      </w:r>
      <w:r w:rsidR="005A6B95">
        <w:rPr>
          <w:rFonts w:cstheme="minorHAnsi"/>
        </w:rPr>
        <w:t xml:space="preserve"> moss </w:t>
      </w:r>
      <w:r w:rsidR="00D02D61">
        <w:rPr>
          <w:rFonts w:cstheme="minorHAnsi"/>
        </w:rPr>
        <w:t xml:space="preserve">cover </w:t>
      </w:r>
      <w:r w:rsidR="005A6B95">
        <w:rPr>
          <w:rFonts w:cstheme="minorHAnsi"/>
        </w:rPr>
        <w:t xml:space="preserve">(SPHCOV) included </w:t>
      </w:r>
      <w:r w:rsidR="005A6B95" w:rsidRPr="008B0920">
        <w:rPr>
          <w:rFonts w:cstheme="minorHAnsi"/>
          <w:i/>
        </w:rPr>
        <w:t>Sphagnum angustifolium</w:t>
      </w:r>
      <w:r w:rsidR="005A6B95">
        <w:rPr>
          <w:rFonts w:cstheme="minorHAnsi"/>
        </w:rPr>
        <w:t xml:space="preserve"> and </w:t>
      </w:r>
      <w:r w:rsidR="005A6B95" w:rsidRPr="008B0920">
        <w:rPr>
          <w:rFonts w:cstheme="minorHAnsi"/>
          <w:i/>
        </w:rPr>
        <w:t>Sphagnum capillifolium</w:t>
      </w:r>
      <w:r w:rsidR="00D02D61">
        <w:rPr>
          <w:rFonts w:cstheme="minorHAnsi"/>
          <w:i/>
        </w:rPr>
        <w:t xml:space="preserve"> </w:t>
      </w:r>
      <w:r w:rsidR="00D02D61" w:rsidRPr="008B0920">
        <w:rPr>
          <w:rFonts w:cstheme="minorHAnsi"/>
        </w:rPr>
        <w:t xml:space="preserve">and </w:t>
      </w:r>
      <w:r w:rsidR="00D02D61">
        <w:rPr>
          <w:rFonts w:cstheme="minorHAnsi"/>
        </w:rPr>
        <w:t xml:space="preserve">shrub cover (SHRUBCOV) included </w:t>
      </w:r>
      <w:r w:rsidR="00D02D61" w:rsidRPr="008B0920">
        <w:rPr>
          <w:rFonts w:cstheme="minorHAnsi"/>
          <w:i/>
        </w:rPr>
        <w:t>Calluna vulgaris</w:t>
      </w:r>
      <w:r w:rsidR="00D02D61">
        <w:rPr>
          <w:rFonts w:cstheme="minorHAnsi"/>
        </w:rPr>
        <w:t xml:space="preserve">, </w:t>
      </w:r>
      <w:r w:rsidR="00D02D61" w:rsidRPr="008B0920">
        <w:rPr>
          <w:rFonts w:cstheme="minorHAnsi"/>
          <w:i/>
        </w:rPr>
        <w:t>Empetrum nigrum</w:t>
      </w:r>
      <w:r w:rsidR="00D02D61">
        <w:rPr>
          <w:rFonts w:cstheme="minorHAnsi"/>
        </w:rPr>
        <w:t xml:space="preserve">, </w:t>
      </w:r>
      <w:r w:rsidR="00D02D61" w:rsidRPr="00735B1B">
        <w:rPr>
          <w:rFonts w:cstheme="minorHAnsi"/>
          <w:i/>
        </w:rPr>
        <w:t>Erica tetralix</w:t>
      </w:r>
      <w:r w:rsidR="00D02D61">
        <w:rPr>
          <w:rFonts w:cstheme="minorHAnsi"/>
        </w:rPr>
        <w:t xml:space="preserve">, </w:t>
      </w:r>
      <w:r w:rsidR="00D02D61" w:rsidRPr="008B0920">
        <w:rPr>
          <w:rFonts w:cstheme="minorHAnsi"/>
          <w:i/>
        </w:rPr>
        <w:t>Vaccinium oxycoccos</w:t>
      </w:r>
      <w:r w:rsidR="00D02D61">
        <w:rPr>
          <w:rFonts w:cstheme="minorHAnsi"/>
          <w:i/>
        </w:rPr>
        <w:t xml:space="preserve"> </w:t>
      </w:r>
      <w:r w:rsidR="00D02D61" w:rsidRPr="008B0920">
        <w:rPr>
          <w:rFonts w:cstheme="minorHAnsi"/>
        </w:rPr>
        <w:t>and</w:t>
      </w:r>
      <w:r w:rsidR="00D02D61">
        <w:rPr>
          <w:rFonts w:cstheme="minorHAnsi"/>
          <w:i/>
        </w:rPr>
        <w:t xml:space="preserve"> </w:t>
      </w:r>
      <w:r w:rsidR="00D02D61" w:rsidRPr="008B0920">
        <w:rPr>
          <w:rFonts w:cstheme="minorHAnsi"/>
          <w:i/>
        </w:rPr>
        <w:t>Vaccinium myrtillu</w:t>
      </w:r>
      <w:r w:rsidR="00D02D61">
        <w:rPr>
          <w:rFonts w:cstheme="minorHAnsi"/>
          <w:i/>
        </w:rPr>
        <w:t>s</w:t>
      </w:r>
      <w:r w:rsidR="005A6B95">
        <w:rPr>
          <w:rFonts w:cstheme="minorHAnsi"/>
        </w:rPr>
        <w:t xml:space="preserve">. </w:t>
      </w:r>
      <w:bookmarkEnd w:id="22"/>
      <w:r w:rsidRPr="00293CBE">
        <w:rPr>
          <w:rFonts w:cstheme="minorHAnsi"/>
        </w:rPr>
        <w:t xml:space="preserve">The nomenclature followed Atherton et al. (2010) for mosses and Stace (2019) for vascular plants. </w:t>
      </w:r>
    </w:p>
    <w:p w14:paraId="06C5DFFF" w14:textId="730E3AAC" w:rsidR="00891B5D" w:rsidRPr="00293CBE" w:rsidRDefault="00934713" w:rsidP="00386A0F">
      <w:pPr>
        <w:spacing w:line="276" w:lineRule="auto"/>
        <w:rPr>
          <w:rFonts w:cstheme="minorHAnsi"/>
          <w:i/>
          <w:iCs/>
        </w:rPr>
      </w:pPr>
      <w:r w:rsidRPr="00293CBE">
        <w:rPr>
          <w:rFonts w:cstheme="minorHAnsi"/>
          <w:i/>
          <w:iCs/>
        </w:rPr>
        <w:t>Testate amoebae</w:t>
      </w:r>
      <w:r w:rsidR="00891B5D" w:rsidRPr="00293CBE">
        <w:rPr>
          <w:rFonts w:cstheme="minorHAnsi"/>
          <w:i/>
          <w:iCs/>
        </w:rPr>
        <w:t xml:space="preserve"> sampling, preparation and quantification</w:t>
      </w:r>
    </w:p>
    <w:p w14:paraId="4180D98A" w14:textId="31D4B7DE" w:rsidR="004A110A" w:rsidRPr="00293CBE" w:rsidRDefault="0020443F" w:rsidP="004A110A">
      <w:pPr>
        <w:spacing w:line="276" w:lineRule="auto"/>
        <w:rPr>
          <w:rFonts w:cstheme="minorHAnsi"/>
        </w:rPr>
      </w:pPr>
      <w:r w:rsidRPr="00293CBE">
        <w:rPr>
          <w:rFonts w:cstheme="minorHAnsi"/>
        </w:rPr>
        <w:t xml:space="preserve">Within each of the three study areas seven sampling points (n = 7) were located at the interface of micro-topographic features, these were ridges and furrows at the restoration areas and hummocks </w:t>
      </w:r>
      <w:r w:rsidRPr="00293CBE">
        <w:rPr>
          <w:rFonts w:cstheme="minorHAnsi"/>
        </w:rPr>
        <w:lastRenderedPageBreak/>
        <w:t xml:space="preserve">and hollows were the equivalent microforms at the reference ‘OPEN’ area. </w:t>
      </w:r>
      <w:bookmarkStart w:id="23" w:name="_Hlk130552375"/>
      <w:r w:rsidR="005E095C">
        <w:rPr>
          <w:rFonts w:cstheme="minorHAnsi"/>
        </w:rPr>
        <w:t>At RES17YRS three ridges and four furrows</w:t>
      </w:r>
      <w:r w:rsidR="00D35CAD" w:rsidRPr="00D35CAD">
        <w:rPr>
          <w:rFonts w:cstheme="minorHAnsi"/>
        </w:rPr>
        <w:t xml:space="preserve"> </w:t>
      </w:r>
      <w:r w:rsidR="00D35CAD">
        <w:rPr>
          <w:rFonts w:cstheme="minorHAnsi"/>
        </w:rPr>
        <w:t>were sampled,</w:t>
      </w:r>
      <w:r w:rsidR="005E095C">
        <w:rPr>
          <w:rFonts w:cstheme="minorHAnsi"/>
        </w:rPr>
        <w:t xml:space="preserve"> at RES6YRS four ridges and three furrows and at the OPEN area</w:t>
      </w:r>
      <w:r w:rsidR="00D35CAD">
        <w:rPr>
          <w:rFonts w:cstheme="minorHAnsi"/>
        </w:rPr>
        <w:t>s</w:t>
      </w:r>
      <w:r w:rsidR="005E095C">
        <w:rPr>
          <w:rFonts w:cstheme="minorHAnsi"/>
        </w:rPr>
        <w:t xml:space="preserve"> </w:t>
      </w:r>
      <w:r w:rsidR="00EC18DB">
        <w:rPr>
          <w:rFonts w:cstheme="minorHAnsi"/>
        </w:rPr>
        <w:t xml:space="preserve">three hummocks and four hollows. </w:t>
      </w:r>
      <w:bookmarkEnd w:id="23"/>
      <w:r w:rsidR="004A110A" w:rsidRPr="00293CBE">
        <w:rPr>
          <w:rFonts w:cstheme="minorHAnsi"/>
        </w:rPr>
        <w:t xml:space="preserve">For the analysis of TA </w:t>
      </w:r>
      <w:r w:rsidR="002F2450">
        <w:rPr>
          <w:rFonts w:cstheme="minorHAnsi"/>
        </w:rPr>
        <w:t>assemblages</w:t>
      </w:r>
      <w:r w:rsidR="004A110A" w:rsidRPr="00293CBE">
        <w:rPr>
          <w:rFonts w:cstheme="minorHAnsi"/>
        </w:rPr>
        <w:t>, surface vegetation/peat samples</w:t>
      </w:r>
      <w:r w:rsidR="006E7C77" w:rsidRPr="006E7C77">
        <w:rPr>
          <w:rFonts w:ascii="Arial" w:hAnsi="Arial" w:cs="Arial"/>
          <w:color w:val="C00000"/>
        </w:rPr>
        <w:t xml:space="preserve"> </w:t>
      </w:r>
      <w:r w:rsidR="006E7C77" w:rsidRPr="006E7C77">
        <w:rPr>
          <w:rFonts w:cstheme="minorHAnsi"/>
        </w:rPr>
        <w:t>of approximately 5 × 5 x 10 cm</w:t>
      </w:r>
      <w:r w:rsidR="006E7C77" w:rsidRPr="006E7C77">
        <w:rPr>
          <w:rFonts w:cstheme="minorHAnsi"/>
          <w:vertAlign w:val="superscript"/>
        </w:rPr>
        <w:t>3</w:t>
      </w:r>
      <w:r w:rsidR="004A110A" w:rsidRPr="00293CBE">
        <w:rPr>
          <w:rFonts w:cstheme="minorHAnsi"/>
        </w:rPr>
        <w:t xml:space="preserve"> were collected every three months (August 2015, November 2015, February 2016 and May 2016) from three permanently marked plots giving a total of 84 samples. This experimental field design allowed for multiple sampling over time and collection of a composite sample from each plot to encompass small-scale variation. </w:t>
      </w:r>
      <w:r w:rsidR="00EC18DB">
        <w:rPr>
          <w:rFonts w:cstheme="minorHAnsi"/>
        </w:rPr>
        <w:t>T</w:t>
      </w:r>
      <w:r w:rsidR="00EC18DB" w:rsidRPr="00EC18DB">
        <w:rPr>
          <w:rFonts w:cstheme="minorHAnsi"/>
        </w:rPr>
        <w:t>he composite sample was combined of three individual samples per plot</w:t>
      </w:r>
      <w:r w:rsidR="00EC18DB">
        <w:rPr>
          <w:rFonts w:cstheme="minorHAnsi"/>
        </w:rPr>
        <w:t xml:space="preserve">. </w:t>
      </w:r>
      <w:r w:rsidR="00EC18DB" w:rsidRPr="00EC18DB">
        <w:rPr>
          <w:rFonts w:cstheme="minorHAnsi"/>
        </w:rPr>
        <w:t xml:space="preserve"> </w:t>
      </w:r>
      <w:r w:rsidR="00891B5D" w:rsidRPr="00293CBE">
        <w:rPr>
          <w:rFonts w:cstheme="minorHAnsi"/>
        </w:rPr>
        <w:t>A</w:t>
      </w:r>
      <w:r w:rsidR="004A110A" w:rsidRPr="00293CBE">
        <w:rPr>
          <w:rFonts w:cstheme="minorHAnsi"/>
        </w:rPr>
        <w:t xml:space="preserve">ll samples were frozen in the laboratory prior to preparation. </w:t>
      </w:r>
    </w:p>
    <w:p w14:paraId="756908AE" w14:textId="489E7C7D" w:rsidR="004A110A" w:rsidRPr="00293CBE" w:rsidRDefault="00891B5D" w:rsidP="00625579">
      <w:pPr>
        <w:spacing w:line="276" w:lineRule="auto"/>
        <w:rPr>
          <w:rFonts w:cstheme="minorHAnsi"/>
        </w:rPr>
      </w:pPr>
      <w:r w:rsidRPr="00293CBE">
        <w:rPr>
          <w:rFonts w:cstheme="minorHAnsi"/>
        </w:rPr>
        <w:t>TA</w:t>
      </w:r>
      <w:r w:rsidR="004A110A" w:rsidRPr="00293CBE">
        <w:rPr>
          <w:rFonts w:cstheme="minorHAnsi"/>
        </w:rPr>
        <w:t xml:space="preserve"> samples were prepared using a modified version of the method of </w:t>
      </w:r>
      <w:bookmarkStart w:id="24" w:name="_Hlk122093532"/>
      <w:r w:rsidR="004A110A" w:rsidRPr="00293CBE">
        <w:rPr>
          <w:rFonts w:cstheme="minorHAnsi"/>
        </w:rPr>
        <w:t>Booth et al. (2010)</w:t>
      </w:r>
      <w:bookmarkEnd w:id="24"/>
      <w:r w:rsidR="00C110B2" w:rsidRPr="00293CBE">
        <w:rPr>
          <w:rFonts w:cstheme="minorHAnsi"/>
        </w:rPr>
        <w:t xml:space="preserve">. </w:t>
      </w:r>
      <w:r w:rsidR="002F2450">
        <w:rPr>
          <w:rFonts w:cstheme="minorHAnsi"/>
        </w:rPr>
        <w:t xml:space="preserve">Assemblages </w:t>
      </w:r>
      <w:r w:rsidR="004A110A" w:rsidRPr="00293CBE">
        <w:rPr>
          <w:rFonts w:cstheme="minorHAnsi"/>
        </w:rPr>
        <w:t>were enumerated by direct counts using light microscopy at x 400 magnification (</w:t>
      </w:r>
      <w:r w:rsidR="004A110A" w:rsidRPr="00293CBE">
        <w:rPr>
          <w:rFonts w:cstheme="minorHAnsi"/>
          <w:shd w:val="clear" w:color="auto" w:fill="FFFFFF"/>
        </w:rPr>
        <w:t>Prior Scientific Advanced Laboratory Microscope</w:t>
      </w:r>
      <w:r w:rsidR="004A110A" w:rsidRPr="00293CBE">
        <w:rPr>
          <w:rFonts w:cstheme="minorHAnsi"/>
        </w:rPr>
        <w:t xml:space="preserve">).  </w:t>
      </w:r>
      <w:r w:rsidR="004A110A" w:rsidRPr="00293CBE">
        <w:rPr>
          <w:rFonts w:eastAsia="SimSun" w:cstheme="minorHAnsi"/>
        </w:rPr>
        <w:t xml:space="preserve">Search effort was restricted to 100 individuals per sample following </w:t>
      </w:r>
      <w:bookmarkStart w:id="25" w:name="_Hlk122093575"/>
      <w:r w:rsidR="004A110A" w:rsidRPr="00293CBE">
        <w:rPr>
          <w:rFonts w:eastAsia="SimSun" w:cstheme="minorHAnsi"/>
        </w:rPr>
        <w:t xml:space="preserve">Payne and Mitchell (2009). </w:t>
      </w:r>
      <w:bookmarkEnd w:id="25"/>
      <w:r w:rsidR="004A110A" w:rsidRPr="00293CBE">
        <w:rPr>
          <w:rFonts w:eastAsia="SimSun" w:cstheme="minorHAnsi"/>
        </w:rPr>
        <w:t xml:space="preserve">Morphological identification of testate amoebae was based on the guides of </w:t>
      </w:r>
      <w:bookmarkStart w:id="26" w:name="_Hlk122093604"/>
      <w:r w:rsidR="004A110A" w:rsidRPr="00293CBE">
        <w:rPr>
          <w:rFonts w:eastAsia="SimSun" w:cstheme="minorHAnsi"/>
        </w:rPr>
        <w:t xml:space="preserve">Charman et al., (2000), Ogden and Hedley, (1980) and </w:t>
      </w:r>
      <w:r w:rsidR="004A110A" w:rsidRPr="00293CBE">
        <w:rPr>
          <w:rFonts w:cstheme="minorHAnsi"/>
        </w:rPr>
        <w:t xml:space="preserve">Mazei and Tsyganov, (2006). </w:t>
      </w:r>
    </w:p>
    <w:bookmarkEnd w:id="26"/>
    <w:p w14:paraId="0906C1EC" w14:textId="78C7CB27" w:rsidR="00625579" w:rsidRPr="00293CBE" w:rsidRDefault="00674C26" w:rsidP="00B12FE5">
      <w:pPr>
        <w:spacing w:line="276" w:lineRule="auto"/>
        <w:jc w:val="both"/>
        <w:rPr>
          <w:rFonts w:cstheme="minorHAnsi"/>
          <w:i/>
          <w:iCs/>
        </w:rPr>
      </w:pPr>
      <w:r w:rsidRPr="00293CBE">
        <w:rPr>
          <w:rFonts w:cstheme="minorHAnsi"/>
          <w:i/>
          <w:iCs/>
        </w:rPr>
        <w:t>Statistical analyses</w:t>
      </w:r>
    </w:p>
    <w:p w14:paraId="2A5ED0EA" w14:textId="7B951E87" w:rsidR="00674C26" w:rsidRPr="00293CBE" w:rsidRDefault="00674C26" w:rsidP="00674C26">
      <w:pPr>
        <w:spacing w:line="276" w:lineRule="auto"/>
        <w:rPr>
          <w:rFonts w:eastAsiaTheme="minorEastAsia" w:cstheme="minorHAnsi"/>
          <w:kern w:val="24"/>
        </w:rPr>
      </w:pPr>
      <w:r w:rsidRPr="00293CBE">
        <w:rPr>
          <w:rFonts w:cstheme="minorHAnsi"/>
        </w:rPr>
        <w:t xml:space="preserve">Statistical analyses were performed with R </w:t>
      </w:r>
      <w:r w:rsidRPr="00293CBE">
        <w:rPr>
          <w:rFonts w:eastAsiaTheme="minorEastAsia" w:cstheme="minorHAnsi"/>
          <w:kern w:val="24"/>
        </w:rPr>
        <w:t>(</w:t>
      </w:r>
      <w:bookmarkStart w:id="27" w:name="_Hlk122093745"/>
      <w:r w:rsidRPr="00293CBE">
        <w:rPr>
          <w:rFonts w:eastAsiaTheme="minorEastAsia" w:cstheme="minorHAnsi"/>
          <w:kern w:val="24"/>
        </w:rPr>
        <w:t>R Core Team, 2013</w:t>
      </w:r>
      <w:bookmarkEnd w:id="27"/>
      <w:r w:rsidRPr="00293CBE">
        <w:rPr>
          <w:rFonts w:eastAsiaTheme="minorEastAsia" w:cstheme="minorHAnsi"/>
          <w:kern w:val="24"/>
        </w:rPr>
        <w:t xml:space="preserve">) </w:t>
      </w:r>
      <w:r w:rsidR="00E905CD" w:rsidRPr="00293CBE">
        <w:rPr>
          <w:rFonts w:eastAsiaTheme="minorEastAsia" w:cstheme="minorHAnsi"/>
          <w:kern w:val="24"/>
        </w:rPr>
        <w:t xml:space="preserve">and </w:t>
      </w:r>
      <w:r w:rsidRPr="00293CBE">
        <w:rPr>
          <w:rFonts w:eastAsiaTheme="minorEastAsia" w:cstheme="minorHAnsi"/>
          <w:kern w:val="24"/>
        </w:rPr>
        <w:t>IBM SPSS statistics (version 25).</w:t>
      </w:r>
    </w:p>
    <w:p w14:paraId="3DA4393B" w14:textId="7918616D" w:rsidR="00674C26" w:rsidRPr="00293CBE" w:rsidRDefault="00674C26" w:rsidP="00674C26">
      <w:pPr>
        <w:spacing w:line="276" w:lineRule="auto"/>
        <w:rPr>
          <w:rFonts w:eastAsiaTheme="minorEastAsia" w:cstheme="minorHAnsi"/>
          <w:kern w:val="24"/>
        </w:rPr>
      </w:pPr>
      <w:r w:rsidRPr="00293CBE">
        <w:rPr>
          <w:rFonts w:cstheme="minorHAnsi"/>
        </w:rPr>
        <w:t xml:space="preserve">Multivariate techniques were used to analyse influences on </w:t>
      </w:r>
      <w:r w:rsidR="0011701B" w:rsidRPr="00293CBE">
        <w:rPr>
          <w:rFonts w:cstheme="minorHAnsi"/>
        </w:rPr>
        <w:t>TA</w:t>
      </w:r>
      <w:r w:rsidRPr="00293CBE">
        <w:rPr>
          <w:rFonts w:cstheme="minorHAnsi"/>
        </w:rPr>
        <w:t xml:space="preserve"> </w:t>
      </w:r>
      <w:r w:rsidR="008615F0">
        <w:rPr>
          <w:rFonts w:cstheme="minorHAnsi"/>
        </w:rPr>
        <w:t xml:space="preserve">assemblages </w:t>
      </w:r>
      <w:r w:rsidRPr="00293CBE">
        <w:rPr>
          <w:rFonts w:cstheme="minorHAnsi"/>
        </w:rPr>
        <w:t>and vegetation and to investigate differences between study areas. Species data were Hellinger transformed prior to all multivariate analyses to give low weights to rare species (</w:t>
      </w:r>
      <w:bookmarkStart w:id="28" w:name="_Hlk122093768"/>
      <w:r w:rsidRPr="00293CBE">
        <w:rPr>
          <w:rFonts w:cstheme="minorHAnsi"/>
        </w:rPr>
        <w:t>Legendre and Gallagher, 2001</w:t>
      </w:r>
      <w:bookmarkEnd w:id="28"/>
      <w:r w:rsidRPr="00293CBE">
        <w:rPr>
          <w:rFonts w:cstheme="minorHAnsi"/>
        </w:rPr>
        <w:t xml:space="preserve">). Principal components analysis was used to investigate the structure of the full </w:t>
      </w:r>
      <w:r w:rsidR="0011701B" w:rsidRPr="00293CBE">
        <w:rPr>
          <w:rFonts w:cstheme="minorHAnsi"/>
        </w:rPr>
        <w:t>TA</w:t>
      </w:r>
      <w:r w:rsidRPr="00293CBE">
        <w:rPr>
          <w:rFonts w:cstheme="minorHAnsi"/>
        </w:rPr>
        <w:t xml:space="preserve"> dataset between restoration areas, sampling month and microtopography. </w:t>
      </w:r>
      <w:r w:rsidRPr="00293CBE">
        <w:rPr>
          <w:rFonts w:eastAsiaTheme="minorEastAsia" w:cstheme="minorHAnsi"/>
          <w:kern w:val="24"/>
        </w:rPr>
        <w:t>Nested Permutational Multivariate Analysis of Variance (PERMANOVA, function ‘</w:t>
      </w:r>
      <w:r w:rsidRPr="00293CBE">
        <w:rPr>
          <w:rFonts w:eastAsiaTheme="minorEastAsia" w:cstheme="minorHAnsi"/>
          <w:i/>
          <w:kern w:val="24"/>
        </w:rPr>
        <w:t>adonis’</w:t>
      </w:r>
      <w:r w:rsidRPr="00293CBE">
        <w:rPr>
          <w:rFonts w:eastAsiaTheme="minorEastAsia" w:cstheme="minorHAnsi"/>
          <w:kern w:val="24"/>
        </w:rPr>
        <w:t xml:space="preserve">) was used to </w:t>
      </w:r>
      <w:r w:rsidR="006E7C77">
        <w:rPr>
          <w:rFonts w:eastAsiaTheme="minorEastAsia" w:cstheme="minorHAnsi"/>
          <w:kern w:val="24"/>
        </w:rPr>
        <w:t xml:space="preserve">test the effects </w:t>
      </w:r>
      <w:r w:rsidRPr="00293CBE">
        <w:rPr>
          <w:rFonts w:eastAsiaTheme="minorEastAsia" w:cstheme="minorHAnsi"/>
          <w:kern w:val="24"/>
        </w:rPr>
        <w:t xml:space="preserve">of restoration area, microtopography and sampling </w:t>
      </w:r>
      <w:r w:rsidR="004C75D3" w:rsidRPr="00293CBE">
        <w:rPr>
          <w:rFonts w:eastAsiaTheme="minorEastAsia" w:cstheme="minorHAnsi"/>
          <w:kern w:val="24"/>
        </w:rPr>
        <w:t xml:space="preserve">month </w:t>
      </w:r>
      <w:r w:rsidR="004C75D3">
        <w:rPr>
          <w:rFonts w:eastAsiaTheme="minorEastAsia" w:cstheme="minorHAnsi"/>
          <w:kern w:val="24"/>
        </w:rPr>
        <w:t>on</w:t>
      </w:r>
      <w:r w:rsidRPr="00293CBE">
        <w:rPr>
          <w:rFonts w:eastAsiaTheme="minorEastAsia" w:cstheme="minorHAnsi"/>
          <w:kern w:val="24"/>
        </w:rPr>
        <w:t xml:space="preserve"> </w:t>
      </w:r>
      <w:r w:rsidR="00AF58A1" w:rsidRPr="00293CBE">
        <w:rPr>
          <w:rFonts w:eastAsiaTheme="minorEastAsia" w:cstheme="minorHAnsi"/>
          <w:kern w:val="24"/>
        </w:rPr>
        <w:t>TA</w:t>
      </w:r>
      <w:r w:rsidR="006E7C77">
        <w:rPr>
          <w:rFonts w:eastAsiaTheme="minorEastAsia" w:cstheme="minorHAnsi"/>
          <w:kern w:val="24"/>
        </w:rPr>
        <w:t xml:space="preserve"> </w:t>
      </w:r>
      <w:r w:rsidR="002E4B22">
        <w:rPr>
          <w:rFonts w:eastAsiaTheme="minorEastAsia" w:cstheme="minorHAnsi"/>
          <w:kern w:val="24"/>
        </w:rPr>
        <w:t>assemblages</w:t>
      </w:r>
      <w:r w:rsidRPr="00293CBE">
        <w:rPr>
          <w:rFonts w:eastAsiaTheme="minorEastAsia" w:cstheme="minorHAnsi"/>
          <w:kern w:val="24"/>
        </w:rPr>
        <w:t xml:space="preserve">. </w:t>
      </w:r>
    </w:p>
    <w:p w14:paraId="300F332B" w14:textId="18E3E264" w:rsidR="002E4B22" w:rsidRPr="002E4B22" w:rsidRDefault="002E4B22" w:rsidP="002E4B22">
      <w:r>
        <w:t xml:space="preserve">To detect functional response, two functional indices were calculated: mixotrophy ratio and aperture size. Mixotrophic taxa included: </w:t>
      </w:r>
      <w:r w:rsidRPr="0041523E">
        <w:rPr>
          <w:i/>
        </w:rPr>
        <w:t>Archerella flavum</w:t>
      </w:r>
      <w:r>
        <w:t xml:space="preserve">, </w:t>
      </w:r>
      <w:r w:rsidRPr="0041523E">
        <w:rPr>
          <w:i/>
        </w:rPr>
        <w:t>Heleopera</w:t>
      </w:r>
      <w:r>
        <w:t xml:space="preserve"> </w:t>
      </w:r>
      <w:r w:rsidRPr="0041523E">
        <w:rPr>
          <w:i/>
        </w:rPr>
        <w:t>sphagni</w:t>
      </w:r>
      <w:r>
        <w:t xml:space="preserve">, </w:t>
      </w:r>
      <w:r w:rsidRPr="0041523E">
        <w:rPr>
          <w:i/>
        </w:rPr>
        <w:t>Hyalosphenia</w:t>
      </w:r>
      <w:r>
        <w:t xml:space="preserve"> </w:t>
      </w:r>
      <w:r w:rsidRPr="0041523E">
        <w:rPr>
          <w:i/>
        </w:rPr>
        <w:t>papilio</w:t>
      </w:r>
      <w:r>
        <w:t xml:space="preserve"> and </w:t>
      </w:r>
      <w:r w:rsidRPr="0041523E">
        <w:rPr>
          <w:i/>
        </w:rPr>
        <w:t>Placocista</w:t>
      </w:r>
      <w:r>
        <w:t xml:space="preserve"> </w:t>
      </w:r>
      <w:r w:rsidRPr="0041523E">
        <w:rPr>
          <w:i/>
        </w:rPr>
        <w:t>spinosa</w:t>
      </w:r>
      <w:r>
        <w:t xml:space="preserve"> (Gomaa et al., 2017) and mixotrophy was determined as the proportion of mixotrophic taxa within an assemblage. Aperture sizes were classified into three size categories: 1 = &lt; 20 </w:t>
      </w:r>
      <w:r>
        <w:rPr>
          <w:rFonts w:cstheme="minorHAnsi"/>
        </w:rPr>
        <w:t>µ</w:t>
      </w:r>
      <w:r>
        <w:t xml:space="preserve">m, 2 = &lt; 40 </w:t>
      </w:r>
      <w:r>
        <w:rPr>
          <w:rFonts w:cstheme="minorHAnsi"/>
        </w:rPr>
        <w:t>µ</w:t>
      </w:r>
      <w:r>
        <w:t>m and 3 = &gt;</w:t>
      </w:r>
      <w:r w:rsidR="00E3549F">
        <w:t xml:space="preserve"> </w:t>
      </w:r>
      <w:r>
        <w:t xml:space="preserve">41 </w:t>
      </w:r>
      <w:r>
        <w:rPr>
          <w:rFonts w:cstheme="minorHAnsi"/>
        </w:rPr>
        <w:t>µ</w:t>
      </w:r>
      <w:r>
        <w:t xml:space="preserve">m following Payne et al. (2016). </w:t>
      </w:r>
    </w:p>
    <w:p w14:paraId="12817AA0" w14:textId="14E0B00B" w:rsidR="00674C26" w:rsidRPr="00293CBE" w:rsidRDefault="00674C26" w:rsidP="00674C26">
      <w:pPr>
        <w:spacing w:line="276" w:lineRule="auto"/>
        <w:rPr>
          <w:rFonts w:cstheme="minorHAnsi"/>
        </w:rPr>
      </w:pPr>
      <w:r w:rsidRPr="00293CBE">
        <w:rPr>
          <w:rFonts w:cstheme="minorHAnsi"/>
        </w:rPr>
        <w:t>The IndVal approach (</w:t>
      </w:r>
      <w:bookmarkStart w:id="29" w:name="_Hlk122093787"/>
      <w:r w:rsidRPr="00293CBE">
        <w:rPr>
          <w:rFonts w:cstheme="minorHAnsi"/>
        </w:rPr>
        <w:t>Dufrene and Legendre, 1997</w:t>
      </w:r>
      <w:bookmarkEnd w:id="29"/>
      <w:r w:rsidRPr="00293CBE">
        <w:rPr>
          <w:rFonts w:cstheme="minorHAnsi"/>
        </w:rPr>
        <w:t xml:space="preserve">) was adopted to identify indicator species of forest-to-bog and open (unafforested) study areas on the full </w:t>
      </w:r>
      <w:r w:rsidR="00AF58A1" w:rsidRPr="00293CBE">
        <w:rPr>
          <w:rFonts w:cstheme="minorHAnsi"/>
        </w:rPr>
        <w:t>TA</w:t>
      </w:r>
      <w:r w:rsidRPr="00293CBE">
        <w:rPr>
          <w:rFonts w:cstheme="minorHAnsi"/>
        </w:rPr>
        <w:t xml:space="preserve"> dataset. The clusters were categorised by </w:t>
      </w:r>
      <w:r w:rsidR="00E3549F">
        <w:rPr>
          <w:rFonts w:cstheme="minorHAnsi"/>
        </w:rPr>
        <w:t>study areas</w:t>
      </w:r>
      <w:r w:rsidRPr="00293CBE">
        <w:rPr>
          <w:rFonts w:cstheme="minorHAnsi"/>
        </w:rPr>
        <w:t xml:space="preserve"> (RES6YRS, RES17YRS and OPEN). Indicator species for each cluster were identiﬁed using the ‘indval’ function in the package ‘labdsv’ (</w:t>
      </w:r>
      <w:bookmarkStart w:id="30" w:name="_Hlk122093806"/>
      <w:r w:rsidRPr="00293CBE">
        <w:rPr>
          <w:rFonts w:cstheme="minorHAnsi"/>
        </w:rPr>
        <w:t>Roberts, 2010</w:t>
      </w:r>
      <w:bookmarkEnd w:id="30"/>
      <w:r w:rsidRPr="00293CBE">
        <w:rPr>
          <w:rFonts w:cstheme="minorHAnsi"/>
        </w:rPr>
        <w:t xml:space="preserve">). For each </w:t>
      </w:r>
      <w:r w:rsidR="008B0920">
        <w:rPr>
          <w:rFonts w:cstheme="minorHAnsi"/>
        </w:rPr>
        <w:t>assemblage</w:t>
      </w:r>
      <w:r w:rsidRPr="00293CBE">
        <w:rPr>
          <w:rFonts w:cstheme="minorHAnsi"/>
        </w:rPr>
        <w:t xml:space="preserve">, taxa with a p-value = &lt;0.01 and IndVal &gt;0.30 were selected as potential indicator species. </w:t>
      </w:r>
    </w:p>
    <w:p w14:paraId="57978AEB" w14:textId="7E09A492" w:rsidR="00E905CD" w:rsidRPr="00293CBE" w:rsidRDefault="00674C26" w:rsidP="00674C26">
      <w:pPr>
        <w:spacing w:line="276" w:lineRule="auto"/>
        <w:rPr>
          <w:rFonts w:cstheme="minorHAnsi"/>
        </w:rPr>
      </w:pPr>
      <w:r w:rsidRPr="00293CBE">
        <w:rPr>
          <w:rFonts w:cstheme="minorHAnsi"/>
        </w:rPr>
        <w:t xml:space="preserve">Redundancy analysis (RDA) (function “RDA”, package “vegan”) was used to identify </w:t>
      </w:r>
      <w:r w:rsidRPr="00293CBE">
        <w:rPr>
          <w:rFonts w:cstheme="minorHAnsi"/>
          <w:color w:val="000000"/>
          <w:shd w:val="clear" w:color="auto" w:fill="FFFFFF"/>
        </w:rPr>
        <w:t xml:space="preserve">whether vegetation and </w:t>
      </w:r>
      <w:r w:rsidR="00AF58A1" w:rsidRPr="00293CBE">
        <w:rPr>
          <w:rFonts w:cstheme="minorHAnsi"/>
          <w:color w:val="000000"/>
          <w:shd w:val="clear" w:color="auto" w:fill="FFFFFF"/>
        </w:rPr>
        <w:t>TA</w:t>
      </w:r>
      <w:r w:rsidRPr="00293CBE">
        <w:rPr>
          <w:rFonts w:cstheme="minorHAnsi"/>
          <w:color w:val="000000"/>
          <w:shd w:val="clear" w:color="auto" w:fill="FFFFFF"/>
        </w:rPr>
        <w:t xml:space="preserve"> respond similarly to edaphic and environmental drivers. </w:t>
      </w:r>
      <w:r w:rsidRPr="00293CBE">
        <w:rPr>
          <w:rFonts w:cstheme="minorHAnsi"/>
        </w:rPr>
        <w:t xml:space="preserve">To reduce the influence of rare species on the RDA, taxa present in less than ten samples were eliminated, except for </w:t>
      </w:r>
      <w:r w:rsidRPr="00293CBE">
        <w:rPr>
          <w:rFonts w:cstheme="minorHAnsi"/>
          <w:i/>
        </w:rPr>
        <w:t>Hyalosphenia papilio</w:t>
      </w:r>
      <w:r w:rsidRPr="00293CBE">
        <w:rPr>
          <w:rFonts w:cstheme="minorHAnsi"/>
        </w:rPr>
        <w:t xml:space="preserve"> which was included because of its high abundance at certain sampling points. </w:t>
      </w:r>
    </w:p>
    <w:p w14:paraId="34376F5A" w14:textId="638B2584" w:rsidR="00674C26" w:rsidRPr="00293CBE" w:rsidRDefault="00674C26" w:rsidP="00674C26">
      <w:pPr>
        <w:spacing w:line="276" w:lineRule="auto"/>
        <w:rPr>
          <w:rFonts w:cstheme="minorHAnsi"/>
        </w:rPr>
      </w:pPr>
      <w:r w:rsidRPr="00293CBE">
        <w:rPr>
          <w:rFonts w:cstheme="minorHAnsi"/>
          <w:color w:val="000000"/>
          <w:shd w:val="clear" w:color="auto" w:fill="FFFFFF"/>
        </w:rPr>
        <w:t>Variation partitioning (function “varpart”, package “vegan” (</w:t>
      </w:r>
      <w:bookmarkStart w:id="31" w:name="_Hlk122093834"/>
      <w:r w:rsidRPr="00293CBE">
        <w:rPr>
          <w:rFonts w:cstheme="minorHAnsi"/>
          <w:color w:val="000000"/>
          <w:shd w:val="clear" w:color="auto" w:fill="FFFFFF"/>
        </w:rPr>
        <w:t>Peres-Neto et al. 2006</w:t>
      </w:r>
      <w:bookmarkEnd w:id="31"/>
      <w:r w:rsidRPr="00293CBE">
        <w:rPr>
          <w:rFonts w:cstheme="minorHAnsi"/>
          <w:color w:val="000000"/>
          <w:shd w:val="clear" w:color="auto" w:fill="FFFFFF"/>
        </w:rPr>
        <w:t>))</w:t>
      </w:r>
      <w:r w:rsidRPr="00293CBE">
        <w:rPr>
          <w:rFonts w:cstheme="minorHAnsi"/>
        </w:rPr>
        <w:t xml:space="preserve"> was used to test the proportion of variation in </w:t>
      </w:r>
      <w:r w:rsidR="00AF58A1" w:rsidRPr="00293CBE">
        <w:rPr>
          <w:rFonts w:cstheme="minorHAnsi"/>
        </w:rPr>
        <w:t>TA</w:t>
      </w:r>
      <w:r w:rsidRPr="00293CBE">
        <w:rPr>
          <w:rFonts w:cstheme="minorHAnsi"/>
        </w:rPr>
        <w:t xml:space="preserve"> and vegetation explained by edaphic and environmental variables. </w:t>
      </w:r>
      <w:r w:rsidR="00855E2D">
        <w:rPr>
          <w:rFonts w:cstheme="minorHAnsi"/>
        </w:rPr>
        <w:t xml:space="preserve">Analysis of variance (ANOVA) was used to test for differences. </w:t>
      </w:r>
      <w:r w:rsidRPr="00293CBE">
        <w:rPr>
          <w:rFonts w:cstheme="minorHAnsi"/>
        </w:rPr>
        <w:t xml:space="preserve">The non-parametric Kruskal–Wallis </w:t>
      </w:r>
      <w:r w:rsidRPr="00293CBE">
        <w:rPr>
          <w:rFonts w:cstheme="minorHAnsi"/>
        </w:rPr>
        <w:lastRenderedPageBreak/>
        <w:t xml:space="preserve">(KW) test was used for continuous data which did not satisfy the assumptions of normality and homogeneity of variance after data transformation. </w:t>
      </w:r>
    </w:p>
    <w:p w14:paraId="3FB50C99" w14:textId="77777777" w:rsidR="004C75D3" w:rsidRDefault="004C75D3" w:rsidP="00674C26">
      <w:pPr>
        <w:spacing w:line="276" w:lineRule="auto"/>
        <w:rPr>
          <w:rFonts w:cstheme="minorHAnsi"/>
          <w:b/>
          <w:bCs/>
          <w:sz w:val="24"/>
          <w:szCs w:val="24"/>
        </w:rPr>
      </w:pPr>
    </w:p>
    <w:p w14:paraId="008ABE78" w14:textId="77777777" w:rsidR="004C75D3" w:rsidRDefault="004C75D3" w:rsidP="00674C26">
      <w:pPr>
        <w:spacing w:line="276" w:lineRule="auto"/>
        <w:rPr>
          <w:rFonts w:cstheme="minorHAnsi"/>
          <w:b/>
          <w:bCs/>
          <w:sz w:val="24"/>
          <w:szCs w:val="24"/>
        </w:rPr>
      </w:pPr>
    </w:p>
    <w:p w14:paraId="1FC93171" w14:textId="311B54A3" w:rsidR="00674C26" w:rsidRPr="00293CBE" w:rsidRDefault="00674C26" w:rsidP="00674C26">
      <w:pPr>
        <w:spacing w:line="276" w:lineRule="auto"/>
        <w:rPr>
          <w:rFonts w:cstheme="minorHAnsi"/>
          <w:b/>
          <w:bCs/>
          <w:sz w:val="24"/>
          <w:szCs w:val="24"/>
        </w:rPr>
      </w:pPr>
      <w:r w:rsidRPr="00293CBE">
        <w:rPr>
          <w:rFonts w:cstheme="minorHAnsi"/>
          <w:b/>
          <w:bCs/>
          <w:sz w:val="24"/>
          <w:szCs w:val="24"/>
        </w:rPr>
        <w:t>Results</w:t>
      </w:r>
    </w:p>
    <w:p w14:paraId="2939095D" w14:textId="74306A1E" w:rsidR="002D246C" w:rsidRPr="00293CBE" w:rsidRDefault="002D246C" w:rsidP="00674C26">
      <w:pPr>
        <w:spacing w:line="276" w:lineRule="auto"/>
        <w:rPr>
          <w:rFonts w:cstheme="minorHAnsi"/>
          <w:i/>
          <w:iCs/>
        </w:rPr>
      </w:pPr>
      <w:r w:rsidRPr="00293CBE">
        <w:rPr>
          <w:rFonts w:cstheme="minorHAnsi"/>
          <w:i/>
          <w:iCs/>
        </w:rPr>
        <w:t>Edaphic and environmental variables</w:t>
      </w:r>
    </w:p>
    <w:p w14:paraId="3D19242A" w14:textId="77629FEA" w:rsidR="00DE2DC9" w:rsidRPr="00293CBE" w:rsidRDefault="002D246C" w:rsidP="00E905CD">
      <w:pPr>
        <w:spacing w:line="276" w:lineRule="auto"/>
        <w:rPr>
          <w:rFonts w:cstheme="minorHAnsi"/>
          <w:noProof/>
        </w:rPr>
      </w:pPr>
      <w:r w:rsidRPr="00293CBE">
        <w:rPr>
          <w:rFonts w:cstheme="minorHAnsi"/>
          <w:noProof/>
        </w:rPr>
        <w:t xml:space="preserve">Edaphic and </w:t>
      </w:r>
      <w:r w:rsidR="00EB5D85" w:rsidRPr="00293CBE">
        <w:rPr>
          <w:rFonts w:cstheme="minorHAnsi"/>
          <w:noProof/>
        </w:rPr>
        <w:t>environmental</w:t>
      </w:r>
      <w:r w:rsidRPr="00293CBE">
        <w:rPr>
          <w:rFonts w:cstheme="minorHAnsi"/>
          <w:noProof/>
        </w:rPr>
        <w:t xml:space="preserve"> factors were variable </w:t>
      </w:r>
      <w:r w:rsidR="00920ACF" w:rsidRPr="00293CBE">
        <w:rPr>
          <w:rFonts w:cstheme="minorHAnsi"/>
          <w:noProof/>
        </w:rPr>
        <w:t>between</w:t>
      </w:r>
      <w:r w:rsidRPr="00293CBE">
        <w:rPr>
          <w:rFonts w:cstheme="minorHAnsi"/>
          <w:noProof/>
        </w:rPr>
        <w:t xml:space="preserve"> the three study areas (</w:t>
      </w:r>
      <w:r w:rsidR="00ED71C7">
        <w:rPr>
          <w:rFonts w:cstheme="minorHAnsi"/>
          <w:noProof/>
        </w:rPr>
        <w:t>F</w:t>
      </w:r>
      <w:r w:rsidR="00971E8D">
        <w:rPr>
          <w:rFonts w:cstheme="minorHAnsi"/>
          <w:noProof/>
        </w:rPr>
        <w:t>ig</w:t>
      </w:r>
      <w:r w:rsidR="00D2446B">
        <w:rPr>
          <w:rFonts w:cstheme="minorHAnsi"/>
          <w:noProof/>
        </w:rPr>
        <w:t xml:space="preserve"> 2</w:t>
      </w:r>
      <w:r w:rsidRPr="00293CBE">
        <w:rPr>
          <w:rFonts w:cstheme="minorHAnsi"/>
          <w:noProof/>
        </w:rPr>
        <w:t xml:space="preserve">). </w:t>
      </w:r>
      <w:r w:rsidR="00971E8D">
        <w:rPr>
          <w:rFonts w:cstheme="minorHAnsi"/>
          <w:noProof/>
        </w:rPr>
        <w:t>Mean water table depth was siginificantly higher at RES17YRS (12.59 ± 2.14 SE) compared to RES6YRS (28.32 ± 2.68) and OPEN (17.08 ± 1.58) areas</w:t>
      </w:r>
      <w:r w:rsidR="009149AE">
        <w:rPr>
          <w:rFonts w:cstheme="minorHAnsi"/>
          <w:noProof/>
        </w:rPr>
        <w:t xml:space="preserve"> (</w:t>
      </w:r>
      <w:r w:rsidR="009149AE" w:rsidRPr="00293CBE">
        <w:rPr>
          <w:rFonts w:cstheme="minorHAnsi"/>
          <w:noProof/>
        </w:rPr>
        <w:t xml:space="preserve">F </w:t>
      </w:r>
      <w:r w:rsidR="009149AE" w:rsidRPr="00293CBE">
        <w:rPr>
          <w:rFonts w:cstheme="minorHAnsi"/>
          <w:noProof/>
          <w:vertAlign w:val="subscript"/>
        </w:rPr>
        <w:t>2,</w:t>
      </w:r>
      <w:r w:rsidR="009149AE">
        <w:rPr>
          <w:rFonts w:cstheme="minorHAnsi"/>
          <w:noProof/>
          <w:vertAlign w:val="subscript"/>
        </w:rPr>
        <w:t>81</w:t>
      </w:r>
      <w:r w:rsidR="009149AE" w:rsidRPr="00293CBE">
        <w:rPr>
          <w:rFonts w:cstheme="minorHAnsi"/>
          <w:noProof/>
        </w:rPr>
        <w:t xml:space="preserve"> = </w:t>
      </w:r>
      <w:r w:rsidR="009149AE">
        <w:rPr>
          <w:rFonts w:cstheme="minorHAnsi"/>
          <w:noProof/>
        </w:rPr>
        <w:t>15</w:t>
      </w:r>
      <w:r w:rsidR="009149AE" w:rsidRPr="00293CBE">
        <w:rPr>
          <w:rFonts w:cstheme="minorHAnsi"/>
          <w:noProof/>
        </w:rPr>
        <w:t>.</w:t>
      </w:r>
      <w:r w:rsidR="009149AE">
        <w:rPr>
          <w:rFonts w:cstheme="minorHAnsi"/>
          <w:noProof/>
        </w:rPr>
        <w:t>319</w:t>
      </w:r>
      <w:r w:rsidR="009149AE" w:rsidRPr="00293CBE">
        <w:rPr>
          <w:rFonts w:cstheme="minorHAnsi"/>
          <w:noProof/>
        </w:rPr>
        <w:t xml:space="preserve">, </w:t>
      </w:r>
      <w:r w:rsidR="009149AE" w:rsidRPr="00293CBE">
        <w:rPr>
          <w:rFonts w:cstheme="minorHAnsi"/>
          <w:i/>
          <w:noProof/>
        </w:rPr>
        <w:t>p</w:t>
      </w:r>
      <w:r w:rsidR="009149AE" w:rsidRPr="00293CBE">
        <w:rPr>
          <w:rFonts w:cstheme="minorHAnsi"/>
          <w:noProof/>
        </w:rPr>
        <w:t xml:space="preserve"> = &lt;0.001</w:t>
      </w:r>
      <w:r w:rsidR="009149AE">
        <w:rPr>
          <w:rFonts w:cstheme="minorHAnsi"/>
          <w:noProof/>
        </w:rPr>
        <w:t>).</w:t>
      </w:r>
      <w:r w:rsidR="00971E8D">
        <w:rPr>
          <w:rFonts w:cstheme="minorHAnsi"/>
          <w:noProof/>
        </w:rPr>
        <w:t xml:space="preserve"> </w:t>
      </w:r>
      <w:r w:rsidR="009149AE">
        <w:rPr>
          <w:rFonts w:cstheme="minorHAnsi"/>
          <w:noProof/>
        </w:rPr>
        <w:t xml:space="preserve">Mean percentage </w:t>
      </w:r>
      <w:r w:rsidR="00EB5D85" w:rsidRPr="00293CBE">
        <w:rPr>
          <w:rFonts w:cstheme="minorHAnsi"/>
          <w:noProof/>
        </w:rPr>
        <w:t>m</w:t>
      </w:r>
      <w:r w:rsidRPr="00293CBE">
        <w:rPr>
          <w:rFonts w:cstheme="minorHAnsi"/>
          <w:noProof/>
        </w:rPr>
        <w:t>oisture content</w:t>
      </w:r>
      <w:r w:rsidR="009149AE">
        <w:rPr>
          <w:rFonts w:cstheme="minorHAnsi"/>
          <w:noProof/>
        </w:rPr>
        <w:t xml:space="preserve"> was significantly </w:t>
      </w:r>
      <w:r w:rsidR="00764FA0">
        <w:rPr>
          <w:rFonts w:cstheme="minorHAnsi"/>
          <w:noProof/>
        </w:rPr>
        <w:t>greater</w:t>
      </w:r>
      <w:r w:rsidR="009149AE">
        <w:rPr>
          <w:rFonts w:cstheme="minorHAnsi"/>
          <w:noProof/>
        </w:rPr>
        <w:t xml:space="preserve"> in OPEN areas </w:t>
      </w:r>
      <w:r w:rsidR="00764FA0">
        <w:rPr>
          <w:rFonts w:cstheme="minorHAnsi"/>
          <w:noProof/>
        </w:rPr>
        <w:t>(88.61 ±1.08)</w:t>
      </w:r>
      <w:r w:rsidR="00764FA0" w:rsidRPr="00293CBE">
        <w:rPr>
          <w:rFonts w:cstheme="minorHAnsi"/>
          <w:noProof/>
        </w:rPr>
        <w:t xml:space="preserve"> </w:t>
      </w:r>
      <w:r w:rsidR="00764FA0">
        <w:rPr>
          <w:rFonts w:cstheme="minorHAnsi"/>
          <w:noProof/>
        </w:rPr>
        <w:t>compared with</w:t>
      </w:r>
      <w:r w:rsidR="009149AE" w:rsidRPr="00293CBE">
        <w:rPr>
          <w:rFonts w:cstheme="minorHAnsi"/>
          <w:noProof/>
        </w:rPr>
        <w:t xml:space="preserve"> </w:t>
      </w:r>
      <w:r w:rsidR="00764FA0">
        <w:rPr>
          <w:rFonts w:cstheme="minorHAnsi"/>
          <w:noProof/>
        </w:rPr>
        <w:t>RES6YRS (75.06 ± 0.85) and RES17YRS (85.42 ±</w:t>
      </w:r>
      <w:r w:rsidR="00E3549F">
        <w:rPr>
          <w:rFonts w:cstheme="minorHAnsi"/>
          <w:noProof/>
        </w:rPr>
        <w:t xml:space="preserve"> </w:t>
      </w:r>
      <w:r w:rsidR="00764FA0">
        <w:rPr>
          <w:rFonts w:cstheme="minorHAnsi"/>
          <w:noProof/>
        </w:rPr>
        <w:t>1.98)</w:t>
      </w:r>
      <w:r w:rsidR="009149AE" w:rsidRPr="00293CBE">
        <w:rPr>
          <w:rFonts w:cstheme="minorHAnsi"/>
          <w:noProof/>
        </w:rPr>
        <w:t xml:space="preserve"> </w:t>
      </w:r>
      <w:r w:rsidRPr="00293CBE">
        <w:rPr>
          <w:rFonts w:cstheme="minorHAnsi"/>
          <w:noProof/>
        </w:rPr>
        <w:t>(</w:t>
      </w:r>
      <w:bookmarkStart w:id="32" w:name="_Hlk130556678"/>
      <w:r w:rsidRPr="00293CBE">
        <w:rPr>
          <w:rFonts w:cstheme="minorHAnsi"/>
          <w:noProof/>
        </w:rPr>
        <w:t xml:space="preserve">F </w:t>
      </w:r>
      <w:r w:rsidRPr="00293CBE">
        <w:rPr>
          <w:rFonts w:cstheme="minorHAnsi"/>
          <w:noProof/>
          <w:vertAlign w:val="subscript"/>
        </w:rPr>
        <w:t>2,57</w:t>
      </w:r>
      <w:r w:rsidRPr="00293CBE">
        <w:rPr>
          <w:rFonts w:cstheme="minorHAnsi"/>
          <w:noProof/>
        </w:rPr>
        <w:t xml:space="preserve"> = 24.902, </w:t>
      </w:r>
      <w:r w:rsidRPr="00293CBE">
        <w:rPr>
          <w:rFonts w:cstheme="minorHAnsi"/>
          <w:i/>
          <w:noProof/>
        </w:rPr>
        <w:t>p</w:t>
      </w:r>
      <w:r w:rsidRPr="00293CBE">
        <w:rPr>
          <w:rFonts w:cstheme="minorHAnsi"/>
          <w:noProof/>
        </w:rPr>
        <w:t xml:space="preserve"> = &lt;0.001</w:t>
      </w:r>
      <w:bookmarkEnd w:id="32"/>
      <w:r w:rsidRPr="00293CBE">
        <w:rPr>
          <w:rFonts w:cstheme="minorHAnsi"/>
          <w:noProof/>
        </w:rPr>
        <w:t>)</w:t>
      </w:r>
      <w:r w:rsidR="00764FA0">
        <w:rPr>
          <w:rFonts w:cstheme="minorHAnsi"/>
          <w:noProof/>
        </w:rPr>
        <w:t>.</w:t>
      </w:r>
      <w:r w:rsidR="008B0920">
        <w:rPr>
          <w:rFonts w:cstheme="minorHAnsi"/>
          <w:noProof/>
        </w:rPr>
        <w:t xml:space="preserve"> </w:t>
      </w:r>
      <w:r w:rsidR="00764FA0">
        <w:rPr>
          <w:rFonts w:cstheme="minorHAnsi"/>
          <w:noProof/>
        </w:rPr>
        <w:t>C</w:t>
      </w:r>
      <w:r w:rsidRPr="00293CBE">
        <w:rPr>
          <w:rFonts w:cstheme="minorHAnsi"/>
          <w:noProof/>
        </w:rPr>
        <w:t xml:space="preserve">onductivity </w:t>
      </w:r>
      <w:r w:rsidR="00764FA0">
        <w:rPr>
          <w:rFonts w:cstheme="minorHAnsi"/>
          <w:noProof/>
        </w:rPr>
        <w:t xml:space="preserve">followed a similar trend and was </w:t>
      </w:r>
      <w:r w:rsidR="00764FA0" w:rsidRPr="00293CBE">
        <w:rPr>
          <w:rFonts w:cstheme="minorHAnsi"/>
          <w:noProof/>
        </w:rPr>
        <w:t xml:space="preserve">significantly higher in OPEN areas </w:t>
      </w:r>
      <w:r w:rsidR="00764FA0">
        <w:rPr>
          <w:rFonts w:cstheme="minorHAnsi"/>
          <w:noProof/>
        </w:rPr>
        <w:t xml:space="preserve">(18.40 ± 1.25) compared with RES6YRS (14.64 ± 1.19) and RES17YRS (13.48 ± 0.80) </w:t>
      </w:r>
      <w:r w:rsidRPr="00293CBE">
        <w:rPr>
          <w:rFonts w:cstheme="minorHAnsi"/>
          <w:noProof/>
        </w:rPr>
        <w:t xml:space="preserve">(F </w:t>
      </w:r>
      <w:r w:rsidRPr="00293CBE">
        <w:rPr>
          <w:rFonts w:cstheme="minorHAnsi"/>
          <w:noProof/>
          <w:vertAlign w:val="subscript"/>
        </w:rPr>
        <w:t>2,60</w:t>
      </w:r>
      <w:r w:rsidRPr="00293CBE">
        <w:rPr>
          <w:rFonts w:cstheme="minorHAnsi"/>
          <w:noProof/>
        </w:rPr>
        <w:t xml:space="preserve"> = 5.449, </w:t>
      </w:r>
      <w:r w:rsidRPr="00293CBE">
        <w:rPr>
          <w:rFonts w:cstheme="minorHAnsi"/>
          <w:i/>
          <w:noProof/>
        </w:rPr>
        <w:t>p</w:t>
      </w:r>
      <w:r w:rsidRPr="00293CBE">
        <w:rPr>
          <w:rFonts w:cstheme="minorHAnsi"/>
          <w:noProof/>
        </w:rPr>
        <w:t xml:space="preserve"> = &lt;0.007). </w:t>
      </w:r>
      <w:r w:rsidR="00764FA0">
        <w:rPr>
          <w:rFonts w:cstheme="minorHAnsi"/>
          <w:noProof/>
        </w:rPr>
        <w:t>Bulk o</w:t>
      </w:r>
      <w:r w:rsidRPr="00293CBE">
        <w:rPr>
          <w:rFonts w:cstheme="minorHAnsi"/>
          <w:noProof/>
        </w:rPr>
        <w:t xml:space="preserve">rganic matter content </w:t>
      </w:r>
      <w:r w:rsidR="00764FA0">
        <w:rPr>
          <w:rFonts w:cstheme="minorHAnsi"/>
          <w:noProof/>
        </w:rPr>
        <w:t xml:space="preserve">was significantly higher at RES17YRS (93.31 ± 1.61) than RES6YRS (77.41 ± 2.22) and OPEN (89.88 ± 2.39) areas </w:t>
      </w:r>
      <w:r w:rsidRPr="00293CBE">
        <w:rPr>
          <w:rFonts w:cstheme="minorHAnsi"/>
          <w:noProof/>
        </w:rPr>
        <w:t xml:space="preserve">(F </w:t>
      </w:r>
      <w:r w:rsidRPr="00293CBE">
        <w:rPr>
          <w:rFonts w:cstheme="minorHAnsi"/>
          <w:noProof/>
          <w:vertAlign w:val="subscript"/>
        </w:rPr>
        <w:t>2,60</w:t>
      </w:r>
      <w:r w:rsidRPr="00293CBE">
        <w:rPr>
          <w:rFonts w:cstheme="minorHAnsi"/>
          <w:noProof/>
        </w:rPr>
        <w:t xml:space="preserve"> = 15.876, </w:t>
      </w:r>
      <w:r w:rsidRPr="00293CBE">
        <w:rPr>
          <w:rFonts w:cstheme="minorHAnsi"/>
          <w:i/>
          <w:noProof/>
        </w:rPr>
        <w:t>p</w:t>
      </w:r>
      <w:r w:rsidRPr="00293CBE">
        <w:rPr>
          <w:rFonts w:cstheme="minorHAnsi"/>
          <w:noProof/>
        </w:rPr>
        <w:t xml:space="preserve"> = &lt;0.001).  </w:t>
      </w:r>
      <w:r w:rsidR="006C3D03">
        <w:rPr>
          <w:rFonts w:cstheme="minorHAnsi"/>
          <w:noProof/>
        </w:rPr>
        <w:t>RES6YRS had significantly h</w:t>
      </w:r>
      <w:r w:rsidR="00764FA0">
        <w:rPr>
          <w:rFonts w:cstheme="minorHAnsi"/>
          <w:noProof/>
        </w:rPr>
        <w:t>ighe</w:t>
      </w:r>
      <w:r w:rsidR="006C3D03">
        <w:rPr>
          <w:rFonts w:cstheme="minorHAnsi"/>
          <w:noProof/>
        </w:rPr>
        <w:t>r</w:t>
      </w:r>
      <w:r w:rsidR="00764FA0">
        <w:rPr>
          <w:rFonts w:cstheme="minorHAnsi"/>
          <w:noProof/>
        </w:rPr>
        <w:t xml:space="preserve"> bulk density </w:t>
      </w:r>
      <w:r w:rsidR="006C3D03">
        <w:rPr>
          <w:rFonts w:cstheme="minorHAnsi"/>
          <w:noProof/>
        </w:rPr>
        <w:t xml:space="preserve">(0.10 ± 0.005) than RES17YRS (0.06 ± 0.004) and OPEN (0.05 ± 0.003) areas </w:t>
      </w:r>
      <w:r w:rsidRPr="00293CBE">
        <w:rPr>
          <w:rFonts w:cstheme="minorHAnsi"/>
          <w:noProof/>
        </w:rPr>
        <w:t xml:space="preserve">(F </w:t>
      </w:r>
      <w:r w:rsidRPr="00293CBE">
        <w:rPr>
          <w:rFonts w:cstheme="minorHAnsi"/>
          <w:noProof/>
          <w:vertAlign w:val="subscript"/>
        </w:rPr>
        <w:t>2,60</w:t>
      </w:r>
      <w:r w:rsidRPr="00293CBE">
        <w:rPr>
          <w:rFonts w:cstheme="minorHAnsi"/>
          <w:noProof/>
        </w:rPr>
        <w:t xml:space="preserve"> = 48.957, </w:t>
      </w:r>
      <w:r w:rsidRPr="00293CBE">
        <w:rPr>
          <w:rFonts w:cstheme="minorHAnsi"/>
          <w:i/>
          <w:noProof/>
        </w:rPr>
        <w:t>p</w:t>
      </w:r>
      <w:r w:rsidRPr="00293CBE">
        <w:rPr>
          <w:rFonts w:cstheme="minorHAnsi"/>
          <w:noProof/>
        </w:rPr>
        <w:t xml:space="preserve"> = &lt;0.001) and was least acidic (F </w:t>
      </w:r>
      <w:r w:rsidRPr="00293CBE">
        <w:rPr>
          <w:rFonts w:cstheme="minorHAnsi"/>
          <w:noProof/>
          <w:vertAlign w:val="subscript"/>
        </w:rPr>
        <w:t>2,60</w:t>
      </w:r>
      <w:r w:rsidRPr="00293CBE">
        <w:rPr>
          <w:rFonts w:cstheme="minorHAnsi"/>
          <w:noProof/>
        </w:rPr>
        <w:t xml:space="preserve"> = 28.889, </w:t>
      </w:r>
      <w:r w:rsidRPr="00293CBE">
        <w:rPr>
          <w:rFonts w:cstheme="minorHAnsi"/>
          <w:i/>
          <w:noProof/>
        </w:rPr>
        <w:t>p</w:t>
      </w:r>
      <w:r w:rsidRPr="00293CBE">
        <w:rPr>
          <w:rFonts w:cstheme="minorHAnsi"/>
          <w:noProof/>
        </w:rPr>
        <w:t xml:space="preserve"> = &lt;0.001). </w:t>
      </w:r>
    </w:p>
    <w:p w14:paraId="610D0AF0" w14:textId="17809C2D" w:rsidR="00DE2DC9" w:rsidRPr="00293CBE" w:rsidRDefault="00DE2DC9" w:rsidP="005A7A1A">
      <w:pPr>
        <w:spacing w:after="0" w:line="276" w:lineRule="auto"/>
        <w:rPr>
          <w:rFonts w:cstheme="minorHAnsi"/>
          <w:i/>
          <w:iCs/>
        </w:rPr>
      </w:pPr>
      <w:r w:rsidRPr="00293CBE">
        <w:rPr>
          <w:rFonts w:cstheme="minorHAnsi"/>
          <w:i/>
          <w:iCs/>
        </w:rPr>
        <w:t xml:space="preserve">Vegetation </w:t>
      </w:r>
      <w:r w:rsidR="004C75D3">
        <w:rPr>
          <w:rFonts w:cstheme="minorHAnsi"/>
          <w:i/>
          <w:iCs/>
        </w:rPr>
        <w:t>composition</w:t>
      </w:r>
    </w:p>
    <w:p w14:paraId="621DE605" w14:textId="300E41BB" w:rsidR="00DE2DC9" w:rsidRPr="00293CBE" w:rsidRDefault="00DE2DC9" w:rsidP="005A7A1A">
      <w:pPr>
        <w:spacing w:after="0" w:line="276" w:lineRule="auto"/>
        <w:rPr>
          <w:rFonts w:cstheme="minorHAnsi"/>
        </w:rPr>
      </w:pPr>
    </w:p>
    <w:p w14:paraId="7B6BB8B3" w14:textId="6149AC59" w:rsidR="005A7A1A" w:rsidRPr="00293CBE" w:rsidRDefault="00DE2DC9" w:rsidP="005A7A1A">
      <w:pPr>
        <w:spacing w:after="0" w:line="276" w:lineRule="auto"/>
        <w:rPr>
          <w:rFonts w:cstheme="minorHAnsi"/>
        </w:rPr>
      </w:pPr>
      <w:r w:rsidRPr="00293CBE">
        <w:rPr>
          <w:rFonts w:cstheme="minorHAnsi"/>
        </w:rPr>
        <w:t>Vegetation cover of plant groups differed between study areas (</w:t>
      </w:r>
      <w:r w:rsidR="00D2446B">
        <w:rPr>
          <w:rFonts w:cstheme="minorHAnsi"/>
        </w:rPr>
        <w:t>Fig 3</w:t>
      </w:r>
      <w:r w:rsidR="0092393C" w:rsidRPr="00293CBE">
        <w:rPr>
          <w:rFonts w:cstheme="minorHAnsi"/>
        </w:rPr>
        <w:t>)</w:t>
      </w:r>
      <w:r w:rsidRPr="00293CBE">
        <w:rPr>
          <w:rFonts w:cstheme="minorHAnsi"/>
        </w:rPr>
        <w:t xml:space="preserve">. </w:t>
      </w:r>
      <w:r w:rsidRPr="00293CBE">
        <w:rPr>
          <w:rFonts w:cstheme="minorHAnsi"/>
          <w:i/>
          <w:iCs/>
        </w:rPr>
        <w:t>Sphagnum</w:t>
      </w:r>
      <w:r w:rsidRPr="00293CBE">
        <w:rPr>
          <w:rFonts w:cstheme="minorHAnsi"/>
        </w:rPr>
        <w:t xml:space="preserve"> cover was significantly greater in OPEN areas and at RES17YRS </w:t>
      </w:r>
      <w:r w:rsidR="00E905CD" w:rsidRPr="00293CBE">
        <w:rPr>
          <w:rFonts w:cstheme="minorHAnsi"/>
        </w:rPr>
        <w:t>compared with</w:t>
      </w:r>
      <w:r w:rsidR="00E3549F">
        <w:rPr>
          <w:rFonts w:cstheme="minorHAnsi"/>
        </w:rPr>
        <w:t xml:space="preserve"> RES6YRS</w:t>
      </w:r>
      <w:r w:rsidR="00E905CD" w:rsidRPr="00293CBE">
        <w:rPr>
          <w:rFonts w:cstheme="minorHAnsi"/>
        </w:rPr>
        <w:t xml:space="preserve"> </w:t>
      </w:r>
      <w:r w:rsidRPr="00293CBE">
        <w:rPr>
          <w:rFonts w:cstheme="minorHAnsi"/>
        </w:rPr>
        <w:t>(F</w:t>
      </w:r>
      <w:r w:rsidRPr="00293CBE">
        <w:rPr>
          <w:rFonts w:cstheme="minorHAnsi"/>
          <w:vertAlign w:val="subscript"/>
        </w:rPr>
        <w:t xml:space="preserve">2,77 </w:t>
      </w:r>
      <w:r w:rsidRPr="00293CBE">
        <w:rPr>
          <w:rFonts w:cstheme="minorHAnsi"/>
        </w:rPr>
        <w:t xml:space="preserve">= 17.403, </w:t>
      </w:r>
      <w:r w:rsidRPr="00293CBE">
        <w:rPr>
          <w:rFonts w:cstheme="minorHAnsi"/>
          <w:i/>
          <w:iCs/>
        </w:rPr>
        <w:t>p</w:t>
      </w:r>
      <w:r w:rsidRPr="00293CBE">
        <w:rPr>
          <w:rFonts w:cstheme="minorHAnsi"/>
        </w:rPr>
        <w:t xml:space="preserve"> = &lt;0.001)</w:t>
      </w:r>
      <w:r w:rsidR="00AF58A1" w:rsidRPr="00293CBE">
        <w:rPr>
          <w:rFonts w:cstheme="minorHAnsi"/>
        </w:rPr>
        <w:t xml:space="preserve"> where </w:t>
      </w:r>
      <w:r w:rsidR="00AF58A1" w:rsidRPr="00293CBE">
        <w:rPr>
          <w:rFonts w:cstheme="minorHAnsi"/>
          <w:i/>
        </w:rPr>
        <w:t>Sphagnum</w:t>
      </w:r>
      <w:r w:rsidR="00AF58A1" w:rsidRPr="00293CBE">
        <w:rPr>
          <w:rFonts w:cstheme="minorHAnsi"/>
        </w:rPr>
        <w:t xml:space="preserve"> </w:t>
      </w:r>
      <w:r w:rsidR="0064469D">
        <w:rPr>
          <w:rFonts w:cstheme="minorHAnsi"/>
        </w:rPr>
        <w:t xml:space="preserve">had </w:t>
      </w:r>
      <w:r w:rsidR="00AF58A1" w:rsidRPr="00293CBE">
        <w:rPr>
          <w:rFonts w:cstheme="minorHAnsi"/>
        </w:rPr>
        <w:t>not recover</w:t>
      </w:r>
      <w:r w:rsidR="0064469D">
        <w:rPr>
          <w:rFonts w:cstheme="minorHAnsi"/>
        </w:rPr>
        <w:t>ed</w:t>
      </w:r>
      <w:r w:rsidR="00AF58A1" w:rsidRPr="00293CBE">
        <w:rPr>
          <w:rFonts w:cstheme="minorHAnsi"/>
        </w:rPr>
        <w:t xml:space="preserve"> on ridges nor in </w:t>
      </w:r>
      <w:r w:rsidR="0064469D">
        <w:rPr>
          <w:rFonts w:cstheme="minorHAnsi"/>
        </w:rPr>
        <w:t>furrows</w:t>
      </w:r>
      <w:r w:rsidR="00AF58A1" w:rsidRPr="00293CBE">
        <w:rPr>
          <w:rFonts w:cstheme="minorHAnsi"/>
        </w:rPr>
        <w:t>. In general, c</w:t>
      </w:r>
      <w:r w:rsidRPr="00293CBE">
        <w:rPr>
          <w:rFonts w:cstheme="minorHAnsi"/>
        </w:rPr>
        <w:t xml:space="preserve">overage of </w:t>
      </w:r>
      <w:r w:rsidR="00AF58A1" w:rsidRPr="00293CBE">
        <w:rPr>
          <w:rFonts w:cstheme="minorHAnsi"/>
        </w:rPr>
        <w:t xml:space="preserve">plant </w:t>
      </w:r>
      <w:r w:rsidRPr="00293CBE">
        <w:rPr>
          <w:rFonts w:cstheme="minorHAnsi"/>
        </w:rPr>
        <w:t>species was significantly higher in hollows and furrows compared with hummocks and ridges (F</w:t>
      </w:r>
      <w:r w:rsidRPr="00293CBE">
        <w:rPr>
          <w:rFonts w:cstheme="minorHAnsi"/>
          <w:vertAlign w:val="subscript"/>
        </w:rPr>
        <w:t xml:space="preserve">1,78 </w:t>
      </w:r>
      <w:r w:rsidRPr="00293CBE">
        <w:rPr>
          <w:rFonts w:cstheme="minorHAnsi"/>
        </w:rPr>
        <w:t xml:space="preserve">= 89.175, </w:t>
      </w:r>
      <w:r w:rsidRPr="00293CBE">
        <w:rPr>
          <w:rFonts w:cstheme="minorHAnsi"/>
          <w:i/>
          <w:iCs/>
        </w:rPr>
        <w:t>p</w:t>
      </w:r>
      <w:r w:rsidRPr="00293CBE">
        <w:rPr>
          <w:rFonts w:cstheme="minorHAnsi"/>
        </w:rPr>
        <w:t xml:space="preserve"> = &lt;0.001)</w:t>
      </w:r>
      <w:r w:rsidR="00AF58A1" w:rsidRPr="00293CBE">
        <w:rPr>
          <w:rFonts w:cstheme="minorHAnsi"/>
        </w:rPr>
        <w:t xml:space="preserve"> where shrubs tended to be the dominant vegetation type</w:t>
      </w:r>
      <w:r w:rsidRPr="00293CBE">
        <w:rPr>
          <w:rFonts w:cstheme="minorHAnsi"/>
        </w:rPr>
        <w:t xml:space="preserve">. </w:t>
      </w:r>
    </w:p>
    <w:p w14:paraId="2395661D" w14:textId="77777777" w:rsidR="00E905CD" w:rsidRPr="00293CBE" w:rsidRDefault="00E905CD" w:rsidP="005A7A1A">
      <w:pPr>
        <w:spacing w:after="0" w:line="276" w:lineRule="auto"/>
        <w:rPr>
          <w:rFonts w:cstheme="minorHAnsi"/>
        </w:rPr>
      </w:pPr>
    </w:p>
    <w:p w14:paraId="7220776F" w14:textId="2FA55824" w:rsidR="00674C26" w:rsidRPr="00293CBE" w:rsidRDefault="00674C26" w:rsidP="00674C26">
      <w:pPr>
        <w:spacing w:line="276" w:lineRule="auto"/>
        <w:rPr>
          <w:rFonts w:cstheme="minorHAnsi"/>
          <w:i/>
          <w:iCs/>
        </w:rPr>
      </w:pPr>
      <w:r w:rsidRPr="00293CBE">
        <w:rPr>
          <w:rFonts w:cstheme="minorHAnsi"/>
          <w:i/>
          <w:iCs/>
        </w:rPr>
        <w:t>T</w:t>
      </w:r>
      <w:r w:rsidR="004C75D3">
        <w:rPr>
          <w:rFonts w:cstheme="minorHAnsi"/>
          <w:i/>
          <w:iCs/>
        </w:rPr>
        <w:t xml:space="preserve">estate amoeba </w:t>
      </w:r>
      <w:r w:rsidR="002B6A8D">
        <w:rPr>
          <w:rFonts w:cstheme="minorHAnsi"/>
          <w:i/>
          <w:iCs/>
        </w:rPr>
        <w:t>assemblages</w:t>
      </w:r>
    </w:p>
    <w:p w14:paraId="3EEE7FED" w14:textId="7C772785" w:rsidR="00AD018A" w:rsidRPr="00293CBE" w:rsidRDefault="00AD018A" w:rsidP="00777158">
      <w:pPr>
        <w:spacing w:line="276" w:lineRule="auto"/>
        <w:rPr>
          <w:rFonts w:cstheme="minorHAnsi"/>
        </w:rPr>
      </w:pPr>
      <w:r w:rsidRPr="00293CBE">
        <w:rPr>
          <w:rFonts w:cstheme="minorHAnsi"/>
        </w:rPr>
        <w:t xml:space="preserve">TA </w:t>
      </w:r>
      <w:r w:rsidR="008615F0">
        <w:rPr>
          <w:rFonts w:cstheme="minorHAnsi"/>
        </w:rPr>
        <w:t>assemblages</w:t>
      </w:r>
      <w:r w:rsidR="008615F0" w:rsidRPr="00293CBE">
        <w:rPr>
          <w:rFonts w:cstheme="minorHAnsi"/>
        </w:rPr>
        <w:t xml:space="preserve"> </w:t>
      </w:r>
      <w:r w:rsidRPr="00293CBE">
        <w:rPr>
          <w:rFonts w:cstheme="minorHAnsi"/>
        </w:rPr>
        <w:t xml:space="preserve">displayed relatively high diversity with 54 taxa identified from 8495 individuals in the 84 samples. The most abundant taxa in decreasing order of abundance were: </w:t>
      </w:r>
      <w:r w:rsidRPr="00293CBE">
        <w:rPr>
          <w:rFonts w:cstheme="minorHAnsi"/>
          <w:i/>
        </w:rPr>
        <w:t>Nebela tincta</w:t>
      </w:r>
      <w:r w:rsidRPr="00293CBE">
        <w:rPr>
          <w:rFonts w:cstheme="minorHAnsi"/>
        </w:rPr>
        <w:t xml:space="preserve"> (15.7 % of all tests), </w:t>
      </w:r>
      <w:r w:rsidRPr="00293CBE">
        <w:rPr>
          <w:rFonts w:cstheme="minorHAnsi"/>
          <w:i/>
        </w:rPr>
        <w:t>Corythion dubium</w:t>
      </w:r>
      <w:r w:rsidRPr="00293CBE">
        <w:rPr>
          <w:rFonts w:cstheme="minorHAnsi"/>
        </w:rPr>
        <w:t xml:space="preserve"> (12.2 %), </w:t>
      </w:r>
      <w:r w:rsidRPr="00293CBE">
        <w:rPr>
          <w:rFonts w:cstheme="minorHAnsi"/>
          <w:i/>
        </w:rPr>
        <w:t>Assulina muscorum</w:t>
      </w:r>
      <w:r w:rsidRPr="00293CBE">
        <w:rPr>
          <w:rFonts w:cstheme="minorHAnsi"/>
        </w:rPr>
        <w:t xml:space="preserve"> (10.0 %), </w:t>
      </w:r>
      <w:r w:rsidRPr="00293CBE">
        <w:rPr>
          <w:rFonts w:cstheme="minorHAnsi"/>
          <w:i/>
        </w:rPr>
        <w:t>Archerella flavum</w:t>
      </w:r>
      <w:r w:rsidRPr="00293CBE">
        <w:rPr>
          <w:rFonts w:cstheme="minorHAnsi"/>
        </w:rPr>
        <w:t xml:space="preserve"> (8.5 %), </w:t>
      </w:r>
      <w:r w:rsidRPr="00293CBE">
        <w:rPr>
          <w:rFonts w:cstheme="minorHAnsi"/>
          <w:i/>
        </w:rPr>
        <w:t>Trinema lineare</w:t>
      </w:r>
      <w:r w:rsidRPr="00293CBE">
        <w:rPr>
          <w:rFonts w:cstheme="minorHAnsi"/>
        </w:rPr>
        <w:t xml:space="preserve"> (7.8 %), </w:t>
      </w:r>
      <w:r w:rsidRPr="00293CBE">
        <w:rPr>
          <w:rFonts w:cstheme="minorHAnsi"/>
          <w:i/>
        </w:rPr>
        <w:t>Trigonopyxis arcula</w:t>
      </w:r>
      <w:r w:rsidRPr="00293CBE">
        <w:rPr>
          <w:rFonts w:cstheme="minorHAnsi"/>
        </w:rPr>
        <w:t xml:space="preserve"> (5.9 %), </w:t>
      </w:r>
      <w:r w:rsidR="006A3261" w:rsidRPr="008B0920">
        <w:rPr>
          <w:rFonts w:cstheme="minorHAnsi"/>
          <w:i/>
        </w:rPr>
        <w:t>Galeripora discoides</w:t>
      </w:r>
      <w:r w:rsidR="006A3261" w:rsidRPr="006A3261">
        <w:rPr>
          <w:rFonts w:cstheme="minorHAnsi"/>
        </w:rPr>
        <w:t xml:space="preserve"> </w:t>
      </w:r>
      <w:r w:rsidR="00DB44FC">
        <w:rPr>
          <w:rFonts w:cstheme="minorHAnsi"/>
        </w:rPr>
        <w:t xml:space="preserve">- </w:t>
      </w:r>
      <w:r w:rsidR="006A3261">
        <w:rPr>
          <w:rFonts w:cstheme="minorHAnsi"/>
        </w:rPr>
        <w:t xml:space="preserve">formerly </w:t>
      </w:r>
      <w:r w:rsidRPr="00293CBE">
        <w:rPr>
          <w:rFonts w:cstheme="minorHAnsi"/>
          <w:i/>
        </w:rPr>
        <w:t>Arcella discoides</w:t>
      </w:r>
      <w:r w:rsidRPr="00293CBE">
        <w:rPr>
          <w:rFonts w:cstheme="minorHAnsi"/>
        </w:rPr>
        <w:t xml:space="preserve"> </w:t>
      </w:r>
      <w:r w:rsidR="00DB44FC">
        <w:rPr>
          <w:rFonts w:cstheme="minorHAnsi"/>
        </w:rPr>
        <w:t xml:space="preserve">- </w:t>
      </w:r>
      <w:r w:rsidRPr="00293CBE">
        <w:rPr>
          <w:rFonts w:cstheme="minorHAnsi"/>
        </w:rPr>
        <w:t xml:space="preserve">(5.5 %), </w:t>
      </w:r>
      <w:r w:rsidRPr="00293CBE">
        <w:rPr>
          <w:rFonts w:cstheme="minorHAnsi"/>
          <w:i/>
        </w:rPr>
        <w:t>Nebela collaris</w:t>
      </w:r>
      <w:r w:rsidRPr="00293CBE">
        <w:rPr>
          <w:rFonts w:cstheme="minorHAnsi"/>
        </w:rPr>
        <w:t xml:space="preserve"> (4.5 %), </w:t>
      </w:r>
      <w:r w:rsidRPr="00293CBE">
        <w:rPr>
          <w:rFonts w:cstheme="minorHAnsi"/>
          <w:i/>
        </w:rPr>
        <w:t>Hyalosphenia subflava</w:t>
      </w:r>
      <w:r w:rsidRPr="00293CBE">
        <w:rPr>
          <w:rFonts w:cstheme="minorHAnsi"/>
        </w:rPr>
        <w:t xml:space="preserve"> (4.0 %) and </w:t>
      </w:r>
      <w:r w:rsidRPr="00293CBE">
        <w:rPr>
          <w:rFonts w:cstheme="minorHAnsi"/>
          <w:i/>
        </w:rPr>
        <w:t>Cryptodifflugia oviformis</w:t>
      </w:r>
      <w:r w:rsidRPr="00293CBE">
        <w:rPr>
          <w:rFonts w:cstheme="minorHAnsi"/>
        </w:rPr>
        <w:t xml:space="preserve"> (3.7 %). These taxa accounted for a relatively high proportion (&gt;77 %) of the overall assemblage (Fig </w:t>
      </w:r>
      <w:r w:rsidR="00D2446B">
        <w:rPr>
          <w:rFonts w:cstheme="minorHAnsi"/>
        </w:rPr>
        <w:t>4</w:t>
      </w:r>
      <w:r w:rsidRPr="00293CBE">
        <w:rPr>
          <w:rFonts w:cstheme="minorHAnsi"/>
        </w:rPr>
        <w:t xml:space="preserve">). There were significant differences (Kruskal-Wallis test, </w:t>
      </w:r>
      <w:r w:rsidRPr="00E3549F">
        <w:rPr>
          <w:rFonts w:cstheme="minorHAnsi"/>
          <w:i/>
        </w:rPr>
        <w:t>p</w:t>
      </w:r>
      <w:r w:rsidRPr="00293CBE">
        <w:rPr>
          <w:rFonts w:cstheme="minorHAnsi"/>
        </w:rPr>
        <w:t xml:space="preserve"> =</w:t>
      </w:r>
      <w:r w:rsidR="00777158" w:rsidRPr="00293CBE">
        <w:rPr>
          <w:rFonts w:cstheme="minorHAnsi"/>
        </w:rPr>
        <w:t xml:space="preserve"> &lt;0.05) in relative abundance (%) between restoration areas and OPEN areas for all taxa except for: </w:t>
      </w:r>
      <w:r w:rsidR="00777158" w:rsidRPr="00293CBE">
        <w:rPr>
          <w:rFonts w:cstheme="minorHAnsi"/>
          <w:i/>
        </w:rPr>
        <w:t>N</w:t>
      </w:r>
      <w:r w:rsidR="008B0920">
        <w:rPr>
          <w:rFonts w:cstheme="minorHAnsi"/>
          <w:i/>
        </w:rPr>
        <w:t>.</w:t>
      </w:r>
      <w:r w:rsidR="00777158" w:rsidRPr="00293CBE">
        <w:rPr>
          <w:rFonts w:cstheme="minorHAnsi"/>
          <w:i/>
        </w:rPr>
        <w:t xml:space="preserve"> tincta, C</w:t>
      </w:r>
      <w:r w:rsidR="008B0920">
        <w:rPr>
          <w:rFonts w:cstheme="minorHAnsi"/>
          <w:i/>
        </w:rPr>
        <w:t>.</w:t>
      </w:r>
      <w:r w:rsidR="00777158" w:rsidRPr="00293CBE">
        <w:rPr>
          <w:rFonts w:cstheme="minorHAnsi"/>
          <w:i/>
        </w:rPr>
        <w:t xml:space="preserve"> dubium</w:t>
      </w:r>
      <w:r w:rsidR="00777158" w:rsidRPr="00293CBE">
        <w:rPr>
          <w:rFonts w:cstheme="minorHAnsi"/>
        </w:rPr>
        <w:t xml:space="preserve"> and </w:t>
      </w:r>
      <w:r w:rsidR="00777158" w:rsidRPr="00293CBE">
        <w:rPr>
          <w:rFonts w:cstheme="minorHAnsi"/>
          <w:i/>
        </w:rPr>
        <w:t>A</w:t>
      </w:r>
      <w:r w:rsidR="008B0920">
        <w:rPr>
          <w:rFonts w:cstheme="minorHAnsi"/>
          <w:i/>
        </w:rPr>
        <w:t>.</w:t>
      </w:r>
      <w:r w:rsidR="00777158" w:rsidRPr="00293CBE">
        <w:rPr>
          <w:rFonts w:cstheme="minorHAnsi"/>
          <w:i/>
        </w:rPr>
        <w:t xml:space="preserve"> muscorum</w:t>
      </w:r>
      <w:r w:rsidR="00777158" w:rsidRPr="00293CBE">
        <w:rPr>
          <w:rFonts w:cstheme="minorHAnsi"/>
        </w:rPr>
        <w:t>. Large variations were observed between certain taxa and microtopography, for instance</w:t>
      </w:r>
      <w:r w:rsidR="00777158" w:rsidRPr="00293CBE">
        <w:rPr>
          <w:rFonts w:cstheme="minorHAnsi"/>
          <w:i/>
        </w:rPr>
        <w:t xml:space="preserve">, </w:t>
      </w:r>
      <w:r w:rsidR="006A3261">
        <w:rPr>
          <w:rFonts w:cstheme="minorHAnsi"/>
          <w:i/>
        </w:rPr>
        <w:t>G</w:t>
      </w:r>
      <w:r w:rsidR="00777158" w:rsidRPr="00293CBE">
        <w:rPr>
          <w:rFonts w:cstheme="minorHAnsi"/>
          <w:i/>
        </w:rPr>
        <w:t>. discoides</w:t>
      </w:r>
      <w:r w:rsidR="00777158" w:rsidRPr="00293CBE">
        <w:rPr>
          <w:rFonts w:cstheme="minorHAnsi"/>
        </w:rPr>
        <w:t xml:space="preserve"> was present only in </w:t>
      </w:r>
      <w:r w:rsidR="005A6B95">
        <w:rPr>
          <w:rFonts w:cstheme="minorHAnsi"/>
        </w:rPr>
        <w:t>furrows</w:t>
      </w:r>
      <w:r w:rsidR="005A6B95" w:rsidRPr="00293CBE">
        <w:rPr>
          <w:rFonts w:cstheme="minorHAnsi"/>
        </w:rPr>
        <w:t xml:space="preserve"> </w:t>
      </w:r>
      <w:r w:rsidR="00777158" w:rsidRPr="00293CBE">
        <w:rPr>
          <w:rFonts w:cstheme="minorHAnsi"/>
        </w:rPr>
        <w:t xml:space="preserve">at RES17YRS in contrast with </w:t>
      </w:r>
      <w:r w:rsidR="00777158" w:rsidRPr="00293CBE">
        <w:rPr>
          <w:rFonts w:cstheme="minorHAnsi"/>
          <w:i/>
        </w:rPr>
        <w:t>A. flavum</w:t>
      </w:r>
      <w:r w:rsidR="00777158" w:rsidRPr="00293CBE">
        <w:rPr>
          <w:rFonts w:cstheme="minorHAnsi"/>
        </w:rPr>
        <w:t xml:space="preserve"> whose presence was largely observed in OPEN areas.</w:t>
      </w:r>
      <w:r w:rsidR="0064469D">
        <w:rPr>
          <w:rFonts w:cstheme="minorHAnsi"/>
        </w:rPr>
        <w:t xml:space="preserve"> </w:t>
      </w:r>
      <w:bookmarkStart w:id="33" w:name="_Hlk130629222"/>
      <w:r w:rsidR="0064469D">
        <w:rPr>
          <w:rFonts w:cstheme="minorHAnsi"/>
        </w:rPr>
        <w:t>Mean species richness was significantly lower in OPEN areas (8.75 ± 0.539 SE) compared with RES17YRS (12.14 ± 0.462 SE) and RES6YRS (12.11 ± 0.403 SE) (F</w:t>
      </w:r>
      <w:r w:rsidR="0064469D" w:rsidRPr="008B0920">
        <w:rPr>
          <w:rFonts w:cstheme="minorHAnsi"/>
          <w:vertAlign w:val="subscript"/>
        </w:rPr>
        <w:t xml:space="preserve">2,81 </w:t>
      </w:r>
      <w:r w:rsidR="0064469D">
        <w:rPr>
          <w:rFonts w:cstheme="minorHAnsi"/>
        </w:rPr>
        <w:t xml:space="preserve">= 17.109, </w:t>
      </w:r>
      <w:r w:rsidR="0064469D" w:rsidRPr="008B0920">
        <w:rPr>
          <w:rFonts w:cstheme="minorHAnsi"/>
          <w:i/>
        </w:rPr>
        <w:t>p</w:t>
      </w:r>
      <w:r w:rsidR="0064469D">
        <w:rPr>
          <w:rFonts w:cstheme="minorHAnsi"/>
        </w:rPr>
        <w:t xml:space="preserve"> = &lt;0.001). </w:t>
      </w:r>
      <w:bookmarkEnd w:id="33"/>
    </w:p>
    <w:p w14:paraId="00E123A8" w14:textId="1099ADBE" w:rsidR="00674C26" w:rsidRPr="00293CBE" w:rsidRDefault="00674C26" w:rsidP="00674C26">
      <w:pPr>
        <w:spacing w:line="276" w:lineRule="auto"/>
        <w:rPr>
          <w:rFonts w:cstheme="minorHAnsi"/>
        </w:rPr>
      </w:pPr>
      <w:r w:rsidRPr="00293CBE">
        <w:rPr>
          <w:rFonts w:cstheme="minorHAnsi"/>
        </w:rPr>
        <w:lastRenderedPageBreak/>
        <w:t xml:space="preserve">TA </w:t>
      </w:r>
      <w:r w:rsidR="008615F0">
        <w:rPr>
          <w:rFonts w:cstheme="minorHAnsi"/>
        </w:rPr>
        <w:t>assemblages</w:t>
      </w:r>
      <w:r w:rsidR="008615F0" w:rsidRPr="00293CBE">
        <w:rPr>
          <w:rFonts w:cstheme="minorHAnsi"/>
        </w:rPr>
        <w:t xml:space="preserve"> </w:t>
      </w:r>
      <w:r w:rsidRPr="00293CBE">
        <w:rPr>
          <w:rFonts w:cstheme="minorHAnsi"/>
        </w:rPr>
        <w:t>were distinctive between the three study areas (Fig</w:t>
      </w:r>
      <w:r w:rsidR="0092393C" w:rsidRPr="00293CBE">
        <w:rPr>
          <w:rFonts w:cstheme="minorHAnsi"/>
        </w:rPr>
        <w:t xml:space="preserve"> </w:t>
      </w:r>
      <w:r w:rsidR="00D2446B">
        <w:rPr>
          <w:rFonts w:cstheme="minorHAnsi"/>
        </w:rPr>
        <w:t>5</w:t>
      </w:r>
      <w:r w:rsidRPr="00293CBE">
        <w:rPr>
          <w:rFonts w:cstheme="minorHAnsi"/>
        </w:rPr>
        <w:t xml:space="preserve">). The first two PCA axes explained 41 % of the variability in the unconstrained species data and cumulatively PCA axes 1-4 accounted for 62 % of the variability in the unconstrained species data. </w:t>
      </w:r>
      <w:r w:rsidR="008615F0">
        <w:rPr>
          <w:rFonts w:cstheme="minorHAnsi"/>
        </w:rPr>
        <w:t>Assemblages</w:t>
      </w:r>
      <w:r w:rsidR="008615F0" w:rsidRPr="00293CBE">
        <w:rPr>
          <w:rFonts w:cstheme="minorHAnsi"/>
        </w:rPr>
        <w:t xml:space="preserve"> </w:t>
      </w:r>
      <w:r w:rsidRPr="00293CBE">
        <w:rPr>
          <w:rFonts w:cstheme="minorHAnsi"/>
        </w:rPr>
        <w:t xml:space="preserve">in RES6YRS were quite distinct compared with </w:t>
      </w:r>
      <w:r w:rsidR="008615F0">
        <w:rPr>
          <w:rFonts w:cstheme="minorHAnsi"/>
        </w:rPr>
        <w:t>assemblages</w:t>
      </w:r>
      <w:r w:rsidR="008615F0" w:rsidRPr="00293CBE">
        <w:rPr>
          <w:rFonts w:cstheme="minorHAnsi"/>
        </w:rPr>
        <w:t xml:space="preserve"> </w:t>
      </w:r>
      <w:r w:rsidRPr="00293CBE">
        <w:rPr>
          <w:rFonts w:cstheme="minorHAnsi"/>
        </w:rPr>
        <w:t xml:space="preserve">observed at RES17YRS and OPEN areas, which displayed some overlap between microtopography. For instance, hummocks in RES17YRS clustered closer to OPEN hummocks with some overlap displayed. In contrast, </w:t>
      </w:r>
      <w:r w:rsidR="008615F0">
        <w:rPr>
          <w:rFonts w:cstheme="minorHAnsi"/>
        </w:rPr>
        <w:t>assemblages</w:t>
      </w:r>
      <w:r w:rsidR="008615F0" w:rsidRPr="00293CBE">
        <w:rPr>
          <w:rFonts w:cstheme="minorHAnsi"/>
        </w:rPr>
        <w:t xml:space="preserve"> </w:t>
      </w:r>
      <w:r w:rsidRPr="00293CBE">
        <w:rPr>
          <w:rFonts w:cstheme="minorHAnsi"/>
        </w:rPr>
        <w:t xml:space="preserve">in the OPEN hollows appeared distinct compared with hollows in both restoration areas, primarily because of the high abundance of </w:t>
      </w:r>
      <w:r w:rsidRPr="00293CBE">
        <w:rPr>
          <w:rFonts w:cstheme="minorHAnsi"/>
          <w:i/>
        </w:rPr>
        <w:t>A</w:t>
      </w:r>
      <w:r w:rsidR="00C61B86">
        <w:rPr>
          <w:rFonts w:cstheme="minorHAnsi"/>
          <w:i/>
        </w:rPr>
        <w:t>.</w:t>
      </w:r>
      <w:r w:rsidRPr="00293CBE">
        <w:rPr>
          <w:rFonts w:cstheme="minorHAnsi"/>
          <w:i/>
        </w:rPr>
        <w:t xml:space="preserve"> flavum</w:t>
      </w:r>
      <w:r w:rsidRPr="00293CBE">
        <w:rPr>
          <w:rFonts w:cstheme="minorHAnsi"/>
        </w:rPr>
        <w:t xml:space="preserve"> which was largely absent in restoration areas.   PERMANOVA showed that </w:t>
      </w:r>
      <w:r w:rsidR="001A5730">
        <w:rPr>
          <w:rFonts w:cstheme="minorHAnsi"/>
        </w:rPr>
        <w:t xml:space="preserve">TA </w:t>
      </w:r>
      <w:r w:rsidRPr="00293CBE">
        <w:rPr>
          <w:rFonts w:cstheme="minorHAnsi"/>
        </w:rPr>
        <w:t>composition was significantly different between study area (F</w:t>
      </w:r>
      <w:r w:rsidR="00C61B86">
        <w:rPr>
          <w:rFonts w:cstheme="minorHAnsi"/>
        </w:rPr>
        <w:t xml:space="preserve"> </w:t>
      </w:r>
      <w:r w:rsidRPr="00293CBE">
        <w:rPr>
          <w:rFonts w:cstheme="minorHAnsi"/>
        </w:rPr>
        <w:t>=</w:t>
      </w:r>
      <w:r w:rsidR="00C61B86">
        <w:rPr>
          <w:rFonts w:cstheme="minorHAnsi"/>
        </w:rPr>
        <w:t xml:space="preserve"> </w:t>
      </w:r>
      <w:r w:rsidRPr="00293CBE">
        <w:rPr>
          <w:rFonts w:cstheme="minorHAnsi"/>
        </w:rPr>
        <w:t xml:space="preserve">21.010, </w:t>
      </w:r>
      <w:r w:rsidRPr="00293CBE">
        <w:rPr>
          <w:rFonts w:cstheme="minorHAnsi"/>
          <w:i/>
        </w:rPr>
        <w:t xml:space="preserve">p </w:t>
      </w:r>
      <w:r w:rsidRPr="00293CBE">
        <w:rPr>
          <w:rFonts w:cstheme="minorHAnsi"/>
        </w:rPr>
        <w:t xml:space="preserve">= 0.001). The TA </w:t>
      </w:r>
      <w:r w:rsidR="008615F0">
        <w:rPr>
          <w:rFonts w:cstheme="minorHAnsi"/>
        </w:rPr>
        <w:t>assemblage</w:t>
      </w:r>
      <w:r w:rsidR="008615F0" w:rsidRPr="00293CBE">
        <w:rPr>
          <w:rFonts w:cstheme="minorHAnsi"/>
        </w:rPr>
        <w:t xml:space="preserve"> </w:t>
      </w:r>
      <w:r w:rsidRPr="00293CBE">
        <w:rPr>
          <w:rFonts w:cstheme="minorHAnsi"/>
        </w:rPr>
        <w:t>also differed significantly with microtopography (F</w:t>
      </w:r>
      <w:r w:rsidR="00C61B86">
        <w:rPr>
          <w:rFonts w:cstheme="minorHAnsi"/>
        </w:rPr>
        <w:t xml:space="preserve"> </w:t>
      </w:r>
      <w:r w:rsidRPr="00293CBE">
        <w:rPr>
          <w:rFonts w:cstheme="minorHAnsi"/>
        </w:rPr>
        <w:t>=</w:t>
      </w:r>
      <w:r w:rsidR="00C61B86">
        <w:rPr>
          <w:rFonts w:cstheme="minorHAnsi"/>
        </w:rPr>
        <w:t xml:space="preserve"> </w:t>
      </w:r>
      <w:r w:rsidRPr="00293CBE">
        <w:rPr>
          <w:rFonts w:cstheme="minorHAnsi"/>
        </w:rPr>
        <w:t xml:space="preserve">9.180, </w:t>
      </w:r>
      <w:r w:rsidRPr="00293CBE">
        <w:rPr>
          <w:rFonts w:cstheme="minorHAnsi"/>
          <w:i/>
        </w:rPr>
        <w:t xml:space="preserve">p = </w:t>
      </w:r>
      <w:r w:rsidRPr="00293CBE">
        <w:rPr>
          <w:rFonts w:cstheme="minorHAnsi"/>
        </w:rPr>
        <w:t>0.001) but not with sampling month (F</w:t>
      </w:r>
      <w:r w:rsidR="00C61B86">
        <w:rPr>
          <w:rFonts w:cstheme="minorHAnsi"/>
        </w:rPr>
        <w:t xml:space="preserve"> </w:t>
      </w:r>
      <w:r w:rsidRPr="00293CBE">
        <w:rPr>
          <w:rFonts w:cstheme="minorHAnsi"/>
        </w:rPr>
        <w:t>=</w:t>
      </w:r>
      <w:r w:rsidR="00C61B86">
        <w:rPr>
          <w:rFonts w:cstheme="minorHAnsi"/>
        </w:rPr>
        <w:t xml:space="preserve"> </w:t>
      </w:r>
      <w:r w:rsidRPr="00293CBE">
        <w:rPr>
          <w:rFonts w:cstheme="minorHAnsi"/>
        </w:rPr>
        <w:t xml:space="preserve">1.328, </w:t>
      </w:r>
      <w:r w:rsidRPr="00293CBE">
        <w:rPr>
          <w:rFonts w:cstheme="minorHAnsi"/>
          <w:i/>
        </w:rPr>
        <w:t xml:space="preserve">p </w:t>
      </w:r>
      <w:r w:rsidRPr="00293CBE">
        <w:rPr>
          <w:rFonts w:cstheme="minorHAnsi"/>
        </w:rPr>
        <w:t xml:space="preserve">= 0.067). </w:t>
      </w:r>
    </w:p>
    <w:p w14:paraId="277B7444" w14:textId="4D7B516B" w:rsidR="004730DB" w:rsidRPr="00293CBE" w:rsidRDefault="004730DB" w:rsidP="00674C26">
      <w:pPr>
        <w:spacing w:line="276" w:lineRule="auto"/>
        <w:rPr>
          <w:rFonts w:cstheme="minorHAnsi"/>
          <w:i/>
          <w:iCs/>
        </w:rPr>
      </w:pPr>
      <w:r w:rsidRPr="00293CBE">
        <w:rPr>
          <w:rFonts w:cstheme="minorHAnsi"/>
          <w:i/>
          <w:iCs/>
        </w:rPr>
        <w:t>T</w:t>
      </w:r>
      <w:r w:rsidR="004C75D3">
        <w:rPr>
          <w:rFonts w:cstheme="minorHAnsi"/>
          <w:i/>
          <w:iCs/>
        </w:rPr>
        <w:t>estate amoebae</w:t>
      </w:r>
      <w:r w:rsidRPr="00293CBE">
        <w:rPr>
          <w:rFonts w:cstheme="minorHAnsi"/>
          <w:i/>
          <w:iCs/>
        </w:rPr>
        <w:t xml:space="preserve"> Indicator species </w:t>
      </w:r>
      <w:r w:rsidR="00F6180F">
        <w:rPr>
          <w:rFonts w:cstheme="minorHAnsi"/>
          <w:i/>
          <w:iCs/>
        </w:rPr>
        <w:t>analysis</w:t>
      </w:r>
    </w:p>
    <w:p w14:paraId="5041A9F6" w14:textId="66EE9E55" w:rsidR="004730DB" w:rsidRDefault="00F6180F" w:rsidP="007136F0">
      <w:pPr>
        <w:spacing w:after="0" w:line="276" w:lineRule="auto"/>
        <w:rPr>
          <w:rFonts w:cstheme="minorHAnsi"/>
        </w:rPr>
      </w:pPr>
      <w:r>
        <w:rPr>
          <w:rFonts w:cstheme="minorHAnsi"/>
        </w:rPr>
        <w:t>Indicator species analysis showed f</w:t>
      </w:r>
      <w:r w:rsidR="004730DB" w:rsidRPr="00293CBE">
        <w:rPr>
          <w:rFonts w:cstheme="minorHAnsi"/>
        </w:rPr>
        <w:t xml:space="preserve">ourteen significant indicator species (Table </w:t>
      </w:r>
      <w:r w:rsidR="00D2446B">
        <w:rPr>
          <w:rFonts w:cstheme="minorHAnsi"/>
        </w:rPr>
        <w:t>1</w:t>
      </w:r>
      <w:r w:rsidR="004730DB" w:rsidRPr="00293CBE">
        <w:rPr>
          <w:rFonts w:cstheme="minorHAnsi"/>
        </w:rPr>
        <w:t>)</w:t>
      </w:r>
      <w:r>
        <w:rPr>
          <w:rFonts w:cstheme="minorHAnsi"/>
        </w:rPr>
        <w:t>.</w:t>
      </w:r>
      <w:r w:rsidR="004730DB" w:rsidRPr="00293CBE">
        <w:rPr>
          <w:rFonts w:cstheme="minorHAnsi"/>
        </w:rPr>
        <w:t xml:space="preserve"> </w:t>
      </w:r>
      <w:r>
        <w:rPr>
          <w:rFonts w:cstheme="minorHAnsi"/>
        </w:rPr>
        <w:t>T</w:t>
      </w:r>
      <w:r w:rsidR="004730DB" w:rsidRPr="00293CBE">
        <w:rPr>
          <w:rFonts w:cstheme="minorHAnsi"/>
        </w:rPr>
        <w:t xml:space="preserve">he highest indicator values (IndVal) </w:t>
      </w:r>
      <w:r>
        <w:rPr>
          <w:rFonts w:cstheme="minorHAnsi"/>
        </w:rPr>
        <w:t xml:space="preserve">were </w:t>
      </w:r>
      <w:r w:rsidR="004730DB" w:rsidRPr="00293CBE">
        <w:rPr>
          <w:rFonts w:cstheme="minorHAnsi"/>
        </w:rPr>
        <w:t xml:space="preserve">found for </w:t>
      </w:r>
      <w:r w:rsidR="004730DB" w:rsidRPr="00293CBE">
        <w:rPr>
          <w:rFonts w:cstheme="minorHAnsi"/>
          <w:i/>
        </w:rPr>
        <w:t>T. arcula</w:t>
      </w:r>
      <w:r w:rsidR="004730DB" w:rsidRPr="00293CBE">
        <w:rPr>
          <w:rFonts w:cstheme="minorHAnsi"/>
        </w:rPr>
        <w:t xml:space="preserve"> (0.87), </w:t>
      </w:r>
      <w:r w:rsidR="004730DB" w:rsidRPr="00293CBE">
        <w:rPr>
          <w:rFonts w:cstheme="minorHAnsi"/>
          <w:i/>
        </w:rPr>
        <w:t>H. subflava</w:t>
      </w:r>
      <w:r w:rsidR="004730DB" w:rsidRPr="00293CBE">
        <w:rPr>
          <w:rFonts w:cstheme="minorHAnsi"/>
        </w:rPr>
        <w:t xml:space="preserve"> (0.76) and </w:t>
      </w:r>
      <w:r w:rsidR="004730DB" w:rsidRPr="00293CBE">
        <w:rPr>
          <w:rFonts w:cstheme="minorHAnsi"/>
          <w:i/>
        </w:rPr>
        <w:t>T. lineare</w:t>
      </w:r>
      <w:r w:rsidR="004730DB" w:rsidRPr="00293CBE">
        <w:rPr>
          <w:rFonts w:cstheme="minorHAnsi"/>
        </w:rPr>
        <w:t xml:space="preserve"> (0.70). </w:t>
      </w:r>
      <w:r w:rsidR="00D1447C">
        <w:rPr>
          <w:rFonts w:cstheme="minorHAnsi"/>
        </w:rPr>
        <w:t xml:space="preserve">At RES17YRS the </w:t>
      </w:r>
      <w:r>
        <w:rPr>
          <w:rFonts w:cstheme="minorHAnsi"/>
        </w:rPr>
        <w:t xml:space="preserve">strongest </w:t>
      </w:r>
      <w:r w:rsidR="004730DB" w:rsidRPr="00293CBE">
        <w:rPr>
          <w:rFonts w:cstheme="minorHAnsi"/>
        </w:rPr>
        <w:t xml:space="preserve">indicators were </w:t>
      </w:r>
      <w:r w:rsidR="006A3261">
        <w:rPr>
          <w:rFonts w:cstheme="minorHAnsi"/>
          <w:i/>
        </w:rPr>
        <w:t>G</w:t>
      </w:r>
      <w:r w:rsidR="004730DB" w:rsidRPr="00293CBE">
        <w:rPr>
          <w:rFonts w:cstheme="minorHAnsi"/>
          <w:i/>
        </w:rPr>
        <w:t xml:space="preserve">. discoides </w:t>
      </w:r>
      <w:r w:rsidR="004730DB" w:rsidRPr="00293CBE">
        <w:rPr>
          <w:rFonts w:cstheme="minorHAnsi"/>
        </w:rPr>
        <w:t xml:space="preserve">(0.62), </w:t>
      </w:r>
      <w:r w:rsidR="004730DB" w:rsidRPr="00293CBE">
        <w:rPr>
          <w:rFonts w:cstheme="minorHAnsi"/>
          <w:i/>
        </w:rPr>
        <w:t xml:space="preserve">Euglypha compressa </w:t>
      </w:r>
      <w:r w:rsidR="004730DB" w:rsidRPr="00293CBE">
        <w:rPr>
          <w:rFonts w:cstheme="minorHAnsi"/>
        </w:rPr>
        <w:t xml:space="preserve">(0.45) and </w:t>
      </w:r>
      <w:r w:rsidR="004730DB" w:rsidRPr="00293CBE">
        <w:rPr>
          <w:rFonts w:cstheme="minorHAnsi"/>
          <w:i/>
        </w:rPr>
        <w:t>C. oviformis</w:t>
      </w:r>
      <w:r w:rsidR="004730DB" w:rsidRPr="00293CBE">
        <w:rPr>
          <w:rFonts w:cstheme="minorHAnsi"/>
        </w:rPr>
        <w:t xml:space="preserve"> (0.43).  RES6YRS contained the largest proportion of indicator species (43%) with </w:t>
      </w:r>
      <w:r w:rsidR="004730DB" w:rsidRPr="00293CBE">
        <w:rPr>
          <w:rFonts w:cstheme="minorHAnsi"/>
          <w:i/>
        </w:rPr>
        <w:t>T. arcula</w:t>
      </w:r>
      <w:r w:rsidR="004730DB" w:rsidRPr="00293CBE">
        <w:rPr>
          <w:rFonts w:cstheme="minorHAnsi"/>
        </w:rPr>
        <w:t xml:space="preserve">, </w:t>
      </w:r>
      <w:r w:rsidR="004730DB" w:rsidRPr="00293CBE">
        <w:rPr>
          <w:rFonts w:cstheme="minorHAnsi"/>
          <w:i/>
        </w:rPr>
        <w:t>H. subflava</w:t>
      </w:r>
      <w:r w:rsidR="004730DB" w:rsidRPr="00293CBE">
        <w:rPr>
          <w:rFonts w:cstheme="minorHAnsi"/>
        </w:rPr>
        <w:t xml:space="preserve">, </w:t>
      </w:r>
      <w:r w:rsidR="004730DB" w:rsidRPr="00293CBE">
        <w:rPr>
          <w:rFonts w:cstheme="minorHAnsi"/>
          <w:i/>
        </w:rPr>
        <w:t>T. lineare</w:t>
      </w:r>
      <w:r w:rsidR="004730DB" w:rsidRPr="00293CBE">
        <w:rPr>
          <w:rFonts w:cstheme="minorHAnsi"/>
        </w:rPr>
        <w:t xml:space="preserve">, </w:t>
      </w:r>
      <w:r w:rsidR="004730DB" w:rsidRPr="00293CBE">
        <w:rPr>
          <w:rFonts w:cstheme="minorHAnsi"/>
          <w:i/>
        </w:rPr>
        <w:t>N. militaris, E. tuberculata</w:t>
      </w:r>
      <w:r w:rsidR="004730DB" w:rsidRPr="00293CBE">
        <w:rPr>
          <w:rFonts w:cstheme="minorHAnsi"/>
        </w:rPr>
        <w:t xml:space="preserve"> type and </w:t>
      </w:r>
      <w:r w:rsidR="004730DB" w:rsidRPr="00293CBE">
        <w:rPr>
          <w:rFonts w:cstheme="minorHAnsi"/>
          <w:i/>
        </w:rPr>
        <w:t>E. rotunda/laevis</w:t>
      </w:r>
      <w:r w:rsidR="004730DB" w:rsidRPr="00293CBE">
        <w:rPr>
          <w:rFonts w:cstheme="minorHAnsi"/>
        </w:rPr>
        <w:t xml:space="preserve"> identified as significant indicators. The strongest indicator </w:t>
      </w:r>
      <w:r w:rsidR="00C61B86">
        <w:rPr>
          <w:rFonts w:cstheme="minorHAnsi"/>
        </w:rPr>
        <w:t>of</w:t>
      </w:r>
      <w:r w:rsidR="004730DB" w:rsidRPr="00293CBE">
        <w:rPr>
          <w:rFonts w:cstheme="minorHAnsi"/>
        </w:rPr>
        <w:t xml:space="preserve"> OPEN areas was </w:t>
      </w:r>
      <w:r w:rsidR="004730DB" w:rsidRPr="00293CBE">
        <w:rPr>
          <w:rFonts w:cstheme="minorHAnsi"/>
          <w:i/>
        </w:rPr>
        <w:t>A. flavum</w:t>
      </w:r>
      <w:r w:rsidR="004730DB" w:rsidRPr="00293CBE">
        <w:rPr>
          <w:rFonts w:cstheme="minorHAnsi"/>
        </w:rPr>
        <w:t xml:space="preserve">.  Although not significant indicators at the defined cut-off point (IndVal &gt; 0.30), </w:t>
      </w:r>
      <w:r w:rsidR="004730DB" w:rsidRPr="00293CBE">
        <w:rPr>
          <w:rFonts w:cstheme="minorHAnsi"/>
          <w:i/>
        </w:rPr>
        <w:t xml:space="preserve">H. elegans </w:t>
      </w:r>
      <w:r w:rsidR="004730DB" w:rsidRPr="00293CBE">
        <w:rPr>
          <w:rFonts w:cstheme="minorHAnsi"/>
        </w:rPr>
        <w:t xml:space="preserve">and </w:t>
      </w:r>
      <w:r w:rsidR="004730DB" w:rsidRPr="00293CBE">
        <w:rPr>
          <w:rFonts w:cstheme="minorHAnsi"/>
          <w:i/>
        </w:rPr>
        <w:t>H. papilio</w:t>
      </w:r>
      <w:r w:rsidR="004730DB" w:rsidRPr="00293CBE">
        <w:rPr>
          <w:rFonts w:cstheme="minorHAnsi"/>
        </w:rPr>
        <w:t xml:space="preserve"> were shown to be significant indicators of OPEN areas (IndVal 0.18) respectively.</w:t>
      </w:r>
    </w:p>
    <w:p w14:paraId="62F8CFF0" w14:textId="2978E91C" w:rsidR="00F6180F" w:rsidRDefault="00F6180F" w:rsidP="007136F0">
      <w:pPr>
        <w:spacing w:after="0" w:line="276" w:lineRule="auto"/>
        <w:rPr>
          <w:rFonts w:cstheme="minorHAnsi"/>
        </w:rPr>
      </w:pPr>
    </w:p>
    <w:p w14:paraId="1E939C1C" w14:textId="2E733587" w:rsidR="00F6180F" w:rsidRPr="004C75D3" w:rsidRDefault="004C75D3" w:rsidP="007136F0">
      <w:pPr>
        <w:spacing w:after="0" w:line="276" w:lineRule="auto"/>
        <w:rPr>
          <w:rFonts w:cstheme="minorHAnsi"/>
          <w:i/>
        </w:rPr>
      </w:pPr>
      <w:r w:rsidRPr="004C75D3">
        <w:rPr>
          <w:rFonts w:cstheme="minorHAnsi"/>
          <w:i/>
        </w:rPr>
        <w:t>Testate amoebae f</w:t>
      </w:r>
      <w:r w:rsidR="00F6180F" w:rsidRPr="004C75D3">
        <w:rPr>
          <w:rFonts w:cstheme="minorHAnsi"/>
          <w:i/>
        </w:rPr>
        <w:t>unctional trait analysis</w:t>
      </w:r>
    </w:p>
    <w:p w14:paraId="5DB07D08" w14:textId="77777777" w:rsidR="007136F0" w:rsidRPr="00293CBE" w:rsidRDefault="007136F0" w:rsidP="007136F0">
      <w:pPr>
        <w:spacing w:after="0" w:line="276" w:lineRule="auto"/>
        <w:rPr>
          <w:rFonts w:cstheme="minorHAnsi"/>
        </w:rPr>
      </w:pPr>
    </w:p>
    <w:p w14:paraId="159688A8" w14:textId="11D5585C" w:rsidR="007136F0" w:rsidRPr="00293CBE" w:rsidRDefault="007136F0" w:rsidP="005A7A1A">
      <w:pPr>
        <w:spacing w:after="0" w:line="276" w:lineRule="auto"/>
        <w:rPr>
          <w:rFonts w:cstheme="minorHAnsi"/>
        </w:rPr>
      </w:pPr>
      <w:r w:rsidRPr="00293CBE">
        <w:rPr>
          <w:rFonts w:cstheme="minorHAnsi"/>
        </w:rPr>
        <w:t xml:space="preserve">The functional trait analysis showed the effects of restoration on certain functional traits within the TA </w:t>
      </w:r>
      <w:r w:rsidR="008615F0">
        <w:rPr>
          <w:rFonts w:cstheme="minorHAnsi"/>
        </w:rPr>
        <w:t>assemblages</w:t>
      </w:r>
      <w:r w:rsidRPr="00293CBE">
        <w:rPr>
          <w:rFonts w:cstheme="minorHAnsi"/>
        </w:rPr>
        <w:t>. Notably, mixotrophs (</w:t>
      </w:r>
      <w:r w:rsidRPr="00293CBE">
        <w:rPr>
          <w:rFonts w:cstheme="minorHAnsi"/>
          <w:i/>
          <w:iCs/>
        </w:rPr>
        <w:t>A</w:t>
      </w:r>
      <w:r w:rsidR="008D6ACA" w:rsidRPr="00293CBE">
        <w:rPr>
          <w:rFonts w:cstheme="minorHAnsi"/>
          <w:i/>
          <w:iCs/>
        </w:rPr>
        <w:t xml:space="preserve">. </w:t>
      </w:r>
      <w:r w:rsidRPr="00293CBE">
        <w:rPr>
          <w:rFonts w:cstheme="minorHAnsi"/>
          <w:i/>
          <w:iCs/>
        </w:rPr>
        <w:t>flavum</w:t>
      </w:r>
      <w:r w:rsidRPr="00293CBE">
        <w:rPr>
          <w:rFonts w:cstheme="minorHAnsi"/>
        </w:rPr>
        <w:t xml:space="preserve"> and </w:t>
      </w:r>
      <w:r w:rsidRPr="00293CBE">
        <w:rPr>
          <w:rFonts w:cstheme="minorHAnsi"/>
          <w:i/>
          <w:iCs/>
        </w:rPr>
        <w:t>H</w:t>
      </w:r>
      <w:r w:rsidR="002618B4">
        <w:rPr>
          <w:rFonts w:cstheme="minorHAnsi"/>
          <w:i/>
          <w:iCs/>
        </w:rPr>
        <w:t>.</w:t>
      </w:r>
      <w:r w:rsidRPr="00293CBE">
        <w:rPr>
          <w:rFonts w:cstheme="minorHAnsi"/>
          <w:i/>
          <w:iCs/>
        </w:rPr>
        <w:t xml:space="preserve"> papilio</w:t>
      </w:r>
      <w:r w:rsidRPr="00293CBE">
        <w:rPr>
          <w:rFonts w:cstheme="minorHAnsi"/>
        </w:rPr>
        <w:t xml:space="preserve">) made up a significantly larger proportion of the </w:t>
      </w:r>
      <w:r w:rsidR="008B0920">
        <w:rPr>
          <w:rFonts w:cstheme="minorHAnsi"/>
        </w:rPr>
        <w:t>assemblage</w:t>
      </w:r>
      <w:r w:rsidRPr="00293CBE">
        <w:rPr>
          <w:rFonts w:cstheme="minorHAnsi"/>
        </w:rPr>
        <w:t xml:space="preserve"> in OPEN areas (χ2 (2) = 26.429, </w:t>
      </w:r>
      <w:r w:rsidRPr="00293CBE">
        <w:rPr>
          <w:rFonts w:cstheme="minorHAnsi"/>
          <w:i/>
          <w:iCs/>
        </w:rPr>
        <w:t>p</w:t>
      </w:r>
      <w:r w:rsidRPr="00293CBE">
        <w:rPr>
          <w:rFonts w:cstheme="minorHAnsi"/>
        </w:rPr>
        <w:t xml:space="preserve"> = &lt; 0.001), compared with forest-to-bog restoration areas where mixotrophs were largely absent.  In contrast, there was no difference in the proportion of mixotrophs between sampling months (χ2 (3) = 1.632, </w:t>
      </w:r>
      <w:r w:rsidRPr="00293CBE">
        <w:rPr>
          <w:rFonts w:cstheme="minorHAnsi"/>
          <w:i/>
          <w:iCs/>
        </w:rPr>
        <w:t>p</w:t>
      </w:r>
      <w:r w:rsidRPr="00293CBE">
        <w:rPr>
          <w:rFonts w:cstheme="minorHAnsi"/>
        </w:rPr>
        <w:t xml:space="preserve"> = 0.652). Sampling months also had no effect on aperture size (F = 0.977, </w:t>
      </w:r>
      <w:r w:rsidRPr="00293CBE">
        <w:rPr>
          <w:rFonts w:cstheme="minorHAnsi"/>
          <w:i/>
          <w:iCs/>
        </w:rPr>
        <w:t>p</w:t>
      </w:r>
      <w:r w:rsidRPr="00293CBE">
        <w:rPr>
          <w:rFonts w:cstheme="minorHAnsi"/>
        </w:rPr>
        <w:t xml:space="preserve"> = 0.408), and aperture sizes were not significantly different between the three study areas (F = 2.734, </w:t>
      </w:r>
      <w:r w:rsidRPr="00293CBE">
        <w:rPr>
          <w:rFonts w:cstheme="minorHAnsi"/>
          <w:i/>
          <w:iCs/>
        </w:rPr>
        <w:t>p</w:t>
      </w:r>
      <w:r w:rsidRPr="00293CBE">
        <w:rPr>
          <w:rFonts w:cstheme="minorHAnsi"/>
        </w:rPr>
        <w:t xml:space="preserve"> = 0.071). </w:t>
      </w:r>
    </w:p>
    <w:p w14:paraId="7B1E89AD" w14:textId="77777777" w:rsidR="00261E6B" w:rsidRPr="00293CBE" w:rsidRDefault="00261E6B" w:rsidP="00261E6B">
      <w:pPr>
        <w:spacing w:after="0" w:line="276" w:lineRule="auto"/>
        <w:rPr>
          <w:rFonts w:cstheme="minorHAnsi"/>
        </w:rPr>
      </w:pPr>
    </w:p>
    <w:p w14:paraId="0317A80F" w14:textId="43C381F3" w:rsidR="00CB670D" w:rsidRPr="00293CBE" w:rsidRDefault="00956FA5" w:rsidP="00674C26">
      <w:pPr>
        <w:spacing w:line="276" w:lineRule="auto"/>
        <w:rPr>
          <w:rFonts w:cstheme="minorHAnsi"/>
          <w:i/>
          <w:iCs/>
        </w:rPr>
      </w:pPr>
      <w:r w:rsidRPr="00293CBE">
        <w:rPr>
          <w:rFonts w:cstheme="minorHAnsi"/>
          <w:i/>
          <w:iCs/>
        </w:rPr>
        <w:t xml:space="preserve">Vegetation and </w:t>
      </w:r>
      <w:r w:rsidR="004C75D3">
        <w:rPr>
          <w:rFonts w:cstheme="minorHAnsi"/>
          <w:i/>
          <w:iCs/>
        </w:rPr>
        <w:t>Testate amoebae</w:t>
      </w:r>
      <w:r w:rsidRPr="00293CBE">
        <w:rPr>
          <w:rFonts w:cstheme="minorHAnsi"/>
          <w:i/>
          <w:iCs/>
        </w:rPr>
        <w:t xml:space="preserve"> response to environmental d</w:t>
      </w:r>
      <w:r w:rsidR="000D50AC">
        <w:rPr>
          <w:rFonts w:cstheme="minorHAnsi"/>
          <w:i/>
          <w:iCs/>
        </w:rPr>
        <w:t>r</w:t>
      </w:r>
      <w:r w:rsidRPr="00293CBE">
        <w:rPr>
          <w:rFonts w:cstheme="minorHAnsi"/>
          <w:i/>
          <w:iCs/>
        </w:rPr>
        <w:t>ivers</w:t>
      </w:r>
    </w:p>
    <w:p w14:paraId="23B0098F" w14:textId="77777777" w:rsidR="00C61B86" w:rsidRDefault="00956FA5" w:rsidP="00956FA5">
      <w:pPr>
        <w:spacing w:line="276" w:lineRule="auto"/>
        <w:rPr>
          <w:rFonts w:cstheme="minorHAnsi"/>
          <w:noProof/>
        </w:rPr>
      </w:pPr>
      <w:r w:rsidRPr="00293CBE">
        <w:rPr>
          <w:rFonts w:cstheme="minorHAnsi"/>
          <w:noProof/>
        </w:rPr>
        <w:t>In the RDA (Fi</w:t>
      </w:r>
      <w:r w:rsidR="00A978BF" w:rsidRPr="00293CBE">
        <w:rPr>
          <w:rFonts w:cstheme="minorHAnsi"/>
          <w:noProof/>
        </w:rPr>
        <w:t xml:space="preserve">g </w:t>
      </w:r>
      <w:r w:rsidR="00D2446B">
        <w:rPr>
          <w:rFonts w:cstheme="minorHAnsi"/>
          <w:noProof/>
        </w:rPr>
        <w:t>6</w:t>
      </w:r>
      <w:r w:rsidR="00A978BF" w:rsidRPr="00293CBE">
        <w:rPr>
          <w:rFonts w:cstheme="minorHAnsi"/>
          <w:noProof/>
        </w:rPr>
        <w:t>b</w:t>
      </w:r>
      <w:r w:rsidRPr="00293CBE">
        <w:rPr>
          <w:rFonts w:cstheme="minorHAnsi"/>
          <w:noProof/>
        </w:rPr>
        <w:t>), edaphic (OM, BD, pH, EC and moisture) and environmental (WTD and temperature) variables accounted for 60 % variation in vegetation (percentage cover of AERENCOV, SPHCOV and SHRUBCOV)</w:t>
      </w:r>
      <w:r w:rsidRPr="00293CBE">
        <w:rPr>
          <w:rFonts w:cstheme="minorHAnsi"/>
          <w:noProof/>
          <w:color w:val="FF0000"/>
        </w:rPr>
        <w:t xml:space="preserve">. </w:t>
      </w:r>
      <w:r w:rsidRPr="00293CBE">
        <w:rPr>
          <w:rFonts w:cstheme="minorHAnsi"/>
          <w:noProof/>
        </w:rPr>
        <w:t>The first axis explained 40 % of the variation and indicated a bulk density - moisture – acidity gradient. The second axis explained 20 % of the variation in the vegetation dataset and indicated an organic matter – moisture gradient. Edaphic factors and environmental variables measured were found to be significant controls on vegetation compsition (</w:t>
      </w:r>
      <w:r w:rsidRPr="00293CBE">
        <w:rPr>
          <w:rFonts w:cstheme="minorHAnsi"/>
          <w:i/>
          <w:noProof/>
        </w:rPr>
        <w:t>p</w:t>
      </w:r>
      <w:r w:rsidRPr="00293CBE">
        <w:rPr>
          <w:rFonts w:cstheme="minorHAnsi"/>
          <w:noProof/>
        </w:rPr>
        <w:t xml:space="preserve"> = 0.001). </w:t>
      </w:r>
    </w:p>
    <w:p w14:paraId="5C783FB4" w14:textId="1B43DC37" w:rsidR="00956FA5" w:rsidRPr="00293CBE" w:rsidRDefault="00956FA5" w:rsidP="00956FA5">
      <w:pPr>
        <w:spacing w:line="276" w:lineRule="auto"/>
        <w:rPr>
          <w:rFonts w:eastAsia="SimSun" w:cstheme="minorHAnsi"/>
          <w:color w:val="FF0000"/>
        </w:rPr>
      </w:pPr>
      <w:r w:rsidRPr="00293CBE">
        <w:rPr>
          <w:rFonts w:eastAsia="SimSun" w:cstheme="minorHAnsi"/>
        </w:rPr>
        <w:t xml:space="preserve">The results of the RDA for TA </w:t>
      </w:r>
      <w:r w:rsidR="008B0920">
        <w:rPr>
          <w:rFonts w:eastAsia="SimSun" w:cstheme="minorHAnsi"/>
        </w:rPr>
        <w:t>assemblage</w:t>
      </w:r>
      <w:r w:rsidR="00C61B86">
        <w:rPr>
          <w:rFonts w:eastAsia="SimSun" w:cstheme="minorHAnsi"/>
        </w:rPr>
        <w:t>s</w:t>
      </w:r>
      <w:r w:rsidRPr="00293CBE">
        <w:rPr>
          <w:rFonts w:eastAsia="SimSun" w:cstheme="minorHAnsi"/>
        </w:rPr>
        <w:t xml:space="preserve"> </w:t>
      </w:r>
      <w:r w:rsidR="00A978BF" w:rsidRPr="00293CBE">
        <w:rPr>
          <w:rFonts w:eastAsia="SimSun" w:cstheme="minorHAnsi"/>
        </w:rPr>
        <w:t xml:space="preserve">(Fig </w:t>
      </w:r>
      <w:r w:rsidR="00D2446B">
        <w:rPr>
          <w:rFonts w:eastAsia="SimSun" w:cstheme="minorHAnsi"/>
        </w:rPr>
        <w:t>6</w:t>
      </w:r>
      <w:r w:rsidR="00A978BF" w:rsidRPr="00293CBE">
        <w:rPr>
          <w:rFonts w:eastAsia="SimSun" w:cstheme="minorHAnsi"/>
        </w:rPr>
        <w:t xml:space="preserve">a) </w:t>
      </w:r>
      <w:r w:rsidRPr="00293CBE">
        <w:rPr>
          <w:rFonts w:eastAsia="SimSun" w:cstheme="minorHAnsi"/>
        </w:rPr>
        <w:t>(which also included vegetation cover as a covariate) explained a smaller proportion (47 %) of the variation. The first axis explained 23 % variation and the contribution of RDA axis one to the variation in the model was significant (</w:t>
      </w:r>
      <w:r w:rsidRPr="00293CBE">
        <w:rPr>
          <w:rFonts w:eastAsia="SimSun" w:cstheme="minorHAnsi"/>
          <w:i/>
          <w:iCs/>
        </w:rPr>
        <w:t>p</w:t>
      </w:r>
      <w:r w:rsidRPr="00293CBE">
        <w:rPr>
          <w:rFonts w:eastAsia="SimSun" w:cstheme="minorHAnsi"/>
        </w:rPr>
        <w:t xml:space="preserve"> = 0.001) and indicated strong influences of moisture, </w:t>
      </w:r>
      <w:r w:rsidRPr="00293CBE">
        <w:rPr>
          <w:rFonts w:eastAsia="SimSun" w:cstheme="minorHAnsi"/>
          <w:i/>
          <w:iCs/>
        </w:rPr>
        <w:t>Sphagnum</w:t>
      </w:r>
      <w:r w:rsidRPr="00293CBE">
        <w:rPr>
          <w:rFonts w:eastAsia="SimSun" w:cstheme="minorHAnsi"/>
        </w:rPr>
        <w:t xml:space="preserve"> cover and organic matter content on TA </w:t>
      </w:r>
      <w:r w:rsidR="008615F0">
        <w:rPr>
          <w:rFonts w:eastAsia="SimSun" w:cstheme="minorHAnsi"/>
        </w:rPr>
        <w:t>assemblages</w:t>
      </w:r>
      <w:r w:rsidRPr="00293CBE">
        <w:rPr>
          <w:rFonts w:eastAsia="SimSun" w:cstheme="minorHAnsi"/>
        </w:rPr>
        <w:t xml:space="preserve">.  The contribution of the second axis to the variation in the model was also </w:t>
      </w:r>
      <w:r w:rsidRPr="00293CBE">
        <w:rPr>
          <w:rFonts w:eastAsia="SimSun" w:cstheme="minorHAnsi"/>
        </w:rPr>
        <w:lastRenderedPageBreak/>
        <w:t xml:space="preserve">significant and explained 11 % variation indicating pH, BD and WTD were stronger drivers. </w:t>
      </w:r>
      <w:r w:rsidRPr="00293CBE">
        <w:rPr>
          <w:rFonts w:eastAsia="SimSun" w:cstheme="minorHAnsi"/>
          <w:i/>
          <w:iCs/>
        </w:rPr>
        <w:t>Sphagnum</w:t>
      </w:r>
      <w:r w:rsidRPr="00293CBE">
        <w:rPr>
          <w:rFonts w:eastAsia="SimSun" w:cstheme="minorHAnsi"/>
        </w:rPr>
        <w:t xml:space="preserve"> cover was shown to have a greater influence on TA </w:t>
      </w:r>
      <w:r w:rsidR="008615F0">
        <w:rPr>
          <w:rFonts w:eastAsia="SimSun" w:cstheme="minorHAnsi"/>
        </w:rPr>
        <w:t>assemblages</w:t>
      </w:r>
      <w:r w:rsidR="008615F0" w:rsidRPr="00293CBE">
        <w:rPr>
          <w:rFonts w:eastAsia="SimSun" w:cstheme="minorHAnsi"/>
        </w:rPr>
        <w:t xml:space="preserve"> </w:t>
      </w:r>
      <w:r w:rsidRPr="00293CBE">
        <w:rPr>
          <w:rFonts w:eastAsia="SimSun" w:cstheme="minorHAnsi"/>
        </w:rPr>
        <w:t xml:space="preserve">compared with shrub and aerenchymas cover. </w:t>
      </w:r>
    </w:p>
    <w:p w14:paraId="0C30C4FE" w14:textId="4F1C11FF" w:rsidR="00956FA5" w:rsidRPr="00293CBE" w:rsidRDefault="00956FA5" w:rsidP="00956FA5">
      <w:pPr>
        <w:spacing w:after="0" w:line="276" w:lineRule="auto"/>
        <w:rPr>
          <w:rFonts w:cstheme="minorHAnsi"/>
          <w:bCs/>
        </w:rPr>
      </w:pPr>
      <w:r w:rsidRPr="00293CBE">
        <w:rPr>
          <w:rFonts w:cstheme="minorHAnsi"/>
          <w:bCs/>
        </w:rPr>
        <w:t xml:space="preserve">Analysis to determine the proportion of the variation in TA </w:t>
      </w:r>
      <w:r w:rsidR="008615F0">
        <w:rPr>
          <w:rFonts w:cstheme="minorHAnsi"/>
          <w:bCs/>
        </w:rPr>
        <w:t>assemblages</w:t>
      </w:r>
      <w:r w:rsidR="008615F0" w:rsidRPr="00293CBE">
        <w:rPr>
          <w:rFonts w:cstheme="minorHAnsi"/>
          <w:bCs/>
        </w:rPr>
        <w:t xml:space="preserve"> </w:t>
      </w:r>
      <w:r w:rsidRPr="00293CBE">
        <w:rPr>
          <w:rFonts w:cstheme="minorHAnsi"/>
          <w:bCs/>
        </w:rPr>
        <w:t xml:space="preserve">that is explained by environmental factors demonstrated that edaphic variables were stronger drivers than vegetation shaping the TA </w:t>
      </w:r>
      <w:r w:rsidR="008615F0">
        <w:rPr>
          <w:rFonts w:cstheme="minorHAnsi"/>
          <w:bCs/>
        </w:rPr>
        <w:t>assemblages</w:t>
      </w:r>
      <w:r w:rsidR="008615F0" w:rsidRPr="00293CBE">
        <w:rPr>
          <w:rFonts w:cstheme="minorHAnsi"/>
          <w:bCs/>
        </w:rPr>
        <w:t xml:space="preserve"> </w:t>
      </w:r>
      <w:r w:rsidR="00A978BF" w:rsidRPr="00293CBE">
        <w:rPr>
          <w:rFonts w:cstheme="minorHAnsi"/>
          <w:bCs/>
        </w:rPr>
        <w:t xml:space="preserve">(Fig </w:t>
      </w:r>
      <w:r w:rsidR="00D2446B">
        <w:rPr>
          <w:rFonts w:cstheme="minorHAnsi"/>
          <w:bCs/>
        </w:rPr>
        <w:t>7</w:t>
      </w:r>
      <w:r w:rsidR="00A978BF" w:rsidRPr="00293CBE">
        <w:rPr>
          <w:rFonts w:cstheme="minorHAnsi"/>
          <w:bCs/>
        </w:rPr>
        <w:t>)</w:t>
      </w:r>
      <w:r w:rsidRPr="00293CBE">
        <w:rPr>
          <w:rFonts w:cstheme="minorHAnsi"/>
          <w:bCs/>
        </w:rPr>
        <w:t xml:space="preserve">.  Overall, the model explained about 40% of the variation in the TA </w:t>
      </w:r>
      <w:r w:rsidR="008615F0">
        <w:rPr>
          <w:rFonts w:cstheme="minorHAnsi"/>
          <w:bCs/>
        </w:rPr>
        <w:t>assemblages</w:t>
      </w:r>
      <w:r w:rsidRPr="00293CBE">
        <w:rPr>
          <w:rFonts w:cstheme="minorHAnsi"/>
          <w:bCs/>
        </w:rPr>
        <w:t xml:space="preserve">, edaphic and environmental variables explained a larger proportion (16 %) compared with vegetation (13 %) and the remaining 11 % was explained by the interaction between edaphic/environmental factors and vegetation composition. </w:t>
      </w:r>
    </w:p>
    <w:p w14:paraId="46020DA1" w14:textId="77777777" w:rsidR="00956FA5" w:rsidRPr="00293CBE" w:rsidRDefault="00956FA5" w:rsidP="00956FA5">
      <w:pPr>
        <w:spacing w:line="276" w:lineRule="auto"/>
        <w:rPr>
          <w:rFonts w:cstheme="minorHAnsi"/>
        </w:rPr>
      </w:pPr>
    </w:p>
    <w:p w14:paraId="5A37F6A3" w14:textId="1A08389D" w:rsidR="00956FA5" w:rsidRPr="00293CBE" w:rsidRDefault="00261E6B" w:rsidP="00674C26">
      <w:pPr>
        <w:spacing w:line="276" w:lineRule="auto"/>
        <w:rPr>
          <w:rFonts w:cstheme="minorHAnsi"/>
          <w:b/>
          <w:bCs/>
          <w:sz w:val="24"/>
          <w:szCs w:val="24"/>
        </w:rPr>
      </w:pPr>
      <w:r w:rsidRPr="00293CBE">
        <w:rPr>
          <w:rFonts w:cstheme="minorHAnsi"/>
          <w:b/>
          <w:bCs/>
          <w:sz w:val="24"/>
          <w:szCs w:val="24"/>
        </w:rPr>
        <w:t>Discussion</w:t>
      </w:r>
    </w:p>
    <w:p w14:paraId="2B90E440" w14:textId="1CE26409" w:rsidR="00261E6B" w:rsidRPr="00293CBE" w:rsidRDefault="00261E6B" w:rsidP="00674C26">
      <w:pPr>
        <w:spacing w:line="276" w:lineRule="auto"/>
        <w:rPr>
          <w:rFonts w:cstheme="minorHAnsi"/>
          <w:i/>
          <w:iCs/>
        </w:rPr>
      </w:pPr>
      <w:r w:rsidRPr="00293CBE">
        <w:rPr>
          <w:rFonts w:cstheme="minorHAnsi"/>
          <w:i/>
          <w:iCs/>
        </w:rPr>
        <w:t xml:space="preserve">The </w:t>
      </w:r>
      <w:r w:rsidR="00704E11" w:rsidRPr="00293CBE">
        <w:rPr>
          <w:rFonts w:cstheme="minorHAnsi"/>
          <w:i/>
          <w:iCs/>
        </w:rPr>
        <w:t>impact</w:t>
      </w:r>
      <w:r w:rsidRPr="00293CBE">
        <w:rPr>
          <w:rFonts w:cstheme="minorHAnsi"/>
          <w:i/>
          <w:iCs/>
        </w:rPr>
        <w:t xml:space="preserve"> of restoration on </w:t>
      </w:r>
      <w:r w:rsidR="004C75D3">
        <w:rPr>
          <w:rFonts w:cstheme="minorHAnsi"/>
          <w:i/>
          <w:iCs/>
        </w:rPr>
        <w:t>Testate amoeba</w:t>
      </w:r>
      <w:r w:rsidRPr="00293CBE">
        <w:rPr>
          <w:rFonts w:cstheme="minorHAnsi"/>
          <w:i/>
          <w:iCs/>
        </w:rPr>
        <w:t xml:space="preserve"> </w:t>
      </w:r>
      <w:r w:rsidR="008615F0">
        <w:rPr>
          <w:rFonts w:cstheme="minorHAnsi"/>
          <w:i/>
          <w:iCs/>
        </w:rPr>
        <w:t>assemblages</w:t>
      </w:r>
    </w:p>
    <w:p w14:paraId="2C3E42ED" w14:textId="61DE4BAF" w:rsidR="00D925D8" w:rsidRPr="00293CBE" w:rsidRDefault="00261E6B" w:rsidP="00261E6B">
      <w:pPr>
        <w:spacing w:line="276" w:lineRule="auto"/>
        <w:rPr>
          <w:rFonts w:cstheme="minorHAnsi"/>
        </w:rPr>
      </w:pPr>
      <w:r w:rsidRPr="00293CBE">
        <w:rPr>
          <w:rFonts w:cstheme="minorHAnsi"/>
        </w:rPr>
        <w:t xml:space="preserve">These results demonstrate significant effects of restoration on </w:t>
      </w:r>
      <w:r w:rsidR="00ED42EC" w:rsidRPr="00293CBE">
        <w:rPr>
          <w:rFonts w:cstheme="minorHAnsi"/>
        </w:rPr>
        <w:t>TA</w:t>
      </w:r>
      <w:r w:rsidRPr="00293CBE">
        <w:rPr>
          <w:rFonts w:cstheme="minorHAnsi"/>
        </w:rPr>
        <w:t xml:space="preserve"> </w:t>
      </w:r>
      <w:r w:rsidR="008615F0">
        <w:rPr>
          <w:rFonts w:cstheme="minorHAnsi"/>
        </w:rPr>
        <w:t>assemblages</w:t>
      </w:r>
      <w:r w:rsidR="008615F0" w:rsidRPr="00293CBE">
        <w:rPr>
          <w:rFonts w:cstheme="minorHAnsi"/>
        </w:rPr>
        <w:t xml:space="preserve"> </w:t>
      </w:r>
      <w:r w:rsidRPr="00293CBE">
        <w:rPr>
          <w:rFonts w:cstheme="minorHAnsi"/>
        </w:rPr>
        <w:t xml:space="preserve">in a raised </w:t>
      </w:r>
      <w:r w:rsidR="00D925D8" w:rsidRPr="00293CBE">
        <w:rPr>
          <w:rFonts w:cstheme="minorHAnsi"/>
        </w:rPr>
        <w:t>bog</w:t>
      </w:r>
      <w:r w:rsidRPr="00293CBE">
        <w:rPr>
          <w:rFonts w:cstheme="minorHAnsi"/>
        </w:rPr>
        <w:t xml:space="preserve">. The first hypothesis that restoration recovers the </w:t>
      </w:r>
      <w:r w:rsidR="00ED42EC" w:rsidRPr="00293CBE">
        <w:rPr>
          <w:rFonts w:cstheme="minorHAnsi"/>
        </w:rPr>
        <w:t>TA</w:t>
      </w:r>
      <w:r w:rsidRPr="00293CBE">
        <w:rPr>
          <w:rFonts w:cstheme="minorHAnsi"/>
        </w:rPr>
        <w:t xml:space="preserve"> </w:t>
      </w:r>
      <w:r w:rsidR="00622F5D">
        <w:rPr>
          <w:rFonts w:cstheme="minorHAnsi"/>
        </w:rPr>
        <w:t>assemblage</w:t>
      </w:r>
      <w:r w:rsidR="00622F5D" w:rsidRPr="00293CBE">
        <w:rPr>
          <w:rFonts w:cstheme="minorHAnsi"/>
        </w:rPr>
        <w:t xml:space="preserve"> </w:t>
      </w:r>
      <w:r w:rsidRPr="00293CBE">
        <w:rPr>
          <w:rFonts w:cstheme="minorHAnsi"/>
        </w:rPr>
        <w:t xml:space="preserve">to </w:t>
      </w:r>
      <w:r w:rsidR="00ED42EC" w:rsidRPr="00293CBE">
        <w:rPr>
          <w:rFonts w:cstheme="minorHAnsi"/>
        </w:rPr>
        <w:t>reference</w:t>
      </w:r>
      <w:r w:rsidRPr="00293CBE">
        <w:rPr>
          <w:rFonts w:cstheme="minorHAnsi"/>
        </w:rPr>
        <w:t xml:space="preserve"> conditions was rejected because</w:t>
      </w:r>
      <w:r w:rsidR="00340031" w:rsidRPr="00293CBE">
        <w:rPr>
          <w:rFonts w:cstheme="minorHAnsi"/>
        </w:rPr>
        <w:t xml:space="preserve">, </w:t>
      </w:r>
      <w:r w:rsidR="0060168B">
        <w:rPr>
          <w:rFonts w:cstheme="minorHAnsi"/>
        </w:rPr>
        <w:t>as with</w:t>
      </w:r>
      <w:r w:rsidR="00340031" w:rsidRPr="00293CBE">
        <w:rPr>
          <w:rFonts w:cstheme="minorHAnsi"/>
        </w:rPr>
        <w:t xml:space="preserve"> studies in blanket peatland (Creevy et al., 2018),</w:t>
      </w:r>
      <w:r w:rsidRPr="00293CBE">
        <w:rPr>
          <w:rFonts w:cstheme="minorHAnsi"/>
        </w:rPr>
        <w:t xml:space="preserve"> whilst there was some overlap between individual sampling points at RES17YRS and OPEN, there was a clear distinction in </w:t>
      </w:r>
      <w:r w:rsidR="00ED42EC" w:rsidRPr="00293CBE">
        <w:rPr>
          <w:rFonts w:cstheme="minorHAnsi"/>
        </w:rPr>
        <w:t>TA</w:t>
      </w:r>
      <w:r w:rsidRPr="00293CBE">
        <w:rPr>
          <w:rFonts w:cstheme="minorHAnsi"/>
        </w:rPr>
        <w:t xml:space="preserve"> </w:t>
      </w:r>
      <w:r w:rsidR="008615F0">
        <w:rPr>
          <w:rFonts w:cstheme="minorHAnsi"/>
        </w:rPr>
        <w:t>assemblages</w:t>
      </w:r>
      <w:r w:rsidR="008615F0" w:rsidRPr="00293CBE">
        <w:rPr>
          <w:rFonts w:cstheme="minorHAnsi"/>
        </w:rPr>
        <w:t xml:space="preserve"> </w:t>
      </w:r>
      <w:r w:rsidRPr="00293CBE">
        <w:rPr>
          <w:rFonts w:cstheme="minorHAnsi"/>
        </w:rPr>
        <w:t xml:space="preserve">between the three study areas. </w:t>
      </w:r>
      <w:bookmarkStart w:id="34" w:name="_Hlk130630158"/>
      <w:r w:rsidR="00622F5D">
        <w:rPr>
          <w:rFonts w:cstheme="minorHAnsi"/>
        </w:rPr>
        <w:t xml:space="preserve">Lower TA species richness was observed in reference OPEN areas compared with restoration areas, however, the TA composition in the reference areas comprised of taxa, such as </w:t>
      </w:r>
      <w:r w:rsidR="00622F5D" w:rsidRPr="008B0920">
        <w:rPr>
          <w:rFonts w:cstheme="minorHAnsi"/>
          <w:i/>
        </w:rPr>
        <w:t>A. flavum</w:t>
      </w:r>
      <w:r w:rsidR="00622F5D">
        <w:rPr>
          <w:rFonts w:cstheme="minorHAnsi"/>
        </w:rPr>
        <w:t xml:space="preserve"> and </w:t>
      </w:r>
      <w:r w:rsidR="00622F5D" w:rsidRPr="008B0920">
        <w:rPr>
          <w:rFonts w:cstheme="minorHAnsi"/>
          <w:i/>
        </w:rPr>
        <w:t>H. papilio</w:t>
      </w:r>
      <w:r w:rsidR="00622F5D">
        <w:rPr>
          <w:rFonts w:cstheme="minorHAnsi"/>
        </w:rPr>
        <w:t xml:space="preserve"> which are more indicative of a healthy raised bog and good indicators of a well-functioning </w:t>
      </w:r>
      <w:r w:rsidR="00622F5D" w:rsidRPr="008B0920">
        <w:rPr>
          <w:rFonts w:cstheme="minorHAnsi"/>
          <w:i/>
        </w:rPr>
        <w:t>Sphagnum</w:t>
      </w:r>
      <w:r w:rsidR="00622F5D">
        <w:rPr>
          <w:rFonts w:cstheme="minorHAnsi"/>
        </w:rPr>
        <w:t xml:space="preserve"> peatland</w:t>
      </w:r>
      <w:r w:rsidR="00EF77CF">
        <w:rPr>
          <w:rFonts w:cstheme="minorHAnsi"/>
        </w:rPr>
        <w:t xml:space="preserve"> (</w:t>
      </w:r>
      <w:r w:rsidR="00EF77CF">
        <w:t>Łucow</w:t>
      </w:r>
      <w:r w:rsidR="00EF77CF">
        <w:rPr>
          <w:rFonts w:cstheme="minorHAnsi"/>
        </w:rPr>
        <w:t xml:space="preserve"> et al., 2022)</w:t>
      </w:r>
      <w:r w:rsidR="00622F5D">
        <w:rPr>
          <w:rFonts w:cstheme="minorHAnsi"/>
        </w:rPr>
        <w:t xml:space="preserve">. </w:t>
      </w:r>
      <w:bookmarkEnd w:id="34"/>
      <w:r w:rsidR="00FF0E50">
        <w:rPr>
          <w:rFonts w:cstheme="minorHAnsi"/>
        </w:rPr>
        <w:t>This pattern mirrors many other habitats where often disturbed sites contain more species – for example an influx of ‘weedy’ early successional species – but lack the specialist species characteristic of relatively undisturbed habitats (Hambler and Canney, 2013).</w:t>
      </w:r>
    </w:p>
    <w:p w14:paraId="51C39838" w14:textId="1CE76271" w:rsidR="00261E6B" w:rsidRPr="00293CBE" w:rsidRDefault="00261E6B" w:rsidP="00261E6B">
      <w:pPr>
        <w:spacing w:line="276" w:lineRule="auto"/>
        <w:rPr>
          <w:rFonts w:cstheme="minorHAnsi"/>
        </w:rPr>
      </w:pPr>
      <w:r w:rsidRPr="00293CBE">
        <w:rPr>
          <w:rFonts w:cstheme="minorHAnsi"/>
        </w:rPr>
        <w:t xml:space="preserve">These trends reflect the slow recovery of microbial </w:t>
      </w:r>
      <w:r w:rsidR="00622F5D">
        <w:rPr>
          <w:rFonts w:cstheme="minorHAnsi"/>
        </w:rPr>
        <w:t xml:space="preserve">assemblages </w:t>
      </w:r>
      <w:r w:rsidRPr="00293CBE">
        <w:rPr>
          <w:rFonts w:cstheme="minorHAnsi"/>
        </w:rPr>
        <w:t xml:space="preserve">and absence of </w:t>
      </w:r>
      <w:r w:rsidR="00ED42EC" w:rsidRPr="00293CBE">
        <w:rPr>
          <w:rFonts w:cstheme="minorHAnsi"/>
        </w:rPr>
        <w:t>MTA</w:t>
      </w:r>
      <w:r w:rsidRPr="00293CBE">
        <w:rPr>
          <w:rFonts w:cstheme="minorHAnsi"/>
        </w:rPr>
        <w:t xml:space="preserve"> </w:t>
      </w:r>
      <w:r w:rsidR="00E7166F" w:rsidRPr="00293CBE">
        <w:rPr>
          <w:rFonts w:cstheme="minorHAnsi"/>
        </w:rPr>
        <w:t xml:space="preserve">after </w:t>
      </w:r>
      <w:r w:rsidR="00843D82" w:rsidRPr="00293CBE">
        <w:rPr>
          <w:rFonts w:cstheme="minorHAnsi"/>
        </w:rPr>
        <w:t>plantation</w:t>
      </w:r>
      <w:r w:rsidR="00E7166F" w:rsidRPr="00293CBE">
        <w:rPr>
          <w:rFonts w:cstheme="minorHAnsi"/>
        </w:rPr>
        <w:t xml:space="preserve"> removal on a raised </w:t>
      </w:r>
      <w:r w:rsidR="00D925D8" w:rsidRPr="00293CBE">
        <w:rPr>
          <w:rFonts w:cstheme="minorHAnsi"/>
        </w:rPr>
        <w:t>bog</w:t>
      </w:r>
      <w:r w:rsidR="00290B54" w:rsidRPr="00293CBE">
        <w:rPr>
          <w:rFonts w:cstheme="minorHAnsi"/>
        </w:rPr>
        <w:t xml:space="preserve">. </w:t>
      </w:r>
      <w:r w:rsidR="00E7166F" w:rsidRPr="00293CBE">
        <w:rPr>
          <w:rFonts w:cstheme="minorHAnsi"/>
        </w:rPr>
        <w:t>Other studies investigating the restoration of microbial processes following restoration of raised bog suggests timescales in excess of ten years for microbial processes to be fully-re-established and resemble near-natural conditions (</w:t>
      </w:r>
      <w:bookmarkStart w:id="35" w:name="_Hlk122093902"/>
      <w:r w:rsidR="00E7166F" w:rsidRPr="00293CBE">
        <w:rPr>
          <w:rFonts w:cstheme="minorHAnsi"/>
        </w:rPr>
        <w:t>Andersen et al., 201</w:t>
      </w:r>
      <w:r w:rsidR="005242BA" w:rsidRPr="00293CBE">
        <w:rPr>
          <w:rFonts w:cstheme="minorHAnsi"/>
        </w:rPr>
        <w:t>0</w:t>
      </w:r>
      <w:bookmarkEnd w:id="35"/>
      <w:r w:rsidR="00E7166F" w:rsidRPr="00293CBE">
        <w:rPr>
          <w:rFonts w:cstheme="minorHAnsi"/>
        </w:rPr>
        <w:t>)</w:t>
      </w:r>
      <w:r w:rsidR="00340031" w:rsidRPr="00293CBE">
        <w:rPr>
          <w:rFonts w:cstheme="minorHAnsi"/>
        </w:rPr>
        <w:t>. In the present study</w:t>
      </w:r>
      <w:r w:rsidR="00D925D8" w:rsidRPr="00293CBE">
        <w:rPr>
          <w:rFonts w:cstheme="minorHAnsi"/>
        </w:rPr>
        <w:t>,</w:t>
      </w:r>
      <w:r w:rsidR="00340031" w:rsidRPr="00293CBE">
        <w:rPr>
          <w:rFonts w:cstheme="minorHAnsi"/>
        </w:rPr>
        <w:t xml:space="preserve"> </w:t>
      </w:r>
      <w:r w:rsidR="00843D82" w:rsidRPr="00293CBE">
        <w:rPr>
          <w:rFonts w:cstheme="minorHAnsi"/>
        </w:rPr>
        <w:t xml:space="preserve">cover of </w:t>
      </w:r>
      <w:r w:rsidR="00340031" w:rsidRPr="00293CBE">
        <w:rPr>
          <w:rFonts w:cstheme="minorHAnsi"/>
          <w:i/>
        </w:rPr>
        <w:t>Sphagnum</w:t>
      </w:r>
      <w:r w:rsidR="00340031" w:rsidRPr="00293CBE">
        <w:rPr>
          <w:rFonts w:cstheme="minorHAnsi"/>
        </w:rPr>
        <w:t xml:space="preserve"> mosses were not significantly different to the reference area seventeen years post restoration</w:t>
      </w:r>
      <w:r w:rsidR="00C0290A">
        <w:rPr>
          <w:rFonts w:cstheme="minorHAnsi"/>
        </w:rPr>
        <w:t>,</w:t>
      </w:r>
      <w:r w:rsidR="00340031" w:rsidRPr="00293CBE">
        <w:rPr>
          <w:rFonts w:cstheme="minorHAnsi"/>
        </w:rPr>
        <w:t xml:space="preserve"> supporting the idea that recovery of mosses and shrubs in peatlands under restoration controls the structure of the microbial </w:t>
      </w:r>
      <w:r w:rsidR="008B0920">
        <w:rPr>
          <w:rFonts w:cstheme="minorHAnsi"/>
        </w:rPr>
        <w:t>assemblage</w:t>
      </w:r>
      <w:r w:rsidR="00340031" w:rsidRPr="00293CBE">
        <w:rPr>
          <w:rFonts w:cstheme="minorHAnsi"/>
        </w:rPr>
        <w:t xml:space="preserve">. </w:t>
      </w:r>
      <w:r w:rsidR="002C3AF6" w:rsidRPr="00293CBE">
        <w:rPr>
          <w:rFonts w:cstheme="minorHAnsi"/>
          <w:i/>
          <w:iCs/>
        </w:rPr>
        <w:t>Sphagnum</w:t>
      </w:r>
      <w:r w:rsidR="002C3AF6" w:rsidRPr="00293CBE">
        <w:rPr>
          <w:rFonts w:cstheme="minorHAnsi"/>
        </w:rPr>
        <w:t xml:space="preserve"> mosses showed no recovery six years following </w:t>
      </w:r>
      <w:r w:rsidR="00843D82" w:rsidRPr="00293CBE">
        <w:rPr>
          <w:rFonts w:cstheme="minorHAnsi"/>
        </w:rPr>
        <w:t>plantation</w:t>
      </w:r>
      <w:r w:rsidR="002C3AF6" w:rsidRPr="00293CBE">
        <w:rPr>
          <w:rFonts w:cstheme="minorHAnsi"/>
        </w:rPr>
        <w:t xml:space="preserve"> removal and vegetation composition of key plant groups was highly variable between microforms.</w:t>
      </w:r>
      <w:r w:rsidR="00622F5D">
        <w:rPr>
          <w:rFonts w:cstheme="minorHAnsi"/>
        </w:rPr>
        <w:t xml:space="preserve"> </w:t>
      </w:r>
    </w:p>
    <w:p w14:paraId="5C11E3AE" w14:textId="0C27BBD5" w:rsidR="00D925D8" w:rsidRPr="00293CBE" w:rsidRDefault="002C3AF6" w:rsidP="00261E6B">
      <w:pPr>
        <w:spacing w:line="276" w:lineRule="auto"/>
        <w:rPr>
          <w:rFonts w:cstheme="minorHAnsi"/>
        </w:rPr>
      </w:pPr>
      <w:r w:rsidRPr="00293CBE">
        <w:rPr>
          <w:rFonts w:cstheme="minorHAnsi"/>
        </w:rPr>
        <w:t>There has been a longstanding interest in the importance of hummock and hollow microtopography in peatland ecology (</w:t>
      </w:r>
      <w:bookmarkStart w:id="36" w:name="_Hlk122093928"/>
      <w:r w:rsidRPr="00293CBE">
        <w:rPr>
          <w:rFonts w:cstheme="minorHAnsi"/>
        </w:rPr>
        <w:t>Moore and Bellamy, 1974; Godwin, 1981</w:t>
      </w:r>
      <w:bookmarkEnd w:id="36"/>
      <w:r w:rsidR="0064469D">
        <w:rPr>
          <w:rFonts w:cstheme="minorHAnsi"/>
        </w:rPr>
        <w:t xml:space="preserve">; </w:t>
      </w:r>
      <w:r w:rsidR="008B0920">
        <w:t>Łucow</w:t>
      </w:r>
      <w:r w:rsidR="008B0920">
        <w:rPr>
          <w:rFonts w:cstheme="minorHAnsi"/>
        </w:rPr>
        <w:t xml:space="preserve"> </w:t>
      </w:r>
      <w:r w:rsidR="0064469D">
        <w:rPr>
          <w:rFonts w:cstheme="minorHAnsi"/>
        </w:rPr>
        <w:t>et al., 2022</w:t>
      </w:r>
      <w:r w:rsidRPr="00293CBE">
        <w:rPr>
          <w:rFonts w:cstheme="minorHAnsi"/>
        </w:rPr>
        <w:t xml:space="preserve">). </w:t>
      </w:r>
      <w:r w:rsidR="00261E6B" w:rsidRPr="00293CBE">
        <w:rPr>
          <w:rFonts w:cstheme="minorHAnsi"/>
        </w:rPr>
        <w:t xml:space="preserve">In addition to restoration age, microtopography was also shown to be an important factor for the recovery of </w:t>
      </w:r>
      <w:r w:rsidR="00ED42EC" w:rsidRPr="00293CBE">
        <w:rPr>
          <w:rFonts w:cstheme="minorHAnsi"/>
        </w:rPr>
        <w:t>TA</w:t>
      </w:r>
      <w:r w:rsidR="00261E6B" w:rsidRPr="00293CBE">
        <w:rPr>
          <w:rFonts w:cstheme="minorHAnsi"/>
        </w:rPr>
        <w:t xml:space="preserve"> </w:t>
      </w:r>
      <w:r w:rsidR="008615F0">
        <w:rPr>
          <w:rFonts w:cstheme="minorHAnsi"/>
        </w:rPr>
        <w:t>assemblages</w:t>
      </w:r>
      <w:r w:rsidR="00261E6B" w:rsidRPr="00293CBE">
        <w:rPr>
          <w:rFonts w:cstheme="minorHAnsi"/>
        </w:rPr>
        <w:t xml:space="preserve">. For example, </w:t>
      </w:r>
      <w:r w:rsidR="008615F0">
        <w:rPr>
          <w:rFonts w:cstheme="minorHAnsi"/>
        </w:rPr>
        <w:t>assemblages</w:t>
      </w:r>
      <w:r w:rsidR="008615F0" w:rsidRPr="00293CBE">
        <w:rPr>
          <w:rFonts w:cstheme="minorHAnsi"/>
        </w:rPr>
        <w:t xml:space="preserve"> </w:t>
      </w:r>
      <w:r w:rsidR="00261E6B" w:rsidRPr="00293CBE">
        <w:rPr>
          <w:rFonts w:cstheme="minorHAnsi"/>
        </w:rPr>
        <w:t xml:space="preserve">found in ridges at RES17YRS clustered closer to hummocks in OPEN areas whereas </w:t>
      </w:r>
      <w:r w:rsidR="008615F0">
        <w:rPr>
          <w:rFonts w:cstheme="minorHAnsi"/>
        </w:rPr>
        <w:t>assemblages</w:t>
      </w:r>
      <w:r w:rsidR="008615F0" w:rsidRPr="00293CBE">
        <w:rPr>
          <w:rFonts w:cstheme="minorHAnsi"/>
        </w:rPr>
        <w:t xml:space="preserve"> </w:t>
      </w:r>
      <w:r w:rsidR="00261E6B" w:rsidRPr="00293CBE">
        <w:rPr>
          <w:rFonts w:cstheme="minorHAnsi"/>
        </w:rPr>
        <w:t xml:space="preserve">observed in ridges at RES6YRS were still quite distinct and supported taxa indicative </w:t>
      </w:r>
      <w:r w:rsidR="00920ACF" w:rsidRPr="00293CBE">
        <w:rPr>
          <w:rFonts w:cstheme="minorHAnsi"/>
        </w:rPr>
        <w:t>of</w:t>
      </w:r>
      <w:r w:rsidR="00261E6B" w:rsidRPr="00293CBE">
        <w:rPr>
          <w:rFonts w:cstheme="minorHAnsi"/>
        </w:rPr>
        <w:t xml:space="preserve"> a dry bog surface such as </w:t>
      </w:r>
      <w:r w:rsidR="00261E6B" w:rsidRPr="00293CBE">
        <w:rPr>
          <w:rFonts w:cstheme="minorHAnsi"/>
          <w:i/>
          <w:iCs/>
        </w:rPr>
        <w:t>Hyalosphenia subflava</w:t>
      </w:r>
      <w:r w:rsidR="00261E6B" w:rsidRPr="00293CBE">
        <w:rPr>
          <w:rFonts w:cstheme="minorHAnsi"/>
        </w:rPr>
        <w:t xml:space="preserve"> (</w:t>
      </w:r>
      <w:bookmarkStart w:id="37" w:name="_Hlk122093964"/>
      <w:r w:rsidR="00261E6B" w:rsidRPr="00293CBE">
        <w:rPr>
          <w:rFonts w:cstheme="minorHAnsi"/>
        </w:rPr>
        <w:t>Valentine et al., 2013</w:t>
      </w:r>
      <w:bookmarkEnd w:id="37"/>
      <w:r w:rsidR="00261E6B" w:rsidRPr="00293CBE">
        <w:rPr>
          <w:rFonts w:cstheme="minorHAnsi"/>
        </w:rPr>
        <w:t xml:space="preserve">) and </w:t>
      </w:r>
      <w:r w:rsidR="00261E6B" w:rsidRPr="00293CBE">
        <w:rPr>
          <w:rFonts w:cstheme="minorHAnsi"/>
          <w:i/>
          <w:iCs/>
        </w:rPr>
        <w:t>Trigonopyxis arcula</w:t>
      </w:r>
      <w:r w:rsidR="00261E6B" w:rsidRPr="00293CBE">
        <w:rPr>
          <w:rFonts w:cstheme="minorHAnsi"/>
        </w:rPr>
        <w:t xml:space="preserve"> (</w:t>
      </w:r>
      <w:bookmarkStart w:id="38" w:name="_Hlk122093979"/>
      <w:r w:rsidR="00261E6B" w:rsidRPr="00293CBE">
        <w:rPr>
          <w:rFonts w:cstheme="minorHAnsi"/>
        </w:rPr>
        <w:t>Gauthier et al., 2019</w:t>
      </w:r>
      <w:bookmarkEnd w:id="38"/>
      <w:r w:rsidR="00261E6B" w:rsidRPr="00293CBE">
        <w:rPr>
          <w:rFonts w:cstheme="minorHAnsi"/>
        </w:rPr>
        <w:t xml:space="preserve">).  </w:t>
      </w:r>
    </w:p>
    <w:p w14:paraId="57B384B8" w14:textId="0A9CE45F" w:rsidR="00261E6B" w:rsidRPr="00293CBE" w:rsidRDefault="00261E6B" w:rsidP="00261E6B">
      <w:pPr>
        <w:spacing w:line="276" w:lineRule="auto"/>
        <w:rPr>
          <w:rFonts w:cstheme="minorHAnsi"/>
        </w:rPr>
      </w:pPr>
      <w:r w:rsidRPr="00293CBE">
        <w:rPr>
          <w:rFonts w:cstheme="minorHAnsi"/>
        </w:rPr>
        <w:t xml:space="preserve">Taxa typifying furrows at RES6YRS were smaller and bacterivorous (e.g. </w:t>
      </w:r>
      <w:r w:rsidRPr="00293CBE">
        <w:rPr>
          <w:rFonts w:cstheme="minorHAnsi"/>
          <w:i/>
          <w:iCs/>
        </w:rPr>
        <w:t>Trinema lineare</w:t>
      </w:r>
      <w:r w:rsidRPr="00293CBE">
        <w:rPr>
          <w:rFonts w:cstheme="minorHAnsi"/>
        </w:rPr>
        <w:t xml:space="preserve">) whereas the open bog hollows supported MTA, specifically, a high abundance of </w:t>
      </w:r>
      <w:r w:rsidRPr="00293CBE">
        <w:rPr>
          <w:rFonts w:cstheme="minorHAnsi"/>
          <w:i/>
          <w:iCs/>
        </w:rPr>
        <w:t>A</w:t>
      </w:r>
      <w:r w:rsidR="00843D82" w:rsidRPr="00293CBE">
        <w:rPr>
          <w:rFonts w:cstheme="minorHAnsi"/>
          <w:i/>
          <w:iCs/>
        </w:rPr>
        <w:t>.</w:t>
      </w:r>
      <w:r w:rsidRPr="00293CBE">
        <w:rPr>
          <w:rFonts w:cstheme="minorHAnsi"/>
          <w:i/>
          <w:iCs/>
        </w:rPr>
        <w:t xml:space="preserve"> flavum</w:t>
      </w:r>
      <w:r w:rsidRPr="00293CBE">
        <w:rPr>
          <w:rFonts w:cstheme="minorHAnsi"/>
        </w:rPr>
        <w:t xml:space="preserve"> and wet-related taxon </w:t>
      </w:r>
      <w:r w:rsidRPr="00293CBE">
        <w:rPr>
          <w:rFonts w:cstheme="minorHAnsi"/>
          <w:i/>
          <w:iCs/>
        </w:rPr>
        <w:lastRenderedPageBreak/>
        <w:t>H</w:t>
      </w:r>
      <w:r w:rsidR="00843D82" w:rsidRPr="00293CBE">
        <w:rPr>
          <w:rFonts w:cstheme="minorHAnsi"/>
          <w:i/>
          <w:iCs/>
        </w:rPr>
        <w:t>.</w:t>
      </w:r>
      <w:r w:rsidRPr="00293CBE">
        <w:rPr>
          <w:rFonts w:cstheme="minorHAnsi"/>
          <w:i/>
          <w:iCs/>
        </w:rPr>
        <w:t xml:space="preserve"> papilio</w:t>
      </w:r>
      <w:r w:rsidRPr="00293CBE">
        <w:rPr>
          <w:rFonts w:cstheme="minorHAnsi"/>
        </w:rPr>
        <w:t xml:space="preserve"> (</w:t>
      </w:r>
      <w:r w:rsidRPr="00293CBE">
        <w:rPr>
          <w:rFonts w:cstheme="minorHAnsi"/>
          <w:i/>
          <w:iCs/>
        </w:rPr>
        <w:t>sensu lato</w:t>
      </w:r>
      <w:r w:rsidRPr="00293CBE">
        <w:rPr>
          <w:rFonts w:cstheme="minorHAnsi"/>
        </w:rPr>
        <w:t>) (</w:t>
      </w:r>
      <w:bookmarkStart w:id="39" w:name="_Hlk122093995"/>
      <w:r w:rsidRPr="00293CBE">
        <w:rPr>
          <w:rFonts w:cstheme="minorHAnsi"/>
        </w:rPr>
        <w:t>Heger et al., 2013</w:t>
      </w:r>
      <w:bookmarkEnd w:id="39"/>
      <w:r w:rsidRPr="00293CBE">
        <w:rPr>
          <w:rFonts w:cstheme="minorHAnsi"/>
        </w:rPr>
        <w:t xml:space="preserve">).  </w:t>
      </w:r>
      <w:r w:rsidRPr="00293CBE">
        <w:rPr>
          <w:rFonts w:cstheme="minorHAnsi"/>
          <w:i/>
          <w:iCs/>
        </w:rPr>
        <w:t>Nebela collaris</w:t>
      </w:r>
      <w:r w:rsidRPr="00293CBE">
        <w:rPr>
          <w:rFonts w:cstheme="minorHAnsi"/>
        </w:rPr>
        <w:t xml:space="preserve"> (</w:t>
      </w:r>
      <w:r w:rsidRPr="00293CBE">
        <w:rPr>
          <w:rFonts w:cstheme="minorHAnsi"/>
          <w:i/>
          <w:iCs/>
        </w:rPr>
        <w:t>sensu lato</w:t>
      </w:r>
      <w:r w:rsidRPr="00293CBE">
        <w:rPr>
          <w:rFonts w:cstheme="minorHAnsi"/>
        </w:rPr>
        <w:t>) (</w:t>
      </w:r>
      <w:bookmarkStart w:id="40" w:name="_Hlk122094014"/>
      <w:r w:rsidRPr="00293CBE">
        <w:rPr>
          <w:rFonts w:cstheme="minorHAnsi"/>
        </w:rPr>
        <w:t>Kosakyan et al., 2015</w:t>
      </w:r>
      <w:bookmarkEnd w:id="40"/>
      <w:r w:rsidRPr="00293CBE">
        <w:rPr>
          <w:rFonts w:cstheme="minorHAnsi"/>
        </w:rPr>
        <w:t xml:space="preserve">) was comparably abundant in furrows at RES17YRS and OPEN bog hollows and the recovery of this taxon in hollows at RES17YRS is perhaps best explained by the feeding habits. </w:t>
      </w:r>
      <w:r w:rsidRPr="00293CBE">
        <w:rPr>
          <w:rFonts w:cstheme="minorHAnsi"/>
          <w:i/>
          <w:iCs/>
        </w:rPr>
        <w:t>N. collaris</w:t>
      </w:r>
      <w:r w:rsidRPr="00293CBE">
        <w:rPr>
          <w:rFonts w:cstheme="minorHAnsi"/>
        </w:rPr>
        <w:t xml:space="preserve"> is a heterotroph and has been shown to feed on a wide variety of material including diatoms, fungal spores, rotifers, ciliates and smaller </w:t>
      </w:r>
      <w:r w:rsidR="00843D82" w:rsidRPr="00293CBE">
        <w:rPr>
          <w:rFonts w:cstheme="minorHAnsi"/>
        </w:rPr>
        <w:t>TA</w:t>
      </w:r>
      <w:r w:rsidRPr="00293CBE">
        <w:rPr>
          <w:rFonts w:cstheme="minorHAnsi"/>
        </w:rPr>
        <w:t xml:space="preserve"> (</w:t>
      </w:r>
      <w:bookmarkStart w:id="41" w:name="_Hlk122094028"/>
      <w:r w:rsidRPr="00293CBE">
        <w:rPr>
          <w:rFonts w:cstheme="minorHAnsi"/>
        </w:rPr>
        <w:t>Gilbert et al., 2003</w:t>
      </w:r>
      <w:bookmarkEnd w:id="41"/>
      <w:r w:rsidRPr="00293CBE">
        <w:rPr>
          <w:rFonts w:cstheme="minorHAnsi"/>
        </w:rPr>
        <w:t xml:space="preserve">). In contrast with RES6YRS, </w:t>
      </w:r>
      <w:r w:rsidRPr="00293CBE">
        <w:rPr>
          <w:rFonts w:cstheme="minorHAnsi"/>
          <w:i/>
          <w:iCs/>
        </w:rPr>
        <w:t>Sphagnum</w:t>
      </w:r>
      <w:r w:rsidRPr="00293CBE">
        <w:rPr>
          <w:rFonts w:cstheme="minorHAnsi"/>
        </w:rPr>
        <w:t xml:space="preserve"> mosses were established in furrows at RES17YRS.  In these areas, the water content of </w:t>
      </w:r>
      <w:r w:rsidRPr="00293CBE">
        <w:rPr>
          <w:rFonts w:cstheme="minorHAnsi"/>
          <w:i/>
          <w:iCs/>
        </w:rPr>
        <w:t>Sphagnum</w:t>
      </w:r>
      <w:r w:rsidRPr="00293CBE">
        <w:rPr>
          <w:rFonts w:cstheme="minorHAnsi"/>
        </w:rPr>
        <w:t xml:space="preserve"> mosses plays an important role in determining the ability of predators to catch their prey (Gilbert et al., 2003), and could further explain the comparable abundance of </w:t>
      </w:r>
      <w:r w:rsidRPr="00293CBE">
        <w:rPr>
          <w:rFonts w:cstheme="minorHAnsi"/>
          <w:i/>
          <w:iCs/>
        </w:rPr>
        <w:t>N. collaris</w:t>
      </w:r>
      <w:r w:rsidRPr="00293CBE">
        <w:rPr>
          <w:rFonts w:cstheme="minorHAnsi"/>
        </w:rPr>
        <w:t>.</w:t>
      </w:r>
      <w:r w:rsidR="00B24D4E" w:rsidRPr="00293CBE">
        <w:rPr>
          <w:rFonts w:cstheme="minorHAnsi"/>
        </w:rPr>
        <w:t xml:space="preserve"> The high abundance of </w:t>
      </w:r>
      <w:r w:rsidR="002F2450">
        <w:rPr>
          <w:rFonts w:cstheme="minorHAnsi"/>
          <w:i/>
          <w:iCs/>
        </w:rPr>
        <w:t>G</w:t>
      </w:r>
      <w:r w:rsidR="00B24D4E" w:rsidRPr="00293CBE">
        <w:rPr>
          <w:rFonts w:cstheme="minorHAnsi"/>
          <w:i/>
          <w:iCs/>
        </w:rPr>
        <w:t>. discoides</w:t>
      </w:r>
      <w:r w:rsidR="00B24D4E" w:rsidRPr="00293CBE">
        <w:rPr>
          <w:rFonts w:cstheme="minorHAnsi"/>
        </w:rPr>
        <w:t xml:space="preserve"> in the present study agreed with</w:t>
      </w:r>
      <w:r w:rsidR="002F2450">
        <w:rPr>
          <w:rFonts w:cstheme="minorHAnsi"/>
        </w:rPr>
        <w:t xml:space="preserve"> other findings</w:t>
      </w:r>
      <w:r w:rsidR="00B24D4E" w:rsidRPr="00293CBE">
        <w:rPr>
          <w:rFonts w:cstheme="minorHAnsi"/>
        </w:rPr>
        <w:t xml:space="preserve"> </w:t>
      </w:r>
      <w:bookmarkStart w:id="42" w:name="_Hlk122094048"/>
      <w:r w:rsidR="002F2450">
        <w:rPr>
          <w:rFonts w:cstheme="minorHAnsi"/>
        </w:rPr>
        <w:t>(</w:t>
      </w:r>
      <w:r w:rsidR="00855E2D">
        <w:rPr>
          <w:rFonts w:cstheme="minorHAnsi"/>
        </w:rPr>
        <w:t xml:space="preserve">Davis and Wilkinson, 2004; </w:t>
      </w:r>
      <w:r w:rsidR="00B24D4E" w:rsidRPr="00293CBE">
        <w:rPr>
          <w:rFonts w:cstheme="minorHAnsi"/>
        </w:rPr>
        <w:t>Lamentowicz et al.</w:t>
      </w:r>
      <w:r w:rsidR="002F2450">
        <w:rPr>
          <w:rFonts w:cstheme="minorHAnsi"/>
        </w:rPr>
        <w:t>,</w:t>
      </w:r>
      <w:r w:rsidR="00B24D4E" w:rsidRPr="00293CBE">
        <w:rPr>
          <w:rFonts w:cstheme="minorHAnsi"/>
        </w:rPr>
        <w:t>2008</w:t>
      </w:r>
      <w:bookmarkEnd w:id="42"/>
      <w:r w:rsidR="002F2450">
        <w:rPr>
          <w:rFonts w:cstheme="minorHAnsi"/>
        </w:rPr>
        <w:t xml:space="preserve">; </w:t>
      </w:r>
      <w:r w:rsidR="002F2450" w:rsidRPr="002F2450">
        <w:rPr>
          <w:rFonts w:cstheme="minorHAnsi"/>
        </w:rPr>
        <w:t>Łuców</w:t>
      </w:r>
      <w:r w:rsidR="002F2450">
        <w:rPr>
          <w:rFonts w:cstheme="minorHAnsi"/>
        </w:rPr>
        <w:t xml:space="preserve"> et al., 2022</w:t>
      </w:r>
      <w:r w:rsidR="00C0290A">
        <w:rPr>
          <w:rFonts w:cstheme="minorHAnsi"/>
        </w:rPr>
        <w:t>)</w:t>
      </w:r>
      <w:r w:rsidR="00B24D4E" w:rsidRPr="00293CBE">
        <w:rPr>
          <w:rFonts w:cstheme="minorHAnsi"/>
        </w:rPr>
        <w:t xml:space="preserve"> </w:t>
      </w:r>
      <w:r w:rsidR="002F2450">
        <w:rPr>
          <w:rFonts w:cstheme="minorHAnsi"/>
        </w:rPr>
        <w:t>indicat</w:t>
      </w:r>
      <w:r w:rsidR="00C0290A">
        <w:rPr>
          <w:rFonts w:cstheme="minorHAnsi"/>
        </w:rPr>
        <w:t>ing</w:t>
      </w:r>
      <w:r w:rsidR="002F2450">
        <w:rPr>
          <w:rFonts w:cstheme="minorHAnsi"/>
        </w:rPr>
        <w:t xml:space="preserve"> hydrological instability </w:t>
      </w:r>
      <w:r w:rsidR="00B24D4E" w:rsidRPr="00293CBE">
        <w:rPr>
          <w:rFonts w:cstheme="minorHAnsi"/>
        </w:rPr>
        <w:t>at RES17YRS.</w:t>
      </w:r>
    </w:p>
    <w:p w14:paraId="484942E3" w14:textId="54BAC81F" w:rsidR="00DC026E" w:rsidRPr="00293CBE" w:rsidRDefault="004C75D3" w:rsidP="00261E6B">
      <w:pPr>
        <w:spacing w:line="276" w:lineRule="auto"/>
        <w:rPr>
          <w:rFonts w:cstheme="minorHAnsi"/>
          <w:i/>
        </w:rPr>
      </w:pPr>
      <w:r>
        <w:rPr>
          <w:rFonts w:cstheme="minorHAnsi"/>
          <w:i/>
        </w:rPr>
        <w:t>Testate amoebae</w:t>
      </w:r>
      <w:r w:rsidR="00276A46" w:rsidRPr="00293CBE">
        <w:rPr>
          <w:rFonts w:cstheme="minorHAnsi"/>
          <w:i/>
        </w:rPr>
        <w:t xml:space="preserve"> functional traits and </w:t>
      </w:r>
      <w:r>
        <w:rPr>
          <w:rFonts w:cstheme="minorHAnsi"/>
          <w:i/>
        </w:rPr>
        <w:t>mixotroph</w:t>
      </w:r>
      <w:r w:rsidR="00DC026E" w:rsidRPr="00293CBE">
        <w:rPr>
          <w:rFonts w:cstheme="minorHAnsi"/>
          <w:i/>
        </w:rPr>
        <w:t xml:space="preserve"> recovery after restoration</w:t>
      </w:r>
    </w:p>
    <w:p w14:paraId="595078B6" w14:textId="05C3EB3C" w:rsidR="00B24D4E" w:rsidRPr="00293CBE" w:rsidRDefault="00261E6B" w:rsidP="00261E6B">
      <w:pPr>
        <w:spacing w:line="276" w:lineRule="auto"/>
        <w:rPr>
          <w:rFonts w:cstheme="minorHAnsi"/>
        </w:rPr>
      </w:pPr>
      <w:r w:rsidRPr="00293CBE">
        <w:rPr>
          <w:rFonts w:cstheme="minorHAnsi"/>
        </w:rPr>
        <w:t xml:space="preserve">The recovery of MTA at </w:t>
      </w:r>
      <w:r w:rsidR="00ED42EC" w:rsidRPr="00293CBE">
        <w:rPr>
          <w:rFonts w:cstheme="minorHAnsi"/>
        </w:rPr>
        <w:t>these</w:t>
      </w:r>
      <w:r w:rsidRPr="00293CBE">
        <w:rPr>
          <w:rFonts w:cstheme="minorHAnsi"/>
        </w:rPr>
        <w:t xml:space="preserve"> restoration sites is more complex. Results here demonstrate a lack of recovery of MTA seventeen years after </w:t>
      </w:r>
      <w:r w:rsidR="00320D51" w:rsidRPr="00293CBE">
        <w:rPr>
          <w:rFonts w:cstheme="minorHAnsi"/>
        </w:rPr>
        <w:t>plantation</w:t>
      </w:r>
      <w:r w:rsidRPr="00293CBE">
        <w:rPr>
          <w:rFonts w:cstheme="minorHAnsi"/>
        </w:rPr>
        <w:t xml:space="preserve"> removal of a raised bog, despite having a higher water table than the OPEN reference area.  Furthermore, these results demonstrate that recovery of light conditions (i.e. removal of trees) is not enough to recover the MTA over decadal timescale</w:t>
      </w:r>
      <w:r w:rsidR="00320D51" w:rsidRPr="00293CBE">
        <w:rPr>
          <w:rFonts w:cstheme="minorHAnsi"/>
        </w:rPr>
        <w:t>s</w:t>
      </w:r>
      <w:r w:rsidRPr="00293CBE">
        <w:rPr>
          <w:rFonts w:cstheme="minorHAnsi"/>
        </w:rPr>
        <w:t xml:space="preserve">.  </w:t>
      </w:r>
      <w:r w:rsidR="00D925D8" w:rsidRPr="00293CBE">
        <w:rPr>
          <w:rFonts w:cstheme="minorHAnsi"/>
        </w:rPr>
        <w:t xml:space="preserve">There is growing evidence of an absence of MTA at forested peatlands (Payne et al., 2016; Creevy et al., 2018; </w:t>
      </w:r>
      <w:bookmarkStart w:id="43" w:name="_Hlk122094106"/>
      <w:r w:rsidR="00D925D8" w:rsidRPr="00293CBE">
        <w:rPr>
          <w:rFonts w:cstheme="minorHAnsi"/>
        </w:rPr>
        <w:t>Lamentowicz et al., 2020</w:t>
      </w:r>
      <w:bookmarkEnd w:id="43"/>
      <w:r w:rsidR="00D925D8" w:rsidRPr="00293CBE">
        <w:rPr>
          <w:rFonts w:cstheme="minorHAnsi"/>
        </w:rPr>
        <w:t xml:space="preserve">), with potential consequences for the global carbon cycle (Jassey et al., 2015; </w:t>
      </w:r>
      <w:bookmarkStart w:id="44" w:name="_Hlk122094150"/>
      <w:r w:rsidR="00D925D8" w:rsidRPr="00293CBE">
        <w:rPr>
          <w:rFonts w:cstheme="minorHAnsi"/>
        </w:rPr>
        <w:t>Lara and Gomaa, 2017</w:t>
      </w:r>
      <w:bookmarkEnd w:id="44"/>
      <w:r w:rsidR="00D925D8" w:rsidRPr="00293CBE">
        <w:rPr>
          <w:rFonts w:cstheme="minorHAnsi"/>
        </w:rPr>
        <w:t xml:space="preserve">; Hamard et al., 2021).  </w:t>
      </w:r>
      <w:r w:rsidR="00FE24B7" w:rsidRPr="00293CBE">
        <w:rPr>
          <w:rFonts w:cstheme="minorHAnsi"/>
        </w:rPr>
        <w:t xml:space="preserve">Mixotrophy is both a trait of prokaryotes and eukaryotes. Eukaryotic microorganisms - including </w:t>
      </w:r>
      <w:r w:rsidR="00320D51" w:rsidRPr="00293CBE">
        <w:rPr>
          <w:rFonts w:cstheme="minorHAnsi"/>
        </w:rPr>
        <w:t>TA –</w:t>
      </w:r>
      <w:r w:rsidR="00FE24B7" w:rsidRPr="00293CBE">
        <w:rPr>
          <w:rFonts w:cstheme="minorHAnsi"/>
        </w:rPr>
        <w:t xml:space="preserve"> form symbiotic relationships between heterotrophic and/or photosynthetic organisms (Lara and Gomaa, 2017). However, most studies investigating such relationships has mainly taken place for prokaryotes, notably bacteria (e.g. </w:t>
      </w:r>
      <w:bookmarkStart w:id="45" w:name="_Hlk122094166"/>
      <w:r w:rsidR="00FE24B7" w:rsidRPr="00293CBE">
        <w:rPr>
          <w:rFonts w:cstheme="minorHAnsi"/>
        </w:rPr>
        <w:t>O’Brien et al., 1984</w:t>
      </w:r>
      <w:bookmarkEnd w:id="45"/>
      <w:r w:rsidR="00FE24B7" w:rsidRPr="00293CBE">
        <w:rPr>
          <w:rFonts w:cstheme="minorHAnsi"/>
        </w:rPr>
        <w:t>).</w:t>
      </w:r>
    </w:p>
    <w:p w14:paraId="44754253" w14:textId="3B8E464D" w:rsidR="00511ADA" w:rsidRPr="00293CBE" w:rsidRDefault="00261E6B" w:rsidP="00261E6B">
      <w:pPr>
        <w:spacing w:line="276" w:lineRule="auto"/>
        <w:rPr>
          <w:rFonts w:cstheme="minorHAnsi"/>
        </w:rPr>
      </w:pPr>
      <w:r w:rsidRPr="00293CBE">
        <w:rPr>
          <w:rFonts w:cstheme="minorHAnsi"/>
        </w:rPr>
        <w:t>This is an important finding because it has been shown that decreasing MTA abundance may affect bryosphere photosynthesis and/or respiration (Jassey et al., 2015)</w:t>
      </w:r>
      <w:r w:rsidR="00022C87">
        <w:rPr>
          <w:rFonts w:cstheme="minorHAnsi"/>
        </w:rPr>
        <w:t>.</w:t>
      </w:r>
      <w:r w:rsidRPr="00293CBE">
        <w:rPr>
          <w:rFonts w:cstheme="minorHAnsi"/>
        </w:rPr>
        <w:t xml:space="preserve"> </w:t>
      </w:r>
      <w:r w:rsidR="00F12D19">
        <w:rPr>
          <w:rFonts w:cstheme="minorHAnsi"/>
        </w:rPr>
        <w:t>G</w:t>
      </w:r>
      <w:r w:rsidRPr="00293CBE">
        <w:rPr>
          <w:rFonts w:cstheme="minorHAnsi"/>
        </w:rPr>
        <w:t xml:space="preserve">reen algal symbionts contained within MTA may be responsible for the fixation of a significant part of global atmospheric </w:t>
      </w:r>
      <w:r w:rsidR="00320D51" w:rsidRPr="00293CBE">
        <w:rPr>
          <w:rFonts w:cstheme="minorHAnsi"/>
        </w:rPr>
        <w:t>C</w:t>
      </w:r>
      <w:r w:rsidRPr="00293CBE">
        <w:rPr>
          <w:rFonts w:cstheme="minorHAnsi"/>
        </w:rPr>
        <w:t xml:space="preserve"> in ombrotrophic northern peatlands (Lara and Gomaa, 2017</w:t>
      </w:r>
      <w:r w:rsidR="00B24D4E" w:rsidRPr="00293CBE">
        <w:rPr>
          <w:rFonts w:cstheme="minorHAnsi"/>
        </w:rPr>
        <w:t>; Hamard et al., 20</w:t>
      </w:r>
      <w:r w:rsidR="00D925D8" w:rsidRPr="00293CBE">
        <w:rPr>
          <w:rFonts w:cstheme="minorHAnsi"/>
        </w:rPr>
        <w:t>21</w:t>
      </w:r>
      <w:r w:rsidRPr="00293CBE">
        <w:rPr>
          <w:rFonts w:cstheme="minorHAnsi"/>
        </w:rPr>
        <w:t>). Recent research (Hamard et al., 20</w:t>
      </w:r>
      <w:r w:rsidR="00D925D8" w:rsidRPr="00293CBE">
        <w:rPr>
          <w:rFonts w:cstheme="minorHAnsi"/>
        </w:rPr>
        <w:t>21</w:t>
      </w:r>
      <w:r w:rsidRPr="00293CBE">
        <w:rPr>
          <w:rFonts w:cstheme="minorHAnsi"/>
        </w:rPr>
        <w:t xml:space="preserve">) suggests species-specific </w:t>
      </w:r>
      <w:r w:rsidRPr="00293CBE">
        <w:rPr>
          <w:rFonts w:cstheme="minorHAnsi"/>
          <w:i/>
          <w:iCs/>
        </w:rPr>
        <w:t>Sphagnum</w:t>
      </w:r>
      <w:r w:rsidRPr="00293CBE">
        <w:rPr>
          <w:rFonts w:cstheme="minorHAnsi"/>
        </w:rPr>
        <w:t xml:space="preserve"> leachate may be an important factor influencing the survival and/or reproduction of MTA, which could explain why they are poorly represented in certain </w:t>
      </w:r>
      <w:r w:rsidRPr="00293CBE">
        <w:rPr>
          <w:rFonts w:cstheme="minorHAnsi"/>
          <w:i/>
          <w:iCs/>
        </w:rPr>
        <w:t>Sphagnum</w:t>
      </w:r>
      <w:r w:rsidRPr="00293CBE">
        <w:rPr>
          <w:rFonts w:cstheme="minorHAnsi"/>
        </w:rPr>
        <w:t xml:space="preserve"> biomes. Further, MTA are dependent on their green algal symbionts (Lara and Gomaa, 2017) and cannot survive solely by means of heterotrophy (Jassey et al., 2015). It is also likely that the fluctuating water table at RES17YRS may not favour mixotrophs such as </w:t>
      </w:r>
      <w:r w:rsidRPr="00293CBE">
        <w:rPr>
          <w:rFonts w:cstheme="minorHAnsi"/>
          <w:i/>
          <w:iCs/>
        </w:rPr>
        <w:t xml:space="preserve">A. flavum </w:t>
      </w:r>
      <w:r w:rsidRPr="00293CBE">
        <w:rPr>
          <w:rFonts w:cstheme="minorHAnsi"/>
        </w:rPr>
        <w:t xml:space="preserve">as decreases in MTA abundance has been linked to prolonged periods of drought (Jassey et al., 2015 and references therein). </w:t>
      </w:r>
    </w:p>
    <w:p w14:paraId="1CF761A9" w14:textId="55CC214C" w:rsidR="00261E6B" w:rsidRPr="00293CBE" w:rsidRDefault="00261E6B" w:rsidP="00261E6B">
      <w:pPr>
        <w:spacing w:line="276" w:lineRule="auto"/>
        <w:rPr>
          <w:rFonts w:cstheme="minorHAnsi"/>
          <w:color w:val="FF0000"/>
        </w:rPr>
      </w:pPr>
      <w:r w:rsidRPr="00293CBE">
        <w:rPr>
          <w:rFonts w:cstheme="minorHAnsi"/>
        </w:rPr>
        <w:t xml:space="preserve">Results here agree with recent findings and the suggestions made by Lamentowicz et al, (2020), that mixotrophic species </w:t>
      </w:r>
      <w:r w:rsidR="00F85F24">
        <w:rPr>
          <w:rFonts w:cstheme="minorHAnsi"/>
        </w:rPr>
        <w:t>not</w:t>
      </w:r>
      <w:r w:rsidR="003277C4">
        <w:rPr>
          <w:rFonts w:cstheme="minorHAnsi"/>
        </w:rPr>
        <w:t xml:space="preserve"> only need</w:t>
      </w:r>
      <w:r w:rsidRPr="00293CBE">
        <w:rPr>
          <w:rFonts w:cstheme="minorHAnsi"/>
        </w:rPr>
        <w:t xml:space="preserve"> light, but they also require stable conditions and wet </w:t>
      </w:r>
      <w:r w:rsidRPr="00293CBE">
        <w:rPr>
          <w:rFonts w:cstheme="minorHAnsi"/>
          <w:i/>
          <w:iCs/>
        </w:rPr>
        <w:t>Sphagnum</w:t>
      </w:r>
      <w:r w:rsidRPr="00293CBE">
        <w:rPr>
          <w:rFonts w:cstheme="minorHAnsi"/>
        </w:rPr>
        <w:t xml:space="preserve"> to survive and reproduce. Importantly, the slow recovery of MTA at forest-to-bog sites is an important area for future research, as despite over five decades of research investigating mixotrophic protists (e.g. </w:t>
      </w:r>
      <w:bookmarkStart w:id="46" w:name="_Hlk122094198"/>
      <w:r w:rsidRPr="00293CBE">
        <w:rPr>
          <w:rFonts w:cstheme="minorHAnsi"/>
        </w:rPr>
        <w:t>Schönborn 1965</w:t>
      </w:r>
      <w:bookmarkEnd w:id="46"/>
      <w:r w:rsidRPr="00293CBE">
        <w:rPr>
          <w:rFonts w:cstheme="minorHAnsi"/>
        </w:rPr>
        <w:t xml:space="preserve">), we </w:t>
      </w:r>
      <w:r w:rsidR="00276A46" w:rsidRPr="00293CBE">
        <w:rPr>
          <w:rFonts w:cstheme="minorHAnsi"/>
        </w:rPr>
        <w:t>are only beginning to</w:t>
      </w:r>
      <w:r w:rsidRPr="00293CBE">
        <w:rPr>
          <w:rFonts w:cstheme="minorHAnsi"/>
        </w:rPr>
        <w:t xml:space="preserve"> understand the energetic benefits of endosymbiotic algae of mixotrophs and their potential role in the global carbon cycle (Jassey et al., 2015</w:t>
      </w:r>
      <w:r w:rsidR="00276A46" w:rsidRPr="00293CBE">
        <w:rPr>
          <w:rFonts w:cstheme="minorHAnsi"/>
        </w:rPr>
        <w:t>; Hamard et al., 2019</w:t>
      </w:r>
      <w:r w:rsidRPr="00293CBE">
        <w:rPr>
          <w:rFonts w:cstheme="minorHAnsi"/>
        </w:rPr>
        <w:t>). MTA possibly occurr</w:t>
      </w:r>
      <w:r w:rsidR="00276A46" w:rsidRPr="00293CBE">
        <w:rPr>
          <w:rFonts w:cstheme="minorHAnsi"/>
        </w:rPr>
        <w:t>ed</w:t>
      </w:r>
      <w:r w:rsidRPr="00293CBE">
        <w:rPr>
          <w:rFonts w:cstheme="minorHAnsi"/>
        </w:rPr>
        <w:t xml:space="preserve"> simultaneously with the first establishment of Northern oligotrophic </w:t>
      </w:r>
      <w:r w:rsidRPr="00293CBE">
        <w:rPr>
          <w:rFonts w:cstheme="minorHAnsi"/>
          <w:i/>
          <w:iCs/>
        </w:rPr>
        <w:t>Sphagnum</w:t>
      </w:r>
      <w:r w:rsidRPr="00293CBE">
        <w:rPr>
          <w:rFonts w:cstheme="minorHAnsi"/>
        </w:rPr>
        <w:t xml:space="preserve"> dominated peatlands</w:t>
      </w:r>
      <w:r w:rsidR="00276A46" w:rsidRPr="00293CBE">
        <w:rPr>
          <w:rFonts w:cstheme="minorHAnsi"/>
        </w:rPr>
        <w:t xml:space="preserve"> (Lara and Gomaa, 2017), it is therefore important to quantify </w:t>
      </w:r>
      <w:r w:rsidRPr="00293CBE">
        <w:rPr>
          <w:rFonts w:cstheme="minorHAnsi"/>
        </w:rPr>
        <w:t>how much atmospheric carbon has been fixed by green, algal symbionts of MTA</w:t>
      </w:r>
      <w:r w:rsidR="00276A46" w:rsidRPr="00293CBE">
        <w:rPr>
          <w:rFonts w:cstheme="minorHAnsi"/>
        </w:rPr>
        <w:t xml:space="preserve">. </w:t>
      </w:r>
    </w:p>
    <w:p w14:paraId="448D32BD" w14:textId="71930138" w:rsidR="00511ADA" w:rsidRPr="00293CBE" w:rsidRDefault="00261E6B" w:rsidP="00261E6B">
      <w:pPr>
        <w:spacing w:line="276" w:lineRule="auto"/>
        <w:rPr>
          <w:rFonts w:cstheme="minorHAnsi"/>
        </w:rPr>
      </w:pPr>
      <w:bookmarkStart w:id="47" w:name="_Hlk31455308"/>
      <w:r w:rsidRPr="00293CBE">
        <w:rPr>
          <w:rFonts w:cstheme="minorHAnsi"/>
        </w:rPr>
        <w:lastRenderedPageBreak/>
        <w:t xml:space="preserve">In contrast with other studies (e.g. Marcisz et al., 2014), sampling month was not found to be a significant control on </w:t>
      </w:r>
      <w:r w:rsidR="00ED42EC" w:rsidRPr="00293CBE">
        <w:rPr>
          <w:rFonts w:cstheme="minorHAnsi"/>
        </w:rPr>
        <w:t>TA</w:t>
      </w:r>
      <w:r w:rsidRPr="00293CBE">
        <w:rPr>
          <w:rFonts w:cstheme="minorHAnsi"/>
        </w:rPr>
        <w:t xml:space="preserve"> </w:t>
      </w:r>
      <w:r w:rsidR="00ED4B6D">
        <w:rPr>
          <w:rFonts w:cstheme="minorHAnsi"/>
        </w:rPr>
        <w:t>assemblages</w:t>
      </w:r>
      <w:r w:rsidRPr="00293CBE">
        <w:rPr>
          <w:rFonts w:cstheme="minorHAnsi"/>
        </w:rPr>
        <w:t xml:space="preserve">, including MTA. These findings could support the suggestion made by </w:t>
      </w:r>
      <w:bookmarkStart w:id="48" w:name="_Hlk122094225"/>
      <w:r w:rsidRPr="00293CBE">
        <w:rPr>
          <w:rFonts w:cstheme="minorHAnsi"/>
        </w:rPr>
        <w:t>Mazei and Tsyganov, (2007</w:t>
      </w:r>
      <w:bookmarkEnd w:id="48"/>
      <w:r w:rsidRPr="00293CBE">
        <w:rPr>
          <w:rFonts w:cstheme="minorHAnsi"/>
        </w:rPr>
        <w:t xml:space="preserve">), that seasonal trends in </w:t>
      </w:r>
      <w:r w:rsidR="00ED42EC" w:rsidRPr="00293CBE">
        <w:rPr>
          <w:rFonts w:cstheme="minorHAnsi"/>
        </w:rPr>
        <w:t>TA</w:t>
      </w:r>
      <w:r w:rsidRPr="00293CBE">
        <w:rPr>
          <w:rFonts w:cstheme="minorHAnsi"/>
        </w:rPr>
        <w:t xml:space="preserve"> dynamics are probably variable in different biotopes. Marcisz et al. (2014), using different sampling methodologies from those employed in the present study, found the relative abundance of mixotrophic </w:t>
      </w:r>
      <w:r w:rsidR="00ED4B6D">
        <w:rPr>
          <w:rFonts w:cstheme="minorHAnsi"/>
        </w:rPr>
        <w:t>taxa</w:t>
      </w:r>
      <w:r w:rsidRPr="00293CBE">
        <w:rPr>
          <w:rFonts w:cstheme="minorHAnsi"/>
        </w:rPr>
        <w:t xml:space="preserve"> increased between spring and summer and linked this to light intensity changes over the season. The cranked wire method (</w:t>
      </w:r>
      <w:bookmarkStart w:id="49" w:name="_Hlk122094246"/>
      <w:r w:rsidRPr="00293CBE">
        <w:rPr>
          <w:rFonts w:cstheme="minorHAnsi"/>
        </w:rPr>
        <w:t>Clymo 1970</w:t>
      </w:r>
      <w:bookmarkEnd w:id="49"/>
      <w:r w:rsidRPr="00293CBE">
        <w:rPr>
          <w:rFonts w:cstheme="minorHAnsi"/>
        </w:rPr>
        <w:t xml:space="preserve">) which distinguishes the new growth of </w:t>
      </w:r>
      <w:r w:rsidRPr="00293CBE">
        <w:rPr>
          <w:rFonts w:cstheme="minorHAnsi"/>
          <w:i/>
          <w:iCs/>
        </w:rPr>
        <w:t>Sphagnum</w:t>
      </w:r>
      <w:r w:rsidRPr="00293CBE">
        <w:rPr>
          <w:rFonts w:cstheme="minorHAnsi"/>
        </w:rPr>
        <w:t xml:space="preserve"> mosses is a better approach if the aim of the study is to analyse the living testate </w:t>
      </w:r>
      <w:r w:rsidR="008B0920">
        <w:rPr>
          <w:rFonts w:cstheme="minorHAnsi"/>
        </w:rPr>
        <w:t>assemblages</w:t>
      </w:r>
      <w:r w:rsidRPr="00293CBE">
        <w:rPr>
          <w:rFonts w:cstheme="minorHAnsi"/>
        </w:rPr>
        <w:t xml:space="preserve">, however, this methodology maybe problematic in </w:t>
      </w:r>
      <w:r w:rsidR="00ED42EC" w:rsidRPr="00293CBE">
        <w:rPr>
          <w:rFonts w:cstheme="minorHAnsi"/>
        </w:rPr>
        <w:t xml:space="preserve">our </w:t>
      </w:r>
      <w:r w:rsidRPr="00293CBE">
        <w:rPr>
          <w:rFonts w:cstheme="minorHAnsi"/>
        </w:rPr>
        <w:t xml:space="preserve">younger restoration areas, for example RES6YRS, where </w:t>
      </w:r>
      <w:r w:rsidRPr="00293CBE">
        <w:rPr>
          <w:rFonts w:cstheme="minorHAnsi"/>
          <w:i/>
          <w:iCs/>
        </w:rPr>
        <w:t>Sphagnum</w:t>
      </w:r>
      <w:r w:rsidRPr="00293CBE">
        <w:rPr>
          <w:rFonts w:cstheme="minorHAnsi"/>
        </w:rPr>
        <w:t xml:space="preserve"> ha</w:t>
      </w:r>
      <w:r w:rsidR="00ED4B6D">
        <w:rPr>
          <w:rFonts w:cstheme="minorHAnsi"/>
        </w:rPr>
        <w:t xml:space="preserve">d </w:t>
      </w:r>
      <w:r w:rsidRPr="00293CBE">
        <w:rPr>
          <w:rFonts w:cstheme="minorHAnsi"/>
        </w:rPr>
        <w:t xml:space="preserve">not established. </w:t>
      </w:r>
    </w:p>
    <w:p w14:paraId="4BC4345B" w14:textId="75D062BA" w:rsidR="00261E6B" w:rsidRPr="00293CBE" w:rsidRDefault="00261E6B" w:rsidP="00674C26">
      <w:pPr>
        <w:spacing w:line="276" w:lineRule="auto"/>
        <w:rPr>
          <w:rFonts w:cstheme="minorHAnsi"/>
        </w:rPr>
      </w:pPr>
      <w:r w:rsidRPr="00293CBE">
        <w:rPr>
          <w:rFonts w:cstheme="minorHAnsi"/>
        </w:rPr>
        <w:t xml:space="preserve">Other observational studies have shown mixotroph abundance higher on the upper portions of </w:t>
      </w:r>
      <w:r w:rsidRPr="00293CBE">
        <w:rPr>
          <w:rFonts w:cstheme="minorHAnsi"/>
          <w:i/>
          <w:iCs/>
        </w:rPr>
        <w:t>Sphagnum</w:t>
      </w:r>
      <w:r w:rsidRPr="00293CBE">
        <w:rPr>
          <w:rFonts w:cstheme="minorHAnsi"/>
        </w:rPr>
        <w:t xml:space="preserve"> stems (</w:t>
      </w:r>
      <w:bookmarkStart w:id="50" w:name="_Hlk122094264"/>
      <w:r w:rsidRPr="00293CBE">
        <w:rPr>
          <w:rFonts w:cstheme="minorHAnsi"/>
        </w:rPr>
        <w:t>Mitchell and Gilbert, 2004</w:t>
      </w:r>
      <w:bookmarkEnd w:id="50"/>
      <w:r w:rsidRPr="00293CBE">
        <w:rPr>
          <w:rFonts w:cstheme="minorHAnsi"/>
        </w:rPr>
        <w:t xml:space="preserve">) and higher in open as opposed to forested peatlands (Payne et al., 2016), providing </w:t>
      </w:r>
      <w:r w:rsidR="00320D51" w:rsidRPr="00293CBE">
        <w:rPr>
          <w:rFonts w:cstheme="minorHAnsi"/>
        </w:rPr>
        <w:t>some</w:t>
      </w:r>
      <w:r w:rsidRPr="00293CBE">
        <w:rPr>
          <w:rFonts w:cstheme="minorHAnsi"/>
        </w:rPr>
        <w:t xml:space="preserve"> evidence of light dependence in mixotrophs. Although, using stable isotopes </w:t>
      </w:r>
      <w:bookmarkStart w:id="51" w:name="_Hlk122094287"/>
      <w:r w:rsidRPr="00293CBE">
        <w:rPr>
          <w:rFonts w:cstheme="minorHAnsi"/>
        </w:rPr>
        <w:t>Herbert et al. (2019</w:t>
      </w:r>
      <w:bookmarkEnd w:id="51"/>
      <w:r w:rsidRPr="00293CBE">
        <w:rPr>
          <w:rFonts w:cstheme="minorHAnsi"/>
        </w:rPr>
        <w:t xml:space="preserve">) show that mixotroph abundance increased in shaded plots, highlighting the need for further research to assess the impacts of light variability on peatland </w:t>
      </w:r>
      <w:r w:rsidR="00320D51" w:rsidRPr="00293CBE">
        <w:rPr>
          <w:rFonts w:cstheme="minorHAnsi"/>
        </w:rPr>
        <w:t>mixotrophs</w:t>
      </w:r>
      <w:r w:rsidRPr="00293CBE">
        <w:rPr>
          <w:rFonts w:cstheme="minorHAnsi"/>
        </w:rPr>
        <w:t xml:space="preserve">. </w:t>
      </w:r>
      <w:bookmarkEnd w:id="47"/>
      <w:r w:rsidRPr="00293CBE">
        <w:rPr>
          <w:rFonts w:cstheme="minorHAnsi"/>
        </w:rPr>
        <w:t>As w</w:t>
      </w:r>
      <w:r w:rsidR="00320D51" w:rsidRPr="00293CBE">
        <w:rPr>
          <w:rFonts w:cstheme="minorHAnsi"/>
        </w:rPr>
        <w:t>ith</w:t>
      </w:r>
      <w:r w:rsidRPr="00293CBE">
        <w:rPr>
          <w:rFonts w:cstheme="minorHAnsi"/>
        </w:rPr>
        <w:t xml:space="preserve"> mixotrophs, sampling month was not shown to have a significant control on aperture size. Aperture size is an effect trait (Fournier et al., 2015) and can be used as an indicator of the trophic position in the microbial food web i.e. taxa with smaller apertures feed on smaller prey and vice-versa (</w:t>
      </w:r>
      <w:bookmarkStart w:id="52" w:name="_Hlk122094314"/>
      <w:r w:rsidRPr="00293CBE">
        <w:rPr>
          <w:rFonts w:cstheme="minorHAnsi"/>
        </w:rPr>
        <w:t>Jassey et al., 2013</w:t>
      </w:r>
      <w:bookmarkEnd w:id="52"/>
      <w:r w:rsidRPr="00293CBE">
        <w:rPr>
          <w:rFonts w:cstheme="minorHAnsi"/>
        </w:rPr>
        <w:t xml:space="preserve">). For future trait-based studies, shell type could be useful at </w:t>
      </w:r>
      <w:r w:rsidR="00320D51" w:rsidRPr="00293CBE">
        <w:rPr>
          <w:rFonts w:cstheme="minorHAnsi"/>
        </w:rPr>
        <w:t>forest-to-bog</w:t>
      </w:r>
      <w:r w:rsidR="00ED42EC" w:rsidRPr="00293CBE">
        <w:rPr>
          <w:rFonts w:cstheme="minorHAnsi"/>
        </w:rPr>
        <w:t xml:space="preserve"> restoration</w:t>
      </w:r>
      <w:r w:rsidRPr="00293CBE">
        <w:rPr>
          <w:rFonts w:cstheme="minorHAnsi"/>
        </w:rPr>
        <w:t xml:space="preserve"> sites as it has been reported to show a clear response to light availability (Lamentowicz et al., 2020). </w:t>
      </w:r>
    </w:p>
    <w:p w14:paraId="5F4C3A8A" w14:textId="2AF5149A" w:rsidR="002A1103" w:rsidRPr="00293CBE" w:rsidRDefault="002A1103" w:rsidP="002A1103">
      <w:pPr>
        <w:spacing w:line="276" w:lineRule="auto"/>
        <w:jc w:val="both"/>
        <w:rPr>
          <w:rFonts w:cstheme="minorHAnsi"/>
          <w:i/>
          <w:iCs/>
        </w:rPr>
      </w:pPr>
      <w:r w:rsidRPr="00293CBE">
        <w:rPr>
          <w:rFonts w:cstheme="minorHAnsi"/>
          <w:i/>
          <w:iCs/>
        </w:rPr>
        <w:t>T</w:t>
      </w:r>
      <w:r w:rsidR="004C75D3">
        <w:rPr>
          <w:rFonts w:cstheme="minorHAnsi"/>
          <w:i/>
          <w:iCs/>
        </w:rPr>
        <w:t>estate amoebae</w:t>
      </w:r>
      <w:r w:rsidRPr="00293CBE">
        <w:rPr>
          <w:rFonts w:cstheme="minorHAnsi"/>
          <w:i/>
          <w:iCs/>
        </w:rPr>
        <w:t xml:space="preserve"> and vegetation response to environmental and edaphic drivers</w:t>
      </w:r>
      <w:r w:rsidR="00276A46" w:rsidRPr="00293CBE">
        <w:rPr>
          <w:rFonts w:cstheme="minorHAnsi"/>
          <w:i/>
          <w:iCs/>
        </w:rPr>
        <w:t xml:space="preserve"> and their roles in monitoring restoration</w:t>
      </w:r>
    </w:p>
    <w:p w14:paraId="0A6EB938" w14:textId="10858878" w:rsidR="002A1103" w:rsidRPr="00293CBE" w:rsidRDefault="00D72558" w:rsidP="00D72558">
      <w:pPr>
        <w:spacing w:line="276" w:lineRule="auto"/>
        <w:rPr>
          <w:rFonts w:cstheme="minorHAnsi"/>
        </w:rPr>
      </w:pPr>
      <w:r w:rsidRPr="00293CBE">
        <w:rPr>
          <w:rFonts w:cstheme="minorHAnsi"/>
        </w:rPr>
        <w:t xml:space="preserve">TA and vegetation are key biotic components of C cycling in peatlands, contributing to both photosynthesis and respiration. In terms of temporal dynamics, vegetation </w:t>
      </w:r>
      <w:r w:rsidR="00ED4B6D">
        <w:rPr>
          <w:rFonts w:cstheme="minorHAnsi"/>
        </w:rPr>
        <w:t xml:space="preserve">in furrows </w:t>
      </w:r>
      <w:r w:rsidRPr="00293CBE">
        <w:rPr>
          <w:rFonts w:cstheme="minorHAnsi"/>
        </w:rPr>
        <w:t xml:space="preserve">has been shown to respond </w:t>
      </w:r>
      <w:r w:rsidR="00ED4B6D">
        <w:rPr>
          <w:rFonts w:cstheme="minorHAnsi"/>
        </w:rPr>
        <w:t>faster at forest-to-bog sites compared with drier ridges</w:t>
      </w:r>
      <w:r w:rsidRPr="00293CBE">
        <w:rPr>
          <w:rFonts w:cstheme="minorHAnsi"/>
        </w:rPr>
        <w:t xml:space="preserve"> (Hancock et al., 2018</w:t>
      </w:r>
      <w:r w:rsidR="002C3AF6" w:rsidRPr="00293CBE">
        <w:rPr>
          <w:rFonts w:cstheme="minorHAnsi"/>
        </w:rPr>
        <w:t>)</w:t>
      </w:r>
      <w:r w:rsidR="00ED4B6D">
        <w:rPr>
          <w:rFonts w:cstheme="minorHAnsi"/>
        </w:rPr>
        <w:t>,</w:t>
      </w:r>
      <w:r w:rsidR="002C3AF6" w:rsidRPr="00293CBE">
        <w:rPr>
          <w:rFonts w:cstheme="minorHAnsi"/>
        </w:rPr>
        <w:t xml:space="preserve"> with vegetation cover composed of </w:t>
      </w:r>
      <w:r w:rsidR="002C3AF6" w:rsidRPr="00293CBE">
        <w:rPr>
          <w:rFonts w:cstheme="minorHAnsi"/>
          <w:i/>
          <w:iCs/>
        </w:rPr>
        <w:t>Sphagnum</w:t>
      </w:r>
      <w:r w:rsidR="002C3AF6" w:rsidRPr="00293CBE">
        <w:rPr>
          <w:rFonts w:cstheme="minorHAnsi"/>
        </w:rPr>
        <w:t xml:space="preserve"> and </w:t>
      </w:r>
      <w:r w:rsidR="002C3AF6" w:rsidRPr="00293CBE">
        <w:rPr>
          <w:rFonts w:cstheme="minorHAnsi"/>
          <w:i/>
          <w:iCs/>
        </w:rPr>
        <w:t>E. vaginatum</w:t>
      </w:r>
      <w:r w:rsidR="002C3AF6" w:rsidRPr="00293CBE">
        <w:rPr>
          <w:rFonts w:cstheme="minorHAnsi"/>
        </w:rPr>
        <w:t xml:space="preserve"> </w:t>
      </w:r>
      <w:r w:rsidR="00ED4B6D">
        <w:rPr>
          <w:rFonts w:cstheme="minorHAnsi"/>
        </w:rPr>
        <w:t xml:space="preserve">which has been </w:t>
      </w:r>
      <w:r w:rsidR="002C3AF6" w:rsidRPr="00293CBE">
        <w:rPr>
          <w:rFonts w:cstheme="minorHAnsi"/>
        </w:rPr>
        <w:t xml:space="preserve">shown to have a more positive influence on the peatland carbon balance (Creevy et al., 2020). </w:t>
      </w:r>
      <w:r w:rsidR="002A1103" w:rsidRPr="00293CBE">
        <w:rPr>
          <w:rFonts w:eastAsia="Times New Roman" w:cstheme="minorHAnsi"/>
          <w:lang w:eastAsia="en-GB"/>
        </w:rPr>
        <w:t>Given that vegetation and microbial communities operate at completely different spatial and temporal scales, an important question in the present study is whether they respond similarly to the same environmental drivers</w:t>
      </w:r>
      <w:r w:rsidR="00340031" w:rsidRPr="00293CBE">
        <w:rPr>
          <w:rFonts w:eastAsia="Times New Roman" w:cstheme="minorHAnsi"/>
          <w:lang w:eastAsia="en-GB"/>
        </w:rPr>
        <w:t xml:space="preserve">. </w:t>
      </w:r>
      <w:r w:rsidR="002A1103" w:rsidRPr="00293CBE">
        <w:rPr>
          <w:rFonts w:eastAsia="Times New Roman" w:cstheme="minorHAnsi"/>
          <w:lang w:eastAsia="en-GB"/>
        </w:rPr>
        <w:t xml:space="preserve">These results suggest that vegetation composition and </w:t>
      </w:r>
      <w:r w:rsidR="00340031" w:rsidRPr="00293CBE">
        <w:rPr>
          <w:rFonts w:eastAsia="Times New Roman" w:cstheme="minorHAnsi"/>
          <w:lang w:eastAsia="en-GB"/>
        </w:rPr>
        <w:t xml:space="preserve">TA </w:t>
      </w:r>
      <w:r w:rsidR="008B0920">
        <w:rPr>
          <w:rFonts w:eastAsia="Times New Roman" w:cstheme="minorHAnsi"/>
          <w:lang w:eastAsia="en-GB"/>
        </w:rPr>
        <w:t xml:space="preserve">assemblages </w:t>
      </w:r>
      <w:r w:rsidR="008B0920" w:rsidRPr="00293CBE">
        <w:rPr>
          <w:rFonts w:eastAsia="Times New Roman" w:cstheme="minorHAnsi"/>
          <w:lang w:eastAsia="en-GB"/>
        </w:rPr>
        <w:t>show</w:t>
      </w:r>
      <w:r w:rsidR="002A1103" w:rsidRPr="00293CBE">
        <w:rPr>
          <w:rFonts w:eastAsia="Times New Roman" w:cstheme="minorHAnsi"/>
          <w:lang w:eastAsia="en-GB"/>
        </w:rPr>
        <w:t xml:space="preserve"> </w:t>
      </w:r>
      <w:r w:rsidRPr="00293CBE">
        <w:rPr>
          <w:rFonts w:eastAsia="Times New Roman" w:cstheme="minorHAnsi"/>
          <w:lang w:eastAsia="en-GB"/>
        </w:rPr>
        <w:t>different</w:t>
      </w:r>
      <w:r w:rsidR="002A1103" w:rsidRPr="00293CBE">
        <w:rPr>
          <w:rFonts w:eastAsia="Times New Roman" w:cstheme="minorHAnsi"/>
          <w:lang w:eastAsia="en-GB"/>
        </w:rPr>
        <w:t xml:space="preserve"> trends </w:t>
      </w:r>
      <w:r w:rsidR="002A1103" w:rsidRPr="00293CBE">
        <w:rPr>
          <w:rFonts w:cstheme="minorHAnsi"/>
        </w:rPr>
        <w:t xml:space="preserve">in their response to environmental drivers at forest-to-bog restoration areas. </w:t>
      </w:r>
      <w:r w:rsidR="002A1103" w:rsidRPr="00293CBE">
        <w:rPr>
          <w:rFonts w:eastAsia="Times New Roman" w:cstheme="minorHAnsi"/>
          <w:lang w:eastAsia="en-GB"/>
        </w:rPr>
        <w:t xml:space="preserve">The third hypothesis that testate amoebae and vegetation respond similarly to the same environmental drivers was </w:t>
      </w:r>
      <w:r w:rsidR="002A1103" w:rsidRPr="00293CBE">
        <w:rPr>
          <w:rFonts w:cstheme="minorHAnsi"/>
        </w:rPr>
        <w:t xml:space="preserve">therefore rejected. </w:t>
      </w:r>
      <w:r w:rsidR="002A1103" w:rsidRPr="00293CBE">
        <w:rPr>
          <w:rFonts w:eastAsia="Times New Roman" w:cstheme="minorHAnsi"/>
          <w:lang w:eastAsia="en-GB"/>
        </w:rPr>
        <w:t xml:space="preserve"> Edaphic variables were a stronger driver than vegetation shaping testate </w:t>
      </w:r>
      <w:r w:rsidR="008615F0">
        <w:rPr>
          <w:rFonts w:eastAsia="Times New Roman" w:cstheme="minorHAnsi"/>
          <w:lang w:eastAsia="en-GB"/>
        </w:rPr>
        <w:t>assemblages</w:t>
      </w:r>
      <w:r w:rsidR="002A1103" w:rsidRPr="00293CBE">
        <w:rPr>
          <w:rFonts w:eastAsia="Times New Roman" w:cstheme="minorHAnsi"/>
          <w:lang w:eastAsia="en-GB"/>
        </w:rPr>
        <w:t xml:space="preserve">, suggesting </w:t>
      </w:r>
      <w:r w:rsidR="00340031" w:rsidRPr="00293CBE">
        <w:rPr>
          <w:rFonts w:eastAsia="Times New Roman" w:cstheme="minorHAnsi"/>
          <w:lang w:eastAsia="en-GB"/>
        </w:rPr>
        <w:t>the physiochemical environment might be the main driver of microbial recovery.</w:t>
      </w:r>
      <w:r w:rsidR="00AA3A92" w:rsidRPr="00293CBE">
        <w:rPr>
          <w:rFonts w:eastAsia="Times New Roman" w:cstheme="minorHAnsi"/>
          <w:lang w:eastAsia="en-GB"/>
        </w:rPr>
        <w:t xml:space="preserve"> Other studies (Li et al., 2022) have reported succession pattern of ground vegetation as the main driver of the soil bacterial community. As </w:t>
      </w:r>
      <w:r w:rsidR="00306CEE" w:rsidRPr="00293CBE">
        <w:rPr>
          <w:rFonts w:eastAsia="Times New Roman" w:cstheme="minorHAnsi"/>
          <w:lang w:eastAsia="en-GB"/>
        </w:rPr>
        <w:t xml:space="preserve">eukaryotic </w:t>
      </w:r>
      <w:r w:rsidR="00AA3A92" w:rsidRPr="00293CBE">
        <w:rPr>
          <w:rFonts w:eastAsia="Times New Roman" w:cstheme="minorHAnsi"/>
          <w:lang w:eastAsia="en-GB"/>
        </w:rPr>
        <w:t xml:space="preserve">bacterial consumers, it is likely that TA </w:t>
      </w:r>
      <w:r w:rsidR="008615F0">
        <w:rPr>
          <w:rFonts w:eastAsia="Times New Roman" w:cstheme="minorHAnsi"/>
          <w:lang w:eastAsia="en-GB"/>
        </w:rPr>
        <w:t>assemblages</w:t>
      </w:r>
      <w:r w:rsidR="008615F0" w:rsidRPr="00293CBE">
        <w:rPr>
          <w:rFonts w:eastAsia="Times New Roman" w:cstheme="minorHAnsi"/>
          <w:lang w:eastAsia="en-GB"/>
        </w:rPr>
        <w:t xml:space="preserve"> </w:t>
      </w:r>
      <w:r w:rsidR="00AA3A92" w:rsidRPr="00293CBE">
        <w:rPr>
          <w:rFonts w:eastAsia="Times New Roman" w:cstheme="minorHAnsi"/>
          <w:lang w:eastAsia="en-GB"/>
        </w:rPr>
        <w:t xml:space="preserve">will respond </w:t>
      </w:r>
      <w:r w:rsidR="00306CEE" w:rsidRPr="00293CBE">
        <w:rPr>
          <w:rFonts w:eastAsia="Times New Roman" w:cstheme="minorHAnsi"/>
          <w:lang w:eastAsia="en-GB"/>
        </w:rPr>
        <w:t xml:space="preserve">at a slower rate than prokaryotic microorganisms.  </w:t>
      </w:r>
    </w:p>
    <w:p w14:paraId="54C46133" w14:textId="77777777" w:rsidR="002A1103" w:rsidRPr="00293CBE" w:rsidRDefault="002A1103" w:rsidP="002A1103">
      <w:pPr>
        <w:spacing w:after="0" w:line="276" w:lineRule="auto"/>
        <w:rPr>
          <w:rFonts w:cstheme="minorHAnsi"/>
        </w:rPr>
      </w:pPr>
    </w:p>
    <w:p w14:paraId="7D227719" w14:textId="77777777" w:rsidR="002D2A98" w:rsidRPr="00293CBE" w:rsidRDefault="002A1103" w:rsidP="002D2A98">
      <w:pPr>
        <w:spacing w:after="0" w:line="276" w:lineRule="auto"/>
        <w:rPr>
          <w:rFonts w:eastAsia="Times New Roman" w:cstheme="minorHAnsi"/>
          <w:lang w:eastAsia="en-GB"/>
        </w:rPr>
      </w:pPr>
      <w:r w:rsidRPr="00293CBE">
        <w:rPr>
          <w:rFonts w:cstheme="minorHAnsi"/>
        </w:rPr>
        <w:t xml:space="preserve">Results here demonstrate that afforestation of previously open bog and subsequent restoration to open conditions has altered edaphic factors. </w:t>
      </w:r>
      <w:r w:rsidRPr="00293CBE">
        <w:rPr>
          <w:rFonts w:eastAsia="Times New Roman" w:cstheme="minorHAnsi"/>
          <w:lang w:eastAsia="en-GB"/>
        </w:rPr>
        <w:t>These results agree with other findings (</w:t>
      </w:r>
      <w:bookmarkStart w:id="53" w:name="_Hlk122094356"/>
      <w:r w:rsidRPr="00293CBE">
        <w:rPr>
          <w:rFonts w:eastAsia="Times New Roman" w:cstheme="minorHAnsi"/>
          <w:lang w:eastAsia="en-GB"/>
        </w:rPr>
        <w:t>Anderson and Peace, 2017</w:t>
      </w:r>
      <w:bookmarkEnd w:id="53"/>
      <w:r w:rsidRPr="00293CBE">
        <w:rPr>
          <w:rFonts w:eastAsia="Times New Roman" w:cstheme="minorHAnsi"/>
          <w:lang w:eastAsia="en-GB"/>
        </w:rPr>
        <w:t xml:space="preserve">), that forest-to-bog restoration treatments resulted in a decrease in bulk density and an increase in water content. These directional changes could indicate that forest-to-bog restoration </w:t>
      </w:r>
      <w:r w:rsidRPr="00293CBE">
        <w:rPr>
          <w:rFonts w:eastAsia="Times New Roman" w:cstheme="minorHAnsi"/>
          <w:lang w:eastAsia="en-GB"/>
        </w:rPr>
        <w:lastRenderedPageBreak/>
        <w:t xml:space="preserve">can be successful in returning physical peat properties to pre-disturbance conditions, but this study suggests timescales in excess of ten years may be required. </w:t>
      </w:r>
    </w:p>
    <w:p w14:paraId="63F67C5B" w14:textId="77777777" w:rsidR="002D2A98" w:rsidRPr="00293CBE" w:rsidRDefault="002D2A98" w:rsidP="002D2A98">
      <w:pPr>
        <w:spacing w:after="0" w:line="276" w:lineRule="auto"/>
        <w:rPr>
          <w:rFonts w:cstheme="minorHAnsi"/>
          <w:bCs/>
          <w:color w:val="FF0000"/>
        </w:rPr>
      </w:pPr>
    </w:p>
    <w:p w14:paraId="2BCE2FF7" w14:textId="2A60FA2B" w:rsidR="002D2A98" w:rsidRPr="00293CBE" w:rsidRDefault="00132E61" w:rsidP="002D2A98">
      <w:pPr>
        <w:spacing w:after="0" w:line="276" w:lineRule="auto"/>
        <w:rPr>
          <w:rFonts w:cstheme="minorHAnsi"/>
          <w:b/>
          <w:bCs/>
        </w:rPr>
      </w:pPr>
      <w:r w:rsidRPr="00293CBE">
        <w:rPr>
          <w:rFonts w:cstheme="minorHAnsi"/>
          <w:bCs/>
        </w:rPr>
        <w:t>Six years post restoration surface ridge/furrow microtopography was evidently remnant of forestry practices</w:t>
      </w:r>
      <w:r w:rsidR="002D2A98" w:rsidRPr="00293CBE">
        <w:rPr>
          <w:rFonts w:cstheme="minorHAnsi"/>
          <w:bCs/>
        </w:rPr>
        <w:t xml:space="preserve">. </w:t>
      </w:r>
      <w:r w:rsidR="002D2A98" w:rsidRPr="00293CBE">
        <w:rPr>
          <w:rFonts w:cstheme="minorHAnsi"/>
          <w:bCs/>
          <w:i/>
        </w:rPr>
        <w:t>Trigonopyxis arcula</w:t>
      </w:r>
      <w:r w:rsidR="002D2A98" w:rsidRPr="00293CBE">
        <w:rPr>
          <w:rFonts w:cstheme="minorHAnsi"/>
          <w:bCs/>
        </w:rPr>
        <w:t xml:space="preserve"> was a strong indicator of these conditions and restoration stage. </w:t>
      </w:r>
      <w:r w:rsidR="002D2A98" w:rsidRPr="00293CBE">
        <w:rPr>
          <w:rFonts w:cstheme="minorHAnsi"/>
          <w:i/>
          <w:iCs/>
        </w:rPr>
        <w:t>T. arcula</w:t>
      </w:r>
      <w:r w:rsidR="002D2A98" w:rsidRPr="00293CBE">
        <w:rPr>
          <w:rFonts w:cstheme="minorHAnsi"/>
        </w:rPr>
        <w:t xml:space="preserve"> is a relatively large testate which appears to be a fungal specialist, either directly consuming hyphae or possibly feeding on exudates from the hyphae (Wilkinson and Mitchell, 2010). In this study this taxon was largely confined to RES6YRS and was more abundant in ridges as opposed to hollows.  Six years post-restoration, these ridges had barely been colonised by plants other than a patchy cover of </w:t>
      </w:r>
      <w:r w:rsidR="002D2A98" w:rsidRPr="00293CBE">
        <w:rPr>
          <w:rFonts w:cstheme="minorHAnsi"/>
          <w:i/>
          <w:iCs/>
        </w:rPr>
        <w:t>Calluna vulgaris</w:t>
      </w:r>
      <w:r w:rsidR="002D2A98" w:rsidRPr="00293CBE">
        <w:rPr>
          <w:rFonts w:cstheme="minorHAnsi"/>
        </w:rPr>
        <w:t xml:space="preserve">. A possible explanation for the dominance of </w:t>
      </w:r>
      <w:r w:rsidR="002D2A98" w:rsidRPr="00293CBE">
        <w:rPr>
          <w:rFonts w:cstheme="minorHAnsi"/>
          <w:i/>
          <w:iCs/>
        </w:rPr>
        <w:t>T. arcula</w:t>
      </w:r>
      <w:r w:rsidR="002D2A98" w:rsidRPr="00293CBE">
        <w:rPr>
          <w:rFonts w:cstheme="minorHAnsi"/>
        </w:rPr>
        <w:t xml:space="preserve"> is that the dry bare peat is being decomposed by fungi providing an important food source for</w:t>
      </w:r>
      <w:r w:rsidR="002D2A98" w:rsidRPr="00293CBE">
        <w:rPr>
          <w:rFonts w:cstheme="minorHAnsi"/>
          <w:i/>
          <w:iCs/>
        </w:rPr>
        <w:t xml:space="preserve"> T. arcula</w:t>
      </w:r>
      <w:r w:rsidR="002D2A98" w:rsidRPr="00293CBE">
        <w:rPr>
          <w:rFonts w:cstheme="minorHAnsi"/>
        </w:rPr>
        <w:t xml:space="preserve">. Seventeen years post-restoration ridges generally consisted of shrubs </w:t>
      </w:r>
      <w:r w:rsidR="002D2A98" w:rsidRPr="00293CBE">
        <w:rPr>
          <w:rFonts w:cstheme="minorHAnsi"/>
          <w:i/>
          <w:iCs/>
        </w:rPr>
        <w:t>Vaccinium oxycoccos</w:t>
      </w:r>
      <w:r w:rsidR="002D2A98" w:rsidRPr="00293CBE">
        <w:rPr>
          <w:rFonts w:cstheme="minorHAnsi"/>
        </w:rPr>
        <w:t xml:space="preserve"> and </w:t>
      </w:r>
      <w:r w:rsidR="002D2A98" w:rsidRPr="00293CBE">
        <w:rPr>
          <w:rFonts w:cstheme="minorHAnsi"/>
          <w:i/>
          <w:iCs/>
        </w:rPr>
        <w:t>V. myrtillus</w:t>
      </w:r>
      <w:r w:rsidR="002D2A98" w:rsidRPr="00293CBE">
        <w:rPr>
          <w:rFonts w:cstheme="minorHAnsi"/>
        </w:rPr>
        <w:t xml:space="preserve"> with a ground cover of </w:t>
      </w:r>
      <w:r w:rsidR="002D2A98" w:rsidRPr="00293CBE">
        <w:rPr>
          <w:rFonts w:cstheme="minorHAnsi"/>
          <w:i/>
          <w:iCs/>
        </w:rPr>
        <w:t>Pleurozium schreberi</w:t>
      </w:r>
      <w:r w:rsidR="002D2A98" w:rsidRPr="00293CBE">
        <w:rPr>
          <w:rFonts w:cstheme="minorHAnsi"/>
        </w:rPr>
        <w:t xml:space="preserve"> and were associated with typical peatland testates such as </w:t>
      </w:r>
      <w:r w:rsidR="002D2A98" w:rsidRPr="00293CBE">
        <w:rPr>
          <w:rFonts w:cstheme="minorHAnsi"/>
          <w:i/>
          <w:iCs/>
        </w:rPr>
        <w:t>Nebela tincta</w:t>
      </w:r>
      <w:r w:rsidR="002D2A98" w:rsidRPr="00293CBE">
        <w:rPr>
          <w:rFonts w:cstheme="minorHAnsi"/>
        </w:rPr>
        <w:t xml:space="preserve"> and </w:t>
      </w:r>
      <w:r w:rsidR="002D2A98" w:rsidRPr="00293CBE">
        <w:rPr>
          <w:rFonts w:cstheme="minorHAnsi"/>
          <w:i/>
          <w:iCs/>
        </w:rPr>
        <w:t>Assulina muscorum</w:t>
      </w:r>
      <w:r w:rsidR="002D2A98" w:rsidRPr="00293CBE">
        <w:rPr>
          <w:rFonts w:cstheme="minorHAnsi"/>
        </w:rPr>
        <w:t>.  In many blanket bogs impacted by afforestation, a technique known as ground smoothing, where plough ridges are flattened, furrows are blocked and brash is buried in the peat, is being trialled</w:t>
      </w:r>
      <w:r w:rsidR="00320D51" w:rsidRPr="00293CBE">
        <w:rPr>
          <w:rFonts w:cstheme="minorHAnsi"/>
        </w:rPr>
        <w:t xml:space="preserve"> and may provide opportunities for future research. </w:t>
      </w:r>
    </w:p>
    <w:p w14:paraId="703D0F44" w14:textId="77777777" w:rsidR="00132E61" w:rsidRPr="00293CBE" w:rsidRDefault="00132E61" w:rsidP="002A1103">
      <w:pPr>
        <w:spacing w:after="0" w:line="276" w:lineRule="auto"/>
        <w:rPr>
          <w:rFonts w:cstheme="minorHAnsi"/>
        </w:rPr>
      </w:pPr>
    </w:p>
    <w:p w14:paraId="1C10D03E" w14:textId="04FF62D7" w:rsidR="002A1103" w:rsidRPr="00293CBE" w:rsidRDefault="00BC1748" w:rsidP="002A1103">
      <w:pPr>
        <w:spacing w:after="0" w:line="276" w:lineRule="auto"/>
        <w:rPr>
          <w:rFonts w:cstheme="minorHAnsi"/>
          <w:bCs/>
        </w:rPr>
      </w:pPr>
      <w:r w:rsidRPr="00293CBE">
        <w:rPr>
          <w:rFonts w:cstheme="minorHAnsi"/>
        </w:rPr>
        <w:t>Drainage and compaction at RES6YRS increased bulk density by about fifty percent</w:t>
      </w:r>
      <w:r w:rsidR="00132E61" w:rsidRPr="00293CBE">
        <w:rPr>
          <w:rFonts w:cstheme="minorHAnsi"/>
        </w:rPr>
        <w:t xml:space="preserve"> therefore reducing the diffusion of gaseous C and oxygen (</w:t>
      </w:r>
      <w:bookmarkStart w:id="54" w:name="_Hlk122094395"/>
      <w:r w:rsidR="00132E61" w:rsidRPr="00293CBE">
        <w:rPr>
          <w:rFonts w:cstheme="minorHAnsi"/>
        </w:rPr>
        <w:t>Ball et al., 1997</w:t>
      </w:r>
      <w:bookmarkEnd w:id="54"/>
      <w:r w:rsidR="00132E61" w:rsidRPr="00293CBE">
        <w:rPr>
          <w:rFonts w:cstheme="minorHAnsi"/>
        </w:rPr>
        <w:t xml:space="preserve">). </w:t>
      </w:r>
      <w:r w:rsidR="002A1103" w:rsidRPr="00293CBE">
        <w:rPr>
          <w:rFonts w:eastAsia="Times New Roman" w:cstheme="minorHAnsi"/>
          <w:lang w:eastAsia="en-GB"/>
        </w:rPr>
        <w:t>Bulk density of approximately 0.2 g cm</w:t>
      </w:r>
      <w:r w:rsidR="002A1103" w:rsidRPr="00293CBE">
        <w:rPr>
          <w:rFonts w:eastAsia="Times New Roman" w:cstheme="minorHAnsi"/>
          <w:vertAlign w:val="superscript"/>
          <w:lang w:eastAsia="en-GB"/>
        </w:rPr>
        <w:t>-3</w:t>
      </w:r>
      <w:r w:rsidR="002A1103" w:rsidRPr="00293CBE">
        <w:rPr>
          <w:rFonts w:eastAsia="Times New Roman" w:cstheme="minorHAnsi"/>
          <w:lang w:eastAsia="en-GB"/>
        </w:rPr>
        <w:t xml:space="preserve"> was recently reported as the critical threshold for maintaining hydraulic properties of peat soils, with higher values tending to behave more like mineral soils with respect to hydraulic parameters (</w:t>
      </w:r>
      <w:bookmarkStart w:id="55" w:name="_Hlk122094418"/>
      <w:r w:rsidR="002A1103" w:rsidRPr="00293CBE">
        <w:rPr>
          <w:rFonts w:eastAsia="Times New Roman" w:cstheme="minorHAnsi"/>
          <w:lang w:eastAsia="en-GB"/>
        </w:rPr>
        <w:t>Liu and Lennartz, 2019)</w:t>
      </w:r>
      <w:r w:rsidR="00320D51" w:rsidRPr="00293CBE">
        <w:rPr>
          <w:rFonts w:eastAsia="Times New Roman" w:cstheme="minorHAnsi"/>
          <w:lang w:eastAsia="en-GB"/>
        </w:rPr>
        <w:t xml:space="preserve">, although, perhaps important to note </w:t>
      </w:r>
      <w:r w:rsidR="00175AE3">
        <w:rPr>
          <w:rFonts w:eastAsia="Times New Roman" w:cstheme="minorHAnsi"/>
          <w:lang w:eastAsia="en-GB"/>
        </w:rPr>
        <w:t xml:space="preserve">are </w:t>
      </w:r>
      <w:r w:rsidR="00320D51" w:rsidRPr="00293CBE">
        <w:rPr>
          <w:rFonts w:eastAsia="Times New Roman" w:cstheme="minorHAnsi"/>
          <w:lang w:eastAsia="en-GB"/>
        </w:rPr>
        <w:t>differences in hydraulic parameters between temperate and tropical peatlands</w:t>
      </w:r>
      <w:r w:rsidR="002A1103" w:rsidRPr="00293CBE">
        <w:rPr>
          <w:rFonts w:eastAsia="Times New Roman" w:cstheme="minorHAnsi"/>
          <w:lang w:eastAsia="en-GB"/>
        </w:rPr>
        <w:t xml:space="preserve">. </w:t>
      </w:r>
      <w:bookmarkEnd w:id="55"/>
      <w:r w:rsidR="002A1103" w:rsidRPr="00293CBE">
        <w:rPr>
          <w:rFonts w:eastAsia="Times New Roman" w:cstheme="minorHAnsi"/>
          <w:lang w:eastAsia="en-GB"/>
        </w:rPr>
        <w:t>Higher bulk density estimates</w:t>
      </w:r>
      <w:r w:rsidR="009421B3">
        <w:rPr>
          <w:rFonts w:eastAsia="Times New Roman" w:cstheme="minorHAnsi"/>
          <w:lang w:eastAsia="en-GB"/>
        </w:rPr>
        <w:t>,</w:t>
      </w:r>
      <w:r w:rsidR="002A1103" w:rsidRPr="00293CBE">
        <w:rPr>
          <w:rFonts w:eastAsia="Times New Roman" w:cstheme="minorHAnsi"/>
          <w:lang w:eastAsia="en-GB"/>
        </w:rPr>
        <w:t xml:space="preserve"> as found at RES6YRS</w:t>
      </w:r>
      <w:r w:rsidR="009421B3">
        <w:rPr>
          <w:rFonts w:eastAsia="Times New Roman" w:cstheme="minorHAnsi"/>
          <w:lang w:eastAsia="en-GB"/>
        </w:rPr>
        <w:t>,</w:t>
      </w:r>
      <w:r w:rsidR="002A1103" w:rsidRPr="00293CBE">
        <w:rPr>
          <w:rFonts w:eastAsia="Times New Roman" w:cstheme="minorHAnsi"/>
          <w:lang w:eastAsia="en-GB"/>
        </w:rPr>
        <w:t xml:space="preserve"> can be attributed to greater microbial decomposition and lower porosity and could partly explain why </w:t>
      </w:r>
      <w:r w:rsidR="002A1103" w:rsidRPr="00293CBE">
        <w:rPr>
          <w:rFonts w:cstheme="minorHAnsi"/>
          <w:bCs/>
        </w:rPr>
        <w:t xml:space="preserve">edaphic variables were shown to be stronger drivers than vegetation shaping the </w:t>
      </w:r>
      <w:r w:rsidR="00320D51" w:rsidRPr="00293CBE">
        <w:rPr>
          <w:rFonts w:cstheme="minorHAnsi"/>
          <w:bCs/>
        </w:rPr>
        <w:t>TA</w:t>
      </w:r>
      <w:r w:rsidR="00675DD2">
        <w:rPr>
          <w:rFonts w:cstheme="minorHAnsi"/>
          <w:bCs/>
        </w:rPr>
        <w:t xml:space="preserve"> </w:t>
      </w:r>
      <w:r w:rsidR="008615F0">
        <w:rPr>
          <w:rFonts w:cstheme="minorHAnsi"/>
          <w:bCs/>
        </w:rPr>
        <w:t>assemblages</w:t>
      </w:r>
      <w:r w:rsidR="002A1103" w:rsidRPr="00293CBE">
        <w:rPr>
          <w:rFonts w:cstheme="minorHAnsi"/>
          <w:bCs/>
        </w:rPr>
        <w:t xml:space="preserve">. </w:t>
      </w:r>
      <w:r w:rsidR="00132E61" w:rsidRPr="00293CBE">
        <w:rPr>
          <w:rFonts w:cstheme="minorHAnsi"/>
        </w:rPr>
        <w:t xml:space="preserve">Higher bulk density may similarly increase the micropores potentially resulting in an increase in moisture retention but this trend was not observed in the present study.  </w:t>
      </w:r>
    </w:p>
    <w:p w14:paraId="5B6FA5EB" w14:textId="77777777" w:rsidR="002A1103" w:rsidRPr="00293CBE" w:rsidRDefault="002A1103" w:rsidP="002A1103">
      <w:pPr>
        <w:spacing w:after="0" w:line="276" w:lineRule="auto"/>
        <w:rPr>
          <w:rFonts w:cstheme="minorHAnsi"/>
          <w:bCs/>
        </w:rPr>
      </w:pPr>
    </w:p>
    <w:p w14:paraId="0CD1C2CA" w14:textId="2244056C" w:rsidR="002A1103" w:rsidRPr="00293CBE" w:rsidRDefault="002A1103" w:rsidP="002A1103">
      <w:pPr>
        <w:spacing w:after="0" w:line="276" w:lineRule="auto"/>
        <w:rPr>
          <w:rFonts w:cstheme="minorHAnsi"/>
        </w:rPr>
      </w:pPr>
      <w:r w:rsidRPr="00293CBE">
        <w:rPr>
          <w:rFonts w:cstheme="minorHAnsi"/>
          <w:bCs/>
        </w:rPr>
        <w:t>Decomposition is impeded by saturated conditions owing to the high-water table leading to greater organic matter content (</w:t>
      </w:r>
      <w:bookmarkStart w:id="56" w:name="_Hlk122094448"/>
      <w:r w:rsidRPr="00293CBE">
        <w:rPr>
          <w:rFonts w:cstheme="minorHAnsi"/>
          <w:bCs/>
        </w:rPr>
        <w:t>Moore 1987</w:t>
      </w:r>
      <w:bookmarkEnd w:id="56"/>
      <w:r w:rsidRPr="00293CBE">
        <w:rPr>
          <w:rFonts w:cstheme="minorHAnsi"/>
          <w:bCs/>
        </w:rPr>
        <w:t>).  Results here provide evidence for this as RES17YRS was shown to have highest OM content and water table position</w:t>
      </w:r>
      <w:r w:rsidR="00422D1A" w:rsidRPr="00293CBE">
        <w:rPr>
          <w:rFonts w:cstheme="minorHAnsi"/>
          <w:bCs/>
        </w:rPr>
        <w:t xml:space="preserve">. </w:t>
      </w:r>
      <w:bookmarkStart w:id="57" w:name="_Hlk122094570"/>
      <w:r w:rsidRPr="00293CBE">
        <w:rPr>
          <w:rFonts w:cstheme="minorHAnsi"/>
        </w:rPr>
        <w:t xml:space="preserve">Andersen et al (2013) </w:t>
      </w:r>
      <w:bookmarkEnd w:id="57"/>
      <w:r w:rsidRPr="00293CBE">
        <w:rPr>
          <w:rFonts w:cstheme="minorHAnsi"/>
        </w:rPr>
        <w:t xml:space="preserve">found the capacity of microorganisms in using different C sources (microbial functional diversity) highest at restoration sites and lowest at the reference site, suggesting that vegetation may override peat properties (e.g. bulk density, moisture, degree of decomposition), regulating belowground processes through changes in microbial community structure.  Future studies should quantify microbial functional diversity alongside taking detailed measurements of the chemical and physical environment. </w:t>
      </w:r>
    </w:p>
    <w:p w14:paraId="3EA19FA8" w14:textId="5976D87B" w:rsidR="00132E61" w:rsidRPr="00293CBE" w:rsidRDefault="00132E61" w:rsidP="002A1103">
      <w:pPr>
        <w:spacing w:after="0" w:line="276" w:lineRule="auto"/>
        <w:rPr>
          <w:rFonts w:cstheme="minorHAnsi"/>
          <w:b/>
          <w:bCs/>
        </w:rPr>
      </w:pPr>
    </w:p>
    <w:p w14:paraId="2FF4E0DE" w14:textId="3F3EE559" w:rsidR="00DD72AD" w:rsidRPr="00293CBE" w:rsidRDefault="00DD72AD" w:rsidP="00DD72AD">
      <w:pPr>
        <w:shd w:val="clear" w:color="auto" w:fill="FFFFFF"/>
        <w:spacing w:after="0" w:line="276" w:lineRule="auto"/>
        <w:rPr>
          <w:rFonts w:eastAsia="Times New Roman" w:cstheme="minorHAnsi"/>
          <w:lang w:eastAsia="en-GB"/>
        </w:rPr>
      </w:pPr>
      <w:r w:rsidRPr="00293CBE">
        <w:rPr>
          <w:rFonts w:cstheme="minorHAnsi"/>
        </w:rPr>
        <w:t xml:space="preserve">Overall, these findings suggest vegetation is perhaps a better tool for monitoring peatland restoration compared with TA, which are perhaps better used as bio-indicator species for </w:t>
      </w:r>
      <w:r w:rsidR="00320D51" w:rsidRPr="00293CBE">
        <w:rPr>
          <w:rFonts w:cstheme="minorHAnsi"/>
        </w:rPr>
        <w:t>assessing</w:t>
      </w:r>
      <w:r w:rsidRPr="00293CBE">
        <w:rPr>
          <w:rFonts w:cstheme="minorHAnsi"/>
        </w:rPr>
        <w:t xml:space="preserve"> the </w:t>
      </w:r>
      <w:r w:rsidR="00320D51" w:rsidRPr="00293CBE">
        <w:rPr>
          <w:rFonts w:cstheme="minorHAnsi"/>
        </w:rPr>
        <w:t>trajectory</w:t>
      </w:r>
      <w:r w:rsidRPr="00293CBE">
        <w:rPr>
          <w:rFonts w:cstheme="minorHAnsi"/>
        </w:rPr>
        <w:t xml:space="preserve"> of fine-scale </w:t>
      </w:r>
      <w:r w:rsidR="00320D51" w:rsidRPr="00293CBE">
        <w:rPr>
          <w:rFonts w:cstheme="minorHAnsi"/>
        </w:rPr>
        <w:t>edaphic</w:t>
      </w:r>
      <w:r w:rsidRPr="00293CBE">
        <w:rPr>
          <w:rFonts w:cstheme="minorHAnsi"/>
        </w:rPr>
        <w:t xml:space="preserve"> conditions</w:t>
      </w:r>
      <w:r w:rsidR="00320D51" w:rsidRPr="00293CBE">
        <w:rPr>
          <w:rFonts w:cstheme="minorHAnsi"/>
        </w:rPr>
        <w:t xml:space="preserve"> and peatland quality after restoration management</w:t>
      </w:r>
      <w:r w:rsidRPr="00293CBE">
        <w:rPr>
          <w:rFonts w:cstheme="minorHAnsi"/>
        </w:rPr>
        <w:t>.  From a management perspective, it is certainly easier and less time consuming</w:t>
      </w:r>
      <w:r w:rsidR="00320D51" w:rsidRPr="00293CBE">
        <w:rPr>
          <w:rFonts w:cstheme="minorHAnsi"/>
        </w:rPr>
        <w:t xml:space="preserve"> for land managers</w:t>
      </w:r>
      <w:r w:rsidRPr="00293CBE">
        <w:rPr>
          <w:rFonts w:cstheme="minorHAnsi"/>
        </w:rPr>
        <w:t xml:space="preserve"> to quantify the surface vegetation composition than </w:t>
      </w:r>
      <w:r w:rsidR="00320D51" w:rsidRPr="00293CBE">
        <w:rPr>
          <w:rFonts w:cstheme="minorHAnsi"/>
        </w:rPr>
        <w:t>TA</w:t>
      </w:r>
      <w:r w:rsidRPr="00293CBE">
        <w:rPr>
          <w:rFonts w:cstheme="minorHAnsi"/>
        </w:rPr>
        <w:t xml:space="preserve"> </w:t>
      </w:r>
      <w:r w:rsidR="008615F0">
        <w:rPr>
          <w:rFonts w:cstheme="minorHAnsi"/>
        </w:rPr>
        <w:t xml:space="preserve">assemblages </w:t>
      </w:r>
      <w:r w:rsidRPr="00293CBE">
        <w:rPr>
          <w:rFonts w:cstheme="minorHAnsi"/>
        </w:rPr>
        <w:t xml:space="preserve">(Wilkinson 2022). </w:t>
      </w:r>
    </w:p>
    <w:p w14:paraId="6FBBD516" w14:textId="77777777" w:rsidR="003A5C08" w:rsidRPr="00293CBE" w:rsidRDefault="003A5C08" w:rsidP="00F77A10">
      <w:pPr>
        <w:spacing w:line="276" w:lineRule="auto"/>
        <w:rPr>
          <w:rFonts w:cstheme="minorHAnsi"/>
          <w:b/>
          <w:bCs/>
          <w:i/>
          <w:iCs/>
        </w:rPr>
      </w:pPr>
    </w:p>
    <w:p w14:paraId="4AC476B3" w14:textId="1D7DF2ED" w:rsidR="000638FB" w:rsidRPr="00293CBE" w:rsidRDefault="00261F11" w:rsidP="00386A0F">
      <w:pPr>
        <w:spacing w:line="276" w:lineRule="auto"/>
        <w:rPr>
          <w:rFonts w:cstheme="minorHAnsi"/>
          <w:b/>
          <w:bCs/>
          <w:sz w:val="24"/>
          <w:szCs w:val="24"/>
        </w:rPr>
      </w:pPr>
      <w:r w:rsidRPr="00293CBE">
        <w:rPr>
          <w:rFonts w:cstheme="minorHAnsi"/>
          <w:b/>
          <w:bCs/>
          <w:sz w:val="24"/>
          <w:szCs w:val="24"/>
        </w:rPr>
        <w:lastRenderedPageBreak/>
        <w:t>Conclusion</w:t>
      </w:r>
    </w:p>
    <w:p w14:paraId="21CF3434" w14:textId="763B8D08" w:rsidR="00320D51" w:rsidRPr="00293CBE" w:rsidRDefault="00261F11" w:rsidP="00261F11">
      <w:pPr>
        <w:spacing w:after="0" w:line="276" w:lineRule="auto"/>
        <w:rPr>
          <w:rFonts w:eastAsia="Times New Roman" w:cstheme="minorHAnsi"/>
          <w:color w:val="FF0000"/>
          <w:lang w:eastAsia="en-GB"/>
        </w:rPr>
      </w:pPr>
      <w:r w:rsidRPr="00293CBE">
        <w:rPr>
          <w:rFonts w:eastAsia="Times New Roman" w:cstheme="minorHAnsi"/>
          <w:lang w:eastAsia="en-GB"/>
        </w:rPr>
        <w:t xml:space="preserve">This study demonstrated </w:t>
      </w:r>
      <w:r w:rsidR="00733BA3" w:rsidRPr="00293CBE">
        <w:rPr>
          <w:rFonts w:eastAsia="Times New Roman" w:cstheme="minorHAnsi"/>
          <w:lang w:eastAsia="en-GB"/>
        </w:rPr>
        <w:t>some</w:t>
      </w:r>
      <w:r w:rsidRPr="00293CBE">
        <w:rPr>
          <w:rFonts w:eastAsia="Times New Roman" w:cstheme="minorHAnsi"/>
          <w:lang w:eastAsia="en-GB"/>
        </w:rPr>
        <w:t xml:space="preserve"> recovery of </w:t>
      </w:r>
      <w:r w:rsidR="00320D51" w:rsidRPr="00293CBE">
        <w:rPr>
          <w:rFonts w:eastAsia="Times New Roman" w:cstheme="minorHAnsi"/>
          <w:lang w:eastAsia="en-GB"/>
        </w:rPr>
        <w:t>TA</w:t>
      </w:r>
      <w:r w:rsidRPr="00293CBE">
        <w:rPr>
          <w:rFonts w:eastAsia="Times New Roman" w:cstheme="minorHAnsi"/>
          <w:lang w:eastAsia="en-GB"/>
        </w:rPr>
        <w:t xml:space="preserve"> </w:t>
      </w:r>
      <w:r w:rsidR="008615F0">
        <w:rPr>
          <w:rFonts w:eastAsia="Times New Roman" w:cstheme="minorHAnsi"/>
          <w:lang w:eastAsia="en-GB"/>
        </w:rPr>
        <w:t xml:space="preserve">assemblages </w:t>
      </w:r>
      <w:r w:rsidRPr="00293CBE">
        <w:rPr>
          <w:rFonts w:eastAsia="Times New Roman" w:cstheme="minorHAnsi"/>
          <w:lang w:eastAsia="en-GB"/>
        </w:rPr>
        <w:t xml:space="preserve">at forest-to-bog restoration sites of a raised bog seventeen years after </w:t>
      </w:r>
      <w:r w:rsidR="00320D51" w:rsidRPr="00293CBE">
        <w:rPr>
          <w:rFonts w:eastAsia="Times New Roman" w:cstheme="minorHAnsi"/>
          <w:lang w:eastAsia="en-GB"/>
        </w:rPr>
        <w:t xml:space="preserve">tree removal and </w:t>
      </w:r>
      <w:r w:rsidRPr="00293CBE">
        <w:rPr>
          <w:rFonts w:eastAsia="Times New Roman" w:cstheme="minorHAnsi"/>
          <w:lang w:eastAsia="en-GB"/>
        </w:rPr>
        <w:t xml:space="preserve">restoration management.  </w:t>
      </w:r>
      <w:r w:rsidR="00733BA3" w:rsidRPr="00293CBE">
        <w:rPr>
          <w:rFonts w:eastAsia="Times New Roman" w:cstheme="minorHAnsi"/>
          <w:lang w:eastAsia="en-GB"/>
        </w:rPr>
        <w:t xml:space="preserve">Recovery was more evident in wetter hollow microforms compared with drier ridge microtopography. The recovery of MTA at such restoration sites is more complex with results here showing light dependence and the establishment of </w:t>
      </w:r>
      <w:r w:rsidR="00733BA3" w:rsidRPr="00293CBE">
        <w:rPr>
          <w:rFonts w:eastAsia="Times New Roman" w:cstheme="minorHAnsi"/>
          <w:i/>
          <w:lang w:eastAsia="en-GB"/>
        </w:rPr>
        <w:t>Sphagnum</w:t>
      </w:r>
      <w:r w:rsidR="00733BA3" w:rsidRPr="00293CBE">
        <w:rPr>
          <w:rFonts w:eastAsia="Times New Roman" w:cstheme="minorHAnsi"/>
          <w:lang w:eastAsia="en-GB"/>
        </w:rPr>
        <w:t xml:space="preserve"> mosses in wetter hollows do not appear to be the main factors in the recovery of MTA and hence their ability as phototrophic microorganisms to fix atmospheric C. </w:t>
      </w:r>
      <w:r w:rsidR="00320D51" w:rsidRPr="00293CBE">
        <w:rPr>
          <w:rFonts w:eastAsia="Times New Roman" w:cstheme="minorHAnsi"/>
          <w:lang w:eastAsia="en-GB"/>
        </w:rPr>
        <w:t>In the early stages of restoration (&lt; 20 years), r</w:t>
      </w:r>
      <w:r w:rsidRPr="00293CBE">
        <w:rPr>
          <w:rFonts w:eastAsia="Times New Roman" w:cstheme="minorHAnsi"/>
          <w:lang w:eastAsia="en-GB"/>
        </w:rPr>
        <w:t>esults here suggest</w:t>
      </w:r>
      <w:r w:rsidR="00320D51" w:rsidRPr="00293CBE">
        <w:rPr>
          <w:rFonts w:eastAsia="Times New Roman" w:cstheme="minorHAnsi"/>
          <w:lang w:eastAsia="en-GB"/>
        </w:rPr>
        <w:t xml:space="preserve"> local</w:t>
      </w:r>
      <w:r w:rsidRPr="00293CBE">
        <w:rPr>
          <w:rFonts w:eastAsia="Times New Roman" w:cstheme="minorHAnsi"/>
          <w:lang w:eastAsia="en-GB"/>
        </w:rPr>
        <w:t xml:space="preserve"> edaphic factors are more important than vegetation for the recovery of </w:t>
      </w:r>
      <w:r w:rsidR="00320D51" w:rsidRPr="00293CBE">
        <w:rPr>
          <w:rFonts w:eastAsia="Times New Roman" w:cstheme="minorHAnsi"/>
          <w:lang w:eastAsia="en-GB"/>
        </w:rPr>
        <w:t xml:space="preserve">the TA </w:t>
      </w:r>
      <w:r w:rsidR="008B0920">
        <w:rPr>
          <w:rFonts w:eastAsia="Times New Roman" w:cstheme="minorHAnsi"/>
          <w:lang w:eastAsia="en-GB"/>
        </w:rPr>
        <w:t>assemblage</w:t>
      </w:r>
      <w:r w:rsidRPr="00293CBE">
        <w:rPr>
          <w:rFonts w:eastAsia="Times New Roman" w:cstheme="minorHAnsi"/>
          <w:lang w:eastAsia="en-GB"/>
        </w:rPr>
        <w:t xml:space="preserve">, including </w:t>
      </w:r>
      <w:r w:rsidR="00320D51" w:rsidRPr="00293CBE">
        <w:rPr>
          <w:rFonts w:eastAsia="Times New Roman" w:cstheme="minorHAnsi"/>
          <w:lang w:eastAsia="en-GB"/>
        </w:rPr>
        <w:t>MTA</w:t>
      </w:r>
      <w:r w:rsidRPr="00293CBE">
        <w:rPr>
          <w:rFonts w:eastAsia="Times New Roman" w:cstheme="minorHAnsi"/>
          <w:lang w:eastAsia="en-GB"/>
        </w:rPr>
        <w:t xml:space="preserve">. </w:t>
      </w:r>
      <w:r w:rsidR="00733BA3" w:rsidRPr="00293CBE">
        <w:rPr>
          <w:rFonts w:eastAsia="Times New Roman" w:cstheme="minorHAnsi"/>
          <w:lang w:eastAsia="en-GB"/>
        </w:rPr>
        <w:t>We conclude that TA and MTA are useful bioindicators of the fine-scale progress of forest-to-bog restoration. From a monitoring perspective</w:t>
      </w:r>
      <w:r w:rsidR="001E4E21" w:rsidRPr="00293CBE">
        <w:rPr>
          <w:rFonts w:eastAsia="Times New Roman" w:cstheme="minorHAnsi"/>
          <w:lang w:eastAsia="en-GB"/>
        </w:rPr>
        <w:t xml:space="preserve"> though, vegetation composition may be quicker and less time-consuming. </w:t>
      </w:r>
    </w:p>
    <w:p w14:paraId="1117AF7C" w14:textId="03DD3EB9" w:rsidR="00261F11" w:rsidRPr="00293CBE" w:rsidRDefault="00261F11" w:rsidP="00261F11">
      <w:pPr>
        <w:spacing w:line="276" w:lineRule="auto"/>
        <w:rPr>
          <w:rFonts w:cstheme="minorHAnsi"/>
        </w:rPr>
      </w:pPr>
    </w:p>
    <w:p w14:paraId="353124EC" w14:textId="3CBC1791" w:rsidR="00C54D7C" w:rsidRPr="00293CBE" w:rsidRDefault="00261F11" w:rsidP="00C54D7C">
      <w:pPr>
        <w:spacing w:line="276" w:lineRule="auto"/>
        <w:rPr>
          <w:rFonts w:cstheme="minorHAnsi"/>
          <w:b/>
          <w:bCs/>
          <w:sz w:val="24"/>
          <w:szCs w:val="24"/>
        </w:rPr>
      </w:pPr>
      <w:r w:rsidRPr="00293CBE">
        <w:rPr>
          <w:rFonts w:cstheme="minorHAnsi"/>
          <w:b/>
          <w:bCs/>
          <w:sz w:val="24"/>
          <w:szCs w:val="24"/>
        </w:rPr>
        <w:t>References</w:t>
      </w:r>
    </w:p>
    <w:p w14:paraId="39624B93" w14:textId="3CEAF5FD" w:rsidR="00C54D7C" w:rsidRPr="005C3B6F" w:rsidRDefault="00C54D7C" w:rsidP="005C3B6F">
      <w:pPr>
        <w:rPr>
          <w:rFonts w:cstheme="minorHAnsi"/>
        </w:rPr>
      </w:pPr>
      <w:r w:rsidRPr="00855E2D">
        <w:rPr>
          <w:rFonts w:cstheme="minorHAnsi"/>
        </w:rPr>
        <w:t>Andersen</w:t>
      </w:r>
      <w:r w:rsidR="001E4E21" w:rsidRPr="00855E2D">
        <w:rPr>
          <w:rFonts w:cstheme="minorHAnsi"/>
        </w:rPr>
        <w:t>, R</w:t>
      </w:r>
      <w:r w:rsidRPr="00855E2D">
        <w:rPr>
          <w:rFonts w:cstheme="minorHAnsi"/>
        </w:rPr>
        <w:t xml:space="preserve">., </w:t>
      </w:r>
      <w:r w:rsidR="001E4E21" w:rsidRPr="00855E2D">
        <w:rPr>
          <w:rFonts w:cstheme="minorHAnsi"/>
        </w:rPr>
        <w:t>Grasset, L., Thormann, M.N., Rochefort, L. and Francez, A.J. (</w:t>
      </w:r>
      <w:r w:rsidRPr="005C3B6F">
        <w:rPr>
          <w:rFonts w:cstheme="minorHAnsi"/>
        </w:rPr>
        <w:t>2010</w:t>
      </w:r>
      <w:r w:rsidR="001E4E21" w:rsidRPr="005C3B6F">
        <w:rPr>
          <w:rFonts w:cstheme="minorHAnsi"/>
        </w:rPr>
        <w:t xml:space="preserve">). Changes in microbial community </w:t>
      </w:r>
      <w:r w:rsidR="00A75364" w:rsidRPr="005C3B6F">
        <w:rPr>
          <w:rFonts w:cstheme="minorHAnsi"/>
        </w:rPr>
        <w:t>structure</w:t>
      </w:r>
      <w:r w:rsidR="001E4E21" w:rsidRPr="005C3B6F">
        <w:rPr>
          <w:rFonts w:cstheme="minorHAnsi"/>
        </w:rPr>
        <w:t xml:space="preserve"> and function following Sphagnum peatland restoration. </w:t>
      </w:r>
      <w:r w:rsidR="001E4E21" w:rsidRPr="005C3B6F">
        <w:rPr>
          <w:rFonts w:cstheme="minorHAnsi"/>
          <w:i/>
        </w:rPr>
        <w:t>Soil Biology and Biochemistry,</w:t>
      </w:r>
      <w:r w:rsidR="001E4E21" w:rsidRPr="005C3B6F">
        <w:rPr>
          <w:rFonts w:cstheme="minorHAnsi"/>
        </w:rPr>
        <w:t xml:space="preserve"> </w:t>
      </w:r>
      <w:r w:rsidR="001E4E21" w:rsidRPr="005C3B6F">
        <w:rPr>
          <w:rFonts w:cstheme="minorHAnsi"/>
          <w:b/>
        </w:rPr>
        <w:t>42</w:t>
      </w:r>
      <w:r w:rsidR="001E4E21" w:rsidRPr="005C3B6F">
        <w:rPr>
          <w:rFonts w:cstheme="minorHAnsi"/>
        </w:rPr>
        <w:t xml:space="preserve">, 291-301. </w:t>
      </w:r>
    </w:p>
    <w:p w14:paraId="0AFA1814" w14:textId="46D3D77D" w:rsidR="00C54D7C" w:rsidRPr="005C3B6F" w:rsidRDefault="00C54D7C" w:rsidP="005C3B6F">
      <w:pPr>
        <w:spacing w:line="276" w:lineRule="auto"/>
        <w:rPr>
          <w:rFonts w:cstheme="minorHAnsi"/>
        </w:rPr>
      </w:pPr>
      <w:r w:rsidRPr="005C3B6F">
        <w:rPr>
          <w:rFonts w:cstheme="minorHAnsi"/>
        </w:rPr>
        <w:t xml:space="preserve">Andersen, R., Chapman, S.J., Artz, R.R.E., 2013. Microbial communities in natural and disturbed peatlands: A review. </w:t>
      </w:r>
      <w:r w:rsidRPr="005C3B6F">
        <w:rPr>
          <w:rFonts w:cstheme="minorHAnsi"/>
          <w:i/>
        </w:rPr>
        <w:t>Soil Biol. Biochem</w:t>
      </w:r>
      <w:r w:rsidRPr="005C3B6F">
        <w:rPr>
          <w:rFonts w:cstheme="minorHAnsi"/>
        </w:rPr>
        <w:t xml:space="preserve">. </w:t>
      </w:r>
      <w:r w:rsidRPr="005C3B6F">
        <w:rPr>
          <w:rFonts w:cstheme="minorHAnsi"/>
          <w:b/>
        </w:rPr>
        <w:t>57</w:t>
      </w:r>
      <w:r w:rsidRPr="005C3B6F">
        <w:rPr>
          <w:rFonts w:cstheme="minorHAnsi"/>
        </w:rPr>
        <w:t>, 979–994</w:t>
      </w:r>
      <w:r w:rsidR="001E4E21" w:rsidRPr="005C3B6F">
        <w:rPr>
          <w:rFonts w:cstheme="minorHAnsi"/>
        </w:rPr>
        <w:t>.</w:t>
      </w:r>
    </w:p>
    <w:p w14:paraId="01BECD5E" w14:textId="04493FAA" w:rsidR="004C4F6A" w:rsidRPr="005C3B6F" w:rsidRDefault="004C4F6A" w:rsidP="005C3B6F">
      <w:pPr>
        <w:rPr>
          <w:rFonts w:cstheme="minorHAnsi"/>
        </w:rPr>
      </w:pPr>
      <w:r w:rsidRPr="005C3B6F">
        <w:rPr>
          <w:rFonts w:cstheme="minorHAnsi"/>
        </w:rPr>
        <w:t>Anderson, R., Peace, A., 2017. Ten-year results of a comparison of methods for restoring afforested blanket bogs. Mires. Peat. 19, 1–23. Article 06.</w:t>
      </w:r>
    </w:p>
    <w:p w14:paraId="561AEDB4" w14:textId="21DC63D5" w:rsidR="00E446EA" w:rsidRPr="005C3B6F" w:rsidRDefault="00E446EA" w:rsidP="005C3B6F">
      <w:pPr>
        <w:rPr>
          <w:rFonts w:cstheme="minorHAnsi"/>
        </w:rPr>
      </w:pPr>
      <w:r w:rsidRPr="005C3B6F">
        <w:rPr>
          <w:rFonts w:cstheme="minorHAnsi"/>
        </w:rPr>
        <w:t>Atherton, I., Bosanquet, S., Lawley, M., 2010. Mosses and Liverworts of Brian and Ireland: A Field Guide. British Bryological Society, Plymouth, UK</w:t>
      </w:r>
    </w:p>
    <w:p w14:paraId="09DC26B7" w14:textId="2EA52698" w:rsidR="00C54D7C" w:rsidRPr="005C3B6F" w:rsidRDefault="00C54D7C" w:rsidP="005C3B6F">
      <w:pPr>
        <w:rPr>
          <w:rFonts w:cstheme="minorHAnsi"/>
        </w:rPr>
      </w:pPr>
      <w:r w:rsidRPr="005C3B6F">
        <w:rPr>
          <w:rFonts w:cstheme="minorHAnsi"/>
        </w:rPr>
        <w:t>Ball, B.C., Dobbie, K.E., Parker, J.P. and Smith, K.A., 1997. The influence of gas transport and porosity on methane oxidation in soils. Journal of Geophysical Research 102, 23301–23308</w:t>
      </w:r>
    </w:p>
    <w:p w14:paraId="5DC5E02B" w14:textId="27927D0D" w:rsidR="00C54D7C" w:rsidRPr="005C3B6F" w:rsidRDefault="00C54D7C" w:rsidP="005C3B6F">
      <w:pPr>
        <w:rPr>
          <w:rFonts w:cstheme="minorHAnsi"/>
        </w:rPr>
      </w:pPr>
      <w:r w:rsidRPr="005C3B6F">
        <w:rPr>
          <w:rFonts w:cstheme="minorHAnsi"/>
        </w:rPr>
        <w:t>Bardgett, R.D., Freeman, C. and Ostle, N.J. (2008) Microbial contributions to climate change through carbon cycle feedbacks. The IMSE Journal, 2, 805-814.</w:t>
      </w:r>
    </w:p>
    <w:p w14:paraId="46FE29AE" w14:textId="250B884C" w:rsidR="00E446EA" w:rsidRPr="005C3B6F" w:rsidRDefault="00E446EA" w:rsidP="005C3B6F">
      <w:pPr>
        <w:rPr>
          <w:rFonts w:cstheme="minorHAnsi"/>
        </w:rPr>
      </w:pPr>
      <w:r w:rsidRPr="005C3B6F">
        <w:rPr>
          <w:rFonts w:cstheme="minorHAnsi"/>
        </w:rPr>
        <w:t>Beaulne, J., Garneau, M., Magnan, G., &amp; Boucher, É. (2021). Peat deposits store more carbon than trees in forested peatlands of the boreal biome. Scientific Reports, 11(1), 2657. https://doi.org/10.1038/ s41598-021-82004-x</w:t>
      </w:r>
    </w:p>
    <w:p w14:paraId="2719275B" w14:textId="7B40D459" w:rsidR="00C54D7C" w:rsidRPr="005C3B6F" w:rsidRDefault="00C54D7C" w:rsidP="005C3B6F">
      <w:pPr>
        <w:rPr>
          <w:rFonts w:cstheme="minorHAnsi"/>
        </w:rPr>
      </w:pPr>
      <w:r w:rsidRPr="005C3B6F">
        <w:rPr>
          <w:rFonts w:cstheme="minorHAnsi"/>
        </w:rPr>
        <w:t xml:space="preserve">Billet, M.F., Charman, D.J., Clark, J.M., Evans, C.D., Evans, M.G., Ostle, N.J., Worral, F., Burden, A., Dinsmore, K.J., Jones, T., McNamara, N.P., Parry, L., Rowson, J.G. and Rose, R. (2010) Carbon balance of UK peatlands: current state of knowledge and future research challenges. Climate Research, 45, 13-29. </w:t>
      </w:r>
    </w:p>
    <w:p w14:paraId="0B07A414" w14:textId="4A9623DB" w:rsidR="00C54D7C" w:rsidRPr="005C3B6F" w:rsidRDefault="00C54D7C" w:rsidP="005C3B6F">
      <w:pPr>
        <w:rPr>
          <w:rFonts w:cstheme="minorHAnsi"/>
        </w:rPr>
      </w:pPr>
      <w:r w:rsidRPr="005C3B6F">
        <w:rPr>
          <w:rFonts w:cstheme="minorHAnsi"/>
        </w:rPr>
        <w:t>Booth, R.K., Lamentowicz, M. and Charman, D.J. (2010). Preparation and analysis of testate amoebae in peatland palaeoenvironmental studies. Mires and Peat. 7, 1–7.</w:t>
      </w:r>
    </w:p>
    <w:p w14:paraId="3F2E5AD3" w14:textId="06BB0244" w:rsidR="00C54D7C" w:rsidRPr="005C3B6F" w:rsidRDefault="00C54D7C" w:rsidP="005C3B6F">
      <w:pPr>
        <w:spacing w:line="276" w:lineRule="auto"/>
        <w:rPr>
          <w:rFonts w:cstheme="minorHAnsi"/>
        </w:rPr>
      </w:pPr>
      <w:r w:rsidRPr="005C3B6F">
        <w:rPr>
          <w:rFonts w:cstheme="minorHAnsi"/>
        </w:rPr>
        <w:t>Chambers, F.M., Beilman, D.W. and Yu, Z. (2010). Methods for determining peat humification and for quantifying peat bulk density, organic matter and carbon content for palaeostudies of climate and peatland carbon dynamics. Mires and Peat, 7, 1-10.</w:t>
      </w:r>
    </w:p>
    <w:p w14:paraId="705F1609" w14:textId="308043BB" w:rsidR="00C54D7C" w:rsidRPr="005C3B6F" w:rsidRDefault="00C54D7C" w:rsidP="005C3B6F">
      <w:pPr>
        <w:spacing w:line="276" w:lineRule="auto"/>
        <w:rPr>
          <w:rFonts w:eastAsia="SimSun" w:cstheme="minorHAnsi"/>
        </w:rPr>
      </w:pPr>
      <w:r w:rsidRPr="005C3B6F">
        <w:rPr>
          <w:rFonts w:cstheme="minorHAnsi"/>
        </w:rPr>
        <w:lastRenderedPageBreak/>
        <w:t>Charman, D.J., Hendon D. and Woodland, W.A. (2000). The identification of Testate amoebae in Peats. Quaternary Research Association Technical Guide No 9. London.</w:t>
      </w:r>
    </w:p>
    <w:p w14:paraId="0ADD38C1" w14:textId="48CB83AC" w:rsidR="00C54D7C" w:rsidRPr="005C3B6F" w:rsidRDefault="00C54D7C" w:rsidP="005C3B6F">
      <w:pPr>
        <w:spacing w:line="276" w:lineRule="auto"/>
        <w:rPr>
          <w:rFonts w:cstheme="minorHAnsi"/>
        </w:rPr>
      </w:pPr>
      <w:r w:rsidRPr="005C3B6F">
        <w:rPr>
          <w:rFonts w:cstheme="minorHAnsi"/>
        </w:rPr>
        <w:t>Clymo, R.S. (1970). The growth of Sphagnum: methods of measurement, Journal of Ecology, 58, 13-49.</w:t>
      </w:r>
    </w:p>
    <w:p w14:paraId="0DEEB83B" w14:textId="2CF1762F" w:rsidR="00A4405B" w:rsidRPr="005C3B6F" w:rsidRDefault="00A4405B" w:rsidP="005C3B6F">
      <w:pPr>
        <w:spacing w:line="276" w:lineRule="auto"/>
        <w:rPr>
          <w:rFonts w:cstheme="minorHAnsi"/>
        </w:rPr>
      </w:pPr>
      <w:r w:rsidRPr="005C3B6F">
        <w:rPr>
          <w:rFonts w:cstheme="minorHAnsi"/>
        </w:rPr>
        <w:t>Clymo, R.S. (1978). A Model of Peat Bog Growth. In: Heal, O.W., Perkins, D.F. (eds) Production Ecology of British Moors and Montane Grasslands. Ecological Studies, vol 27. Springer, Berlin, Heidelberg. https://doi.org/10.1007/978-3-642-66760-2_9</w:t>
      </w:r>
    </w:p>
    <w:p w14:paraId="4AB6D894" w14:textId="40D98A0E" w:rsidR="00C54D7C" w:rsidRPr="005C3B6F" w:rsidRDefault="00C54D7C" w:rsidP="005C3B6F">
      <w:pPr>
        <w:spacing w:line="276" w:lineRule="auto"/>
        <w:rPr>
          <w:rFonts w:cstheme="minorHAnsi"/>
        </w:rPr>
      </w:pPr>
      <w:r w:rsidRPr="005C3B6F">
        <w:rPr>
          <w:rFonts w:cstheme="minorHAnsi"/>
        </w:rPr>
        <w:t xml:space="preserve">Creevy, A.L., Andersen, R., Rowson, J.G. and Payne, R.J. (2018) Testate amoebae as functionally significant bioindicators in forest-to-bog restoration. Ecological Indicators, 84, 274-282. </w:t>
      </w:r>
    </w:p>
    <w:p w14:paraId="639F6FB8" w14:textId="7ECC498B" w:rsidR="00C54D7C" w:rsidRPr="005C3B6F" w:rsidRDefault="00C54D7C" w:rsidP="005C3B6F">
      <w:pPr>
        <w:spacing w:line="276" w:lineRule="auto"/>
        <w:rPr>
          <w:rFonts w:cstheme="minorHAnsi"/>
        </w:rPr>
      </w:pPr>
      <w:r w:rsidRPr="005C3B6F">
        <w:rPr>
          <w:rFonts w:cstheme="minorHAnsi"/>
        </w:rPr>
        <w:t>Creevy, A.L., Payne, R.J., Andersen, R. and Rowson, J.G. (2020) Annual gaseous carbon budgets of forest-to-bog restoration sites are strongly determined by vegetation composition. Science of the Total Environment, 705, 135863.</w:t>
      </w:r>
    </w:p>
    <w:p w14:paraId="768DCA65" w14:textId="1D5159DB" w:rsidR="00C54D7C" w:rsidRPr="005C3B6F" w:rsidRDefault="00C54D7C" w:rsidP="005C3B6F">
      <w:pPr>
        <w:spacing w:line="276" w:lineRule="auto"/>
        <w:rPr>
          <w:rFonts w:cstheme="minorHAnsi"/>
        </w:rPr>
      </w:pPr>
      <w:r w:rsidRPr="005C3B6F">
        <w:rPr>
          <w:rFonts w:cstheme="minorHAnsi"/>
        </w:rPr>
        <w:t xml:space="preserve">Davies, M.A., McLaughlin, J.W., Packalen, M.S. and Finkelstein, S.A. (2022). Holocene carbon storage and testate amoeba community structure in treed peatlands of the western Hudson Bay Lowlands margin, Canada. </w:t>
      </w:r>
      <w:r w:rsidRPr="005C3B6F">
        <w:rPr>
          <w:rFonts w:cstheme="minorHAnsi"/>
          <w:i/>
        </w:rPr>
        <w:t>Journal of Quaternary Science</w:t>
      </w:r>
      <w:r w:rsidRPr="005C3B6F">
        <w:rPr>
          <w:rFonts w:cstheme="minorHAnsi"/>
        </w:rPr>
        <w:t xml:space="preserve">, </w:t>
      </w:r>
      <w:r w:rsidR="009830ED" w:rsidRPr="005C3B6F">
        <w:rPr>
          <w:rFonts w:cstheme="minorHAnsi"/>
        </w:rPr>
        <w:t>38, 92-106</w:t>
      </w:r>
      <w:r w:rsidRPr="005C3B6F">
        <w:rPr>
          <w:rFonts w:cstheme="minorHAnsi"/>
        </w:rPr>
        <w:t xml:space="preserve"> 1-15. </w:t>
      </w:r>
    </w:p>
    <w:p w14:paraId="54F0EE6A" w14:textId="4E88F0E5" w:rsidR="00855E2D" w:rsidRPr="005C3B6F" w:rsidRDefault="00855E2D" w:rsidP="005C3B6F">
      <w:pPr>
        <w:spacing w:line="276" w:lineRule="auto"/>
        <w:rPr>
          <w:rFonts w:cstheme="minorHAnsi"/>
        </w:rPr>
      </w:pPr>
      <w:r>
        <w:t>Davis, S.R. and Wilkinson, D.M. (2004). The conservation management value of testate amoebae as restoration indicators: speculations based on two damaged raised mires in northwest England. The Holocene. 14, 135-143</w:t>
      </w:r>
    </w:p>
    <w:p w14:paraId="389A7BC1" w14:textId="7E318C50" w:rsidR="00C54D7C" w:rsidRPr="005C3B6F" w:rsidRDefault="00C54D7C" w:rsidP="005C3B6F">
      <w:pPr>
        <w:rPr>
          <w:rFonts w:cstheme="minorHAnsi"/>
        </w:rPr>
      </w:pPr>
      <w:r w:rsidRPr="005C3B6F">
        <w:rPr>
          <w:rFonts w:cstheme="minorHAnsi"/>
        </w:rPr>
        <w:t>Dise, N. (2009) Peatland response to global change, Science, 326, 810-811.</w:t>
      </w:r>
    </w:p>
    <w:p w14:paraId="198A66B8" w14:textId="0E29D4F4" w:rsidR="00C54D7C" w:rsidRPr="005C3B6F" w:rsidRDefault="00C54D7C" w:rsidP="005C3B6F">
      <w:pPr>
        <w:rPr>
          <w:rFonts w:cstheme="minorHAnsi"/>
        </w:rPr>
      </w:pPr>
      <w:r w:rsidRPr="005C3B6F">
        <w:rPr>
          <w:rFonts w:cstheme="minorHAnsi"/>
        </w:rPr>
        <w:t>Dufrene, M. and Legendre, P (1997). Species assemblages and indicator species: the need for a flexible asymmetrical approach. Ecological Monographs, 67, 345-366.</w:t>
      </w:r>
    </w:p>
    <w:p w14:paraId="49ABED3A" w14:textId="6DAAB485" w:rsidR="00C54D7C" w:rsidRPr="005C3B6F" w:rsidRDefault="00C54D7C" w:rsidP="005C3B6F">
      <w:pPr>
        <w:rPr>
          <w:rFonts w:cstheme="minorHAnsi"/>
        </w:rPr>
      </w:pPr>
      <w:r w:rsidRPr="005C3B6F">
        <w:rPr>
          <w:rFonts w:cstheme="minorHAnsi"/>
        </w:rPr>
        <w:t>Fournier, B., Lara, E., Jassey, V.E.J. and Mitchell, E.A.D. (2015). Functional traits as a new approach for interpreting testate amoeba palaeo-records in peatlands and assessing the causes and consequences of past changes in species composition. The Holocene, 25, 1375-1383.</w:t>
      </w:r>
    </w:p>
    <w:p w14:paraId="63B89DEA" w14:textId="298EC02A" w:rsidR="00C54D7C" w:rsidRPr="005C3B6F" w:rsidRDefault="00C54D7C" w:rsidP="005C3B6F">
      <w:pPr>
        <w:rPr>
          <w:rFonts w:cstheme="minorHAnsi"/>
        </w:rPr>
      </w:pPr>
      <w:r w:rsidRPr="005C3B6F">
        <w:rPr>
          <w:rFonts w:cstheme="minorHAnsi"/>
        </w:rPr>
        <w:t>Frolking, S. and Roulet, N. T. (2007) ‘Holocene radiative forcing impact of northern peatland carbon accumulation and methane emissions’, Global Change Biology, 13(5), pp. 1079–1088. doi: 10.1111/j.1365-2486.</w:t>
      </w:r>
      <w:proofErr w:type="gramStart"/>
      <w:r w:rsidRPr="005C3B6F">
        <w:rPr>
          <w:rFonts w:cstheme="minorHAnsi"/>
        </w:rPr>
        <w:t>2007.01339.x</w:t>
      </w:r>
      <w:proofErr w:type="gramEnd"/>
    </w:p>
    <w:p w14:paraId="3E4643FC" w14:textId="353F59D1" w:rsidR="00891A82" w:rsidRPr="005C3B6F" w:rsidRDefault="00C54D7C" w:rsidP="005C3B6F">
      <w:pPr>
        <w:rPr>
          <w:rFonts w:cstheme="minorHAnsi"/>
        </w:rPr>
      </w:pPr>
      <w:r w:rsidRPr="005C3B6F">
        <w:rPr>
          <w:rFonts w:cstheme="minorHAnsi"/>
        </w:rPr>
        <w:t>Gallego-Sala</w:t>
      </w:r>
      <w:r w:rsidR="00E8126E" w:rsidRPr="005C3B6F">
        <w:rPr>
          <w:rFonts w:cstheme="minorHAnsi"/>
        </w:rPr>
        <w:t xml:space="preserve"> AV</w:t>
      </w:r>
      <w:r w:rsidRPr="005C3B6F">
        <w:rPr>
          <w:rFonts w:cstheme="minorHAnsi"/>
        </w:rPr>
        <w:t xml:space="preserve"> et al</w:t>
      </w:r>
      <w:r w:rsidR="00E8126E" w:rsidRPr="005C3B6F">
        <w:rPr>
          <w:rFonts w:cstheme="minorHAnsi"/>
        </w:rPr>
        <w:t xml:space="preserve"> (</w:t>
      </w:r>
      <w:r w:rsidRPr="005C3B6F">
        <w:rPr>
          <w:rFonts w:cstheme="minorHAnsi"/>
        </w:rPr>
        <w:t>2018</w:t>
      </w:r>
      <w:r w:rsidR="00E8126E" w:rsidRPr="005C3B6F">
        <w:rPr>
          <w:rFonts w:cstheme="minorHAnsi"/>
        </w:rPr>
        <w:t xml:space="preserve">) </w:t>
      </w:r>
      <w:r w:rsidR="00891A82" w:rsidRPr="005C3B6F">
        <w:rPr>
          <w:rFonts w:cstheme="minorHAnsi"/>
        </w:rPr>
        <w:t>Latitudinal limits to the predicted increase of the peatland carbon sink with warming. Nature Climate Change, doi:10.1038/s41558-018-0271-1.</w:t>
      </w:r>
    </w:p>
    <w:p w14:paraId="54A62C90" w14:textId="30CD4B5A" w:rsidR="00C54D7C" w:rsidRPr="005C3B6F" w:rsidRDefault="00C54D7C" w:rsidP="005C3B6F">
      <w:pPr>
        <w:rPr>
          <w:rFonts w:cstheme="minorHAnsi"/>
        </w:rPr>
      </w:pPr>
      <w:r w:rsidRPr="005C3B6F">
        <w:rPr>
          <w:rFonts w:cstheme="minorHAnsi"/>
        </w:rPr>
        <w:t>Gauthier, E., Jassey, V.E.J., Mitchell, E.A.D., Lamentowicz, M., Payne, R., Delarue, F., Laggoun-Defarge, F., Gilbert, D. and Richard, H. (2019) From Climatic to Anthropogenic Drivers: A Multi-Proxy Reconstruction of Vegetation and Peatland Development in the French Jura Mountains. Quaternary, 2, 1-13.</w:t>
      </w:r>
    </w:p>
    <w:p w14:paraId="060866EF" w14:textId="4AAEAEF2" w:rsidR="00C54D7C" w:rsidRPr="005C3B6F" w:rsidRDefault="00C54D7C" w:rsidP="005C3B6F">
      <w:pPr>
        <w:rPr>
          <w:rFonts w:cstheme="minorHAnsi"/>
        </w:rPr>
      </w:pPr>
      <w:r w:rsidRPr="005C3B6F">
        <w:rPr>
          <w:rFonts w:cstheme="minorHAnsi"/>
        </w:rPr>
        <w:t>Gewin, V. (2020) Bringing back the bogs. Nature, 578, 204-208.</w:t>
      </w:r>
    </w:p>
    <w:p w14:paraId="65F7E67F" w14:textId="354B2A10" w:rsidR="00E8126E" w:rsidRPr="005C3B6F" w:rsidRDefault="00E8126E" w:rsidP="005C3B6F">
      <w:pPr>
        <w:rPr>
          <w:rFonts w:cstheme="minorHAnsi"/>
        </w:rPr>
      </w:pPr>
      <w:r w:rsidRPr="005C3B6F">
        <w:rPr>
          <w:rFonts w:cstheme="minorHAnsi"/>
        </w:rPr>
        <w:t>Gilbert D, Mitchell EAD, Amblard C, Bourdier G, Francez A-J (2003) Population dynamics and food preferences of the testate amoeba Nebela tincta major-bohemica-collaris complex (Protozoa) in a Sphagnum peatland. Acta Protozool 42:99–104</w:t>
      </w:r>
    </w:p>
    <w:p w14:paraId="2FEFB534" w14:textId="41B9B7AB" w:rsidR="00E8126E" w:rsidRPr="005C3B6F" w:rsidRDefault="00E8126E" w:rsidP="005C3B6F">
      <w:pPr>
        <w:rPr>
          <w:rFonts w:cstheme="minorHAnsi"/>
        </w:rPr>
      </w:pPr>
      <w:r w:rsidRPr="005C3B6F">
        <w:rPr>
          <w:rFonts w:cstheme="minorHAnsi"/>
        </w:rPr>
        <w:lastRenderedPageBreak/>
        <w:t>Gilbert D, Mitchell EAD, Amblard C, Bourdier G, Francez A-J (2003) Population dynamics and food preferences of the testate amoeba Nebela tincta major-bohemica-collaris complex (Protozoa) in a Sphagnum peatland. Acta Protozool 42:99–104</w:t>
      </w:r>
    </w:p>
    <w:p w14:paraId="3913E732" w14:textId="6978D8E1" w:rsidR="00C54D7C" w:rsidRPr="005C3B6F" w:rsidRDefault="00C54D7C" w:rsidP="005C3B6F">
      <w:pPr>
        <w:spacing w:line="276" w:lineRule="auto"/>
        <w:rPr>
          <w:rFonts w:cstheme="minorHAnsi"/>
        </w:rPr>
      </w:pPr>
      <w:r w:rsidRPr="005C3B6F">
        <w:rPr>
          <w:rFonts w:cstheme="minorHAnsi"/>
        </w:rPr>
        <w:t>Godwin, H. (1981) The archives of the peat bogs. Cambridge University Press, Cambridge.</w:t>
      </w:r>
    </w:p>
    <w:p w14:paraId="4B994DA4" w14:textId="0EFF363B" w:rsidR="00C54D7C" w:rsidRPr="005C3B6F" w:rsidRDefault="00C54D7C" w:rsidP="005C3B6F">
      <w:pPr>
        <w:rPr>
          <w:rFonts w:cstheme="minorHAnsi"/>
        </w:rPr>
      </w:pPr>
      <w:r w:rsidRPr="005C3B6F">
        <w:rPr>
          <w:rFonts w:cstheme="minorHAnsi"/>
        </w:rPr>
        <w:t>Silva</w:t>
      </w:r>
      <w:r w:rsidR="001C7A1A" w:rsidRPr="005C3B6F">
        <w:rPr>
          <w:rFonts w:cstheme="minorHAnsi"/>
        </w:rPr>
        <w:t xml:space="preserve">, Y.G.D., Sampaio, </w:t>
      </w:r>
      <w:proofErr w:type="spellStart"/>
      <w:proofErr w:type="gramStart"/>
      <w:r w:rsidR="001C7A1A" w:rsidRPr="005C3B6F">
        <w:rPr>
          <w:rFonts w:cstheme="minorHAnsi"/>
        </w:rPr>
        <w:t>G.S.,Ramos</w:t>
      </w:r>
      <w:proofErr w:type="spellEnd"/>
      <w:proofErr w:type="gramEnd"/>
      <w:r w:rsidR="001C7A1A" w:rsidRPr="005C3B6F">
        <w:rPr>
          <w:rFonts w:cstheme="minorHAnsi"/>
        </w:rPr>
        <w:t>, B.R.D.O., Freitas, Y.D.G.C., Nascimento, L., Branco, C.W.C. and Miranda, V.B.D.S.</w:t>
      </w:r>
      <w:r w:rsidRPr="005C3B6F">
        <w:rPr>
          <w:rFonts w:cstheme="minorHAnsi"/>
        </w:rPr>
        <w:t xml:space="preserve"> </w:t>
      </w:r>
      <w:r w:rsidR="001C7A1A" w:rsidRPr="005C3B6F">
        <w:rPr>
          <w:rFonts w:cstheme="minorHAnsi"/>
        </w:rPr>
        <w:t>(</w:t>
      </w:r>
      <w:r w:rsidRPr="005C3B6F">
        <w:rPr>
          <w:rFonts w:cstheme="minorHAnsi"/>
        </w:rPr>
        <w:t>2022</w:t>
      </w:r>
      <w:r w:rsidR="001C7A1A" w:rsidRPr="005C3B6F">
        <w:rPr>
          <w:rFonts w:cstheme="minorHAnsi"/>
        </w:rPr>
        <w:t>) Testate amoebae (</w:t>
      </w:r>
      <w:proofErr w:type="spellStart"/>
      <w:r w:rsidR="001C7A1A" w:rsidRPr="005C3B6F">
        <w:rPr>
          <w:rFonts w:cstheme="minorHAnsi"/>
        </w:rPr>
        <w:t>Amorphea</w:t>
      </w:r>
      <w:proofErr w:type="spellEnd"/>
      <w:r w:rsidR="001C7A1A" w:rsidRPr="005C3B6F">
        <w:rPr>
          <w:rFonts w:cstheme="minorHAnsi"/>
        </w:rPr>
        <w:t xml:space="preserve">, Amoebozoa, </w:t>
      </w:r>
      <w:proofErr w:type="spellStart"/>
      <w:r w:rsidR="001C7A1A" w:rsidRPr="005C3B6F">
        <w:rPr>
          <w:rFonts w:cstheme="minorHAnsi"/>
        </w:rPr>
        <w:t>Cercozoa</w:t>
      </w:r>
      <w:proofErr w:type="spellEnd"/>
      <w:r w:rsidR="001C7A1A" w:rsidRPr="005C3B6F">
        <w:rPr>
          <w:rFonts w:cstheme="minorHAnsi"/>
        </w:rPr>
        <w:t xml:space="preserve">) as bioindicators: a </w:t>
      </w:r>
      <w:proofErr w:type="spellStart"/>
      <w:r w:rsidR="001C7A1A" w:rsidRPr="005C3B6F">
        <w:rPr>
          <w:rFonts w:cstheme="minorHAnsi"/>
        </w:rPr>
        <w:t>scientometric</w:t>
      </w:r>
      <w:proofErr w:type="spellEnd"/>
      <w:r w:rsidR="001C7A1A" w:rsidRPr="005C3B6F">
        <w:rPr>
          <w:rFonts w:cstheme="minorHAnsi"/>
        </w:rPr>
        <w:t xml:space="preserve"> review. </w:t>
      </w:r>
      <w:r w:rsidR="001C7A1A" w:rsidRPr="005C3B6F">
        <w:rPr>
          <w:rFonts w:cstheme="minorHAnsi"/>
          <w:i/>
        </w:rPr>
        <w:t xml:space="preserve">Acta Limnologica </w:t>
      </w:r>
      <w:proofErr w:type="spellStart"/>
      <w:r w:rsidR="001C7A1A" w:rsidRPr="005C3B6F">
        <w:rPr>
          <w:rFonts w:cstheme="minorHAnsi"/>
          <w:i/>
        </w:rPr>
        <w:t>Brasiliensia</w:t>
      </w:r>
      <w:proofErr w:type="spellEnd"/>
      <w:r w:rsidR="001C7A1A" w:rsidRPr="005C3B6F">
        <w:rPr>
          <w:rFonts w:cstheme="minorHAnsi"/>
        </w:rPr>
        <w:t>, 34</w:t>
      </w:r>
    </w:p>
    <w:p w14:paraId="53447CAC" w14:textId="496104DA" w:rsidR="00C54D7C" w:rsidRPr="005C3B6F" w:rsidRDefault="009B4B8A" w:rsidP="005C3B6F">
      <w:pPr>
        <w:rPr>
          <w:rFonts w:cstheme="minorHAnsi"/>
        </w:rPr>
      </w:pPr>
      <w:r>
        <w:t xml:space="preserve">Hamard, S., </w:t>
      </w:r>
      <w:proofErr w:type="spellStart"/>
      <w:r>
        <w:t>Céréghino</w:t>
      </w:r>
      <w:proofErr w:type="spellEnd"/>
      <w:r>
        <w:t xml:space="preserve">, R., Barret, M., </w:t>
      </w:r>
      <w:proofErr w:type="spellStart"/>
      <w:r>
        <w:t>Sytiuk</w:t>
      </w:r>
      <w:proofErr w:type="spellEnd"/>
      <w:r>
        <w:t xml:space="preserve">, A., Lara, E., </w:t>
      </w:r>
      <w:proofErr w:type="spellStart"/>
      <w:r>
        <w:t>Dorrepaal</w:t>
      </w:r>
      <w:proofErr w:type="spellEnd"/>
      <w:r>
        <w:t xml:space="preserve">, E., </w:t>
      </w:r>
      <w:proofErr w:type="spellStart"/>
      <w:r>
        <w:t>Kardol</w:t>
      </w:r>
      <w:proofErr w:type="spellEnd"/>
      <w:r>
        <w:t xml:space="preserve">, P., </w:t>
      </w:r>
      <w:proofErr w:type="spellStart"/>
      <w:r>
        <w:t>Küttim</w:t>
      </w:r>
      <w:proofErr w:type="spellEnd"/>
      <w:r>
        <w:t xml:space="preserve">, M., Lamentowicz, M., </w:t>
      </w:r>
      <w:proofErr w:type="spellStart"/>
      <w:r>
        <w:t>Leflaive</w:t>
      </w:r>
      <w:proofErr w:type="spellEnd"/>
      <w:r>
        <w:t xml:space="preserve">, J., Le Roux, G., </w:t>
      </w:r>
      <w:proofErr w:type="spellStart"/>
      <w:r>
        <w:t>Tuittila</w:t>
      </w:r>
      <w:proofErr w:type="spellEnd"/>
      <w:r>
        <w:t xml:space="preserve">, E.S., Jassey, V.E.J., 2021. Contribution of microbial photosynthesis to peatland carbon uptake along a latitudinal gradient. </w:t>
      </w:r>
      <w:r w:rsidRPr="005C3B6F">
        <w:rPr>
          <w:i/>
        </w:rPr>
        <w:t>J. Ecol</w:t>
      </w:r>
      <w:r>
        <w:t xml:space="preserve">., 1–18 </w:t>
      </w:r>
      <w:hyperlink r:id="rId7" w:history="1">
        <w:r w:rsidR="00855E2D" w:rsidRPr="00E9682F">
          <w:rPr>
            <w:rStyle w:val="Hyperlink"/>
          </w:rPr>
          <w:t>https://doi.org/10.1111/1365-2745.13732</w:t>
        </w:r>
      </w:hyperlink>
    </w:p>
    <w:p w14:paraId="6AC00AD6" w14:textId="6C991173" w:rsidR="00855E2D" w:rsidRPr="005C3B6F" w:rsidRDefault="00855E2D" w:rsidP="005C3B6F">
      <w:pPr>
        <w:rPr>
          <w:rFonts w:cstheme="minorHAnsi"/>
        </w:rPr>
      </w:pPr>
      <w:r>
        <w:t>Hambler, C. and Canney, S.M. (2013</w:t>
      </w:r>
      <w:r w:rsidRPr="005C3B6F">
        <w:rPr>
          <w:i/>
        </w:rPr>
        <w:t>) Conservation</w:t>
      </w:r>
      <w:r>
        <w:t xml:space="preserve"> 2</w:t>
      </w:r>
      <w:r w:rsidRPr="005C3B6F">
        <w:rPr>
          <w:vertAlign w:val="superscript"/>
        </w:rPr>
        <w:t>nd</w:t>
      </w:r>
      <w:r>
        <w:t xml:space="preserve"> ed.  Cambridge University Press, Cambridge.</w:t>
      </w:r>
    </w:p>
    <w:p w14:paraId="056FA223" w14:textId="2152FE1D" w:rsidR="00C54D7C" w:rsidRPr="005C3B6F" w:rsidRDefault="00C54D7C" w:rsidP="005C3B6F">
      <w:pPr>
        <w:rPr>
          <w:rFonts w:cstheme="minorHAnsi"/>
        </w:rPr>
      </w:pPr>
      <w:r w:rsidRPr="005C3B6F">
        <w:rPr>
          <w:rFonts w:cstheme="minorHAnsi"/>
        </w:rPr>
        <w:t>Hancock, M.H., Klein, D., Andersen, R. and Cowie, N.R. (2018) Vegetation response to restoration management of a blanket bog damaged by drainage and afforestation. Applied Vegetation Science, 21, 167-178.</w:t>
      </w:r>
    </w:p>
    <w:p w14:paraId="26ABCF6A" w14:textId="05D666E5" w:rsidR="00C54D7C" w:rsidRPr="005C3B6F" w:rsidRDefault="00C54D7C" w:rsidP="005C3B6F">
      <w:pPr>
        <w:rPr>
          <w:rFonts w:cstheme="minorHAnsi"/>
        </w:rPr>
      </w:pPr>
      <w:r w:rsidRPr="005C3B6F">
        <w:rPr>
          <w:rFonts w:cstheme="minorHAnsi"/>
        </w:rPr>
        <w:t xml:space="preserve">Heger, T.J., </w:t>
      </w:r>
      <w:r w:rsidR="00A75364" w:rsidRPr="005C3B6F">
        <w:rPr>
          <w:rFonts w:cstheme="minorHAnsi"/>
        </w:rPr>
        <w:t>Mitchell</w:t>
      </w:r>
      <w:r w:rsidRPr="005C3B6F">
        <w:rPr>
          <w:rFonts w:cstheme="minorHAnsi"/>
        </w:rPr>
        <w:t>, E.A.D. and Leander, B. (2013) Holarctic pylogeography of the testate amoeba Hyalosphenia papilio (Amoebozoa: Arcellinida) reveals extensive genetic diversity explained more by environment than dispersal limitation. Molecular Ecology, 22, 5172 – 5184.</w:t>
      </w:r>
    </w:p>
    <w:p w14:paraId="2B846214" w14:textId="1E1AE18F" w:rsidR="009736A6" w:rsidRPr="005C3B6F" w:rsidRDefault="009736A6" w:rsidP="005C3B6F">
      <w:pPr>
        <w:rPr>
          <w:rFonts w:cstheme="minorHAnsi"/>
        </w:rPr>
      </w:pPr>
      <w:r>
        <w:t>Herbert RP, Peters SC, Nelson DM, Booth RK. 2019. Light variability and mixotrophy: Responses of testate amoeba communities and shell δ13C values to a peatland shading experiment. European Journal of Protistology 67: 15–26. https://doi.org/10.1016/j.ejop. 2018.10.005</w:t>
      </w:r>
    </w:p>
    <w:p w14:paraId="791BC216" w14:textId="77777777" w:rsidR="009736A6" w:rsidRPr="005C3B6F" w:rsidRDefault="009736A6" w:rsidP="005C3B6F">
      <w:pPr>
        <w:rPr>
          <w:rFonts w:cstheme="minorHAnsi"/>
        </w:rPr>
      </w:pPr>
      <w:r>
        <w:t>Hugelius G., Loisel J., Chadburn S., Jackson R., MacDonald G., Marushchak M., Packalen M., Siewert M., Treat C., Turetsky M., Voigt C., Yu Z. 2020. Northern peatlands and permafrost thaw: effects on carbon and nitrogen stocks and fluxes. Proceedings of the National Academy of Sciences, doi:10.1073/pnas.1916387117</w:t>
      </w:r>
    </w:p>
    <w:p w14:paraId="2561E692" w14:textId="6759BFB0" w:rsidR="00C54D7C" w:rsidRPr="005C3B6F" w:rsidRDefault="00C54D7C" w:rsidP="005C3B6F">
      <w:pPr>
        <w:rPr>
          <w:rFonts w:cstheme="minorHAnsi"/>
        </w:rPr>
      </w:pPr>
      <w:r w:rsidRPr="005C3B6F">
        <w:rPr>
          <w:rFonts w:cstheme="minorHAnsi"/>
        </w:rPr>
        <w:t>Jassey, V.E.J., Shimano, S., Dupuy, C., Toussaint, M. and Gilbert, D. (2013). Characterizing the Feeding Habits of the Testate Amoebae Hyalosphenia papilio and Nebela tincta along a Narrow “Fen-Bog” Gradient Using Digestive Vacuole Content and 13C and15N Isotopic Analyses. Protist, 163, 451-464.</w:t>
      </w:r>
    </w:p>
    <w:p w14:paraId="37D7377F" w14:textId="34CA7D0B" w:rsidR="00C54D7C" w:rsidRPr="005C3B6F" w:rsidRDefault="00C54D7C" w:rsidP="005C3B6F">
      <w:pPr>
        <w:rPr>
          <w:rFonts w:cstheme="minorHAnsi"/>
        </w:rPr>
      </w:pPr>
      <w:r w:rsidRPr="005C3B6F">
        <w:rPr>
          <w:rFonts w:cstheme="minorHAnsi"/>
        </w:rPr>
        <w:t>Jassey, V.E.J., Signarbieux, C., Hättenschwiler, S., Bragazza, L., Buttler, A., Delarue, F., Fournier, B., Gilbert, d., Laggoun-Défarge, f., Lara, E., Mills, R.T.E., Mitchell, E.A.D., Payne, R.J. and Robroek, B.J.M. (2015d). An unexpected role for mixotrophs in the response of peatland carbon cycling to climate warming. Scientific Reports, 5</w:t>
      </w:r>
    </w:p>
    <w:p w14:paraId="0B5D1573" w14:textId="3AD7BBEC" w:rsidR="00BA0D2A" w:rsidRPr="005C3B6F" w:rsidRDefault="00BA0D2A" w:rsidP="005C3B6F">
      <w:pPr>
        <w:rPr>
          <w:rFonts w:cstheme="minorHAnsi"/>
        </w:rPr>
      </w:pPr>
      <w:r w:rsidRPr="005C3B6F">
        <w:rPr>
          <w:rFonts w:cstheme="minorHAnsi"/>
        </w:rPr>
        <w:t>Johnson, E.A. and Miyanishi, K. (2008). Testing the assumptions of chronosequences in succession. Ecology Letters, 11, 419-431.</w:t>
      </w:r>
    </w:p>
    <w:p w14:paraId="5678CF6A" w14:textId="62615443" w:rsidR="00C54D7C" w:rsidRPr="005C3B6F" w:rsidRDefault="00C54D7C" w:rsidP="005C3B6F">
      <w:pPr>
        <w:rPr>
          <w:rFonts w:cstheme="minorHAnsi"/>
        </w:rPr>
      </w:pPr>
      <w:r w:rsidRPr="005C3B6F">
        <w:rPr>
          <w:rFonts w:cstheme="minorHAnsi"/>
        </w:rPr>
        <w:t xml:space="preserve">Kosakyan, A., Gomaa, F., Lara, E. and Lahr, D.J.G. (2016). Current and future perspectives on the systematics, taxonomy and nomenclature of testate amoebae. European Journal of Protistology, 55, 105-117. </w:t>
      </w:r>
    </w:p>
    <w:p w14:paraId="73B9EBE6" w14:textId="450615DA" w:rsidR="00C54D7C" w:rsidRPr="005C3B6F" w:rsidRDefault="00C54D7C" w:rsidP="005C3B6F">
      <w:pPr>
        <w:rPr>
          <w:rFonts w:cstheme="minorHAnsi"/>
        </w:rPr>
      </w:pPr>
      <w:r w:rsidRPr="005C3B6F">
        <w:rPr>
          <w:rFonts w:cstheme="minorHAnsi"/>
        </w:rPr>
        <w:t xml:space="preserve">Lamentowicz, M., Milecka, K., Galka, M., Cedro, A., Pawlyta, J., Piotrowska, N., Lamentowicz, L. and Van der Knapp, W. (2008). Climate and human induced hydrological change since AD800 in an </w:t>
      </w:r>
      <w:r w:rsidRPr="005C3B6F">
        <w:rPr>
          <w:rFonts w:cstheme="minorHAnsi"/>
        </w:rPr>
        <w:lastRenderedPageBreak/>
        <w:t>ombrotrophic mire in Pomerania (N Poland) tracked by testate amoebae, macro-fossils, pollen and tree rings of pine. Boreas, 38, 214-229</w:t>
      </w:r>
    </w:p>
    <w:p w14:paraId="3E9BC0F4" w14:textId="7B8EF949" w:rsidR="00C54D7C" w:rsidRPr="005C3B6F" w:rsidRDefault="00C54D7C" w:rsidP="005C3B6F">
      <w:pPr>
        <w:rPr>
          <w:rFonts w:cstheme="minorHAnsi"/>
        </w:rPr>
      </w:pPr>
      <w:r w:rsidRPr="005C3B6F">
        <w:rPr>
          <w:rFonts w:cstheme="minorHAnsi"/>
        </w:rPr>
        <w:t>Lamentowicz et al., (2020) Testate amoebae taxonomy and trait diversity are coupled along an openness and wetness gradient in pine-dominated Baltic bogs. European Journal of Protistology, doi.org/10.1016/j.ejop.2020.12567</w:t>
      </w:r>
    </w:p>
    <w:p w14:paraId="784627C7" w14:textId="2F23BD7E" w:rsidR="00C54D7C" w:rsidRPr="005C3B6F" w:rsidRDefault="00C54D7C" w:rsidP="005C3B6F">
      <w:pPr>
        <w:rPr>
          <w:rFonts w:cstheme="minorHAnsi"/>
        </w:rPr>
      </w:pPr>
      <w:r w:rsidRPr="005C3B6F">
        <w:rPr>
          <w:rFonts w:cstheme="minorHAnsi"/>
        </w:rPr>
        <w:t>Lara, E. and Gomaa, F. (2017) Symbiosis between Testate amoebae and Photosynthetic Organisms. In M. Grube, J. Seckbach, &amp; L. Muggia (Eds.) Algal and Cyanobacteria Symbioses. London, UK, 399-419.</w:t>
      </w:r>
    </w:p>
    <w:p w14:paraId="36710703" w14:textId="371C26B9" w:rsidR="00C54D7C" w:rsidRPr="005C3B6F" w:rsidRDefault="00C54D7C" w:rsidP="005C3B6F">
      <w:pPr>
        <w:rPr>
          <w:rFonts w:cstheme="minorHAnsi"/>
        </w:rPr>
      </w:pPr>
      <w:r w:rsidRPr="005C3B6F">
        <w:rPr>
          <w:rFonts w:cstheme="minorHAnsi"/>
        </w:rPr>
        <w:t>Leah, M.D., Wells, C.E., Huckerby, E. and Stamper, P. (1998) The Wetlands of Shropshire and Staffordshire. Lancashire Imprints, Lancaster</w:t>
      </w:r>
    </w:p>
    <w:p w14:paraId="2926D289" w14:textId="356E5096" w:rsidR="00C54D7C" w:rsidRPr="005C3B6F" w:rsidRDefault="00C54D7C" w:rsidP="005C3B6F">
      <w:pPr>
        <w:rPr>
          <w:rFonts w:cstheme="minorHAnsi"/>
        </w:rPr>
      </w:pPr>
      <w:r w:rsidRPr="005C3B6F">
        <w:rPr>
          <w:rFonts w:cstheme="minorHAnsi"/>
        </w:rPr>
        <w:t>Legendre, P. and Gallagher, E.D. (2001). Ecologically meaningful transformations for ordination of species data. Oecologia, 129, 271-280</w:t>
      </w:r>
    </w:p>
    <w:p w14:paraId="72000EF8" w14:textId="77777777" w:rsidR="00293CBE" w:rsidRPr="005C3B6F" w:rsidRDefault="00C54D7C" w:rsidP="005C3B6F">
      <w:pPr>
        <w:rPr>
          <w:rFonts w:cstheme="minorHAnsi"/>
        </w:rPr>
      </w:pPr>
      <w:proofErr w:type="spellStart"/>
      <w:r w:rsidRPr="005C3B6F">
        <w:rPr>
          <w:rFonts w:cstheme="minorHAnsi"/>
        </w:rPr>
        <w:t>Leifeld</w:t>
      </w:r>
      <w:proofErr w:type="spellEnd"/>
      <w:r w:rsidRPr="005C3B6F">
        <w:rPr>
          <w:rFonts w:cstheme="minorHAnsi"/>
        </w:rPr>
        <w:t>, J., Wüst-Galley, C. and Page, S., 2019. Intact and managed peatland soils as a source and sink of GHGs from 1850 to 2100. Nature Climate Change, 9(12), pp.945-947.</w:t>
      </w:r>
    </w:p>
    <w:p w14:paraId="0F83049E" w14:textId="10143348" w:rsidR="00C54D7C" w:rsidRPr="005C3B6F" w:rsidRDefault="00C54D7C" w:rsidP="005C3B6F">
      <w:pPr>
        <w:rPr>
          <w:rFonts w:cstheme="minorHAnsi"/>
        </w:rPr>
      </w:pPr>
      <w:r w:rsidRPr="005C3B6F">
        <w:rPr>
          <w:rFonts w:cstheme="minorHAnsi"/>
        </w:rPr>
        <w:t>Lenton, T.M. &amp; Huntingford, C. (2003) Global terrestrial carbon storage and uncertainties in its temperature sensitivity examined with a simple model. Global Change Biology, 9, 1333- 1352</w:t>
      </w:r>
      <w:r w:rsidR="00AA3A92" w:rsidRPr="005C3B6F">
        <w:rPr>
          <w:rFonts w:cstheme="minorHAnsi"/>
        </w:rPr>
        <w:t>.</w:t>
      </w:r>
    </w:p>
    <w:p w14:paraId="50C8BB7A" w14:textId="422ECD93" w:rsidR="00AA3A92" w:rsidRPr="005C3B6F" w:rsidRDefault="00AA3A92" w:rsidP="005C3B6F">
      <w:pPr>
        <w:rPr>
          <w:rFonts w:cstheme="minorHAnsi"/>
        </w:rPr>
      </w:pPr>
      <w:r w:rsidRPr="005C3B6F">
        <w:rPr>
          <w:rFonts w:cstheme="minorHAnsi"/>
        </w:rPr>
        <w:t>Li, J., Li, M., Zhao, L., Sun, X., Gao, M., Sheng, L. and Bian, H. (2022). Characteristics of soil carbon emissions and bacterial community composition in peatlands at different stages of vegetation succession. Science of the Total Environment, 839, 156242</w:t>
      </w:r>
    </w:p>
    <w:p w14:paraId="3054D4A7" w14:textId="1BDF2037" w:rsidR="00C54D7C" w:rsidRPr="005C3B6F" w:rsidRDefault="00C54D7C" w:rsidP="005C3B6F">
      <w:pPr>
        <w:rPr>
          <w:rFonts w:eastAsia="Times New Roman" w:cstheme="minorHAnsi"/>
          <w:lang w:eastAsia="en-GB"/>
        </w:rPr>
      </w:pPr>
      <w:r w:rsidRPr="005C3B6F">
        <w:rPr>
          <w:rFonts w:cstheme="minorHAnsi"/>
        </w:rPr>
        <w:t>Liu, H. and Lennartz, B. (2019) Hydraulic properties of peat soils along a bulk density gradient – A meta study. Hydrological Processes, 33, 101-114</w:t>
      </w:r>
    </w:p>
    <w:p w14:paraId="416EC76F" w14:textId="2CD754E4" w:rsidR="00C54D7C" w:rsidRPr="005C3B6F" w:rsidRDefault="00C54D7C" w:rsidP="005C3B6F">
      <w:pPr>
        <w:spacing w:line="276" w:lineRule="auto"/>
        <w:rPr>
          <w:rFonts w:cstheme="minorHAnsi"/>
        </w:rPr>
      </w:pPr>
      <w:r w:rsidRPr="005C3B6F">
        <w:rPr>
          <w:rFonts w:cstheme="minorHAnsi"/>
        </w:rPr>
        <w:t xml:space="preserve">Loisel, J., Gallego-Sala, A. V., Amesbury, M. J., Magnan, G., Anshari, G., Beilman, D. W., Benavides, J. C., Blewett, J., Camill, P., Charman, D. J., Chawchai, S., Hedgpeth, A., Kleinen, T., Korhola, A., Large, D., Mansilla, C. A., Müller, J., van Bellen, S., West, J. B., … Wu, J. (2021). Expert assessment of future vulnerability of the global peatland carbon sink. </w:t>
      </w:r>
      <w:r w:rsidRPr="005C3B6F">
        <w:rPr>
          <w:rFonts w:cstheme="minorHAnsi"/>
          <w:i/>
        </w:rPr>
        <w:t>Nature Climate Change</w:t>
      </w:r>
      <w:r w:rsidRPr="005C3B6F">
        <w:rPr>
          <w:rFonts w:cstheme="minorHAnsi"/>
        </w:rPr>
        <w:t xml:space="preserve">, </w:t>
      </w:r>
      <w:r w:rsidRPr="005C3B6F">
        <w:rPr>
          <w:rFonts w:cstheme="minorHAnsi"/>
          <w:b/>
        </w:rPr>
        <w:t>11</w:t>
      </w:r>
      <w:r w:rsidRPr="005C3B6F">
        <w:rPr>
          <w:rFonts w:cstheme="minorHAnsi"/>
        </w:rPr>
        <w:t>, 70–77. https://doi.org/10.1038/ s41558-020-00944-0</w:t>
      </w:r>
    </w:p>
    <w:p w14:paraId="5BE073C3" w14:textId="7069F4CC" w:rsidR="0064469D" w:rsidRPr="005C3B6F" w:rsidRDefault="00EF77CF" w:rsidP="005C3B6F">
      <w:pPr>
        <w:spacing w:line="276" w:lineRule="auto"/>
        <w:rPr>
          <w:rFonts w:cstheme="minorHAnsi"/>
        </w:rPr>
      </w:pPr>
      <w:r>
        <w:t xml:space="preserve">Łucow, D., </w:t>
      </w:r>
      <w:proofErr w:type="spellStart"/>
      <w:r>
        <w:t>Küttim</w:t>
      </w:r>
      <w:proofErr w:type="spellEnd"/>
      <w:r>
        <w:t xml:space="preserve">, M., </w:t>
      </w:r>
      <w:proofErr w:type="spellStart"/>
      <w:r>
        <w:t>Słowinski</w:t>
      </w:r>
      <w:proofErr w:type="spellEnd"/>
      <w:r>
        <w:t xml:space="preserve">, M., </w:t>
      </w:r>
      <w:proofErr w:type="spellStart"/>
      <w:r>
        <w:t>Kołaczek</w:t>
      </w:r>
      <w:proofErr w:type="spellEnd"/>
      <w:r>
        <w:t xml:space="preserve">, P., </w:t>
      </w:r>
      <w:proofErr w:type="spellStart"/>
      <w:r>
        <w:t>Karpinska-Kołaczek</w:t>
      </w:r>
      <w:proofErr w:type="spellEnd"/>
      <w:r>
        <w:t xml:space="preserve">, M., </w:t>
      </w:r>
      <w:proofErr w:type="spellStart"/>
      <w:r>
        <w:t>Küttim</w:t>
      </w:r>
      <w:proofErr w:type="spellEnd"/>
      <w:r>
        <w:t xml:space="preserve">, L., </w:t>
      </w:r>
      <w:proofErr w:type="spellStart"/>
      <w:r>
        <w:t>Salme</w:t>
      </w:r>
      <w:proofErr w:type="spellEnd"/>
      <w:r>
        <w:t xml:space="preserve">, M. and Lamentowicz, M. (2022) Searching for an ecological baseline: Long-term ecology of a post-extraction restored bog in Northern Estonia. </w:t>
      </w:r>
      <w:r w:rsidRPr="005C3B6F">
        <w:rPr>
          <w:i/>
        </w:rPr>
        <w:t>Quaternary International</w:t>
      </w:r>
      <w:r>
        <w:t>, 607, 65-78</w:t>
      </w:r>
    </w:p>
    <w:p w14:paraId="51E5D313" w14:textId="5AA47A42" w:rsidR="00C54D7C" w:rsidRPr="005C3B6F" w:rsidRDefault="00C54D7C" w:rsidP="005C3B6F">
      <w:pPr>
        <w:rPr>
          <w:rFonts w:cstheme="minorHAnsi"/>
        </w:rPr>
      </w:pPr>
      <w:r w:rsidRPr="005C3B6F">
        <w:rPr>
          <w:rFonts w:cstheme="minorHAnsi"/>
        </w:rPr>
        <w:t>Marcisz, K., Lamentowicz, L., Słowińska, S., Słowiński, M., Muszak, W. and Lamentowicz, M. (2014). Seasonal changes in Sphagnum peatland testate amoeba communities along a hydrological gradient. European Journal of Protistology, 50, 445-455.</w:t>
      </w:r>
    </w:p>
    <w:p w14:paraId="19FFE4B6" w14:textId="4A215257" w:rsidR="00E8126E" w:rsidRPr="005C3B6F" w:rsidRDefault="00E8126E" w:rsidP="005C3B6F">
      <w:pPr>
        <w:rPr>
          <w:rFonts w:cstheme="minorHAnsi"/>
        </w:rPr>
      </w:pPr>
      <w:r w:rsidRPr="005C3B6F">
        <w:rPr>
          <w:rFonts w:cstheme="minorHAnsi"/>
        </w:rPr>
        <w:t>Marcisz, K., Jassey, V.E.J., Kosakyan, A., Krashevska, V., Lahr, D.J.G., Lara, E., Lamentowicz, Ł., Lamentowicz, M., Macumber, A., Mazei, Y., Mitchell, E.A.D., Nasser, N.A., Patterson, R.T., Roe, H.M., Singer, D., Tsyganov, A.N. and Fournier, B. (2020) Testate amoeba functional traits and their use in paleoecology. Front Ecol Evo 8:575966</w:t>
      </w:r>
    </w:p>
    <w:p w14:paraId="2F59B378" w14:textId="64C2644A" w:rsidR="00C54D7C" w:rsidRPr="005C3B6F" w:rsidRDefault="00C54D7C" w:rsidP="005C3B6F">
      <w:pPr>
        <w:rPr>
          <w:rFonts w:cstheme="minorHAnsi"/>
        </w:rPr>
      </w:pPr>
      <w:r w:rsidRPr="005C3B6F">
        <w:rPr>
          <w:rFonts w:cstheme="minorHAnsi"/>
        </w:rPr>
        <w:t>Mazei, Y.A. &amp; Tsyganov, A.N. (2006). Freshwater Testate Amoebae. KMK Publisher, Moscow [in Russian]</w:t>
      </w:r>
    </w:p>
    <w:p w14:paraId="783391A7" w14:textId="5B6C0696" w:rsidR="00C54D7C" w:rsidRPr="005C3B6F" w:rsidRDefault="00C54D7C" w:rsidP="005C3B6F">
      <w:pPr>
        <w:tabs>
          <w:tab w:val="left" w:pos="2190"/>
        </w:tabs>
        <w:rPr>
          <w:rFonts w:cstheme="minorHAnsi"/>
        </w:rPr>
      </w:pPr>
      <w:r w:rsidRPr="005C3B6F">
        <w:rPr>
          <w:rFonts w:cstheme="minorHAnsi"/>
        </w:rPr>
        <w:lastRenderedPageBreak/>
        <w:t>Mitchell EAD, Gilbert D, Buttler A, Amblard C, Grosvernier P, Gobat JM (2003) Structure of microbial communities in Sphagnum peatlands and effect of atmospheric carbon dioxide enrichment. Microbial Ecology, 46, 187-199.</w:t>
      </w:r>
    </w:p>
    <w:p w14:paraId="6D67BD02" w14:textId="7C21CEB4" w:rsidR="00C54D7C" w:rsidRPr="005C3B6F" w:rsidRDefault="00C54D7C" w:rsidP="005C3B6F">
      <w:pPr>
        <w:tabs>
          <w:tab w:val="left" w:pos="2190"/>
        </w:tabs>
        <w:rPr>
          <w:rFonts w:cstheme="minorHAnsi"/>
        </w:rPr>
      </w:pPr>
      <w:r w:rsidRPr="005C3B6F">
        <w:rPr>
          <w:rFonts w:cstheme="minorHAnsi"/>
        </w:rPr>
        <w:t>Mitchell, E.A.D. and Gilbert, D. (2004). Vertical Micro-Distribution and Response to Nitrogen Deposition of Testate amoebae in Sphagnum. Journal of Eukaryotic Microbiology, 51, 480-490.</w:t>
      </w:r>
    </w:p>
    <w:p w14:paraId="67FEC091" w14:textId="69FE2DB3" w:rsidR="00C54D7C" w:rsidRPr="005C3B6F" w:rsidRDefault="00C54D7C" w:rsidP="005C3B6F">
      <w:pPr>
        <w:spacing w:line="276" w:lineRule="auto"/>
        <w:rPr>
          <w:rFonts w:cstheme="minorHAnsi"/>
          <w:b/>
          <w:bCs/>
        </w:rPr>
      </w:pPr>
      <w:r w:rsidRPr="005C3B6F">
        <w:rPr>
          <w:rFonts w:cstheme="minorHAnsi"/>
        </w:rPr>
        <w:t>Moore, P.D. and Bellamy, D.J. (1974) Peatlands. Elek Science, London.</w:t>
      </w:r>
    </w:p>
    <w:p w14:paraId="3F32E55A" w14:textId="0FA17DAC" w:rsidR="00FE7BE1" w:rsidRPr="005C3B6F" w:rsidRDefault="00FE7BE1" w:rsidP="005C3B6F">
      <w:pPr>
        <w:tabs>
          <w:tab w:val="left" w:pos="2190"/>
        </w:tabs>
        <w:rPr>
          <w:rFonts w:cstheme="minorHAnsi"/>
          <w:bCs/>
        </w:rPr>
      </w:pPr>
      <w:r w:rsidRPr="005C3B6F">
        <w:rPr>
          <w:rFonts w:cstheme="minorHAnsi"/>
          <w:bCs/>
        </w:rPr>
        <w:t>Moore, P.D. (1987) Ecological and hydrological aspects of peat formation. Geological Society, London, Special Publications, 32(1), 7–15.</w:t>
      </w:r>
    </w:p>
    <w:p w14:paraId="39B0489D" w14:textId="4C297903" w:rsidR="00C54D7C" w:rsidRPr="005C3B6F" w:rsidRDefault="00C54D7C" w:rsidP="005C3B6F">
      <w:pPr>
        <w:tabs>
          <w:tab w:val="left" w:pos="2190"/>
        </w:tabs>
        <w:rPr>
          <w:rFonts w:eastAsia="SimSun" w:cstheme="minorHAnsi"/>
        </w:rPr>
      </w:pPr>
      <w:r w:rsidRPr="005C3B6F">
        <w:rPr>
          <w:rFonts w:cstheme="minorHAnsi"/>
        </w:rPr>
        <w:t>Ogden, C.G. and Headley, R.H. (1980). An atlas of freshwater testate amoebae. Oxford University Press, Oxford.</w:t>
      </w:r>
    </w:p>
    <w:p w14:paraId="3ADE7625" w14:textId="2F52D665" w:rsidR="00C54D7C" w:rsidRPr="005C3B6F" w:rsidRDefault="00C54D7C" w:rsidP="005C3B6F">
      <w:pPr>
        <w:tabs>
          <w:tab w:val="left" w:pos="2190"/>
        </w:tabs>
        <w:rPr>
          <w:rFonts w:cstheme="minorHAnsi"/>
        </w:rPr>
      </w:pPr>
      <w:r w:rsidRPr="005C3B6F">
        <w:rPr>
          <w:rFonts w:cstheme="minorHAnsi"/>
        </w:rPr>
        <w:t>Payne, R.J. and Mitchell, E.A.D. (2009). How many is enough? Determining optimal count totals for ecological and palaeoecological studies of testate amoebae. Journal of Palaeolimnology. 42, 483-4</w:t>
      </w:r>
    </w:p>
    <w:p w14:paraId="03672B62" w14:textId="39F15B75" w:rsidR="00C54D7C" w:rsidRPr="005C3B6F" w:rsidRDefault="00C54D7C" w:rsidP="005C3B6F">
      <w:pPr>
        <w:tabs>
          <w:tab w:val="left" w:pos="2190"/>
        </w:tabs>
        <w:rPr>
          <w:rFonts w:eastAsia="SimSun" w:cstheme="minorHAnsi"/>
        </w:rPr>
      </w:pPr>
      <w:r w:rsidRPr="005C3B6F">
        <w:rPr>
          <w:rFonts w:cstheme="minorHAnsi"/>
        </w:rPr>
        <w:t>Payne, R.J. (2013). Seven reasons why protists make useful bioindicators. Acta Protozoologica, 52, 105-113.</w:t>
      </w:r>
    </w:p>
    <w:p w14:paraId="27F7FC16" w14:textId="1ECFC4A1" w:rsidR="00C54D7C" w:rsidRPr="005C3B6F" w:rsidRDefault="00C54D7C" w:rsidP="005C3B6F">
      <w:pPr>
        <w:rPr>
          <w:rFonts w:cstheme="minorHAnsi"/>
        </w:rPr>
      </w:pPr>
      <w:r w:rsidRPr="005C3B6F">
        <w:rPr>
          <w:rFonts w:cstheme="minorHAnsi"/>
        </w:rPr>
        <w:t>Payne, R.J., Creevy, A., Malysheva, E., Ratcliffe, J., Andersen, R., Tsyganov, A.N., Rowson, J.G., Marcisz, K., Zielińska, M., Lamentowicz, M., Lapshina, E.D. and Mazei, Y. (2016). Tree encroachment may lead to functionally significant changes in peatland testate amoebae communities. Soil Biology and Biochemistry, 98, 18-21.</w:t>
      </w:r>
    </w:p>
    <w:p w14:paraId="6F8E9548" w14:textId="5343B7ED" w:rsidR="00C54D7C" w:rsidRPr="005C3B6F" w:rsidRDefault="00C54D7C" w:rsidP="005C3B6F">
      <w:pPr>
        <w:rPr>
          <w:rFonts w:cstheme="minorHAnsi"/>
          <w:color w:val="000000"/>
          <w:shd w:val="clear" w:color="auto" w:fill="FFFFFF"/>
        </w:rPr>
      </w:pPr>
      <w:r w:rsidRPr="005C3B6F">
        <w:rPr>
          <w:rFonts w:cstheme="minorHAnsi"/>
        </w:rPr>
        <w:t>Peres-Neto, P.R. et al. (2006) Variation Partitioning of species data matrices: Estimation and comparison of fractions. Ecology, 87, 2614-2625.</w:t>
      </w:r>
    </w:p>
    <w:p w14:paraId="7E47D5D7" w14:textId="128146DF" w:rsidR="00C54D7C" w:rsidRPr="005C3B6F" w:rsidRDefault="00C54D7C" w:rsidP="005C3B6F">
      <w:pPr>
        <w:spacing w:line="276" w:lineRule="auto"/>
        <w:rPr>
          <w:rFonts w:cstheme="minorHAnsi"/>
          <w:bCs/>
        </w:rPr>
      </w:pPr>
      <w:r w:rsidRPr="005C3B6F">
        <w:rPr>
          <w:rFonts w:cstheme="minorHAnsi"/>
          <w:bCs/>
        </w:rPr>
        <w:t xml:space="preserve">Perryman, C.R., McCalley, C.K., Ernakovich, J.G., Lamit, L.J., Shorter, J.H., Lilleskov, E. and Varner, R.K. (2022). </w:t>
      </w:r>
      <w:r w:rsidRPr="005C3B6F">
        <w:rPr>
          <w:rFonts w:cstheme="minorHAnsi"/>
        </w:rPr>
        <w:t>Microtopography Matters: Belowground CH</w:t>
      </w:r>
      <w:r w:rsidRPr="005C3B6F">
        <w:rPr>
          <w:rFonts w:cstheme="minorHAnsi"/>
          <w:vertAlign w:val="subscript"/>
        </w:rPr>
        <w:t>4</w:t>
      </w:r>
      <w:r w:rsidRPr="005C3B6F">
        <w:rPr>
          <w:rFonts w:cstheme="minorHAnsi"/>
        </w:rPr>
        <w:t xml:space="preserve"> Cycling Regulated by Differing Microbial Processes in Peatland Hummocks and Lawns. </w:t>
      </w:r>
      <w:r w:rsidRPr="005C3B6F">
        <w:rPr>
          <w:rFonts w:cstheme="minorHAnsi"/>
          <w:i/>
        </w:rPr>
        <w:t>Journal of Geophysical Research: Biogeosciences</w:t>
      </w:r>
      <w:r w:rsidRPr="005C3B6F">
        <w:rPr>
          <w:rFonts w:cstheme="minorHAnsi"/>
        </w:rPr>
        <w:t xml:space="preserve">, </w:t>
      </w:r>
      <w:r w:rsidRPr="005C3B6F">
        <w:rPr>
          <w:rFonts w:cstheme="minorHAnsi"/>
          <w:b/>
        </w:rPr>
        <w:t>127</w:t>
      </w:r>
      <w:r w:rsidRPr="005C3B6F">
        <w:rPr>
          <w:rFonts w:cstheme="minorHAnsi"/>
        </w:rPr>
        <w:t>, 1-18. https://doi. org/10.1029/2022JG006948</w:t>
      </w:r>
    </w:p>
    <w:p w14:paraId="24E39F61" w14:textId="36136287" w:rsidR="00C54D7C" w:rsidRPr="005C3B6F" w:rsidRDefault="00C54D7C" w:rsidP="005C3B6F">
      <w:pPr>
        <w:rPr>
          <w:rFonts w:cstheme="minorHAnsi"/>
        </w:rPr>
      </w:pPr>
      <w:r w:rsidRPr="005C3B6F">
        <w:rPr>
          <w:rFonts w:cstheme="minorHAnsi"/>
        </w:rPr>
        <w:t>Pickett, S.T.A. (1989) Space-for-Time Substitution as an Alternative to Long-Term Studies. In: Likens GE (ed) Longterm studies in ecology. Springer, New York, pp 110–135.</w:t>
      </w:r>
    </w:p>
    <w:p w14:paraId="4B6612E5" w14:textId="3594CA10" w:rsidR="00C54D7C" w:rsidRPr="005C3B6F" w:rsidRDefault="00C54D7C" w:rsidP="005C3B6F">
      <w:pPr>
        <w:rPr>
          <w:rFonts w:eastAsiaTheme="minorEastAsia" w:cstheme="minorHAnsi"/>
          <w:kern w:val="24"/>
        </w:rPr>
      </w:pPr>
      <w:r w:rsidRPr="005C3B6F">
        <w:rPr>
          <w:rFonts w:cstheme="minorHAnsi"/>
        </w:rPr>
        <w:t>R Core Team (2013). R: A Language and Environment for Statistical Computing. RDevelopment Core Team http://www.r-project.org/. [accessed July 2016]</w:t>
      </w:r>
    </w:p>
    <w:p w14:paraId="25EFC00C" w14:textId="1AF8D601" w:rsidR="00C54D7C" w:rsidRPr="005C3B6F" w:rsidRDefault="00C54D7C" w:rsidP="005C3B6F">
      <w:pPr>
        <w:rPr>
          <w:rFonts w:cstheme="minorHAnsi"/>
        </w:rPr>
      </w:pPr>
      <w:r w:rsidRPr="005C3B6F">
        <w:rPr>
          <w:rFonts w:cstheme="minorHAnsi"/>
        </w:rPr>
        <w:t>Roberts, D.W. (2010). labdsv: Ordination and Multivariate Analysis for Ecology.</w:t>
      </w:r>
    </w:p>
    <w:p w14:paraId="639C6C46" w14:textId="3E7735F4" w:rsidR="00FE7BE1" w:rsidRPr="005C3B6F" w:rsidRDefault="00FE7BE1" w:rsidP="005C3B6F">
      <w:pPr>
        <w:rPr>
          <w:rFonts w:cstheme="minorHAnsi"/>
        </w:rPr>
      </w:pPr>
      <w:r w:rsidRPr="005C3B6F">
        <w:rPr>
          <w:rFonts w:cstheme="minorHAnsi"/>
        </w:rPr>
        <w:t>Rochefort, L., Isselin-Nondedeu, F., Boudreau, S., Poulin, M., 2013. Comparing survey methods for monitoring vegetation change through time in a restored peatland. Wetlands Ecol. Manage 21, 71–85</w:t>
      </w:r>
    </w:p>
    <w:p w14:paraId="23176616" w14:textId="18D62137" w:rsidR="00C54D7C" w:rsidRPr="005C3B6F" w:rsidRDefault="00C54D7C" w:rsidP="005C3B6F">
      <w:pPr>
        <w:rPr>
          <w:rFonts w:cstheme="minorHAnsi"/>
        </w:rPr>
      </w:pPr>
      <w:r w:rsidRPr="005C3B6F">
        <w:rPr>
          <w:rFonts w:cstheme="minorHAnsi"/>
        </w:rPr>
        <w:t>Schönborn, W. (1965). Untersuchungen über die Zoochlorellen- Symbiose der HochmoorTestaceen. Limnologica, 3, 173–176.</w:t>
      </w:r>
    </w:p>
    <w:p w14:paraId="69C4EDDB" w14:textId="2A6F0CDB" w:rsidR="003015BB" w:rsidRPr="005C3B6F" w:rsidRDefault="003015BB" w:rsidP="005C3B6F">
      <w:pPr>
        <w:rPr>
          <w:rFonts w:cstheme="minorHAnsi"/>
        </w:rPr>
      </w:pPr>
      <w:r>
        <w:t xml:space="preserve">Shepherd, H.E.R., Martin, I., Marin, A., </w:t>
      </w:r>
      <w:proofErr w:type="spellStart"/>
      <w:r>
        <w:t>Cruijsen</w:t>
      </w:r>
      <w:proofErr w:type="spellEnd"/>
      <w:r>
        <w:t xml:space="preserve">, P.M.J.M., </w:t>
      </w:r>
      <w:proofErr w:type="spellStart"/>
      <w:r>
        <w:t>Temmink</w:t>
      </w:r>
      <w:proofErr w:type="spellEnd"/>
      <w:r>
        <w:t xml:space="preserve">, R.J.M., and Robroek, B.J.M. (2023) Post-fire peatland recovery by peat moss inoculation depends on water table depth. Journal of Applied Ecology. </w:t>
      </w:r>
      <w:r w:rsidRPr="003015BB">
        <w:t>doi.org/10.1111/1365-2664.14360</w:t>
      </w:r>
    </w:p>
    <w:p w14:paraId="5031E785" w14:textId="013B687F" w:rsidR="00FE7BE1" w:rsidRPr="005C3B6F" w:rsidRDefault="00FE7BE1" w:rsidP="005C3B6F">
      <w:pPr>
        <w:rPr>
          <w:rFonts w:cstheme="minorHAnsi"/>
        </w:rPr>
      </w:pPr>
      <w:r w:rsidRPr="005C3B6F">
        <w:rPr>
          <w:rFonts w:cstheme="minorHAnsi"/>
        </w:rPr>
        <w:t>Stace, C., 2019. New Flora of the British Isles. C &amp; M Floristics, UK.</w:t>
      </w:r>
    </w:p>
    <w:p w14:paraId="3E38FD79" w14:textId="343721F5" w:rsidR="00C54D7C" w:rsidRPr="005C3B6F" w:rsidRDefault="00C54D7C" w:rsidP="005C3B6F">
      <w:pPr>
        <w:rPr>
          <w:rFonts w:cstheme="minorHAnsi"/>
        </w:rPr>
      </w:pPr>
      <w:r w:rsidRPr="005C3B6F">
        <w:rPr>
          <w:rFonts w:cstheme="minorHAnsi"/>
        </w:rPr>
        <w:lastRenderedPageBreak/>
        <w:t>Swindles, G.T., Green, S.M., Brown, L., Holden, J., Raby, C.L., Turner, T.E., Smart, R., Peacock, M. and Baird, A.J. (2016). Evaluating the use of dominant microbial consumers (testate amoebae) as indicators of blanket peatland restoration. Ecological Indicators, 69, 318- 330.</w:t>
      </w:r>
    </w:p>
    <w:p w14:paraId="2B60D8A9" w14:textId="7E339884" w:rsidR="00C54D7C" w:rsidRPr="005C3B6F" w:rsidRDefault="00C54D7C" w:rsidP="005C3B6F">
      <w:pPr>
        <w:rPr>
          <w:rFonts w:cstheme="minorHAnsi"/>
        </w:rPr>
      </w:pPr>
      <w:r w:rsidRPr="005C3B6F">
        <w:rPr>
          <w:rFonts w:cstheme="minorHAnsi"/>
        </w:rPr>
        <w:t>Valentine, J., Davis, S.R., Kirby, J.R. and Wilkinson, D.M. (2012). The use of Testate amoebae in Monitoring peatland restoration management: Case studies from North-West England and Ireland. Acta Protozoologica, 52, 129-145.</w:t>
      </w:r>
    </w:p>
    <w:p w14:paraId="5577CAC2" w14:textId="2241D217" w:rsidR="00C54D7C" w:rsidRPr="005C3B6F" w:rsidRDefault="00C54D7C" w:rsidP="005C3B6F">
      <w:pPr>
        <w:rPr>
          <w:rFonts w:cstheme="minorHAnsi"/>
        </w:rPr>
      </w:pPr>
      <w:r w:rsidRPr="005C3B6F">
        <w:rPr>
          <w:rFonts w:cstheme="minorHAnsi"/>
        </w:rPr>
        <w:t xml:space="preserve">Wilkinson, D.M. and Mitchell, E.A.D. (2010). Testate amoebae and Nutrient Cycling with Particular Reference to Soils. Geomicrobiology, 27, 520-533. </w:t>
      </w:r>
    </w:p>
    <w:p w14:paraId="6FAA52BC" w14:textId="2BDC9584" w:rsidR="00C54D7C" w:rsidRPr="005C3B6F" w:rsidRDefault="00C54D7C" w:rsidP="005C3B6F">
      <w:pPr>
        <w:rPr>
          <w:rFonts w:cstheme="minorHAnsi"/>
        </w:rPr>
      </w:pPr>
      <w:r w:rsidRPr="005C3B6F">
        <w:rPr>
          <w:rFonts w:cstheme="minorHAnsi"/>
        </w:rPr>
        <w:t>Wilkinson, D.M., Creevy, A.L. &amp; Valentine, J. (2012) The past, present and future of soil protist ecology. Acta Protozoologica, 51, 189-199</w:t>
      </w:r>
    </w:p>
    <w:p w14:paraId="7434E377" w14:textId="162BE26D" w:rsidR="00C54D7C" w:rsidRPr="005C3B6F" w:rsidRDefault="00C54D7C" w:rsidP="005C3B6F">
      <w:pPr>
        <w:rPr>
          <w:rFonts w:cstheme="minorHAnsi"/>
        </w:rPr>
      </w:pPr>
      <w:r w:rsidRPr="005C3B6F">
        <w:rPr>
          <w:rFonts w:cstheme="minorHAnsi"/>
        </w:rPr>
        <w:t xml:space="preserve">Wilkinson </w:t>
      </w:r>
      <w:r w:rsidR="00EF5BFD" w:rsidRPr="005C3B6F">
        <w:rPr>
          <w:rFonts w:cstheme="minorHAnsi"/>
        </w:rPr>
        <w:t>(</w:t>
      </w:r>
      <w:r w:rsidRPr="005C3B6F">
        <w:rPr>
          <w:rFonts w:cstheme="minorHAnsi"/>
        </w:rPr>
        <w:t>2022</w:t>
      </w:r>
      <w:r w:rsidR="00EF5BFD" w:rsidRPr="005C3B6F">
        <w:rPr>
          <w:rFonts w:cstheme="minorHAnsi"/>
        </w:rPr>
        <w:t>) Testate amoebae – a beginner’s guide to a fascinating microworld. British Wildlife 34, 96-104.</w:t>
      </w:r>
    </w:p>
    <w:p w14:paraId="2C073F19" w14:textId="666D0425" w:rsidR="00C54D7C" w:rsidRPr="005C3B6F" w:rsidRDefault="00C54D7C" w:rsidP="005C3B6F">
      <w:pPr>
        <w:rPr>
          <w:rFonts w:cstheme="minorHAnsi"/>
        </w:rPr>
      </w:pPr>
      <w:r w:rsidRPr="005C3B6F">
        <w:rPr>
          <w:rFonts w:cstheme="minorHAnsi"/>
        </w:rPr>
        <w:t>Yu, Z., Loisel, J., Brosseau, D.P., Beilman, D.W. and Hunt, S.J. (2010) ‘Global peatland dynamics since the Last Glacial Maximum’, Geophysical Research Letters, 37(13), pp. 1–5. doi: 10.1029/2010GL043584.</w:t>
      </w:r>
    </w:p>
    <w:p w14:paraId="7BB3A0EA" w14:textId="5A5742D6" w:rsidR="00C54D7C" w:rsidRPr="00293CBE" w:rsidRDefault="00017930" w:rsidP="00261F11">
      <w:pPr>
        <w:spacing w:line="276" w:lineRule="auto"/>
        <w:rPr>
          <w:rFonts w:cstheme="minorHAnsi"/>
          <w:b/>
          <w:bCs/>
          <w:sz w:val="24"/>
          <w:szCs w:val="24"/>
        </w:rPr>
      </w:pPr>
      <w:r w:rsidRPr="00293CBE">
        <w:rPr>
          <w:rFonts w:cstheme="minorHAnsi"/>
          <w:b/>
          <w:bCs/>
          <w:sz w:val="24"/>
          <w:szCs w:val="24"/>
        </w:rPr>
        <w:t>Statements and Declarations</w:t>
      </w:r>
    </w:p>
    <w:p w14:paraId="00A44721" w14:textId="7A994F35" w:rsidR="005C3B6F" w:rsidRPr="00293CBE" w:rsidRDefault="005C3B6F" w:rsidP="00261F11">
      <w:pPr>
        <w:spacing w:line="276" w:lineRule="auto"/>
        <w:rPr>
          <w:rFonts w:cstheme="minorHAnsi"/>
          <w:bCs/>
        </w:rPr>
      </w:pPr>
      <w:r w:rsidRPr="00293CBE">
        <w:rPr>
          <w:rFonts w:cstheme="minorHAnsi"/>
          <w:bCs/>
        </w:rPr>
        <w:t xml:space="preserve">This work was funded by a Graduate Teaching/PhD Scholarship </w:t>
      </w:r>
      <w:r>
        <w:rPr>
          <w:rFonts w:cstheme="minorHAnsi"/>
          <w:bCs/>
        </w:rPr>
        <w:t xml:space="preserve">to A.L.C from </w:t>
      </w:r>
      <w:r w:rsidRPr="00293CBE">
        <w:rPr>
          <w:rFonts w:cstheme="minorHAnsi"/>
          <w:bCs/>
        </w:rPr>
        <w:t>Edge Hill University, UK.</w:t>
      </w:r>
    </w:p>
    <w:p w14:paraId="28DBA355" w14:textId="30381A01" w:rsidR="00934713" w:rsidRPr="00293CBE" w:rsidRDefault="00934713" w:rsidP="00261F11">
      <w:pPr>
        <w:spacing w:line="276" w:lineRule="auto"/>
        <w:rPr>
          <w:rFonts w:cstheme="minorHAnsi"/>
          <w:bCs/>
        </w:rPr>
      </w:pPr>
      <w:r w:rsidRPr="00293CBE">
        <w:rPr>
          <w:rFonts w:cstheme="minorHAnsi"/>
          <w:bCs/>
        </w:rPr>
        <w:t xml:space="preserve">The authors have no relevant financial or non-financial interests to disclose. </w:t>
      </w:r>
      <w:r w:rsidR="00017930" w:rsidRPr="00293CBE">
        <w:rPr>
          <w:rFonts w:cstheme="minorHAnsi"/>
          <w:bCs/>
        </w:rPr>
        <w:t xml:space="preserve"> </w:t>
      </w:r>
    </w:p>
    <w:p w14:paraId="6ED9E445" w14:textId="1AC74891" w:rsidR="00934713" w:rsidRPr="00293CBE" w:rsidRDefault="00020753" w:rsidP="00261F11">
      <w:pPr>
        <w:spacing w:line="276" w:lineRule="auto"/>
        <w:rPr>
          <w:rFonts w:cstheme="minorHAnsi"/>
          <w:bCs/>
        </w:rPr>
      </w:pPr>
      <w:bookmarkStart w:id="58" w:name="_GoBack"/>
      <w:r w:rsidRPr="00293CBE">
        <w:rPr>
          <w:rFonts w:cstheme="minorHAnsi"/>
          <w:bCs/>
        </w:rPr>
        <w:t xml:space="preserve">All authors contributed to the study conception and design. </w:t>
      </w:r>
      <w:r w:rsidR="00934713" w:rsidRPr="00293CBE">
        <w:rPr>
          <w:rFonts w:cstheme="minorHAnsi"/>
          <w:bCs/>
        </w:rPr>
        <w:t xml:space="preserve">AC </w:t>
      </w:r>
      <w:r w:rsidRPr="00293CBE">
        <w:rPr>
          <w:rFonts w:cstheme="minorHAnsi"/>
          <w:bCs/>
        </w:rPr>
        <w:t xml:space="preserve">and RP </w:t>
      </w:r>
      <w:r w:rsidR="00934713" w:rsidRPr="00293CBE">
        <w:rPr>
          <w:rFonts w:cstheme="minorHAnsi"/>
          <w:bCs/>
        </w:rPr>
        <w:t xml:space="preserve">carried out the fieldwork and </w:t>
      </w:r>
      <w:r w:rsidRPr="00293CBE">
        <w:rPr>
          <w:rFonts w:cstheme="minorHAnsi"/>
          <w:bCs/>
        </w:rPr>
        <w:t xml:space="preserve">AC carried out the laboratory work and data collection. AC and RA analysed the data. The first draft of the manuscript was written by AC. RA and DW commented on previous versions of the manuscript. All authors (except the late RP) read and approved the final manuscript. </w:t>
      </w:r>
    </w:p>
    <w:bookmarkEnd w:id="58"/>
    <w:p w14:paraId="75CFAD77" w14:textId="16B279D5" w:rsidR="00020753" w:rsidRPr="00293CBE" w:rsidRDefault="00020753" w:rsidP="00261F11">
      <w:pPr>
        <w:spacing w:line="276" w:lineRule="auto"/>
        <w:rPr>
          <w:rFonts w:cstheme="minorHAnsi"/>
          <w:bCs/>
        </w:rPr>
      </w:pPr>
      <w:r w:rsidRPr="00293CBE">
        <w:rPr>
          <w:rFonts w:cstheme="minorHAnsi"/>
          <w:bCs/>
        </w:rPr>
        <w:t xml:space="preserve">The datasets generated during and/or analysed during the current study are available from the corresponding author on reasonable request. </w:t>
      </w:r>
    </w:p>
    <w:p w14:paraId="55360127" w14:textId="6627C1CC" w:rsidR="00A90598" w:rsidRPr="00293CBE" w:rsidRDefault="00020753" w:rsidP="00261F11">
      <w:pPr>
        <w:spacing w:line="276" w:lineRule="auto"/>
        <w:rPr>
          <w:rFonts w:cstheme="minorHAnsi"/>
          <w:bCs/>
        </w:rPr>
      </w:pPr>
      <w:r w:rsidRPr="00293CBE">
        <w:rPr>
          <w:rFonts w:cstheme="minorHAnsi"/>
          <w:bCs/>
        </w:rPr>
        <w:t xml:space="preserve">Edge Hill University confirmed that no ethical approval is required. </w:t>
      </w:r>
    </w:p>
    <w:p w14:paraId="1E428B6C" w14:textId="54616500" w:rsidR="00A90598" w:rsidRDefault="00A90598" w:rsidP="00261F11">
      <w:pPr>
        <w:spacing w:line="276" w:lineRule="auto"/>
        <w:rPr>
          <w:rFonts w:ascii="Times New Roman" w:hAnsi="Times New Roman" w:cs="Times New Roman"/>
          <w:bCs/>
        </w:rPr>
      </w:pPr>
    </w:p>
    <w:p w14:paraId="376CA5AA" w14:textId="16F7B24C" w:rsidR="00A90598" w:rsidRDefault="00A90598" w:rsidP="00261F11">
      <w:pPr>
        <w:spacing w:line="276" w:lineRule="auto"/>
        <w:rPr>
          <w:rFonts w:ascii="Times New Roman" w:hAnsi="Times New Roman" w:cs="Times New Roman"/>
          <w:bCs/>
        </w:rPr>
      </w:pPr>
    </w:p>
    <w:p w14:paraId="2CA04384" w14:textId="57AB7B24" w:rsidR="00A90598" w:rsidRDefault="00A90598" w:rsidP="00261F11">
      <w:pPr>
        <w:spacing w:line="276" w:lineRule="auto"/>
        <w:rPr>
          <w:rFonts w:ascii="Times New Roman" w:hAnsi="Times New Roman" w:cs="Times New Roman"/>
          <w:bCs/>
        </w:rPr>
      </w:pPr>
    </w:p>
    <w:p w14:paraId="60D2A708" w14:textId="77777777" w:rsidR="00A90598" w:rsidRDefault="00A90598" w:rsidP="00261F11">
      <w:pPr>
        <w:spacing w:line="276" w:lineRule="auto"/>
        <w:rPr>
          <w:rFonts w:ascii="Times New Roman" w:hAnsi="Times New Roman" w:cs="Times New Roman"/>
          <w:bCs/>
        </w:rPr>
        <w:sectPr w:rsidR="00A90598" w:rsidSect="00934713">
          <w:pgSz w:w="11906" w:h="16838"/>
          <w:pgMar w:top="1440" w:right="1440" w:bottom="1440" w:left="1440" w:header="708" w:footer="708" w:gutter="0"/>
          <w:lnNumType w:countBy="1" w:restart="continuous"/>
          <w:cols w:space="708"/>
          <w:docGrid w:linePitch="360"/>
        </w:sectPr>
      </w:pPr>
    </w:p>
    <w:tbl>
      <w:tblPr>
        <w:tblW w:w="12286" w:type="dxa"/>
        <w:tblLook w:val="04A0" w:firstRow="1" w:lastRow="0" w:firstColumn="1" w:lastColumn="0" w:noHBand="0" w:noVBand="1"/>
      </w:tblPr>
      <w:tblGrid>
        <w:gridCol w:w="1185"/>
        <w:gridCol w:w="436"/>
        <w:gridCol w:w="647"/>
        <w:gridCol w:w="360"/>
        <w:gridCol w:w="825"/>
        <w:gridCol w:w="751"/>
        <w:gridCol w:w="1517"/>
        <w:gridCol w:w="1152"/>
        <w:gridCol w:w="1116"/>
        <w:gridCol w:w="401"/>
        <w:gridCol w:w="2275"/>
        <w:gridCol w:w="1621"/>
      </w:tblGrid>
      <w:tr w:rsidR="004C75D3" w:rsidRPr="00F6409D" w14:paraId="321979F5" w14:textId="77777777" w:rsidTr="004C75D3">
        <w:trPr>
          <w:gridAfter w:val="3"/>
          <w:wAfter w:w="4297" w:type="dxa"/>
          <w:trHeight w:val="300"/>
        </w:trPr>
        <w:tc>
          <w:tcPr>
            <w:tcW w:w="3453" w:type="dxa"/>
            <w:gridSpan w:val="5"/>
            <w:tcBorders>
              <w:top w:val="nil"/>
              <w:left w:val="nil"/>
              <w:bottom w:val="nil"/>
              <w:right w:val="nil"/>
            </w:tcBorders>
            <w:shd w:val="clear" w:color="auto" w:fill="auto"/>
            <w:noWrap/>
            <w:vAlign w:val="bottom"/>
          </w:tcPr>
          <w:p w14:paraId="29328758" w14:textId="77777777" w:rsidR="004C75D3" w:rsidRPr="00F6409D" w:rsidRDefault="004C75D3" w:rsidP="00A90598">
            <w:pPr>
              <w:spacing w:after="0" w:line="240" w:lineRule="auto"/>
              <w:rPr>
                <w:rFonts w:ascii="Calibri" w:eastAsia="Times New Roman" w:hAnsi="Calibri" w:cs="Calibri"/>
                <w:b/>
                <w:bCs/>
                <w:color w:val="000000"/>
                <w:lang w:eastAsia="en-GB"/>
              </w:rPr>
            </w:pPr>
          </w:p>
        </w:tc>
        <w:tc>
          <w:tcPr>
            <w:tcW w:w="2268" w:type="dxa"/>
            <w:gridSpan w:val="2"/>
            <w:tcBorders>
              <w:top w:val="nil"/>
              <w:left w:val="nil"/>
              <w:bottom w:val="nil"/>
              <w:right w:val="nil"/>
            </w:tcBorders>
            <w:shd w:val="clear" w:color="auto" w:fill="auto"/>
            <w:noWrap/>
            <w:vAlign w:val="bottom"/>
          </w:tcPr>
          <w:p w14:paraId="127F01EE" w14:textId="77777777" w:rsidR="004C75D3" w:rsidRPr="00F6409D" w:rsidRDefault="004C75D3" w:rsidP="00A90598">
            <w:pPr>
              <w:spacing w:after="0" w:line="240" w:lineRule="auto"/>
              <w:jc w:val="center"/>
              <w:rPr>
                <w:rFonts w:ascii="Times New Roman" w:eastAsia="Times New Roman" w:hAnsi="Times New Roman" w:cs="Times New Roman"/>
                <w:sz w:val="20"/>
                <w:szCs w:val="20"/>
                <w:lang w:eastAsia="en-GB"/>
              </w:rPr>
            </w:pPr>
          </w:p>
        </w:tc>
        <w:tc>
          <w:tcPr>
            <w:tcW w:w="2268" w:type="dxa"/>
            <w:gridSpan w:val="2"/>
            <w:tcBorders>
              <w:top w:val="nil"/>
              <w:left w:val="nil"/>
              <w:bottom w:val="nil"/>
              <w:right w:val="nil"/>
            </w:tcBorders>
            <w:shd w:val="clear" w:color="auto" w:fill="auto"/>
            <w:noWrap/>
            <w:vAlign w:val="bottom"/>
          </w:tcPr>
          <w:p w14:paraId="2D79BB76" w14:textId="77777777" w:rsidR="004C75D3" w:rsidRPr="00F6409D" w:rsidRDefault="004C75D3" w:rsidP="00A90598">
            <w:pPr>
              <w:spacing w:after="0" w:line="240" w:lineRule="auto"/>
              <w:jc w:val="center"/>
              <w:rPr>
                <w:rFonts w:ascii="Times New Roman" w:eastAsia="Times New Roman" w:hAnsi="Times New Roman" w:cs="Times New Roman"/>
                <w:sz w:val="20"/>
                <w:szCs w:val="20"/>
                <w:lang w:eastAsia="en-GB"/>
              </w:rPr>
            </w:pPr>
          </w:p>
        </w:tc>
      </w:tr>
      <w:tr w:rsidR="004C75D3" w14:paraId="2907CD49" w14:textId="77777777" w:rsidTr="004C75D3">
        <w:trPr>
          <w:gridAfter w:val="10"/>
          <w:wAfter w:w="10665" w:type="dxa"/>
          <w:trHeight w:val="300"/>
        </w:trPr>
        <w:tc>
          <w:tcPr>
            <w:tcW w:w="1621" w:type="dxa"/>
            <w:gridSpan w:val="2"/>
            <w:tcBorders>
              <w:top w:val="nil"/>
              <w:left w:val="nil"/>
              <w:bottom w:val="nil"/>
              <w:right w:val="nil"/>
            </w:tcBorders>
            <w:shd w:val="clear" w:color="auto" w:fill="auto"/>
            <w:noWrap/>
            <w:vAlign w:val="bottom"/>
          </w:tcPr>
          <w:p w14:paraId="2DD394FF" w14:textId="77777777" w:rsidR="004C75D3" w:rsidRDefault="004C75D3">
            <w:pPr>
              <w:rPr>
                <w:rFonts w:ascii="Calibri" w:hAnsi="Calibri" w:cs="Calibri"/>
                <w:color w:val="000000"/>
              </w:rPr>
            </w:pPr>
          </w:p>
        </w:tc>
      </w:tr>
      <w:tr w:rsidR="004C75D3" w14:paraId="62799B54" w14:textId="77777777" w:rsidTr="004C75D3">
        <w:trPr>
          <w:trHeight w:val="300"/>
        </w:trPr>
        <w:tc>
          <w:tcPr>
            <w:tcW w:w="1185" w:type="dxa"/>
            <w:tcBorders>
              <w:top w:val="nil"/>
              <w:left w:val="nil"/>
              <w:bottom w:val="nil"/>
              <w:right w:val="nil"/>
            </w:tcBorders>
            <w:shd w:val="clear" w:color="auto" w:fill="auto"/>
            <w:noWrap/>
            <w:vAlign w:val="bottom"/>
          </w:tcPr>
          <w:p w14:paraId="344DB127" w14:textId="0198C0CA" w:rsidR="004C75D3" w:rsidRDefault="004C75D3">
            <w:pPr>
              <w:rPr>
                <w:rFonts w:ascii="Calibri" w:hAnsi="Calibri" w:cs="Calibri"/>
                <w:color w:val="000000"/>
              </w:rPr>
            </w:pPr>
          </w:p>
        </w:tc>
        <w:tc>
          <w:tcPr>
            <w:tcW w:w="1443" w:type="dxa"/>
            <w:gridSpan w:val="3"/>
            <w:tcBorders>
              <w:top w:val="nil"/>
              <w:left w:val="nil"/>
              <w:bottom w:val="nil"/>
              <w:right w:val="nil"/>
            </w:tcBorders>
            <w:shd w:val="clear" w:color="auto" w:fill="auto"/>
            <w:noWrap/>
            <w:vAlign w:val="bottom"/>
          </w:tcPr>
          <w:p w14:paraId="239204B4" w14:textId="5C28BF73" w:rsidR="004C75D3" w:rsidRDefault="004C75D3">
            <w:pPr>
              <w:rPr>
                <w:rFonts w:ascii="Calibri" w:hAnsi="Calibri" w:cs="Calibri"/>
                <w:color w:val="000000"/>
              </w:rPr>
            </w:pPr>
          </w:p>
        </w:tc>
        <w:tc>
          <w:tcPr>
            <w:tcW w:w="1576" w:type="dxa"/>
            <w:gridSpan w:val="2"/>
            <w:tcBorders>
              <w:top w:val="nil"/>
              <w:left w:val="nil"/>
              <w:bottom w:val="nil"/>
              <w:right w:val="nil"/>
            </w:tcBorders>
            <w:shd w:val="clear" w:color="auto" w:fill="auto"/>
            <w:noWrap/>
            <w:vAlign w:val="bottom"/>
          </w:tcPr>
          <w:p w14:paraId="33CB3792" w14:textId="22459637" w:rsidR="004C75D3" w:rsidRDefault="004C75D3">
            <w:pPr>
              <w:rPr>
                <w:rFonts w:ascii="Calibri" w:hAnsi="Calibri" w:cs="Calibri"/>
                <w:color w:val="000000"/>
              </w:rPr>
            </w:pPr>
          </w:p>
        </w:tc>
        <w:tc>
          <w:tcPr>
            <w:tcW w:w="2669" w:type="dxa"/>
            <w:gridSpan w:val="2"/>
            <w:tcBorders>
              <w:top w:val="nil"/>
              <w:left w:val="nil"/>
              <w:bottom w:val="nil"/>
              <w:right w:val="nil"/>
            </w:tcBorders>
            <w:shd w:val="clear" w:color="auto" w:fill="auto"/>
            <w:noWrap/>
            <w:vAlign w:val="bottom"/>
          </w:tcPr>
          <w:p w14:paraId="161FAF23" w14:textId="62A08F73" w:rsidR="004C75D3" w:rsidRDefault="004C75D3">
            <w:pPr>
              <w:rPr>
                <w:rFonts w:ascii="Calibri" w:hAnsi="Calibri" w:cs="Calibri"/>
                <w:color w:val="000000"/>
              </w:rPr>
            </w:pPr>
          </w:p>
        </w:tc>
        <w:tc>
          <w:tcPr>
            <w:tcW w:w="1517" w:type="dxa"/>
            <w:gridSpan w:val="2"/>
            <w:tcBorders>
              <w:top w:val="nil"/>
              <w:left w:val="nil"/>
              <w:bottom w:val="nil"/>
              <w:right w:val="nil"/>
            </w:tcBorders>
            <w:shd w:val="clear" w:color="auto" w:fill="auto"/>
            <w:noWrap/>
            <w:vAlign w:val="bottom"/>
          </w:tcPr>
          <w:p w14:paraId="588E960C" w14:textId="44553ACE" w:rsidR="004C75D3" w:rsidRDefault="004C75D3">
            <w:pPr>
              <w:rPr>
                <w:rFonts w:ascii="Calibri" w:hAnsi="Calibri" w:cs="Calibri"/>
                <w:color w:val="000000"/>
              </w:rPr>
            </w:pPr>
          </w:p>
        </w:tc>
        <w:tc>
          <w:tcPr>
            <w:tcW w:w="2275" w:type="dxa"/>
            <w:tcBorders>
              <w:top w:val="nil"/>
              <w:left w:val="nil"/>
              <w:bottom w:val="nil"/>
              <w:right w:val="nil"/>
            </w:tcBorders>
            <w:shd w:val="clear" w:color="auto" w:fill="auto"/>
            <w:noWrap/>
            <w:vAlign w:val="bottom"/>
          </w:tcPr>
          <w:p w14:paraId="711F3D5F" w14:textId="278C16D9" w:rsidR="004C75D3" w:rsidRDefault="004C75D3">
            <w:pPr>
              <w:rPr>
                <w:rFonts w:ascii="Calibri" w:hAnsi="Calibri" w:cs="Calibri"/>
                <w:color w:val="000000"/>
              </w:rPr>
            </w:pPr>
          </w:p>
        </w:tc>
        <w:tc>
          <w:tcPr>
            <w:tcW w:w="1621" w:type="dxa"/>
            <w:tcBorders>
              <w:top w:val="nil"/>
              <w:left w:val="nil"/>
              <w:bottom w:val="nil"/>
              <w:right w:val="nil"/>
            </w:tcBorders>
            <w:shd w:val="clear" w:color="auto" w:fill="auto"/>
            <w:noWrap/>
            <w:vAlign w:val="bottom"/>
          </w:tcPr>
          <w:p w14:paraId="56825EBF" w14:textId="75004CB8" w:rsidR="004C75D3" w:rsidRDefault="004C75D3">
            <w:pPr>
              <w:rPr>
                <w:rFonts w:ascii="Calibri" w:hAnsi="Calibri" w:cs="Calibri"/>
                <w:color w:val="000000"/>
              </w:rPr>
            </w:pPr>
          </w:p>
        </w:tc>
      </w:tr>
      <w:tr w:rsidR="004C75D3" w:rsidRPr="00F6409D" w14:paraId="40DA8AC4" w14:textId="77777777" w:rsidTr="004C75D3">
        <w:trPr>
          <w:gridAfter w:val="3"/>
          <w:wAfter w:w="4297" w:type="dxa"/>
          <w:trHeight w:val="80"/>
        </w:trPr>
        <w:tc>
          <w:tcPr>
            <w:tcW w:w="3453" w:type="dxa"/>
            <w:gridSpan w:val="5"/>
            <w:tcBorders>
              <w:top w:val="nil"/>
              <w:left w:val="nil"/>
              <w:bottom w:val="nil"/>
              <w:right w:val="nil"/>
            </w:tcBorders>
            <w:shd w:val="clear" w:color="auto" w:fill="auto"/>
            <w:noWrap/>
            <w:vAlign w:val="bottom"/>
          </w:tcPr>
          <w:p w14:paraId="3E7F93B5" w14:textId="7F1644C1"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3F526038" w14:textId="6E8BAA6F"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56421989" w14:textId="6C25506F" w:rsidR="004C75D3" w:rsidRPr="00F6409D" w:rsidRDefault="004C75D3" w:rsidP="00A90598">
            <w:pPr>
              <w:spacing w:after="0" w:line="240" w:lineRule="auto"/>
              <w:jc w:val="center"/>
              <w:rPr>
                <w:rFonts w:ascii="Calibri" w:eastAsia="Times New Roman" w:hAnsi="Calibri" w:cs="Calibri"/>
                <w:color w:val="000000"/>
                <w:lang w:eastAsia="en-GB"/>
              </w:rPr>
            </w:pPr>
          </w:p>
        </w:tc>
      </w:tr>
      <w:tr w:rsidR="004C75D3" w:rsidRPr="00F6409D" w14:paraId="24358122" w14:textId="77777777" w:rsidTr="004C75D3">
        <w:trPr>
          <w:gridAfter w:val="3"/>
          <w:wAfter w:w="4297" w:type="dxa"/>
          <w:trHeight w:val="300"/>
        </w:trPr>
        <w:tc>
          <w:tcPr>
            <w:tcW w:w="3453" w:type="dxa"/>
            <w:gridSpan w:val="5"/>
            <w:tcBorders>
              <w:top w:val="nil"/>
              <w:left w:val="nil"/>
              <w:bottom w:val="nil"/>
              <w:right w:val="nil"/>
            </w:tcBorders>
            <w:shd w:val="clear" w:color="auto" w:fill="auto"/>
            <w:noWrap/>
            <w:vAlign w:val="bottom"/>
          </w:tcPr>
          <w:p w14:paraId="754E1DF2" w14:textId="579CB78D"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50DFB331" w14:textId="77501E06"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30EA3665" w14:textId="25BDA42D" w:rsidR="004C75D3" w:rsidRPr="00F6409D" w:rsidRDefault="004C75D3" w:rsidP="00A90598">
            <w:pPr>
              <w:spacing w:after="0" w:line="240" w:lineRule="auto"/>
              <w:jc w:val="center"/>
              <w:rPr>
                <w:rFonts w:ascii="Calibri" w:eastAsia="Times New Roman" w:hAnsi="Calibri" w:cs="Calibri"/>
                <w:color w:val="000000"/>
                <w:lang w:eastAsia="en-GB"/>
              </w:rPr>
            </w:pPr>
          </w:p>
        </w:tc>
      </w:tr>
      <w:tr w:rsidR="004C75D3" w:rsidRPr="00F6409D" w14:paraId="132EEFED" w14:textId="77777777" w:rsidTr="004C75D3">
        <w:trPr>
          <w:gridAfter w:val="9"/>
          <w:wAfter w:w="10018" w:type="dxa"/>
          <w:trHeight w:val="300"/>
        </w:trPr>
        <w:tc>
          <w:tcPr>
            <w:tcW w:w="2268" w:type="dxa"/>
            <w:gridSpan w:val="3"/>
            <w:tcBorders>
              <w:top w:val="nil"/>
              <w:left w:val="nil"/>
              <w:bottom w:val="nil"/>
              <w:right w:val="nil"/>
            </w:tcBorders>
            <w:shd w:val="clear" w:color="auto" w:fill="auto"/>
            <w:noWrap/>
            <w:vAlign w:val="bottom"/>
          </w:tcPr>
          <w:p w14:paraId="68FB7E73" w14:textId="77777777" w:rsidR="004C75D3" w:rsidRPr="00F6409D" w:rsidRDefault="004C75D3" w:rsidP="004C75D3">
            <w:pPr>
              <w:spacing w:after="0" w:line="240" w:lineRule="auto"/>
              <w:rPr>
                <w:rFonts w:ascii="Calibri" w:eastAsia="Times New Roman" w:hAnsi="Calibri" w:cs="Calibri"/>
                <w:color w:val="000000"/>
                <w:lang w:eastAsia="en-GB"/>
              </w:rPr>
            </w:pPr>
          </w:p>
        </w:tc>
      </w:tr>
      <w:tr w:rsidR="004C75D3" w:rsidRPr="00F6409D" w14:paraId="717D4BA0" w14:textId="77777777" w:rsidTr="004C75D3">
        <w:trPr>
          <w:gridAfter w:val="3"/>
          <w:wAfter w:w="4297" w:type="dxa"/>
          <w:trHeight w:val="300"/>
        </w:trPr>
        <w:tc>
          <w:tcPr>
            <w:tcW w:w="3453" w:type="dxa"/>
            <w:gridSpan w:val="5"/>
            <w:tcBorders>
              <w:top w:val="nil"/>
              <w:left w:val="nil"/>
              <w:bottom w:val="nil"/>
              <w:right w:val="nil"/>
            </w:tcBorders>
            <w:shd w:val="clear" w:color="auto" w:fill="auto"/>
            <w:noWrap/>
            <w:vAlign w:val="bottom"/>
          </w:tcPr>
          <w:p w14:paraId="433B10B8" w14:textId="77777777" w:rsidR="004C75D3" w:rsidRPr="00F6409D" w:rsidRDefault="004C75D3" w:rsidP="00A90598">
            <w:pPr>
              <w:spacing w:after="0" w:line="240" w:lineRule="auto"/>
              <w:rPr>
                <w:rFonts w:ascii="Calibri" w:eastAsia="Times New Roman" w:hAnsi="Calibri" w:cs="Calibri"/>
                <w:b/>
                <w:bCs/>
                <w:color w:val="000000"/>
                <w:lang w:eastAsia="en-GB"/>
              </w:rPr>
            </w:pPr>
          </w:p>
        </w:tc>
        <w:tc>
          <w:tcPr>
            <w:tcW w:w="2268" w:type="dxa"/>
            <w:gridSpan w:val="2"/>
            <w:tcBorders>
              <w:top w:val="nil"/>
              <w:left w:val="nil"/>
              <w:bottom w:val="nil"/>
              <w:right w:val="nil"/>
            </w:tcBorders>
            <w:shd w:val="clear" w:color="auto" w:fill="auto"/>
            <w:noWrap/>
            <w:vAlign w:val="bottom"/>
          </w:tcPr>
          <w:p w14:paraId="4BFD4B85" w14:textId="77777777" w:rsidR="004C75D3" w:rsidRPr="00F6409D" w:rsidRDefault="004C75D3" w:rsidP="00A90598">
            <w:pPr>
              <w:spacing w:after="0" w:line="240" w:lineRule="auto"/>
              <w:jc w:val="center"/>
              <w:rPr>
                <w:rFonts w:ascii="Times New Roman" w:eastAsia="Times New Roman" w:hAnsi="Times New Roman" w:cs="Times New Roman"/>
                <w:sz w:val="20"/>
                <w:szCs w:val="20"/>
                <w:lang w:eastAsia="en-GB"/>
              </w:rPr>
            </w:pPr>
          </w:p>
        </w:tc>
        <w:tc>
          <w:tcPr>
            <w:tcW w:w="2268" w:type="dxa"/>
            <w:gridSpan w:val="2"/>
            <w:tcBorders>
              <w:top w:val="nil"/>
              <w:left w:val="nil"/>
              <w:bottom w:val="nil"/>
              <w:right w:val="nil"/>
            </w:tcBorders>
            <w:shd w:val="clear" w:color="auto" w:fill="auto"/>
            <w:noWrap/>
            <w:vAlign w:val="bottom"/>
          </w:tcPr>
          <w:p w14:paraId="4F46FDA4" w14:textId="77777777" w:rsidR="004C75D3" w:rsidRPr="00F6409D" w:rsidRDefault="004C75D3" w:rsidP="00A90598">
            <w:pPr>
              <w:spacing w:after="0" w:line="240" w:lineRule="auto"/>
              <w:jc w:val="center"/>
              <w:rPr>
                <w:rFonts w:ascii="Times New Roman" w:eastAsia="Times New Roman" w:hAnsi="Times New Roman" w:cs="Times New Roman"/>
                <w:sz w:val="20"/>
                <w:szCs w:val="20"/>
                <w:lang w:eastAsia="en-GB"/>
              </w:rPr>
            </w:pPr>
          </w:p>
        </w:tc>
      </w:tr>
      <w:tr w:rsidR="004C75D3" w:rsidRPr="00F6409D" w14:paraId="1CEF08D6" w14:textId="77777777" w:rsidTr="004C75D3">
        <w:trPr>
          <w:gridAfter w:val="3"/>
          <w:wAfter w:w="4297" w:type="dxa"/>
          <w:trHeight w:val="300"/>
        </w:trPr>
        <w:tc>
          <w:tcPr>
            <w:tcW w:w="3453" w:type="dxa"/>
            <w:gridSpan w:val="5"/>
            <w:tcBorders>
              <w:top w:val="nil"/>
              <w:left w:val="nil"/>
              <w:bottom w:val="nil"/>
              <w:right w:val="nil"/>
            </w:tcBorders>
            <w:shd w:val="clear" w:color="auto" w:fill="auto"/>
            <w:noWrap/>
            <w:vAlign w:val="bottom"/>
          </w:tcPr>
          <w:p w14:paraId="0343D5C9" w14:textId="53CD5342"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5C6D264E" w14:textId="7B750853"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62637792" w14:textId="72171B08" w:rsidR="004C75D3" w:rsidRPr="00F6409D" w:rsidRDefault="004C75D3" w:rsidP="00A90598">
            <w:pPr>
              <w:spacing w:after="0" w:line="240" w:lineRule="auto"/>
              <w:jc w:val="center"/>
              <w:rPr>
                <w:rFonts w:ascii="Calibri" w:eastAsia="Times New Roman" w:hAnsi="Calibri" w:cs="Calibri"/>
                <w:color w:val="000000"/>
                <w:lang w:eastAsia="en-GB"/>
              </w:rPr>
            </w:pPr>
          </w:p>
        </w:tc>
      </w:tr>
      <w:tr w:rsidR="004C75D3" w:rsidRPr="00F6409D" w14:paraId="7024F1A2" w14:textId="77777777" w:rsidTr="004C75D3">
        <w:trPr>
          <w:gridAfter w:val="3"/>
          <w:wAfter w:w="4297" w:type="dxa"/>
          <w:trHeight w:val="300"/>
        </w:trPr>
        <w:tc>
          <w:tcPr>
            <w:tcW w:w="3453" w:type="dxa"/>
            <w:gridSpan w:val="5"/>
            <w:tcBorders>
              <w:top w:val="nil"/>
              <w:left w:val="nil"/>
              <w:bottom w:val="nil"/>
              <w:right w:val="nil"/>
            </w:tcBorders>
            <w:shd w:val="clear" w:color="auto" w:fill="auto"/>
            <w:noWrap/>
            <w:vAlign w:val="bottom"/>
          </w:tcPr>
          <w:p w14:paraId="4C705DDF" w14:textId="2AF9291A"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0DCE144C" w14:textId="0B39297C" w:rsidR="004C75D3" w:rsidRPr="00F6409D" w:rsidRDefault="004C75D3" w:rsidP="00A90598">
            <w:pPr>
              <w:spacing w:after="0" w:line="240" w:lineRule="auto"/>
              <w:jc w:val="center"/>
              <w:rPr>
                <w:rFonts w:ascii="Calibri" w:eastAsia="Times New Roman" w:hAnsi="Calibri" w:cs="Calibri"/>
                <w:color w:val="000000"/>
                <w:lang w:eastAsia="en-GB"/>
              </w:rPr>
            </w:pPr>
          </w:p>
        </w:tc>
        <w:tc>
          <w:tcPr>
            <w:tcW w:w="2268" w:type="dxa"/>
            <w:gridSpan w:val="2"/>
            <w:tcBorders>
              <w:top w:val="nil"/>
              <w:left w:val="nil"/>
              <w:bottom w:val="nil"/>
              <w:right w:val="nil"/>
            </w:tcBorders>
            <w:shd w:val="clear" w:color="auto" w:fill="auto"/>
            <w:noWrap/>
            <w:vAlign w:val="bottom"/>
          </w:tcPr>
          <w:p w14:paraId="35ED6ABF" w14:textId="247DDAA1" w:rsidR="004C75D3" w:rsidRPr="00F6409D" w:rsidRDefault="004C75D3" w:rsidP="00A90598">
            <w:pPr>
              <w:spacing w:after="0" w:line="240" w:lineRule="auto"/>
              <w:jc w:val="center"/>
              <w:rPr>
                <w:rFonts w:ascii="Calibri" w:eastAsia="Times New Roman" w:hAnsi="Calibri" w:cs="Calibri"/>
                <w:color w:val="000000"/>
                <w:lang w:eastAsia="en-GB"/>
              </w:rPr>
            </w:pPr>
          </w:p>
        </w:tc>
      </w:tr>
    </w:tbl>
    <w:p w14:paraId="6C55334D" w14:textId="6DBFDAA2" w:rsidR="00A90598" w:rsidRDefault="00A90598" w:rsidP="00261F11">
      <w:pPr>
        <w:spacing w:line="276" w:lineRule="auto"/>
        <w:rPr>
          <w:rFonts w:ascii="Times New Roman" w:hAnsi="Times New Roman" w:cs="Times New Roman"/>
          <w:bCs/>
        </w:rPr>
      </w:pPr>
    </w:p>
    <w:p w14:paraId="5AA9DF2F" w14:textId="06376B1D" w:rsidR="00A75364" w:rsidRDefault="004C75D3" w:rsidP="00261F11">
      <w:pPr>
        <w:spacing w:line="276" w:lineRule="auto"/>
        <w:rPr>
          <w:rFonts w:ascii="Times New Roman" w:hAnsi="Times New Roman" w:cs="Times New Roman"/>
          <w:bCs/>
        </w:rPr>
      </w:pPr>
      <w:r>
        <w:rPr>
          <w:rFonts w:ascii="Times New Roman" w:hAnsi="Times New Roman" w:cs="Times New Roman"/>
          <w:bCs/>
          <w:noProof/>
          <w:lang w:eastAsia="en-GB"/>
        </w:rPr>
        <w:drawing>
          <wp:inline distT="0" distB="0" distL="0" distR="0" wp14:anchorId="1714DE80" wp14:editId="65CB1E9C">
            <wp:extent cx="5568709"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jpg"/>
                    <pic:cNvPicPr/>
                  </pic:nvPicPr>
                  <pic:blipFill>
                    <a:blip r:embed="rId8">
                      <a:extLst>
                        <a:ext uri="{28A0092B-C50C-407E-A947-70E740481C1C}">
                          <a14:useLocalDpi xmlns:a14="http://schemas.microsoft.com/office/drawing/2010/main" val="0"/>
                        </a:ext>
                      </a:extLst>
                    </a:blip>
                    <a:stretch>
                      <a:fillRect/>
                    </a:stretch>
                  </pic:blipFill>
                  <pic:spPr>
                    <a:xfrm>
                      <a:off x="0" y="0"/>
                      <a:ext cx="5608653" cy="2283211"/>
                    </a:xfrm>
                    <a:prstGeom prst="rect">
                      <a:avLst/>
                    </a:prstGeom>
                  </pic:spPr>
                </pic:pic>
              </a:graphicData>
            </a:graphic>
          </wp:inline>
        </w:drawing>
      </w:r>
    </w:p>
    <w:p w14:paraId="38AD3E0C" w14:textId="2E2981C1" w:rsidR="00A75364" w:rsidRPr="004C75D3" w:rsidRDefault="00A069DC" w:rsidP="00261F11">
      <w:pPr>
        <w:spacing w:line="276" w:lineRule="auto"/>
        <w:rPr>
          <w:rFonts w:cstheme="minorHAnsi"/>
          <w:bCs/>
        </w:rPr>
      </w:pPr>
      <w:r w:rsidRPr="004C75D3">
        <w:rPr>
          <w:rFonts w:cstheme="minorHAnsi"/>
          <w:bCs/>
        </w:rPr>
        <w:t>Fig</w:t>
      </w:r>
      <w:r w:rsidR="00DE17B9" w:rsidRPr="004C75D3">
        <w:rPr>
          <w:rFonts w:cstheme="minorHAnsi"/>
          <w:bCs/>
        </w:rPr>
        <w:t xml:space="preserve"> 1</w:t>
      </w:r>
      <w:r w:rsidRPr="004C75D3">
        <w:rPr>
          <w:rFonts w:cstheme="minorHAnsi"/>
          <w:bCs/>
        </w:rPr>
        <w:t xml:space="preserve">. </w:t>
      </w:r>
      <w:r w:rsidR="00966684">
        <w:rPr>
          <w:rFonts w:cstheme="minorHAnsi"/>
          <w:bCs/>
        </w:rPr>
        <w:t>Satellite</w:t>
      </w:r>
      <w:r w:rsidRPr="004C75D3">
        <w:rPr>
          <w:rFonts w:cstheme="minorHAnsi"/>
          <w:bCs/>
        </w:rPr>
        <w:t xml:space="preserve"> photographs (Google Earth) of the study sites in 2006 (left) and 2009 (right) showing plantation removal. </w:t>
      </w:r>
    </w:p>
    <w:p w14:paraId="1C52ACEA" w14:textId="25BE8DEF" w:rsidR="000B2535" w:rsidRDefault="00D2446B" w:rsidP="00261F11">
      <w:pPr>
        <w:spacing w:line="276" w:lineRule="auto"/>
        <w:rPr>
          <w:rFonts w:ascii="Times New Roman" w:hAnsi="Times New Roman" w:cs="Times New Roman"/>
          <w:bCs/>
        </w:rPr>
      </w:pPr>
      <w:r>
        <w:rPr>
          <w:rFonts w:ascii="Times New Roman" w:hAnsi="Times New Roman" w:cs="Times New Roman"/>
          <w:bCs/>
          <w:noProof/>
          <w:lang w:eastAsia="en-GB"/>
        </w:rPr>
        <w:lastRenderedPageBreak/>
        <w:drawing>
          <wp:inline distT="0" distB="0" distL="0" distR="0" wp14:anchorId="34F31F12" wp14:editId="7215E218">
            <wp:extent cx="4760374" cy="46196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v Characteristi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9601" cy="4628579"/>
                    </a:xfrm>
                    <a:prstGeom prst="rect">
                      <a:avLst/>
                    </a:prstGeom>
                  </pic:spPr>
                </pic:pic>
              </a:graphicData>
            </a:graphic>
          </wp:inline>
        </w:drawing>
      </w:r>
    </w:p>
    <w:p w14:paraId="1A57DCB3" w14:textId="6C51617E" w:rsidR="00D2446B" w:rsidRPr="004C75D3" w:rsidRDefault="00D2446B" w:rsidP="00261F11">
      <w:pPr>
        <w:spacing w:line="276" w:lineRule="auto"/>
        <w:rPr>
          <w:rFonts w:cstheme="minorHAnsi"/>
          <w:bCs/>
        </w:rPr>
      </w:pPr>
      <w:r w:rsidRPr="004C75D3">
        <w:rPr>
          <w:rFonts w:cstheme="minorHAnsi"/>
          <w:bCs/>
        </w:rPr>
        <w:t xml:space="preserve">Fig 2. </w:t>
      </w:r>
      <w:r w:rsidR="00DE17B9" w:rsidRPr="004C75D3">
        <w:rPr>
          <w:rFonts w:cstheme="minorHAnsi"/>
          <w:bCs/>
        </w:rPr>
        <w:t xml:space="preserve">Environmental characteristics of the three study areas. Given are means and standard errors (SE).  </w:t>
      </w:r>
    </w:p>
    <w:p w14:paraId="09160188" w14:textId="0B1FE01D" w:rsidR="004C75D3" w:rsidRDefault="004C75D3" w:rsidP="00261F11">
      <w:pPr>
        <w:spacing w:line="276" w:lineRule="auto"/>
        <w:rPr>
          <w:rFonts w:ascii="Times New Roman" w:hAnsi="Times New Roman" w:cs="Times New Roman"/>
          <w:bCs/>
        </w:rPr>
      </w:pPr>
    </w:p>
    <w:p w14:paraId="60E55CE0" w14:textId="77777777" w:rsidR="004C75D3" w:rsidRDefault="004C75D3" w:rsidP="00261F11">
      <w:pPr>
        <w:spacing w:line="276" w:lineRule="auto"/>
        <w:rPr>
          <w:rFonts w:ascii="Times New Roman" w:hAnsi="Times New Roman" w:cs="Times New Roman"/>
          <w:bCs/>
        </w:rPr>
      </w:pPr>
    </w:p>
    <w:p w14:paraId="656F5A35" w14:textId="6938D88B" w:rsidR="00397B73" w:rsidRDefault="00D2446B" w:rsidP="00261F11">
      <w:pPr>
        <w:spacing w:line="276" w:lineRule="auto"/>
        <w:rPr>
          <w:rFonts w:ascii="Times New Roman" w:hAnsi="Times New Roman" w:cs="Times New Roman"/>
          <w:bCs/>
        </w:rPr>
      </w:pPr>
      <w:r>
        <w:rPr>
          <w:rFonts w:ascii="Times New Roman" w:hAnsi="Times New Roman" w:cs="Times New Roman"/>
          <w:bCs/>
          <w:noProof/>
          <w:lang w:eastAsia="en-GB"/>
        </w:rPr>
        <w:lastRenderedPageBreak/>
        <w:drawing>
          <wp:inline distT="0" distB="0" distL="0" distR="0" wp14:anchorId="44D8431C" wp14:editId="517C7F1A">
            <wp:extent cx="4624548" cy="32099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getation composition.jpg"/>
                    <pic:cNvPicPr/>
                  </pic:nvPicPr>
                  <pic:blipFill>
                    <a:blip r:embed="rId10">
                      <a:extLst>
                        <a:ext uri="{28A0092B-C50C-407E-A947-70E740481C1C}">
                          <a14:useLocalDpi xmlns:a14="http://schemas.microsoft.com/office/drawing/2010/main" val="0"/>
                        </a:ext>
                      </a:extLst>
                    </a:blip>
                    <a:stretch>
                      <a:fillRect/>
                    </a:stretch>
                  </pic:blipFill>
                  <pic:spPr>
                    <a:xfrm>
                      <a:off x="0" y="0"/>
                      <a:ext cx="4642615" cy="3222465"/>
                    </a:xfrm>
                    <a:prstGeom prst="rect">
                      <a:avLst/>
                    </a:prstGeom>
                  </pic:spPr>
                </pic:pic>
              </a:graphicData>
            </a:graphic>
          </wp:inline>
        </w:drawing>
      </w:r>
    </w:p>
    <w:p w14:paraId="2C9C7ACE" w14:textId="52FC8BAB" w:rsidR="00A069DC" w:rsidRDefault="00397B73" w:rsidP="00A75364">
      <w:pPr>
        <w:spacing w:line="276" w:lineRule="auto"/>
        <w:rPr>
          <w:rFonts w:ascii="Times New Roman" w:hAnsi="Times New Roman" w:cs="Times New Roman"/>
          <w:bCs/>
        </w:rPr>
      </w:pPr>
      <w:r>
        <w:rPr>
          <w:rFonts w:ascii="Calibri" w:eastAsia="Times New Roman" w:hAnsi="Calibri" w:cs="Calibri"/>
          <w:color w:val="000000"/>
          <w:lang w:eastAsia="en-GB"/>
        </w:rPr>
        <w:t xml:space="preserve">Fig </w:t>
      </w:r>
      <w:r w:rsidR="00DE17B9">
        <w:rPr>
          <w:rFonts w:ascii="Calibri" w:eastAsia="Times New Roman" w:hAnsi="Calibri" w:cs="Calibri"/>
          <w:color w:val="000000"/>
          <w:lang w:eastAsia="en-GB"/>
        </w:rPr>
        <w:t>3</w:t>
      </w:r>
      <w:r>
        <w:rPr>
          <w:rFonts w:ascii="Calibri" w:eastAsia="Times New Roman" w:hAnsi="Calibri" w:cs="Calibri"/>
          <w:color w:val="000000"/>
          <w:lang w:eastAsia="en-GB"/>
        </w:rPr>
        <w:t xml:space="preserve">. Relative </w:t>
      </w:r>
      <w:r w:rsidR="00D2446B">
        <w:rPr>
          <w:rFonts w:ascii="Calibri" w:eastAsia="Times New Roman" w:hAnsi="Calibri" w:cs="Calibri"/>
          <w:color w:val="000000"/>
          <w:lang w:eastAsia="en-GB"/>
        </w:rPr>
        <w:t>proportion (%)</w:t>
      </w:r>
      <w:r>
        <w:rPr>
          <w:rFonts w:ascii="Calibri" w:eastAsia="Times New Roman" w:hAnsi="Calibri" w:cs="Calibri"/>
          <w:color w:val="000000"/>
          <w:lang w:eastAsia="en-GB"/>
        </w:rPr>
        <w:t xml:space="preserve"> of plant </w:t>
      </w:r>
      <w:r w:rsidR="00D2446B">
        <w:rPr>
          <w:rFonts w:ascii="Calibri" w:eastAsia="Times New Roman" w:hAnsi="Calibri" w:cs="Calibri"/>
          <w:color w:val="000000"/>
          <w:lang w:eastAsia="en-GB"/>
        </w:rPr>
        <w:t>groups</w:t>
      </w:r>
      <w:r>
        <w:rPr>
          <w:rFonts w:ascii="Calibri" w:eastAsia="Times New Roman" w:hAnsi="Calibri" w:cs="Calibri"/>
          <w:color w:val="000000"/>
          <w:lang w:eastAsia="en-GB"/>
        </w:rPr>
        <w:t xml:space="preserve"> </w:t>
      </w:r>
      <w:r w:rsidR="00B97BBE">
        <w:rPr>
          <w:rFonts w:ascii="Calibri" w:eastAsia="Times New Roman" w:hAnsi="Calibri" w:cs="Calibri"/>
          <w:color w:val="000000"/>
          <w:lang w:eastAsia="en-GB"/>
        </w:rPr>
        <w:t xml:space="preserve">(shrubs, </w:t>
      </w:r>
      <w:r w:rsidR="00B97BBE" w:rsidRPr="00B97BBE">
        <w:rPr>
          <w:rFonts w:ascii="Calibri" w:eastAsia="Times New Roman" w:hAnsi="Calibri" w:cs="Calibri"/>
          <w:i/>
          <w:color w:val="000000"/>
          <w:lang w:eastAsia="en-GB"/>
        </w:rPr>
        <w:t>Sphagnum</w:t>
      </w:r>
      <w:r w:rsidR="00B97BBE">
        <w:rPr>
          <w:rFonts w:ascii="Calibri" w:eastAsia="Times New Roman" w:hAnsi="Calibri" w:cs="Calibri"/>
          <w:color w:val="000000"/>
          <w:lang w:eastAsia="en-GB"/>
        </w:rPr>
        <w:t xml:space="preserve"> mosses and aerenchymas plants) </w:t>
      </w:r>
      <w:r>
        <w:rPr>
          <w:rFonts w:ascii="Calibri" w:eastAsia="Times New Roman" w:hAnsi="Calibri" w:cs="Calibri"/>
          <w:color w:val="000000"/>
          <w:lang w:eastAsia="en-GB"/>
        </w:rPr>
        <w:t>from ridges (R)</w:t>
      </w:r>
      <w:r w:rsidR="00DE17B9">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and furrows (F) in restoration areas </w:t>
      </w:r>
      <w:r w:rsidR="00B97BBE">
        <w:rPr>
          <w:rFonts w:ascii="Calibri" w:eastAsia="Times New Roman" w:hAnsi="Calibri" w:cs="Calibri"/>
          <w:color w:val="000000"/>
          <w:lang w:eastAsia="en-GB"/>
        </w:rPr>
        <w:t xml:space="preserve">(RES6YRS and RES17YRS) </w:t>
      </w:r>
      <w:r>
        <w:rPr>
          <w:rFonts w:ascii="Calibri" w:eastAsia="Times New Roman" w:hAnsi="Calibri" w:cs="Calibri"/>
          <w:color w:val="000000"/>
          <w:lang w:eastAsia="en-GB"/>
        </w:rPr>
        <w:t xml:space="preserve">and hummocks (HK) and hollows (H) in the OPEN </w:t>
      </w:r>
      <w:r w:rsidR="00B97BBE">
        <w:rPr>
          <w:rFonts w:ascii="Calibri" w:eastAsia="Times New Roman" w:hAnsi="Calibri" w:cs="Calibri"/>
          <w:color w:val="000000"/>
          <w:lang w:eastAsia="en-GB"/>
        </w:rPr>
        <w:t xml:space="preserve">reference </w:t>
      </w:r>
      <w:r>
        <w:rPr>
          <w:rFonts w:ascii="Calibri" w:eastAsia="Times New Roman" w:hAnsi="Calibri" w:cs="Calibri"/>
          <w:color w:val="000000"/>
          <w:lang w:eastAsia="en-GB"/>
        </w:rPr>
        <w:t>areas.</w:t>
      </w:r>
      <w:r w:rsidR="00D2446B">
        <w:rPr>
          <w:rFonts w:ascii="Calibri" w:eastAsia="Times New Roman" w:hAnsi="Calibri" w:cs="Calibri"/>
          <w:color w:val="000000"/>
          <w:lang w:eastAsia="en-GB"/>
        </w:rPr>
        <w:t xml:space="preserve"> </w:t>
      </w:r>
    </w:p>
    <w:p w14:paraId="3F20E932" w14:textId="2F03AE61" w:rsidR="00A069DC" w:rsidRDefault="00A069DC" w:rsidP="00A75364">
      <w:pPr>
        <w:spacing w:line="276" w:lineRule="auto"/>
        <w:rPr>
          <w:rFonts w:ascii="Times New Roman" w:hAnsi="Times New Roman" w:cs="Times New Roman"/>
          <w:bCs/>
        </w:rPr>
      </w:pPr>
      <w:r>
        <w:rPr>
          <w:rFonts w:ascii="Times New Roman" w:hAnsi="Times New Roman" w:cs="Times New Roman"/>
          <w:bCs/>
        </w:rPr>
        <w:t xml:space="preserve"> </w:t>
      </w:r>
      <w:r w:rsidR="00D2446B">
        <w:rPr>
          <w:rFonts w:ascii="Times New Roman" w:hAnsi="Times New Roman" w:cs="Times New Roman"/>
          <w:bCs/>
          <w:noProof/>
          <w:lang w:eastAsia="en-GB"/>
        </w:rPr>
        <w:drawing>
          <wp:inline distT="0" distB="0" distL="0" distR="0" wp14:anchorId="3B457BDB" wp14:editId="068398C2">
            <wp:extent cx="5255087" cy="402907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 Relative abundance.png"/>
                    <pic:cNvPicPr/>
                  </pic:nvPicPr>
                  <pic:blipFill>
                    <a:blip r:embed="rId11">
                      <a:extLst>
                        <a:ext uri="{28A0092B-C50C-407E-A947-70E740481C1C}">
                          <a14:useLocalDpi xmlns:a14="http://schemas.microsoft.com/office/drawing/2010/main" val="0"/>
                        </a:ext>
                      </a:extLst>
                    </a:blip>
                    <a:stretch>
                      <a:fillRect/>
                    </a:stretch>
                  </pic:blipFill>
                  <pic:spPr>
                    <a:xfrm>
                      <a:off x="0" y="0"/>
                      <a:ext cx="5279850" cy="4048061"/>
                    </a:xfrm>
                    <a:prstGeom prst="rect">
                      <a:avLst/>
                    </a:prstGeom>
                  </pic:spPr>
                </pic:pic>
              </a:graphicData>
            </a:graphic>
          </wp:inline>
        </w:drawing>
      </w:r>
    </w:p>
    <w:p w14:paraId="4A01B70C" w14:textId="597FB23A" w:rsidR="00A069DC" w:rsidRPr="004C75D3" w:rsidRDefault="00A069DC" w:rsidP="00A75364">
      <w:pPr>
        <w:spacing w:line="276" w:lineRule="auto"/>
        <w:rPr>
          <w:rFonts w:cstheme="minorHAnsi"/>
          <w:bCs/>
        </w:rPr>
        <w:sectPr w:rsidR="00A069DC" w:rsidRPr="004C75D3" w:rsidSect="004C75D3">
          <w:pgSz w:w="11906" w:h="16838"/>
          <w:pgMar w:top="1440" w:right="1440" w:bottom="1440" w:left="1440" w:header="709" w:footer="709" w:gutter="0"/>
          <w:cols w:space="708"/>
          <w:docGrid w:linePitch="360"/>
        </w:sectPr>
      </w:pPr>
      <w:r w:rsidRPr="004C75D3">
        <w:rPr>
          <w:rFonts w:cstheme="minorHAnsi"/>
          <w:bCs/>
        </w:rPr>
        <w:t xml:space="preserve">Fig </w:t>
      </w:r>
      <w:r w:rsidR="00DE17B9" w:rsidRPr="004C75D3">
        <w:rPr>
          <w:rFonts w:cstheme="minorHAnsi"/>
          <w:bCs/>
        </w:rPr>
        <w:t>4</w:t>
      </w:r>
      <w:r w:rsidR="00397B73" w:rsidRPr="004C75D3">
        <w:rPr>
          <w:rFonts w:cstheme="minorHAnsi"/>
          <w:bCs/>
        </w:rPr>
        <w:t>.</w:t>
      </w:r>
      <w:r w:rsidRPr="004C75D3">
        <w:rPr>
          <w:rFonts w:cstheme="minorHAnsi"/>
          <w:bCs/>
        </w:rPr>
        <w:t xml:space="preserve"> </w:t>
      </w:r>
      <w:r w:rsidR="00397B73" w:rsidRPr="004C75D3">
        <w:rPr>
          <w:rFonts w:cstheme="minorHAnsi"/>
          <w:bCs/>
        </w:rPr>
        <w:t>Relative p</w:t>
      </w:r>
      <w:r w:rsidR="00D2446B" w:rsidRPr="004C75D3">
        <w:rPr>
          <w:rFonts w:cstheme="minorHAnsi"/>
          <w:bCs/>
        </w:rPr>
        <w:t>roportion (%)</w:t>
      </w:r>
      <w:r w:rsidRPr="004C75D3">
        <w:rPr>
          <w:rFonts w:cstheme="minorHAnsi"/>
          <w:bCs/>
        </w:rPr>
        <w:t xml:space="preserve"> of Testate amoeba</w:t>
      </w:r>
      <w:r w:rsidR="00D2446B" w:rsidRPr="004C75D3">
        <w:rPr>
          <w:rFonts w:cstheme="minorHAnsi"/>
          <w:bCs/>
        </w:rPr>
        <w:t>e</w:t>
      </w:r>
      <w:r w:rsidRPr="004C75D3">
        <w:rPr>
          <w:rFonts w:cstheme="minorHAnsi"/>
          <w:bCs/>
        </w:rPr>
        <w:t xml:space="preserve"> assemblages determined in samples from </w:t>
      </w:r>
      <w:r w:rsidR="00397B73" w:rsidRPr="004C75D3">
        <w:rPr>
          <w:rFonts w:cstheme="minorHAnsi"/>
          <w:bCs/>
        </w:rPr>
        <w:t>ridges (R)</w:t>
      </w:r>
      <w:r w:rsidR="004C75D3">
        <w:rPr>
          <w:rFonts w:cstheme="minorHAnsi"/>
          <w:bCs/>
        </w:rPr>
        <w:t xml:space="preserve"> </w:t>
      </w:r>
      <w:r w:rsidR="00397B73" w:rsidRPr="004C75D3">
        <w:rPr>
          <w:rFonts w:cstheme="minorHAnsi"/>
          <w:bCs/>
        </w:rPr>
        <w:t xml:space="preserve">and furrows (F) in restoration areas and </w:t>
      </w:r>
      <w:r w:rsidRPr="004C75D3">
        <w:rPr>
          <w:rFonts w:cstheme="minorHAnsi"/>
          <w:bCs/>
        </w:rPr>
        <w:t xml:space="preserve">hummocks (HK) and hollows (H) at the </w:t>
      </w:r>
      <w:r w:rsidR="00397B73" w:rsidRPr="004C75D3">
        <w:rPr>
          <w:rFonts w:cstheme="minorHAnsi"/>
          <w:bCs/>
        </w:rPr>
        <w:t>OPEN study areas</w:t>
      </w:r>
      <w:r w:rsidRPr="004C75D3">
        <w:rPr>
          <w:rFonts w:cstheme="minorHAnsi"/>
          <w:bCs/>
        </w:rPr>
        <w:t xml:space="preserve">. </w:t>
      </w:r>
      <w:r w:rsidR="005C68CE" w:rsidRPr="004C75D3">
        <w:rPr>
          <w:rFonts w:cstheme="minorHAnsi"/>
          <w:bCs/>
        </w:rPr>
        <w:t xml:space="preserve"> Mixotrophic taxa included are </w:t>
      </w:r>
      <w:r w:rsidR="005C68CE" w:rsidRPr="004C75D3">
        <w:rPr>
          <w:rFonts w:cstheme="minorHAnsi"/>
          <w:bCs/>
          <w:i/>
        </w:rPr>
        <w:t>Archerella flavum</w:t>
      </w:r>
      <w:r w:rsidR="005C68CE" w:rsidRPr="004C75D3">
        <w:rPr>
          <w:rFonts w:cstheme="minorHAnsi"/>
          <w:bCs/>
        </w:rPr>
        <w:t xml:space="preserve"> and </w:t>
      </w:r>
      <w:r w:rsidR="005C68CE" w:rsidRPr="004C75D3">
        <w:rPr>
          <w:rFonts w:cstheme="minorHAnsi"/>
          <w:bCs/>
          <w:i/>
        </w:rPr>
        <w:t>Hyalosphenia papilio</w:t>
      </w:r>
      <w:r w:rsidR="005C68CE" w:rsidRPr="004C75D3">
        <w:rPr>
          <w:rFonts w:cstheme="minorHAnsi"/>
          <w:bCs/>
        </w:rPr>
        <w:t xml:space="preserve">. </w:t>
      </w:r>
    </w:p>
    <w:p w14:paraId="20D99115" w14:textId="77777777" w:rsidR="00A75364" w:rsidRPr="00A75364" w:rsidRDefault="00A75364" w:rsidP="00A75364">
      <w:pPr>
        <w:spacing w:line="276" w:lineRule="auto"/>
        <w:rPr>
          <w:rFonts w:ascii="Times New Roman" w:hAnsi="Times New Roman" w:cs="Times New Roman"/>
          <w:bCs/>
        </w:rPr>
      </w:pPr>
      <w:r w:rsidRPr="00A75364">
        <w:rPr>
          <w:rFonts w:ascii="Times New Roman" w:hAnsi="Times New Roman" w:cs="Times New Roman"/>
          <w:bCs/>
          <w:noProof/>
          <w:lang w:eastAsia="en-GB"/>
        </w:rPr>
        <w:lastRenderedPageBreak/>
        <w:drawing>
          <wp:inline distT="0" distB="0" distL="0" distR="0" wp14:anchorId="7D9CF2D7" wp14:editId="742FCD11">
            <wp:extent cx="5149650" cy="5181600"/>
            <wp:effectExtent l="0" t="0" r="0" b="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156101" cy="5188091"/>
                    </a:xfrm>
                    <a:prstGeom prst="rect">
                      <a:avLst/>
                    </a:prstGeom>
                  </pic:spPr>
                </pic:pic>
              </a:graphicData>
            </a:graphic>
          </wp:inline>
        </w:drawing>
      </w:r>
    </w:p>
    <w:p w14:paraId="559F98D6" w14:textId="77777777" w:rsidR="00A75364" w:rsidRPr="00A75364" w:rsidRDefault="00A75364" w:rsidP="00A75364">
      <w:pPr>
        <w:spacing w:line="276" w:lineRule="auto"/>
        <w:rPr>
          <w:rFonts w:ascii="Times New Roman" w:hAnsi="Times New Roman" w:cs="Times New Roman"/>
          <w:bCs/>
        </w:rPr>
      </w:pPr>
    </w:p>
    <w:p w14:paraId="66B72B26" w14:textId="55C7D3DF" w:rsidR="00A75364" w:rsidRPr="004C75D3" w:rsidRDefault="00A75364" w:rsidP="00A75364">
      <w:pPr>
        <w:spacing w:line="276" w:lineRule="auto"/>
        <w:rPr>
          <w:rFonts w:cstheme="minorHAnsi"/>
          <w:bCs/>
        </w:rPr>
      </w:pPr>
      <w:r w:rsidRPr="00855E2D">
        <w:rPr>
          <w:rFonts w:cstheme="minorHAnsi"/>
          <w:bCs/>
        </w:rPr>
        <w:t xml:space="preserve">Fig </w:t>
      </w:r>
      <w:r w:rsidR="00DE17B9" w:rsidRPr="00855E2D">
        <w:rPr>
          <w:rFonts w:cstheme="minorHAnsi"/>
          <w:bCs/>
        </w:rPr>
        <w:t>5</w:t>
      </w:r>
      <w:r w:rsidRPr="00855E2D">
        <w:rPr>
          <w:rFonts w:cstheme="minorHAnsi"/>
          <w:bCs/>
        </w:rPr>
        <w:t>.</w:t>
      </w:r>
      <w:r w:rsidRPr="004C75D3">
        <w:rPr>
          <w:rFonts w:cstheme="minorHAnsi"/>
          <w:bCs/>
        </w:rPr>
        <w:t xml:space="preserve"> Principal Components Analysis on full testate amoeba dataset showing the effect of restoration age and microtopography on testate amoeba</w:t>
      </w:r>
      <w:r w:rsidR="00675DD2" w:rsidRPr="004C75D3">
        <w:rPr>
          <w:rFonts w:cstheme="minorHAnsi"/>
          <w:bCs/>
        </w:rPr>
        <w:t xml:space="preserve"> </w:t>
      </w:r>
      <w:r w:rsidR="008615F0" w:rsidRPr="004C75D3">
        <w:rPr>
          <w:rFonts w:cstheme="minorHAnsi"/>
          <w:bCs/>
        </w:rPr>
        <w:t>assemblages</w:t>
      </w:r>
      <w:r w:rsidRPr="004C75D3">
        <w:rPr>
          <w:rFonts w:cstheme="minorHAnsi"/>
          <w:bCs/>
        </w:rPr>
        <w:t xml:space="preserve">. Dominant taxa are displayed. </w:t>
      </w:r>
    </w:p>
    <w:p w14:paraId="1BFF2FBE" w14:textId="77777777" w:rsidR="00A75364" w:rsidRPr="00A75364" w:rsidRDefault="00A75364" w:rsidP="00A75364">
      <w:pPr>
        <w:spacing w:line="276" w:lineRule="auto"/>
        <w:rPr>
          <w:rFonts w:ascii="Times New Roman" w:hAnsi="Times New Roman" w:cs="Times New Roman"/>
          <w:bCs/>
        </w:rPr>
      </w:pPr>
    </w:p>
    <w:p w14:paraId="27D744D2" w14:textId="77777777" w:rsidR="00A75364" w:rsidRPr="00A75364" w:rsidRDefault="00A75364" w:rsidP="00A75364">
      <w:pPr>
        <w:spacing w:line="276" w:lineRule="auto"/>
        <w:rPr>
          <w:rFonts w:ascii="Times New Roman" w:hAnsi="Times New Roman" w:cs="Times New Roman"/>
          <w:bCs/>
        </w:rPr>
      </w:pPr>
    </w:p>
    <w:p w14:paraId="0877F9FE" w14:textId="77777777" w:rsidR="00A75364" w:rsidRPr="00A75364" w:rsidRDefault="00A75364" w:rsidP="00A75364">
      <w:pPr>
        <w:spacing w:line="276" w:lineRule="auto"/>
        <w:rPr>
          <w:rFonts w:ascii="Times New Roman" w:hAnsi="Times New Roman" w:cs="Times New Roman"/>
          <w:bCs/>
        </w:rPr>
      </w:pPr>
      <w:r w:rsidRPr="00A75364">
        <w:rPr>
          <w:rFonts w:ascii="Times New Roman" w:hAnsi="Times New Roman" w:cs="Times New Roman"/>
          <w:bCs/>
          <w:noProof/>
          <w:lang w:eastAsia="en-GB"/>
        </w:rPr>
        <w:lastRenderedPageBreak/>
        <w:drawing>
          <wp:inline distT="0" distB="0" distL="0" distR="0" wp14:anchorId="3E9FF81A" wp14:editId="19FDC707">
            <wp:extent cx="5731303" cy="2552700"/>
            <wp:effectExtent l="0" t="0" r="3175"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0026" cy="2556585"/>
                    </a:xfrm>
                    <a:prstGeom prst="rect">
                      <a:avLst/>
                    </a:prstGeom>
                  </pic:spPr>
                </pic:pic>
              </a:graphicData>
            </a:graphic>
          </wp:inline>
        </w:drawing>
      </w:r>
    </w:p>
    <w:p w14:paraId="7DBE469C" w14:textId="5731E977" w:rsidR="00A75364" w:rsidRPr="004C75D3" w:rsidRDefault="00A75364" w:rsidP="00A75364">
      <w:pPr>
        <w:spacing w:line="276" w:lineRule="auto"/>
        <w:rPr>
          <w:rFonts w:cstheme="minorHAnsi"/>
          <w:bCs/>
        </w:rPr>
      </w:pPr>
      <w:r w:rsidRPr="00855E2D">
        <w:rPr>
          <w:rFonts w:cstheme="minorHAnsi"/>
          <w:bCs/>
        </w:rPr>
        <w:t xml:space="preserve">Figs </w:t>
      </w:r>
      <w:r w:rsidR="00DE17B9" w:rsidRPr="00855E2D">
        <w:rPr>
          <w:rFonts w:cstheme="minorHAnsi"/>
          <w:bCs/>
        </w:rPr>
        <w:t>6</w:t>
      </w:r>
      <w:r w:rsidRPr="00855E2D">
        <w:rPr>
          <w:rFonts w:cstheme="minorHAnsi"/>
          <w:bCs/>
        </w:rPr>
        <w:t xml:space="preserve"> a and b.</w:t>
      </w:r>
      <w:r w:rsidRPr="004C75D3">
        <w:rPr>
          <w:rFonts w:cstheme="minorHAnsi"/>
          <w:bCs/>
        </w:rPr>
        <w:t xml:space="preserve"> RDA biplots of Hellinger transformed (a) testate and (b) vegetation to address the hypothesis whether TA and vegetation respond similarly to the same edaphic and environmental drivers.</w:t>
      </w:r>
    </w:p>
    <w:p w14:paraId="07A7B780" w14:textId="77777777" w:rsidR="00A75364" w:rsidRPr="00A75364" w:rsidRDefault="00A75364" w:rsidP="00A75364">
      <w:pPr>
        <w:spacing w:line="276" w:lineRule="auto"/>
        <w:rPr>
          <w:rFonts w:ascii="Times New Roman" w:hAnsi="Times New Roman" w:cs="Times New Roman"/>
          <w:bCs/>
        </w:rPr>
      </w:pPr>
    </w:p>
    <w:p w14:paraId="48376179" w14:textId="77777777" w:rsidR="00A75364" w:rsidRPr="00A75364" w:rsidRDefault="00A75364" w:rsidP="00A75364">
      <w:pPr>
        <w:spacing w:line="276" w:lineRule="auto"/>
        <w:rPr>
          <w:rFonts w:ascii="Times New Roman" w:hAnsi="Times New Roman" w:cs="Times New Roman"/>
          <w:bCs/>
        </w:rPr>
      </w:pPr>
    </w:p>
    <w:p w14:paraId="0FA32CBC" w14:textId="77777777" w:rsidR="00A75364" w:rsidRPr="00A75364" w:rsidRDefault="00A75364" w:rsidP="00A75364">
      <w:pPr>
        <w:spacing w:line="276" w:lineRule="auto"/>
        <w:rPr>
          <w:rFonts w:ascii="Times New Roman" w:hAnsi="Times New Roman" w:cs="Times New Roman"/>
          <w:bCs/>
        </w:rPr>
      </w:pPr>
    </w:p>
    <w:p w14:paraId="01F7F09B" w14:textId="77777777" w:rsidR="00A75364" w:rsidRPr="00A75364" w:rsidRDefault="00A75364" w:rsidP="00A75364">
      <w:pPr>
        <w:spacing w:line="276" w:lineRule="auto"/>
        <w:rPr>
          <w:rFonts w:ascii="Times New Roman" w:hAnsi="Times New Roman" w:cs="Times New Roman"/>
          <w:bCs/>
        </w:rPr>
      </w:pPr>
      <w:r w:rsidRPr="00A75364">
        <w:rPr>
          <w:rFonts w:ascii="Times New Roman" w:hAnsi="Times New Roman" w:cs="Times New Roman"/>
          <w:bCs/>
          <w:noProof/>
          <w:lang w:eastAsia="en-GB"/>
        </w:rPr>
        <w:drawing>
          <wp:inline distT="0" distB="0" distL="0" distR="0" wp14:anchorId="37C91942" wp14:editId="38DAB7EB">
            <wp:extent cx="3200400" cy="2835588"/>
            <wp:effectExtent l="0" t="0" r="0" b="3175"/>
            <wp:docPr id="4" name="Picture 4"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venn 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205442" cy="2840055"/>
                    </a:xfrm>
                    <a:prstGeom prst="rect">
                      <a:avLst/>
                    </a:prstGeom>
                  </pic:spPr>
                </pic:pic>
              </a:graphicData>
            </a:graphic>
          </wp:inline>
        </w:drawing>
      </w:r>
    </w:p>
    <w:p w14:paraId="1FD628A7" w14:textId="7FABA526" w:rsidR="00A75364" w:rsidRPr="004C75D3" w:rsidRDefault="00A75364" w:rsidP="00A75364">
      <w:pPr>
        <w:spacing w:line="276" w:lineRule="auto"/>
        <w:rPr>
          <w:rFonts w:cstheme="minorHAnsi"/>
          <w:bCs/>
        </w:rPr>
      </w:pPr>
      <w:r w:rsidRPr="004C75D3">
        <w:rPr>
          <w:rFonts w:cstheme="minorHAnsi"/>
          <w:b/>
          <w:bCs/>
        </w:rPr>
        <w:t xml:space="preserve">Fig </w:t>
      </w:r>
      <w:r w:rsidR="00DE17B9" w:rsidRPr="004C75D3">
        <w:rPr>
          <w:rFonts w:cstheme="minorHAnsi"/>
          <w:b/>
          <w:bCs/>
        </w:rPr>
        <w:t>7</w:t>
      </w:r>
      <w:r w:rsidRPr="004C75D3">
        <w:rPr>
          <w:rFonts w:cstheme="minorHAnsi"/>
          <w:bCs/>
        </w:rPr>
        <w:t xml:space="preserve">. Variation partitioning Venn diagram showing the percentages of individual contributions of vegetation cover (AERENCOV, SPHCOV and SHRUBCOV) and abiotic (WTD and Temperature) and edaphic (BD, OM, pH, EC, moisture) factors to testate amoeba </w:t>
      </w:r>
      <w:r w:rsidR="008615F0" w:rsidRPr="004C75D3">
        <w:rPr>
          <w:rFonts w:cstheme="minorHAnsi"/>
          <w:bCs/>
        </w:rPr>
        <w:t>assemblages</w:t>
      </w:r>
      <w:r w:rsidRPr="004C75D3">
        <w:rPr>
          <w:rFonts w:cstheme="minorHAnsi"/>
          <w:bCs/>
        </w:rPr>
        <w:t>.</w:t>
      </w:r>
    </w:p>
    <w:p w14:paraId="76EB96DE" w14:textId="4707AA6D" w:rsidR="004C75D3" w:rsidRDefault="004C75D3" w:rsidP="00A75364">
      <w:pPr>
        <w:spacing w:line="276" w:lineRule="auto"/>
        <w:rPr>
          <w:rFonts w:ascii="Times New Roman" w:hAnsi="Times New Roman" w:cs="Times New Roman"/>
          <w:bCs/>
        </w:rPr>
      </w:pPr>
    </w:p>
    <w:p w14:paraId="0C21E11B" w14:textId="77777777" w:rsidR="004C75D3" w:rsidRDefault="004C75D3" w:rsidP="00A75364">
      <w:pPr>
        <w:spacing w:line="276" w:lineRule="auto"/>
        <w:rPr>
          <w:rFonts w:ascii="Times New Roman" w:hAnsi="Times New Roman" w:cs="Times New Roman"/>
          <w:bCs/>
        </w:rPr>
      </w:pPr>
    </w:p>
    <w:tbl>
      <w:tblPr>
        <w:tblStyle w:val="TableGrid"/>
        <w:tblW w:w="9356" w:type="dxa"/>
        <w:tblLook w:val="04A0" w:firstRow="1" w:lastRow="0" w:firstColumn="1" w:lastColumn="0" w:noHBand="0" w:noVBand="1"/>
      </w:tblPr>
      <w:tblGrid>
        <w:gridCol w:w="3393"/>
        <w:gridCol w:w="3119"/>
        <w:gridCol w:w="2844"/>
      </w:tblGrid>
      <w:tr w:rsidR="004C75D3" w:rsidRPr="00A75364" w14:paraId="5FB06DFA" w14:textId="77777777" w:rsidTr="004C75D3">
        <w:trPr>
          <w:trHeight w:val="780"/>
        </w:trPr>
        <w:tc>
          <w:tcPr>
            <w:tcW w:w="9356" w:type="dxa"/>
            <w:gridSpan w:val="3"/>
            <w:tcBorders>
              <w:top w:val="nil"/>
              <w:left w:val="nil"/>
              <w:bottom w:val="single" w:sz="4" w:space="0" w:color="auto"/>
              <w:right w:val="nil"/>
            </w:tcBorders>
            <w:hideMark/>
          </w:tcPr>
          <w:p w14:paraId="6E7D8050" w14:textId="3B1DC216" w:rsidR="004C75D3" w:rsidRPr="00A75364" w:rsidRDefault="004C75D3" w:rsidP="007D4C61">
            <w:pPr>
              <w:spacing w:line="276" w:lineRule="auto"/>
              <w:rPr>
                <w:rFonts w:cstheme="minorHAnsi"/>
                <w:bCs/>
              </w:rPr>
            </w:pPr>
            <w:r>
              <w:rPr>
                <w:rFonts w:cstheme="minorHAnsi"/>
                <w:b/>
                <w:bCs/>
              </w:rPr>
              <w:lastRenderedPageBreak/>
              <w:t>T</w:t>
            </w:r>
            <w:r w:rsidRPr="00A75364">
              <w:rPr>
                <w:rFonts w:cstheme="minorHAnsi"/>
                <w:b/>
                <w:bCs/>
              </w:rPr>
              <w:t xml:space="preserve">able </w:t>
            </w:r>
            <w:r>
              <w:rPr>
                <w:rFonts w:cstheme="minorHAnsi"/>
                <w:b/>
                <w:bCs/>
              </w:rPr>
              <w:t>1</w:t>
            </w:r>
            <w:r w:rsidRPr="00A75364">
              <w:rPr>
                <w:rFonts w:cstheme="minorHAnsi"/>
                <w:b/>
                <w:bCs/>
              </w:rPr>
              <w:t>.</w:t>
            </w:r>
            <w:r w:rsidRPr="00A75364">
              <w:rPr>
                <w:rFonts w:cstheme="minorHAnsi"/>
                <w:bCs/>
              </w:rPr>
              <w:t xml:space="preserve"> Indicator species </w:t>
            </w:r>
            <w:r>
              <w:rPr>
                <w:rFonts w:cstheme="minorHAnsi"/>
                <w:bCs/>
              </w:rPr>
              <w:t>identified in</w:t>
            </w:r>
            <w:r w:rsidRPr="00A75364">
              <w:rPr>
                <w:rFonts w:cstheme="minorHAnsi"/>
                <w:bCs/>
              </w:rPr>
              <w:t xml:space="preserve"> the </w:t>
            </w:r>
            <w:r>
              <w:rPr>
                <w:rFonts w:cstheme="minorHAnsi"/>
                <w:bCs/>
              </w:rPr>
              <w:t xml:space="preserve">three study areas (RES6YRS, RES17YRS and OPEN) </w:t>
            </w:r>
            <w:r w:rsidRPr="00A75364">
              <w:rPr>
                <w:rFonts w:cstheme="minorHAnsi"/>
                <w:bCs/>
              </w:rPr>
              <w:t xml:space="preserve">showing taxa with Indval &gt; 0.30 (except for </w:t>
            </w:r>
            <w:r w:rsidRPr="00A75364">
              <w:rPr>
                <w:rFonts w:cstheme="minorHAnsi"/>
                <w:bCs/>
                <w:i/>
                <w:iCs/>
              </w:rPr>
              <w:t>H. elegans</w:t>
            </w:r>
            <w:r w:rsidRPr="00A75364">
              <w:rPr>
                <w:rFonts w:cstheme="minorHAnsi"/>
                <w:bCs/>
              </w:rPr>
              <w:t xml:space="preserve"> and </w:t>
            </w:r>
            <w:r w:rsidRPr="00A75364">
              <w:rPr>
                <w:rFonts w:cstheme="minorHAnsi"/>
                <w:bCs/>
                <w:i/>
                <w:iCs/>
              </w:rPr>
              <w:t>H. papilio</w:t>
            </w:r>
            <w:r w:rsidRPr="00A75364">
              <w:rPr>
                <w:rFonts w:cstheme="minorHAnsi"/>
                <w:bCs/>
              </w:rPr>
              <w:t xml:space="preserve">), significant at p &lt; 0.01. </w:t>
            </w:r>
          </w:p>
        </w:tc>
      </w:tr>
      <w:tr w:rsidR="004C75D3" w:rsidRPr="00A75364" w14:paraId="2771A025" w14:textId="77777777" w:rsidTr="004C75D3">
        <w:trPr>
          <w:trHeight w:val="300"/>
        </w:trPr>
        <w:tc>
          <w:tcPr>
            <w:tcW w:w="3393" w:type="dxa"/>
            <w:tcBorders>
              <w:top w:val="single" w:sz="4" w:space="0" w:color="auto"/>
              <w:left w:val="nil"/>
              <w:bottom w:val="single" w:sz="4" w:space="0" w:color="auto"/>
              <w:right w:val="nil"/>
            </w:tcBorders>
            <w:noWrap/>
            <w:hideMark/>
          </w:tcPr>
          <w:p w14:paraId="0E7805D6" w14:textId="77777777" w:rsidR="004C75D3" w:rsidRPr="00A75364" w:rsidRDefault="004C75D3" w:rsidP="007D4C61">
            <w:pPr>
              <w:spacing w:line="276" w:lineRule="auto"/>
              <w:rPr>
                <w:rFonts w:cstheme="minorHAnsi"/>
                <w:b/>
                <w:bCs/>
              </w:rPr>
            </w:pPr>
            <w:r w:rsidRPr="00A75364">
              <w:rPr>
                <w:rFonts w:cstheme="minorHAnsi"/>
                <w:b/>
                <w:bCs/>
              </w:rPr>
              <w:t>RES6YRS</w:t>
            </w:r>
          </w:p>
        </w:tc>
        <w:tc>
          <w:tcPr>
            <w:tcW w:w="3119" w:type="dxa"/>
            <w:tcBorders>
              <w:top w:val="single" w:sz="4" w:space="0" w:color="auto"/>
              <w:left w:val="nil"/>
              <w:bottom w:val="single" w:sz="4" w:space="0" w:color="auto"/>
              <w:right w:val="nil"/>
            </w:tcBorders>
            <w:noWrap/>
            <w:hideMark/>
          </w:tcPr>
          <w:p w14:paraId="2D849971" w14:textId="77777777" w:rsidR="004C75D3" w:rsidRPr="00A75364" w:rsidRDefault="004C75D3" w:rsidP="007D4C61">
            <w:pPr>
              <w:spacing w:line="276" w:lineRule="auto"/>
              <w:rPr>
                <w:rFonts w:cstheme="minorHAnsi"/>
                <w:b/>
                <w:bCs/>
              </w:rPr>
            </w:pPr>
            <w:r w:rsidRPr="00A75364">
              <w:rPr>
                <w:rFonts w:cstheme="minorHAnsi"/>
                <w:b/>
                <w:bCs/>
              </w:rPr>
              <w:t>RES17YRS</w:t>
            </w:r>
          </w:p>
        </w:tc>
        <w:tc>
          <w:tcPr>
            <w:tcW w:w="2844" w:type="dxa"/>
            <w:tcBorders>
              <w:top w:val="single" w:sz="4" w:space="0" w:color="auto"/>
              <w:left w:val="nil"/>
              <w:bottom w:val="single" w:sz="4" w:space="0" w:color="auto"/>
              <w:right w:val="nil"/>
            </w:tcBorders>
            <w:noWrap/>
            <w:hideMark/>
          </w:tcPr>
          <w:p w14:paraId="52FF4E74" w14:textId="77777777" w:rsidR="004C75D3" w:rsidRPr="00A75364" w:rsidRDefault="004C75D3" w:rsidP="007D4C61">
            <w:pPr>
              <w:spacing w:line="276" w:lineRule="auto"/>
              <w:rPr>
                <w:rFonts w:cstheme="minorHAnsi"/>
                <w:b/>
                <w:bCs/>
              </w:rPr>
            </w:pPr>
            <w:r w:rsidRPr="00A75364">
              <w:rPr>
                <w:rFonts w:cstheme="minorHAnsi"/>
                <w:b/>
                <w:bCs/>
              </w:rPr>
              <w:t>OPEN</w:t>
            </w:r>
          </w:p>
        </w:tc>
      </w:tr>
      <w:tr w:rsidR="004C75D3" w:rsidRPr="00A75364" w14:paraId="2F677A5B" w14:textId="77777777" w:rsidTr="004C75D3">
        <w:trPr>
          <w:trHeight w:val="300"/>
        </w:trPr>
        <w:tc>
          <w:tcPr>
            <w:tcW w:w="3393" w:type="dxa"/>
            <w:tcBorders>
              <w:top w:val="single" w:sz="4" w:space="0" w:color="auto"/>
              <w:left w:val="nil"/>
              <w:bottom w:val="nil"/>
              <w:right w:val="nil"/>
            </w:tcBorders>
            <w:noWrap/>
            <w:hideMark/>
          </w:tcPr>
          <w:p w14:paraId="4D19636A" w14:textId="77777777" w:rsidR="004C75D3" w:rsidRPr="00A75364" w:rsidRDefault="004C75D3" w:rsidP="007D4C61">
            <w:pPr>
              <w:spacing w:line="276" w:lineRule="auto"/>
              <w:rPr>
                <w:rFonts w:cstheme="minorHAnsi"/>
                <w:bCs/>
              </w:rPr>
            </w:pPr>
            <w:r w:rsidRPr="00A75364">
              <w:rPr>
                <w:rFonts w:cstheme="minorHAnsi"/>
                <w:bCs/>
                <w:i/>
                <w:iCs/>
              </w:rPr>
              <w:t>Trigonopyxis arcula</w:t>
            </w:r>
            <w:r w:rsidRPr="00A75364">
              <w:rPr>
                <w:rFonts w:cstheme="minorHAnsi"/>
                <w:bCs/>
              </w:rPr>
              <w:t xml:space="preserve"> (0.87)</w:t>
            </w:r>
          </w:p>
        </w:tc>
        <w:tc>
          <w:tcPr>
            <w:tcW w:w="3119" w:type="dxa"/>
            <w:tcBorders>
              <w:top w:val="single" w:sz="4" w:space="0" w:color="auto"/>
              <w:left w:val="nil"/>
              <w:bottom w:val="nil"/>
              <w:right w:val="nil"/>
            </w:tcBorders>
            <w:noWrap/>
            <w:hideMark/>
          </w:tcPr>
          <w:p w14:paraId="6207A748" w14:textId="77777777" w:rsidR="004C75D3" w:rsidRPr="00A75364" w:rsidRDefault="004C75D3" w:rsidP="007D4C61">
            <w:pPr>
              <w:spacing w:line="276" w:lineRule="auto"/>
              <w:rPr>
                <w:rFonts w:cstheme="minorHAnsi"/>
                <w:bCs/>
              </w:rPr>
            </w:pPr>
            <w:r w:rsidRPr="00142DD5">
              <w:rPr>
                <w:rFonts w:cstheme="minorHAnsi"/>
                <w:i/>
              </w:rPr>
              <w:t>Galeripora</w:t>
            </w:r>
            <w:r w:rsidRPr="00A75364" w:rsidDel="002F2450">
              <w:rPr>
                <w:rFonts w:cstheme="minorHAnsi"/>
                <w:bCs/>
                <w:i/>
                <w:iCs/>
              </w:rPr>
              <w:t xml:space="preserve"> </w:t>
            </w:r>
            <w:r w:rsidRPr="00A75364">
              <w:rPr>
                <w:rFonts w:cstheme="minorHAnsi"/>
                <w:bCs/>
                <w:i/>
                <w:iCs/>
              </w:rPr>
              <w:t>discoide</w:t>
            </w:r>
            <w:r w:rsidRPr="00A75364">
              <w:rPr>
                <w:rFonts w:cstheme="minorHAnsi"/>
                <w:bCs/>
              </w:rPr>
              <w:t>s (0.62)</w:t>
            </w:r>
          </w:p>
        </w:tc>
        <w:tc>
          <w:tcPr>
            <w:tcW w:w="2844" w:type="dxa"/>
            <w:tcBorders>
              <w:top w:val="single" w:sz="4" w:space="0" w:color="auto"/>
              <w:left w:val="nil"/>
              <w:bottom w:val="nil"/>
              <w:right w:val="nil"/>
            </w:tcBorders>
            <w:noWrap/>
            <w:hideMark/>
          </w:tcPr>
          <w:p w14:paraId="5AA963D3" w14:textId="77777777" w:rsidR="004C75D3" w:rsidRPr="00A75364" w:rsidRDefault="004C75D3" w:rsidP="007D4C61">
            <w:pPr>
              <w:spacing w:line="276" w:lineRule="auto"/>
              <w:rPr>
                <w:rFonts w:cstheme="minorHAnsi"/>
                <w:bCs/>
              </w:rPr>
            </w:pPr>
            <w:r w:rsidRPr="00A75364">
              <w:rPr>
                <w:rFonts w:cstheme="minorHAnsi"/>
                <w:bCs/>
                <w:i/>
                <w:iCs/>
              </w:rPr>
              <w:t>Archerella flavum</w:t>
            </w:r>
            <w:r w:rsidRPr="00A75364">
              <w:rPr>
                <w:rFonts w:cstheme="minorHAnsi"/>
                <w:bCs/>
              </w:rPr>
              <w:t xml:space="preserve"> (0.53)</w:t>
            </w:r>
          </w:p>
        </w:tc>
      </w:tr>
      <w:tr w:rsidR="004C75D3" w:rsidRPr="00A75364" w14:paraId="317C0312" w14:textId="77777777" w:rsidTr="004C75D3">
        <w:trPr>
          <w:trHeight w:val="300"/>
        </w:trPr>
        <w:tc>
          <w:tcPr>
            <w:tcW w:w="3393" w:type="dxa"/>
            <w:tcBorders>
              <w:top w:val="nil"/>
              <w:left w:val="nil"/>
              <w:bottom w:val="nil"/>
              <w:right w:val="nil"/>
            </w:tcBorders>
            <w:noWrap/>
            <w:hideMark/>
          </w:tcPr>
          <w:p w14:paraId="2FCDD3B2" w14:textId="77777777" w:rsidR="004C75D3" w:rsidRPr="00A75364" w:rsidRDefault="004C75D3" w:rsidP="007D4C61">
            <w:pPr>
              <w:spacing w:line="276" w:lineRule="auto"/>
              <w:rPr>
                <w:rFonts w:cstheme="minorHAnsi"/>
                <w:bCs/>
              </w:rPr>
            </w:pPr>
            <w:r w:rsidRPr="00A75364">
              <w:rPr>
                <w:rFonts w:cstheme="minorHAnsi"/>
                <w:bCs/>
                <w:i/>
                <w:iCs/>
              </w:rPr>
              <w:t>Hyalosphenia subflava</w:t>
            </w:r>
            <w:r w:rsidRPr="00A75364">
              <w:rPr>
                <w:rFonts w:cstheme="minorHAnsi"/>
                <w:bCs/>
              </w:rPr>
              <w:t xml:space="preserve"> (0.76)</w:t>
            </w:r>
          </w:p>
        </w:tc>
        <w:tc>
          <w:tcPr>
            <w:tcW w:w="3119" w:type="dxa"/>
            <w:tcBorders>
              <w:top w:val="nil"/>
              <w:left w:val="nil"/>
              <w:bottom w:val="nil"/>
              <w:right w:val="nil"/>
            </w:tcBorders>
            <w:noWrap/>
            <w:hideMark/>
          </w:tcPr>
          <w:p w14:paraId="063F16F4" w14:textId="77777777" w:rsidR="004C75D3" w:rsidRPr="00A75364" w:rsidRDefault="004C75D3" w:rsidP="007D4C61">
            <w:pPr>
              <w:spacing w:line="276" w:lineRule="auto"/>
              <w:rPr>
                <w:rFonts w:cstheme="minorHAnsi"/>
                <w:bCs/>
              </w:rPr>
            </w:pPr>
            <w:r w:rsidRPr="00A75364">
              <w:rPr>
                <w:rFonts w:cstheme="minorHAnsi"/>
                <w:bCs/>
                <w:i/>
                <w:iCs/>
              </w:rPr>
              <w:t>Euglypha compressa</w:t>
            </w:r>
            <w:r w:rsidRPr="00A75364">
              <w:rPr>
                <w:rFonts w:cstheme="minorHAnsi"/>
                <w:bCs/>
              </w:rPr>
              <w:t xml:space="preserve"> (0.45)</w:t>
            </w:r>
          </w:p>
        </w:tc>
        <w:tc>
          <w:tcPr>
            <w:tcW w:w="2844" w:type="dxa"/>
            <w:tcBorders>
              <w:top w:val="nil"/>
              <w:left w:val="nil"/>
              <w:bottom w:val="nil"/>
              <w:right w:val="nil"/>
            </w:tcBorders>
            <w:noWrap/>
            <w:hideMark/>
          </w:tcPr>
          <w:p w14:paraId="3D604676" w14:textId="77777777" w:rsidR="004C75D3" w:rsidRPr="00A75364" w:rsidRDefault="004C75D3" w:rsidP="007D4C61">
            <w:pPr>
              <w:spacing w:line="276" w:lineRule="auto"/>
              <w:rPr>
                <w:rFonts w:cstheme="minorHAnsi"/>
                <w:bCs/>
              </w:rPr>
            </w:pPr>
            <w:r w:rsidRPr="00A75364">
              <w:rPr>
                <w:rFonts w:cstheme="minorHAnsi"/>
                <w:bCs/>
                <w:i/>
                <w:iCs/>
              </w:rPr>
              <w:t>Hyalosphenia elegans</w:t>
            </w:r>
            <w:r w:rsidRPr="00A75364">
              <w:rPr>
                <w:rFonts w:cstheme="minorHAnsi"/>
                <w:bCs/>
              </w:rPr>
              <w:t xml:space="preserve"> (0.18)</w:t>
            </w:r>
          </w:p>
        </w:tc>
      </w:tr>
      <w:tr w:rsidR="004C75D3" w:rsidRPr="00A75364" w14:paraId="559C1B18" w14:textId="77777777" w:rsidTr="004C75D3">
        <w:trPr>
          <w:trHeight w:val="300"/>
        </w:trPr>
        <w:tc>
          <w:tcPr>
            <w:tcW w:w="3393" w:type="dxa"/>
            <w:tcBorders>
              <w:top w:val="nil"/>
              <w:left w:val="nil"/>
              <w:bottom w:val="nil"/>
              <w:right w:val="nil"/>
            </w:tcBorders>
            <w:noWrap/>
            <w:hideMark/>
          </w:tcPr>
          <w:p w14:paraId="7D8E9A15" w14:textId="77777777" w:rsidR="004C75D3" w:rsidRPr="00A75364" w:rsidRDefault="004C75D3" w:rsidP="007D4C61">
            <w:pPr>
              <w:spacing w:line="276" w:lineRule="auto"/>
              <w:rPr>
                <w:rFonts w:cstheme="minorHAnsi"/>
                <w:bCs/>
              </w:rPr>
            </w:pPr>
            <w:r w:rsidRPr="00A75364">
              <w:rPr>
                <w:rFonts w:cstheme="minorHAnsi"/>
                <w:bCs/>
                <w:i/>
                <w:iCs/>
              </w:rPr>
              <w:t>Trinema lineare</w:t>
            </w:r>
            <w:r w:rsidRPr="00A75364">
              <w:rPr>
                <w:rFonts w:cstheme="minorHAnsi"/>
                <w:bCs/>
              </w:rPr>
              <w:t xml:space="preserve"> (0.70)</w:t>
            </w:r>
          </w:p>
        </w:tc>
        <w:tc>
          <w:tcPr>
            <w:tcW w:w="3119" w:type="dxa"/>
            <w:tcBorders>
              <w:top w:val="nil"/>
              <w:left w:val="nil"/>
              <w:bottom w:val="nil"/>
              <w:right w:val="nil"/>
            </w:tcBorders>
            <w:noWrap/>
            <w:hideMark/>
          </w:tcPr>
          <w:p w14:paraId="62BA21F2" w14:textId="77777777" w:rsidR="004C75D3" w:rsidRPr="00A75364" w:rsidRDefault="004C75D3" w:rsidP="007D4C61">
            <w:pPr>
              <w:spacing w:line="276" w:lineRule="auto"/>
              <w:rPr>
                <w:rFonts w:cstheme="minorHAnsi"/>
                <w:bCs/>
              </w:rPr>
            </w:pPr>
            <w:r w:rsidRPr="00A75364">
              <w:rPr>
                <w:rFonts w:cstheme="minorHAnsi"/>
                <w:bCs/>
                <w:i/>
                <w:iCs/>
              </w:rPr>
              <w:t>Cryptodifflugia oviformis</w:t>
            </w:r>
            <w:r w:rsidRPr="00A75364">
              <w:rPr>
                <w:rFonts w:cstheme="minorHAnsi"/>
                <w:bCs/>
              </w:rPr>
              <w:t xml:space="preserve"> (0.43)</w:t>
            </w:r>
          </w:p>
        </w:tc>
        <w:tc>
          <w:tcPr>
            <w:tcW w:w="2844" w:type="dxa"/>
            <w:tcBorders>
              <w:top w:val="nil"/>
              <w:left w:val="nil"/>
              <w:bottom w:val="nil"/>
              <w:right w:val="nil"/>
            </w:tcBorders>
            <w:noWrap/>
            <w:hideMark/>
          </w:tcPr>
          <w:p w14:paraId="19B526BF" w14:textId="77777777" w:rsidR="004C75D3" w:rsidRPr="00A75364" w:rsidRDefault="004C75D3" w:rsidP="007D4C61">
            <w:pPr>
              <w:spacing w:line="276" w:lineRule="auto"/>
              <w:rPr>
                <w:rFonts w:cstheme="minorHAnsi"/>
                <w:bCs/>
              </w:rPr>
            </w:pPr>
            <w:r w:rsidRPr="00A75364">
              <w:rPr>
                <w:rFonts w:cstheme="minorHAnsi"/>
                <w:bCs/>
                <w:i/>
                <w:iCs/>
              </w:rPr>
              <w:t>Hyalosphenia papilio</w:t>
            </w:r>
            <w:r w:rsidRPr="00A75364">
              <w:rPr>
                <w:rFonts w:cstheme="minorHAnsi"/>
                <w:bCs/>
              </w:rPr>
              <w:t xml:space="preserve"> (0.18)</w:t>
            </w:r>
          </w:p>
        </w:tc>
      </w:tr>
      <w:tr w:rsidR="004C75D3" w:rsidRPr="00A75364" w14:paraId="19C346CA" w14:textId="77777777" w:rsidTr="004C75D3">
        <w:trPr>
          <w:trHeight w:val="300"/>
        </w:trPr>
        <w:tc>
          <w:tcPr>
            <w:tcW w:w="3393" w:type="dxa"/>
            <w:tcBorders>
              <w:top w:val="nil"/>
              <w:left w:val="nil"/>
              <w:bottom w:val="nil"/>
              <w:right w:val="nil"/>
            </w:tcBorders>
            <w:noWrap/>
            <w:hideMark/>
          </w:tcPr>
          <w:p w14:paraId="60C839EA" w14:textId="77777777" w:rsidR="004C75D3" w:rsidRPr="00A75364" w:rsidRDefault="004C75D3" w:rsidP="007D4C61">
            <w:pPr>
              <w:spacing w:line="276" w:lineRule="auto"/>
              <w:rPr>
                <w:rFonts w:cstheme="minorHAnsi"/>
                <w:bCs/>
              </w:rPr>
            </w:pPr>
            <w:r w:rsidRPr="00A75364">
              <w:rPr>
                <w:rFonts w:cstheme="minorHAnsi"/>
                <w:bCs/>
                <w:i/>
                <w:iCs/>
              </w:rPr>
              <w:t>Nebela militaris</w:t>
            </w:r>
            <w:r w:rsidRPr="00A75364">
              <w:rPr>
                <w:rFonts w:cstheme="minorHAnsi"/>
                <w:bCs/>
              </w:rPr>
              <w:t xml:space="preserve"> (0.57)</w:t>
            </w:r>
          </w:p>
        </w:tc>
        <w:tc>
          <w:tcPr>
            <w:tcW w:w="3119" w:type="dxa"/>
            <w:tcBorders>
              <w:top w:val="nil"/>
              <w:left w:val="nil"/>
              <w:bottom w:val="nil"/>
              <w:right w:val="nil"/>
            </w:tcBorders>
            <w:noWrap/>
            <w:hideMark/>
          </w:tcPr>
          <w:p w14:paraId="7C62A9CF" w14:textId="77777777" w:rsidR="004C75D3" w:rsidRPr="00A75364" w:rsidRDefault="004C75D3" w:rsidP="007D4C61">
            <w:pPr>
              <w:spacing w:line="276" w:lineRule="auto"/>
              <w:rPr>
                <w:rFonts w:cstheme="minorHAnsi"/>
                <w:bCs/>
              </w:rPr>
            </w:pPr>
            <w:r w:rsidRPr="00A75364">
              <w:rPr>
                <w:rFonts w:cstheme="minorHAnsi"/>
                <w:bCs/>
                <w:i/>
                <w:iCs/>
              </w:rPr>
              <w:t>Euglypha strigosa</w:t>
            </w:r>
            <w:r w:rsidRPr="00A75364">
              <w:rPr>
                <w:rFonts w:cstheme="minorHAnsi"/>
                <w:bCs/>
              </w:rPr>
              <w:t xml:space="preserve"> (0.38)</w:t>
            </w:r>
          </w:p>
        </w:tc>
        <w:tc>
          <w:tcPr>
            <w:tcW w:w="2844" w:type="dxa"/>
            <w:tcBorders>
              <w:top w:val="nil"/>
              <w:left w:val="nil"/>
              <w:bottom w:val="nil"/>
              <w:right w:val="nil"/>
            </w:tcBorders>
            <w:noWrap/>
            <w:hideMark/>
          </w:tcPr>
          <w:p w14:paraId="7019684D" w14:textId="77777777" w:rsidR="004C75D3" w:rsidRPr="00A75364" w:rsidRDefault="004C75D3" w:rsidP="007D4C61">
            <w:pPr>
              <w:spacing w:line="276" w:lineRule="auto"/>
              <w:rPr>
                <w:rFonts w:cstheme="minorHAnsi"/>
                <w:bCs/>
              </w:rPr>
            </w:pPr>
          </w:p>
        </w:tc>
      </w:tr>
      <w:tr w:rsidR="004C75D3" w:rsidRPr="00A75364" w14:paraId="66CCB05E" w14:textId="77777777" w:rsidTr="004C75D3">
        <w:trPr>
          <w:trHeight w:val="300"/>
        </w:trPr>
        <w:tc>
          <w:tcPr>
            <w:tcW w:w="3393" w:type="dxa"/>
            <w:tcBorders>
              <w:top w:val="nil"/>
              <w:left w:val="nil"/>
              <w:bottom w:val="nil"/>
              <w:right w:val="nil"/>
            </w:tcBorders>
            <w:noWrap/>
            <w:hideMark/>
          </w:tcPr>
          <w:p w14:paraId="737F6DC0" w14:textId="77777777" w:rsidR="004C75D3" w:rsidRPr="00A75364" w:rsidRDefault="004C75D3" w:rsidP="007D4C61">
            <w:pPr>
              <w:spacing w:line="276" w:lineRule="auto"/>
              <w:rPr>
                <w:rFonts w:cstheme="minorHAnsi"/>
                <w:bCs/>
              </w:rPr>
            </w:pPr>
            <w:r w:rsidRPr="00A75364">
              <w:rPr>
                <w:rFonts w:cstheme="minorHAnsi"/>
                <w:bCs/>
                <w:i/>
                <w:iCs/>
              </w:rPr>
              <w:t>Euglypha tuberculata</w:t>
            </w:r>
            <w:r w:rsidRPr="00A75364">
              <w:rPr>
                <w:rFonts w:cstheme="minorHAnsi"/>
                <w:bCs/>
              </w:rPr>
              <w:t xml:space="preserve"> type (0.53)</w:t>
            </w:r>
          </w:p>
        </w:tc>
        <w:tc>
          <w:tcPr>
            <w:tcW w:w="3119" w:type="dxa"/>
            <w:tcBorders>
              <w:top w:val="nil"/>
              <w:left w:val="nil"/>
              <w:bottom w:val="nil"/>
              <w:right w:val="nil"/>
            </w:tcBorders>
            <w:noWrap/>
            <w:hideMark/>
          </w:tcPr>
          <w:p w14:paraId="7AA24BB1" w14:textId="77777777" w:rsidR="004C75D3" w:rsidRPr="00A75364" w:rsidRDefault="004C75D3" w:rsidP="007D4C61">
            <w:pPr>
              <w:spacing w:line="276" w:lineRule="auto"/>
              <w:rPr>
                <w:rFonts w:cstheme="minorHAnsi"/>
                <w:bCs/>
              </w:rPr>
            </w:pPr>
            <w:r w:rsidRPr="00A75364">
              <w:rPr>
                <w:rFonts w:cstheme="minorHAnsi"/>
                <w:bCs/>
                <w:i/>
                <w:iCs/>
              </w:rPr>
              <w:t>Assulina seminulum</w:t>
            </w:r>
            <w:r w:rsidRPr="00A75364">
              <w:rPr>
                <w:rFonts w:cstheme="minorHAnsi"/>
                <w:bCs/>
              </w:rPr>
              <w:t xml:space="preserve"> (0.32)</w:t>
            </w:r>
          </w:p>
        </w:tc>
        <w:tc>
          <w:tcPr>
            <w:tcW w:w="2844" w:type="dxa"/>
            <w:tcBorders>
              <w:top w:val="nil"/>
              <w:left w:val="nil"/>
              <w:bottom w:val="nil"/>
              <w:right w:val="nil"/>
            </w:tcBorders>
            <w:noWrap/>
            <w:hideMark/>
          </w:tcPr>
          <w:p w14:paraId="3F3EC9B3" w14:textId="77777777" w:rsidR="004C75D3" w:rsidRPr="00A75364" w:rsidRDefault="004C75D3" w:rsidP="007D4C61">
            <w:pPr>
              <w:spacing w:line="276" w:lineRule="auto"/>
              <w:rPr>
                <w:rFonts w:cstheme="minorHAnsi"/>
                <w:bCs/>
              </w:rPr>
            </w:pPr>
          </w:p>
        </w:tc>
      </w:tr>
      <w:tr w:rsidR="004C75D3" w:rsidRPr="00A75364" w14:paraId="5F31038F" w14:textId="77777777" w:rsidTr="004C75D3">
        <w:trPr>
          <w:trHeight w:val="300"/>
        </w:trPr>
        <w:tc>
          <w:tcPr>
            <w:tcW w:w="3393" w:type="dxa"/>
            <w:tcBorders>
              <w:top w:val="nil"/>
              <w:left w:val="nil"/>
              <w:bottom w:val="single" w:sz="4" w:space="0" w:color="auto"/>
              <w:right w:val="nil"/>
            </w:tcBorders>
            <w:noWrap/>
            <w:hideMark/>
          </w:tcPr>
          <w:p w14:paraId="5596E5E8" w14:textId="0AC5838E" w:rsidR="004C75D3" w:rsidRPr="00A75364" w:rsidRDefault="004C75D3" w:rsidP="007D4C61">
            <w:pPr>
              <w:spacing w:line="276" w:lineRule="auto"/>
              <w:rPr>
                <w:rFonts w:cstheme="minorHAnsi"/>
                <w:bCs/>
              </w:rPr>
            </w:pPr>
            <w:r w:rsidRPr="00A75364">
              <w:rPr>
                <w:rFonts w:cstheme="minorHAnsi"/>
                <w:bCs/>
                <w:i/>
                <w:iCs/>
              </w:rPr>
              <w:t xml:space="preserve">Euglypha rotunda/laevis </w:t>
            </w:r>
            <w:r w:rsidRPr="00A75364">
              <w:rPr>
                <w:rFonts w:cstheme="minorHAnsi"/>
                <w:bCs/>
              </w:rPr>
              <w:t>(0.41)</w:t>
            </w:r>
          </w:p>
        </w:tc>
        <w:tc>
          <w:tcPr>
            <w:tcW w:w="3119" w:type="dxa"/>
            <w:tcBorders>
              <w:top w:val="nil"/>
              <w:left w:val="nil"/>
              <w:bottom w:val="single" w:sz="4" w:space="0" w:color="auto"/>
              <w:right w:val="nil"/>
            </w:tcBorders>
            <w:noWrap/>
            <w:hideMark/>
          </w:tcPr>
          <w:p w14:paraId="18FED45E" w14:textId="77777777" w:rsidR="004C75D3" w:rsidRPr="00A75364" w:rsidRDefault="004C75D3" w:rsidP="007D4C61">
            <w:pPr>
              <w:spacing w:line="276" w:lineRule="auto"/>
              <w:rPr>
                <w:rFonts w:cstheme="minorHAnsi"/>
                <w:bCs/>
              </w:rPr>
            </w:pPr>
          </w:p>
        </w:tc>
        <w:tc>
          <w:tcPr>
            <w:tcW w:w="2844" w:type="dxa"/>
            <w:tcBorders>
              <w:top w:val="nil"/>
              <w:left w:val="nil"/>
              <w:bottom w:val="single" w:sz="4" w:space="0" w:color="auto"/>
              <w:right w:val="nil"/>
            </w:tcBorders>
            <w:noWrap/>
            <w:hideMark/>
          </w:tcPr>
          <w:p w14:paraId="0325E0E3" w14:textId="77777777" w:rsidR="004C75D3" w:rsidRPr="00A75364" w:rsidRDefault="004C75D3" w:rsidP="007D4C61">
            <w:pPr>
              <w:spacing w:line="276" w:lineRule="auto"/>
              <w:rPr>
                <w:rFonts w:cstheme="minorHAnsi"/>
                <w:bCs/>
              </w:rPr>
            </w:pPr>
          </w:p>
        </w:tc>
      </w:tr>
    </w:tbl>
    <w:p w14:paraId="44781464" w14:textId="77777777" w:rsidR="004C75D3" w:rsidRPr="00A75364" w:rsidRDefault="004C75D3" w:rsidP="00A75364">
      <w:pPr>
        <w:spacing w:line="276" w:lineRule="auto"/>
        <w:rPr>
          <w:rFonts w:ascii="Times New Roman" w:hAnsi="Times New Roman" w:cs="Times New Roman"/>
          <w:bCs/>
        </w:rPr>
      </w:pPr>
    </w:p>
    <w:p w14:paraId="75E246F0" w14:textId="77777777" w:rsidR="00A75364" w:rsidRPr="00A75364" w:rsidRDefault="00A75364" w:rsidP="00A75364">
      <w:pPr>
        <w:spacing w:line="276" w:lineRule="auto"/>
        <w:rPr>
          <w:rFonts w:ascii="Times New Roman" w:hAnsi="Times New Roman" w:cs="Times New Roman"/>
          <w:bCs/>
        </w:rPr>
      </w:pPr>
    </w:p>
    <w:p w14:paraId="04C865D8" w14:textId="77777777" w:rsidR="00A75364" w:rsidRPr="00A75364" w:rsidRDefault="00A75364" w:rsidP="00A75364">
      <w:pPr>
        <w:spacing w:line="276" w:lineRule="auto"/>
        <w:rPr>
          <w:rFonts w:ascii="Times New Roman" w:hAnsi="Times New Roman" w:cs="Times New Roman"/>
          <w:bCs/>
        </w:rPr>
      </w:pPr>
    </w:p>
    <w:p w14:paraId="16F7BE4D" w14:textId="77777777" w:rsidR="00A75364" w:rsidRPr="00A75364" w:rsidRDefault="00A75364" w:rsidP="00A75364">
      <w:pPr>
        <w:spacing w:line="276" w:lineRule="auto"/>
        <w:rPr>
          <w:rFonts w:ascii="Times New Roman" w:hAnsi="Times New Roman" w:cs="Times New Roman"/>
          <w:bCs/>
        </w:rPr>
      </w:pPr>
    </w:p>
    <w:p w14:paraId="56AABCB6" w14:textId="77777777" w:rsidR="00A75364" w:rsidRPr="00017930" w:rsidRDefault="00A75364" w:rsidP="00261F11">
      <w:pPr>
        <w:spacing w:line="276" w:lineRule="auto"/>
        <w:rPr>
          <w:rFonts w:ascii="Times New Roman" w:hAnsi="Times New Roman" w:cs="Times New Roman"/>
          <w:bCs/>
        </w:rPr>
      </w:pPr>
    </w:p>
    <w:sectPr w:rsidR="00A75364" w:rsidRPr="00017930" w:rsidSect="0058514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4FE"/>
    <w:multiLevelType w:val="hybridMultilevel"/>
    <w:tmpl w:val="C29C8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D"/>
    <w:rsid w:val="00000009"/>
    <w:rsid w:val="0000366B"/>
    <w:rsid w:val="00011A8E"/>
    <w:rsid w:val="00017112"/>
    <w:rsid w:val="00017930"/>
    <w:rsid w:val="00020753"/>
    <w:rsid w:val="00022C87"/>
    <w:rsid w:val="00034B8F"/>
    <w:rsid w:val="000638FB"/>
    <w:rsid w:val="00070679"/>
    <w:rsid w:val="00081BD3"/>
    <w:rsid w:val="000A7A3A"/>
    <w:rsid w:val="000B0C8A"/>
    <w:rsid w:val="000B2535"/>
    <w:rsid w:val="000D50AC"/>
    <w:rsid w:val="000E4150"/>
    <w:rsid w:val="0010186B"/>
    <w:rsid w:val="001113F9"/>
    <w:rsid w:val="00112C69"/>
    <w:rsid w:val="0011701B"/>
    <w:rsid w:val="00132E61"/>
    <w:rsid w:val="00145A16"/>
    <w:rsid w:val="001642FA"/>
    <w:rsid w:val="00175AE3"/>
    <w:rsid w:val="001778F8"/>
    <w:rsid w:val="001A4A34"/>
    <w:rsid w:val="001A5730"/>
    <w:rsid w:val="001C1AC9"/>
    <w:rsid w:val="001C62D5"/>
    <w:rsid w:val="001C7A1A"/>
    <w:rsid w:val="001D143F"/>
    <w:rsid w:val="001E27D8"/>
    <w:rsid w:val="001E4E21"/>
    <w:rsid w:val="0020443F"/>
    <w:rsid w:val="0020603E"/>
    <w:rsid w:val="0021239E"/>
    <w:rsid w:val="00215ACC"/>
    <w:rsid w:val="00216AA7"/>
    <w:rsid w:val="00217A1D"/>
    <w:rsid w:val="00217BC4"/>
    <w:rsid w:val="00232839"/>
    <w:rsid w:val="002618B4"/>
    <w:rsid w:val="00261E6B"/>
    <w:rsid w:val="00261F11"/>
    <w:rsid w:val="00262D9F"/>
    <w:rsid w:val="00276A46"/>
    <w:rsid w:val="00277591"/>
    <w:rsid w:val="0028603B"/>
    <w:rsid w:val="00290B54"/>
    <w:rsid w:val="00292FDE"/>
    <w:rsid w:val="00293CBE"/>
    <w:rsid w:val="002A1103"/>
    <w:rsid w:val="002A1DFD"/>
    <w:rsid w:val="002B6A8D"/>
    <w:rsid w:val="002C02E2"/>
    <w:rsid w:val="002C3AF6"/>
    <w:rsid w:val="002D246C"/>
    <w:rsid w:val="002D2A98"/>
    <w:rsid w:val="002E4B22"/>
    <w:rsid w:val="002E4B28"/>
    <w:rsid w:val="002E7F9D"/>
    <w:rsid w:val="002F2450"/>
    <w:rsid w:val="002F3A72"/>
    <w:rsid w:val="00300F96"/>
    <w:rsid w:val="003015BB"/>
    <w:rsid w:val="00301635"/>
    <w:rsid w:val="00303EE4"/>
    <w:rsid w:val="00306CEE"/>
    <w:rsid w:val="00320D51"/>
    <w:rsid w:val="003277C4"/>
    <w:rsid w:val="00340031"/>
    <w:rsid w:val="003413A7"/>
    <w:rsid w:val="00344CD1"/>
    <w:rsid w:val="003657D9"/>
    <w:rsid w:val="00386A0F"/>
    <w:rsid w:val="00397B73"/>
    <w:rsid w:val="003A0C35"/>
    <w:rsid w:val="003A5C08"/>
    <w:rsid w:val="003B037F"/>
    <w:rsid w:val="003E001E"/>
    <w:rsid w:val="00422D1A"/>
    <w:rsid w:val="0043694D"/>
    <w:rsid w:val="00452296"/>
    <w:rsid w:val="004578BC"/>
    <w:rsid w:val="004730DB"/>
    <w:rsid w:val="00474476"/>
    <w:rsid w:val="00475867"/>
    <w:rsid w:val="00495913"/>
    <w:rsid w:val="004A110A"/>
    <w:rsid w:val="004C32CC"/>
    <w:rsid w:val="004C4F6A"/>
    <w:rsid w:val="004C75D3"/>
    <w:rsid w:val="004E126C"/>
    <w:rsid w:val="00500E27"/>
    <w:rsid w:val="00511ADA"/>
    <w:rsid w:val="005242BA"/>
    <w:rsid w:val="00541456"/>
    <w:rsid w:val="00553266"/>
    <w:rsid w:val="0055522D"/>
    <w:rsid w:val="00562DAD"/>
    <w:rsid w:val="00571B1F"/>
    <w:rsid w:val="00577019"/>
    <w:rsid w:val="0058514C"/>
    <w:rsid w:val="00587247"/>
    <w:rsid w:val="005A314A"/>
    <w:rsid w:val="005A6B95"/>
    <w:rsid w:val="005A7A1A"/>
    <w:rsid w:val="005B20DA"/>
    <w:rsid w:val="005B3A95"/>
    <w:rsid w:val="005C3B6F"/>
    <w:rsid w:val="005C68CE"/>
    <w:rsid w:val="005E095C"/>
    <w:rsid w:val="005E46CE"/>
    <w:rsid w:val="0060168B"/>
    <w:rsid w:val="00613AE0"/>
    <w:rsid w:val="00614A03"/>
    <w:rsid w:val="006213C5"/>
    <w:rsid w:val="00622F5D"/>
    <w:rsid w:val="00625579"/>
    <w:rsid w:val="00635445"/>
    <w:rsid w:val="00637A9B"/>
    <w:rsid w:val="0064469D"/>
    <w:rsid w:val="00653E76"/>
    <w:rsid w:val="00655AED"/>
    <w:rsid w:val="00667F3F"/>
    <w:rsid w:val="00674C26"/>
    <w:rsid w:val="00675DD2"/>
    <w:rsid w:val="00685447"/>
    <w:rsid w:val="006A3261"/>
    <w:rsid w:val="006B0BF7"/>
    <w:rsid w:val="006C3771"/>
    <w:rsid w:val="006C3D03"/>
    <w:rsid w:val="006D46BF"/>
    <w:rsid w:val="006E711C"/>
    <w:rsid w:val="006E7C77"/>
    <w:rsid w:val="00704067"/>
    <w:rsid w:val="00704E11"/>
    <w:rsid w:val="0070622B"/>
    <w:rsid w:val="007136F0"/>
    <w:rsid w:val="00733BA3"/>
    <w:rsid w:val="00744B3E"/>
    <w:rsid w:val="0075611F"/>
    <w:rsid w:val="00764FA0"/>
    <w:rsid w:val="00777158"/>
    <w:rsid w:val="007A19D6"/>
    <w:rsid w:val="007B21A7"/>
    <w:rsid w:val="007C21E7"/>
    <w:rsid w:val="007D2723"/>
    <w:rsid w:val="007E0300"/>
    <w:rsid w:val="007F2011"/>
    <w:rsid w:val="0080298C"/>
    <w:rsid w:val="00807A73"/>
    <w:rsid w:val="0081682F"/>
    <w:rsid w:val="00834E4A"/>
    <w:rsid w:val="00843D82"/>
    <w:rsid w:val="008502F5"/>
    <w:rsid w:val="00855E2D"/>
    <w:rsid w:val="008615F0"/>
    <w:rsid w:val="008633F2"/>
    <w:rsid w:val="0086594F"/>
    <w:rsid w:val="00881897"/>
    <w:rsid w:val="00881D25"/>
    <w:rsid w:val="00891A82"/>
    <w:rsid w:val="00891B5D"/>
    <w:rsid w:val="00895C65"/>
    <w:rsid w:val="008B0920"/>
    <w:rsid w:val="008B4225"/>
    <w:rsid w:val="008D6ACA"/>
    <w:rsid w:val="008D76A6"/>
    <w:rsid w:val="00905C7E"/>
    <w:rsid w:val="009149AE"/>
    <w:rsid w:val="00920ACF"/>
    <w:rsid w:val="0092393C"/>
    <w:rsid w:val="0092747F"/>
    <w:rsid w:val="00934713"/>
    <w:rsid w:val="00935F50"/>
    <w:rsid w:val="00936AEC"/>
    <w:rsid w:val="009421B3"/>
    <w:rsid w:val="00956FA5"/>
    <w:rsid w:val="009649AF"/>
    <w:rsid w:val="00966684"/>
    <w:rsid w:val="00971E8D"/>
    <w:rsid w:val="00972369"/>
    <w:rsid w:val="009736A6"/>
    <w:rsid w:val="00977212"/>
    <w:rsid w:val="009830ED"/>
    <w:rsid w:val="00990628"/>
    <w:rsid w:val="009A219A"/>
    <w:rsid w:val="009A2590"/>
    <w:rsid w:val="009B4B8A"/>
    <w:rsid w:val="009C2C51"/>
    <w:rsid w:val="009E1610"/>
    <w:rsid w:val="009F5477"/>
    <w:rsid w:val="00A069DC"/>
    <w:rsid w:val="00A07DC6"/>
    <w:rsid w:val="00A27329"/>
    <w:rsid w:val="00A4405B"/>
    <w:rsid w:val="00A56E5F"/>
    <w:rsid w:val="00A64CF5"/>
    <w:rsid w:val="00A75364"/>
    <w:rsid w:val="00A904A1"/>
    <w:rsid w:val="00A90598"/>
    <w:rsid w:val="00A978BF"/>
    <w:rsid w:val="00AA0EEE"/>
    <w:rsid w:val="00AA3A92"/>
    <w:rsid w:val="00AB0F32"/>
    <w:rsid w:val="00AD018A"/>
    <w:rsid w:val="00AF58A1"/>
    <w:rsid w:val="00AF791E"/>
    <w:rsid w:val="00B00C41"/>
    <w:rsid w:val="00B00D74"/>
    <w:rsid w:val="00B12FE5"/>
    <w:rsid w:val="00B1780E"/>
    <w:rsid w:val="00B24D4E"/>
    <w:rsid w:val="00B35E3F"/>
    <w:rsid w:val="00B52D35"/>
    <w:rsid w:val="00B72E42"/>
    <w:rsid w:val="00B841AE"/>
    <w:rsid w:val="00B974A5"/>
    <w:rsid w:val="00B97BBE"/>
    <w:rsid w:val="00BA0D2A"/>
    <w:rsid w:val="00BA5E23"/>
    <w:rsid w:val="00BC1748"/>
    <w:rsid w:val="00BE3BAF"/>
    <w:rsid w:val="00BF1B6D"/>
    <w:rsid w:val="00C0290A"/>
    <w:rsid w:val="00C05505"/>
    <w:rsid w:val="00C110B2"/>
    <w:rsid w:val="00C225AB"/>
    <w:rsid w:val="00C22617"/>
    <w:rsid w:val="00C54D7C"/>
    <w:rsid w:val="00C61B86"/>
    <w:rsid w:val="00C64D70"/>
    <w:rsid w:val="00C917EF"/>
    <w:rsid w:val="00CB670D"/>
    <w:rsid w:val="00CE596B"/>
    <w:rsid w:val="00CE7814"/>
    <w:rsid w:val="00CF5144"/>
    <w:rsid w:val="00D024BE"/>
    <w:rsid w:val="00D02D61"/>
    <w:rsid w:val="00D11662"/>
    <w:rsid w:val="00D1447C"/>
    <w:rsid w:val="00D2446B"/>
    <w:rsid w:val="00D35CAD"/>
    <w:rsid w:val="00D47EB6"/>
    <w:rsid w:val="00D523E6"/>
    <w:rsid w:val="00D53253"/>
    <w:rsid w:val="00D72558"/>
    <w:rsid w:val="00D8242B"/>
    <w:rsid w:val="00D925D8"/>
    <w:rsid w:val="00DA7DF6"/>
    <w:rsid w:val="00DB44FC"/>
    <w:rsid w:val="00DC026E"/>
    <w:rsid w:val="00DC7D01"/>
    <w:rsid w:val="00DD5FAC"/>
    <w:rsid w:val="00DD72AD"/>
    <w:rsid w:val="00DE17B9"/>
    <w:rsid w:val="00DE2DC9"/>
    <w:rsid w:val="00DF5554"/>
    <w:rsid w:val="00E02541"/>
    <w:rsid w:val="00E14A16"/>
    <w:rsid w:val="00E25B82"/>
    <w:rsid w:val="00E3073C"/>
    <w:rsid w:val="00E32998"/>
    <w:rsid w:val="00E3549F"/>
    <w:rsid w:val="00E37E5F"/>
    <w:rsid w:val="00E43EDB"/>
    <w:rsid w:val="00E446EA"/>
    <w:rsid w:val="00E5146E"/>
    <w:rsid w:val="00E54ECC"/>
    <w:rsid w:val="00E64DA9"/>
    <w:rsid w:val="00E7166F"/>
    <w:rsid w:val="00E77BD5"/>
    <w:rsid w:val="00E8126E"/>
    <w:rsid w:val="00E905CD"/>
    <w:rsid w:val="00EA3412"/>
    <w:rsid w:val="00EB5D85"/>
    <w:rsid w:val="00EC18DB"/>
    <w:rsid w:val="00ED42EC"/>
    <w:rsid w:val="00ED4B6D"/>
    <w:rsid w:val="00ED71C7"/>
    <w:rsid w:val="00EF5BFD"/>
    <w:rsid w:val="00EF5F01"/>
    <w:rsid w:val="00EF6A19"/>
    <w:rsid w:val="00EF77CF"/>
    <w:rsid w:val="00F06E74"/>
    <w:rsid w:val="00F12D19"/>
    <w:rsid w:val="00F34284"/>
    <w:rsid w:val="00F3552D"/>
    <w:rsid w:val="00F56018"/>
    <w:rsid w:val="00F6180F"/>
    <w:rsid w:val="00F77A10"/>
    <w:rsid w:val="00F85F24"/>
    <w:rsid w:val="00F9735A"/>
    <w:rsid w:val="00FA6473"/>
    <w:rsid w:val="00FB2CB4"/>
    <w:rsid w:val="00FE24B7"/>
    <w:rsid w:val="00FE7BE1"/>
    <w:rsid w:val="00FF0E50"/>
    <w:rsid w:val="00FF1742"/>
    <w:rsid w:val="00FF3A7F"/>
    <w:rsid w:val="00FF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B586"/>
  <w15:docId w15:val="{372F017D-577C-44F8-B322-55123AE4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4150"/>
    <w:rPr>
      <w:sz w:val="16"/>
      <w:szCs w:val="16"/>
    </w:rPr>
  </w:style>
  <w:style w:type="paragraph" w:styleId="CommentText">
    <w:name w:val="annotation text"/>
    <w:basedOn w:val="Normal"/>
    <w:link w:val="CommentTextChar"/>
    <w:uiPriority w:val="99"/>
    <w:semiHidden/>
    <w:unhideWhenUsed/>
    <w:rsid w:val="000E4150"/>
    <w:pPr>
      <w:spacing w:line="240" w:lineRule="auto"/>
    </w:pPr>
    <w:rPr>
      <w:sz w:val="20"/>
      <w:szCs w:val="20"/>
    </w:rPr>
  </w:style>
  <w:style w:type="character" w:customStyle="1" w:styleId="CommentTextChar">
    <w:name w:val="Comment Text Char"/>
    <w:basedOn w:val="DefaultParagraphFont"/>
    <w:link w:val="CommentText"/>
    <w:uiPriority w:val="99"/>
    <w:semiHidden/>
    <w:rsid w:val="000E4150"/>
    <w:rPr>
      <w:sz w:val="20"/>
      <w:szCs w:val="20"/>
    </w:rPr>
  </w:style>
  <w:style w:type="paragraph" w:styleId="CommentSubject">
    <w:name w:val="annotation subject"/>
    <w:basedOn w:val="CommentText"/>
    <w:next w:val="CommentText"/>
    <w:link w:val="CommentSubjectChar"/>
    <w:uiPriority w:val="99"/>
    <w:semiHidden/>
    <w:unhideWhenUsed/>
    <w:rsid w:val="000E4150"/>
    <w:rPr>
      <w:b/>
      <w:bCs/>
    </w:rPr>
  </w:style>
  <w:style w:type="character" w:customStyle="1" w:styleId="CommentSubjectChar">
    <w:name w:val="Comment Subject Char"/>
    <w:basedOn w:val="CommentTextChar"/>
    <w:link w:val="CommentSubject"/>
    <w:uiPriority w:val="99"/>
    <w:semiHidden/>
    <w:rsid w:val="000E4150"/>
    <w:rPr>
      <w:b/>
      <w:bCs/>
      <w:sz w:val="20"/>
      <w:szCs w:val="20"/>
    </w:rPr>
  </w:style>
  <w:style w:type="paragraph" w:styleId="BalloonText">
    <w:name w:val="Balloon Text"/>
    <w:basedOn w:val="Normal"/>
    <w:link w:val="BalloonTextChar"/>
    <w:uiPriority w:val="99"/>
    <w:semiHidden/>
    <w:unhideWhenUsed/>
    <w:rsid w:val="000E4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50"/>
    <w:rPr>
      <w:rFonts w:ascii="Tahoma" w:hAnsi="Tahoma" w:cs="Tahoma"/>
      <w:sz w:val="16"/>
      <w:szCs w:val="16"/>
    </w:rPr>
  </w:style>
  <w:style w:type="character" w:styleId="Hyperlink">
    <w:name w:val="Hyperlink"/>
    <w:basedOn w:val="DefaultParagraphFont"/>
    <w:uiPriority w:val="99"/>
    <w:unhideWhenUsed/>
    <w:rsid w:val="00807A73"/>
    <w:rPr>
      <w:color w:val="0563C1" w:themeColor="hyperlink"/>
      <w:u w:val="single"/>
    </w:rPr>
  </w:style>
  <w:style w:type="character" w:customStyle="1" w:styleId="UnresolvedMention1">
    <w:name w:val="Unresolved Mention1"/>
    <w:basedOn w:val="DefaultParagraphFont"/>
    <w:uiPriority w:val="99"/>
    <w:semiHidden/>
    <w:unhideWhenUsed/>
    <w:rsid w:val="00807A73"/>
    <w:rPr>
      <w:color w:val="605E5C"/>
      <w:shd w:val="clear" w:color="auto" w:fill="E1DFDD"/>
    </w:rPr>
  </w:style>
  <w:style w:type="paragraph" w:styleId="NoSpacing">
    <w:name w:val="No Spacing"/>
    <w:uiPriority w:val="1"/>
    <w:qFormat/>
    <w:rsid w:val="00613AE0"/>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E64DA9"/>
    <w:rPr>
      <w:color w:val="605E5C"/>
      <w:shd w:val="clear" w:color="auto" w:fill="E1DFDD"/>
    </w:rPr>
  </w:style>
  <w:style w:type="character" w:styleId="Emphasis">
    <w:name w:val="Emphasis"/>
    <w:basedOn w:val="DefaultParagraphFont"/>
    <w:uiPriority w:val="20"/>
    <w:qFormat/>
    <w:rsid w:val="00017930"/>
    <w:rPr>
      <w:i/>
      <w:iCs/>
    </w:rPr>
  </w:style>
  <w:style w:type="paragraph" w:styleId="ListParagraph">
    <w:name w:val="List Paragraph"/>
    <w:basedOn w:val="Normal"/>
    <w:uiPriority w:val="34"/>
    <w:qFormat/>
    <w:rsid w:val="0043694D"/>
    <w:pPr>
      <w:ind w:left="720"/>
      <w:contextualSpacing/>
    </w:pPr>
  </w:style>
  <w:style w:type="character" w:styleId="LineNumber">
    <w:name w:val="line number"/>
    <w:basedOn w:val="DefaultParagraphFont"/>
    <w:uiPriority w:val="99"/>
    <w:semiHidden/>
    <w:unhideWhenUsed/>
    <w:rsid w:val="00934713"/>
  </w:style>
  <w:style w:type="table" w:styleId="TableGrid">
    <w:name w:val="Table Grid"/>
    <w:basedOn w:val="TableNormal"/>
    <w:uiPriority w:val="39"/>
    <w:rsid w:val="00A9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5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50">
      <w:bodyDiv w:val="1"/>
      <w:marLeft w:val="0"/>
      <w:marRight w:val="0"/>
      <w:marTop w:val="0"/>
      <w:marBottom w:val="0"/>
      <w:divBdr>
        <w:top w:val="none" w:sz="0" w:space="0" w:color="auto"/>
        <w:left w:val="none" w:sz="0" w:space="0" w:color="auto"/>
        <w:bottom w:val="none" w:sz="0" w:space="0" w:color="auto"/>
        <w:right w:val="none" w:sz="0" w:space="0" w:color="auto"/>
      </w:divBdr>
    </w:div>
    <w:div w:id="1060791139">
      <w:bodyDiv w:val="1"/>
      <w:marLeft w:val="0"/>
      <w:marRight w:val="0"/>
      <w:marTop w:val="0"/>
      <w:marBottom w:val="0"/>
      <w:divBdr>
        <w:top w:val="none" w:sz="0" w:space="0" w:color="auto"/>
        <w:left w:val="none" w:sz="0" w:space="0" w:color="auto"/>
        <w:bottom w:val="none" w:sz="0" w:space="0" w:color="auto"/>
        <w:right w:val="none" w:sz="0" w:space="0" w:color="auto"/>
      </w:divBdr>
    </w:div>
    <w:div w:id="1094475267">
      <w:bodyDiv w:val="1"/>
      <w:marLeft w:val="0"/>
      <w:marRight w:val="0"/>
      <w:marTop w:val="0"/>
      <w:marBottom w:val="0"/>
      <w:divBdr>
        <w:top w:val="none" w:sz="0" w:space="0" w:color="auto"/>
        <w:left w:val="none" w:sz="0" w:space="0" w:color="auto"/>
        <w:bottom w:val="none" w:sz="0" w:space="0" w:color="auto"/>
        <w:right w:val="none" w:sz="0" w:space="0" w:color="auto"/>
      </w:divBdr>
    </w:div>
    <w:div w:id="15344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https://doi.org/10.1111/1365-2745.13732"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reevya@hope.ac.uk"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D3D1A0-79F0-4F42-81EC-6EEC869D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8641</Words>
  <Characters>49256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57782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Creevy</dc:creator>
  <cp:lastModifiedBy>creevya@hope.ac.uk</cp:lastModifiedBy>
  <cp:revision>4</cp:revision>
  <cp:lastPrinted>2022-12-16T15:48:00Z</cp:lastPrinted>
  <dcterms:created xsi:type="dcterms:W3CDTF">2023-03-26T13:49:00Z</dcterms:created>
  <dcterms:modified xsi:type="dcterms:W3CDTF">2023-03-26T14:20:00Z</dcterms:modified>
</cp:coreProperties>
</file>