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9439" w14:textId="77777777" w:rsidR="00F12151" w:rsidRPr="00F07407" w:rsidRDefault="00871BC9" w:rsidP="00411F04">
      <w:pPr>
        <w:spacing w:line="480" w:lineRule="auto"/>
        <w:jc w:val="center"/>
        <w:rPr>
          <w:lang w:eastAsia="zh-HK"/>
        </w:rPr>
      </w:pPr>
      <w:bookmarkStart w:id="0" w:name="_Hlk73351363"/>
      <w:r w:rsidRPr="00F07407">
        <w:rPr>
          <w:lang w:eastAsia="zh-HK"/>
        </w:rPr>
        <w:t>Association between</w:t>
      </w:r>
      <w:r w:rsidR="00192A16" w:rsidRPr="00F07407">
        <w:rPr>
          <w:lang w:eastAsia="zh-HK"/>
        </w:rPr>
        <w:t xml:space="preserve"> </w:t>
      </w:r>
      <w:r w:rsidR="005A0CE5" w:rsidRPr="00F07407">
        <w:rPr>
          <w:lang w:eastAsia="zh-HK"/>
        </w:rPr>
        <w:t xml:space="preserve">children’s </w:t>
      </w:r>
      <w:r w:rsidR="00192A16" w:rsidRPr="00F07407">
        <w:rPr>
          <w:lang w:eastAsia="zh-HK"/>
        </w:rPr>
        <w:t>home play opportunity and school readiness</w:t>
      </w:r>
      <w:r w:rsidRPr="00F07407">
        <w:rPr>
          <w:lang w:eastAsia="zh-HK"/>
        </w:rPr>
        <w:t>: Object and social mastery motivation as mediators</w:t>
      </w:r>
      <w:r w:rsidR="005A0CE5" w:rsidRPr="00F07407">
        <w:rPr>
          <w:lang w:eastAsia="zh-HK"/>
        </w:rPr>
        <w:t>?</w:t>
      </w:r>
      <w:bookmarkEnd w:id="0"/>
    </w:p>
    <w:p w14:paraId="00E73ECE" w14:textId="77777777" w:rsidR="00F12151" w:rsidRPr="00F07407" w:rsidRDefault="00F12151" w:rsidP="00411F04">
      <w:pPr>
        <w:spacing w:line="480" w:lineRule="auto"/>
        <w:jc w:val="center"/>
        <w:rPr>
          <w:lang w:eastAsia="zh-HK"/>
        </w:rPr>
      </w:pPr>
    </w:p>
    <w:p w14:paraId="42610E1F" w14:textId="77777777" w:rsidR="00F12151" w:rsidRPr="00F07407" w:rsidRDefault="00A06B6D" w:rsidP="00411F04">
      <w:pPr>
        <w:spacing w:line="480" w:lineRule="auto"/>
        <w:jc w:val="center"/>
        <w:outlineLvl w:val="0"/>
        <w:rPr>
          <w:b/>
          <w:bCs/>
          <w:lang w:eastAsia="zh-HK"/>
        </w:rPr>
      </w:pPr>
      <w:r w:rsidRPr="00F07407">
        <w:rPr>
          <w:b/>
          <w:bCs/>
          <w:lang w:eastAsia="zh-HK"/>
        </w:rPr>
        <w:t>Abstr</w:t>
      </w:r>
      <w:r w:rsidR="00F12151" w:rsidRPr="00F07407">
        <w:rPr>
          <w:b/>
          <w:bCs/>
          <w:lang w:eastAsia="zh-HK"/>
        </w:rPr>
        <w:t>act</w:t>
      </w:r>
    </w:p>
    <w:p w14:paraId="20679853" w14:textId="77777777" w:rsidR="00B95A37" w:rsidRPr="00F07407" w:rsidRDefault="0017465B" w:rsidP="00842DA0">
      <w:pPr>
        <w:spacing w:line="480" w:lineRule="auto"/>
        <w:rPr>
          <w:lang w:eastAsia="zh-HK"/>
        </w:rPr>
      </w:pPr>
      <w:r w:rsidRPr="00F07407">
        <w:rPr>
          <w:lang w:eastAsia="zh-HK"/>
        </w:rPr>
        <w:t>This</w:t>
      </w:r>
      <w:r w:rsidR="00A73258" w:rsidRPr="00F07407">
        <w:rPr>
          <w:lang w:eastAsia="zh-HK"/>
        </w:rPr>
        <w:t xml:space="preserve"> study investigated </w:t>
      </w:r>
      <w:r w:rsidR="00CB4FD9" w:rsidRPr="00F07407">
        <w:rPr>
          <w:lang w:eastAsia="zh-HK"/>
        </w:rPr>
        <w:t xml:space="preserve">the direct relationship </w:t>
      </w:r>
      <w:r w:rsidR="00BB0FFA" w:rsidRPr="00F07407">
        <w:rPr>
          <w:lang w:eastAsia="zh-HK"/>
        </w:rPr>
        <w:t xml:space="preserve">between home play opportunity and prospective school readiness, </w:t>
      </w:r>
      <w:r w:rsidR="00D842E8" w:rsidRPr="00F07407">
        <w:rPr>
          <w:lang w:eastAsia="zh-HK"/>
        </w:rPr>
        <w:t>and</w:t>
      </w:r>
      <w:r w:rsidR="00BB0FFA" w:rsidRPr="00F07407">
        <w:rPr>
          <w:lang w:eastAsia="zh-HK"/>
        </w:rPr>
        <w:t xml:space="preserve"> the indirect relationships as mediated through object and social mastery motivation</w:t>
      </w:r>
      <w:r w:rsidR="00787DEA" w:rsidRPr="00F07407">
        <w:rPr>
          <w:lang w:eastAsia="zh-HK"/>
        </w:rPr>
        <w:t xml:space="preserve"> among Hong Kong Chinese kindergarten children</w:t>
      </w:r>
      <w:r w:rsidR="00A73258" w:rsidRPr="00F07407">
        <w:rPr>
          <w:lang w:eastAsia="zh-HK"/>
        </w:rPr>
        <w:t>.</w:t>
      </w:r>
      <w:r w:rsidR="00F71FF7" w:rsidRPr="00F07407">
        <w:rPr>
          <w:lang w:eastAsia="zh-HK"/>
        </w:rPr>
        <w:t xml:space="preserve"> </w:t>
      </w:r>
      <w:r w:rsidR="00116EFB" w:rsidRPr="00F07407">
        <w:rPr>
          <w:lang w:eastAsia="zh-HK"/>
        </w:rPr>
        <w:t xml:space="preserve">Participants were </w:t>
      </w:r>
      <w:r w:rsidR="00181B95" w:rsidRPr="00F07407">
        <w:rPr>
          <w:lang w:eastAsia="zh-HK"/>
        </w:rPr>
        <w:t xml:space="preserve">106 local </w:t>
      </w:r>
      <w:r w:rsidR="00A215D5" w:rsidRPr="00F07407">
        <w:rPr>
          <w:lang w:eastAsia="zh-HK"/>
        </w:rPr>
        <w:t>children</w:t>
      </w:r>
      <w:r w:rsidR="00116EFB" w:rsidRPr="00F07407">
        <w:rPr>
          <w:lang w:eastAsia="zh-HK"/>
        </w:rPr>
        <w:t xml:space="preserve"> (</w:t>
      </w:r>
      <w:r w:rsidR="00181B95" w:rsidRPr="00F07407">
        <w:rPr>
          <w:lang w:eastAsia="zh-HK"/>
        </w:rPr>
        <w:t>44.4% girls, mean age = 60.0 months</w:t>
      </w:r>
      <w:r w:rsidR="00116EFB" w:rsidRPr="00F07407">
        <w:rPr>
          <w:lang w:eastAsia="zh-HK"/>
        </w:rPr>
        <w:t>)</w:t>
      </w:r>
      <w:r w:rsidR="000270FF">
        <w:rPr>
          <w:lang w:eastAsia="zh-HK"/>
        </w:rPr>
        <w:t xml:space="preserve"> </w:t>
      </w:r>
      <w:r w:rsidR="000270FF" w:rsidRPr="000270FF">
        <w:rPr>
          <w:color w:val="00B0F0"/>
          <w:lang w:eastAsia="zh-HK"/>
        </w:rPr>
        <w:t>and their parents and teachers</w:t>
      </w:r>
      <w:r w:rsidR="00116EFB" w:rsidRPr="00F07407">
        <w:rPr>
          <w:lang w:eastAsia="zh-HK"/>
        </w:rPr>
        <w:t>.</w:t>
      </w:r>
      <w:r w:rsidR="009909F4" w:rsidRPr="00F07407">
        <w:rPr>
          <w:lang w:eastAsia="zh-HK"/>
        </w:rPr>
        <w:t xml:space="preserve"> </w:t>
      </w:r>
      <w:r w:rsidR="00842DA0" w:rsidRPr="00F07407">
        <w:rPr>
          <w:lang w:eastAsia="zh-HK"/>
        </w:rPr>
        <w:t>Parents</w:t>
      </w:r>
      <w:r w:rsidR="00116EFB" w:rsidRPr="00F07407">
        <w:rPr>
          <w:lang w:eastAsia="zh-HK"/>
        </w:rPr>
        <w:t xml:space="preserve"> </w:t>
      </w:r>
      <w:r w:rsidR="00181B95" w:rsidRPr="00F07407">
        <w:rPr>
          <w:lang w:eastAsia="zh-HK"/>
        </w:rPr>
        <w:t xml:space="preserve">reported the demographic information and children’s home play opportunity at time 1 (beginning of </w:t>
      </w:r>
      <w:r w:rsidR="008053B7">
        <w:rPr>
          <w:lang w:eastAsia="zh-HK"/>
        </w:rPr>
        <w:t xml:space="preserve">the </w:t>
      </w:r>
      <w:r w:rsidR="00181B95" w:rsidRPr="00F07407">
        <w:rPr>
          <w:lang w:eastAsia="zh-HK"/>
        </w:rPr>
        <w:t>school year), whereas children’s object mastery motivation, social mastery motivation, and school readiness were reported by the</w:t>
      </w:r>
      <w:r w:rsidR="00B367A8" w:rsidRPr="00F07407">
        <w:rPr>
          <w:lang w:eastAsia="zh-HK"/>
        </w:rPr>
        <w:t>ir</w:t>
      </w:r>
      <w:r w:rsidR="00181B95" w:rsidRPr="00F07407">
        <w:rPr>
          <w:lang w:eastAsia="zh-HK"/>
        </w:rPr>
        <w:t xml:space="preserve"> teachers at time 2 (six months later). </w:t>
      </w:r>
      <w:r w:rsidR="008E2151" w:rsidRPr="00F07407">
        <w:rPr>
          <w:lang w:eastAsia="zh-HK"/>
        </w:rPr>
        <w:t xml:space="preserve">Results </w:t>
      </w:r>
      <w:r w:rsidR="00BD3A39" w:rsidRPr="00F07407">
        <w:rPr>
          <w:lang w:eastAsia="zh-HK"/>
        </w:rPr>
        <w:t xml:space="preserve">from the path analytic model </w:t>
      </w:r>
      <w:r w:rsidR="009909F4" w:rsidRPr="00F07407">
        <w:rPr>
          <w:lang w:eastAsia="zh-HK"/>
        </w:rPr>
        <w:t>revealed</w:t>
      </w:r>
      <w:r w:rsidR="008E2151" w:rsidRPr="00F07407">
        <w:rPr>
          <w:lang w:eastAsia="zh-HK"/>
        </w:rPr>
        <w:t xml:space="preserve"> that </w:t>
      </w:r>
      <w:r w:rsidR="00D842E8" w:rsidRPr="00F07407">
        <w:rPr>
          <w:lang w:eastAsia="zh-HK"/>
        </w:rPr>
        <w:t>children’s home play opportunity significantly predicted their object mastery motivation</w:t>
      </w:r>
      <w:r w:rsidR="003E3306" w:rsidRPr="00F07407">
        <w:rPr>
          <w:lang w:eastAsia="zh-HK"/>
        </w:rPr>
        <w:t xml:space="preserve">, but not </w:t>
      </w:r>
      <w:r w:rsidR="00D842E8" w:rsidRPr="00F07407">
        <w:rPr>
          <w:lang w:eastAsia="zh-HK"/>
        </w:rPr>
        <w:t>social mastery motivation</w:t>
      </w:r>
      <w:r w:rsidR="008D55FC" w:rsidRPr="008D55FC">
        <w:rPr>
          <w:color w:val="00B0F0"/>
          <w:lang w:eastAsia="zh-HK"/>
        </w:rPr>
        <w:t xml:space="preserve"> or school readiness</w:t>
      </w:r>
      <w:r w:rsidR="00D842E8" w:rsidRPr="00F07407">
        <w:rPr>
          <w:lang w:eastAsia="zh-HK"/>
        </w:rPr>
        <w:t xml:space="preserve">. </w:t>
      </w:r>
      <w:r w:rsidR="00787DEA" w:rsidRPr="00F07407">
        <w:rPr>
          <w:lang w:eastAsia="zh-HK"/>
        </w:rPr>
        <w:t>B</w:t>
      </w:r>
      <w:r w:rsidR="00D842E8" w:rsidRPr="00F07407">
        <w:rPr>
          <w:lang w:eastAsia="zh-HK"/>
        </w:rPr>
        <w:t xml:space="preserve">oth object and social mastery motivation were </w:t>
      </w:r>
      <w:r w:rsidR="007B3B78" w:rsidRPr="00F07407">
        <w:rPr>
          <w:lang w:eastAsia="zh-HK"/>
        </w:rPr>
        <w:t>positively</w:t>
      </w:r>
      <w:r w:rsidR="00D842E8" w:rsidRPr="00F07407">
        <w:rPr>
          <w:lang w:eastAsia="zh-HK"/>
        </w:rPr>
        <w:t xml:space="preserve"> associated with school readiness. Furthermore, the indirect relationship between home play opportunity, object mastery motivation, and school readiness was significant, but the one via social mastery motivation was </w:t>
      </w:r>
      <w:r w:rsidR="00787DEA" w:rsidRPr="00F07407">
        <w:rPr>
          <w:lang w:eastAsia="zh-HK"/>
        </w:rPr>
        <w:t>non-significant</w:t>
      </w:r>
      <w:r w:rsidR="00D842E8" w:rsidRPr="00F07407">
        <w:rPr>
          <w:lang w:eastAsia="zh-HK"/>
        </w:rPr>
        <w:t xml:space="preserve">. </w:t>
      </w:r>
      <w:r w:rsidR="00492C8C" w:rsidRPr="00F07407">
        <w:rPr>
          <w:lang w:eastAsia="zh-HK"/>
        </w:rPr>
        <w:t>The f</w:t>
      </w:r>
      <w:r w:rsidR="00403839" w:rsidRPr="00F07407">
        <w:rPr>
          <w:lang w:eastAsia="zh-HK"/>
        </w:rPr>
        <w:t xml:space="preserve">indings </w:t>
      </w:r>
      <w:r w:rsidR="009909F4" w:rsidRPr="00F07407">
        <w:rPr>
          <w:lang w:eastAsia="zh-HK"/>
        </w:rPr>
        <w:t>highlight</w:t>
      </w:r>
      <w:r w:rsidR="00403839" w:rsidRPr="00F07407">
        <w:rPr>
          <w:lang w:eastAsia="zh-HK"/>
        </w:rPr>
        <w:t xml:space="preserve"> </w:t>
      </w:r>
      <w:r w:rsidR="00492C8C" w:rsidRPr="00F07407">
        <w:rPr>
          <w:lang w:eastAsia="zh-HK"/>
        </w:rPr>
        <w:t xml:space="preserve">the </w:t>
      </w:r>
      <w:r w:rsidR="00286896" w:rsidRPr="00F07407">
        <w:rPr>
          <w:lang w:eastAsia="zh-HK"/>
        </w:rPr>
        <w:t xml:space="preserve">collective roles of object and social mastery motivation in </w:t>
      </w:r>
      <w:r w:rsidR="00D55C6D" w:rsidRPr="00F07407">
        <w:rPr>
          <w:lang w:eastAsia="zh-HK"/>
        </w:rPr>
        <w:t>predicting</w:t>
      </w:r>
      <w:r w:rsidR="00286896" w:rsidRPr="00F07407">
        <w:rPr>
          <w:lang w:eastAsia="zh-HK"/>
        </w:rPr>
        <w:t xml:space="preserve"> children’s school readiness</w:t>
      </w:r>
      <w:r w:rsidR="00403839" w:rsidRPr="00F07407">
        <w:rPr>
          <w:lang w:eastAsia="zh-HK"/>
        </w:rPr>
        <w:t>.</w:t>
      </w:r>
      <w:r w:rsidR="00492C8C" w:rsidRPr="00F07407">
        <w:rPr>
          <w:lang w:eastAsia="zh-HK"/>
        </w:rPr>
        <w:t xml:space="preserve"> The results also suggest the </w:t>
      </w:r>
      <w:r w:rsidR="00BD3A39" w:rsidRPr="00F07407">
        <w:rPr>
          <w:lang w:eastAsia="zh-HK"/>
        </w:rPr>
        <w:t xml:space="preserve">desirability of </w:t>
      </w:r>
      <w:r w:rsidR="00286896" w:rsidRPr="00F07407">
        <w:rPr>
          <w:lang w:eastAsia="zh-HK"/>
        </w:rPr>
        <w:t>providing</w:t>
      </w:r>
      <w:r w:rsidR="00BD3A39" w:rsidRPr="00F07407">
        <w:rPr>
          <w:lang w:eastAsia="zh-HK"/>
        </w:rPr>
        <w:t xml:space="preserve"> </w:t>
      </w:r>
      <w:r w:rsidR="00286896" w:rsidRPr="00F07407">
        <w:rPr>
          <w:lang w:eastAsia="zh-HK"/>
        </w:rPr>
        <w:t xml:space="preserve">kindergarten </w:t>
      </w:r>
      <w:r w:rsidR="00BD3A39" w:rsidRPr="00F07407">
        <w:rPr>
          <w:lang w:eastAsia="zh-HK"/>
        </w:rPr>
        <w:t>children</w:t>
      </w:r>
      <w:r w:rsidR="00492C8C" w:rsidRPr="00F07407">
        <w:rPr>
          <w:lang w:eastAsia="zh-HK"/>
        </w:rPr>
        <w:t xml:space="preserve"> </w:t>
      </w:r>
      <w:r w:rsidR="00286896" w:rsidRPr="00F07407">
        <w:rPr>
          <w:lang w:eastAsia="zh-HK"/>
        </w:rPr>
        <w:t xml:space="preserve">with a varied and accessible </w:t>
      </w:r>
      <w:r w:rsidR="00286896" w:rsidRPr="00F07407">
        <w:rPr>
          <w:lang w:eastAsia="zh-HK"/>
        </w:rPr>
        <w:lastRenderedPageBreak/>
        <w:t xml:space="preserve">home play environment </w:t>
      </w:r>
      <w:r w:rsidR="00FD6917" w:rsidRPr="00F07407">
        <w:rPr>
          <w:lang w:eastAsia="zh-HK"/>
        </w:rPr>
        <w:t>which</w:t>
      </w:r>
      <w:r w:rsidR="00D55C6D" w:rsidRPr="00F07407">
        <w:rPr>
          <w:lang w:eastAsia="zh-HK"/>
        </w:rPr>
        <w:t xml:space="preserve"> may</w:t>
      </w:r>
      <w:r w:rsidR="00B206EB" w:rsidRPr="00F07407">
        <w:rPr>
          <w:lang w:eastAsia="zh-HK"/>
        </w:rPr>
        <w:t xml:space="preserve"> promote their</w:t>
      </w:r>
      <w:r w:rsidR="00492C8C" w:rsidRPr="00F07407">
        <w:rPr>
          <w:lang w:eastAsia="zh-HK"/>
        </w:rPr>
        <w:t xml:space="preserve"> </w:t>
      </w:r>
      <w:r w:rsidR="00286896" w:rsidRPr="00F07407">
        <w:rPr>
          <w:lang w:eastAsia="zh-HK"/>
        </w:rPr>
        <w:t>mastery motivation and school readiness</w:t>
      </w:r>
      <w:r w:rsidR="00492C8C" w:rsidRPr="00F07407">
        <w:rPr>
          <w:lang w:eastAsia="zh-HK"/>
        </w:rPr>
        <w:t xml:space="preserve">. </w:t>
      </w:r>
      <w:r w:rsidR="00403839" w:rsidRPr="00F07407">
        <w:rPr>
          <w:lang w:eastAsia="zh-HK"/>
        </w:rPr>
        <w:t xml:space="preserve"> </w:t>
      </w:r>
    </w:p>
    <w:p w14:paraId="414B7E05" w14:textId="77777777" w:rsidR="00F12151" w:rsidRPr="00F07407" w:rsidRDefault="00F12151" w:rsidP="00411F04">
      <w:pPr>
        <w:spacing w:line="480" w:lineRule="auto"/>
        <w:rPr>
          <w:lang w:eastAsia="zh-HK"/>
        </w:rPr>
      </w:pPr>
      <w:r w:rsidRPr="00F07407">
        <w:rPr>
          <w:lang w:eastAsia="zh-HK"/>
        </w:rPr>
        <w:tab/>
      </w:r>
    </w:p>
    <w:p w14:paraId="082E65CE" w14:textId="77777777" w:rsidR="00F12151" w:rsidRPr="00F07407" w:rsidRDefault="00F12151" w:rsidP="00411F04">
      <w:pPr>
        <w:spacing w:line="480" w:lineRule="auto"/>
        <w:rPr>
          <w:lang w:eastAsia="zh-HK"/>
        </w:rPr>
      </w:pPr>
      <w:r w:rsidRPr="00F07407">
        <w:rPr>
          <w:b/>
          <w:bCs/>
          <w:lang w:eastAsia="zh-HK"/>
        </w:rPr>
        <w:t>Keywords</w:t>
      </w:r>
      <w:r w:rsidRPr="00F07407">
        <w:rPr>
          <w:lang w:eastAsia="zh-HK"/>
        </w:rPr>
        <w:t xml:space="preserve">: </w:t>
      </w:r>
      <w:r w:rsidR="00192A16" w:rsidRPr="00F07407">
        <w:rPr>
          <w:lang w:eastAsia="zh-HK"/>
        </w:rPr>
        <w:t>home play opportunity</w:t>
      </w:r>
      <w:r w:rsidR="00492C8C" w:rsidRPr="00F07407">
        <w:rPr>
          <w:lang w:eastAsia="zh-HK"/>
        </w:rPr>
        <w:t xml:space="preserve">, </w:t>
      </w:r>
      <w:r w:rsidR="00192A16" w:rsidRPr="00F07407">
        <w:rPr>
          <w:lang w:eastAsia="zh-HK"/>
        </w:rPr>
        <w:t>object mastery motivation</w:t>
      </w:r>
      <w:r w:rsidR="00492C8C" w:rsidRPr="00F07407">
        <w:rPr>
          <w:lang w:eastAsia="zh-HK"/>
        </w:rPr>
        <w:t xml:space="preserve">, </w:t>
      </w:r>
      <w:r w:rsidR="0078577F" w:rsidRPr="00F07407">
        <w:rPr>
          <w:lang w:eastAsia="zh-HK"/>
        </w:rPr>
        <w:t>social mastery motivation</w:t>
      </w:r>
      <w:r w:rsidR="00B05F9E" w:rsidRPr="00F07407">
        <w:rPr>
          <w:lang w:eastAsia="zh-HK"/>
        </w:rPr>
        <w:t xml:space="preserve">, </w:t>
      </w:r>
      <w:r w:rsidR="00192A16" w:rsidRPr="00F07407">
        <w:rPr>
          <w:lang w:eastAsia="zh-HK"/>
        </w:rPr>
        <w:t>school readiness</w:t>
      </w:r>
      <w:r w:rsidR="00492C8C" w:rsidRPr="00F07407">
        <w:rPr>
          <w:lang w:eastAsia="zh-HK"/>
        </w:rPr>
        <w:t xml:space="preserve">, </w:t>
      </w:r>
      <w:r w:rsidR="000D0195" w:rsidRPr="00F07407">
        <w:rPr>
          <w:lang w:eastAsia="zh-HK"/>
        </w:rPr>
        <w:t>kindergarten children</w:t>
      </w:r>
    </w:p>
    <w:p w14:paraId="77043718" w14:textId="77777777" w:rsidR="00455DBB" w:rsidRPr="00F07407" w:rsidRDefault="00F12151" w:rsidP="00455DBB">
      <w:pPr>
        <w:spacing w:line="480" w:lineRule="auto"/>
        <w:jc w:val="center"/>
        <w:rPr>
          <w:lang w:eastAsia="zh-HK"/>
        </w:rPr>
      </w:pPr>
      <w:r w:rsidRPr="00F07407">
        <w:rPr>
          <w:lang w:eastAsia="zh-HK"/>
        </w:rPr>
        <w:br w:type="page"/>
      </w:r>
      <w:r w:rsidR="00CD0C22" w:rsidRPr="00F07407">
        <w:rPr>
          <w:lang w:eastAsia="zh-HK"/>
        </w:rPr>
        <w:lastRenderedPageBreak/>
        <w:t xml:space="preserve">Association between </w:t>
      </w:r>
      <w:r w:rsidR="006D1B1D" w:rsidRPr="00F07407">
        <w:rPr>
          <w:lang w:eastAsia="zh-HK"/>
        </w:rPr>
        <w:t xml:space="preserve">children’s </w:t>
      </w:r>
      <w:r w:rsidR="00CD0C22" w:rsidRPr="00F07407">
        <w:rPr>
          <w:lang w:eastAsia="zh-HK"/>
        </w:rPr>
        <w:t>home play opportunity and school readiness: Object and social mastery motivation as mediators</w:t>
      </w:r>
      <w:r w:rsidR="006D1B1D" w:rsidRPr="00F07407">
        <w:rPr>
          <w:lang w:eastAsia="zh-HK"/>
        </w:rPr>
        <w:t>?</w:t>
      </w:r>
    </w:p>
    <w:p w14:paraId="77C29AD0" w14:textId="77777777" w:rsidR="00BA46E4" w:rsidRPr="00F07407" w:rsidRDefault="00BA46E4" w:rsidP="00301F57">
      <w:pPr>
        <w:spacing w:line="480" w:lineRule="auto"/>
        <w:ind w:firstLine="567"/>
        <w:rPr>
          <w:lang w:eastAsia="zh-HK"/>
        </w:rPr>
      </w:pPr>
    </w:p>
    <w:p w14:paraId="7FBA0A94" w14:textId="77777777" w:rsidR="006D1B1D" w:rsidRPr="00F07407" w:rsidRDefault="00194D51" w:rsidP="00301F57">
      <w:pPr>
        <w:spacing w:line="480" w:lineRule="auto"/>
        <w:ind w:firstLine="567"/>
        <w:rPr>
          <w:lang w:eastAsia="zh-HK"/>
        </w:rPr>
      </w:pPr>
      <w:r w:rsidRPr="00F07407">
        <w:rPr>
          <w:lang w:eastAsia="zh-HK"/>
        </w:rPr>
        <w:t xml:space="preserve">Mastery motivation reflects children’s internal desire to acquire competencies in performing goal-directed behaviors </w:t>
      </w:r>
      <w:r w:rsidR="005D2AC3" w:rsidRPr="00F07407">
        <w:rPr>
          <w:lang w:eastAsia="zh-HK"/>
        </w:rPr>
        <w:t>in</w:t>
      </w:r>
      <w:r w:rsidRPr="00F07407">
        <w:rPr>
          <w:lang w:eastAsia="zh-HK"/>
        </w:rPr>
        <w:t xml:space="preserve"> different domains </w:t>
      </w:r>
      <w:r w:rsidR="00021FA4" w:rsidRPr="00F07407">
        <w:rPr>
          <w:lang w:eastAsia="zh-HK"/>
        </w:rPr>
        <w:t>(Morgan et al., 1995)</w:t>
      </w:r>
      <w:r w:rsidRPr="00F07407">
        <w:rPr>
          <w:lang w:eastAsia="zh-HK"/>
        </w:rPr>
        <w:t xml:space="preserve">. </w:t>
      </w:r>
      <w:r w:rsidR="0052578F" w:rsidRPr="00F07407">
        <w:rPr>
          <w:lang w:eastAsia="zh-HK"/>
        </w:rPr>
        <w:t xml:space="preserve">Children’s </w:t>
      </w:r>
      <w:r w:rsidR="00A30E69" w:rsidRPr="00F07407">
        <w:rPr>
          <w:lang w:eastAsia="zh-HK"/>
        </w:rPr>
        <w:t xml:space="preserve">object mastery motivation (i.e., </w:t>
      </w:r>
      <w:r w:rsidR="0052578F" w:rsidRPr="00F07407">
        <w:rPr>
          <w:lang w:eastAsia="zh-HK"/>
        </w:rPr>
        <w:t xml:space="preserve">persistence in tackling moderately challenging tasks; Wang et al., 2011) is an important </w:t>
      </w:r>
      <w:r w:rsidR="00F11468" w:rsidRPr="00F07407">
        <w:rPr>
          <w:lang w:eastAsia="zh-HK"/>
        </w:rPr>
        <w:t>predictor</w:t>
      </w:r>
      <w:r w:rsidR="0052578F" w:rsidRPr="00F07407">
        <w:rPr>
          <w:lang w:eastAsia="zh-HK"/>
        </w:rPr>
        <w:t xml:space="preserve"> of early cognitive development </w:t>
      </w:r>
      <w:r w:rsidR="00F14605" w:rsidRPr="00F07407">
        <w:rPr>
          <w:lang w:eastAsia="zh-HK"/>
        </w:rPr>
        <w:t xml:space="preserve">(Gilmore et al., 2003) </w:t>
      </w:r>
      <w:r w:rsidR="0052578F" w:rsidRPr="00F07407">
        <w:rPr>
          <w:lang w:eastAsia="zh-HK"/>
        </w:rPr>
        <w:t xml:space="preserve">and considerable research has examined its impact on </w:t>
      </w:r>
      <w:r w:rsidR="004D15A0" w:rsidRPr="00F07407">
        <w:rPr>
          <w:lang w:eastAsia="zh-HK"/>
        </w:rPr>
        <w:t>school readiness (e.g., MacPhee et al., 2018; Martin et al., 2013</w:t>
      </w:r>
      <w:r w:rsidR="00F14605" w:rsidRPr="00F07407">
        <w:rPr>
          <w:lang w:eastAsia="zh-HK"/>
        </w:rPr>
        <w:t>; Turner &amp; Johnson, 2003</w:t>
      </w:r>
      <w:r w:rsidR="004D15A0" w:rsidRPr="00F07407">
        <w:rPr>
          <w:lang w:eastAsia="zh-HK"/>
        </w:rPr>
        <w:t xml:space="preserve">). </w:t>
      </w:r>
      <w:r w:rsidR="000A0060" w:rsidRPr="00F07407">
        <w:rPr>
          <w:lang w:eastAsia="zh-HK"/>
        </w:rPr>
        <w:t>A separate</w:t>
      </w:r>
      <w:r w:rsidR="00F11468" w:rsidRPr="00F07407">
        <w:rPr>
          <w:lang w:eastAsia="zh-HK"/>
        </w:rPr>
        <w:t xml:space="preserve"> line of</w:t>
      </w:r>
      <w:r w:rsidR="004D15A0" w:rsidRPr="00F07407">
        <w:rPr>
          <w:lang w:eastAsia="zh-HK"/>
        </w:rPr>
        <w:t xml:space="preserve"> research</w:t>
      </w:r>
      <w:r w:rsidR="008972EE" w:rsidRPr="00F07407">
        <w:rPr>
          <w:lang w:eastAsia="zh-HK"/>
        </w:rPr>
        <w:t>, however,</w:t>
      </w:r>
      <w:r w:rsidR="00F11468" w:rsidRPr="00F07407">
        <w:rPr>
          <w:lang w:eastAsia="zh-HK"/>
        </w:rPr>
        <w:t xml:space="preserve"> has</w:t>
      </w:r>
      <w:r w:rsidR="004D15A0" w:rsidRPr="00F07407">
        <w:rPr>
          <w:lang w:eastAsia="zh-HK"/>
        </w:rPr>
        <w:t xml:space="preserve"> </w:t>
      </w:r>
      <w:r w:rsidR="000A0060" w:rsidRPr="00F07407">
        <w:rPr>
          <w:lang w:eastAsia="zh-HK"/>
        </w:rPr>
        <w:t xml:space="preserve">also </w:t>
      </w:r>
      <w:r w:rsidR="00F11468" w:rsidRPr="00F07407">
        <w:rPr>
          <w:lang w:eastAsia="zh-HK"/>
        </w:rPr>
        <w:t>revealed</w:t>
      </w:r>
      <w:r w:rsidR="004D15A0" w:rsidRPr="00F07407">
        <w:rPr>
          <w:lang w:eastAsia="zh-HK"/>
        </w:rPr>
        <w:t xml:space="preserve"> the association of social mastery motivation, defined as </w:t>
      </w:r>
      <w:r w:rsidR="00F11468" w:rsidRPr="00F07407">
        <w:rPr>
          <w:lang w:eastAsia="zh-HK"/>
        </w:rPr>
        <w:t>one’s desire to initiate, sustain, and control the social interaction processes (MacTurk et al., 1985)</w:t>
      </w:r>
      <w:r w:rsidR="004D15A0" w:rsidRPr="00F07407">
        <w:rPr>
          <w:lang w:eastAsia="zh-HK"/>
        </w:rPr>
        <w:t xml:space="preserve">, with children’s social-emotional competence </w:t>
      </w:r>
      <w:r w:rsidR="00F11468" w:rsidRPr="00F07407">
        <w:rPr>
          <w:lang w:eastAsia="zh-HK"/>
        </w:rPr>
        <w:t>(Fung et al., 2019</w:t>
      </w:r>
      <w:r w:rsidR="008972EE" w:rsidRPr="00F07407">
        <w:rPr>
          <w:lang w:eastAsia="zh-HK"/>
        </w:rPr>
        <w:t>a</w:t>
      </w:r>
      <w:r w:rsidR="00F11468" w:rsidRPr="00F07407">
        <w:rPr>
          <w:lang w:eastAsia="zh-HK"/>
        </w:rPr>
        <w:t xml:space="preserve">) </w:t>
      </w:r>
      <w:r w:rsidR="004D15A0" w:rsidRPr="00F07407">
        <w:rPr>
          <w:lang w:eastAsia="zh-HK"/>
        </w:rPr>
        <w:t>and school readiness</w:t>
      </w:r>
      <w:r w:rsidR="00F11468" w:rsidRPr="00F07407">
        <w:rPr>
          <w:lang w:eastAsia="zh-HK"/>
        </w:rPr>
        <w:t xml:space="preserve"> (Józsa &amp; Barrett, 2018)</w:t>
      </w:r>
      <w:r w:rsidR="004D15A0" w:rsidRPr="00F07407">
        <w:rPr>
          <w:lang w:eastAsia="zh-HK"/>
        </w:rPr>
        <w:t xml:space="preserve">. </w:t>
      </w:r>
      <w:r w:rsidR="00F11468" w:rsidRPr="00F07407">
        <w:rPr>
          <w:lang w:eastAsia="zh-HK"/>
        </w:rPr>
        <w:t xml:space="preserve">Despite the </w:t>
      </w:r>
      <w:r w:rsidR="00775BF0" w:rsidRPr="00C11191">
        <w:rPr>
          <w:color w:val="00B0F0"/>
          <w:lang w:eastAsia="zh-HK"/>
        </w:rPr>
        <w:t>distinctive</w:t>
      </w:r>
      <w:r w:rsidR="00A30E69" w:rsidRPr="00C11191">
        <w:rPr>
          <w:color w:val="00B0F0"/>
          <w:lang w:eastAsia="zh-HK"/>
        </w:rPr>
        <w:t xml:space="preserve"> </w:t>
      </w:r>
      <w:r w:rsidR="00F11468" w:rsidRPr="00C11191">
        <w:rPr>
          <w:color w:val="00B0F0"/>
          <w:lang w:eastAsia="zh-HK"/>
        </w:rPr>
        <w:t xml:space="preserve">nature of </w:t>
      </w:r>
      <w:r w:rsidR="00C11191" w:rsidRPr="00C11191">
        <w:rPr>
          <w:color w:val="00B0F0"/>
          <w:lang w:eastAsia="zh-HK"/>
        </w:rPr>
        <w:t xml:space="preserve">object and social </w:t>
      </w:r>
      <w:r w:rsidR="00F11468" w:rsidRPr="00C11191">
        <w:rPr>
          <w:color w:val="00B0F0"/>
          <w:lang w:eastAsia="zh-HK"/>
        </w:rPr>
        <w:t>mastery motivation</w:t>
      </w:r>
      <w:r w:rsidR="00A30E69" w:rsidRPr="00F07407">
        <w:rPr>
          <w:lang w:eastAsia="zh-HK"/>
        </w:rPr>
        <w:t xml:space="preserve"> (Fung et al., 2018)</w:t>
      </w:r>
      <w:r w:rsidR="00F11468" w:rsidRPr="00F07407">
        <w:rPr>
          <w:lang w:eastAsia="zh-HK"/>
        </w:rPr>
        <w:t>, previous work</w:t>
      </w:r>
      <w:r w:rsidR="00745DE0">
        <w:rPr>
          <w:lang w:eastAsia="zh-HK"/>
        </w:rPr>
        <w:t xml:space="preserve"> has</w:t>
      </w:r>
      <w:r w:rsidR="00F11468" w:rsidRPr="00F07407">
        <w:rPr>
          <w:lang w:eastAsia="zh-HK"/>
        </w:rPr>
        <w:t xml:space="preserve"> seldom </w:t>
      </w:r>
      <w:r w:rsidR="00731891" w:rsidRPr="00F07407">
        <w:rPr>
          <w:lang w:eastAsia="zh-HK"/>
        </w:rPr>
        <w:t xml:space="preserve">considered </w:t>
      </w:r>
      <w:r w:rsidR="00C11191">
        <w:rPr>
          <w:color w:val="00B0F0"/>
          <w:lang w:eastAsia="zh-HK"/>
        </w:rPr>
        <w:t>them</w:t>
      </w:r>
      <w:r w:rsidR="00731891" w:rsidRPr="00F07407">
        <w:rPr>
          <w:lang w:eastAsia="zh-HK"/>
        </w:rPr>
        <w:t xml:space="preserve"> </w:t>
      </w:r>
      <w:r w:rsidR="00C572EF" w:rsidRPr="00F07407">
        <w:rPr>
          <w:lang w:eastAsia="zh-HK"/>
        </w:rPr>
        <w:t>simultaneously</w:t>
      </w:r>
      <w:r w:rsidR="00731891" w:rsidRPr="00F07407">
        <w:rPr>
          <w:lang w:eastAsia="zh-HK"/>
        </w:rPr>
        <w:t xml:space="preserve"> </w:t>
      </w:r>
      <w:r w:rsidR="00916B01" w:rsidRPr="00F07407">
        <w:rPr>
          <w:lang w:eastAsia="zh-HK"/>
        </w:rPr>
        <w:t xml:space="preserve">and </w:t>
      </w:r>
      <w:r w:rsidR="00C572EF" w:rsidRPr="00F07407">
        <w:rPr>
          <w:lang w:eastAsia="zh-HK"/>
        </w:rPr>
        <w:t xml:space="preserve">it remains unclear whether </w:t>
      </w:r>
      <w:r w:rsidR="00A14142" w:rsidRPr="00F07407">
        <w:rPr>
          <w:lang w:eastAsia="zh-HK"/>
        </w:rPr>
        <w:t>these motivational factors</w:t>
      </w:r>
      <w:r w:rsidR="00B44DB9" w:rsidRPr="00F07407">
        <w:rPr>
          <w:lang w:eastAsia="zh-HK"/>
        </w:rPr>
        <w:t xml:space="preserve"> </w:t>
      </w:r>
      <w:r w:rsidR="0094286B" w:rsidRPr="00F07407">
        <w:rPr>
          <w:lang w:eastAsia="zh-HK"/>
        </w:rPr>
        <w:t>make</w:t>
      </w:r>
      <w:r w:rsidR="00916B01" w:rsidRPr="00F07407">
        <w:rPr>
          <w:lang w:eastAsia="zh-HK"/>
        </w:rPr>
        <w:t xml:space="preserve"> unique contributions to </w:t>
      </w:r>
      <w:r w:rsidR="00A30E69" w:rsidRPr="00F07407">
        <w:rPr>
          <w:lang w:eastAsia="zh-HK"/>
        </w:rPr>
        <w:t>school readiness.</w:t>
      </w:r>
      <w:r w:rsidR="00ED3890" w:rsidRPr="00F07407">
        <w:rPr>
          <w:lang w:eastAsia="zh-HK"/>
        </w:rPr>
        <w:t xml:space="preserve"> Prior research has also examined </w:t>
      </w:r>
      <w:r w:rsidR="009A6B43" w:rsidRPr="00F07407">
        <w:rPr>
          <w:lang w:eastAsia="zh-HK"/>
        </w:rPr>
        <w:t>the role of</w:t>
      </w:r>
      <w:r w:rsidR="0036676A" w:rsidRPr="00F07407">
        <w:rPr>
          <w:lang w:eastAsia="zh-HK"/>
        </w:rPr>
        <w:t xml:space="preserve"> </w:t>
      </w:r>
      <w:r w:rsidR="0094286B" w:rsidRPr="00F07407">
        <w:rPr>
          <w:lang w:eastAsia="zh-HK"/>
        </w:rPr>
        <w:t xml:space="preserve">the </w:t>
      </w:r>
      <w:r w:rsidR="0036676A" w:rsidRPr="00F07407">
        <w:rPr>
          <w:lang w:eastAsia="zh-HK"/>
        </w:rPr>
        <w:t>early</w:t>
      </w:r>
      <w:r w:rsidR="009A6B43" w:rsidRPr="00F07407">
        <w:rPr>
          <w:lang w:eastAsia="zh-HK"/>
        </w:rPr>
        <w:t xml:space="preserve"> </w:t>
      </w:r>
      <w:r w:rsidR="00377425" w:rsidRPr="00377425">
        <w:rPr>
          <w:lang w:eastAsia="zh-HK"/>
        </w:rPr>
        <w:t>socializing</w:t>
      </w:r>
      <w:r w:rsidR="009A6B43" w:rsidRPr="00377425">
        <w:rPr>
          <w:lang w:eastAsia="zh-HK"/>
        </w:rPr>
        <w:t xml:space="preserve"> environment </w:t>
      </w:r>
      <w:r w:rsidR="009A6B43" w:rsidRPr="00F07407">
        <w:rPr>
          <w:lang w:eastAsia="zh-HK"/>
        </w:rPr>
        <w:t>in the development of</w:t>
      </w:r>
      <w:r w:rsidR="000A0060" w:rsidRPr="00F07407">
        <w:rPr>
          <w:lang w:eastAsia="zh-HK"/>
        </w:rPr>
        <w:t xml:space="preserve"> mastery motivation</w:t>
      </w:r>
      <w:r w:rsidR="00C572EF" w:rsidRPr="00F07407">
        <w:rPr>
          <w:lang w:eastAsia="zh-HK"/>
        </w:rPr>
        <w:t xml:space="preserve"> and school readiness, but most of </w:t>
      </w:r>
      <w:r w:rsidR="00745DE0" w:rsidRPr="006C6AB0">
        <w:rPr>
          <w:lang w:eastAsia="zh-HK"/>
        </w:rPr>
        <w:t>this</w:t>
      </w:r>
      <w:r w:rsidR="009A6B43" w:rsidRPr="006C6AB0">
        <w:rPr>
          <w:lang w:eastAsia="zh-HK"/>
        </w:rPr>
        <w:t xml:space="preserve"> </w:t>
      </w:r>
      <w:r w:rsidR="008972EE" w:rsidRPr="00F07407">
        <w:rPr>
          <w:lang w:eastAsia="zh-HK"/>
        </w:rPr>
        <w:t xml:space="preserve">focused on </w:t>
      </w:r>
      <w:r w:rsidR="009A6B43" w:rsidRPr="00F07407">
        <w:rPr>
          <w:lang w:eastAsia="zh-HK"/>
        </w:rPr>
        <w:t xml:space="preserve">the </w:t>
      </w:r>
      <w:r w:rsidR="00C572EF" w:rsidRPr="00F07407">
        <w:rPr>
          <w:lang w:eastAsia="zh-HK"/>
        </w:rPr>
        <w:t>impacts of</w:t>
      </w:r>
      <w:r w:rsidR="00731891" w:rsidRPr="00F07407">
        <w:rPr>
          <w:lang w:eastAsia="zh-HK"/>
        </w:rPr>
        <w:t xml:space="preserve"> parenting practices</w:t>
      </w:r>
      <w:r w:rsidR="00C572EF" w:rsidRPr="00F07407">
        <w:rPr>
          <w:lang w:eastAsia="zh-HK"/>
        </w:rPr>
        <w:t xml:space="preserve"> (Lunkenheimer &amp; Wang, 2017; MacPhee et al., 2018; Martin et al., 2013)</w:t>
      </w:r>
      <w:r w:rsidR="00A25378">
        <w:rPr>
          <w:lang w:eastAsia="zh-HK"/>
        </w:rPr>
        <w:t xml:space="preserve"> </w:t>
      </w:r>
      <w:r w:rsidR="00A25378" w:rsidRPr="00A25378">
        <w:rPr>
          <w:color w:val="00B0F0"/>
          <w:lang w:eastAsia="zh-HK"/>
        </w:rPr>
        <w:t xml:space="preserve">or </w:t>
      </w:r>
      <w:r w:rsidR="0094286B" w:rsidRPr="00A25378">
        <w:rPr>
          <w:color w:val="00B0F0"/>
          <w:lang w:eastAsia="zh-HK"/>
        </w:rPr>
        <w:t>consider</w:t>
      </w:r>
      <w:r w:rsidR="00A25378" w:rsidRPr="00A25378">
        <w:rPr>
          <w:color w:val="00B0F0"/>
          <w:lang w:eastAsia="zh-HK"/>
        </w:rPr>
        <w:t>ed</w:t>
      </w:r>
      <w:r w:rsidR="00731891" w:rsidRPr="00A25378">
        <w:rPr>
          <w:color w:val="00B0F0"/>
          <w:lang w:eastAsia="zh-HK"/>
        </w:rPr>
        <w:t xml:space="preserve"> the </w:t>
      </w:r>
      <w:r w:rsidR="00A25378">
        <w:rPr>
          <w:color w:val="00B0F0"/>
          <w:lang w:eastAsia="zh-HK"/>
        </w:rPr>
        <w:t>level</w:t>
      </w:r>
      <w:r w:rsidR="00A25378" w:rsidRPr="00A25378">
        <w:rPr>
          <w:color w:val="00B0F0"/>
          <w:lang w:eastAsia="zh-HK"/>
        </w:rPr>
        <w:t xml:space="preserve"> of</w:t>
      </w:r>
      <w:r w:rsidR="00731891" w:rsidRPr="00A25378">
        <w:rPr>
          <w:color w:val="00B0F0"/>
          <w:lang w:eastAsia="zh-HK"/>
        </w:rPr>
        <w:t xml:space="preserve"> </w:t>
      </w:r>
      <w:r w:rsidR="00A25378" w:rsidRPr="00A25378">
        <w:rPr>
          <w:color w:val="00B0F0"/>
          <w:lang w:eastAsia="zh-HK"/>
        </w:rPr>
        <w:t xml:space="preserve">cognitive stimulation </w:t>
      </w:r>
      <w:r w:rsidR="00731891" w:rsidRPr="00A25378">
        <w:rPr>
          <w:color w:val="00B0F0"/>
          <w:lang w:eastAsia="zh-HK"/>
        </w:rPr>
        <w:t>as an antecedent</w:t>
      </w:r>
      <w:r w:rsidR="00C323DF">
        <w:rPr>
          <w:color w:val="00B0F0"/>
          <w:lang w:eastAsia="zh-HK"/>
        </w:rPr>
        <w:t xml:space="preserve"> (Jeon et al., 2014; </w:t>
      </w:r>
      <w:r w:rsidR="00C323DF" w:rsidRPr="00B162AD">
        <w:rPr>
          <w:color w:val="00B0F0"/>
          <w:lang w:eastAsia="zh-HK"/>
        </w:rPr>
        <w:t>Korucu</w:t>
      </w:r>
      <w:r w:rsidR="00C323DF">
        <w:rPr>
          <w:color w:val="00B0F0"/>
          <w:lang w:eastAsia="zh-HK"/>
        </w:rPr>
        <w:t xml:space="preserve"> et </w:t>
      </w:r>
      <w:r w:rsidR="00C323DF">
        <w:rPr>
          <w:color w:val="00B0F0"/>
          <w:lang w:eastAsia="zh-HK"/>
        </w:rPr>
        <w:lastRenderedPageBreak/>
        <w:t>al., 2020)</w:t>
      </w:r>
      <w:r w:rsidR="004926AA" w:rsidRPr="00F07407">
        <w:rPr>
          <w:lang w:eastAsia="zh-HK"/>
        </w:rPr>
        <w:t xml:space="preserve">. </w:t>
      </w:r>
      <w:r w:rsidR="00916B01" w:rsidRPr="00F07407">
        <w:rPr>
          <w:lang w:eastAsia="zh-HK"/>
        </w:rPr>
        <w:t xml:space="preserve">The present study </w:t>
      </w:r>
      <w:r w:rsidR="004926AA" w:rsidRPr="00F07407">
        <w:rPr>
          <w:lang w:eastAsia="zh-HK"/>
        </w:rPr>
        <w:t>examine</w:t>
      </w:r>
      <w:r w:rsidR="004C561F" w:rsidRPr="00F07407">
        <w:rPr>
          <w:lang w:eastAsia="zh-HK"/>
        </w:rPr>
        <w:t>d</w:t>
      </w:r>
      <w:r w:rsidR="004926AA" w:rsidRPr="00F07407">
        <w:rPr>
          <w:lang w:eastAsia="zh-HK"/>
        </w:rPr>
        <w:t xml:space="preserve"> whether and how </w:t>
      </w:r>
      <w:r w:rsidR="00F32E20" w:rsidRPr="00F07407">
        <w:rPr>
          <w:lang w:eastAsia="zh-HK"/>
        </w:rPr>
        <w:t xml:space="preserve">the availability of household playmates and play materials (i.e., home play opportunity) </w:t>
      </w:r>
      <w:r w:rsidR="004926AA" w:rsidRPr="00F07407">
        <w:rPr>
          <w:lang w:eastAsia="zh-HK"/>
        </w:rPr>
        <w:t xml:space="preserve">would predict </w:t>
      </w:r>
      <w:r w:rsidR="00F32E20" w:rsidRPr="00F07407">
        <w:rPr>
          <w:lang w:eastAsia="zh-HK"/>
        </w:rPr>
        <w:t xml:space="preserve">children’s </w:t>
      </w:r>
      <w:r w:rsidR="004926AA" w:rsidRPr="00F07407">
        <w:rPr>
          <w:lang w:eastAsia="zh-HK"/>
        </w:rPr>
        <w:t xml:space="preserve">prospective object and social mastery motivation in a sample of Hong Kong Chinese kindergarten children. </w:t>
      </w:r>
      <w:r w:rsidR="00916B01" w:rsidRPr="00F07407">
        <w:rPr>
          <w:lang w:eastAsia="zh-HK"/>
        </w:rPr>
        <w:t>I</w:t>
      </w:r>
      <w:r w:rsidR="004926AA" w:rsidRPr="00F07407">
        <w:rPr>
          <w:lang w:eastAsia="zh-HK"/>
        </w:rPr>
        <w:t xml:space="preserve">t </w:t>
      </w:r>
      <w:r w:rsidR="00916B01" w:rsidRPr="00F07407">
        <w:rPr>
          <w:lang w:eastAsia="zh-HK"/>
        </w:rPr>
        <w:t xml:space="preserve">also </w:t>
      </w:r>
      <w:r w:rsidR="004926AA" w:rsidRPr="00F07407">
        <w:rPr>
          <w:lang w:eastAsia="zh-HK"/>
        </w:rPr>
        <w:t xml:space="preserve">investigated the possible mediating roles of object and social mastery motivation in the relationship between home play opportunity and school readiness across </w:t>
      </w:r>
      <w:r w:rsidR="004C561F" w:rsidRPr="00F07407">
        <w:rPr>
          <w:lang w:eastAsia="zh-HK"/>
        </w:rPr>
        <w:t xml:space="preserve">two </w:t>
      </w:r>
      <w:r w:rsidR="004926AA" w:rsidRPr="00F07407">
        <w:rPr>
          <w:lang w:eastAsia="zh-HK"/>
        </w:rPr>
        <w:t>time</w:t>
      </w:r>
      <w:r w:rsidR="004C561F" w:rsidRPr="00F07407">
        <w:rPr>
          <w:lang w:eastAsia="zh-HK"/>
        </w:rPr>
        <w:t xml:space="preserve"> points.</w:t>
      </w:r>
    </w:p>
    <w:p w14:paraId="1F34DB0F" w14:textId="77777777" w:rsidR="00B825F6" w:rsidRPr="00F07407" w:rsidRDefault="004D69D2" w:rsidP="00B825F6">
      <w:pPr>
        <w:spacing w:line="480" w:lineRule="auto"/>
        <w:rPr>
          <w:b/>
          <w:bCs/>
          <w:lang w:eastAsia="zh-HK"/>
        </w:rPr>
      </w:pPr>
      <w:r w:rsidRPr="00F07407">
        <w:rPr>
          <w:b/>
          <w:bCs/>
          <w:lang w:eastAsia="zh-HK"/>
        </w:rPr>
        <w:t xml:space="preserve">Home play opportunity </w:t>
      </w:r>
      <w:r w:rsidR="00032560" w:rsidRPr="00032560">
        <w:rPr>
          <w:b/>
          <w:bCs/>
          <w:color w:val="00B0F0"/>
          <w:lang w:eastAsia="zh-HK"/>
        </w:rPr>
        <w:t>and</w:t>
      </w:r>
      <w:r w:rsidR="009918B8" w:rsidRPr="00032560">
        <w:rPr>
          <w:b/>
          <w:bCs/>
          <w:color w:val="00B0F0"/>
          <w:lang w:eastAsia="zh-HK"/>
        </w:rPr>
        <w:t xml:space="preserve"> </w:t>
      </w:r>
      <w:r w:rsidR="009918B8" w:rsidRPr="00F07407">
        <w:rPr>
          <w:b/>
          <w:bCs/>
          <w:lang w:eastAsia="zh-HK"/>
        </w:rPr>
        <w:t>mastery motivation</w:t>
      </w:r>
    </w:p>
    <w:p w14:paraId="49C49BB3" w14:textId="77777777" w:rsidR="009918B8" w:rsidRPr="00F07407" w:rsidRDefault="00116F57" w:rsidP="009918B8">
      <w:pPr>
        <w:spacing w:line="480" w:lineRule="auto"/>
        <w:ind w:firstLine="567"/>
        <w:rPr>
          <w:lang w:eastAsia="zh-HK"/>
        </w:rPr>
      </w:pPr>
      <w:r w:rsidRPr="00F07407">
        <w:rPr>
          <w:lang w:eastAsia="zh-HK"/>
        </w:rPr>
        <w:t xml:space="preserve">Play has long been suggested as an important context for children to develop their early cognitive and social skills (Piaget, 1976; Vygotsky, 1967). </w:t>
      </w:r>
      <w:r w:rsidR="00A36D29" w:rsidRPr="00F07407">
        <w:rPr>
          <w:lang w:eastAsia="zh-HK"/>
        </w:rPr>
        <w:t>C</w:t>
      </w:r>
      <w:r w:rsidRPr="00F07407">
        <w:rPr>
          <w:lang w:eastAsia="zh-HK"/>
        </w:rPr>
        <w:t xml:space="preserve">hildren’s </w:t>
      </w:r>
      <w:r w:rsidR="00584137" w:rsidRPr="00F07407">
        <w:rPr>
          <w:lang w:eastAsia="zh-HK"/>
        </w:rPr>
        <w:t>household</w:t>
      </w:r>
      <w:r w:rsidRPr="00F07407">
        <w:rPr>
          <w:lang w:eastAsia="zh-HK"/>
        </w:rPr>
        <w:t xml:space="preserve"> </w:t>
      </w:r>
      <w:r w:rsidR="00A36D29" w:rsidRPr="00F07407">
        <w:rPr>
          <w:lang w:eastAsia="zh-HK"/>
        </w:rPr>
        <w:t xml:space="preserve">play context </w:t>
      </w:r>
      <w:r w:rsidRPr="00F07407">
        <w:rPr>
          <w:lang w:eastAsia="zh-HK"/>
        </w:rPr>
        <w:t xml:space="preserve">such as </w:t>
      </w:r>
      <w:r w:rsidR="00A36D29" w:rsidRPr="00F07407">
        <w:rPr>
          <w:lang w:eastAsia="zh-HK"/>
        </w:rPr>
        <w:t xml:space="preserve">the availability </w:t>
      </w:r>
      <w:r w:rsidR="000B1C7A" w:rsidRPr="00F07407">
        <w:rPr>
          <w:lang w:eastAsia="zh-HK"/>
        </w:rPr>
        <w:t>of playmates</w:t>
      </w:r>
      <w:r w:rsidR="00265AEA" w:rsidRPr="00F07407">
        <w:rPr>
          <w:lang w:eastAsia="zh-HK"/>
        </w:rPr>
        <w:t>, and variety</w:t>
      </w:r>
      <w:r w:rsidR="000B1C7A" w:rsidRPr="00F07407">
        <w:rPr>
          <w:lang w:eastAsia="zh-HK"/>
        </w:rPr>
        <w:t xml:space="preserve"> </w:t>
      </w:r>
      <w:r w:rsidR="00A36D29" w:rsidRPr="00F07407">
        <w:rPr>
          <w:lang w:eastAsia="zh-HK"/>
        </w:rPr>
        <w:t xml:space="preserve">and accessibility of play materials </w:t>
      </w:r>
      <w:r w:rsidR="000B1C7A" w:rsidRPr="00F07407">
        <w:rPr>
          <w:lang w:eastAsia="zh-HK"/>
        </w:rPr>
        <w:t xml:space="preserve">(i.e., home play opportunity) </w:t>
      </w:r>
      <w:r w:rsidR="00A36D29" w:rsidRPr="00F07407">
        <w:rPr>
          <w:lang w:eastAsia="zh-HK"/>
        </w:rPr>
        <w:t xml:space="preserve">can </w:t>
      </w:r>
      <w:r w:rsidR="002B48E7" w:rsidRPr="00F07407">
        <w:rPr>
          <w:lang w:eastAsia="zh-HK"/>
        </w:rPr>
        <w:t>have significant impact</w:t>
      </w:r>
      <w:r w:rsidR="007D4229" w:rsidRPr="00F07407">
        <w:rPr>
          <w:lang w:eastAsia="zh-HK"/>
        </w:rPr>
        <w:t>s</w:t>
      </w:r>
      <w:r w:rsidR="002B48E7" w:rsidRPr="00F07407">
        <w:rPr>
          <w:lang w:eastAsia="zh-HK"/>
        </w:rPr>
        <w:t xml:space="preserve"> on</w:t>
      </w:r>
      <w:r w:rsidR="00A36D29" w:rsidRPr="00F07407">
        <w:rPr>
          <w:lang w:eastAsia="zh-HK"/>
        </w:rPr>
        <w:t xml:space="preserve"> their </w:t>
      </w:r>
      <w:r w:rsidR="000B1C7A" w:rsidRPr="00F07407">
        <w:rPr>
          <w:lang w:eastAsia="zh-HK"/>
        </w:rPr>
        <w:t xml:space="preserve">level of enjoyment and </w:t>
      </w:r>
      <w:r w:rsidR="002B48E7" w:rsidRPr="00F07407">
        <w:rPr>
          <w:lang w:eastAsia="zh-HK"/>
        </w:rPr>
        <w:t>overall</w:t>
      </w:r>
      <w:r w:rsidR="00584137" w:rsidRPr="00F07407">
        <w:rPr>
          <w:lang w:eastAsia="zh-HK"/>
        </w:rPr>
        <w:t xml:space="preserve"> </w:t>
      </w:r>
      <w:r w:rsidR="00A36D29" w:rsidRPr="00F07407">
        <w:rPr>
          <w:lang w:eastAsia="zh-HK"/>
        </w:rPr>
        <w:t>play experience</w:t>
      </w:r>
      <w:r w:rsidR="000B1C7A" w:rsidRPr="00F07407">
        <w:rPr>
          <w:lang w:eastAsia="zh-HK"/>
        </w:rPr>
        <w:t xml:space="preserve">, while these </w:t>
      </w:r>
      <w:r w:rsidR="00244E53" w:rsidRPr="00F07407">
        <w:rPr>
          <w:lang w:eastAsia="zh-HK"/>
        </w:rPr>
        <w:t>feeling</w:t>
      </w:r>
      <w:r w:rsidR="00EE796A" w:rsidRPr="00F07407">
        <w:rPr>
          <w:lang w:eastAsia="zh-HK"/>
        </w:rPr>
        <w:t>s</w:t>
      </w:r>
      <w:r w:rsidR="00244E53" w:rsidRPr="00F07407">
        <w:rPr>
          <w:lang w:eastAsia="zh-HK"/>
        </w:rPr>
        <w:t xml:space="preserve"> and experience</w:t>
      </w:r>
      <w:r w:rsidR="00E30ABE" w:rsidRPr="00F07407">
        <w:rPr>
          <w:lang w:eastAsia="zh-HK"/>
        </w:rPr>
        <w:t>s</w:t>
      </w:r>
      <w:r w:rsidR="00584137" w:rsidRPr="00F07407">
        <w:rPr>
          <w:lang w:eastAsia="zh-HK"/>
        </w:rPr>
        <w:t xml:space="preserve"> may</w:t>
      </w:r>
      <w:r w:rsidR="00244E53" w:rsidRPr="00F07407">
        <w:rPr>
          <w:lang w:eastAsia="zh-HK"/>
        </w:rPr>
        <w:t xml:space="preserve"> give them impetus </w:t>
      </w:r>
      <w:r w:rsidR="00584137" w:rsidRPr="00F07407">
        <w:rPr>
          <w:lang w:eastAsia="zh-HK"/>
        </w:rPr>
        <w:t xml:space="preserve">to </w:t>
      </w:r>
      <w:r w:rsidR="000B1C7A" w:rsidRPr="00F07407">
        <w:rPr>
          <w:lang w:eastAsia="zh-HK"/>
        </w:rPr>
        <w:t xml:space="preserve">acquire </w:t>
      </w:r>
      <w:r w:rsidR="00CD4BF8" w:rsidRPr="00F07407">
        <w:rPr>
          <w:lang w:eastAsia="zh-HK"/>
        </w:rPr>
        <w:t>competencies</w:t>
      </w:r>
      <w:r w:rsidR="000B1C7A" w:rsidRPr="00F07407">
        <w:rPr>
          <w:lang w:eastAsia="zh-HK"/>
        </w:rPr>
        <w:t xml:space="preserve"> (i.e., mastery motivation) and become </w:t>
      </w:r>
      <w:r w:rsidR="00CD4BF8" w:rsidRPr="00F07407">
        <w:rPr>
          <w:lang w:eastAsia="zh-HK"/>
        </w:rPr>
        <w:t>skillful</w:t>
      </w:r>
      <w:r w:rsidR="000B1C7A" w:rsidRPr="00F07407">
        <w:rPr>
          <w:lang w:eastAsia="zh-HK"/>
        </w:rPr>
        <w:t xml:space="preserve"> players </w:t>
      </w:r>
      <w:r w:rsidR="00A36D29" w:rsidRPr="00F07407">
        <w:rPr>
          <w:lang w:eastAsia="zh-HK"/>
        </w:rPr>
        <w:t>(</w:t>
      </w:r>
      <w:r w:rsidR="00584137" w:rsidRPr="00F07407">
        <w:rPr>
          <w:lang w:eastAsia="zh-HK"/>
        </w:rPr>
        <w:t>Wang et al., 2011</w:t>
      </w:r>
      <w:r w:rsidR="00A36D29" w:rsidRPr="00F07407">
        <w:rPr>
          <w:lang w:eastAsia="zh-HK"/>
        </w:rPr>
        <w:t xml:space="preserve">). </w:t>
      </w:r>
      <w:r w:rsidR="00E233DE" w:rsidRPr="00F07407">
        <w:rPr>
          <w:lang w:eastAsia="zh-HK"/>
        </w:rPr>
        <w:t>Specifically, c</w:t>
      </w:r>
      <w:r w:rsidR="00B97849" w:rsidRPr="00F07407">
        <w:rPr>
          <w:lang w:eastAsia="zh-HK"/>
        </w:rPr>
        <w:t xml:space="preserve">hildren with increased exposure to a </w:t>
      </w:r>
      <w:r w:rsidR="004D69D2" w:rsidRPr="00F07407">
        <w:rPr>
          <w:lang w:eastAsia="zh-HK"/>
        </w:rPr>
        <w:t xml:space="preserve">wide </w:t>
      </w:r>
      <w:r w:rsidR="00B97849" w:rsidRPr="00F07407">
        <w:rPr>
          <w:lang w:eastAsia="zh-HK"/>
        </w:rPr>
        <w:t xml:space="preserve">variety of </w:t>
      </w:r>
      <w:r w:rsidR="008273B5" w:rsidRPr="00F07407">
        <w:rPr>
          <w:lang w:eastAsia="zh-HK"/>
        </w:rPr>
        <w:t xml:space="preserve">household </w:t>
      </w:r>
      <w:r w:rsidR="00B97849" w:rsidRPr="00F07407">
        <w:rPr>
          <w:lang w:eastAsia="zh-HK"/>
        </w:rPr>
        <w:t xml:space="preserve">play objects may develop advanced </w:t>
      </w:r>
      <w:r w:rsidR="004D69D2" w:rsidRPr="00F07407">
        <w:rPr>
          <w:lang w:eastAsia="zh-HK"/>
        </w:rPr>
        <w:t xml:space="preserve">object </w:t>
      </w:r>
      <w:r w:rsidR="00B97849" w:rsidRPr="00F07407">
        <w:rPr>
          <w:lang w:eastAsia="zh-HK"/>
        </w:rPr>
        <w:t xml:space="preserve">mastery motivation </w:t>
      </w:r>
      <w:r w:rsidR="00E52033" w:rsidRPr="00F07407">
        <w:rPr>
          <w:lang w:eastAsia="zh-HK"/>
        </w:rPr>
        <w:t>(i.e., task-related persistence</w:t>
      </w:r>
      <w:r w:rsidR="005D2735" w:rsidRPr="00F07407">
        <w:rPr>
          <w:lang w:eastAsia="zh-HK"/>
        </w:rPr>
        <w:t>; Morgan et al., 1995; Wang et al., 2011</w:t>
      </w:r>
      <w:r w:rsidR="00E52033" w:rsidRPr="00F07407">
        <w:rPr>
          <w:lang w:eastAsia="zh-HK"/>
        </w:rPr>
        <w:t xml:space="preserve">) </w:t>
      </w:r>
      <w:r w:rsidR="002B48E7" w:rsidRPr="00F07407">
        <w:rPr>
          <w:lang w:eastAsia="zh-HK"/>
        </w:rPr>
        <w:t>since the</w:t>
      </w:r>
      <w:r w:rsidR="004D69D2" w:rsidRPr="00F07407">
        <w:rPr>
          <w:lang w:eastAsia="zh-HK"/>
        </w:rPr>
        <w:t xml:space="preserve"> extensive exploration and manipulation of </w:t>
      </w:r>
      <w:r w:rsidR="00C77F7C" w:rsidRPr="00F07407">
        <w:rPr>
          <w:lang w:eastAsia="zh-HK"/>
        </w:rPr>
        <w:t>those</w:t>
      </w:r>
      <w:r w:rsidR="00BA17BA" w:rsidRPr="00F07407">
        <w:rPr>
          <w:lang w:eastAsia="zh-HK"/>
        </w:rPr>
        <w:t xml:space="preserve"> </w:t>
      </w:r>
      <w:r w:rsidR="00C77F7C" w:rsidRPr="00F07407">
        <w:rPr>
          <w:lang w:eastAsia="zh-HK"/>
        </w:rPr>
        <w:t>play</w:t>
      </w:r>
      <w:r w:rsidR="00E52033" w:rsidRPr="00F07407">
        <w:rPr>
          <w:lang w:eastAsia="zh-HK"/>
        </w:rPr>
        <w:t xml:space="preserve"> items</w:t>
      </w:r>
      <w:r w:rsidR="002B48E7" w:rsidRPr="00F07407">
        <w:rPr>
          <w:lang w:eastAsia="zh-HK"/>
        </w:rPr>
        <w:t xml:space="preserve"> are fun and</w:t>
      </w:r>
      <w:r w:rsidR="006E4BF8" w:rsidRPr="00F07407">
        <w:rPr>
          <w:lang w:eastAsia="zh-HK"/>
        </w:rPr>
        <w:t xml:space="preserve"> </w:t>
      </w:r>
      <w:r w:rsidR="00411D80" w:rsidRPr="00F07407">
        <w:rPr>
          <w:lang w:eastAsia="zh-HK"/>
        </w:rPr>
        <w:t xml:space="preserve">intrinsically </w:t>
      </w:r>
      <w:r w:rsidR="006E4BF8" w:rsidRPr="00F07407">
        <w:rPr>
          <w:lang w:eastAsia="zh-HK"/>
        </w:rPr>
        <w:t>rewarding</w:t>
      </w:r>
      <w:r w:rsidR="00B97849" w:rsidRPr="00F07407">
        <w:rPr>
          <w:lang w:eastAsia="zh-HK"/>
        </w:rPr>
        <w:t>.</w:t>
      </w:r>
      <w:r w:rsidR="005804DB" w:rsidRPr="00F07407">
        <w:rPr>
          <w:lang w:eastAsia="zh-HK"/>
        </w:rPr>
        <w:t xml:space="preserve"> A</w:t>
      </w:r>
      <w:r w:rsidR="00BA17BA" w:rsidRPr="00F07407">
        <w:rPr>
          <w:lang w:eastAsia="zh-HK"/>
        </w:rPr>
        <w:t xml:space="preserve"> b</w:t>
      </w:r>
      <w:r w:rsidR="0053585F" w:rsidRPr="00F07407">
        <w:rPr>
          <w:lang w:eastAsia="zh-HK"/>
        </w:rPr>
        <w:t>roa</w:t>
      </w:r>
      <w:r w:rsidR="00BA17BA" w:rsidRPr="00F07407">
        <w:rPr>
          <w:lang w:eastAsia="zh-HK"/>
        </w:rPr>
        <w:t xml:space="preserve">d range of toys and </w:t>
      </w:r>
      <w:r w:rsidR="006E4BF8" w:rsidRPr="00F07407">
        <w:rPr>
          <w:lang w:eastAsia="zh-HK"/>
        </w:rPr>
        <w:t>availability of peer play</w:t>
      </w:r>
      <w:r w:rsidR="00BA17BA" w:rsidRPr="00F07407">
        <w:rPr>
          <w:lang w:eastAsia="zh-HK"/>
        </w:rPr>
        <w:t xml:space="preserve"> opportunit</w:t>
      </w:r>
      <w:r w:rsidR="00E30ABE" w:rsidRPr="00F07407">
        <w:rPr>
          <w:lang w:eastAsia="zh-HK"/>
        </w:rPr>
        <w:t>ies</w:t>
      </w:r>
      <w:r w:rsidR="004D69D2" w:rsidRPr="00F07407">
        <w:rPr>
          <w:lang w:eastAsia="zh-HK"/>
        </w:rPr>
        <w:t xml:space="preserve"> </w:t>
      </w:r>
      <w:r w:rsidR="005804DB" w:rsidRPr="00F07407">
        <w:rPr>
          <w:lang w:eastAsia="zh-HK"/>
        </w:rPr>
        <w:t xml:space="preserve">also </w:t>
      </w:r>
      <w:r w:rsidR="00BA17BA" w:rsidRPr="00F07407">
        <w:rPr>
          <w:lang w:eastAsia="zh-HK"/>
        </w:rPr>
        <w:t xml:space="preserve">create a natural context for children to communicate </w:t>
      </w:r>
      <w:r w:rsidR="005804DB" w:rsidRPr="00F07407">
        <w:rPr>
          <w:lang w:eastAsia="zh-HK"/>
        </w:rPr>
        <w:t xml:space="preserve">with play partners either for the enjoyment of social interaction or for the obtainment of objects and </w:t>
      </w:r>
      <w:r w:rsidR="005804DB" w:rsidRPr="00F07407">
        <w:rPr>
          <w:lang w:eastAsia="zh-HK"/>
        </w:rPr>
        <w:lastRenderedPageBreak/>
        <w:t>information</w:t>
      </w:r>
      <w:r w:rsidR="00C34135" w:rsidRPr="00F07407">
        <w:rPr>
          <w:lang w:eastAsia="zh-HK"/>
        </w:rPr>
        <w:t xml:space="preserve">, </w:t>
      </w:r>
      <w:r w:rsidR="00C77F7C" w:rsidRPr="00F07407">
        <w:rPr>
          <w:lang w:eastAsia="zh-HK"/>
        </w:rPr>
        <w:t>which</w:t>
      </w:r>
      <w:r w:rsidR="00C34135" w:rsidRPr="00F07407">
        <w:rPr>
          <w:lang w:eastAsia="zh-HK"/>
        </w:rPr>
        <w:t xml:space="preserve"> are </w:t>
      </w:r>
      <w:r w:rsidR="00C77F7C" w:rsidRPr="00F07407">
        <w:rPr>
          <w:lang w:eastAsia="zh-HK"/>
        </w:rPr>
        <w:t xml:space="preserve">the </w:t>
      </w:r>
      <w:r w:rsidR="00C34135" w:rsidRPr="00F07407">
        <w:rPr>
          <w:lang w:eastAsia="zh-HK"/>
        </w:rPr>
        <w:t>driving forces to exercise their social mastery motivation</w:t>
      </w:r>
      <w:r w:rsidR="005804DB" w:rsidRPr="00F07407">
        <w:rPr>
          <w:lang w:eastAsia="zh-HK"/>
        </w:rPr>
        <w:t xml:space="preserve"> (Fung et al., 2018; MacTurk et al, 1985). Therefore, </w:t>
      </w:r>
      <w:r w:rsidR="0094286B" w:rsidRPr="00F07407">
        <w:rPr>
          <w:lang w:eastAsia="zh-HK"/>
        </w:rPr>
        <w:t xml:space="preserve">the </w:t>
      </w:r>
      <w:r w:rsidR="00D30AA8" w:rsidRPr="00F07407">
        <w:rPr>
          <w:lang w:eastAsia="zh-HK"/>
        </w:rPr>
        <w:t>home play opportunity</w:t>
      </w:r>
      <w:r w:rsidR="005804DB" w:rsidRPr="00F07407">
        <w:rPr>
          <w:lang w:eastAsia="zh-HK"/>
        </w:rPr>
        <w:t xml:space="preserve"> </w:t>
      </w:r>
      <w:r w:rsidR="00D30AA8" w:rsidRPr="00F07407">
        <w:rPr>
          <w:lang w:eastAsia="zh-HK"/>
        </w:rPr>
        <w:t>may determine</w:t>
      </w:r>
      <w:r w:rsidR="005804DB" w:rsidRPr="00F07407">
        <w:rPr>
          <w:lang w:eastAsia="zh-HK"/>
        </w:rPr>
        <w:t xml:space="preserve"> children’s </w:t>
      </w:r>
      <w:r w:rsidR="008F7451" w:rsidRPr="00F07407">
        <w:rPr>
          <w:lang w:eastAsia="zh-HK"/>
        </w:rPr>
        <w:t>object and social</w:t>
      </w:r>
      <w:r w:rsidR="005804DB" w:rsidRPr="00F07407">
        <w:rPr>
          <w:lang w:eastAsia="zh-HK"/>
        </w:rPr>
        <w:t xml:space="preserve"> mastery motivation development. </w:t>
      </w:r>
      <w:r w:rsidR="009918B8" w:rsidRPr="00F07407">
        <w:rPr>
          <w:lang w:eastAsia="zh-HK"/>
        </w:rPr>
        <w:t xml:space="preserve">Grounded on Busch-Rossnagel et al.’s (1995) framework suggesting the role of </w:t>
      </w:r>
      <w:r w:rsidR="00E71738" w:rsidRPr="00F07407">
        <w:rPr>
          <w:lang w:eastAsia="zh-HK"/>
        </w:rPr>
        <w:t xml:space="preserve">the </w:t>
      </w:r>
      <w:r w:rsidR="009918B8" w:rsidRPr="00F07407">
        <w:rPr>
          <w:lang w:eastAsia="zh-HK"/>
        </w:rPr>
        <w:t>early socializing environment (</w:t>
      </w:r>
      <w:r w:rsidR="00EB152E" w:rsidRPr="00F07407">
        <w:rPr>
          <w:lang w:eastAsia="zh-HK"/>
        </w:rPr>
        <w:t>i.e.,</w:t>
      </w:r>
      <w:r w:rsidR="009918B8" w:rsidRPr="00F07407">
        <w:rPr>
          <w:lang w:eastAsia="zh-HK"/>
        </w:rPr>
        <w:t xml:space="preserve"> parents’ provision of inanimate </w:t>
      </w:r>
      <w:r w:rsidR="004C6431" w:rsidRPr="00F07407">
        <w:rPr>
          <w:lang w:eastAsia="zh-HK"/>
        </w:rPr>
        <w:t xml:space="preserve">toys </w:t>
      </w:r>
      <w:r w:rsidR="009229E4" w:rsidRPr="00F07407">
        <w:rPr>
          <w:lang w:eastAsia="zh-HK"/>
        </w:rPr>
        <w:t>or</w:t>
      </w:r>
      <w:r w:rsidR="004C6431" w:rsidRPr="00F07407">
        <w:rPr>
          <w:lang w:eastAsia="zh-HK"/>
        </w:rPr>
        <w:t xml:space="preserve"> didactic </w:t>
      </w:r>
      <w:r w:rsidR="005A2B0B" w:rsidRPr="00F07407">
        <w:rPr>
          <w:lang w:eastAsia="zh-HK"/>
        </w:rPr>
        <w:t>interaction</w:t>
      </w:r>
      <w:r w:rsidR="009918B8" w:rsidRPr="00F07407">
        <w:rPr>
          <w:lang w:eastAsia="zh-HK"/>
        </w:rPr>
        <w:t xml:space="preserve">) </w:t>
      </w:r>
      <w:r w:rsidR="004C6431" w:rsidRPr="00F07407">
        <w:rPr>
          <w:lang w:eastAsia="zh-HK"/>
        </w:rPr>
        <w:t>in</w:t>
      </w:r>
      <w:r w:rsidR="009918B8" w:rsidRPr="00F07407">
        <w:rPr>
          <w:lang w:eastAsia="zh-HK"/>
        </w:rPr>
        <w:t xml:space="preserve"> mastery motivation development, </w:t>
      </w:r>
      <w:r w:rsidR="006B2FF1" w:rsidRPr="00F07407">
        <w:rPr>
          <w:lang w:eastAsia="zh-HK"/>
        </w:rPr>
        <w:t xml:space="preserve">previous </w:t>
      </w:r>
      <w:r w:rsidR="005A2B0B" w:rsidRPr="00F07407">
        <w:rPr>
          <w:lang w:eastAsia="zh-HK"/>
        </w:rPr>
        <w:t>research has examined the antecedents of mastery motivation</w:t>
      </w:r>
      <w:r w:rsidR="00D61E5C" w:rsidRPr="00F07407">
        <w:rPr>
          <w:lang w:eastAsia="zh-HK"/>
        </w:rPr>
        <w:t xml:space="preserve">, but a majority of </w:t>
      </w:r>
      <w:r w:rsidR="008F7451" w:rsidRPr="00F07407">
        <w:rPr>
          <w:lang w:eastAsia="zh-HK"/>
        </w:rPr>
        <w:t>the studies</w:t>
      </w:r>
      <w:r w:rsidR="00D61E5C" w:rsidRPr="00F07407">
        <w:rPr>
          <w:lang w:eastAsia="zh-HK"/>
        </w:rPr>
        <w:t xml:space="preserve"> emphasized parenting behaviors</w:t>
      </w:r>
      <w:r w:rsidR="005A2B0B" w:rsidRPr="00F07407">
        <w:rPr>
          <w:lang w:eastAsia="zh-HK"/>
        </w:rPr>
        <w:t xml:space="preserve">. For example, parent-child dyadic persistence during play (Lunkenheimer &amp; Wang, 2017), </w:t>
      </w:r>
      <w:r w:rsidR="00D61E5C" w:rsidRPr="00F07407">
        <w:rPr>
          <w:lang w:eastAsia="zh-HK"/>
        </w:rPr>
        <w:t xml:space="preserve">parental </w:t>
      </w:r>
      <w:r w:rsidR="005A2B0B" w:rsidRPr="00F07407">
        <w:rPr>
          <w:lang w:eastAsia="zh-HK"/>
        </w:rPr>
        <w:t xml:space="preserve">supportive </w:t>
      </w:r>
      <w:r w:rsidR="00D61E5C" w:rsidRPr="00F07407">
        <w:rPr>
          <w:lang w:eastAsia="zh-HK"/>
        </w:rPr>
        <w:t>communications</w:t>
      </w:r>
      <w:r w:rsidR="005A2B0B" w:rsidRPr="00F07407">
        <w:rPr>
          <w:lang w:eastAsia="zh-HK"/>
        </w:rPr>
        <w:t xml:space="preserve"> (Martin et al., 2013)</w:t>
      </w:r>
      <w:r w:rsidR="00B44DB9" w:rsidRPr="00F07407">
        <w:rPr>
          <w:lang w:eastAsia="zh-HK"/>
        </w:rPr>
        <w:t>,</w:t>
      </w:r>
      <w:r w:rsidR="00EB152E" w:rsidRPr="00F07407">
        <w:rPr>
          <w:lang w:eastAsia="zh-HK"/>
        </w:rPr>
        <w:t xml:space="preserve"> and</w:t>
      </w:r>
      <w:r w:rsidR="00D61E5C" w:rsidRPr="00F07407">
        <w:rPr>
          <w:lang w:eastAsia="zh-HK"/>
        </w:rPr>
        <w:t xml:space="preserve"> </w:t>
      </w:r>
      <w:r w:rsidR="00EB152E" w:rsidRPr="00F07407">
        <w:rPr>
          <w:lang w:eastAsia="zh-HK"/>
        </w:rPr>
        <w:t>autonomy support</w:t>
      </w:r>
      <w:r w:rsidR="00D61E5C" w:rsidRPr="00F07407">
        <w:rPr>
          <w:lang w:eastAsia="zh-HK"/>
        </w:rPr>
        <w:t xml:space="preserve"> (Moorman &amp; Pomerantz, 2008) were suggested to </w:t>
      </w:r>
      <w:r w:rsidR="00EB152E" w:rsidRPr="00F07407">
        <w:rPr>
          <w:lang w:eastAsia="zh-HK"/>
        </w:rPr>
        <w:t>foster</w:t>
      </w:r>
      <w:r w:rsidR="00D61E5C" w:rsidRPr="00F07407">
        <w:rPr>
          <w:lang w:eastAsia="zh-HK"/>
        </w:rPr>
        <w:t xml:space="preserve"> children’s </w:t>
      </w:r>
      <w:r w:rsidR="005A2B0B" w:rsidRPr="00F07407">
        <w:rPr>
          <w:lang w:eastAsia="zh-HK"/>
        </w:rPr>
        <w:t xml:space="preserve">mastery motivation. </w:t>
      </w:r>
      <w:r w:rsidR="00D61E5C" w:rsidRPr="00F07407">
        <w:rPr>
          <w:lang w:eastAsia="zh-HK"/>
        </w:rPr>
        <w:t xml:space="preserve">In contrast, </w:t>
      </w:r>
      <w:r w:rsidR="00FE4F52" w:rsidRPr="00F07407">
        <w:rPr>
          <w:lang w:eastAsia="zh-HK"/>
        </w:rPr>
        <w:t>a handful of studies examined the association between</w:t>
      </w:r>
      <w:r w:rsidR="00D61E5C" w:rsidRPr="00F07407">
        <w:rPr>
          <w:lang w:eastAsia="zh-HK"/>
        </w:rPr>
        <w:t xml:space="preserve"> </w:t>
      </w:r>
      <w:r w:rsidR="003616FF" w:rsidRPr="00F07407">
        <w:rPr>
          <w:lang w:eastAsia="zh-HK"/>
        </w:rPr>
        <w:t xml:space="preserve">the </w:t>
      </w:r>
      <w:r w:rsidR="00D61E5C" w:rsidRPr="00F07407">
        <w:rPr>
          <w:lang w:eastAsia="zh-HK"/>
        </w:rPr>
        <w:t xml:space="preserve">variety of home </w:t>
      </w:r>
      <w:r w:rsidR="009229E4" w:rsidRPr="00F07407">
        <w:rPr>
          <w:lang w:eastAsia="zh-HK"/>
        </w:rPr>
        <w:t>materials</w:t>
      </w:r>
      <w:r w:rsidR="00FE4F52" w:rsidRPr="00F07407">
        <w:rPr>
          <w:lang w:eastAsia="zh-HK"/>
        </w:rPr>
        <w:t xml:space="preserve"> and </w:t>
      </w:r>
      <w:r w:rsidR="00670F2F" w:rsidRPr="00F07407">
        <w:rPr>
          <w:lang w:eastAsia="zh-HK"/>
        </w:rPr>
        <w:t xml:space="preserve">children’s </w:t>
      </w:r>
      <w:r w:rsidR="00FE4F52" w:rsidRPr="00F07407">
        <w:rPr>
          <w:lang w:eastAsia="zh-HK"/>
        </w:rPr>
        <w:t xml:space="preserve">mastery motivation, but the results were inconsistent (e.g., Wang et al., 2011; MacPhee et al., 2018). Therefore, </w:t>
      </w:r>
      <w:r w:rsidR="009229E4" w:rsidRPr="00F07407">
        <w:rPr>
          <w:lang w:eastAsia="zh-HK"/>
        </w:rPr>
        <w:t>the relationship between children’s home play opportunit</w:t>
      </w:r>
      <w:r w:rsidR="002813D0" w:rsidRPr="00F07407">
        <w:rPr>
          <w:lang w:eastAsia="zh-HK"/>
        </w:rPr>
        <w:t xml:space="preserve">y </w:t>
      </w:r>
      <w:r w:rsidR="009229E4" w:rsidRPr="00F07407">
        <w:rPr>
          <w:lang w:eastAsia="zh-HK"/>
        </w:rPr>
        <w:t>and mastery motivation</w:t>
      </w:r>
      <w:r w:rsidR="00B051D4" w:rsidRPr="00F07407">
        <w:rPr>
          <w:lang w:eastAsia="zh-HK"/>
        </w:rPr>
        <w:t>,</w:t>
      </w:r>
      <w:r w:rsidR="009229E4" w:rsidRPr="00F07407">
        <w:rPr>
          <w:lang w:eastAsia="zh-HK"/>
        </w:rPr>
        <w:t xml:space="preserve"> </w:t>
      </w:r>
      <w:r w:rsidR="001B4457" w:rsidRPr="00F07407">
        <w:rPr>
          <w:lang w:eastAsia="zh-HK"/>
        </w:rPr>
        <w:t xml:space="preserve">and how these factors </w:t>
      </w:r>
      <w:r w:rsidR="008F7451" w:rsidRPr="00F07407">
        <w:rPr>
          <w:lang w:eastAsia="zh-HK"/>
        </w:rPr>
        <w:t>jointly</w:t>
      </w:r>
      <w:r w:rsidR="00B051D4" w:rsidRPr="00F07407">
        <w:rPr>
          <w:lang w:eastAsia="zh-HK"/>
        </w:rPr>
        <w:t xml:space="preserve"> </w:t>
      </w:r>
      <w:r w:rsidR="001B4457" w:rsidRPr="00F07407">
        <w:rPr>
          <w:lang w:eastAsia="zh-HK"/>
        </w:rPr>
        <w:t xml:space="preserve">predict </w:t>
      </w:r>
      <w:r w:rsidR="008F7451" w:rsidRPr="00F07407">
        <w:rPr>
          <w:lang w:eastAsia="zh-HK"/>
        </w:rPr>
        <w:t>children’s</w:t>
      </w:r>
      <w:r w:rsidR="001B4457" w:rsidRPr="00F07407">
        <w:rPr>
          <w:lang w:eastAsia="zh-HK"/>
        </w:rPr>
        <w:t xml:space="preserve"> </w:t>
      </w:r>
      <w:r w:rsidR="008F7451" w:rsidRPr="00F07407">
        <w:rPr>
          <w:lang w:eastAsia="zh-HK"/>
        </w:rPr>
        <w:t>developmental outcomes</w:t>
      </w:r>
      <w:r w:rsidR="001B4457" w:rsidRPr="00F07407">
        <w:rPr>
          <w:lang w:eastAsia="zh-HK"/>
        </w:rPr>
        <w:t xml:space="preserve"> (</w:t>
      </w:r>
      <w:r w:rsidR="00B051D4" w:rsidRPr="00F07407">
        <w:rPr>
          <w:lang w:eastAsia="zh-HK"/>
        </w:rPr>
        <w:t>e.g.,</w:t>
      </w:r>
      <w:r w:rsidR="001B4457" w:rsidRPr="00F07407">
        <w:rPr>
          <w:lang w:eastAsia="zh-HK"/>
        </w:rPr>
        <w:t xml:space="preserve"> </w:t>
      </w:r>
      <w:r w:rsidR="00B051D4" w:rsidRPr="00F07407">
        <w:rPr>
          <w:lang w:eastAsia="zh-HK"/>
        </w:rPr>
        <w:t xml:space="preserve">school readiness) </w:t>
      </w:r>
      <w:r w:rsidR="009229E4" w:rsidRPr="00F07407">
        <w:rPr>
          <w:lang w:eastAsia="zh-HK"/>
        </w:rPr>
        <w:t>warrant further examination.</w:t>
      </w:r>
    </w:p>
    <w:p w14:paraId="16960649" w14:textId="77777777" w:rsidR="009229E4" w:rsidRPr="00F07407" w:rsidRDefault="00032560" w:rsidP="009229E4">
      <w:pPr>
        <w:spacing w:line="480" w:lineRule="auto"/>
        <w:rPr>
          <w:b/>
          <w:bCs/>
          <w:lang w:eastAsia="zh-HK"/>
        </w:rPr>
      </w:pPr>
      <w:r w:rsidRPr="00032560">
        <w:rPr>
          <w:b/>
          <w:bCs/>
          <w:color w:val="00B0F0"/>
          <w:lang w:eastAsia="zh-HK"/>
        </w:rPr>
        <w:t xml:space="preserve">Home play opportunity, mastery motivation, and </w:t>
      </w:r>
      <w:r w:rsidR="00B4595E" w:rsidRPr="00F07407">
        <w:rPr>
          <w:b/>
          <w:bCs/>
          <w:lang w:eastAsia="zh-HK"/>
        </w:rPr>
        <w:t>school readiness</w:t>
      </w:r>
    </w:p>
    <w:p w14:paraId="147BD359" w14:textId="77777777" w:rsidR="00813F27" w:rsidRDefault="000D4820" w:rsidP="00813F27">
      <w:pPr>
        <w:spacing w:line="480" w:lineRule="auto"/>
        <w:ind w:firstLine="567"/>
        <w:rPr>
          <w:lang w:eastAsia="zh-HK"/>
        </w:rPr>
      </w:pPr>
      <w:r w:rsidRPr="00F07407">
        <w:rPr>
          <w:lang w:eastAsia="zh-HK"/>
        </w:rPr>
        <w:t xml:space="preserve">School readiness is a multidimensional concept </w:t>
      </w:r>
      <w:r w:rsidR="0094286B" w:rsidRPr="00F07407">
        <w:rPr>
          <w:lang w:eastAsia="zh-HK"/>
        </w:rPr>
        <w:t>consisting</w:t>
      </w:r>
      <w:r w:rsidR="005332B0" w:rsidRPr="00F07407">
        <w:rPr>
          <w:lang w:eastAsia="zh-HK"/>
        </w:rPr>
        <w:t xml:space="preserve"> of various academic (e.g., language and mathematics) and cognitive (e.g., attention and inhibition) skills (e.g., Duncan et al., 2007; Eisenberg et al., 2010; Portilla et al., 2014). </w:t>
      </w:r>
      <w:r w:rsidR="001B4457" w:rsidRPr="00F07407">
        <w:rPr>
          <w:lang w:eastAsia="zh-HK"/>
        </w:rPr>
        <w:t xml:space="preserve">Theoretically, object and social </w:t>
      </w:r>
      <w:r w:rsidR="001B4457" w:rsidRPr="00F07407">
        <w:rPr>
          <w:lang w:eastAsia="zh-HK"/>
        </w:rPr>
        <w:lastRenderedPageBreak/>
        <w:t xml:space="preserve">mastery motivation may </w:t>
      </w:r>
      <w:r w:rsidR="00B051D4" w:rsidRPr="00F07407">
        <w:rPr>
          <w:lang w:eastAsia="zh-HK"/>
        </w:rPr>
        <w:t>impact</w:t>
      </w:r>
      <w:r w:rsidR="001B4457" w:rsidRPr="00F07407">
        <w:rPr>
          <w:lang w:eastAsia="zh-HK"/>
        </w:rPr>
        <w:t xml:space="preserve"> children’s school readiness through different pathways. </w:t>
      </w:r>
      <w:r w:rsidR="00DB2EE8" w:rsidRPr="00F07407">
        <w:rPr>
          <w:lang w:eastAsia="zh-HK"/>
        </w:rPr>
        <w:t>O</w:t>
      </w:r>
      <w:r w:rsidR="001B5FE0" w:rsidRPr="00F07407">
        <w:rPr>
          <w:lang w:eastAsia="zh-HK"/>
        </w:rPr>
        <w:t xml:space="preserve">bject mastery motivation predicts </w:t>
      </w:r>
      <w:r w:rsidR="00B115E2" w:rsidRPr="00F07407">
        <w:rPr>
          <w:lang w:eastAsia="zh-HK"/>
        </w:rPr>
        <w:t xml:space="preserve">kindergarten children’s </w:t>
      </w:r>
      <w:r w:rsidR="001B5FE0" w:rsidRPr="00F07407">
        <w:rPr>
          <w:lang w:eastAsia="zh-HK"/>
        </w:rPr>
        <w:t xml:space="preserve">early cognitive development (Gilmore et al., 2003), while </w:t>
      </w:r>
      <w:r w:rsidR="00B115E2" w:rsidRPr="00F07407">
        <w:rPr>
          <w:lang w:eastAsia="zh-HK"/>
        </w:rPr>
        <w:t>their</w:t>
      </w:r>
      <w:r w:rsidR="00500FAB" w:rsidRPr="00F07407">
        <w:rPr>
          <w:lang w:eastAsia="zh-HK"/>
        </w:rPr>
        <w:t xml:space="preserve"> higher-order cognitive skills such as </w:t>
      </w:r>
      <w:r w:rsidR="001B5FE0" w:rsidRPr="00F07407">
        <w:rPr>
          <w:lang w:eastAsia="zh-HK"/>
        </w:rPr>
        <w:t>executive functioning</w:t>
      </w:r>
      <w:r w:rsidR="004C561F" w:rsidRPr="00F07407">
        <w:rPr>
          <w:lang w:eastAsia="zh-HK"/>
        </w:rPr>
        <w:t xml:space="preserve"> </w:t>
      </w:r>
      <w:r w:rsidR="001B5FE0" w:rsidRPr="00F07407">
        <w:rPr>
          <w:lang w:eastAsia="zh-HK"/>
        </w:rPr>
        <w:t xml:space="preserve">are fundamental to </w:t>
      </w:r>
      <w:r w:rsidR="00500FAB" w:rsidRPr="00F07407">
        <w:rPr>
          <w:lang w:eastAsia="zh-HK"/>
        </w:rPr>
        <w:t>the</w:t>
      </w:r>
      <w:r w:rsidR="001B5FE0" w:rsidRPr="00F07407">
        <w:rPr>
          <w:lang w:eastAsia="zh-HK"/>
        </w:rPr>
        <w:t xml:space="preserve"> </w:t>
      </w:r>
      <w:r w:rsidR="00B115E2" w:rsidRPr="00F07407">
        <w:rPr>
          <w:lang w:eastAsia="zh-HK"/>
        </w:rPr>
        <w:t>formal school transition</w:t>
      </w:r>
      <w:r w:rsidR="001B5FE0" w:rsidRPr="00F07407">
        <w:rPr>
          <w:lang w:eastAsia="zh-HK"/>
        </w:rPr>
        <w:t xml:space="preserve"> (Blair &amp; Raver, 2015). </w:t>
      </w:r>
      <w:r w:rsidR="001B4457" w:rsidRPr="00F07407">
        <w:rPr>
          <w:lang w:eastAsia="zh-HK"/>
        </w:rPr>
        <w:t>Alternatively</w:t>
      </w:r>
      <w:r w:rsidR="001B5FE0" w:rsidRPr="00F07407">
        <w:rPr>
          <w:lang w:eastAsia="zh-HK"/>
        </w:rPr>
        <w:t xml:space="preserve">, children with higher social mastery motivation </w:t>
      </w:r>
      <w:r w:rsidR="00BE4909" w:rsidRPr="00F07407">
        <w:rPr>
          <w:lang w:eastAsia="zh-HK"/>
        </w:rPr>
        <w:t xml:space="preserve">are more likely to </w:t>
      </w:r>
      <w:r w:rsidR="0088238A" w:rsidRPr="00F07407">
        <w:rPr>
          <w:lang w:eastAsia="zh-HK"/>
        </w:rPr>
        <w:t>develop advanced</w:t>
      </w:r>
      <w:r w:rsidR="001B5FE0" w:rsidRPr="00F07407">
        <w:rPr>
          <w:lang w:eastAsia="zh-HK"/>
        </w:rPr>
        <w:t xml:space="preserve"> social-emotional competence (e.g., Fung &amp; Chung, </w:t>
      </w:r>
      <w:r w:rsidR="00DB2EE8" w:rsidRPr="00F07407">
        <w:rPr>
          <w:lang w:eastAsia="zh-HK"/>
        </w:rPr>
        <w:t>2019a; Fung et al, 2018</w:t>
      </w:r>
      <w:r w:rsidR="00B051D4" w:rsidRPr="00F07407">
        <w:rPr>
          <w:lang w:eastAsia="zh-HK"/>
        </w:rPr>
        <w:t>; MacTurk et al., 1985</w:t>
      </w:r>
      <w:r w:rsidR="00DB2EE8" w:rsidRPr="00F07407">
        <w:rPr>
          <w:lang w:eastAsia="zh-HK"/>
        </w:rPr>
        <w:t>)</w:t>
      </w:r>
      <w:r w:rsidR="0088238A" w:rsidRPr="00F07407">
        <w:rPr>
          <w:lang w:eastAsia="zh-HK"/>
        </w:rPr>
        <w:t>, which</w:t>
      </w:r>
      <w:r w:rsidR="00DB2EE8" w:rsidRPr="00F07407">
        <w:rPr>
          <w:lang w:eastAsia="zh-HK"/>
        </w:rPr>
        <w:t xml:space="preserve"> </w:t>
      </w:r>
      <w:r w:rsidR="001B4457" w:rsidRPr="00F07407">
        <w:rPr>
          <w:lang w:eastAsia="zh-HK"/>
        </w:rPr>
        <w:t>may</w:t>
      </w:r>
      <w:r w:rsidR="00DB2EE8" w:rsidRPr="00F07407">
        <w:rPr>
          <w:lang w:eastAsia="zh-HK"/>
        </w:rPr>
        <w:t xml:space="preserve"> </w:t>
      </w:r>
      <w:r w:rsidR="0088238A" w:rsidRPr="00F07407">
        <w:rPr>
          <w:lang w:eastAsia="zh-HK"/>
        </w:rPr>
        <w:t xml:space="preserve">lead to </w:t>
      </w:r>
      <w:r w:rsidR="00D30AA8" w:rsidRPr="00F07407">
        <w:rPr>
          <w:lang w:eastAsia="zh-HK"/>
        </w:rPr>
        <w:t>better</w:t>
      </w:r>
      <w:r w:rsidR="000C2A8F" w:rsidRPr="00F07407">
        <w:rPr>
          <w:lang w:eastAsia="zh-HK"/>
        </w:rPr>
        <w:t xml:space="preserve"> </w:t>
      </w:r>
      <w:r w:rsidR="00B115E2" w:rsidRPr="00F07407">
        <w:rPr>
          <w:lang w:eastAsia="zh-HK"/>
        </w:rPr>
        <w:t>student-teacher relationships (Hernández et al., 2016)</w:t>
      </w:r>
      <w:r w:rsidR="00D30AA8" w:rsidRPr="00F07407">
        <w:rPr>
          <w:lang w:eastAsia="zh-HK"/>
        </w:rPr>
        <w:t xml:space="preserve"> and</w:t>
      </w:r>
      <w:r w:rsidR="009E02DD" w:rsidRPr="00F07407">
        <w:rPr>
          <w:lang w:eastAsia="zh-HK"/>
        </w:rPr>
        <w:t xml:space="preserve"> engagement in classroom learning activities </w:t>
      </w:r>
      <w:r w:rsidR="00B115E2" w:rsidRPr="00F07407">
        <w:rPr>
          <w:lang w:eastAsia="zh-HK"/>
        </w:rPr>
        <w:t>(Galindo &amp; Fuller, 2010)</w:t>
      </w:r>
      <w:r w:rsidR="000C2A8F" w:rsidRPr="00F07407">
        <w:rPr>
          <w:lang w:eastAsia="zh-HK"/>
        </w:rPr>
        <w:t xml:space="preserve">, </w:t>
      </w:r>
      <w:r w:rsidR="009E02DD" w:rsidRPr="00F07407">
        <w:rPr>
          <w:lang w:eastAsia="zh-HK"/>
        </w:rPr>
        <w:t>and</w:t>
      </w:r>
      <w:r w:rsidR="000C2A8F" w:rsidRPr="00F07407">
        <w:rPr>
          <w:lang w:eastAsia="zh-HK"/>
        </w:rPr>
        <w:t xml:space="preserve"> </w:t>
      </w:r>
      <w:r w:rsidR="00B115E2" w:rsidRPr="00F07407">
        <w:rPr>
          <w:lang w:eastAsia="zh-HK"/>
        </w:rPr>
        <w:t>further contribute to</w:t>
      </w:r>
      <w:r w:rsidR="00DB2EE8" w:rsidRPr="00F07407">
        <w:rPr>
          <w:lang w:eastAsia="zh-HK"/>
        </w:rPr>
        <w:t xml:space="preserve"> school readiness (e.g., Campbell et al, 2016; Denham &amp; Brown, 2010</w:t>
      </w:r>
      <w:r w:rsidR="001B4457" w:rsidRPr="00F07407">
        <w:rPr>
          <w:lang w:eastAsia="zh-HK"/>
        </w:rPr>
        <w:t>; Fung et al., 2020</w:t>
      </w:r>
      <w:r w:rsidR="00DB2EE8" w:rsidRPr="00F07407">
        <w:rPr>
          <w:lang w:eastAsia="zh-HK"/>
        </w:rPr>
        <w:t>).</w:t>
      </w:r>
      <w:r w:rsidR="001B4457" w:rsidRPr="00F07407">
        <w:rPr>
          <w:lang w:eastAsia="zh-HK"/>
        </w:rPr>
        <w:t xml:space="preserve"> Accumulating research has documented the interconnectedness of object and social mastery motivation with school readiness. For </w:t>
      </w:r>
      <w:r w:rsidR="005332B0" w:rsidRPr="00F07407">
        <w:rPr>
          <w:lang w:eastAsia="zh-HK"/>
        </w:rPr>
        <w:t>instance</w:t>
      </w:r>
      <w:r w:rsidR="001B4457" w:rsidRPr="00F07407">
        <w:rPr>
          <w:lang w:eastAsia="zh-HK"/>
        </w:rPr>
        <w:t>,</w:t>
      </w:r>
      <w:r w:rsidR="00F20121" w:rsidRPr="00F07407">
        <w:rPr>
          <w:lang w:eastAsia="zh-HK"/>
        </w:rPr>
        <w:t xml:space="preserve"> kindergarten children’s object mastery motivation positively </w:t>
      </w:r>
      <w:r w:rsidR="00403BD6" w:rsidRPr="00F07407">
        <w:rPr>
          <w:lang w:eastAsia="zh-HK"/>
        </w:rPr>
        <w:t>predicted</w:t>
      </w:r>
      <w:r w:rsidR="00F20121" w:rsidRPr="00F07407">
        <w:rPr>
          <w:lang w:eastAsia="zh-HK"/>
        </w:rPr>
        <w:t xml:space="preserve"> their prospective </w:t>
      </w:r>
      <w:r w:rsidR="00813F27" w:rsidRPr="00F07407">
        <w:rPr>
          <w:lang w:eastAsia="zh-HK"/>
        </w:rPr>
        <w:t>school readiness (</w:t>
      </w:r>
      <w:r w:rsidR="005559F0" w:rsidRPr="00F07407">
        <w:rPr>
          <w:lang w:eastAsia="zh-HK"/>
        </w:rPr>
        <w:t>MacPhee et al., 2018</w:t>
      </w:r>
      <w:r w:rsidR="00813F27" w:rsidRPr="00F07407">
        <w:rPr>
          <w:lang w:eastAsia="zh-HK"/>
        </w:rPr>
        <w:t xml:space="preserve">) and </w:t>
      </w:r>
      <w:r w:rsidR="00F20121" w:rsidRPr="00F07407">
        <w:rPr>
          <w:lang w:eastAsia="zh-HK"/>
        </w:rPr>
        <w:t xml:space="preserve">academic skills </w:t>
      </w:r>
      <w:r w:rsidR="00813F27" w:rsidRPr="00F07407">
        <w:rPr>
          <w:lang w:eastAsia="zh-HK"/>
        </w:rPr>
        <w:t>including</w:t>
      </w:r>
      <w:r w:rsidR="00F20121" w:rsidRPr="00F07407">
        <w:rPr>
          <w:lang w:eastAsia="zh-HK"/>
        </w:rPr>
        <w:t xml:space="preserve"> vocabulary knowledge, word reading, spelling, </w:t>
      </w:r>
      <w:r w:rsidR="001864E4" w:rsidRPr="00F07407">
        <w:rPr>
          <w:lang w:eastAsia="zh-HK"/>
        </w:rPr>
        <w:t xml:space="preserve">and </w:t>
      </w:r>
      <w:r w:rsidR="00F20121" w:rsidRPr="00F07407">
        <w:rPr>
          <w:lang w:eastAsia="zh-HK"/>
        </w:rPr>
        <w:t xml:space="preserve">mathematics (e.g., Gilmore et al., 2003; </w:t>
      </w:r>
      <w:r w:rsidR="001864E4" w:rsidRPr="00F07407">
        <w:rPr>
          <w:lang w:eastAsia="zh-HK"/>
        </w:rPr>
        <w:t xml:space="preserve">Martin et al., 2013; </w:t>
      </w:r>
      <w:r w:rsidR="00F20121" w:rsidRPr="00F07407">
        <w:rPr>
          <w:lang w:eastAsia="zh-HK"/>
        </w:rPr>
        <w:t>Turner et al., 2003</w:t>
      </w:r>
      <w:r w:rsidR="001864E4" w:rsidRPr="00F07407">
        <w:rPr>
          <w:lang w:eastAsia="zh-HK"/>
        </w:rPr>
        <w:t xml:space="preserve">). Similarly, </w:t>
      </w:r>
      <w:r w:rsidR="005559F0" w:rsidRPr="00F07407">
        <w:rPr>
          <w:lang w:eastAsia="zh-HK"/>
        </w:rPr>
        <w:t xml:space="preserve">Józsa and Barrett (2018) reported that </w:t>
      </w:r>
      <w:r w:rsidR="001864E4" w:rsidRPr="00F07407">
        <w:rPr>
          <w:lang w:eastAsia="zh-HK"/>
        </w:rPr>
        <w:t>children’s social mastery motivation</w:t>
      </w:r>
      <w:r w:rsidR="005559F0" w:rsidRPr="00F07407">
        <w:rPr>
          <w:lang w:eastAsia="zh-HK"/>
        </w:rPr>
        <w:t xml:space="preserve"> </w:t>
      </w:r>
      <w:r w:rsidR="00403BD6" w:rsidRPr="00F07407">
        <w:rPr>
          <w:lang w:eastAsia="zh-HK"/>
        </w:rPr>
        <w:t>positively</w:t>
      </w:r>
      <w:r w:rsidR="005559F0" w:rsidRPr="00F07407">
        <w:rPr>
          <w:lang w:eastAsia="zh-HK"/>
        </w:rPr>
        <w:t xml:space="preserve"> predicted </w:t>
      </w:r>
      <w:r w:rsidR="009F2AB4" w:rsidRPr="00F07407">
        <w:rPr>
          <w:lang w:eastAsia="zh-HK"/>
        </w:rPr>
        <w:t>later</w:t>
      </w:r>
      <w:r w:rsidR="005559F0" w:rsidRPr="00F07407">
        <w:rPr>
          <w:lang w:eastAsia="zh-HK"/>
        </w:rPr>
        <w:t xml:space="preserve"> social skills</w:t>
      </w:r>
      <w:r w:rsidR="00403BD6" w:rsidRPr="00F07407">
        <w:rPr>
          <w:lang w:eastAsia="zh-HK"/>
        </w:rPr>
        <w:t>,</w:t>
      </w:r>
      <w:r w:rsidR="005559F0" w:rsidRPr="00F07407">
        <w:rPr>
          <w:lang w:eastAsia="zh-HK"/>
        </w:rPr>
        <w:t xml:space="preserve"> but not their reading and mathematics achievement.</w:t>
      </w:r>
      <w:r w:rsidR="005332B0" w:rsidRPr="00F07407">
        <w:rPr>
          <w:lang w:eastAsia="zh-HK"/>
        </w:rPr>
        <w:t xml:space="preserve"> </w:t>
      </w:r>
      <w:r w:rsidR="0094286B" w:rsidRPr="00F07407">
        <w:rPr>
          <w:lang w:eastAsia="zh-HK"/>
        </w:rPr>
        <w:t>Earlier</w:t>
      </w:r>
      <w:r w:rsidR="005332B0" w:rsidRPr="00F07407">
        <w:rPr>
          <w:lang w:eastAsia="zh-HK"/>
        </w:rPr>
        <w:t xml:space="preserve"> research</w:t>
      </w:r>
      <w:r w:rsidR="009F2AB4" w:rsidRPr="00F07407">
        <w:rPr>
          <w:lang w:eastAsia="zh-HK"/>
        </w:rPr>
        <w:t>, however, primarily examined how object or social mastery motivation</w:t>
      </w:r>
      <w:r w:rsidR="005332B0" w:rsidRPr="00F07407">
        <w:rPr>
          <w:lang w:eastAsia="zh-HK"/>
        </w:rPr>
        <w:t xml:space="preserve"> </w:t>
      </w:r>
      <w:r w:rsidR="009F2AB4" w:rsidRPr="00F07407">
        <w:rPr>
          <w:lang w:eastAsia="zh-HK"/>
        </w:rPr>
        <w:t xml:space="preserve">predicts school readiness, </w:t>
      </w:r>
      <w:r w:rsidR="00743CA8" w:rsidRPr="00F07407">
        <w:rPr>
          <w:lang w:eastAsia="zh-HK"/>
        </w:rPr>
        <w:t>and</w:t>
      </w:r>
      <w:r w:rsidR="009F2AB4" w:rsidRPr="00F07407">
        <w:rPr>
          <w:lang w:eastAsia="zh-HK"/>
        </w:rPr>
        <w:t xml:space="preserve"> none of the studies included both motivational factors and investigated their unique contributions. </w:t>
      </w:r>
      <w:r w:rsidR="00C341FA" w:rsidRPr="00F07407">
        <w:rPr>
          <w:lang w:eastAsia="zh-HK"/>
        </w:rPr>
        <w:t xml:space="preserve">Researchers may also </w:t>
      </w:r>
      <w:r w:rsidR="0094286B" w:rsidRPr="00F07407">
        <w:rPr>
          <w:lang w:eastAsia="zh-HK"/>
        </w:rPr>
        <w:t xml:space="preserve">have </w:t>
      </w:r>
      <w:r w:rsidR="00C341FA" w:rsidRPr="00F07407">
        <w:rPr>
          <w:lang w:eastAsia="zh-HK"/>
        </w:rPr>
        <w:t>integrate</w:t>
      </w:r>
      <w:r w:rsidR="0094286B" w:rsidRPr="00F07407">
        <w:rPr>
          <w:lang w:eastAsia="zh-HK"/>
        </w:rPr>
        <w:t>d</w:t>
      </w:r>
      <w:r w:rsidR="00C341FA" w:rsidRPr="00F07407">
        <w:rPr>
          <w:lang w:eastAsia="zh-HK"/>
        </w:rPr>
        <w:t xml:space="preserve"> measures of object and social mastery </w:t>
      </w:r>
      <w:r w:rsidR="00C341FA" w:rsidRPr="00F07407">
        <w:rPr>
          <w:lang w:eastAsia="zh-HK"/>
        </w:rPr>
        <w:lastRenderedPageBreak/>
        <w:t xml:space="preserve">motivation into a single score </w:t>
      </w:r>
      <w:r w:rsidR="00A26DD6" w:rsidRPr="00F07407">
        <w:rPr>
          <w:lang w:eastAsia="zh-HK"/>
        </w:rPr>
        <w:t>in the model estimation</w:t>
      </w:r>
      <w:r w:rsidR="00C341FA" w:rsidRPr="00F07407">
        <w:rPr>
          <w:lang w:eastAsia="zh-HK"/>
        </w:rPr>
        <w:t xml:space="preserve"> (e.g., MacPhee et al., 2018), which further complicated the interpretation of the existing findings.</w:t>
      </w:r>
      <w:r w:rsidR="00A26DD6" w:rsidRPr="00F07407">
        <w:rPr>
          <w:lang w:eastAsia="zh-HK"/>
        </w:rPr>
        <w:t xml:space="preserve"> Thus, it is important to include object and social mastery motivation as separate variables to examine their distinctive impacts on school readiness. The present study filled this gap by </w:t>
      </w:r>
      <w:r w:rsidR="00DF0A14" w:rsidRPr="00DF0A14">
        <w:rPr>
          <w:color w:val="00B0F0"/>
          <w:lang w:eastAsia="zh-HK"/>
        </w:rPr>
        <w:t xml:space="preserve">including </w:t>
      </w:r>
      <w:r w:rsidR="00A26DD6" w:rsidRPr="00DF0A14">
        <w:rPr>
          <w:color w:val="00B0F0"/>
          <w:lang w:eastAsia="zh-HK"/>
        </w:rPr>
        <w:t xml:space="preserve">both object and social mastery motivation </w:t>
      </w:r>
      <w:r w:rsidR="00B553A1">
        <w:rPr>
          <w:color w:val="00B0F0"/>
          <w:lang w:eastAsia="zh-HK"/>
        </w:rPr>
        <w:t>to explore their relationship with</w:t>
      </w:r>
      <w:r w:rsidR="00DF0A14" w:rsidRPr="00DF0A14">
        <w:rPr>
          <w:color w:val="00B0F0"/>
          <w:lang w:eastAsia="zh-HK"/>
        </w:rPr>
        <w:t xml:space="preserve"> school readiness</w:t>
      </w:r>
      <w:r w:rsidR="00A26DD6" w:rsidRPr="00F07407">
        <w:rPr>
          <w:lang w:eastAsia="zh-HK"/>
        </w:rPr>
        <w:t>.</w:t>
      </w:r>
    </w:p>
    <w:p w14:paraId="6D67B2FA" w14:textId="22C42B4E" w:rsidR="00032560" w:rsidRPr="00032560" w:rsidRDefault="00D91401" w:rsidP="00813F27">
      <w:pPr>
        <w:spacing w:line="480" w:lineRule="auto"/>
        <w:ind w:firstLine="567"/>
        <w:rPr>
          <w:color w:val="00B0F0"/>
          <w:lang w:eastAsia="zh-HK"/>
        </w:rPr>
      </w:pPr>
      <w:r w:rsidRPr="00D91401">
        <w:rPr>
          <w:color w:val="00B0F0"/>
          <w:lang w:eastAsia="zh-HK"/>
        </w:rPr>
        <w:t xml:space="preserve">Ample research has investigated how the home environment would affect kindergarten children’s school readiness. For example, a rich home literacy environment (e.g., Baker, 2014), a wide range of household learning materials (Jeon et al., 2014), parental involvement in household learning (Lahaie, 2008), and stimulating parent-child interactive experience (Korucu &amp; Schmitt, 2020) were reported as positive predictors of children’s school readiness. Nevertheless, these studies focused on the possible impacts of learning-oriented cognitive stimulation or parent-child interaction on school readiness. Little of them have explored how household contexts specifically related to daily play behaviors predict children’s future school readiness. Building on the developmental theories underscoring the vital role of play in children’s early learning and development (e.g., Piaget, 1976; Vygotsky, 1967), this study extended previous work by examining the antecedents of children’s school readiness through the lens of play. Considering that the availability of household playmates and play materials can shape children’s play behaviors (Fung &amp; Chung, 2022) and that children develop early mastery motivation through play (Fung &amp; Chung, 2019a; Wang et al., 2011), it was </w:t>
      </w:r>
      <w:r w:rsidRPr="00D91401">
        <w:rPr>
          <w:color w:val="00B0F0"/>
          <w:lang w:eastAsia="zh-HK"/>
        </w:rPr>
        <w:lastRenderedPageBreak/>
        <w:t>contended that children with increased home play opportunity may develop advanced object and social mastery motivation and, in turn, demonstrate better school readiness. The present study tested this proposed framework by investigating the indirect relationship between children’s home play opportunity and their subsequent school readiness, considering both object and social mastery motivation as potential mediators</w:t>
      </w:r>
      <w:r w:rsidR="001B2907">
        <w:rPr>
          <w:color w:val="00B0F0"/>
          <w:lang w:eastAsia="zh-HK"/>
        </w:rPr>
        <w:t>.</w:t>
      </w:r>
      <w:r w:rsidR="005253A4">
        <w:rPr>
          <w:color w:val="00B0F0"/>
          <w:lang w:eastAsia="zh-HK"/>
        </w:rPr>
        <w:t xml:space="preserve"> </w:t>
      </w:r>
      <w:r w:rsidR="00342D32">
        <w:rPr>
          <w:color w:val="00B0F0"/>
          <w:lang w:eastAsia="zh-HK"/>
        </w:rPr>
        <w:t xml:space="preserve"> </w:t>
      </w:r>
      <w:r w:rsidR="00B162AD">
        <w:rPr>
          <w:color w:val="00B0F0"/>
          <w:lang w:eastAsia="zh-HK"/>
        </w:rPr>
        <w:t xml:space="preserve"> </w:t>
      </w:r>
    </w:p>
    <w:p w14:paraId="3E4A231F" w14:textId="77777777" w:rsidR="005E4B66" w:rsidRPr="00F07407" w:rsidRDefault="005E4B66" w:rsidP="005E4B66">
      <w:pPr>
        <w:spacing w:line="480" w:lineRule="auto"/>
        <w:rPr>
          <w:b/>
          <w:bCs/>
          <w:lang w:eastAsia="zh-HK"/>
        </w:rPr>
      </w:pPr>
      <w:r w:rsidRPr="00F07407">
        <w:rPr>
          <w:b/>
          <w:bCs/>
          <w:lang w:eastAsia="zh-HK"/>
        </w:rPr>
        <w:t>The present study</w:t>
      </w:r>
    </w:p>
    <w:p w14:paraId="3D32314E" w14:textId="6828C203" w:rsidR="005E4B66" w:rsidRPr="00595576" w:rsidRDefault="005E4B66" w:rsidP="00B825F6">
      <w:pPr>
        <w:spacing w:line="480" w:lineRule="auto"/>
        <w:ind w:firstLine="567"/>
        <w:rPr>
          <w:color w:val="00B0F0"/>
          <w:highlight w:val="yellow"/>
          <w:lang w:eastAsia="zh-HK"/>
        </w:rPr>
      </w:pPr>
      <w:r w:rsidRPr="00F07407">
        <w:rPr>
          <w:lang w:eastAsia="zh-HK"/>
        </w:rPr>
        <w:t xml:space="preserve">This study examined the direct and indirect relationships among </w:t>
      </w:r>
      <w:r w:rsidR="0036676A" w:rsidRPr="00F07407">
        <w:rPr>
          <w:lang w:eastAsia="zh-HK"/>
        </w:rPr>
        <w:t>home play opportunity, object mastery motivation, social mastery motivation, and school readiness</w:t>
      </w:r>
      <w:r w:rsidR="007D37DD" w:rsidRPr="00F07407">
        <w:rPr>
          <w:lang w:eastAsia="zh-HK"/>
        </w:rPr>
        <w:t xml:space="preserve"> of Chinese kindergarten children</w:t>
      </w:r>
      <w:r w:rsidR="00CF3608" w:rsidRPr="00F07407">
        <w:rPr>
          <w:lang w:eastAsia="zh-HK"/>
        </w:rPr>
        <w:t xml:space="preserve"> in Hong Kong</w:t>
      </w:r>
      <w:r w:rsidR="007D37DD" w:rsidRPr="00F07407">
        <w:rPr>
          <w:lang w:eastAsia="zh-HK"/>
        </w:rPr>
        <w:t>. Based on the theoretical framework (Busch-Rossnagel et al., 1995) and prior research evidence (e.g., Fung &amp; Chung, 2019</w:t>
      </w:r>
      <w:r w:rsidR="0036676A" w:rsidRPr="00F07407">
        <w:rPr>
          <w:lang w:eastAsia="zh-HK"/>
        </w:rPr>
        <w:t>a</w:t>
      </w:r>
      <w:r w:rsidR="007D37DD" w:rsidRPr="00F07407">
        <w:rPr>
          <w:lang w:eastAsia="zh-HK"/>
        </w:rPr>
        <w:t xml:space="preserve">; </w:t>
      </w:r>
      <w:r w:rsidR="007D37DD" w:rsidRPr="00F07407">
        <w:t xml:space="preserve">Józsa &amp; Barrett, 2018; </w:t>
      </w:r>
      <w:r w:rsidR="0036676A" w:rsidRPr="00F07407">
        <w:rPr>
          <w:lang w:eastAsia="zh-HK"/>
        </w:rPr>
        <w:t>MacPhee et al., 2018</w:t>
      </w:r>
      <w:r w:rsidR="00FE3C56" w:rsidRPr="00F07407">
        <w:rPr>
          <w:lang w:eastAsia="zh-HK"/>
        </w:rPr>
        <w:t>; Martin et al., 2013</w:t>
      </w:r>
      <w:r w:rsidR="007D37DD" w:rsidRPr="00F07407">
        <w:rPr>
          <w:lang w:eastAsia="zh-HK"/>
        </w:rPr>
        <w:t>)</w:t>
      </w:r>
      <w:r w:rsidR="000805BE" w:rsidRPr="00F07407">
        <w:rPr>
          <w:lang w:eastAsia="zh-HK"/>
        </w:rPr>
        <w:t xml:space="preserve">, </w:t>
      </w:r>
      <w:r w:rsidR="009C1B53" w:rsidRPr="00F07407">
        <w:rPr>
          <w:lang w:eastAsia="zh-HK"/>
        </w:rPr>
        <w:t>it was</w:t>
      </w:r>
      <w:r w:rsidR="000805BE" w:rsidRPr="00F07407">
        <w:rPr>
          <w:lang w:eastAsia="zh-HK"/>
        </w:rPr>
        <w:t xml:space="preserve"> hypothesized that </w:t>
      </w:r>
      <w:r w:rsidR="00812A3E" w:rsidRPr="00F07407">
        <w:rPr>
          <w:lang w:eastAsia="zh-HK"/>
        </w:rPr>
        <w:t xml:space="preserve">children’s home play opportunity at time 1 would </w:t>
      </w:r>
      <w:r w:rsidR="008B57C9" w:rsidRPr="00F07407">
        <w:rPr>
          <w:lang w:eastAsia="zh-HK"/>
        </w:rPr>
        <w:t>positively</w:t>
      </w:r>
      <w:r w:rsidR="00812A3E" w:rsidRPr="00F07407">
        <w:rPr>
          <w:lang w:eastAsia="zh-HK"/>
        </w:rPr>
        <w:t xml:space="preserve"> predict their object and social mastery motivation at time 2</w:t>
      </w:r>
      <w:r w:rsidR="000805BE" w:rsidRPr="00F07407">
        <w:rPr>
          <w:lang w:eastAsia="zh-HK"/>
        </w:rPr>
        <w:t xml:space="preserve">. </w:t>
      </w:r>
      <w:r w:rsidR="00916B01" w:rsidRPr="00F07407">
        <w:rPr>
          <w:lang w:eastAsia="zh-HK"/>
        </w:rPr>
        <w:t xml:space="preserve">It was also expected that children’s object and social mastery motivation </w:t>
      </w:r>
      <w:r w:rsidR="00E777E8" w:rsidRPr="00F07407">
        <w:rPr>
          <w:lang w:eastAsia="zh-HK"/>
        </w:rPr>
        <w:t xml:space="preserve">at time 2 </w:t>
      </w:r>
      <w:r w:rsidR="00916B01" w:rsidRPr="00F07407">
        <w:rPr>
          <w:lang w:eastAsia="zh-HK"/>
        </w:rPr>
        <w:t xml:space="preserve">would be positively related to their </w:t>
      </w:r>
      <w:r w:rsidR="00E777E8" w:rsidRPr="00F07407">
        <w:rPr>
          <w:lang w:eastAsia="zh-HK"/>
        </w:rPr>
        <w:t xml:space="preserve">concurrent </w:t>
      </w:r>
      <w:r w:rsidR="00916B01" w:rsidRPr="00F07407">
        <w:rPr>
          <w:lang w:eastAsia="zh-HK"/>
        </w:rPr>
        <w:t xml:space="preserve">school readiness. </w:t>
      </w:r>
      <w:r w:rsidR="00DD341E">
        <w:rPr>
          <w:color w:val="00B0F0"/>
          <w:lang w:eastAsia="zh-HK"/>
        </w:rPr>
        <w:t xml:space="preserve">Considering the absence of theory conceptualizing </w:t>
      </w:r>
      <w:r w:rsidR="0068328C">
        <w:rPr>
          <w:color w:val="00B0F0"/>
          <w:lang w:eastAsia="zh-HK"/>
        </w:rPr>
        <w:t>and</w:t>
      </w:r>
      <w:r w:rsidR="00DD341E">
        <w:rPr>
          <w:color w:val="00B0F0"/>
          <w:lang w:eastAsia="zh-HK"/>
        </w:rPr>
        <w:t xml:space="preserve"> empirical evidence supporting a direct relationship</w:t>
      </w:r>
      <w:r w:rsidR="00916B01" w:rsidRPr="00106F49">
        <w:rPr>
          <w:color w:val="00B0F0"/>
          <w:lang w:eastAsia="zh-HK"/>
        </w:rPr>
        <w:t>, i</w:t>
      </w:r>
      <w:r w:rsidR="009C1B53" w:rsidRPr="00106F49">
        <w:rPr>
          <w:color w:val="00B0F0"/>
          <w:lang w:eastAsia="zh-HK"/>
        </w:rPr>
        <w:t>t was</w:t>
      </w:r>
      <w:r w:rsidR="000805BE" w:rsidRPr="00106F49">
        <w:rPr>
          <w:color w:val="00B0F0"/>
          <w:lang w:eastAsia="zh-HK"/>
        </w:rPr>
        <w:t xml:space="preserve"> </w:t>
      </w:r>
      <w:r w:rsidR="00916B01" w:rsidRPr="00106F49">
        <w:rPr>
          <w:color w:val="00B0F0"/>
          <w:lang w:eastAsia="zh-HK"/>
        </w:rPr>
        <w:t>anticipated</w:t>
      </w:r>
      <w:r w:rsidR="000805BE" w:rsidRPr="00106F49">
        <w:rPr>
          <w:color w:val="00B0F0"/>
          <w:lang w:eastAsia="zh-HK"/>
        </w:rPr>
        <w:t xml:space="preserve"> that </w:t>
      </w:r>
      <w:r w:rsidR="00812A3E" w:rsidRPr="00106F49">
        <w:rPr>
          <w:color w:val="00B0F0"/>
          <w:lang w:eastAsia="zh-HK"/>
        </w:rPr>
        <w:t xml:space="preserve">the </w:t>
      </w:r>
      <w:r w:rsidR="00106F49" w:rsidRPr="00106F49">
        <w:rPr>
          <w:color w:val="00B0F0"/>
          <w:lang w:eastAsia="zh-HK"/>
        </w:rPr>
        <w:t xml:space="preserve">direct </w:t>
      </w:r>
      <w:r w:rsidR="00DD341E" w:rsidRPr="00106F49">
        <w:rPr>
          <w:color w:val="00B0F0"/>
          <w:lang w:eastAsia="zh-HK"/>
        </w:rPr>
        <w:t>link</w:t>
      </w:r>
      <w:r w:rsidR="00812A3E" w:rsidRPr="00106F49">
        <w:rPr>
          <w:color w:val="00B0F0"/>
          <w:lang w:eastAsia="zh-HK"/>
        </w:rPr>
        <w:t xml:space="preserve"> between </w:t>
      </w:r>
      <w:r w:rsidR="000805BE" w:rsidRPr="00106F49">
        <w:rPr>
          <w:color w:val="00B0F0"/>
          <w:lang w:eastAsia="zh-HK"/>
        </w:rPr>
        <w:t xml:space="preserve">children’s </w:t>
      </w:r>
      <w:r w:rsidR="00812A3E" w:rsidRPr="00106F49">
        <w:rPr>
          <w:color w:val="00B0F0"/>
          <w:lang w:eastAsia="zh-HK"/>
        </w:rPr>
        <w:t>home play opportunity at time 1 and school readiness</w:t>
      </w:r>
      <w:r w:rsidR="000805BE" w:rsidRPr="00106F49">
        <w:rPr>
          <w:color w:val="00B0F0"/>
          <w:lang w:eastAsia="zh-HK"/>
        </w:rPr>
        <w:t xml:space="preserve"> </w:t>
      </w:r>
      <w:r w:rsidR="00812A3E" w:rsidRPr="00106F49">
        <w:rPr>
          <w:color w:val="00B0F0"/>
          <w:lang w:eastAsia="zh-HK"/>
        </w:rPr>
        <w:t xml:space="preserve">at time 2 </w:t>
      </w:r>
      <w:r w:rsidR="000805BE" w:rsidRPr="00106F49">
        <w:rPr>
          <w:color w:val="00B0F0"/>
          <w:lang w:eastAsia="zh-HK"/>
        </w:rPr>
        <w:t xml:space="preserve">would </w:t>
      </w:r>
      <w:r w:rsidR="00812A3E" w:rsidRPr="00106F49">
        <w:rPr>
          <w:color w:val="00B0F0"/>
          <w:lang w:eastAsia="zh-HK"/>
        </w:rPr>
        <w:t xml:space="preserve">be </w:t>
      </w:r>
      <w:r w:rsidR="00DD341E" w:rsidRPr="00106F49">
        <w:rPr>
          <w:color w:val="00B0F0"/>
          <w:lang w:eastAsia="zh-HK"/>
        </w:rPr>
        <w:t>non-significant</w:t>
      </w:r>
      <w:r w:rsidR="00DE4BAE">
        <w:rPr>
          <w:color w:val="00B0F0"/>
          <w:lang w:eastAsia="zh-HK"/>
        </w:rPr>
        <w:t>,</w:t>
      </w:r>
      <w:r w:rsidR="00DD341E" w:rsidRPr="00106F49">
        <w:rPr>
          <w:color w:val="00B0F0"/>
          <w:lang w:eastAsia="zh-HK"/>
        </w:rPr>
        <w:t xml:space="preserve"> </w:t>
      </w:r>
      <w:r w:rsidR="00106F49" w:rsidRPr="00106F49">
        <w:rPr>
          <w:color w:val="00B0F0"/>
          <w:lang w:eastAsia="zh-HK"/>
        </w:rPr>
        <w:t>whereas the</w:t>
      </w:r>
      <w:r w:rsidR="00DE4BAE">
        <w:rPr>
          <w:color w:val="00B0F0"/>
          <w:lang w:eastAsia="zh-HK"/>
        </w:rPr>
        <w:t>ir</w:t>
      </w:r>
      <w:r w:rsidR="00106F49" w:rsidRPr="00106F49">
        <w:rPr>
          <w:color w:val="00B0F0"/>
          <w:lang w:eastAsia="zh-HK"/>
        </w:rPr>
        <w:t xml:space="preserve"> indirect </w:t>
      </w:r>
      <w:r w:rsidR="003C79DB">
        <w:rPr>
          <w:color w:val="00B0F0"/>
          <w:lang w:eastAsia="zh-HK"/>
        </w:rPr>
        <w:t>relationships</w:t>
      </w:r>
      <w:r w:rsidR="00106F49" w:rsidRPr="00106F49">
        <w:rPr>
          <w:color w:val="00B0F0"/>
          <w:lang w:eastAsia="zh-HK"/>
        </w:rPr>
        <w:t xml:space="preserve"> as</w:t>
      </w:r>
      <w:r w:rsidR="00812A3E" w:rsidRPr="00106F49">
        <w:rPr>
          <w:color w:val="00B0F0"/>
          <w:lang w:eastAsia="zh-HK"/>
        </w:rPr>
        <w:t xml:space="preserve"> </w:t>
      </w:r>
      <w:r w:rsidR="000805BE" w:rsidRPr="00106F49">
        <w:rPr>
          <w:color w:val="00B0F0"/>
          <w:lang w:eastAsia="zh-HK"/>
        </w:rPr>
        <w:t>mediate</w:t>
      </w:r>
      <w:r w:rsidR="00812A3E" w:rsidRPr="00106F49">
        <w:rPr>
          <w:color w:val="00B0F0"/>
          <w:lang w:eastAsia="zh-HK"/>
        </w:rPr>
        <w:t xml:space="preserve">d </w:t>
      </w:r>
      <w:r w:rsidR="00106F49" w:rsidRPr="00106F49">
        <w:rPr>
          <w:color w:val="00B0F0"/>
          <w:lang w:eastAsia="zh-HK"/>
        </w:rPr>
        <w:t>through</w:t>
      </w:r>
      <w:r w:rsidR="00812A3E" w:rsidRPr="00106F49">
        <w:rPr>
          <w:color w:val="00B0F0"/>
          <w:lang w:eastAsia="zh-HK"/>
        </w:rPr>
        <w:t xml:space="preserve"> object and social mastery motivation at time 2</w:t>
      </w:r>
      <w:r w:rsidR="00106F49" w:rsidRPr="00106F49">
        <w:rPr>
          <w:color w:val="00B0F0"/>
          <w:lang w:eastAsia="zh-HK"/>
        </w:rPr>
        <w:t xml:space="preserve"> would be positive and significant</w:t>
      </w:r>
      <w:r w:rsidR="00DD341E" w:rsidRPr="00106F49">
        <w:rPr>
          <w:color w:val="00B0F0"/>
          <w:lang w:eastAsia="zh-HK"/>
        </w:rPr>
        <w:t>.</w:t>
      </w:r>
    </w:p>
    <w:p w14:paraId="499A5D65" w14:textId="77777777" w:rsidR="00FD6AA9" w:rsidRPr="00F07407" w:rsidRDefault="00FD6AA9" w:rsidP="00FD6AA9">
      <w:pPr>
        <w:spacing w:line="480" w:lineRule="auto"/>
        <w:ind w:firstLine="567"/>
        <w:jc w:val="center"/>
        <w:rPr>
          <w:b/>
          <w:bCs/>
          <w:lang w:eastAsia="zh-HK"/>
        </w:rPr>
      </w:pPr>
      <w:r w:rsidRPr="00F07407">
        <w:rPr>
          <w:b/>
          <w:bCs/>
          <w:lang w:eastAsia="zh-HK"/>
        </w:rPr>
        <w:t>Method</w:t>
      </w:r>
    </w:p>
    <w:p w14:paraId="41FDC049" w14:textId="77777777" w:rsidR="00FD6AA9" w:rsidRPr="00F07407" w:rsidRDefault="00FD6AA9" w:rsidP="00FD6AA9">
      <w:pPr>
        <w:spacing w:line="480" w:lineRule="auto"/>
        <w:rPr>
          <w:b/>
          <w:bCs/>
          <w:lang w:eastAsia="zh-HK"/>
        </w:rPr>
      </w:pPr>
      <w:r w:rsidRPr="00F07407">
        <w:rPr>
          <w:b/>
          <w:bCs/>
          <w:lang w:eastAsia="zh-HK"/>
        </w:rPr>
        <w:lastRenderedPageBreak/>
        <w:t>Participants</w:t>
      </w:r>
    </w:p>
    <w:p w14:paraId="3EC68D22" w14:textId="77777777" w:rsidR="00FD6AA9" w:rsidRPr="00F07407" w:rsidRDefault="00593A27" w:rsidP="00B825F6">
      <w:pPr>
        <w:spacing w:line="480" w:lineRule="auto"/>
        <w:ind w:firstLine="567"/>
        <w:rPr>
          <w:highlight w:val="yellow"/>
          <w:lang w:eastAsia="zh-HK"/>
        </w:rPr>
      </w:pPr>
      <w:r w:rsidRPr="00F07407">
        <w:rPr>
          <w:lang w:eastAsia="zh-HK"/>
        </w:rPr>
        <w:t>Participants were 106 Hong Kong kindergarten children (</w:t>
      </w:r>
      <w:r w:rsidR="006F202F" w:rsidRPr="00F07407">
        <w:rPr>
          <w:lang w:eastAsia="zh-HK"/>
        </w:rPr>
        <w:t>44.4</w:t>
      </w:r>
      <w:r w:rsidRPr="00F07407">
        <w:rPr>
          <w:lang w:eastAsia="zh-HK"/>
        </w:rPr>
        <w:t xml:space="preserve">% </w:t>
      </w:r>
      <w:r w:rsidR="006F202F" w:rsidRPr="00F07407">
        <w:rPr>
          <w:lang w:eastAsia="zh-HK"/>
        </w:rPr>
        <w:t>girls</w:t>
      </w:r>
      <w:r w:rsidRPr="00F07407">
        <w:rPr>
          <w:lang w:eastAsia="zh-HK"/>
        </w:rPr>
        <w:t>, mean age = 60.0 months</w:t>
      </w:r>
      <w:r w:rsidR="00A00F9A" w:rsidRPr="00F07407">
        <w:rPr>
          <w:lang w:eastAsia="zh-HK"/>
        </w:rPr>
        <w:t>, range = 40 to 78 months, standard deviation = 7.23 months</w:t>
      </w:r>
      <w:r w:rsidRPr="00F07407">
        <w:rPr>
          <w:lang w:eastAsia="zh-HK"/>
        </w:rPr>
        <w:t>)</w:t>
      </w:r>
      <w:r w:rsidR="00507585">
        <w:rPr>
          <w:lang w:eastAsia="zh-HK"/>
        </w:rPr>
        <w:t xml:space="preserve"> </w:t>
      </w:r>
      <w:r w:rsidR="00507585" w:rsidRPr="00507585">
        <w:rPr>
          <w:color w:val="00B0F0"/>
          <w:lang w:eastAsia="zh-HK"/>
        </w:rPr>
        <w:t>and their teachers and parents</w:t>
      </w:r>
      <w:r w:rsidRPr="00F07407">
        <w:rPr>
          <w:lang w:eastAsia="zh-HK"/>
        </w:rPr>
        <w:t xml:space="preserve">. </w:t>
      </w:r>
      <w:r w:rsidR="00823641" w:rsidRPr="00F07407">
        <w:rPr>
          <w:lang w:eastAsia="zh-HK"/>
        </w:rPr>
        <w:t xml:space="preserve">Children in Hong Kong usually attend three years of kindergarten education. </w:t>
      </w:r>
      <w:r w:rsidRPr="00F07407">
        <w:rPr>
          <w:lang w:eastAsia="zh-HK"/>
        </w:rPr>
        <w:t>At time 1</w:t>
      </w:r>
      <w:r w:rsidR="00181B95" w:rsidRPr="00F07407">
        <w:rPr>
          <w:lang w:eastAsia="zh-HK"/>
        </w:rPr>
        <w:t xml:space="preserve">, </w:t>
      </w:r>
      <w:r w:rsidRPr="00F07407">
        <w:rPr>
          <w:lang w:eastAsia="zh-HK"/>
        </w:rPr>
        <w:t xml:space="preserve">49 children were </w:t>
      </w:r>
      <w:r w:rsidR="003E4913" w:rsidRPr="00F07407">
        <w:rPr>
          <w:lang w:eastAsia="zh-HK"/>
        </w:rPr>
        <w:t>in</w:t>
      </w:r>
      <w:r w:rsidRPr="00F07407">
        <w:rPr>
          <w:lang w:eastAsia="zh-HK"/>
        </w:rPr>
        <w:t xml:space="preserve"> </w:t>
      </w:r>
      <w:r w:rsidR="006F202F" w:rsidRPr="00F07407">
        <w:rPr>
          <w:lang w:eastAsia="zh-HK"/>
        </w:rPr>
        <w:t>the second kindergarten year</w:t>
      </w:r>
      <w:r w:rsidRPr="00F07407">
        <w:rPr>
          <w:lang w:eastAsia="zh-HK"/>
        </w:rPr>
        <w:t xml:space="preserve">, </w:t>
      </w:r>
      <w:r w:rsidR="0083669E" w:rsidRPr="00F07407">
        <w:rPr>
          <w:lang w:eastAsia="zh-HK"/>
        </w:rPr>
        <w:t>whereas</w:t>
      </w:r>
      <w:r w:rsidR="006F202F" w:rsidRPr="00F07407">
        <w:rPr>
          <w:lang w:eastAsia="zh-HK"/>
        </w:rPr>
        <w:t xml:space="preserve"> the remaining</w:t>
      </w:r>
      <w:r w:rsidRPr="00F07407">
        <w:rPr>
          <w:lang w:eastAsia="zh-HK"/>
        </w:rPr>
        <w:t xml:space="preserve"> 57 were </w:t>
      </w:r>
      <w:r w:rsidR="003E4913" w:rsidRPr="00F07407">
        <w:rPr>
          <w:lang w:eastAsia="zh-HK"/>
        </w:rPr>
        <w:t>in</w:t>
      </w:r>
      <w:r w:rsidRPr="00F07407">
        <w:rPr>
          <w:lang w:eastAsia="zh-HK"/>
        </w:rPr>
        <w:t xml:space="preserve"> </w:t>
      </w:r>
      <w:r w:rsidR="006F202F" w:rsidRPr="00F07407">
        <w:rPr>
          <w:lang w:eastAsia="zh-HK"/>
        </w:rPr>
        <w:t>the third year</w:t>
      </w:r>
      <w:r w:rsidRPr="00F07407">
        <w:rPr>
          <w:lang w:eastAsia="zh-HK"/>
        </w:rPr>
        <w:t xml:space="preserve">. </w:t>
      </w:r>
      <w:r w:rsidR="006F202F" w:rsidRPr="00F07407">
        <w:rPr>
          <w:lang w:eastAsia="zh-HK"/>
        </w:rPr>
        <w:t>A majority of</w:t>
      </w:r>
      <w:r w:rsidRPr="00F07407">
        <w:rPr>
          <w:lang w:eastAsia="zh-HK"/>
        </w:rPr>
        <w:t xml:space="preserve"> parents (</w:t>
      </w:r>
      <w:r w:rsidR="006F202F" w:rsidRPr="00F07407">
        <w:rPr>
          <w:lang w:eastAsia="zh-HK"/>
        </w:rPr>
        <w:t>78</w:t>
      </w:r>
      <w:r w:rsidRPr="00F07407">
        <w:rPr>
          <w:lang w:eastAsia="zh-HK"/>
        </w:rPr>
        <w:t>%) were aged between 31 and 40</w:t>
      </w:r>
      <w:r w:rsidR="006F202F" w:rsidRPr="00F07407">
        <w:rPr>
          <w:lang w:eastAsia="zh-HK"/>
        </w:rPr>
        <w:t>, and they reported demographic information of child’s age, gender, and parental</w:t>
      </w:r>
      <w:r w:rsidR="006F202F" w:rsidRPr="00F07407">
        <w:rPr>
          <w:bCs/>
        </w:rPr>
        <w:t xml:space="preserve"> education level: (1) primary, (2) secondary, (3) college, (4) university, and (5) postgraduate.</w:t>
      </w:r>
      <w:r w:rsidR="006F202F" w:rsidRPr="00F07407">
        <w:rPr>
          <w:lang w:eastAsia="zh-HK"/>
        </w:rPr>
        <w:t xml:space="preserve"> </w:t>
      </w:r>
      <w:r w:rsidR="002B541D" w:rsidRPr="00B8368C">
        <w:rPr>
          <w:bCs/>
        </w:rPr>
        <w:t>The results showed</w:t>
      </w:r>
      <w:r w:rsidRPr="00B8368C">
        <w:rPr>
          <w:bCs/>
        </w:rPr>
        <w:t xml:space="preserve"> </w:t>
      </w:r>
      <w:r w:rsidR="009B055D" w:rsidRPr="00B8368C">
        <w:rPr>
          <w:bCs/>
        </w:rPr>
        <w:t>72</w:t>
      </w:r>
      <w:r w:rsidRPr="00B8368C">
        <w:rPr>
          <w:bCs/>
        </w:rPr>
        <w:t>%</w:t>
      </w:r>
      <w:r w:rsidRPr="00F07407">
        <w:rPr>
          <w:lang w:eastAsia="zh-HK"/>
        </w:rPr>
        <w:t xml:space="preserve"> of </w:t>
      </w:r>
      <w:r w:rsidR="009B055D" w:rsidRPr="00F07407">
        <w:rPr>
          <w:lang w:eastAsia="zh-HK"/>
        </w:rPr>
        <w:t>fathers and 66% of mothers</w:t>
      </w:r>
      <w:r w:rsidRPr="00F07407">
        <w:rPr>
          <w:lang w:eastAsia="zh-HK"/>
        </w:rPr>
        <w:t xml:space="preserve"> completed college or above. </w:t>
      </w:r>
      <w:r w:rsidR="00B37766" w:rsidRPr="00F07407">
        <w:rPr>
          <w:lang w:eastAsia="zh-HK"/>
        </w:rPr>
        <w:t xml:space="preserve">Among the 17 participating teachers, 90% of them had a bachelor’s degree in early childhood education or relevant discipline, </w:t>
      </w:r>
      <w:r w:rsidR="00743CA8" w:rsidRPr="00F07407">
        <w:rPr>
          <w:lang w:eastAsia="zh-HK"/>
        </w:rPr>
        <w:t>and</w:t>
      </w:r>
      <w:r w:rsidR="00B37766" w:rsidRPr="00F07407">
        <w:rPr>
          <w:lang w:eastAsia="zh-HK"/>
        </w:rPr>
        <w:t xml:space="preserve"> 58% of them </w:t>
      </w:r>
      <w:r w:rsidR="0094286B" w:rsidRPr="00F07407">
        <w:rPr>
          <w:lang w:eastAsia="zh-HK"/>
        </w:rPr>
        <w:t xml:space="preserve">had </w:t>
      </w:r>
      <w:r w:rsidR="00B37766" w:rsidRPr="00F07407">
        <w:rPr>
          <w:lang w:eastAsia="zh-HK"/>
        </w:rPr>
        <w:t>taught for more than four years.</w:t>
      </w:r>
      <w:r w:rsidR="003771D9" w:rsidRPr="00F07407">
        <w:rPr>
          <w:lang w:eastAsia="zh-HK"/>
        </w:rPr>
        <w:t xml:space="preserve"> </w:t>
      </w:r>
    </w:p>
    <w:p w14:paraId="6221184F" w14:textId="77777777" w:rsidR="00FD6AA9" w:rsidRPr="00F07407" w:rsidRDefault="009C02F3" w:rsidP="009C02F3">
      <w:pPr>
        <w:spacing w:line="480" w:lineRule="auto"/>
        <w:rPr>
          <w:b/>
          <w:bCs/>
          <w:lang w:eastAsia="zh-HK"/>
        </w:rPr>
      </w:pPr>
      <w:r w:rsidRPr="00F07407">
        <w:rPr>
          <w:b/>
          <w:bCs/>
          <w:lang w:eastAsia="zh-HK"/>
        </w:rPr>
        <w:t>Procedure</w:t>
      </w:r>
    </w:p>
    <w:p w14:paraId="2AAE6910" w14:textId="77777777" w:rsidR="009C02F3" w:rsidRPr="00F07407" w:rsidRDefault="00704438" w:rsidP="00B825F6">
      <w:pPr>
        <w:spacing w:line="480" w:lineRule="auto"/>
        <w:ind w:firstLine="567"/>
        <w:rPr>
          <w:highlight w:val="yellow"/>
          <w:lang w:eastAsia="zh-HK"/>
        </w:rPr>
      </w:pPr>
      <w:r w:rsidRPr="00F07407">
        <w:rPr>
          <w:bCs/>
        </w:rPr>
        <w:t xml:space="preserve">Ethical approval was granted by the respective university. </w:t>
      </w:r>
      <w:r w:rsidR="00B048AD" w:rsidRPr="00F07407">
        <w:rPr>
          <w:bCs/>
        </w:rPr>
        <w:t>Approval</w:t>
      </w:r>
      <w:r w:rsidRPr="00F07407">
        <w:rPr>
          <w:lang w:eastAsia="zh-HK"/>
        </w:rPr>
        <w:t xml:space="preserve"> was also endorsed by the principals of the participating kindergartens. Informed consent and questionnaire forms were sent to the parents and teachers to invite their participation. </w:t>
      </w:r>
      <w:r w:rsidR="00B048AD" w:rsidRPr="00F07407">
        <w:rPr>
          <w:lang w:eastAsia="zh-HK"/>
        </w:rPr>
        <w:t>At time 1</w:t>
      </w:r>
      <w:r w:rsidR="00181B95" w:rsidRPr="00F07407">
        <w:rPr>
          <w:lang w:eastAsia="zh-HK"/>
        </w:rPr>
        <w:t xml:space="preserve"> (beginning of </w:t>
      </w:r>
      <w:r w:rsidR="008053B7">
        <w:rPr>
          <w:lang w:eastAsia="zh-HK"/>
        </w:rPr>
        <w:t xml:space="preserve">the </w:t>
      </w:r>
      <w:r w:rsidR="00181B95" w:rsidRPr="00F07407">
        <w:rPr>
          <w:lang w:eastAsia="zh-HK"/>
        </w:rPr>
        <w:t>school year)</w:t>
      </w:r>
      <w:r w:rsidR="00B048AD" w:rsidRPr="00F07407">
        <w:rPr>
          <w:lang w:eastAsia="zh-HK"/>
        </w:rPr>
        <w:t xml:space="preserve">, parents reported the demographic information and rated children’s home play opportunity. Six months later at time 2, teachers rated children’s object mastery motivation, social mastery motivation, and school readiness. </w:t>
      </w:r>
    </w:p>
    <w:p w14:paraId="000166E7" w14:textId="77777777" w:rsidR="00FD6AA9" w:rsidRPr="00F07407" w:rsidRDefault="009C02F3" w:rsidP="009C02F3">
      <w:pPr>
        <w:spacing w:line="480" w:lineRule="auto"/>
        <w:rPr>
          <w:b/>
          <w:bCs/>
          <w:lang w:eastAsia="zh-HK"/>
        </w:rPr>
      </w:pPr>
      <w:r w:rsidRPr="00F07407">
        <w:rPr>
          <w:b/>
          <w:bCs/>
          <w:lang w:eastAsia="zh-HK"/>
        </w:rPr>
        <w:t>Measures</w:t>
      </w:r>
    </w:p>
    <w:p w14:paraId="50D56876" w14:textId="77777777" w:rsidR="00B825F6" w:rsidRPr="00F07407" w:rsidRDefault="00166994" w:rsidP="00FE4522">
      <w:pPr>
        <w:spacing w:line="480" w:lineRule="auto"/>
        <w:rPr>
          <w:b/>
          <w:bCs/>
          <w:i/>
          <w:iCs/>
          <w:lang w:eastAsia="zh-HK"/>
        </w:rPr>
      </w:pPr>
      <w:r w:rsidRPr="00F07407">
        <w:rPr>
          <w:b/>
          <w:bCs/>
          <w:i/>
          <w:iCs/>
          <w:lang w:eastAsia="zh-HK"/>
        </w:rPr>
        <w:lastRenderedPageBreak/>
        <w:t>Home play opportunity</w:t>
      </w:r>
      <w:r w:rsidR="008E7643" w:rsidRPr="00F07407">
        <w:rPr>
          <w:b/>
          <w:bCs/>
          <w:i/>
          <w:iCs/>
          <w:lang w:eastAsia="zh-HK"/>
        </w:rPr>
        <w:t xml:space="preserve"> at time 1</w:t>
      </w:r>
    </w:p>
    <w:p w14:paraId="261547B8" w14:textId="77777777" w:rsidR="00166994" w:rsidRPr="00F07407" w:rsidRDefault="00166994" w:rsidP="00166994">
      <w:pPr>
        <w:spacing w:line="480" w:lineRule="auto"/>
        <w:ind w:firstLine="567"/>
        <w:rPr>
          <w:lang w:eastAsia="zh-HK"/>
        </w:rPr>
      </w:pPr>
      <w:r w:rsidRPr="00F07407">
        <w:rPr>
          <w:lang w:eastAsia="zh-HK"/>
        </w:rPr>
        <w:t>Children’s home play opportunity was assessed by the opportunities in the environment</w:t>
      </w:r>
    </w:p>
    <w:p w14:paraId="196D1ECF" w14:textId="77777777" w:rsidR="00690887" w:rsidRPr="00F07407" w:rsidRDefault="00166994" w:rsidP="00166994">
      <w:pPr>
        <w:spacing w:line="480" w:lineRule="auto"/>
        <w:rPr>
          <w:lang w:eastAsia="zh-HK"/>
        </w:rPr>
      </w:pPr>
      <w:r w:rsidRPr="00F07407">
        <w:rPr>
          <w:lang w:eastAsia="zh-HK"/>
        </w:rPr>
        <w:t xml:space="preserve">subscale from the My Child’s Play </w:t>
      </w:r>
      <w:r w:rsidR="0083669E" w:rsidRPr="00F07407">
        <w:rPr>
          <w:lang w:eastAsia="zh-HK"/>
        </w:rPr>
        <w:t>Q</w:t>
      </w:r>
      <w:r w:rsidRPr="00F07407">
        <w:rPr>
          <w:lang w:eastAsia="zh-HK"/>
        </w:rPr>
        <w:t>uestionnaire (Schneider &amp; Rosenblum, 2014)</w:t>
      </w:r>
      <w:r w:rsidR="00560BD7" w:rsidRPr="00F07407">
        <w:rPr>
          <w:lang w:eastAsia="zh-HK"/>
        </w:rPr>
        <w:t>, which was previously employed in research of local kindergarten children</w:t>
      </w:r>
      <w:r w:rsidR="006774E1" w:rsidRPr="00F07407">
        <w:rPr>
          <w:lang w:eastAsia="zh-HK"/>
        </w:rPr>
        <w:t xml:space="preserve"> with adequate reliability and validity</w:t>
      </w:r>
      <w:r w:rsidR="00560BD7" w:rsidRPr="00F07407">
        <w:rPr>
          <w:lang w:eastAsia="zh-HK"/>
        </w:rPr>
        <w:t xml:space="preserve"> (Fung &amp; Chung, 2021). </w:t>
      </w:r>
      <w:r w:rsidRPr="00F07407">
        <w:rPr>
          <w:lang w:eastAsia="zh-HK"/>
        </w:rPr>
        <w:t>The subscale consisted of five items (e.g., “Child has enough toys for varied enjoyable play”, “</w:t>
      </w:r>
      <w:r w:rsidR="00560BD7" w:rsidRPr="00F07407">
        <w:rPr>
          <w:lang w:eastAsia="zh-HK"/>
        </w:rPr>
        <w:t>Child has opportunity to play with other children</w:t>
      </w:r>
      <w:r w:rsidRPr="00F07407">
        <w:rPr>
          <w:lang w:eastAsia="zh-HK"/>
        </w:rPr>
        <w:t>”)</w:t>
      </w:r>
      <w:r w:rsidR="002B08F2" w:rsidRPr="00F07407">
        <w:rPr>
          <w:lang w:eastAsia="zh-HK"/>
        </w:rPr>
        <w:t>. P</w:t>
      </w:r>
      <w:r w:rsidRPr="00F07407">
        <w:rPr>
          <w:lang w:eastAsia="zh-HK"/>
        </w:rPr>
        <w:t xml:space="preserve">arents rated each item on a 5-point scale ranging from 1 (totally disagree) to 5 (totally agree). </w:t>
      </w:r>
      <w:r w:rsidR="0025754F" w:rsidRPr="00F07407">
        <w:rPr>
          <w:lang w:eastAsia="zh-HK"/>
        </w:rPr>
        <w:t>The average score represented home play opportunity.</w:t>
      </w:r>
      <w:r w:rsidR="00560BD7" w:rsidRPr="00F07407">
        <w:rPr>
          <w:lang w:eastAsia="zh-HK"/>
        </w:rPr>
        <w:t xml:space="preserve"> The Cronbach’s alpha was .75.</w:t>
      </w:r>
    </w:p>
    <w:p w14:paraId="0A43B130" w14:textId="77777777" w:rsidR="000F4215" w:rsidRPr="00F07407" w:rsidRDefault="00EC4945" w:rsidP="00FE4522">
      <w:pPr>
        <w:spacing w:line="480" w:lineRule="auto"/>
        <w:rPr>
          <w:b/>
          <w:bCs/>
          <w:i/>
          <w:iCs/>
          <w:lang w:eastAsia="zh-HK"/>
        </w:rPr>
      </w:pPr>
      <w:r w:rsidRPr="00F07407">
        <w:rPr>
          <w:b/>
          <w:bCs/>
          <w:i/>
          <w:iCs/>
          <w:lang w:eastAsia="zh-HK"/>
        </w:rPr>
        <w:t>Object and s</w:t>
      </w:r>
      <w:r w:rsidR="000F4215" w:rsidRPr="00F07407">
        <w:rPr>
          <w:b/>
          <w:bCs/>
          <w:i/>
          <w:iCs/>
          <w:lang w:eastAsia="zh-HK"/>
        </w:rPr>
        <w:t>ocial mastery motivation</w:t>
      </w:r>
      <w:r w:rsidR="008E7643" w:rsidRPr="00F07407">
        <w:rPr>
          <w:b/>
          <w:bCs/>
          <w:i/>
          <w:iCs/>
          <w:lang w:eastAsia="zh-HK"/>
        </w:rPr>
        <w:t xml:space="preserve"> at time 2</w:t>
      </w:r>
    </w:p>
    <w:p w14:paraId="61F12493" w14:textId="77777777" w:rsidR="000F4215" w:rsidRPr="00F07407" w:rsidRDefault="00956387" w:rsidP="00A32DD2">
      <w:pPr>
        <w:spacing w:line="480" w:lineRule="auto"/>
        <w:ind w:firstLine="567"/>
        <w:rPr>
          <w:highlight w:val="yellow"/>
          <w:lang w:eastAsia="zh-HK"/>
        </w:rPr>
      </w:pPr>
      <w:r w:rsidRPr="00F07407">
        <w:rPr>
          <w:lang w:eastAsia="zh-HK"/>
        </w:rPr>
        <w:t xml:space="preserve">Children’s </w:t>
      </w:r>
      <w:r w:rsidR="00EC4945" w:rsidRPr="00F07407">
        <w:rPr>
          <w:lang w:eastAsia="zh-HK"/>
        </w:rPr>
        <w:t xml:space="preserve">object and </w:t>
      </w:r>
      <w:r w:rsidRPr="00F07407">
        <w:rPr>
          <w:lang w:eastAsia="zh-HK"/>
        </w:rPr>
        <w:t>s</w:t>
      </w:r>
      <w:r w:rsidR="000F4215" w:rsidRPr="00F07407">
        <w:rPr>
          <w:lang w:eastAsia="zh-HK"/>
        </w:rPr>
        <w:t xml:space="preserve">ocial mastery motivation </w:t>
      </w:r>
      <w:r w:rsidR="00EC4945" w:rsidRPr="00F07407">
        <w:rPr>
          <w:lang w:eastAsia="zh-HK"/>
        </w:rPr>
        <w:t>were</w:t>
      </w:r>
      <w:r w:rsidR="000F4215" w:rsidRPr="00F07407">
        <w:rPr>
          <w:lang w:eastAsia="zh-HK"/>
        </w:rPr>
        <w:t xml:space="preserve"> assessed by </w:t>
      </w:r>
      <w:r w:rsidR="00EC4945" w:rsidRPr="00F07407">
        <w:rPr>
          <w:lang w:eastAsia="zh-HK"/>
        </w:rPr>
        <w:t>the</w:t>
      </w:r>
      <w:r w:rsidR="000F4215" w:rsidRPr="00F07407">
        <w:rPr>
          <w:lang w:eastAsia="zh-HK"/>
        </w:rPr>
        <w:t xml:space="preserve"> </w:t>
      </w:r>
      <w:r w:rsidR="00EC4945" w:rsidRPr="00F07407">
        <w:rPr>
          <w:lang w:eastAsia="zh-HK"/>
        </w:rPr>
        <w:t xml:space="preserve">object persistence and </w:t>
      </w:r>
      <w:r w:rsidR="000F4215" w:rsidRPr="00F07407">
        <w:rPr>
          <w:lang w:eastAsia="zh-HK"/>
        </w:rPr>
        <w:t>social persistence subscales of the Dimensions of Mastery Questionnaire</w:t>
      </w:r>
      <w:r w:rsidR="003E0496" w:rsidRPr="00F07407">
        <w:rPr>
          <w:lang w:eastAsia="zh-HK"/>
        </w:rPr>
        <w:t xml:space="preserve"> – Chinese version</w:t>
      </w:r>
      <w:r w:rsidR="000F4215" w:rsidRPr="00F07407">
        <w:rPr>
          <w:lang w:eastAsia="zh-HK"/>
        </w:rPr>
        <w:t xml:space="preserve"> </w:t>
      </w:r>
      <w:r w:rsidR="004E2C3F" w:rsidRPr="00F07407">
        <w:rPr>
          <w:lang w:eastAsia="zh-HK"/>
        </w:rPr>
        <w:t>(</w:t>
      </w:r>
      <w:r w:rsidR="005E4FA0" w:rsidRPr="00F07407">
        <w:rPr>
          <w:lang w:eastAsia="zh-HK"/>
        </w:rPr>
        <w:t>Morgan et al., 2017</w:t>
      </w:r>
      <w:r w:rsidR="000A16EA" w:rsidRPr="00F07407">
        <w:rPr>
          <w:lang w:eastAsia="zh-HK"/>
        </w:rPr>
        <w:t>)</w:t>
      </w:r>
      <w:r w:rsidR="00C925C9" w:rsidRPr="00F07407">
        <w:rPr>
          <w:lang w:eastAsia="zh-HK"/>
        </w:rPr>
        <w:t>, which</w:t>
      </w:r>
      <w:r w:rsidR="000A16EA" w:rsidRPr="00F07407">
        <w:rPr>
          <w:lang w:eastAsia="zh-HK"/>
        </w:rPr>
        <w:t xml:space="preserve"> </w:t>
      </w:r>
      <w:r w:rsidR="000F4215" w:rsidRPr="00F07407">
        <w:rPr>
          <w:lang w:eastAsia="zh-HK"/>
        </w:rPr>
        <w:t xml:space="preserve">is </w:t>
      </w:r>
      <w:r w:rsidR="005E4FA0" w:rsidRPr="00F07407">
        <w:rPr>
          <w:lang w:eastAsia="zh-HK"/>
        </w:rPr>
        <w:t>commonly</w:t>
      </w:r>
      <w:r w:rsidR="00144F2A" w:rsidRPr="00F07407">
        <w:rPr>
          <w:lang w:eastAsia="zh-HK"/>
        </w:rPr>
        <w:t xml:space="preserve"> employed in research of kindergarten children (e.g., </w:t>
      </w:r>
      <w:r w:rsidR="000809CA" w:rsidRPr="00F07407">
        <w:rPr>
          <w:lang w:eastAsia="zh-HK"/>
        </w:rPr>
        <w:t xml:space="preserve">Fung, 2021; </w:t>
      </w:r>
      <w:r w:rsidR="00D476F1" w:rsidRPr="00F07407">
        <w:rPr>
          <w:lang w:eastAsia="zh-HK"/>
        </w:rPr>
        <w:t>Józsa &amp; Barrett, 2018; Lunkenheimer &amp; Wang, 2017</w:t>
      </w:r>
      <w:r w:rsidR="000809CA" w:rsidRPr="00F07407">
        <w:rPr>
          <w:lang w:eastAsia="zh-HK"/>
        </w:rPr>
        <w:t>; Wang et al., 2011</w:t>
      </w:r>
      <w:r w:rsidR="00D476F1" w:rsidRPr="00F07407">
        <w:rPr>
          <w:lang w:eastAsia="zh-HK"/>
        </w:rPr>
        <w:t xml:space="preserve">). </w:t>
      </w:r>
      <w:r w:rsidR="0025754F" w:rsidRPr="00F07407">
        <w:rPr>
          <w:lang w:eastAsia="zh-HK"/>
        </w:rPr>
        <w:t>Since</w:t>
      </w:r>
      <w:r w:rsidR="00EC3D34" w:rsidRPr="00F07407">
        <w:rPr>
          <w:lang w:eastAsia="zh-HK"/>
        </w:rPr>
        <w:t xml:space="preserve"> children’s</w:t>
      </w:r>
      <w:r w:rsidR="00CA1A6D" w:rsidRPr="00F07407">
        <w:rPr>
          <w:lang w:eastAsia="zh-HK"/>
        </w:rPr>
        <w:t xml:space="preserve"> desire to interact</w:t>
      </w:r>
      <w:r w:rsidR="00EC3D34" w:rsidRPr="00F07407">
        <w:rPr>
          <w:lang w:eastAsia="zh-HK"/>
        </w:rPr>
        <w:t xml:space="preserve"> with teachers and peers </w:t>
      </w:r>
      <w:r w:rsidR="00CA1A6D" w:rsidRPr="00F07407">
        <w:rPr>
          <w:lang w:eastAsia="zh-HK"/>
        </w:rPr>
        <w:t xml:space="preserve">can influence teacher-student relatedness and peer relationships </w:t>
      </w:r>
      <w:r w:rsidR="00C256D0" w:rsidRPr="00F07407">
        <w:rPr>
          <w:lang w:eastAsia="zh-HK"/>
        </w:rPr>
        <w:t>that</w:t>
      </w:r>
      <w:r w:rsidR="0025754F" w:rsidRPr="00F07407">
        <w:rPr>
          <w:lang w:eastAsia="zh-HK"/>
        </w:rPr>
        <w:t xml:space="preserve"> may</w:t>
      </w:r>
      <w:r w:rsidR="00CA1A6D" w:rsidRPr="00F07407">
        <w:rPr>
          <w:lang w:eastAsia="zh-HK"/>
        </w:rPr>
        <w:t>, in turn, contribute</w:t>
      </w:r>
      <w:r w:rsidR="00EC3D34" w:rsidRPr="00F07407">
        <w:rPr>
          <w:lang w:eastAsia="zh-HK"/>
        </w:rPr>
        <w:t xml:space="preserve"> to their school readiness (</w:t>
      </w:r>
      <w:r w:rsidR="00CA1A6D" w:rsidRPr="00F07407">
        <w:rPr>
          <w:lang w:eastAsia="zh-HK"/>
        </w:rPr>
        <w:t xml:space="preserve">e.g., </w:t>
      </w:r>
      <w:r w:rsidR="0025754F" w:rsidRPr="00F07407">
        <w:rPr>
          <w:lang w:eastAsia="zh-HK"/>
        </w:rPr>
        <w:t xml:space="preserve">Coolahan et al., 2000; </w:t>
      </w:r>
      <w:r w:rsidR="00CA1A6D" w:rsidRPr="00F07407">
        <w:rPr>
          <w:lang w:eastAsia="zh-HK"/>
        </w:rPr>
        <w:t>Heatly &amp; Votruba-Drzal, 2017</w:t>
      </w:r>
      <w:r w:rsidR="00EC3D34" w:rsidRPr="00F07407">
        <w:rPr>
          <w:lang w:eastAsia="zh-HK"/>
        </w:rPr>
        <w:t>), both social persistence with adult</w:t>
      </w:r>
      <w:r w:rsidR="0025754F" w:rsidRPr="00F07407">
        <w:rPr>
          <w:lang w:eastAsia="zh-HK"/>
        </w:rPr>
        <w:t>s</w:t>
      </w:r>
      <w:r w:rsidR="00EC3D34" w:rsidRPr="00F07407">
        <w:rPr>
          <w:lang w:eastAsia="zh-HK"/>
        </w:rPr>
        <w:t xml:space="preserve"> and peers </w:t>
      </w:r>
      <w:r w:rsidR="0025754F" w:rsidRPr="00F07407">
        <w:rPr>
          <w:lang w:eastAsia="zh-HK"/>
        </w:rPr>
        <w:t xml:space="preserve">subscales </w:t>
      </w:r>
      <w:r w:rsidR="00EC3D34" w:rsidRPr="00F07407">
        <w:rPr>
          <w:lang w:eastAsia="zh-HK"/>
        </w:rPr>
        <w:t xml:space="preserve">were </w:t>
      </w:r>
      <w:r w:rsidR="0083669E" w:rsidRPr="00F07407">
        <w:rPr>
          <w:lang w:eastAsia="zh-HK"/>
        </w:rPr>
        <w:t>considered</w:t>
      </w:r>
      <w:r w:rsidR="00EC3D34" w:rsidRPr="00F07407">
        <w:rPr>
          <w:lang w:eastAsia="zh-HK"/>
        </w:rPr>
        <w:t xml:space="preserve"> in this study. </w:t>
      </w:r>
      <w:r w:rsidR="005E4FA0" w:rsidRPr="00F07407">
        <w:rPr>
          <w:lang w:eastAsia="zh-HK"/>
        </w:rPr>
        <w:t xml:space="preserve">The object persistence subscale had five items (e.g., “Works long to do something challenging”, “Tries to complete toys like puzzles”), whereas the social persistence subscales consisted of ten items (e.g., “Tries to keep </w:t>
      </w:r>
      <w:r w:rsidR="005E4FA0" w:rsidRPr="00F07407">
        <w:rPr>
          <w:lang w:eastAsia="zh-HK"/>
        </w:rPr>
        <w:lastRenderedPageBreak/>
        <w:t xml:space="preserve">adults interested in talking”, “Tries to keep play with kids going”). </w:t>
      </w:r>
      <w:r w:rsidR="0025754F" w:rsidRPr="00F07407">
        <w:rPr>
          <w:lang w:eastAsia="zh-HK"/>
        </w:rPr>
        <w:t>Teachers</w:t>
      </w:r>
      <w:r w:rsidR="005E4FA0" w:rsidRPr="00F07407">
        <w:rPr>
          <w:lang w:eastAsia="zh-HK"/>
        </w:rPr>
        <w:t xml:space="preserve"> r</w:t>
      </w:r>
      <w:r w:rsidR="00EE429A" w:rsidRPr="00F07407">
        <w:rPr>
          <w:lang w:eastAsia="zh-HK"/>
        </w:rPr>
        <w:t>ated</w:t>
      </w:r>
      <w:r w:rsidR="00D476F1" w:rsidRPr="00F07407">
        <w:rPr>
          <w:lang w:eastAsia="zh-HK"/>
        </w:rPr>
        <w:t xml:space="preserve"> </w:t>
      </w:r>
      <w:r w:rsidR="0025754F" w:rsidRPr="00F07407">
        <w:rPr>
          <w:lang w:eastAsia="zh-HK"/>
        </w:rPr>
        <w:t xml:space="preserve">each item on a 5-point scale ranging from 1 (totally disagree) to 5 (totally agree). The average scores of object persistence and social persistence (with adults and peers) subscales represented object and social mastery motivation, respectively. </w:t>
      </w:r>
      <w:r w:rsidR="00506968" w:rsidRPr="00F07407">
        <w:rPr>
          <w:lang w:eastAsia="zh-HK"/>
        </w:rPr>
        <w:t>The Cronbach’s alphas of object persistence and social persistence subscales were .91 and .96, respectively.</w:t>
      </w:r>
    </w:p>
    <w:p w14:paraId="7B1506B2" w14:textId="77777777" w:rsidR="00956387" w:rsidRPr="00F07407" w:rsidRDefault="00E30734" w:rsidP="00CE76F5">
      <w:pPr>
        <w:spacing w:line="480" w:lineRule="auto"/>
        <w:rPr>
          <w:b/>
          <w:bCs/>
          <w:i/>
          <w:iCs/>
          <w:lang w:eastAsia="zh-HK"/>
        </w:rPr>
      </w:pPr>
      <w:r w:rsidRPr="00F07407">
        <w:rPr>
          <w:b/>
          <w:bCs/>
          <w:i/>
          <w:iCs/>
          <w:lang w:eastAsia="zh-HK"/>
        </w:rPr>
        <w:t>School readiness</w:t>
      </w:r>
      <w:r w:rsidR="008E7643" w:rsidRPr="00F07407">
        <w:rPr>
          <w:b/>
          <w:bCs/>
          <w:i/>
          <w:iCs/>
          <w:lang w:eastAsia="zh-HK"/>
        </w:rPr>
        <w:t xml:space="preserve"> at time 2</w:t>
      </w:r>
    </w:p>
    <w:p w14:paraId="70AEDF0F" w14:textId="77777777" w:rsidR="008E7643" w:rsidRPr="00F07407" w:rsidRDefault="008E7643" w:rsidP="00321828">
      <w:pPr>
        <w:spacing w:line="480" w:lineRule="auto"/>
        <w:ind w:firstLine="480"/>
        <w:rPr>
          <w:bCs/>
        </w:rPr>
      </w:pPr>
      <w:r w:rsidRPr="00F07407">
        <w:rPr>
          <w:bCs/>
        </w:rPr>
        <w:t>Children’s school readiness was assessed by the Gumpel Readiness</w:t>
      </w:r>
      <w:r w:rsidR="00321828" w:rsidRPr="00F07407">
        <w:rPr>
          <w:bCs/>
        </w:rPr>
        <w:t xml:space="preserve"> </w:t>
      </w:r>
      <w:r w:rsidRPr="00F07407">
        <w:rPr>
          <w:bCs/>
        </w:rPr>
        <w:t>Inventory (GRI; Gumpel, 1999). The Chinese version of GRI was employed in local research which revealed its internal consistency, test</w:t>
      </w:r>
      <w:r w:rsidR="009F0AB6" w:rsidRPr="00F07407">
        <w:rPr>
          <w:bCs/>
        </w:rPr>
        <w:t>-</w:t>
      </w:r>
      <w:r w:rsidRPr="00F07407">
        <w:rPr>
          <w:bCs/>
        </w:rPr>
        <w:t xml:space="preserve">retest reliability, construct and concurrent validity, and unidimensionality (Fung et al., 2020; Ho et al., 2013). The Chinese GRI </w:t>
      </w:r>
      <w:r w:rsidR="002B08F2" w:rsidRPr="00F07407">
        <w:rPr>
          <w:bCs/>
        </w:rPr>
        <w:t>contained</w:t>
      </w:r>
      <w:r w:rsidRPr="00F07407">
        <w:rPr>
          <w:bCs/>
        </w:rPr>
        <w:t xml:space="preserve"> six items: academic skills (“Counts forwards and backwards”, “Demonstrates understanding of concepts such as: before-after, bigger than-smaller than, more-less”), strategic working skills (“Is able to work independently without help from an adult”, “Can break down a complex task into its constituent parts”), and role-governed skills (“Raises hand when s/he wants to participate”, “Pays attention during class”).</w:t>
      </w:r>
      <w:r w:rsidRPr="00F07407">
        <w:rPr>
          <w:szCs w:val="20"/>
          <w:lang w:eastAsia="zh-HK"/>
        </w:rPr>
        <w:t xml:space="preserve"> </w:t>
      </w:r>
      <w:r w:rsidRPr="00F07407">
        <w:rPr>
          <w:lang w:eastAsia="zh-HK"/>
        </w:rPr>
        <w:t xml:space="preserve">Teachers rated </w:t>
      </w:r>
      <w:r w:rsidR="002B08F2" w:rsidRPr="00F07407">
        <w:rPr>
          <w:lang w:eastAsia="zh-HK"/>
        </w:rPr>
        <w:t>each item</w:t>
      </w:r>
      <w:r w:rsidRPr="00F07407">
        <w:rPr>
          <w:lang w:eastAsia="zh-HK"/>
        </w:rPr>
        <w:t xml:space="preserve"> on a 5-point scale to indicate </w:t>
      </w:r>
      <w:r w:rsidR="002B08F2" w:rsidRPr="00F07407">
        <w:rPr>
          <w:lang w:eastAsia="zh-HK"/>
        </w:rPr>
        <w:t>children’s</w:t>
      </w:r>
      <w:r w:rsidRPr="00F07407">
        <w:rPr>
          <w:lang w:eastAsia="zh-HK"/>
        </w:rPr>
        <w:t xml:space="preserve"> frequency of showing the </w:t>
      </w:r>
      <w:r w:rsidR="002B08F2" w:rsidRPr="00F07407">
        <w:rPr>
          <w:lang w:eastAsia="zh-HK"/>
        </w:rPr>
        <w:t>described</w:t>
      </w:r>
      <w:r w:rsidRPr="00F07407">
        <w:rPr>
          <w:lang w:eastAsia="zh-HK"/>
        </w:rPr>
        <w:t xml:space="preserve"> behavior</w:t>
      </w:r>
      <w:r w:rsidR="002B08F2" w:rsidRPr="00F07407">
        <w:rPr>
          <w:lang w:eastAsia="zh-HK"/>
        </w:rPr>
        <w:t xml:space="preserve"> from</w:t>
      </w:r>
      <w:r w:rsidRPr="00F07407">
        <w:rPr>
          <w:lang w:eastAsia="zh-HK"/>
        </w:rPr>
        <w:t xml:space="preserve"> 1 (never) to 5 (always). The average score</w:t>
      </w:r>
      <w:r w:rsidRPr="00F07407">
        <w:rPr>
          <w:szCs w:val="20"/>
          <w:lang w:eastAsia="zh-HK"/>
        </w:rPr>
        <w:t xml:space="preserve"> represented school readiness</w:t>
      </w:r>
      <w:r w:rsidRPr="00F07407">
        <w:rPr>
          <w:lang w:eastAsia="zh-HK"/>
        </w:rPr>
        <w:t xml:space="preserve">. </w:t>
      </w:r>
      <w:r w:rsidR="00506968" w:rsidRPr="00F07407">
        <w:rPr>
          <w:lang w:eastAsia="zh-HK"/>
        </w:rPr>
        <w:t>The Cronbach’s alpha was .87.</w:t>
      </w:r>
    </w:p>
    <w:p w14:paraId="7FB04126" w14:textId="77777777" w:rsidR="009C02F3" w:rsidRPr="00F07407" w:rsidRDefault="009C02F3" w:rsidP="009C02F3">
      <w:pPr>
        <w:spacing w:line="480" w:lineRule="auto"/>
        <w:rPr>
          <w:b/>
          <w:bCs/>
          <w:lang w:eastAsia="zh-HK"/>
        </w:rPr>
      </w:pPr>
      <w:r w:rsidRPr="00F07407">
        <w:rPr>
          <w:b/>
          <w:bCs/>
          <w:lang w:eastAsia="zh-HK"/>
        </w:rPr>
        <w:t>Data analysis plan</w:t>
      </w:r>
    </w:p>
    <w:p w14:paraId="27C05501" w14:textId="77777777" w:rsidR="00B825F6" w:rsidRPr="00F07407" w:rsidRDefault="009B7838" w:rsidP="00F662C4">
      <w:pPr>
        <w:spacing w:line="480" w:lineRule="auto"/>
        <w:ind w:firstLine="567"/>
      </w:pPr>
      <w:r w:rsidRPr="009B7838">
        <w:rPr>
          <w:color w:val="00B0F0"/>
          <w:lang w:eastAsia="zh-HK"/>
        </w:rPr>
        <w:t xml:space="preserve">Hierarchical regression analysis was first conducted to examine the relationship </w:t>
      </w:r>
      <w:r w:rsidRPr="009B7838">
        <w:rPr>
          <w:color w:val="00B0F0"/>
          <w:lang w:eastAsia="zh-HK"/>
        </w:rPr>
        <w:lastRenderedPageBreak/>
        <w:t xml:space="preserve">between home play opportunity and school readiness with and without considering object and social mastery motivation as mediators. </w:t>
      </w:r>
      <w:r w:rsidR="00D07662" w:rsidRPr="00F07407">
        <w:rPr>
          <w:lang w:eastAsia="zh-HK"/>
        </w:rPr>
        <w:t xml:space="preserve">Path model </w:t>
      </w:r>
      <w:r w:rsidR="00F662C4" w:rsidRPr="00F07407">
        <w:rPr>
          <w:lang w:eastAsia="zh-HK"/>
        </w:rPr>
        <w:t>investigating</w:t>
      </w:r>
      <w:r w:rsidR="00D07662" w:rsidRPr="00F07407">
        <w:rPr>
          <w:lang w:eastAsia="zh-HK"/>
        </w:rPr>
        <w:t xml:space="preserve"> the </w:t>
      </w:r>
      <w:r w:rsidR="005D248A" w:rsidRPr="00F07407">
        <w:rPr>
          <w:lang w:eastAsia="zh-HK"/>
        </w:rPr>
        <w:t>relationships</w:t>
      </w:r>
      <w:r w:rsidR="00D07662" w:rsidRPr="00F07407">
        <w:rPr>
          <w:lang w:eastAsia="zh-HK"/>
        </w:rPr>
        <w:t xml:space="preserve"> among </w:t>
      </w:r>
      <w:r w:rsidR="00F662C4" w:rsidRPr="00F07407">
        <w:rPr>
          <w:lang w:eastAsia="zh-HK"/>
        </w:rPr>
        <w:t>home play opportunity</w:t>
      </w:r>
      <w:r w:rsidR="00D07662" w:rsidRPr="00F07407">
        <w:rPr>
          <w:lang w:eastAsia="zh-HK"/>
        </w:rPr>
        <w:t xml:space="preserve">, </w:t>
      </w:r>
      <w:r w:rsidR="00F662C4" w:rsidRPr="00F07407">
        <w:rPr>
          <w:lang w:eastAsia="zh-HK"/>
        </w:rPr>
        <w:t>object mastery motivation</w:t>
      </w:r>
      <w:r w:rsidR="00D07662" w:rsidRPr="00F07407">
        <w:rPr>
          <w:lang w:eastAsia="zh-HK"/>
        </w:rPr>
        <w:t xml:space="preserve">, social mastery motivation, and </w:t>
      </w:r>
      <w:r w:rsidR="00F662C4" w:rsidRPr="00F07407">
        <w:rPr>
          <w:lang w:eastAsia="zh-HK"/>
        </w:rPr>
        <w:t>school readiness</w:t>
      </w:r>
      <w:r w:rsidR="00D07662" w:rsidRPr="00F07407">
        <w:rPr>
          <w:lang w:eastAsia="zh-HK"/>
        </w:rPr>
        <w:t xml:space="preserve"> was </w:t>
      </w:r>
      <w:r w:rsidRPr="009B7838">
        <w:rPr>
          <w:color w:val="00B0F0"/>
          <w:lang w:eastAsia="zh-HK"/>
        </w:rPr>
        <w:t xml:space="preserve">then </w:t>
      </w:r>
      <w:r w:rsidR="00D07662" w:rsidRPr="00F07407">
        <w:rPr>
          <w:lang w:eastAsia="zh-HK"/>
        </w:rPr>
        <w:t xml:space="preserve">estimated with the lavaan package (version 0.6-5) in R (version 3.6.1; </w:t>
      </w:r>
      <w:r w:rsidR="000F639E" w:rsidRPr="00F07407">
        <w:rPr>
          <w:szCs w:val="20"/>
          <w:lang w:eastAsia="zh-HK"/>
        </w:rPr>
        <w:t>R Foundation for Statistical Computing, 202</w:t>
      </w:r>
      <w:r w:rsidR="00A41AEE" w:rsidRPr="00F07407">
        <w:rPr>
          <w:szCs w:val="20"/>
          <w:lang w:eastAsia="zh-HK"/>
        </w:rPr>
        <w:t>1</w:t>
      </w:r>
      <w:r w:rsidR="00D07662" w:rsidRPr="00F07407">
        <w:rPr>
          <w:lang w:eastAsia="zh-HK"/>
        </w:rPr>
        <w:t>), with child’s age, gender</w:t>
      </w:r>
      <w:r w:rsidR="00B65D15" w:rsidRPr="00F07407">
        <w:rPr>
          <w:lang w:eastAsia="zh-HK"/>
        </w:rPr>
        <w:t xml:space="preserve">, and parental education </w:t>
      </w:r>
      <w:r w:rsidR="009812BA" w:rsidRPr="00F07407">
        <w:rPr>
          <w:lang w:eastAsia="zh-HK"/>
        </w:rPr>
        <w:t xml:space="preserve">(as a proxy of socioeconomic status; Schmitt et al., 2014) </w:t>
      </w:r>
      <w:r w:rsidR="00B65D15" w:rsidRPr="00F07407">
        <w:rPr>
          <w:lang w:eastAsia="zh-HK"/>
        </w:rPr>
        <w:t>statistically controlled</w:t>
      </w:r>
      <w:r w:rsidR="00D07662" w:rsidRPr="00F07407">
        <w:rPr>
          <w:lang w:eastAsia="zh-HK"/>
        </w:rPr>
        <w:t xml:space="preserve">. </w:t>
      </w:r>
      <w:r w:rsidR="00330543" w:rsidRPr="00F07407">
        <w:rPr>
          <w:lang w:eastAsia="zh-HK"/>
        </w:rPr>
        <w:t xml:space="preserve">Intraclass correlations of the outcome variables were examined to </w:t>
      </w:r>
      <w:r w:rsidR="00774161" w:rsidRPr="00F07407">
        <w:rPr>
          <w:lang w:eastAsia="zh-HK"/>
        </w:rPr>
        <w:t>probe</w:t>
      </w:r>
      <w:r w:rsidR="00330543" w:rsidRPr="00F07407">
        <w:rPr>
          <w:lang w:eastAsia="zh-HK"/>
        </w:rPr>
        <w:t xml:space="preserve"> the possible impact of the nested sampling structure (i.e., teachers’ ratings on social mastery motivation, object mastery motivation, and school readiness), and the values were between .087 and .193. </w:t>
      </w:r>
      <w:r w:rsidR="00774161" w:rsidRPr="00F07407">
        <w:rPr>
          <w:lang w:eastAsia="zh-HK"/>
        </w:rPr>
        <w:t>T</w:t>
      </w:r>
      <w:r w:rsidR="00330543" w:rsidRPr="00F07407">
        <w:rPr>
          <w:lang w:eastAsia="zh-HK"/>
        </w:rPr>
        <w:t>he lavaan.survey package (Oberski, 2014) was employed</w:t>
      </w:r>
      <w:r w:rsidR="00774161" w:rsidRPr="00F07407">
        <w:rPr>
          <w:lang w:eastAsia="zh-HK"/>
        </w:rPr>
        <w:t xml:space="preserve"> to account for the multilevel nature of the data by correcting the parameter estimates and standard errors, and this approach was applied in recent research (e.g., Jackson &amp; Cunningham, 2017; Stühmann et al., 2020).</w:t>
      </w:r>
      <w:r w:rsidR="00330543" w:rsidRPr="00F07407">
        <w:rPr>
          <w:lang w:eastAsia="zh-HK"/>
        </w:rPr>
        <w:t xml:space="preserve"> </w:t>
      </w:r>
      <w:r w:rsidR="00B65D15" w:rsidRPr="00F07407">
        <w:t xml:space="preserve">Model fit was </w:t>
      </w:r>
      <w:r w:rsidR="00F662C4" w:rsidRPr="00F07407">
        <w:t>evaluated</w:t>
      </w:r>
      <w:r w:rsidR="00B65D15" w:rsidRPr="00F07407">
        <w:t xml:space="preserve"> by the Chi-square index (</w:t>
      </w:r>
      <w:r w:rsidR="00F662C4" w:rsidRPr="00F07407">
        <w:t xml:space="preserve">non-significant </w:t>
      </w:r>
      <w:r w:rsidR="00B65D15" w:rsidRPr="00F07407">
        <w:rPr>
          <w:i/>
          <w:iCs/>
        </w:rPr>
        <w:t>χ</w:t>
      </w:r>
      <w:r w:rsidR="00B65D15" w:rsidRPr="00F07407">
        <w:rPr>
          <w:i/>
          <w:iCs/>
          <w:vertAlign w:val="superscript"/>
        </w:rPr>
        <w:t>2</w:t>
      </w:r>
      <w:r w:rsidR="00B65D15" w:rsidRPr="00F07407">
        <w:t>), comparative fit index (</w:t>
      </w:r>
      <w:r w:rsidR="00F662C4" w:rsidRPr="00F07407">
        <w:rPr>
          <w:bCs/>
        </w:rPr>
        <w:t xml:space="preserve">CFI </w:t>
      </w:r>
      <w:r w:rsidR="00F662C4" w:rsidRPr="00F07407">
        <w:rPr>
          <w:rFonts w:eastAsia="AdvTT182ff89e+22"/>
        </w:rPr>
        <w:t xml:space="preserve">≥ </w:t>
      </w:r>
      <w:r w:rsidR="00F662C4" w:rsidRPr="00F07407">
        <w:rPr>
          <w:rFonts w:eastAsia="AdvTT73b978ed.I+03"/>
        </w:rPr>
        <w:t>.95</w:t>
      </w:r>
      <w:r w:rsidR="00B65D15" w:rsidRPr="00F07407">
        <w:t xml:space="preserve">), </w:t>
      </w:r>
      <w:r w:rsidR="00F662C4" w:rsidRPr="00F07407">
        <w:t>non-normed fit index (</w:t>
      </w:r>
      <w:r w:rsidR="00F662C4" w:rsidRPr="00F07407">
        <w:rPr>
          <w:bCs/>
        </w:rPr>
        <w:t xml:space="preserve">NNFI </w:t>
      </w:r>
      <w:r w:rsidR="00F662C4" w:rsidRPr="00F07407">
        <w:rPr>
          <w:rFonts w:eastAsia="AdvTT182ff89e+22"/>
        </w:rPr>
        <w:t xml:space="preserve">≥ </w:t>
      </w:r>
      <w:r w:rsidR="00F662C4" w:rsidRPr="00F07407">
        <w:rPr>
          <w:rFonts w:eastAsia="AdvTT73b978ed.I+03"/>
        </w:rPr>
        <w:t>.95</w:t>
      </w:r>
      <w:r w:rsidR="00F662C4" w:rsidRPr="00F07407">
        <w:t xml:space="preserve">), </w:t>
      </w:r>
      <w:r w:rsidR="00B65D15" w:rsidRPr="00F07407">
        <w:t>root mean square error of approximation (</w:t>
      </w:r>
      <w:r w:rsidR="00F662C4" w:rsidRPr="00F07407">
        <w:rPr>
          <w:bCs/>
        </w:rPr>
        <w:t xml:space="preserve">RMSEA </w:t>
      </w:r>
      <w:r w:rsidR="00F662C4" w:rsidRPr="00F07407">
        <w:rPr>
          <w:rFonts w:eastAsia="AdvTT182ff89e+22"/>
        </w:rPr>
        <w:t xml:space="preserve">≤ </w:t>
      </w:r>
      <w:r w:rsidR="00F662C4" w:rsidRPr="00F07407">
        <w:rPr>
          <w:rFonts w:eastAsia="AdvTT73b978ed.I+03"/>
        </w:rPr>
        <w:t>.06</w:t>
      </w:r>
      <w:r w:rsidR="00B65D15" w:rsidRPr="00F07407">
        <w:t>), and standardized root mean square residual (</w:t>
      </w:r>
      <w:r w:rsidR="00F662C4" w:rsidRPr="00F07407">
        <w:rPr>
          <w:bCs/>
        </w:rPr>
        <w:t xml:space="preserve">SRMR </w:t>
      </w:r>
      <w:r w:rsidR="00F662C4" w:rsidRPr="00F07407">
        <w:rPr>
          <w:rFonts w:eastAsia="AdvTT182ff89e+22"/>
        </w:rPr>
        <w:t xml:space="preserve">≤ </w:t>
      </w:r>
      <w:r w:rsidR="00F662C4" w:rsidRPr="00F07407">
        <w:rPr>
          <w:rFonts w:eastAsia="AdvTT73b978ed.I+03"/>
        </w:rPr>
        <w:t>.08</w:t>
      </w:r>
      <w:r w:rsidR="00B65D15" w:rsidRPr="00F07407">
        <w:t>)</w:t>
      </w:r>
      <w:r w:rsidR="00F662C4" w:rsidRPr="00F07407">
        <w:t xml:space="preserve"> </w:t>
      </w:r>
      <w:r w:rsidR="00B65D15" w:rsidRPr="00F07407">
        <w:t>(Hu &amp; Bentler, 1999).</w:t>
      </w:r>
      <w:r w:rsidR="007C4CC0" w:rsidRPr="00F07407">
        <w:t xml:space="preserve"> The significance of the indirect relationship was examined by using the bias-corrected bootstrapping approach with 5000 resampling (Hayes, 2009).</w:t>
      </w:r>
    </w:p>
    <w:p w14:paraId="1889C721" w14:textId="77777777" w:rsidR="00C13BE8" w:rsidRPr="00F07407" w:rsidRDefault="00C13BE8" w:rsidP="00C13BE8">
      <w:pPr>
        <w:spacing w:line="480" w:lineRule="auto"/>
        <w:jc w:val="center"/>
        <w:rPr>
          <w:b/>
          <w:bCs/>
          <w:lang w:eastAsia="zh-HK"/>
        </w:rPr>
      </w:pPr>
      <w:r w:rsidRPr="00F07407">
        <w:rPr>
          <w:b/>
          <w:bCs/>
          <w:lang w:eastAsia="zh-HK"/>
        </w:rPr>
        <w:t>Results</w:t>
      </w:r>
    </w:p>
    <w:p w14:paraId="78A90691" w14:textId="77777777" w:rsidR="00C13BE8" w:rsidRPr="00F07407" w:rsidRDefault="00C13BE8" w:rsidP="00C13BE8">
      <w:pPr>
        <w:spacing w:line="480" w:lineRule="auto"/>
        <w:rPr>
          <w:b/>
        </w:rPr>
      </w:pPr>
      <w:r w:rsidRPr="00F07407">
        <w:rPr>
          <w:b/>
        </w:rPr>
        <w:t>Preliminary analyses</w:t>
      </w:r>
    </w:p>
    <w:p w14:paraId="076DD0C1" w14:textId="77777777" w:rsidR="00B825F6" w:rsidRDefault="00C13BE8" w:rsidP="00B825F6">
      <w:pPr>
        <w:spacing w:line="480" w:lineRule="auto"/>
        <w:ind w:firstLine="567"/>
        <w:rPr>
          <w:bCs/>
        </w:rPr>
      </w:pPr>
      <w:r w:rsidRPr="00F07407">
        <w:rPr>
          <w:lang w:eastAsia="zh-HK"/>
        </w:rPr>
        <w:lastRenderedPageBreak/>
        <w:t xml:space="preserve">Table 1 </w:t>
      </w:r>
      <w:r w:rsidR="000E51A8" w:rsidRPr="00F07407">
        <w:rPr>
          <w:lang w:eastAsia="zh-HK"/>
        </w:rPr>
        <w:t>illustrates</w:t>
      </w:r>
      <w:r w:rsidRPr="00F07407">
        <w:rPr>
          <w:lang w:eastAsia="zh-HK"/>
        </w:rPr>
        <w:t xml:space="preserve"> the descriptive statistics of and bivariate correlations among </w:t>
      </w:r>
      <w:r w:rsidR="00DC64B7" w:rsidRPr="00F07407">
        <w:rPr>
          <w:lang w:eastAsia="zh-HK"/>
        </w:rPr>
        <w:t>the study variables</w:t>
      </w:r>
      <w:r w:rsidR="005963E6" w:rsidRPr="00F07407">
        <w:rPr>
          <w:lang w:eastAsia="zh-HK"/>
        </w:rPr>
        <w:t xml:space="preserve">. </w:t>
      </w:r>
      <w:r w:rsidR="00D40571" w:rsidRPr="00F07407">
        <w:rPr>
          <w:lang w:eastAsia="zh-HK"/>
        </w:rPr>
        <w:t>The data were complete with no missing value</w:t>
      </w:r>
      <w:r w:rsidR="002B541D">
        <w:rPr>
          <w:color w:val="FF0000"/>
          <w:lang w:eastAsia="zh-HK"/>
        </w:rPr>
        <w:t>s</w:t>
      </w:r>
      <w:r w:rsidR="00D40571" w:rsidRPr="00F07407">
        <w:rPr>
          <w:lang w:eastAsia="zh-HK"/>
        </w:rPr>
        <w:t xml:space="preserve">, and the skewness and kurtosis of all variables were </w:t>
      </w:r>
      <w:r w:rsidR="002B541D" w:rsidRPr="00B8368C">
        <w:rPr>
          <w:lang w:eastAsia="zh-HK"/>
        </w:rPr>
        <w:t>within</w:t>
      </w:r>
      <w:r w:rsidR="00D40571" w:rsidRPr="00B8368C">
        <w:rPr>
          <w:lang w:eastAsia="zh-HK"/>
        </w:rPr>
        <w:t xml:space="preserve"> </w:t>
      </w:r>
      <w:r w:rsidR="00D40571" w:rsidRPr="00F07407">
        <w:rPr>
          <w:lang w:eastAsia="zh-HK"/>
        </w:rPr>
        <w:t>the range of plus and minus one</w:t>
      </w:r>
      <w:r w:rsidR="000E51A8" w:rsidRPr="00F07407">
        <w:rPr>
          <w:lang w:eastAsia="zh-HK"/>
        </w:rPr>
        <w:t>. Home play opportunity</w:t>
      </w:r>
      <w:r w:rsidR="00B87B0A" w:rsidRPr="00F07407">
        <w:rPr>
          <w:lang w:eastAsia="zh-HK"/>
        </w:rPr>
        <w:t xml:space="preserve"> was </w:t>
      </w:r>
      <w:r w:rsidR="000E51A8" w:rsidRPr="00F07407">
        <w:rPr>
          <w:lang w:eastAsia="zh-HK"/>
        </w:rPr>
        <w:t xml:space="preserve">significantly </w:t>
      </w:r>
      <w:r w:rsidR="00B87B0A" w:rsidRPr="00F07407">
        <w:rPr>
          <w:lang w:eastAsia="zh-HK"/>
        </w:rPr>
        <w:t xml:space="preserve">related to </w:t>
      </w:r>
      <w:r w:rsidR="000E51A8" w:rsidRPr="00F07407">
        <w:rPr>
          <w:lang w:eastAsia="zh-HK"/>
        </w:rPr>
        <w:t>subsequent object</w:t>
      </w:r>
      <w:r w:rsidR="005963E6" w:rsidRPr="00F07407">
        <w:rPr>
          <w:lang w:eastAsia="zh-HK"/>
        </w:rPr>
        <w:t xml:space="preserve"> mastery motivation </w:t>
      </w:r>
      <w:r w:rsidR="005963E6" w:rsidRPr="00F07407">
        <w:rPr>
          <w:bCs/>
        </w:rPr>
        <w:t>(</w:t>
      </w:r>
      <w:r w:rsidR="005963E6" w:rsidRPr="00F07407">
        <w:rPr>
          <w:bCs/>
          <w:i/>
          <w:iCs/>
        </w:rPr>
        <w:t>r</w:t>
      </w:r>
      <w:r w:rsidR="005963E6" w:rsidRPr="00F07407">
        <w:rPr>
          <w:bCs/>
        </w:rPr>
        <w:t xml:space="preserve"> = .</w:t>
      </w:r>
      <w:r w:rsidR="000E51A8" w:rsidRPr="00F07407">
        <w:rPr>
          <w:bCs/>
        </w:rPr>
        <w:t>24</w:t>
      </w:r>
      <w:r w:rsidR="005963E6" w:rsidRPr="00F07407">
        <w:rPr>
          <w:bCs/>
        </w:rPr>
        <w:t xml:space="preserve">, </w:t>
      </w:r>
      <w:r w:rsidR="005963E6" w:rsidRPr="00F07407">
        <w:rPr>
          <w:bCs/>
          <w:i/>
          <w:iCs/>
        </w:rPr>
        <w:t>p</w:t>
      </w:r>
      <w:r w:rsidR="005963E6" w:rsidRPr="00F07407">
        <w:rPr>
          <w:bCs/>
        </w:rPr>
        <w:t xml:space="preserve"> &lt; .0</w:t>
      </w:r>
      <w:r w:rsidR="000E51A8" w:rsidRPr="00F07407">
        <w:rPr>
          <w:bCs/>
        </w:rPr>
        <w:t>5</w:t>
      </w:r>
      <w:r w:rsidR="005963E6" w:rsidRPr="00F07407">
        <w:rPr>
          <w:bCs/>
        </w:rPr>
        <w:t>)</w:t>
      </w:r>
      <w:r w:rsidR="000E51A8" w:rsidRPr="00F07407">
        <w:rPr>
          <w:bCs/>
        </w:rPr>
        <w:t xml:space="preserve"> and school readiness (</w:t>
      </w:r>
      <w:r w:rsidR="000E51A8" w:rsidRPr="00F07407">
        <w:rPr>
          <w:bCs/>
          <w:i/>
          <w:iCs/>
        </w:rPr>
        <w:t>r</w:t>
      </w:r>
      <w:r w:rsidR="000E51A8" w:rsidRPr="00F07407">
        <w:rPr>
          <w:bCs/>
        </w:rPr>
        <w:t xml:space="preserve"> = .21, </w:t>
      </w:r>
      <w:r w:rsidR="000E51A8" w:rsidRPr="00F07407">
        <w:rPr>
          <w:bCs/>
          <w:i/>
          <w:iCs/>
        </w:rPr>
        <w:t>p</w:t>
      </w:r>
      <w:r w:rsidR="000E51A8" w:rsidRPr="00F07407">
        <w:rPr>
          <w:bCs/>
        </w:rPr>
        <w:t xml:space="preserve"> &lt; .05), but unrelated to</w:t>
      </w:r>
      <w:r w:rsidR="005963E6" w:rsidRPr="00F07407">
        <w:rPr>
          <w:bCs/>
        </w:rPr>
        <w:t xml:space="preserve"> </w:t>
      </w:r>
      <w:r w:rsidR="000E51A8" w:rsidRPr="00F07407">
        <w:rPr>
          <w:lang w:eastAsia="zh-HK"/>
        </w:rPr>
        <w:t>social mastery motivation</w:t>
      </w:r>
      <w:r w:rsidR="005963E6" w:rsidRPr="00F07407">
        <w:rPr>
          <w:lang w:eastAsia="zh-HK"/>
        </w:rPr>
        <w:t xml:space="preserve"> </w:t>
      </w:r>
      <w:r w:rsidR="005963E6" w:rsidRPr="00F07407">
        <w:rPr>
          <w:bCs/>
        </w:rPr>
        <w:t>(</w:t>
      </w:r>
      <w:r w:rsidR="005963E6" w:rsidRPr="00F07407">
        <w:rPr>
          <w:bCs/>
          <w:i/>
          <w:iCs/>
        </w:rPr>
        <w:t>r</w:t>
      </w:r>
      <w:r w:rsidR="005963E6" w:rsidRPr="00F07407">
        <w:rPr>
          <w:bCs/>
        </w:rPr>
        <w:t xml:space="preserve"> = .17, </w:t>
      </w:r>
      <w:r w:rsidR="005963E6" w:rsidRPr="00F07407">
        <w:rPr>
          <w:bCs/>
          <w:i/>
          <w:iCs/>
        </w:rPr>
        <w:t>p</w:t>
      </w:r>
      <w:r w:rsidR="005963E6" w:rsidRPr="00F07407">
        <w:rPr>
          <w:bCs/>
        </w:rPr>
        <w:t xml:space="preserve"> </w:t>
      </w:r>
      <w:r w:rsidR="000E51A8" w:rsidRPr="00F07407">
        <w:rPr>
          <w:bCs/>
        </w:rPr>
        <w:t>= .08</w:t>
      </w:r>
      <w:r w:rsidR="005963E6" w:rsidRPr="00F07407">
        <w:rPr>
          <w:bCs/>
        </w:rPr>
        <w:t>)</w:t>
      </w:r>
      <w:r w:rsidR="000E51A8" w:rsidRPr="00F07407">
        <w:rPr>
          <w:bCs/>
        </w:rPr>
        <w:t>.</w:t>
      </w:r>
      <w:r w:rsidR="005963E6" w:rsidRPr="00F07407">
        <w:rPr>
          <w:lang w:eastAsia="zh-HK"/>
        </w:rPr>
        <w:t xml:space="preserve"> </w:t>
      </w:r>
      <w:r w:rsidR="000E51A8" w:rsidRPr="00F07407">
        <w:rPr>
          <w:lang w:eastAsia="zh-HK"/>
        </w:rPr>
        <w:t>Object and s</w:t>
      </w:r>
      <w:r w:rsidR="00B87B0A" w:rsidRPr="00F07407">
        <w:rPr>
          <w:lang w:eastAsia="zh-HK"/>
        </w:rPr>
        <w:t xml:space="preserve">ocial mastery motivation </w:t>
      </w:r>
      <w:r w:rsidR="000E51A8" w:rsidRPr="00F07407">
        <w:rPr>
          <w:lang w:eastAsia="zh-HK"/>
        </w:rPr>
        <w:t xml:space="preserve">were </w:t>
      </w:r>
      <w:r w:rsidR="001D75B7" w:rsidRPr="00F07407">
        <w:rPr>
          <w:lang w:eastAsia="zh-HK"/>
        </w:rPr>
        <w:t>significantly</w:t>
      </w:r>
      <w:r w:rsidR="00B87B0A" w:rsidRPr="00F07407">
        <w:rPr>
          <w:lang w:eastAsia="zh-HK"/>
        </w:rPr>
        <w:t xml:space="preserve"> </w:t>
      </w:r>
      <w:r w:rsidR="00D40571" w:rsidRPr="00F07407">
        <w:rPr>
          <w:lang w:eastAsia="zh-HK"/>
        </w:rPr>
        <w:t>associated</w:t>
      </w:r>
      <w:r w:rsidR="00B87B0A" w:rsidRPr="00F07407">
        <w:rPr>
          <w:lang w:eastAsia="zh-HK"/>
        </w:rPr>
        <w:t xml:space="preserve"> </w:t>
      </w:r>
      <w:r w:rsidR="00B87B0A" w:rsidRPr="00F07407">
        <w:rPr>
          <w:bCs/>
        </w:rPr>
        <w:t>(</w:t>
      </w:r>
      <w:r w:rsidR="00B87B0A" w:rsidRPr="00F07407">
        <w:rPr>
          <w:bCs/>
          <w:i/>
          <w:iCs/>
        </w:rPr>
        <w:t>r</w:t>
      </w:r>
      <w:r w:rsidR="00B87B0A" w:rsidRPr="00F07407">
        <w:rPr>
          <w:bCs/>
        </w:rPr>
        <w:t xml:space="preserve"> = .</w:t>
      </w:r>
      <w:r w:rsidR="000E51A8" w:rsidRPr="00F07407">
        <w:rPr>
          <w:bCs/>
        </w:rPr>
        <w:t>70</w:t>
      </w:r>
      <w:r w:rsidR="00B87B0A" w:rsidRPr="00F07407">
        <w:rPr>
          <w:bCs/>
        </w:rPr>
        <w:t xml:space="preserve">, </w:t>
      </w:r>
      <w:r w:rsidR="00B87B0A" w:rsidRPr="00F07407">
        <w:rPr>
          <w:bCs/>
          <w:i/>
          <w:iCs/>
        </w:rPr>
        <w:t>p</w:t>
      </w:r>
      <w:r w:rsidR="00B87B0A" w:rsidRPr="00F07407">
        <w:rPr>
          <w:bCs/>
        </w:rPr>
        <w:t xml:space="preserve"> &lt; .01), </w:t>
      </w:r>
      <w:r w:rsidR="000E51A8" w:rsidRPr="00F07407">
        <w:rPr>
          <w:bCs/>
        </w:rPr>
        <w:t xml:space="preserve">and </w:t>
      </w:r>
      <w:r w:rsidR="001D75B7" w:rsidRPr="00F07407">
        <w:rPr>
          <w:bCs/>
        </w:rPr>
        <w:t>both</w:t>
      </w:r>
      <w:r w:rsidR="00D40571" w:rsidRPr="00F07407">
        <w:rPr>
          <w:bCs/>
        </w:rPr>
        <w:t xml:space="preserve"> were significantly related to</w:t>
      </w:r>
      <w:r w:rsidR="000E51A8" w:rsidRPr="00F07407">
        <w:rPr>
          <w:bCs/>
        </w:rPr>
        <w:t xml:space="preserve"> school readiness</w:t>
      </w:r>
      <w:r w:rsidR="00B87B0A" w:rsidRPr="00F07407">
        <w:rPr>
          <w:bCs/>
        </w:rPr>
        <w:t xml:space="preserve"> (</w:t>
      </w:r>
      <w:r w:rsidR="00B87B0A" w:rsidRPr="00F07407">
        <w:rPr>
          <w:bCs/>
          <w:i/>
          <w:iCs/>
        </w:rPr>
        <w:t>r</w:t>
      </w:r>
      <w:r w:rsidR="004D6AD3" w:rsidRPr="00F07407">
        <w:rPr>
          <w:bCs/>
          <w:i/>
          <w:iCs/>
        </w:rPr>
        <w:t>s</w:t>
      </w:r>
      <w:r w:rsidR="00B87B0A" w:rsidRPr="00F07407">
        <w:rPr>
          <w:bCs/>
        </w:rPr>
        <w:t xml:space="preserve"> = .</w:t>
      </w:r>
      <w:r w:rsidR="000E51A8" w:rsidRPr="00F07407">
        <w:rPr>
          <w:bCs/>
        </w:rPr>
        <w:t>65 to .79</w:t>
      </w:r>
      <w:r w:rsidR="00B87B0A" w:rsidRPr="00F07407">
        <w:rPr>
          <w:bCs/>
        </w:rPr>
        <w:t xml:space="preserve">, </w:t>
      </w:r>
      <w:r w:rsidR="000E51A8" w:rsidRPr="00F07407">
        <w:rPr>
          <w:bCs/>
          <w:i/>
          <w:iCs/>
        </w:rPr>
        <w:t>p</w:t>
      </w:r>
      <w:r w:rsidR="004D6AD3" w:rsidRPr="00F07407">
        <w:rPr>
          <w:bCs/>
          <w:i/>
          <w:iCs/>
        </w:rPr>
        <w:t>s</w:t>
      </w:r>
      <w:r w:rsidR="000E51A8" w:rsidRPr="00F07407">
        <w:rPr>
          <w:bCs/>
        </w:rPr>
        <w:t xml:space="preserve"> &lt; .01</w:t>
      </w:r>
      <w:r w:rsidR="00B87B0A" w:rsidRPr="00F07407">
        <w:rPr>
          <w:bCs/>
        </w:rPr>
        <w:t xml:space="preserve">). </w:t>
      </w:r>
    </w:p>
    <w:p w14:paraId="1AEE3B21" w14:textId="77777777" w:rsidR="00AA092D" w:rsidRPr="00AA092D" w:rsidRDefault="009B7838" w:rsidP="00AA092D">
      <w:pPr>
        <w:spacing w:line="480" w:lineRule="auto"/>
        <w:ind w:firstLine="567"/>
        <w:rPr>
          <w:bCs/>
          <w:color w:val="00B0F0"/>
        </w:rPr>
      </w:pPr>
      <w:r w:rsidRPr="009B7838">
        <w:rPr>
          <w:bCs/>
          <w:color w:val="00B0F0"/>
        </w:rPr>
        <w:t xml:space="preserve">Table 2 shows the </w:t>
      </w:r>
      <w:r>
        <w:rPr>
          <w:bCs/>
          <w:color w:val="00B0F0"/>
        </w:rPr>
        <w:t xml:space="preserve">results of hierarchical regression predicting school readiness from home play opportunity </w:t>
      </w:r>
      <w:r w:rsidR="00582094">
        <w:rPr>
          <w:bCs/>
          <w:color w:val="00B0F0"/>
        </w:rPr>
        <w:t>with (model 2) and without (model 1) controlling for</w:t>
      </w:r>
      <w:r>
        <w:rPr>
          <w:bCs/>
          <w:color w:val="00B0F0"/>
        </w:rPr>
        <w:t xml:space="preserve"> object and </w:t>
      </w:r>
      <w:r w:rsidR="00ED7B02">
        <w:rPr>
          <w:bCs/>
          <w:color w:val="00B0F0"/>
        </w:rPr>
        <w:t xml:space="preserve">social mastery motivation. </w:t>
      </w:r>
      <w:r w:rsidR="00AA092D">
        <w:rPr>
          <w:bCs/>
          <w:color w:val="00B0F0"/>
        </w:rPr>
        <w:t xml:space="preserve">In model 1, home play opportunity accounted for 5% of </w:t>
      </w:r>
      <w:r w:rsidR="00FC67C5">
        <w:rPr>
          <w:bCs/>
          <w:color w:val="00B0F0"/>
        </w:rPr>
        <w:t xml:space="preserve">the </w:t>
      </w:r>
      <w:r w:rsidR="00AA092D">
        <w:rPr>
          <w:bCs/>
          <w:color w:val="00B0F0"/>
        </w:rPr>
        <w:t xml:space="preserve">variance of school readiness. </w:t>
      </w:r>
      <w:r w:rsidR="00075793">
        <w:rPr>
          <w:bCs/>
          <w:color w:val="00B0F0"/>
        </w:rPr>
        <w:t>I</w:t>
      </w:r>
      <w:r w:rsidR="00AA092D">
        <w:rPr>
          <w:bCs/>
          <w:color w:val="00B0F0"/>
        </w:rPr>
        <w:t xml:space="preserve">n model 2, object and social mastery motivation in step 1 collectively explained 65% of </w:t>
      </w:r>
      <w:r w:rsidR="00FC67C5">
        <w:rPr>
          <w:bCs/>
          <w:color w:val="00B0F0"/>
        </w:rPr>
        <w:t xml:space="preserve">the </w:t>
      </w:r>
      <w:r w:rsidR="00AA092D">
        <w:rPr>
          <w:bCs/>
          <w:color w:val="00B0F0"/>
        </w:rPr>
        <w:t xml:space="preserve">variance of school readiness, </w:t>
      </w:r>
      <w:r w:rsidR="00075793">
        <w:rPr>
          <w:bCs/>
          <w:color w:val="00B0F0"/>
        </w:rPr>
        <w:t xml:space="preserve">whereas </w:t>
      </w:r>
      <w:r w:rsidR="00AA092D">
        <w:rPr>
          <w:bCs/>
          <w:color w:val="00B0F0"/>
        </w:rPr>
        <w:t xml:space="preserve">home play opportunity </w:t>
      </w:r>
      <w:r w:rsidR="00075793">
        <w:rPr>
          <w:bCs/>
          <w:color w:val="00B0F0"/>
        </w:rPr>
        <w:t xml:space="preserve">in step 2 </w:t>
      </w:r>
      <w:r w:rsidR="00075793" w:rsidRPr="00075793">
        <w:rPr>
          <w:bCs/>
          <w:color w:val="00B0F0"/>
        </w:rPr>
        <w:t>contributed no unique variance</w:t>
      </w:r>
      <w:r w:rsidR="00075793">
        <w:rPr>
          <w:bCs/>
          <w:color w:val="00B0F0"/>
        </w:rPr>
        <w:t xml:space="preserve"> in</w:t>
      </w:r>
      <w:r w:rsidR="00AA092D">
        <w:rPr>
          <w:bCs/>
          <w:color w:val="00B0F0"/>
        </w:rPr>
        <w:t xml:space="preserve"> school readiness. These results suggested </w:t>
      </w:r>
      <w:r w:rsidR="00075793">
        <w:rPr>
          <w:bCs/>
          <w:color w:val="00B0F0"/>
        </w:rPr>
        <w:t>the</w:t>
      </w:r>
      <w:r w:rsidR="00AA092D" w:rsidRPr="00AA092D">
        <w:rPr>
          <w:bCs/>
          <w:color w:val="00B0F0"/>
        </w:rPr>
        <w:t xml:space="preserve"> plausible </w:t>
      </w:r>
      <w:r w:rsidR="00D624E8">
        <w:rPr>
          <w:bCs/>
          <w:color w:val="00B0F0"/>
        </w:rPr>
        <w:t>mediating roles of</w:t>
      </w:r>
      <w:r w:rsidR="00AA092D" w:rsidRPr="00AA092D">
        <w:rPr>
          <w:bCs/>
          <w:color w:val="00B0F0"/>
        </w:rPr>
        <w:t xml:space="preserve"> </w:t>
      </w:r>
      <w:r w:rsidR="00075793">
        <w:rPr>
          <w:bCs/>
          <w:color w:val="00B0F0"/>
        </w:rPr>
        <w:t>object and social mastery motivation</w:t>
      </w:r>
      <w:r w:rsidR="00D624E8">
        <w:rPr>
          <w:bCs/>
          <w:color w:val="00B0F0"/>
        </w:rPr>
        <w:t xml:space="preserve"> in the relationship between home play opportunity and school readiness and, thus, a path analysis was conducted to further examine the indirect </w:t>
      </w:r>
      <w:r w:rsidR="009833D4">
        <w:rPr>
          <w:bCs/>
          <w:color w:val="00B0F0"/>
        </w:rPr>
        <w:t>associations</w:t>
      </w:r>
      <w:r w:rsidR="00D624E8">
        <w:rPr>
          <w:bCs/>
          <w:color w:val="00B0F0"/>
        </w:rPr>
        <w:t>.</w:t>
      </w:r>
    </w:p>
    <w:p w14:paraId="405F319D" w14:textId="77777777" w:rsidR="005D248A" w:rsidRPr="00F07407" w:rsidRDefault="005D248A" w:rsidP="005D248A">
      <w:pPr>
        <w:spacing w:line="480" w:lineRule="auto"/>
        <w:rPr>
          <w:lang w:eastAsia="zh-HK"/>
        </w:rPr>
      </w:pPr>
      <w:r w:rsidRPr="00F07407">
        <w:rPr>
          <w:b/>
          <w:lang w:eastAsia="zh-HK"/>
        </w:rPr>
        <w:t xml:space="preserve">Path </w:t>
      </w:r>
      <w:r w:rsidR="001D75B7" w:rsidRPr="00F07407">
        <w:rPr>
          <w:b/>
          <w:lang w:eastAsia="zh-HK"/>
        </w:rPr>
        <w:t>analysis</w:t>
      </w:r>
    </w:p>
    <w:p w14:paraId="1EFF1899" w14:textId="77777777" w:rsidR="003C0D0A" w:rsidRPr="00F07407" w:rsidRDefault="005D248A" w:rsidP="00646315">
      <w:pPr>
        <w:spacing w:line="480" w:lineRule="auto"/>
        <w:ind w:firstLine="567"/>
        <w:rPr>
          <w:highlight w:val="yellow"/>
          <w:lang w:eastAsia="zh-HK"/>
        </w:rPr>
      </w:pPr>
      <w:r w:rsidRPr="00F07407">
        <w:rPr>
          <w:lang w:eastAsia="zh-HK"/>
        </w:rPr>
        <w:t xml:space="preserve">Figure 1 shows the parameter estimates and model fit statistics for the path model of </w:t>
      </w:r>
      <w:r w:rsidR="008E6DE0" w:rsidRPr="00F07407">
        <w:rPr>
          <w:lang w:eastAsia="zh-HK"/>
        </w:rPr>
        <w:t>home play opportunity, object and social mastery motivation, and school readiness</w:t>
      </w:r>
      <w:r w:rsidRPr="00F07407">
        <w:rPr>
          <w:lang w:eastAsia="zh-HK"/>
        </w:rPr>
        <w:t xml:space="preserve">, which </w:t>
      </w:r>
      <w:r w:rsidRPr="00F07407">
        <w:rPr>
          <w:lang w:eastAsia="zh-HK"/>
        </w:rPr>
        <w:lastRenderedPageBreak/>
        <w:t>demonstrated a good fit to the data</w:t>
      </w:r>
      <w:r w:rsidR="003C0D0A" w:rsidRPr="00F07407">
        <w:rPr>
          <w:lang w:eastAsia="zh-HK"/>
        </w:rPr>
        <w:t xml:space="preserve"> </w:t>
      </w:r>
      <w:r w:rsidR="008E6DE0" w:rsidRPr="00F07407">
        <w:rPr>
          <w:i/>
          <w:iCs/>
          <w:lang w:eastAsia="zh-HK"/>
        </w:rPr>
        <w:t>χ</w:t>
      </w:r>
      <w:r w:rsidR="008E6DE0" w:rsidRPr="00F07407">
        <w:rPr>
          <w:i/>
          <w:iCs/>
          <w:vertAlign w:val="superscript"/>
          <w:lang w:eastAsia="zh-HK"/>
        </w:rPr>
        <w:t xml:space="preserve">2 </w:t>
      </w:r>
      <w:r w:rsidR="008E6DE0" w:rsidRPr="00F07407">
        <w:rPr>
          <w:lang w:eastAsia="zh-HK"/>
        </w:rPr>
        <w:t>(</w:t>
      </w:r>
      <w:r w:rsidR="008E6DE0" w:rsidRPr="00F07407">
        <w:rPr>
          <w:i/>
          <w:iCs/>
          <w:lang w:eastAsia="zh-HK"/>
        </w:rPr>
        <w:t>df</w:t>
      </w:r>
      <w:r w:rsidR="008E6DE0" w:rsidRPr="00F07407">
        <w:rPr>
          <w:lang w:eastAsia="zh-HK"/>
        </w:rPr>
        <w:t xml:space="preserve"> = 8, </w:t>
      </w:r>
      <w:r w:rsidR="008E6DE0" w:rsidRPr="00F07407">
        <w:rPr>
          <w:i/>
          <w:iCs/>
          <w:lang w:eastAsia="zh-HK"/>
        </w:rPr>
        <w:t>N</w:t>
      </w:r>
      <w:r w:rsidR="008E6DE0" w:rsidRPr="00F07407">
        <w:rPr>
          <w:lang w:eastAsia="zh-HK"/>
        </w:rPr>
        <w:t xml:space="preserve"> = 106) = 9.09, </w:t>
      </w:r>
      <w:r w:rsidR="008E6DE0" w:rsidRPr="00F07407">
        <w:rPr>
          <w:i/>
          <w:iCs/>
          <w:lang w:eastAsia="zh-HK"/>
        </w:rPr>
        <w:t xml:space="preserve">p </w:t>
      </w:r>
      <w:r w:rsidR="008E6DE0" w:rsidRPr="00F07407">
        <w:rPr>
          <w:lang w:eastAsia="zh-HK"/>
        </w:rPr>
        <w:t xml:space="preserve">= .34, CFI = .99, TLI = .99, RMSEA = .04 (90% CI: .00, .12), SRMR = .06, </w:t>
      </w:r>
      <w:r w:rsidR="008E6DE0" w:rsidRPr="00F07407">
        <w:rPr>
          <w:i/>
          <w:iCs/>
          <w:lang w:eastAsia="zh-HK"/>
        </w:rPr>
        <w:t>R</w:t>
      </w:r>
      <w:r w:rsidR="008E6DE0" w:rsidRPr="00F07407">
        <w:rPr>
          <w:i/>
          <w:iCs/>
          <w:vertAlign w:val="superscript"/>
          <w:lang w:eastAsia="zh-HK"/>
        </w:rPr>
        <w:t>2</w:t>
      </w:r>
      <w:r w:rsidR="008E6DE0" w:rsidRPr="00F07407">
        <w:rPr>
          <w:i/>
          <w:iCs/>
          <w:lang w:eastAsia="zh-HK"/>
        </w:rPr>
        <w:t xml:space="preserve"> </w:t>
      </w:r>
      <w:r w:rsidR="008E6DE0" w:rsidRPr="00F07407">
        <w:rPr>
          <w:i/>
          <w:iCs/>
          <w:vertAlign w:val="subscript"/>
          <w:lang w:eastAsia="zh-HK"/>
        </w:rPr>
        <w:t>T2 Object mastery motivation</w:t>
      </w:r>
      <w:r w:rsidR="008E6DE0" w:rsidRPr="00F07407">
        <w:rPr>
          <w:lang w:eastAsia="zh-HK"/>
        </w:rPr>
        <w:t xml:space="preserve"> = .06, </w:t>
      </w:r>
      <w:r w:rsidR="008E6DE0" w:rsidRPr="00F07407">
        <w:rPr>
          <w:i/>
          <w:iCs/>
          <w:lang w:eastAsia="zh-HK"/>
        </w:rPr>
        <w:t>R</w:t>
      </w:r>
      <w:r w:rsidR="008E6DE0" w:rsidRPr="00F07407">
        <w:rPr>
          <w:i/>
          <w:iCs/>
          <w:vertAlign w:val="superscript"/>
          <w:lang w:eastAsia="zh-HK"/>
        </w:rPr>
        <w:t>2</w:t>
      </w:r>
      <w:r w:rsidR="008E6DE0" w:rsidRPr="00F07407">
        <w:rPr>
          <w:i/>
          <w:iCs/>
          <w:lang w:eastAsia="zh-HK"/>
        </w:rPr>
        <w:t xml:space="preserve"> </w:t>
      </w:r>
      <w:r w:rsidR="008E6DE0" w:rsidRPr="00F07407">
        <w:rPr>
          <w:i/>
          <w:iCs/>
          <w:vertAlign w:val="subscript"/>
          <w:lang w:eastAsia="zh-HK"/>
        </w:rPr>
        <w:t>T2 Social mastery motivation</w:t>
      </w:r>
      <w:r w:rsidR="008E6DE0" w:rsidRPr="00F07407">
        <w:rPr>
          <w:lang w:eastAsia="zh-HK"/>
        </w:rPr>
        <w:t xml:space="preserve"> = .03, </w:t>
      </w:r>
      <w:r w:rsidR="008E6DE0" w:rsidRPr="00F07407">
        <w:rPr>
          <w:i/>
          <w:iCs/>
          <w:lang w:eastAsia="zh-HK"/>
        </w:rPr>
        <w:t>R</w:t>
      </w:r>
      <w:r w:rsidR="008E6DE0" w:rsidRPr="00F07407">
        <w:rPr>
          <w:i/>
          <w:iCs/>
          <w:vertAlign w:val="superscript"/>
          <w:lang w:eastAsia="zh-HK"/>
        </w:rPr>
        <w:t>2</w:t>
      </w:r>
      <w:r w:rsidR="008E6DE0" w:rsidRPr="00F07407">
        <w:rPr>
          <w:i/>
          <w:iCs/>
          <w:lang w:eastAsia="zh-HK"/>
        </w:rPr>
        <w:t xml:space="preserve"> </w:t>
      </w:r>
      <w:r w:rsidR="008E6DE0" w:rsidRPr="00F07407">
        <w:rPr>
          <w:i/>
          <w:iCs/>
          <w:vertAlign w:val="subscript"/>
          <w:lang w:eastAsia="zh-HK"/>
        </w:rPr>
        <w:t>T2 School readiness</w:t>
      </w:r>
      <w:r w:rsidR="008E6DE0" w:rsidRPr="00F07407">
        <w:rPr>
          <w:lang w:eastAsia="zh-HK"/>
        </w:rPr>
        <w:t xml:space="preserve"> = .64.</w:t>
      </w:r>
      <w:r w:rsidR="003C0D0A" w:rsidRPr="00F07407">
        <w:rPr>
          <w:lang w:eastAsia="zh-HK"/>
        </w:rPr>
        <w:t xml:space="preserve"> </w:t>
      </w:r>
      <w:r w:rsidR="008E6DE0" w:rsidRPr="00F07407">
        <w:rPr>
          <w:lang w:eastAsia="zh-HK"/>
        </w:rPr>
        <w:t>Object and social mastery motivation at time 2</w:t>
      </w:r>
      <w:r w:rsidR="003C0D0A" w:rsidRPr="00F07407">
        <w:rPr>
          <w:lang w:eastAsia="zh-HK"/>
        </w:rPr>
        <w:t xml:space="preserve"> were significantly associated </w:t>
      </w:r>
      <w:r w:rsidR="003C0D0A" w:rsidRPr="00F07407">
        <w:t>(</w:t>
      </w:r>
      <w:r w:rsidR="003C0D0A" w:rsidRPr="00F07407">
        <w:rPr>
          <w:i/>
        </w:rPr>
        <w:t>r</w:t>
      </w:r>
      <w:r w:rsidR="003C0D0A" w:rsidRPr="00F07407">
        <w:t xml:space="preserve"> = .</w:t>
      </w:r>
      <w:r w:rsidR="008E6DE0" w:rsidRPr="00F07407">
        <w:t>69</w:t>
      </w:r>
      <w:r w:rsidR="003C0D0A" w:rsidRPr="00F07407">
        <w:t xml:space="preserve">, </w:t>
      </w:r>
      <w:r w:rsidR="003C0D0A" w:rsidRPr="00F07407">
        <w:rPr>
          <w:i/>
        </w:rPr>
        <w:t>p</w:t>
      </w:r>
      <w:r w:rsidR="003C0D0A" w:rsidRPr="00F07407">
        <w:t xml:space="preserve"> &lt; .0</w:t>
      </w:r>
      <w:r w:rsidR="008E6DE0" w:rsidRPr="00F07407">
        <w:t>0</w:t>
      </w:r>
      <w:r w:rsidR="003C0D0A" w:rsidRPr="00F07407">
        <w:t xml:space="preserve">1). The path from </w:t>
      </w:r>
      <w:r w:rsidR="008E6DE0" w:rsidRPr="00F07407">
        <w:t xml:space="preserve">home play opportunity to </w:t>
      </w:r>
      <w:r w:rsidR="007C4CC0" w:rsidRPr="00F07407">
        <w:t xml:space="preserve">later </w:t>
      </w:r>
      <w:r w:rsidR="008E6DE0" w:rsidRPr="00F07407">
        <w:t xml:space="preserve">object mastery motivation </w:t>
      </w:r>
      <w:r w:rsidR="008E6DE0" w:rsidRPr="00F07407">
        <w:rPr>
          <w:lang w:eastAsia="zh-HK"/>
        </w:rPr>
        <w:t>was significant</w:t>
      </w:r>
      <w:r w:rsidR="00200709" w:rsidRPr="00F07407">
        <w:rPr>
          <w:lang w:eastAsia="zh-HK"/>
        </w:rPr>
        <w:t xml:space="preserve"> (</w:t>
      </w:r>
      <w:r w:rsidR="00200709" w:rsidRPr="00F07407">
        <w:rPr>
          <w:i/>
        </w:rPr>
        <w:t>β</w:t>
      </w:r>
      <w:r w:rsidR="00200709" w:rsidRPr="00F07407">
        <w:rPr>
          <w:lang w:eastAsia="zh-HK"/>
        </w:rPr>
        <w:t xml:space="preserve"> = .24, </w:t>
      </w:r>
      <w:r w:rsidR="00200709" w:rsidRPr="00F07407">
        <w:rPr>
          <w:i/>
          <w:lang w:eastAsia="zh-HK"/>
        </w:rPr>
        <w:t>SE</w:t>
      </w:r>
      <w:r w:rsidR="00200709" w:rsidRPr="00F07407">
        <w:rPr>
          <w:lang w:eastAsia="zh-HK"/>
        </w:rPr>
        <w:t xml:space="preserve"> = .10, </w:t>
      </w:r>
      <w:r w:rsidR="00200709" w:rsidRPr="00F07407">
        <w:rPr>
          <w:i/>
          <w:lang w:eastAsia="zh-HK"/>
        </w:rPr>
        <w:t>p</w:t>
      </w:r>
      <w:r w:rsidR="00200709" w:rsidRPr="00F07407">
        <w:rPr>
          <w:lang w:eastAsia="zh-HK"/>
        </w:rPr>
        <w:t xml:space="preserve"> &lt; .05)</w:t>
      </w:r>
      <w:r w:rsidR="008E6DE0" w:rsidRPr="00F07407">
        <w:rPr>
          <w:lang w:eastAsia="zh-HK"/>
        </w:rPr>
        <w:t xml:space="preserve">, </w:t>
      </w:r>
      <w:r w:rsidR="008E6DE0" w:rsidRPr="00F07407">
        <w:t xml:space="preserve">but </w:t>
      </w:r>
      <w:r w:rsidR="0016206A" w:rsidRPr="00F07407">
        <w:t>the one</w:t>
      </w:r>
      <w:r w:rsidR="008E6DE0" w:rsidRPr="00F07407">
        <w:t xml:space="preserve"> to social mastery motivation </w:t>
      </w:r>
      <w:r w:rsidR="0016206A" w:rsidRPr="00F07407">
        <w:t xml:space="preserve">was </w:t>
      </w:r>
      <w:r w:rsidR="00AD0F96" w:rsidRPr="00F07407">
        <w:t>non-significant</w:t>
      </w:r>
      <w:r w:rsidR="00200709" w:rsidRPr="00F07407">
        <w:t xml:space="preserve"> </w:t>
      </w:r>
      <w:r w:rsidR="00200709" w:rsidRPr="00F07407">
        <w:rPr>
          <w:lang w:eastAsia="zh-HK"/>
        </w:rPr>
        <w:t>(</w:t>
      </w:r>
      <w:r w:rsidR="00200709" w:rsidRPr="00F07407">
        <w:rPr>
          <w:i/>
        </w:rPr>
        <w:t>β</w:t>
      </w:r>
      <w:r w:rsidR="00200709" w:rsidRPr="00F07407">
        <w:rPr>
          <w:lang w:eastAsia="zh-HK"/>
        </w:rPr>
        <w:t xml:space="preserve"> = .17, </w:t>
      </w:r>
      <w:r w:rsidR="00200709" w:rsidRPr="00F07407">
        <w:rPr>
          <w:i/>
          <w:lang w:eastAsia="zh-HK"/>
        </w:rPr>
        <w:t>SE</w:t>
      </w:r>
      <w:r w:rsidR="00200709" w:rsidRPr="00F07407">
        <w:rPr>
          <w:lang w:eastAsia="zh-HK"/>
        </w:rPr>
        <w:t xml:space="preserve"> = .10, </w:t>
      </w:r>
      <w:r w:rsidR="00200709" w:rsidRPr="00F07407">
        <w:rPr>
          <w:i/>
          <w:lang w:eastAsia="zh-HK"/>
        </w:rPr>
        <w:t>p</w:t>
      </w:r>
      <w:r w:rsidR="00200709" w:rsidRPr="00F07407">
        <w:rPr>
          <w:lang w:eastAsia="zh-HK"/>
        </w:rPr>
        <w:t xml:space="preserve"> = .06)</w:t>
      </w:r>
      <w:r w:rsidR="0016206A" w:rsidRPr="00F07407">
        <w:t xml:space="preserve">. </w:t>
      </w:r>
      <w:r w:rsidR="00646315" w:rsidRPr="00F07407">
        <w:t>Additionally, the path</w:t>
      </w:r>
      <w:r w:rsidR="0016206A" w:rsidRPr="00F07407">
        <w:t>s</w:t>
      </w:r>
      <w:r w:rsidR="00646315" w:rsidRPr="00F07407">
        <w:t xml:space="preserve"> from </w:t>
      </w:r>
      <w:r w:rsidR="0016206A" w:rsidRPr="00F07407">
        <w:t xml:space="preserve">object </w:t>
      </w:r>
      <w:r w:rsidR="0016206A" w:rsidRPr="00F07407">
        <w:rPr>
          <w:lang w:eastAsia="zh-HK"/>
        </w:rPr>
        <w:t>(</w:t>
      </w:r>
      <w:r w:rsidR="0016206A" w:rsidRPr="00F07407">
        <w:rPr>
          <w:i/>
        </w:rPr>
        <w:t>β</w:t>
      </w:r>
      <w:r w:rsidR="0016206A" w:rsidRPr="00F07407">
        <w:rPr>
          <w:lang w:eastAsia="zh-HK"/>
        </w:rPr>
        <w:t xml:space="preserve"> = .64, </w:t>
      </w:r>
      <w:r w:rsidR="0016206A" w:rsidRPr="00F07407">
        <w:rPr>
          <w:i/>
          <w:lang w:eastAsia="zh-HK"/>
        </w:rPr>
        <w:t>SE</w:t>
      </w:r>
      <w:r w:rsidR="0016206A" w:rsidRPr="00F07407">
        <w:rPr>
          <w:lang w:eastAsia="zh-HK"/>
        </w:rPr>
        <w:t xml:space="preserve"> = .08, </w:t>
      </w:r>
      <w:r w:rsidR="0016206A" w:rsidRPr="00F07407">
        <w:rPr>
          <w:i/>
          <w:lang w:eastAsia="zh-HK"/>
        </w:rPr>
        <w:t>p</w:t>
      </w:r>
      <w:r w:rsidR="0016206A" w:rsidRPr="00F07407">
        <w:rPr>
          <w:lang w:eastAsia="zh-HK"/>
        </w:rPr>
        <w:t xml:space="preserve"> &lt; .001) </w:t>
      </w:r>
      <w:r w:rsidR="0016206A" w:rsidRPr="00F07407">
        <w:t xml:space="preserve">and </w:t>
      </w:r>
      <w:r w:rsidR="00646315" w:rsidRPr="00F07407">
        <w:t xml:space="preserve">social </w:t>
      </w:r>
      <w:r w:rsidR="0016206A" w:rsidRPr="00F07407">
        <w:rPr>
          <w:lang w:eastAsia="zh-HK"/>
        </w:rPr>
        <w:t>(</w:t>
      </w:r>
      <w:r w:rsidR="0016206A" w:rsidRPr="00F07407">
        <w:rPr>
          <w:i/>
        </w:rPr>
        <w:t>β</w:t>
      </w:r>
      <w:r w:rsidR="0016206A" w:rsidRPr="00F07407">
        <w:rPr>
          <w:lang w:eastAsia="zh-HK"/>
        </w:rPr>
        <w:t xml:space="preserve"> = .19, </w:t>
      </w:r>
      <w:r w:rsidR="0016206A" w:rsidRPr="00F07407">
        <w:rPr>
          <w:i/>
          <w:lang w:eastAsia="zh-HK"/>
        </w:rPr>
        <w:t>SE</w:t>
      </w:r>
      <w:r w:rsidR="0016206A" w:rsidRPr="00F07407">
        <w:rPr>
          <w:lang w:eastAsia="zh-HK"/>
        </w:rPr>
        <w:t xml:space="preserve"> = .08, </w:t>
      </w:r>
      <w:r w:rsidR="0016206A" w:rsidRPr="00F07407">
        <w:rPr>
          <w:i/>
          <w:lang w:eastAsia="zh-HK"/>
        </w:rPr>
        <w:t>p</w:t>
      </w:r>
      <w:r w:rsidR="0016206A" w:rsidRPr="00F07407">
        <w:rPr>
          <w:lang w:eastAsia="zh-HK"/>
        </w:rPr>
        <w:t xml:space="preserve"> &lt; .05) </w:t>
      </w:r>
      <w:r w:rsidR="00646315" w:rsidRPr="00F07407">
        <w:t xml:space="preserve">mastery motivation to </w:t>
      </w:r>
      <w:r w:rsidR="002924AD" w:rsidRPr="00F07407">
        <w:t>concurrent</w:t>
      </w:r>
      <w:r w:rsidR="0016206A" w:rsidRPr="00F07407">
        <w:t xml:space="preserve"> school readiness</w:t>
      </w:r>
      <w:r w:rsidR="00646315" w:rsidRPr="00F07407">
        <w:t xml:space="preserve"> </w:t>
      </w:r>
      <w:r w:rsidR="0016206A" w:rsidRPr="00F07407">
        <w:t xml:space="preserve">were </w:t>
      </w:r>
      <w:r w:rsidR="00646315" w:rsidRPr="00F07407">
        <w:t>significant</w:t>
      </w:r>
      <w:r w:rsidR="00E777E8" w:rsidRPr="00F07407">
        <w:rPr>
          <w:lang w:eastAsia="zh-HK"/>
        </w:rPr>
        <w:t>, whereas t</w:t>
      </w:r>
      <w:r w:rsidR="00E777E8" w:rsidRPr="00F07407">
        <w:t>he direct path from home play opportunity to school readiness was non-significant</w:t>
      </w:r>
      <w:r w:rsidR="001441F6" w:rsidRPr="00F07407">
        <w:t xml:space="preserve"> </w:t>
      </w:r>
      <w:r w:rsidR="001441F6" w:rsidRPr="00F07407">
        <w:rPr>
          <w:lang w:eastAsia="zh-HK"/>
        </w:rPr>
        <w:t>(</w:t>
      </w:r>
      <w:r w:rsidR="001441F6" w:rsidRPr="00F07407">
        <w:rPr>
          <w:i/>
        </w:rPr>
        <w:t>β</w:t>
      </w:r>
      <w:r w:rsidR="001441F6" w:rsidRPr="00F07407">
        <w:rPr>
          <w:lang w:eastAsia="zh-HK"/>
        </w:rPr>
        <w:t xml:space="preserve"> = .01, </w:t>
      </w:r>
      <w:r w:rsidR="001441F6" w:rsidRPr="00F07407">
        <w:rPr>
          <w:i/>
          <w:lang w:eastAsia="zh-HK"/>
        </w:rPr>
        <w:t>SE</w:t>
      </w:r>
      <w:r w:rsidR="001441F6" w:rsidRPr="00F07407">
        <w:rPr>
          <w:lang w:eastAsia="zh-HK"/>
        </w:rPr>
        <w:t xml:space="preserve"> = .06, </w:t>
      </w:r>
      <w:r w:rsidR="001441F6" w:rsidRPr="00F07407">
        <w:rPr>
          <w:i/>
          <w:lang w:eastAsia="zh-HK"/>
        </w:rPr>
        <w:t>ns</w:t>
      </w:r>
      <w:r w:rsidR="001441F6" w:rsidRPr="00F07407">
        <w:rPr>
          <w:lang w:eastAsia="zh-HK"/>
        </w:rPr>
        <w:t>)</w:t>
      </w:r>
      <w:r w:rsidR="00E777E8" w:rsidRPr="00F07407">
        <w:t xml:space="preserve">. </w:t>
      </w:r>
      <w:r w:rsidR="00646315" w:rsidRPr="00F07407">
        <w:rPr>
          <w:lang w:eastAsia="zh-HK"/>
        </w:rPr>
        <w:t xml:space="preserve">The indirect relationship between </w:t>
      </w:r>
      <w:r w:rsidR="007C4CC0" w:rsidRPr="00F07407">
        <w:rPr>
          <w:lang w:eastAsia="zh-HK"/>
        </w:rPr>
        <w:t>home play opportunity and school readiness</w:t>
      </w:r>
      <w:r w:rsidR="00646315" w:rsidRPr="00F07407">
        <w:rPr>
          <w:lang w:eastAsia="zh-HK"/>
        </w:rPr>
        <w:t xml:space="preserve"> as mediated through </w:t>
      </w:r>
      <w:r w:rsidR="007C4CC0" w:rsidRPr="00F07407">
        <w:rPr>
          <w:lang w:eastAsia="zh-HK"/>
        </w:rPr>
        <w:t>object</w:t>
      </w:r>
      <w:r w:rsidR="00646315" w:rsidRPr="00F07407">
        <w:rPr>
          <w:lang w:eastAsia="zh-HK"/>
        </w:rPr>
        <w:t xml:space="preserve"> mastery motivation was significant (indirect effect: </w:t>
      </w:r>
      <w:r w:rsidR="00646315" w:rsidRPr="00F07407">
        <w:rPr>
          <w:i/>
          <w:iCs/>
          <w:lang w:eastAsia="zh-HK"/>
        </w:rPr>
        <w:t xml:space="preserve">β </w:t>
      </w:r>
      <w:r w:rsidR="00646315" w:rsidRPr="00F07407">
        <w:rPr>
          <w:lang w:eastAsia="zh-HK"/>
        </w:rPr>
        <w:t>= .</w:t>
      </w:r>
      <w:r w:rsidR="007C4CC0" w:rsidRPr="00F07407">
        <w:rPr>
          <w:lang w:eastAsia="zh-HK"/>
        </w:rPr>
        <w:t>15</w:t>
      </w:r>
      <w:r w:rsidR="00646315" w:rsidRPr="00F07407">
        <w:rPr>
          <w:lang w:eastAsia="zh-HK"/>
        </w:rPr>
        <w:t xml:space="preserve">, </w:t>
      </w:r>
      <w:r w:rsidR="00646315" w:rsidRPr="00F07407">
        <w:rPr>
          <w:i/>
          <w:lang w:eastAsia="zh-HK"/>
        </w:rPr>
        <w:t>SE</w:t>
      </w:r>
      <w:r w:rsidR="00646315" w:rsidRPr="00F07407">
        <w:rPr>
          <w:lang w:eastAsia="zh-HK"/>
        </w:rPr>
        <w:t xml:space="preserve"> = .0</w:t>
      </w:r>
      <w:r w:rsidR="007C4CC0" w:rsidRPr="00F07407">
        <w:rPr>
          <w:lang w:eastAsia="zh-HK"/>
        </w:rPr>
        <w:t>6</w:t>
      </w:r>
      <w:r w:rsidR="00646315" w:rsidRPr="00F07407">
        <w:rPr>
          <w:lang w:eastAsia="zh-HK"/>
        </w:rPr>
        <w:t xml:space="preserve">, </w:t>
      </w:r>
      <w:r w:rsidR="00646315" w:rsidRPr="00F07407">
        <w:rPr>
          <w:i/>
          <w:iCs/>
          <w:lang w:eastAsia="zh-HK"/>
        </w:rPr>
        <w:t>p</w:t>
      </w:r>
      <w:r w:rsidR="00646315" w:rsidRPr="00F07407">
        <w:rPr>
          <w:lang w:eastAsia="zh-HK"/>
        </w:rPr>
        <w:t xml:space="preserve"> &lt; .0</w:t>
      </w:r>
      <w:r w:rsidR="007C4CC0" w:rsidRPr="00F07407">
        <w:rPr>
          <w:lang w:eastAsia="zh-HK"/>
        </w:rPr>
        <w:t>5</w:t>
      </w:r>
      <w:r w:rsidR="00646315" w:rsidRPr="00F07407">
        <w:rPr>
          <w:lang w:eastAsia="zh-HK"/>
        </w:rPr>
        <w:t>)</w:t>
      </w:r>
      <w:r w:rsidR="00201648" w:rsidRPr="00F07407">
        <w:rPr>
          <w:lang w:eastAsia="zh-HK"/>
        </w:rPr>
        <w:t xml:space="preserve">, </w:t>
      </w:r>
      <w:r w:rsidR="007C4CC0" w:rsidRPr="00F07407">
        <w:rPr>
          <w:lang w:eastAsia="zh-HK"/>
        </w:rPr>
        <w:t xml:space="preserve">but the one via social mastery motivation was non-significant (indirect effect: </w:t>
      </w:r>
      <w:r w:rsidR="007C4CC0" w:rsidRPr="00F07407">
        <w:rPr>
          <w:i/>
          <w:iCs/>
          <w:lang w:eastAsia="zh-HK"/>
        </w:rPr>
        <w:t xml:space="preserve">β </w:t>
      </w:r>
      <w:r w:rsidR="007C4CC0" w:rsidRPr="00F07407">
        <w:rPr>
          <w:lang w:eastAsia="zh-HK"/>
        </w:rPr>
        <w:t xml:space="preserve">= .03, </w:t>
      </w:r>
      <w:r w:rsidR="007C4CC0" w:rsidRPr="00F07407">
        <w:rPr>
          <w:i/>
          <w:lang w:eastAsia="zh-HK"/>
        </w:rPr>
        <w:t>SE</w:t>
      </w:r>
      <w:r w:rsidR="007C4CC0" w:rsidRPr="00F07407">
        <w:rPr>
          <w:lang w:eastAsia="zh-HK"/>
        </w:rPr>
        <w:t xml:space="preserve"> = .02, </w:t>
      </w:r>
      <w:r w:rsidR="007C4CC0" w:rsidRPr="00F07407">
        <w:rPr>
          <w:i/>
          <w:iCs/>
          <w:lang w:eastAsia="zh-HK"/>
        </w:rPr>
        <w:t>ns</w:t>
      </w:r>
      <w:r w:rsidR="007C4CC0" w:rsidRPr="00F07407">
        <w:rPr>
          <w:lang w:eastAsia="zh-HK"/>
        </w:rPr>
        <w:t>)</w:t>
      </w:r>
      <w:r w:rsidR="00646315" w:rsidRPr="00F07407">
        <w:rPr>
          <w:lang w:eastAsia="zh-HK"/>
        </w:rPr>
        <w:t>.</w:t>
      </w:r>
    </w:p>
    <w:p w14:paraId="3B5F60C7" w14:textId="77777777" w:rsidR="002A2EB7" w:rsidRPr="00F07407" w:rsidRDefault="002A2EB7" w:rsidP="002A2EB7">
      <w:pPr>
        <w:spacing w:line="480" w:lineRule="auto"/>
        <w:jc w:val="center"/>
        <w:rPr>
          <w:b/>
          <w:bCs/>
          <w:lang w:eastAsia="zh-HK"/>
        </w:rPr>
      </w:pPr>
      <w:r w:rsidRPr="00F07407">
        <w:rPr>
          <w:b/>
          <w:bCs/>
          <w:lang w:eastAsia="zh-HK"/>
        </w:rPr>
        <w:t>Discussion</w:t>
      </w:r>
    </w:p>
    <w:p w14:paraId="551078CD" w14:textId="77777777" w:rsidR="002A2EB7" w:rsidRPr="00F07407" w:rsidRDefault="007C4A0E" w:rsidP="00646315">
      <w:pPr>
        <w:spacing w:line="480" w:lineRule="auto"/>
        <w:ind w:firstLine="567"/>
        <w:rPr>
          <w:lang w:eastAsia="zh-HK"/>
        </w:rPr>
      </w:pPr>
      <w:r w:rsidRPr="00F07407">
        <w:rPr>
          <w:lang w:eastAsia="zh-HK"/>
        </w:rPr>
        <w:t xml:space="preserve">The present study examined </w:t>
      </w:r>
      <w:r w:rsidR="00B37766" w:rsidRPr="00F07407">
        <w:rPr>
          <w:lang w:eastAsia="zh-HK"/>
        </w:rPr>
        <w:t xml:space="preserve">the relationship between kindergarten children’s home play opportunity and their subsequent school readiness by considering their object and social mastery motivation as </w:t>
      </w:r>
      <w:r w:rsidR="00891F50">
        <w:rPr>
          <w:lang w:eastAsia="zh-HK"/>
        </w:rPr>
        <w:t xml:space="preserve">possible </w:t>
      </w:r>
      <w:r w:rsidR="00891F50" w:rsidRPr="00F07407">
        <w:rPr>
          <w:lang w:eastAsia="zh-HK"/>
        </w:rPr>
        <w:t>mediators</w:t>
      </w:r>
      <w:r w:rsidRPr="00F07407">
        <w:rPr>
          <w:lang w:eastAsia="zh-HK"/>
        </w:rPr>
        <w:t xml:space="preserve">. The results revealed </w:t>
      </w:r>
      <w:r w:rsidR="00677A85" w:rsidRPr="00F07407">
        <w:rPr>
          <w:lang w:eastAsia="zh-HK"/>
        </w:rPr>
        <w:t xml:space="preserve">that </w:t>
      </w:r>
      <w:r w:rsidR="00A91899" w:rsidRPr="00F07407">
        <w:rPr>
          <w:lang w:eastAsia="zh-HK"/>
        </w:rPr>
        <w:t>children with increased home play opportunity may show advanced school readiness through a better development in object mastery motivation.</w:t>
      </w:r>
      <w:r w:rsidR="00677A85" w:rsidRPr="00F07407">
        <w:rPr>
          <w:lang w:eastAsia="zh-HK"/>
        </w:rPr>
        <w:t xml:space="preserve"> </w:t>
      </w:r>
      <w:r w:rsidR="006A65C1" w:rsidRPr="00F07407">
        <w:rPr>
          <w:lang w:eastAsia="zh-HK"/>
        </w:rPr>
        <w:t>Moreover</w:t>
      </w:r>
      <w:r w:rsidR="00201648" w:rsidRPr="00F07407">
        <w:rPr>
          <w:lang w:eastAsia="zh-HK"/>
        </w:rPr>
        <w:t xml:space="preserve">, </w:t>
      </w:r>
      <w:r w:rsidR="00677A85" w:rsidRPr="00F07407">
        <w:rPr>
          <w:lang w:eastAsia="zh-HK"/>
        </w:rPr>
        <w:t xml:space="preserve">children’s social mastery motivation uniquely predicted </w:t>
      </w:r>
      <w:r w:rsidR="00677A85" w:rsidRPr="00F07407">
        <w:rPr>
          <w:lang w:eastAsia="zh-HK"/>
        </w:rPr>
        <w:lastRenderedPageBreak/>
        <w:t xml:space="preserve">their school readiness, above and beyond the potential impact of object mastery motivation. </w:t>
      </w:r>
      <w:r w:rsidR="00201648" w:rsidRPr="00F07407">
        <w:rPr>
          <w:lang w:eastAsia="zh-HK"/>
        </w:rPr>
        <w:t xml:space="preserve">The present findings have expanded the existing studies (e.g., </w:t>
      </w:r>
      <w:r w:rsidR="008E3FF4" w:rsidRPr="00F07407">
        <w:rPr>
          <w:lang w:eastAsia="zh-HK"/>
        </w:rPr>
        <w:t xml:space="preserve">Fung &amp; Chung, </w:t>
      </w:r>
      <w:r w:rsidR="009D5354" w:rsidRPr="00F07407">
        <w:rPr>
          <w:lang w:eastAsia="zh-HK"/>
        </w:rPr>
        <w:t>2019</w:t>
      </w:r>
      <w:r w:rsidR="008972EE" w:rsidRPr="00F07407">
        <w:rPr>
          <w:lang w:eastAsia="zh-HK"/>
        </w:rPr>
        <w:t>a</w:t>
      </w:r>
      <w:r w:rsidR="008E3FF4" w:rsidRPr="00F07407">
        <w:rPr>
          <w:lang w:eastAsia="zh-HK"/>
        </w:rPr>
        <w:t xml:space="preserve">; </w:t>
      </w:r>
      <w:r w:rsidR="008E3FF4" w:rsidRPr="00F07407">
        <w:t xml:space="preserve">Józsa &amp; Barrett, 2018; </w:t>
      </w:r>
      <w:r w:rsidR="008E3FF4" w:rsidRPr="00F07407">
        <w:rPr>
          <w:lang w:eastAsia="zh-HK"/>
        </w:rPr>
        <w:t>Lunkenheimer &amp; Wang, 2017</w:t>
      </w:r>
      <w:r w:rsidR="00871BC9" w:rsidRPr="00F07407">
        <w:rPr>
          <w:lang w:eastAsia="zh-HK"/>
        </w:rPr>
        <w:t xml:space="preserve">; </w:t>
      </w:r>
      <w:r w:rsidR="00C11145" w:rsidRPr="00F07407">
        <w:rPr>
          <w:lang w:eastAsia="zh-HK"/>
        </w:rPr>
        <w:t xml:space="preserve">MacPhee et al., 2018; </w:t>
      </w:r>
      <w:r w:rsidR="00871BC9" w:rsidRPr="00F07407">
        <w:rPr>
          <w:lang w:eastAsia="zh-HK"/>
        </w:rPr>
        <w:t xml:space="preserve">Martin et al., 2013; </w:t>
      </w:r>
      <w:r w:rsidR="00201648" w:rsidRPr="00F07407">
        <w:rPr>
          <w:lang w:eastAsia="zh-HK"/>
        </w:rPr>
        <w:t>) by</w:t>
      </w:r>
      <w:r w:rsidR="00F02D28" w:rsidRPr="00F07407">
        <w:rPr>
          <w:lang w:eastAsia="zh-HK"/>
        </w:rPr>
        <w:t xml:space="preserve"> demonstrating the </w:t>
      </w:r>
      <w:r w:rsidR="005A0CE5" w:rsidRPr="00F07407">
        <w:rPr>
          <w:lang w:eastAsia="zh-HK"/>
        </w:rPr>
        <w:t>relationships</w:t>
      </w:r>
      <w:r w:rsidR="00F02D28" w:rsidRPr="00F07407">
        <w:rPr>
          <w:lang w:eastAsia="zh-HK"/>
        </w:rPr>
        <w:t xml:space="preserve"> </w:t>
      </w:r>
      <w:r w:rsidR="00677A85" w:rsidRPr="00F07407">
        <w:rPr>
          <w:lang w:eastAsia="zh-HK"/>
        </w:rPr>
        <w:t>between</w:t>
      </w:r>
      <w:r w:rsidR="00F02D28" w:rsidRPr="00F07407">
        <w:rPr>
          <w:lang w:eastAsia="zh-HK"/>
        </w:rPr>
        <w:t xml:space="preserve"> a diverse and accessible home play </w:t>
      </w:r>
      <w:r w:rsidR="005A0CE5" w:rsidRPr="00F07407">
        <w:rPr>
          <w:lang w:eastAsia="zh-HK"/>
        </w:rPr>
        <w:t>environment</w:t>
      </w:r>
      <w:r w:rsidR="00F02D28" w:rsidRPr="00F07407">
        <w:rPr>
          <w:lang w:eastAsia="zh-HK"/>
        </w:rPr>
        <w:t xml:space="preserve"> </w:t>
      </w:r>
      <w:r w:rsidR="00677A85" w:rsidRPr="00F07407">
        <w:rPr>
          <w:lang w:eastAsia="zh-HK"/>
        </w:rPr>
        <w:t>and</w:t>
      </w:r>
      <w:r w:rsidR="00F02D28" w:rsidRPr="00F07407">
        <w:rPr>
          <w:lang w:eastAsia="zh-HK"/>
        </w:rPr>
        <w:t xml:space="preserve"> children’s </w:t>
      </w:r>
      <w:r w:rsidR="0059420E" w:rsidRPr="00F07407">
        <w:rPr>
          <w:lang w:eastAsia="zh-HK"/>
        </w:rPr>
        <w:t xml:space="preserve">mastery motivation and </w:t>
      </w:r>
      <w:r w:rsidR="00F02D28" w:rsidRPr="00F07407">
        <w:rPr>
          <w:lang w:eastAsia="zh-HK"/>
        </w:rPr>
        <w:t>school readiness. The results also</w:t>
      </w:r>
      <w:r w:rsidR="00201648" w:rsidRPr="00F07407">
        <w:rPr>
          <w:lang w:eastAsia="zh-HK"/>
        </w:rPr>
        <w:t xml:space="preserve"> </w:t>
      </w:r>
      <w:r w:rsidR="00DB0D3A" w:rsidRPr="00F07407">
        <w:rPr>
          <w:lang w:eastAsia="zh-HK"/>
        </w:rPr>
        <w:t>disentangl</w:t>
      </w:r>
      <w:r w:rsidR="00F02D28" w:rsidRPr="00F07407">
        <w:rPr>
          <w:lang w:eastAsia="zh-HK"/>
        </w:rPr>
        <w:t xml:space="preserve">ed the </w:t>
      </w:r>
      <w:r w:rsidR="00491858" w:rsidRPr="00F07407">
        <w:rPr>
          <w:lang w:eastAsia="zh-HK"/>
        </w:rPr>
        <w:t>positive links</w:t>
      </w:r>
      <w:r w:rsidR="009D5354" w:rsidRPr="00F07407">
        <w:rPr>
          <w:lang w:eastAsia="zh-HK"/>
        </w:rPr>
        <w:t xml:space="preserve"> of</w:t>
      </w:r>
      <w:r w:rsidR="00F02D28" w:rsidRPr="00F07407">
        <w:rPr>
          <w:lang w:eastAsia="zh-HK"/>
        </w:rPr>
        <w:t xml:space="preserve"> object and social mastery motivation </w:t>
      </w:r>
      <w:r w:rsidR="00491858" w:rsidRPr="00F07407">
        <w:rPr>
          <w:lang w:eastAsia="zh-HK"/>
        </w:rPr>
        <w:t>with</w:t>
      </w:r>
      <w:r w:rsidR="00F02D28" w:rsidRPr="00F07407">
        <w:rPr>
          <w:lang w:eastAsia="zh-HK"/>
        </w:rPr>
        <w:t xml:space="preserve"> children’s </w:t>
      </w:r>
      <w:r w:rsidR="00917B8B" w:rsidRPr="00F07407">
        <w:rPr>
          <w:lang w:eastAsia="zh-HK"/>
        </w:rPr>
        <w:t>school readiness</w:t>
      </w:r>
      <w:r w:rsidR="009D5354" w:rsidRPr="00F07407">
        <w:rPr>
          <w:lang w:eastAsia="zh-HK"/>
        </w:rPr>
        <w:t>.</w:t>
      </w:r>
    </w:p>
    <w:p w14:paraId="73F72763" w14:textId="77777777" w:rsidR="00D14531" w:rsidRPr="00F07407" w:rsidRDefault="00FD7866" w:rsidP="00831DFE">
      <w:pPr>
        <w:spacing w:line="480" w:lineRule="auto"/>
        <w:rPr>
          <w:b/>
          <w:bCs/>
          <w:lang w:eastAsia="zh-HK"/>
        </w:rPr>
      </w:pPr>
      <w:r w:rsidRPr="00F07407">
        <w:rPr>
          <w:b/>
          <w:bCs/>
          <w:lang w:eastAsia="zh-HK"/>
        </w:rPr>
        <w:t>Home play opportunity and mastery motivation</w:t>
      </w:r>
    </w:p>
    <w:p w14:paraId="6BAEF5C7" w14:textId="77777777" w:rsidR="00F95714" w:rsidRPr="00F07407" w:rsidRDefault="00D14531" w:rsidP="00646315">
      <w:pPr>
        <w:spacing w:line="480" w:lineRule="auto"/>
        <w:ind w:firstLine="567"/>
        <w:rPr>
          <w:lang w:eastAsia="zh-HK"/>
        </w:rPr>
      </w:pPr>
      <w:r w:rsidRPr="00F07407">
        <w:rPr>
          <w:lang w:eastAsia="zh-HK"/>
        </w:rPr>
        <w:t xml:space="preserve">As expected, </w:t>
      </w:r>
      <w:r w:rsidR="00125AB1" w:rsidRPr="00F07407">
        <w:rPr>
          <w:lang w:eastAsia="zh-HK"/>
        </w:rPr>
        <w:t>home play opportunity was significantly predictive of subsequent object mastery motivation</w:t>
      </w:r>
      <w:r w:rsidRPr="00F07407">
        <w:rPr>
          <w:lang w:eastAsia="zh-HK"/>
        </w:rPr>
        <w:t xml:space="preserve">. </w:t>
      </w:r>
      <w:r w:rsidR="00125AB1" w:rsidRPr="00F07407">
        <w:rPr>
          <w:lang w:eastAsia="zh-HK"/>
        </w:rPr>
        <w:t>Align</w:t>
      </w:r>
      <w:r w:rsidR="0080175B">
        <w:rPr>
          <w:color w:val="FF0000"/>
          <w:lang w:eastAsia="zh-HK"/>
        </w:rPr>
        <w:t>ed</w:t>
      </w:r>
      <w:r w:rsidR="00125AB1" w:rsidRPr="00F07407">
        <w:rPr>
          <w:lang w:eastAsia="zh-HK"/>
        </w:rPr>
        <w:t xml:space="preserve"> with Busch-Rossnagel et al.’s (1995) framework</w:t>
      </w:r>
      <w:r w:rsidR="00467326" w:rsidRPr="00F07407">
        <w:rPr>
          <w:lang w:eastAsia="zh-HK"/>
        </w:rPr>
        <w:t xml:space="preserve"> and previous findings (e.g., Wang et al., 2011)</w:t>
      </w:r>
      <w:r w:rsidR="00125AB1" w:rsidRPr="00F07407">
        <w:rPr>
          <w:lang w:eastAsia="zh-HK"/>
        </w:rPr>
        <w:t xml:space="preserve">, children with </w:t>
      </w:r>
      <w:r w:rsidR="00467326" w:rsidRPr="00F07407">
        <w:rPr>
          <w:lang w:eastAsia="zh-HK"/>
        </w:rPr>
        <w:t>increased</w:t>
      </w:r>
      <w:r w:rsidR="009A4C29" w:rsidRPr="00F07407">
        <w:rPr>
          <w:lang w:eastAsia="zh-HK"/>
        </w:rPr>
        <w:t xml:space="preserve"> exposure to a large variety of toys </w:t>
      </w:r>
      <w:r w:rsidR="00950396" w:rsidRPr="00F07407">
        <w:rPr>
          <w:lang w:eastAsia="zh-HK"/>
        </w:rPr>
        <w:t>maybe more eager to explore</w:t>
      </w:r>
      <w:r w:rsidR="009A4C29" w:rsidRPr="00F07407">
        <w:rPr>
          <w:lang w:eastAsia="zh-HK"/>
        </w:rPr>
        <w:t xml:space="preserve"> the possible effects on and feedback from the toys. </w:t>
      </w:r>
      <w:r w:rsidR="00950396" w:rsidRPr="00F07407">
        <w:rPr>
          <w:lang w:eastAsia="zh-HK"/>
        </w:rPr>
        <w:t xml:space="preserve">The exploratory processes </w:t>
      </w:r>
      <w:r w:rsidR="00F53646" w:rsidRPr="00F07407">
        <w:rPr>
          <w:lang w:eastAsia="zh-HK"/>
        </w:rPr>
        <w:t xml:space="preserve">not only </w:t>
      </w:r>
      <w:r w:rsidR="00950396" w:rsidRPr="00F07407">
        <w:rPr>
          <w:lang w:eastAsia="zh-HK"/>
        </w:rPr>
        <w:t>bring enjoyment</w:t>
      </w:r>
      <w:r w:rsidR="00F53646" w:rsidRPr="00F07407">
        <w:rPr>
          <w:lang w:eastAsia="zh-HK"/>
        </w:rPr>
        <w:t xml:space="preserve"> which reinforces </w:t>
      </w:r>
      <w:r w:rsidR="00C1752C" w:rsidRPr="00F07407">
        <w:rPr>
          <w:lang w:eastAsia="zh-HK"/>
        </w:rPr>
        <w:t>children’s</w:t>
      </w:r>
      <w:r w:rsidR="00F53646" w:rsidRPr="00F07407">
        <w:rPr>
          <w:lang w:eastAsia="zh-HK"/>
        </w:rPr>
        <w:t xml:space="preserve"> future attempt</w:t>
      </w:r>
      <w:r w:rsidR="00917528" w:rsidRPr="00F07407">
        <w:rPr>
          <w:lang w:eastAsia="zh-HK"/>
        </w:rPr>
        <w:t>s</w:t>
      </w:r>
      <w:r w:rsidR="00F53646" w:rsidRPr="00F07407">
        <w:rPr>
          <w:lang w:eastAsia="zh-HK"/>
        </w:rPr>
        <w:t xml:space="preserve">, but also </w:t>
      </w:r>
      <w:r w:rsidR="00950396" w:rsidRPr="00F07407">
        <w:rPr>
          <w:lang w:eastAsia="zh-HK"/>
        </w:rPr>
        <w:t xml:space="preserve">fulfill </w:t>
      </w:r>
      <w:r w:rsidR="00C1752C" w:rsidRPr="00F07407">
        <w:rPr>
          <w:lang w:eastAsia="zh-HK"/>
        </w:rPr>
        <w:t>their</w:t>
      </w:r>
      <w:r w:rsidR="00950396" w:rsidRPr="00F07407">
        <w:rPr>
          <w:lang w:eastAsia="zh-HK"/>
        </w:rPr>
        <w:t xml:space="preserve"> </w:t>
      </w:r>
      <w:r w:rsidR="00F53646" w:rsidRPr="00F07407">
        <w:rPr>
          <w:lang w:eastAsia="zh-HK"/>
        </w:rPr>
        <w:t>internal needs to gain competencies</w:t>
      </w:r>
      <w:r w:rsidR="008806F2" w:rsidRPr="00F07407">
        <w:rPr>
          <w:lang w:eastAsia="zh-HK"/>
        </w:rPr>
        <w:t xml:space="preserve"> (e.g., problem-solving and fine motor skills)</w:t>
      </w:r>
      <w:r w:rsidR="00F53646" w:rsidRPr="00F07407">
        <w:rPr>
          <w:lang w:eastAsia="zh-HK"/>
        </w:rPr>
        <w:t>.</w:t>
      </w:r>
      <w:r w:rsidR="00950396" w:rsidRPr="00F07407">
        <w:rPr>
          <w:lang w:eastAsia="zh-HK"/>
        </w:rPr>
        <w:t xml:space="preserve"> </w:t>
      </w:r>
      <w:r w:rsidR="006418F3" w:rsidRPr="00F07407">
        <w:rPr>
          <w:lang w:eastAsia="zh-HK"/>
        </w:rPr>
        <w:t xml:space="preserve">Therefore, these children are more likely to </w:t>
      </w:r>
      <w:r w:rsidR="00C1752C" w:rsidRPr="00F07407">
        <w:rPr>
          <w:lang w:eastAsia="zh-HK"/>
        </w:rPr>
        <w:t xml:space="preserve">exhibit </w:t>
      </w:r>
      <w:r w:rsidR="008806F2" w:rsidRPr="00F07407">
        <w:rPr>
          <w:lang w:eastAsia="zh-HK"/>
        </w:rPr>
        <w:t xml:space="preserve">higher persistence in object manipulation </w:t>
      </w:r>
      <w:r w:rsidR="00C13364" w:rsidRPr="00F07407">
        <w:rPr>
          <w:lang w:eastAsia="zh-HK"/>
        </w:rPr>
        <w:t>(i.e.,</w:t>
      </w:r>
      <w:r w:rsidR="006418F3" w:rsidRPr="00F07407">
        <w:rPr>
          <w:lang w:eastAsia="zh-HK"/>
        </w:rPr>
        <w:t xml:space="preserve"> object mastery motivation</w:t>
      </w:r>
      <w:r w:rsidR="00C13364" w:rsidRPr="00F07407">
        <w:rPr>
          <w:lang w:eastAsia="zh-HK"/>
        </w:rPr>
        <w:t>)</w:t>
      </w:r>
      <w:r w:rsidR="006418F3" w:rsidRPr="00F07407">
        <w:rPr>
          <w:lang w:eastAsia="zh-HK"/>
        </w:rPr>
        <w:t xml:space="preserve">. </w:t>
      </w:r>
      <w:r w:rsidR="00BA2EFF" w:rsidRPr="00F07407">
        <w:rPr>
          <w:lang w:eastAsia="zh-HK"/>
        </w:rPr>
        <w:t>Nevertheless</w:t>
      </w:r>
      <w:r w:rsidRPr="00F07407">
        <w:rPr>
          <w:lang w:eastAsia="zh-HK"/>
        </w:rPr>
        <w:t xml:space="preserve">, </w:t>
      </w:r>
      <w:r w:rsidR="0059420E" w:rsidRPr="00F07407">
        <w:rPr>
          <w:lang w:eastAsia="zh-HK"/>
        </w:rPr>
        <w:t xml:space="preserve">only 6% of </w:t>
      </w:r>
      <w:r w:rsidR="00552EE8" w:rsidRPr="00F07407">
        <w:rPr>
          <w:lang w:eastAsia="zh-HK"/>
        </w:rPr>
        <w:t xml:space="preserve">the </w:t>
      </w:r>
      <w:r w:rsidR="0059420E" w:rsidRPr="00F07407">
        <w:rPr>
          <w:lang w:eastAsia="zh-HK"/>
        </w:rPr>
        <w:t>variance of object mastery motivation was explained by home play opportunity</w:t>
      </w:r>
      <w:r w:rsidR="00D512E1" w:rsidRPr="00F07407">
        <w:rPr>
          <w:lang w:eastAsia="zh-HK"/>
        </w:rPr>
        <w:t>, and</w:t>
      </w:r>
      <w:r w:rsidR="0059420E" w:rsidRPr="00F07407">
        <w:rPr>
          <w:lang w:eastAsia="zh-HK"/>
        </w:rPr>
        <w:t xml:space="preserve"> </w:t>
      </w:r>
      <w:r w:rsidR="00133C0B" w:rsidRPr="00F07407">
        <w:rPr>
          <w:lang w:eastAsia="zh-HK"/>
        </w:rPr>
        <w:t xml:space="preserve">the path </w:t>
      </w:r>
      <w:r w:rsidR="000B0E1F" w:rsidRPr="00F07407">
        <w:rPr>
          <w:lang w:eastAsia="zh-HK"/>
        </w:rPr>
        <w:t xml:space="preserve">between home play opportunity and social mastery motivation </w:t>
      </w:r>
      <w:r w:rsidR="00114160" w:rsidRPr="00F07407">
        <w:rPr>
          <w:lang w:eastAsia="zh-HK"/>
        </w:rPr>
        <w:t xml:space="preserve">failed to reach statistical significance </w:t>
      </w:r>
      <w:r w:rsidR="004877B3" w:rsidRPr="00F07407">
        <w:rPr>
          <w:lang w:eastAsia="zh-HK"/>
        </w:rPr>
        <w:t>(</w:t>
      </w:r>
      <w:r w:rsidR="004877B3" w:rsidRPr="00F07407">
        <w:rPr>
          <w:i/>
          <w:iCs/>
          <w:lang w:eastAsia="zh-HK"/>
        </w:rPr>
        <w:t>p</w:t>
      </w:r>
      <w:r w:rsidR="004877B3" w:rsidRPr="00F07407">
        <w:rPr>
          <w:lang w:eastAsia="zh-HK"/>
        </w:rPr>
        <w:t xml:space="preserve"> = .06)</w:t>
      </w:r>
      <w:r w:rsidR="0059420E" w:rsidRPr="00F07407">
        <w:rPr>
          <w:lang w:eastAsia="zh-HK"/>
        </w:rPr>
        <w:t xml:space="preserve">. </w:t>
      </w:r>
      <w:r w:rsidR="00AF40DC" w:rsidRPr="00F07407">
        <w:rPr>
          <w:lang w:eastAsia="zh-HK"/>
        </w:rPr>
        <w:t xml:space="preserve">A possible reason is </w:t>
      </w:r>
      <w:r w:rsidR="004877B3" w:rsidRPr="00F07407">
        <w:rPr>
          <w:lang w:eastAsia="zh-HK"/>
        </w:rPr>
        <w:t xml:space="preserve">the current conceptualization of home play opportunity </w:t>
      </w:r>
      <w:r w:rsidR="00216B7B" w:rsidRPr="00F07407">
        <w:rPr>
          <w:lang w:eastAsia="zh-HK"/>
        </w:rPr>
        <w:t>emphasized</w:t>
      </w:r>
      <w:r w:rsidR="004877B3" w:rsidRPr="00F07407">
        <w:rPr>
          <w:lang w:eastAsia="zh-HK"/>
        </w:rPr>
        <w:t xml:space="preserve"> </w:t>
      </w:r>
      <w:r w:rsidR="00C1752C" w:rsidRPr="00F07407">
        <w:rPr>
          <w:lang w:eastAsia="zh-HK"/>
        </w:rPr>
        <w:t xml:space="preserve">the availability of playmates, and </w:t>
      </w:r>
      <w:r w:rsidR="004877B3" w:rsidRPr="00F07407">
        <w:rPr>
          <w:lang w:eastAsia="zh-HK"/>
        </w:rPr>
        <w:t xml:space="preserve">the exposure to and characteristics of toys, but </w:t>
      </w:r>
      <w:r w:rsidR="006A65C1" w:rsidRPr="00F07407">
        <w:rPr>
          <w:lang w:eastAsia="zh-HK"/>
        </w:rPr>
        <w:lastRenderedPageBreak/>
        <w:t xml:space="preserve">it </w:t>
      </w:r>
      <w:r w:rsidR="004877B3" w:rsidRPr="00F07407">
        <w:rPr>
          <w:lang w:eastAsia="zh-HK"/>
        </w:rPr>
        <w:t xml:space="preserve">did not adequately reflect </w:t>
      </w:r>
      <w:r w:rsidR="006A65C1" w:rsidRPr="00F07407">
        <w:rPr>
          <w:lang w:eastAsia="zh-HK"/>
        </w:rPr>
        <w:t>other</w:t>
      </w:r>
      <w:r w:rsidR="004877B3" w:rsidRPr="00F07407">
        <w:rPr>
          <w:lang w:eastAsia="zh-HK"/>
        </w:rPr>
        <w:t xml:space="preserve"> aspects of</w:t>
      </w:r>
      <w:r w:rsidR="00E71738" w:rsidRPr="00F07407">
        <w:rPr>
          <w:lang w:eastAsia="zh-HK"/>
        </w:rPr>
        <w:t xml:space="preserve"> the</w:t>
      </w:r>
      <w:r w:rsidR="004877B3" w:rsidRPr="00F07407">
        <w:rPr>
          <w:lang w:eastAsia="zh-HK"/>
        </w:rPr>
        <w:t xml:space="preserve"> socializing environment</w:t>
      </w:r>
      <w:r w:rsidR="009901FD" w:rsidRPr="00F07407">
        <w:rPr>
          <w:lang w:eastAsia="zh-HK"/>
        </w:rPr>
        <w:t>,</w:t>
      </w:r>
      <w:r w:rsidR="004877B3" w:rsidRPr="00F07407">
        <w:rPr>
          <w:lang w:eastAsia="zh-HK"/>
        </w:rPr>
        <w:t xml:space="preserve"> such as emotional exchanges and didactic interactions </w:t>
      </w:r>
      <w:r w:rsidR="006A65C1" w:rsidRPr="00F07407">
        <w:rPr>
          <w:lang w:eastAsia="zh-HK"/>
        </w:rPr>
        <w:t>with parents</w:t>
      </w:r>
      <w:r w:rsidR="009901FD" w:rsidRPr="00F07407">
        <w:rPr>
          <w:lang w:eastAsia="zh-HK"/>
        </w:rPr>
        <w:t>, that may scaffold children’s mastery motivation</w:t>
      </w:r>
      <w:r w:rsidR="006A65C1" w:rsidRPr="00F07407">
        <w:rPr>
          <w:lang w:eastAsia="zh-HK"/>
        </w:rPr>
        <w:t xml:space="preserve"> </w:t>
      </w:r>
      <w:r w:rsidR="004877B3" w:rsidRPr="00F07407">
        <w:rPr>
          <w:lang w:eastAsia="zh-HK"/>
        </w:rPr>
        <w:t>(Busch-Rossnagel et al., 1995)</w:t>
      </w:r>
      <w:r w:rsidR="008C278B" w:rsidRPr="00F07407">
        <w:rPr>
          <w:lang w:eastAsia="zh-HK"/>
        </w:rPr>
        <w:t xml:space="preserve">. </w:t>
      </w:r>
      <w:r w:rsidR="00D512E1" w:rsidRPr="00F07407">
        <w:rPr>
          <w:lang w:eastAsia="zh-HK"/>
        </w:rPr>
        <w:t>F</w:t>
      </w:r>
      <w:r w:rsidR="004877B3" w:rsidRPr="00F07407">
        <w:rPr>
          <w:lang w:eastAsia="zh-HK"/>
        </w:rPr>
        <w:t xml:space="preserve">uture research may consider </w:t>
      </w:r>
      <w:r w:rsidR="006A65C1" w:rsidRPr="00F07407">
        <w:rPr>
          <w:lang w:eastAsia="zh-HK"/>
        </w:rPr>
        <w:t xml:space="preserve">including multiple aspects of </w:t>
      </w:r>
      <w:r w:rsidR="00E71738" w:rsidRPr="00F07407">
        <w:rPr>
          <w:lang w:eastAsia="zh-HK"/>
        </w:rPr>
        <w:t xml:space="preserve">the </w:t>
      </w:r>
      <w:r w:rsidR="006A65C1" w:rsidRPr="00F07407">
        <w:rPr>
          <w:lang w:eastAsia="zh-HK"/>
        </w:rPr>
        <w:t>socializing environment to examine their contributions to children’s object and social mastery motivation across time.</w:t>
      </w:r>
      <w:r w:rsidR="00F25563">
        <w:rPr>
          <w:lang w:eastAsia="zh-HK"/>
        </w:rPr>
        <w:t xml:space="preserve"> </w:t>
      </w:r>
    </w:p>
    <w:p w14:paraId="3217B407" w14:textId="77777777" w:rsidR="00E777E8" w:rsidRPr="00F07407" w:rsidRDefault="00245EBB" w:rsidP="00CE4E97">
      <w:pPr>
        <w:spacing w:line="480" w:lineRule="auto"/>
        <w:rPr>
          <w:b/>
          <w:bCs/>
          <w:lang w:eastAsia="zh-HK"/>
        </w:rPr>
      </w:pPr>
      <w:r w:rsidRPr="00F07407">
        <w:rPr>
          <w:b/>
          <w:bCs/>
          <w:lang w:eastAsia="zh-HK"/>
        </w:rPr>
        <w:t>M</w:t>
      </w:r>
      <w:r w:rsidR="00E777E8" w:rsidRPr="00F07407">
        <w:rPr>
          <w:b/>
          <w:bCs/>
          <w:lang w:eastAsia="zh-HK"/>
        </w:rPr>
        <w:t>astery motivation and school readiness</w:t>
      </w:r>
    </w:p>
    <w:p w14:paraId="52623733" w14:textId="77777777" w:rsidR="00382B66" w:rsidRPr="00F07407" w:rsidRDefault="00E777E8" w:rsidP="00CE4E97">
      <w:pPr>
        <w:spacing w:line="480" w:lineRule="auto"/>
        <w:rPr>
          <w:lang w:eastAsia="zh-HK"/>
        </w:rPr>
      </w:pPr>
      <w:r w:rsidRPr="00F07407">
        <w:rPr>
          <w:b/>
          <w:bCs/>
          <w:lang w:eastAsia="zh-HK"/>
        </w:rPr>
        <w:tab/>
      </w:r>
      <w:r w:rsidR="00D512E1" w:rsidRPr="00F07407">
        <w:rPr>
          <w:lang w:eastAsia="zh-HK"/>
        </w:rPr>
        <w:t xml:space="preserve">Notably, </w:t>
      </w:r>
      <w:r w:rsidR="00833157" w:rsidRPr="00F07407">
        <w:rPr>
          <w:lang w:eastAsia="zh-HK"/>
        </w:rPr>
        <w:t xml:space="preserve">the path model explained above 60% of the variance in school readiness in these children and </w:t>
      </w:r>
      <w:r w:rsidR="00D512E1" w:rsidRPr="00F07407">
        <w:rPr>
          <w:lang w:eastAsia="zh-HK"/>
        </w:rPr>
        <w:t xml:space="preserve">the results supported the </w:t>
      </w:r>
      <w:r w:rsidR="00245EBB" w:rsidRPr="00F07407">
        <w:rPr>
          <w:lang w:eastAsia="zh-HK"/>
        </w:rPr>
        <w:t>contention</w:t>
      </w:r>
      <w:r w:rsidR="00D512E1" w:rsidRPr="00F07407">
        <w:rPr>
          <w:lang w:eastAsia="zh-HK"/>
        </w:rPr>
        <w:t xml:space="preserve"> that object and social mastery motivation are </w:t>
      </w:r>
      <w:r w:rsidR="00ED331B" w:rsidRPr="00F07407">
        <w:rPr>
          <w:lang w:eastAsia="zh-HK"/>
        </w:rPr>
        <w:t>distinct</w:t>
      </w:r>
      <w:r w:rsidR="00D512E1" w:rsidRPr="00F07407">
        <w:rPr>
          <w:lang w:eastAsia="zh-HK"/>
        </w:rPr>
        <w:t xml:space="preserve"> contributors to </w:t>
      </w:r>
      <w:r w:rsidR="000E330E" w:rsidRPr="00F07407">
        <w:rPr>
          <w:lang w:eastAsia="zh-HK"/>
        </w:rPr>
        <w:t>school readiness</w:t>
      </w:r>
      <w:r w:rsidR="00ED331B" w:rsidRPr="00F07407">
        <w:rPr>
          <w:lang w:eastAsia="zh-HK"/>
        </w:rPr>
        <w:t xml:space="preserve">. </w:t>
      </w:r>
      <w:r w:rsidR="00646EEB" w:rsidRPr="00F07407">
        <w:rPr>
          <w:lang w:eastAsia="zh-HK"/>
        </w:rPr>
        <w:t>P</w:t>
      </w:r>
      <w:r w:rsidR="000077AD" w:rsidRPr="00F07407">
        <w:rPr>
          <w:lang w:eastAsia="zh-HK"/>
        </w:rPr>
        <w:t>rior</w:t>
      </w:r>
      <w:r w:rsidR="00ED331B" w:rsidRPr="00F07407">
        <w:rPr>
          <w:lang w:eastAsia="zh-HK"/>
        </w:rPr>
        <w:t xml:space="preserve"> research investigating the link between children’s mastery motivation and school readiness has either focused on one of </w:t>
      </w:r>
      <w:r w:rsidR="00646EEB" w:rsidRPr="00F07407">
        <w:rPr>
          <w:lang w:eastAsia="zh-HK"/>
        </w:rPr>
        <w:t xml:space="preserve">these motivational factors </w:t>
      </w:r>
      <w:r w:rsidR="000077AD" w:rsidRPr="00F07407">
        <w:rPr>
          <w:lang w:eastAsia="zh-HK"/>
        </w:rPr>
        <w:t xml:space="preserve">(e.g., Gilmore et al., 2003; Józsa &amp; Barrett, 2018; </w:t>
      </w:r>
      <w:r w:rsidR="00D75FF3" w:rsidRPr="00F07407">
        <w:rPr>
          <w:lang w:eastAsia="zh-HK"/>
        </w:rPr>
        <w:t xml:space="preserve">Martin et al., 2013; </w:t>
      </w:r>
      <w:r w:rsidR="000077AD" w:rsidRPr="00F07407">
        <w:rPr>
          <w:szCs w:val="20"/>
          <w:lang w:eastAsia="zh-HK"/>
        </w:rPr>
        <w:t>Turner &amp; Johnson, 2003</w:t>
      </w:r>
      <w:r w:rsidR="00D75FF3" w:rsidRPr="00F07407">
        <w:rPr>
          <w:szCs w:val="20"/>
          <w:lang w:eastAsia="zh-HK"/>
        </w:rPr>
        <w:t>)</w:t>
      </w:r>
      <w:r w:rsidR="000077AD" w:rsidRPr="00F07407">
        <w:rPr>
          <w:szCs w:val="20"/>
          <w:lang w:eastAsia="zh-HK"/>
        </w:rPr>
        <w:t xml:space="preserve"> </w:t>
      </w:r>
      <w:r w:rsidR="00ED331B" w:rsidRPr="00F07407">
        <w:rPr>
          <w:lang w:eastAsia="zh-HK"/>
        </w:rPr>
        <w:t xml:space="preserve">or </w:t>
      </w:r>
      <w:r w:rsidR="00D75FF3" w:rsidRPr="00F07407">
        <w:rPr>
          <w:lang w:eastAsia="zh-HK"/>
        </w:rPr>
        <w:t xml:space="preserve">combined </w:t>
      </w:r>
      <w:r w:rsidR="00646EEB" w:rsidRPr="00F07407">
        <w:rPr>
          <w:lang w:eastAsia="zh-HK"/>
        </w:rPr>
        <w:t xml:space="preserve">them as a composite score </w:t>
      </w:r>
      <w:r w:rsidR="00D75FF3" w:rsidRPr="00F07407">
        <w:rPr>
          <w:lang w:eastAsia="zh-HK"/>
        </w:rPr>
        <w:t xml:space="preserve">(MacPhee et al., 2018). </w:t>
      </w:r>
      <w:r w:rsidR="00245EBB" w:rsidRPr="00F07407">
        <w:rPr>
          <w:lang w:eastAsia="zh-HK"/>
        </w:rPr>
        <w:t xml:space="preserve">In line with the emerging evidence </w:t>
      </w:r>
      <w:r w:rsidR="00C35DF0" w:rsidRPr="00F07407">
        <w:rPr>
          <w:lang w:eastAsia="zh-HK"/>
        </w:rPr>
        <w:t>suggesting</w:t>
      </w:r>
      <w:r w:rsidR="00245EBB" w:rsidRPr="00F07407">
        <w:rPr>
          <w:lang w:eastAsia="zh-HK"/>
        </w:rPr>
        <w:t xml:space="preserve"> </w:t>
      </w:r>
      <w:r w:rsidR="00C35DF0" w:rsidRPr="00F07407">
        <w:rPr>
          <w:lang w:eastAsia="zh-HK"/>
        </w:rPr>
        <w:t xml:space="preserve">the connectedness </w:t>
      </w:r>
      <w:r w:rsidR="00EE0BB1" w:rsidRPr="00F07407">
        <w:rPr>
          <w:lang w:eastAsia="zh-HK"/>
        </w:rPr>
        <w:t>among</w:t>
      </w:r>
      <w:r w:rsidR="00C35DF0" w:rsidRPr="00F07407">
        <w:rPr>
          <w:lang w:eastAsia="zh-HK"/>
        </w:rPr>
        <w:t xml:space="preserve"> </w:t>
      </w:r>
      <w:r w:rsidR="00867DA6" w:rsidRPr="00F07407">
        <w:rPr>
          <w:lang w:eastAsia="zh-HK"/>
        </w:rPr>
        <w:t xml:space="preserve">cognitive skills, </w:t>
      </w:r>
      <w:r w:rsidR="00245EBB" w:rsidRPr="00F07407">
        <w:rPr>
          <w:lang w:eastAsia="zh-HK"/>
        </w:rPr>
        <w:t>social-emotional competence</w:t>
      </w:r>
      <w:r w:rsidR="00867DA6" w:rsidRPr="00F07407">
        <w:rPr>
          <w:lang w:eastAsia="zh-HK"/>
        </w:rPr>
        <w:t>,</w:t>
      </w:r>
      <w:r w:rsidR="00C35DF0" w:rsidRPr="00F07407">
        <w:rPr>
          <w:lang w:eastAsia="zh-HK"/>
        </w:rPr>
        <w:t xml:space="preserve"> and</w:t>
      </w:r>
      <w:r w:rsidR="00245EBB" w:rsidRPr="00F07407">
        <w:rPr>
          <w:lang w:eastAsia="zh-HK"/>
        </w:rPr>
        <w:t xml:space="preserve"> school readiness (</w:t>
      </w:r>
      <w:r w:rsidR="00867DA6" w:rsidRPr="00F07407">
        <w:rPr>
          <w:lang w:eastAsia="zh-HK"/>
        </w:rPr>
        <w:t xml:space="preserve">e.g., </w:t>
      </w:r>
      <w:r w:rsidR="00C35DF0" w:rsidRPr="00F07407">
        <w:rPr>
          <w:lang w:eastAsia="zh-HK"/>
        </w:rPr>
        <w:t>Blair &amp; Raver, 2015; Campbell et al., 2016</w:t>
      </w:r>
      <w:r w:rsidR="00245EBB" w:rsidRPr="00F07407">
        <w:rPr>
          <w:lang w:eastAsia="zh-HK"/>
        </w:rPr>
        <w:t xml:space="preserve">), </w:t>
      </w:r>
      <w:r w:rsidR="00867DA6" w:rsidRPr="00F07407">
        <w:rPr>
          <w:lang w:eastAsia="zh-HK"/>
        </w:rPr>
        <w:t>future</w:t>
      </w:r>
      <w:r w:rsidR="00D75FF3" w:rsidRPr="00F07407">
        <w:rPr>
          <w:lang w:eastAsia="zh-HK"/>
        </w:rPr>
        <w:t xml:space="preserve"> </w:t>
      </w:r>
      <w:r w:rsidR="00867DA6" w:rsidRPr="00F07407">
        <w:rPr>
          <w:lang w:eastAsia="zh-HK"/>
        </w:rPr>
        <w:t xml:space="preserve">investigations of the motivational influences on kindergarten children’s school readiness </w:t>
      </w:r>
      <w:r w:rsidR="00D75FF3" w:rsidRPr="00F07407">
        <w:rPr>
          <w:lang w:eastAsia="zh-HK"/>
        </w:rPr>
        <w:t xml:space="preserve">should include </w:t>
      </w:r>
      <w:r w:rsidR="00867DA6" w:rsidRPr="00F07407">
        <w:rPr>
          <w:lang w:eastAsia="zh-HK"/>
        </w:rPr>
        <w:t xml:space="preserve">both </w:t>
      </w:r>
      <w:r w:rsidR="00D75FF3" w:rsidRPr="00F07407">
        <w:rPr>
          <w:lang w:eastAsia="zh-HK"/>
        </w:rPr>
        <w:t xml:space="preserve">object and social mastery motivation </w:t>
      </w:r>
      <w:r w:rsidR="00867DA6" w:rsidRPr="00F07407">
        <w:rPr>
          <w:lang w:eastAsia="zh-HK"/>
        </w:rPr>
        <w:t>as predictors to examine their unique contributions</w:t>
      </w:r>
      <w:r w:rsidR="009901FD" w:rsidRPr="00F07407">
        <w:rPr>
          <w:lang w:eastAsia="zh-HK"/>
        </w:rPr>
        <w:t>. Researchers may also</w:t>
      </w:r>
      <w:r w:rsidR="0050545C" w:rsidRPr="00F07407">
        <w:rPr>
          <w:lang w:eastAsia="zh-HK"/>
        </w:rPr>
        <w:t xml:space="preserve"> explore the possible mechanisms </w:t>
      </w:r>
      <w:r w:rsidR="009901FD" w:rsidRPr="00F07407">
        <w:rPr>
          <w:lang w:eastAsia="zh-HK"/>
        </w:rPr>
        <w:t>like</w:t>
      </w:r>
      <w:r w:rsidR="0050545C" w:rsidRPr="00F07407">
        <w:rPr>
          <w:lang w:eastAsia="zh-HK"/>
        </w:rPr>
        <w:t xml:space="preserve"> executive functioning (</w:t>
      </w:r>
      <w:r w:rsidR="002230CC" w:rsidRPr="00F07407">
        <w:rPr>
          <w:lang w:eastAsia="zh-HK"/>
        </w:rPr>
        <w:t>Blair et al., 2015</w:t>
      </w:r>
      <w:r w:rsidR="0050545C" w:rsidRPr="00F07407">
        <w:rPr>
          <w:lang w:eastAsia="zh-HK"/>
        </w:rPr>
        <w:t>) and emotional regulation (</w:t>
      </w:r>
      <w:r w:rsidR="00D00390" w:rsidRPr="00F07407">
        <w:rPr>
          <w:lang w:eastAsia="zh-HK"/>
        </w:rPr>
        <w:t>Fung et al., 2020</w:t>
      </w:r>
      <w:r w:rsidR="0050545C" w:rsidRPr="00F07407">
        <w:rPr>
          <w:lang w:eastAsia="zh-HK"/>
        </w:rPr>
        <w:t xml:space="preserve">) underlying </w:t>
      </w:r>
      <w:r w:rsidR="00D00390" w:rsidRPr="00F07407">
        <w:rPr>
          <w:lang w:eastAsia="zh-HK"/>
        </w:rPr>
        <w:t>these</w:t>
      </w:r>
      <w:r w:rsidR="0050545C" w:rsidRPr="00F07407">
        <w:rPr>
          <w:lang w:eastAsia="zh-HK"/>
        </w:rPr>
        <w:t xml:space="preserve"> </w:t>
      </w:r>
      <w:r w:rsidR="00EE0BB1" w:rsidRPr="00F07407">
        <w:rPr>
          <w:lang w:eastAsia="zh-HK"/>
        </w:rPr>
        <w:t xml:space="preserve">motivational </w:t>
      </w:r>
      <w:r w:rsidR="0050545C" w:rsidRPr="00F07407">
        <w:rPr>
          <w:lang w:eastAsia="zh-HK"/>
        </w:rPr>
        <w:t>influences</w:t>
      </w:r>
      <w:r w:rsidR="009901FD" w:rsidRPr="00F07407">
        <w:rPr>
          <w:lang w:eastAsia="zh-HK"/>
        </w:rPr>
        <w:t xml:space="preserve"> on school readiness.</w:t>
      </w:r>
    </w:p>
    <w:p w14:paraId="1CEC8462" w14:textId="77777777" w:rsidR="00770878" w:rsidRPr="00F07407" w:rsidRDefault="00306FEA" w:rsidP="00CE4E97">
      <w:pPr>
        <w:spacing w:line="480" w:lineRule="auto"/>
        <w:rPr>
          <w:b/>
          <w:bCs/>
          <w:lang w:eastAsia="zh-HK"/>
        </w:rPr>
      </w:pPr>
      <w:r w:rsidRPr="00F07407">
        <w:rPr>
          <w:b/>
          <w:bCs/>
          <w:lang w:eastAsia="zh-HK"/>
        </w:rPr>
        <w:lastRenderedPageBreak/>
        <w:t>The i</w:t>
      </w:r>
      <w:r w:rsidR="00CE4E97" w:rsidRPr="00F07407">
        <w:rPr>
          <w:b/>
          <w:bCs/>
          <w:lang w:eastAsia="zh-HK"/>
        </w:rPr>
        <w:t>ndirect relationship</w:t>
      </w:r>
      <w:r w:rsidR="001877CE" w:rsidRPr="00F07407">
        <w:rPr>
          <w:b/>
          <w:bCs/>
          <w:lang w:eastAsia="zh-HK"/>
        </w:rPr>
        <w:t>s</w:t>
      </w:r>
      <w:r w:rsidR="00CE4E97" w:rsidRPr="00F07407">
        <w:rPr>
          <w:b/>
          <w:bCs/>
          <w:lang w:eastAsia="zh-HK"/>
        </w:rPr>
        <w:t xml:space="preserve"> among </w:t>
      </w:r>
      <w:r w:rsidR="006A65C1" w:rsidRPr="00F07407">
        <w:rPr>
          <w:b/>
          <w:bCs/>
          <w:lang w:eastAsia="zh-HK"/>
        </w:rPr>
        <w:t>home play opportunity</w:t>
      </w:r>
      <w:r w:rsidR="00CE4E97" w:rsidRPr="00F07407">
        <w:rPr>
          <w:b/>
          <w:bCs/>
          <w:lang w:eastAsia="zh-HK"/>
        </w:rPr>
        <w:t xml:space="preserve">, mastery motivation, and </w:t>
      </w:r>
      <w:r w:rsidR="006A65C1" w:rsidRPr="00F07407">
        <w:rPr>
          <w:b/>
          <w:bCs/>
          <w:lang w:eastAsia="zh-HK"/>
        </w:rPr>
        <w:t>school readiness</w:t>
      </w:r>
    </w:p>
    <w:p w14:paraId="389F69CF" w14:textId="1798395F" w:rsidR="00D14531" w:rsidRPr="00F07407" w:rsidRDefault="00CA3B46" w:rsidP="00AB07E0">
      <w:pPr>
        <w:spacing w:line="480" w:lineRule="auto"/>
        <w:ind w:firstLine="567"/>
        <w:rPr>
          <w:highlight w:val="yellow"/>
          <w:lang w:eastAsia="zh-HK"/>
        </w:rPr>
      </w:pPr>
      <w:r w:rsidRPr="00F07407">
        <w:rPr>
          <w:lang w:eastAsia="zh-HK"/>
        </w:rPr>
        <w:t>T</w:t>
      </w:r>
      <w:r w:rsidR="00BA2EFF" w:rsidRPr="00F07407">
        <w:rPr>
          <w:lang w:eastAsia="zh-HK"/>
        </w:rPr>
        <w:t>he present results revealed a</w:t>
      </w:r>
      <w:r w:rsidRPr="00F07407">
        <w:rPr>
          <w:lang w:eastAsia="zh-HK"/>
        </w:rPr>
        <w:t xml:space="preserve"> significant</w:t>
      </w:r>
      <w:r w:rsidR="00BA2EFF" w:rsidRPr="00F07407">
        <w:rPr>
          <w:lang w:eastAsia="zh-HK"/>
        </w:rPr>
        <w:t xml:space="preserve"> indirect relationship between </w:t>
      </w:r>
      <w:r w:rsidR="001877CE" w:rsidRPr="00F07407">
        <w:rPr>
          <w:lang w:eastAsia="zh-HK"/>
        </w:rPr>
        <w:t>home play opportunity</w:t>
      </w:r>
      <w:r w:rsidR="00BA2EFF" w:rsidRPr="00F07407">
        <w:rPr>
          <w:lang w:eastAsia="zh-HK"/>
        </w:rPr>
        <w:t xml:space="preserve">, </w:t>
      </w:r>
      <w:r w:rsidR="001877CE" w:rsidRPr="00F07407">
        <w:rPr>
          <w:lang w:eastAsia="zh-HK"/>
        </w:rPr>
        <w:t>object</w:t>
      </w:r>
      <w:r w:rsidR="00BA2EFF" w:rsidRPr="00F07407">
        <w:rPr>
          <w:lang w:eastAsia="zh-HK"/>
        </w:rPr>
        <w:t xml:space="preserve"> mastery motivation, and </w:t>
      </w:r>
      <w:r w:rsidR="001877CE" w:rsidRPr="00F07407">
        <w:rPr>
          <w:lang w:eastAsia="zh-HK"/>
        </w:rPr>
        <w:t>school readiness.</w:t>
      </w:r>
      <w:r w:rsidR="00BA2EFF" w:rsidRPr="00F07407">
        <w:rPr>
          <w:lang w:eastAsia="zh-HK"/>
        </w:rPr>
        <w:t xml:space="preserve"> </w:t>
      </w:r>
      <w:r w:rsidR="0068109F" w:rsidRPr="00F07407">
        <w:rPr>
          <w:lang w:eastAsia="zh-HK"/>
        </w:rPr>
        <w:t xml:space="preserve">Worth noting, </w:t>
      </w:r>
      <w:r w:rsidR="00646EEB" w:rsidRPr="00F07407">
        <w:rPr>
          <w:lang w:eastAsia="zh-HK"/>
        </w:rPr>
        <w:t>in</w:t>
      </w:r>
      <w:r w:rsidRPr="00F07407">
        <w:rPr>
          <w:lang w:eastAsia="zh-HK"/>
        </w:rPr>
        <w:t xml:space="preserve"> </w:t>
      </w:r>
      <w:r w:rsidR="0068109F" w:rsidRPr="00F07407">
        <w:rPr>
          <w:lang w:eastAsia="zh-HK"/>
        </w:rPr>
        <w:t>Table 1</w:t>
      </w:r>
      <w:r w:rsidR="00114C2A">
        <w:rPr>
          <w:lang w:eastAsia="zh-HK"/>
        </w:rPr>
        <w:t xml:space="preserve"> </w:t>
      </w:r>
      <w:r w:rsidR="00114C2A" w:rsidRPr="00114C2A">
        <w:rPr>
          <w:color w:val="00B0F0"/>
          <w:lang w:eastAsia="zh-HK"/>
        </w:rPr>
        <w:t>and Table 2</w:t>
      </w:r>
      <w:r w:rsidRPr="00F07407">
        <w:rPr>
          <w:lang w:eastAsia="zh-HK"/>
        </w:rPr>
        <w:t xml:space="preserve">, home play opportunity was positively </w:t>
      </w:r>
      <w:r w:rsidR="007370A6" w:rsidRPr="00F07407">
        <w:rPr>
          <w:lang w:eastAsia="zh-HK"/>
        </w:rPr>
        <w:t>correlated with</w:t>
      </w:r>
      <w:r w:rsidRPr="00F07407">
        <w:rPr>
          <w:lang w:eastAsia="zh-HK"/>
        </w:rPr>
        <w:t xml:space="preserve"> children’s later school readiness</w:t>
      </w:r>
      <w:r w:rsidR="005921DA" w:rsidRPr="00F07407">
        <w:rPr>
          <w:lang w:eastAsia="zh-HK"/>
        </w:rPr>
        <w:t>; b</w:t>
      </w:r>
      <w:r w:rsidR="00C7314C" w:rsidRPr="00F07407">
        <w:rPr>
          <w:lang w:eastAsia="zh-HK"/>
        </w:rPr>
        <w:t>ut</w:t>
      </w:r>
      <w:r w:rsidRPr="00F07407">
        <w:rPr>
          <w:lang w:eastAsia="zh-HK"/>
        </w:rPr>
        <w:t xml:space="preserve"> </w:t>
      </w:r>
      <w:r w:rsidRPr="00DF0719">
        <w:rPr>
          <w:color w:val="00B0F0"/>
          <w:lang w:eastAsia="zh-HK"/>
        </w:rPr>
        <w:t>th</w:t>
      </w:r>
      <w:r w:rsidR="005921DA" w:rsidRPr="00DF0719">
        <w:rPr>
          <w:color w:val="00B0F0"/>
          <w:lang w:eastAsia="zh-HK"/>
        </w:rPr>
        <w:t>is</w:t>
      </w:r>
      <w:r w:rsidRPr="00DF0719">
        <w:rPr>
          <w:color w:val="00B0F0"/>
          <w:lang w:eastAsia="zh-HK"/>
        </w:rPr>
        <w:t xml:space="preserve"> </w:t>
      </w:r>
      <w:r w:rsidR="00DF0719" w:rsidRPr="00DF0719">
        <w:rPr>
          <w:color w:val="00B0F0"/>
          <w:lang w:eastAsia="zh-HK"/>
        </w:rPr>
        <w:t xml:space="preserve">direct relationship </w:t>
      </w:r>
      <w:r w:rsidRPr="00DF0719">
        <w:rPr>
          <w:color w:val="00B0F0"/>
          <w:lang w:eastAsia="zh-HK"/>
        </w:rPr>
        <w:t>was</w:t>
      </w:r>
      <w:r w:rsidR="00DF0719" w:rsidRPr="00DF0719">
        <w:rPr>
          <w:color w:val="00B0F0"/>
          <w:lang w:eastAsia="zh-HK"/>
        </w:rPr>
        <w:t xml:space="preserve"> non-significant and</w:t>
      </w:r>
      <w:r w:rsidRPr="00DF0719">
        <w:rPr>
          <w:color w:val="00B0F0"/>
          <w:lang w:eastAsia="zh-HK"/>
        </w:rPr>
        <w:t xml:space="preserve"> </w:t>
      </w:r>
      <w:r w:rsidRPr="00F07407">
        <w:rPr>
          <w:lang w:eastAsia="zh-HK"/>
        </w:rPr>
        <w:t xml:space="preserve">fully </w:t>
      </w:r>
      <w:r w:rsidR="0068109F" w:rsidRPr="00F07407">
        <w:rPr>
          <w:lang w:eastAsia="zh-HK"/>
        </w:rPr>
        <w:t>mediated</w:t>
      </w:r>
      <w:r w:rsidRPr="00F07407">
        <w:rPr>
          <w:lang w:eastAsia="zh-HK"/>
        </w:rPr>
        <w:t xml:space="preserve"> by object mastery motivation</w:t>
      </w:r>
      <w:r w:rsidR="005921DA" w:rsidRPr="00F07407">
        <w:rPr>
          <w:lang w:eastAsia="zh-HK"/>
        </w:rPr>
        <w:t xml:space="preserve"> in the path model</w:t>
      </w:r>
      <w:r w:rsidR="0068109F" w:rsidRPr="00F07407">
        <w:rPr>
          <w:lang w:eastAsia="zh-HK"/>
        </w:rPr>
        <w:t>, which concurred with the hypothesis.</w:t>
      </w:r>
      <w:r w:rsidRPr="00F07407">
        <w:rPr>
          <w:lang w:eastAsia="zh-HK"/>
        </w:rPr>
        <w:t xml:space="preserve"> </w:t>
      </w:r>
      <w:r w:rsidR="00D7778F" w:rsidRPr="00F07407">
        <w:rPr>
          <w:lang w:eastAsia="zh-HK"/>
        </w:rPr>
        <w:t>Yet</w:t>
      </w:r>
      <w:r w:rsidR="00BA2EFF" w:rsidRPr="00F07407">
        <w:rPr>
          <w:lang w:eastAsia="zh-HK"/>
        </w:rPr>
        <w:t xml:space="preserve">, the </w:t>
      </w:r>
      <w:r w:rsidR="001877CE" w:rsidRPr="00F07407">
        <w:rPr>
          <w:lang w:eastAsia="zh-HK"/>
        </w:rPr>
        <w:t xml:space="preserve">indirect </w:t>
      </w:r>
      <w:r w:rsidR="00BA2EFF" w:rsidRPr="00F07407">
        <w:rPr>
          <w:lang w:eastAsia="zh-HK"/>
        </w:rPr>
        <w:t xml:space="preserve">path </w:t>
      </w:r>
      <w:r w:rsidR="001877CE" w:rsidRPr="00F07407">
        <w:rPr>
          <w:lang w:eastAsia="zh-HK"/>
        </w:rPr>
        <w:t>as mediated through social mastery motivation</w:t>
      </w:r>
      <w:r w:rsidR="00BA2EFF" w:rsidRPr="00F07407">
        <w:rPr>
          <w:lang w:eastAsia="zh-HK"/>
        </w:rPr>
        <w:t xml:space="preserve"> was non-significant</w:t>
      </w:r>
      <w:r w:rsidR="0068109F" w:rsidRPr="00F07407">
        <w:rPr>
          <w:lang w:eastAsia="zh-HK"/>
        </w:rPr>
        <w:t xml:space="preserve">, probably due to the </w:t>
      </w:r>
      <w:r w:rsidR="00114160" w:rsidRPr="00F07407">
        <w:rPr>
          <w:lang w:eastAsia="zh-HK"/>
        </w:rPr>
        <w:t>non-significant</w:t>
      </w:r>
      <w:r w:rsidR="0068109F" w:rsidRPr="00F07407">
        <w:rPr>
          <w:lang w:eastAsia="zh-HK"/>
        </w:rPr>
        <w:t xml:space="preserve"> path between home play opportunity and social mastery motivation</w:t>
      </w:r>
      <w:r w:rsidR="00BA2EFF" w:rsidRPr="00F07407">
        <w:rPr>
          <w:lang w:eastAsia="zh-HK"/>
        </w:rPr>
        <w:t>.</w:t>
      </w:r>
      <w:r w:rsidR="00F93E93" w:rsidRPr="00F07407">
        <w:rPr>
          <w:lang w:eastAsia="zh-HK"/>
        </w:rPr>
        <w:t xml:space="preserve"> Following the </w:t>
      </w:r>
      <w:r w:rsidR="00E2369C" w:rsidRPr="00F07407">
        <w:rPr>
          <w:lang w:eastAsia="zh-HK"/>
        </w:rPr>
        <w:t xml:space="preserve">aforementioned </w:t>
      </w:r>
      <w:r w:rsidR="00F93E93" w:rsidRPr="00F07407">
        <w:rPr>
          <w:lang w:eastAsia="zh-HK"/>
        </w:rPr>
        <w:t xml:space="preserve">argument, </w:t>
      </w:r>
      <w:r w:rsidR="008F39F1" w:rsidRPr="00F07407">
        <w:rPr>
          <w:lang w:eastAsia="zh-HK"/>
        </w:rPr>
        <w:t xml:space="preserve">further studies may </w:t>
      </w:r>
      <w:r w:rsidR="009806CD" w:rsidRPr="00F07407">
        <w:rPr>
          <w:lang w:eastAsia="zh-HK"/>
        </w:rPr>
        <w:t>conceptualize</w:t>
      </w:r>
      <w:r w:rsidR="008F39F1" w:rsidRPr="00F07407">
        <w:rPr>
          <w:lang w:eastAsia="zh-HK"/>
        </w:rPr>
        <w:t xml:space="preserve"> home play opportunity by including </w:t>
      </w:r>
      <w:r w:rsidR="00806AB1" w:rsidRPr="00F07407">
        <w:rPr>
          <w:lang w:eastAsia="zh-HK"/>
        </w:rPr>
        <w:t>additional</w:t>
      </w:r>
      <w:r w:rsidR="001877CE" w:rsidRPr="00F07407">
        <w:rPr>
          <w:lang w:eastAsia="zh-HK"/>
        </w:rPr>
        <w:t xml:space="preserve"> aspects of </w:t>
      </w:r>
      <w:r w:rsidR="00E71738" w:rsidRPr="00F07407">
        <w:rPr>
          <w:lang w:eastAsia="zh-HK"/>
        </w:rPr>
        <w:t xml:space="preserve">the </w:t>
      </w:r>
      <w:r w:rsidR="001877CE" w:rsidRPr="00F07407">
        <w:rPr>
          <w:lang w:eastAsia="zh-HK"/>
        </w:rPr>
        <w:t>socializing environment</w:t>
      </w:r>
      <w:r w:rsidR="00806AB1" w:rsidRPr="00F07407">
        <w:rPr>
          <w:lang w:eastAsia="zh-HK"/>
        </w:rPr>
        <w:t xml:space="preserve"> such as parental scaffolding</w:t>
      </w:r>
      <w:r w:rsidR="00114C2A">
        <w:rPr>
          <w:lang w:eastAsia="zh-HK"/>
        </w:rPr>
        <w:t xml:space="preserve"> </w:t>
      </w:r>
      <w:r w:rsidR="00114C2A" w:rsidRPr="00114C2A">
        <w:rPr>
          <w:color w:val="00B0F0"/>
          <w:lang w:eastAsia="zh-HK"/>
        </w:rPr>
        <w:t>during play</w:t>
      </w:r>
      <w:r w:rsidR="008F39F1" w:rsidRPr="00F07407">
        <w:rPr>
          <w:lang w:eastAsia="zh-HK"/>
        </w:rPr>
        <w:t xml:space="preserve">. Supposedly, this approach </w:t>
      </w:r>
      <w:r w:rsidR="009901FD" w:rsidRPr="00F07407">
        <w:rPr>
          <w:lang w:eastAsia="zh-HK"/>
        </w:rPr>
        <w:t>may</w:t>
      </w:r>
      <w:r w:rsidR="008F39F1" w:rsidRPr="00F07407">
        <w:rPr>
          <w:lang w:eastAsia="zh-HK"/>
        </w:rPr>
        <w:t xml:space="preserve"> better capture the </w:t>
      </w:r>
      <w:r w:rsidRPr="00F07407">
        <w:rPr>
          <w:lang w:eastAsia="zh-HK"/>
        </w:rPr>
        <w:t>association</w:t>
      </w:r>
      <w:r w:rsidR="008F39F1" w:rsidRPr="00F07407">
        <w:rPr>
          <w:lang w:eastAsia="zh-HK"/>
        </w:rPr>
        <w:t xml:space="preserve"> between home play opportunity and social mastery motivation and</w:t>
      </w:r>
      <w:r w:rsidR="005025D1" w:rsidRPr="00F07407">
        <w:rPr>
          <w:lang w:eastAsia="zh-HK"/>
        </w:rPr>
        <w:t xml:space="preserve"> may</w:t>
      </w:r>
      <w:r w:rsidR="005921DA" w:rsidRPr="00F07407">
        <w:rPr>
          <w:lang w:eastAsia="zh-HK"/>
        </w:rPr>
        <w:t xml:space="preserve"> </w:t>
      </w:r>
      <w:r w:rsidR="009901FD" w:rsidRPr="00F07407">
        <w:rPr>
          <w:lang w:eastAsia="zh-HK"/>
        </w:rPr>
        <w:t>result in</w:t>
      </w:r>
      <w:r w:rsidR="008F39F1" w:rsidRPr="00F07407">
        <w:rPr>
          <w:lang w:eastAsia="zh-HK"/>
        </w:rPr>
        <w:t xml:space="preserve"> a significant indirect relationship with school readiness</w:t>
      </w:r>
      <w:r w:rsidR="00567C37" w:rsidRPr="00F07407">
        <w:rPr>
          <w:lang w:eastAsia="zh-HK"/>
        </w:rPr>
        <w:t xml:space="preserve">. </w:t>
      </w:r>
      <w:r w:rsidR="003A79D8">
        <w:rPr>
          <w:lang w:eastAsia="zh-HK"/>
        </w:rPr>
        <w:t>G</w:t>
      </w:r>
      <w:r w:rsidR="005921DA" w:rsidRPr="00F07407">
        <w:rPr>
          <w:lang w:eastAsia="zh-HK"/>
        </w:rPr>
        <w:t xml:space="preserve">iven the </w:t>
      </w:r>
      <w:r w:rsidR="005025D1" w:rsidRPr="00F07407">
        <w:rPr>
          <w:lang w:eastAsia="zh-HK"/>
        </w:rPr>
        <w:t xml:space="preserve">small </w:t>
      </w:r>
      <w:r w:rsidR="005921DA" w:rsidRPr="00F07407">
        <w:rPr>
          <w:lang w:eastAsia="zh-HK"/>
        </w:rPr>
        <w:t xml:space="preserve">number of </w:t>
      </w:r>
      <w:r w:rsidR="00184287" w:rsidRPr="00F07407">
        <w:rPr>
          <w:lang w:eastAsia="zh-HK"/>
        </w:rPr>
        <w:t xml:space="preserve">participants in the current study, further studies with a larger sample size </w:t>
      </w:r>
      <w:r w:rsidR="005025D1" w:rsidRPr="00F07407">
        <w:rPr>
          <w:lang w:eastAsia="zh-HK"/>
        </w:rPr>
        <w:t>may yield significant path coefficients</w:t>
      </w:r>
      <w:r w:rsidR="00184287" w:rsidRPr="00F07407">
        <w:rPr>
          <w:lang w:eastAsia="zh-HK"/>
        </w:rPr>
        <w:t xml:space="preserve">. </w:t>
      </w:r>
    </w:p>
    <w:p w14:paraId="56AB0B9B" w14:textId="77777777" w:rsidR="00967B17" w:rsidRPr="00F07407" w:rsidRDefault="00967B17" w:rsidP="00967B17">
      <w:pPr>
        <w:spacing w:line="480" w:lineRule="auto"/>
        <w:rPr>
          <w:b/>
          <w:bCs/>
          <w:lang w:eastAsia="zh-HK"/>
        </w:rPr>
      </w:pPr>
      <w:r w:rsidRPr="00F07407">
        <w:rPr>
          <w:b/>
          <w:bCs/>
          <w:lang w:eastAsia="zh-HK"/>
        </w:rPr>
        <w:t>Limitations</w:t>
      </w:r>
    </w:p>
    <w:p w14:paraId="7AE9183D" w14:textId="68BAA5CA" w:rsidR="00967B17" w:rsidRPr="00F07407" w:rsidRDefault="00400F62" w:rsidP="00646315">
      <w:pPr>
        <w:spacing w:line="480" w:lineRule="auto"/>
        <w:ind w:firstLine="567"/>
        <w:rPr>
          <w:lang w:eastAsia="zh-HK"/>
        </w:rPr>
      </w:pPr>
      <w:r w:rsidRPr="00F07407">
        <w:rPr>
          <w:lang w:eastAsia="zh-HK"/>
        </w:rPr>
        <w:t xml:space="preserve">The present study has at least </w:t>
      </w:r>
      <w:r w:rsidR="002A6B5E" w:rsidRPr="00783952">
        <w:rPr>
          <w:color w:val="00B0F0"/>
          <w:lang w:eastAsia="zh-HK"/>
        </w:rPr>
        <w:t>four</w:t>
      </w:r>
      <w:r w:rsidRPr="00F07407">
        <w:rPr>
          <w:lang w:eastAsia="zh-HK"/>
        </w:rPr>
        <w:t xml:space="preserve"> limitations. First, </w:t>
      </w:r>
      <w:r w:rsidR="00D51096">
        <w:rPr>
          <w:lang w:eastAsia="zh-HK"/>
        </w:rPr>
        <w:t>this</w:t>
      </w:r>
      <w:r w:rsidR="00577889" w:rsidRPr="00F07407">
        <w:rPr>
          <w:lang w:eastAsia="zh-HK"/>
        </w:rPr>
        <w:t xml:space="preserve"> study was correlational and the results indicated no direction of effect. </w:t>
      </w:r>
      <w:r w:rsidR="00D51096">
        <w:rPr>
          <w:lang w:eastAsia="zh-HK"/>
        </w:rPr>
        <w:t>The present study</w:t>
      </w:r>
      <w:r w:rsidR="006C149E" w:rsidRPr="00F07407">
        <w:rPr>
          <w:lang w:eastAsia="zh-HK"/>
        </w:rPr>
        <w:t xml:space="preserve"> employed a half-longitudinal design (i.e., mediators and outcome </w:t>
      </w:r>
      <w:r w:rsidR="007479D6" w:rsidRPr="00F07407">
        <w:rPr>
          <w:lang w:eastAsia="zh-HK"/>
        </w:rPr>
        <w:t xml:space="preserve">were all </w:t>
      </w:r>
      <w:r w:rsidR="006C149E" w:rsidRPr="00F07407">
        <w:rPr>
          <w:lang w:eastAsia="zh-HK"/>
        </w:rPr>
        <w:t>assessed at time 2; MacPhee et al., 2018) and</w:t>
      </w:r>
      <w:r w:rsidR="00577889" w:rsidRPr="00F07407">
        <w:rPr>
          <w:lang w:eastAsia="zh-HK"/>
        </w:rPr>
        <w:t>, thus,</w:t>
      </w:r>
      <w:r w:rsidR="006C149E" w:rsidRPr="00F07407">
        <w:rPr>
          <w:lang w:eastAsia="zh-HK"/>
        </w:rPr>
        <w:t xml:space="preserve"> the </w:t>
      </w:r>
      <w:r w:rsidR="00577889" w:rsidRPr="00F07407">
        <w:rPr>
          <w:lang w:eastAsia="zh-HK"/>
        </w:rPr>
        <w:lastRenderedPageBreak/>
        <w:t>findings</w:t>
      </w:r>
      <w:r w:rsidR="006C149E" w:rsidRPr="00F07407">
        <w:rPr>
          <w:lang w:eastAsia="zh-HK"/>
        </w:rPr>
        <w:t xml:space="preserve"> did not represent a true longitudinal mediation. </w:t>
      </w:r>
      <w:bookmarkStart w:id="1" w:name="_Hlk108538955"/>
      <w:r w:rsidR="00D5161A" w:rsidRPr="00D5161A">
        <w:rPr>
          <w:color w:val="00B0F0"/>
          <w:lang w:eastAsia="zh-HK"/>
        </w:rPr>
        <w:t>Moreover, parents in different cultural contexts support household play with differing socialization goals, expectations, and levels of engagement (Roopnarine &amp; Davidson, 2015). For example, Chinese parents tend to involve more in child play for learning than for fun (Lin &amp; Li, 2018). Furthermore, kindergarten programs in Hong Kong are more academically focused and last longer, while the play-based curriculum is not widely implemented (Fung &amp; Cheng, 2012). Therefore, the generalizability of the current results in other cultural contexts remains an open question. Longitudinal cross-cultural studies with repeated measures at more than two-time points or experimental studies are needed to verify the present findings and better inform the causality</w:t>
      </w:r>
      <w:r w:rsidR="006C149E" w:rsidRPr="00F07407">
        <w:rPr>
          <w:lang w:eastAsia="zh-HK"/>
        </w:rPr>
        <w:t xml:space="preserve">. </w:t>
      </w:r>
      <w:bookmarkEnd w:id="1"/>
      <w:r w:rsidR="006C149E" w:rsidRPr="00F07407">
        <w:rPr>
          <w:lang w:eastAsia="zh-HK"/>
        </w:rPr>
        <w:t xml:space="preserve">Second, </w:t>
      </w:r>
      <w:r w:rsidR="009806CD" w:rsidRPr="00F07407">
        <w:rPr>
          <w:lang w:eastAsia="zh-HK"/>
        </w:rPr>
        <w:t xml:space="preserve">the </w:t>
      </w:r>
      <w:r w:rsidR="00577889" w:rsidRPr="00F07407">
        <w:rPr>
          <w:lang w:eastAsia="zh-HK"/>
        </w:rPr>
        <w:t xml:space="preserve">current </w:t>
      </w:r>
      <w:r w:rsidR="009806CD" w:rsidRPr="00F07407">
        <w:rPr>
          <w:lang w:eastAsia="zh-HK"/>
        </w:rPr>
        <w:t xml:space="preserve">operationalization of home play opportunity </w:t>
      </w:r>
      <w:r w:rsidR="00577889" w:rsidRPr="00F07407">
        <w:rPr>
          <w:lang w:eastAsia="zh-HK"/>
        </w:rPr>
        <w:t>focused on the availability</w:t>
      </w:r>
      <w:r w:rsidR="00265AEA" w:rsidRPr="00F07407">
        <w:rPr>
          <w:lang w:eastAsia="zh-HK"/>
        </w:rPr>
        <w:t xml:space="preserve"> of playmates</w:t>
      </w:r>
      <w:r w:rsidR="00577889" w:rsidRPr="00F07407">
        <w:rPr>
          <w:lang w:eastAsia="zh-HK"/>
        </w:rPr>
        <w:t xml:space="preserve">, </w:t>
      </w:r>
      <w:r w:rsidR="00265AEA" w:rsidRPr="00F07407">
        <w:rPr>
          <w:lang w:eastAsia="zh-HK"/>
        </w:rPr>
        <w:t xml:space="preserve">and </w:t>
      </w:r>
      <w:r w:rsidR="00577889" w:rsidRPr="00F07407">
        <w:rPr>
          <w:lang w:eastAsia="zh-HK"/>
        </w:rPr>
        <w:t>variety and accessibility of play materials</w:t>
      </w:r>
      <w:r w:rsidR="007D11D0">
        <w:rPr>
          <w:lang w:eastAsia="zh-HK"/>
        </w:rPr>
        <w:t xml:space="preserve"> </w:t>
      </w:r>
      <w:r w:rsidR="007D11D0" w:rsidRPr="007D11D0">
        <w:rPr>
          <w:color w:val="00B0F0"/>
          <w:lang w:eastAsia="zh-HK"/>
        </w:rPr>
        <w:t>based on parental ratings</w:t>
      </w:r>
      <w:r w:rsidR="006F46E0" w:rsidRPr="00F07407">
        <w:rPr>
          <w:lang w:eastAsia="zh-HK"/>
        </w:rPr>
        <w:t xml:space="preserve">, </w:t>
      </w:r>
      <w:r w:rsidR="00743CA8" w:rsidRPr="00F07407">
        <w:rPr>
          <w:lang w:eastAsia="zh-HK"/>
        </w:rPr>
        <w:t>but</w:t>
      </w:r>
      <w:r w:rsidR="006F46E0" w:rsidRPr="00F07407">
        <w:rPr>
          <w:lang w:eastAsia="zh-HK"/>
        </w:rPr>
        <w:t xml:space="preserve"> such an operationalization </w:t>
      </w:r>
      <w:r w:rsidR="009806CD" w:rsidRPr="00F07407">
        <w:rPr>
          <w:lang w:eastAsia="zh-HK"/>
        </w:rPr>
        <w:t xml:space="preserve">may </w:t>
      </w:r>
      <w:r w:rsidR="008028F1" w:rsidRPr="008028F1">
        <w:rPr>
          <w:color w:val="00B0F0"/>
          <w:lang w:eastAsia="zh-HK"/>
        </w:rPr>
        <w:t>subject to self-report bias</w:t>
      </w:r>
      <w:r w:rsidR="008028F1">
        <w:rPr>
          <w:lang w:eastAsia="zh-HK"/>
        </w:rPr>
        <w:t xml:space="preserve"> and </w:t>
      </w:r>
      <w:r w:rsidR="00DD1ADE" w:rsidRPr="00F07407">
        <w:rPr>
          <w:lang w:eastAsia="zh-HK"/>
        </w:rPr>
        <w:t xml:space="preserve">undermine the possible impacts of </w:t>
      </w:r>
      <w:r w:rsidR="00265AEA" w:rsidRPr="00F07407">
        <w:rPr>
          <w:lang w:eastAsia="zh-HK"/>
        </w:rPr>
        <w:t xml:space="preserve">adult </w:t>
      </w:r>
      <w:r w:rsidR="00DD1ADE" w:rsidRPr="00F07407">
        <w:rPr>
          <w:lang w:eastAsia="zh-HK"/>
        </w:rPr>
        <w:t>scaffolding</w:t>
      </w:r>
      <w:r w:rsidR="00265AEA" w:rsidRPr="00F07407">
        <w:rPr>
          <w:lang w:eastAsia="zh-HK"/>
        </w:rPr>
        <w:t xml:space="preserve"> and guidance</w:t>
      </w:r>
      <w:r w:rsidR="00DD1ADE" w:rsidRPr="00F07407">
        <w:rPr>
          <w:lang w:eastAsia="zh-HK"/>
        </w:rPr>
        <w:t xml:space="preserve"> on social mastery motivation and school readiness</w:t>
      </w:r>
      <w:r w:rsidR="006F46E0" w:rsidRPr="00F07407">
        <w:rPr>
          <w:lang w:eastAsia="zh-HK"/>
        </w:rPr>
        <w:t xml:space="preserve">. </w:t>
      </w:r>
      <w:r w:rsidR="007D11D0" w:rsidRPr="007D11D0">
        <w:rPr>
          <w:color w:val="00B0F0"/>
          <w:lang w:eastAsia="zh-HK"/>
        </w:rPr>
        <w:t xml:space="preserve">Further research may include additional assessments </w:t>
      </w:r>
      <w:r w:rsidR="007A3897">
        <w:rPr>
          <w:color w:val="00B0F0"/>
          <w:lang w:eastAsia="zh-HK"/>
        </w:rPr>
        <w:t xml:space="preserve">of home play opportunity </w:t>
      </w:r>
      <w:r w:rsidR="007D11D0" w:rsidRPr="007D11D0">
        <w:rPr>
          <w:color w:val="00B0F0"/>
          <w:lang w:eastAsia="zh-HK"/>
        </w:rPr>
        <w:t>such as interview</w:t>
      </w:r>
      <w:r w:rsidR="00FC67C5">
        <w:rPr>
          <w:color w:val="00B0F0"/>
          <w:lang w:eastAsia="zh-HK"/>
        </w:rPr>
        <w:t>s</w:t>
      </w:r>
      <w:r w:rsidR="007D11D0" w:rsidRPr="007D11D0">
        <w:rPr>
          <w:color w:val="00B0F0"/>
          <w:lang w:eastAsia="zh-HK"/>
        </w:rPr>
        <w:t xml:space="preserve"> and observational tools </w:t>
      </w:r>
      <w:r w:rsidR="007912C6">
        <w:rPr>
          <w:color w:val="00B0F0"/>
          <w:lang w:eastAsia="zh-HK"/>
        </w:rPr>
        <w:t xml:space="preserve">(e.g., HOME; </w:t>
      </w:r>
      <w:r w:rsidR="007912C6" w:rsidRPr="007912C6">
        <w:rPr>
          <w:color w:val="00B0F0"/>
          <w:lang w:eastAsia="zh-HK"/>
        </w:rPr>
        <w:t>Bradley</w:t>
      </w:r>
      <w:r w:rsidR="007912C6" w:rsidRPr="007D11D0">
        <w:rPr>
          <w:color w:val="00B0F0"/>
          <w:lang w:eastAsia="zh-HK"/>
        </w:rPr>
        <w:t xml:space="preserve"> </w:t>
      </w:r>
      <w:r w:rsidR="007912C6">
        <w:rPr>
          <w:color w:val="00B0F0"/>
          <w:lang w:eastAsia="zh-HK"/>
        </w:rPr>
        <w:t xml:space="preserve">et al., 2003) </w:t>
      </w:r>
      <w:r w:rsidR="007D11D0" w:rsidRPr="007D11D0">
        <w:rPr>
          <w:color w:val="00B0F0"/>
          <w:lang w:eastAsia="zh-HK"/>
        </w:rPr>
        <w:t xml:space="preserve">to triangulate the present </w:t>
      </w:r>
      <w:r w:rsidR="007D11D0" w:rsidRPr="00085FCE">
        <w:rPr>
          <w:color w:val="00B0F0"/>
          <w:lang w:eastAsia="zh-HK"/>
        </w:rPr>
        <w:t xml:space="preserve">results. </w:t>
      </w:r>
      <w:r w:rsidR="006F46E0" w:rsidRPr="00F07407">
        <w:rPr>
          <w:lang w:eastAsia="zh-HK"/>
        </w:rPr>
        <w:t xml:space="preserve">Similarly, </w:t>
      </w:r>
      <w:r w:rsidR="00DD1ADE" w:rsidRPr="00F07407">
        <w:rPr>
          <w:lang w:eastAsia="zh-HK"/>
        </w:rPr>
        <w:t xml:space="preserve">although the present conceptualization of school readiness aligned with the psychobiological </w:t>
      </w:r>
      <w:r w:rsidR="00D70996" w:rsidRPr="00F07407">
        <w:rPr>
          <w:lang w:eastAsia="zh-HK"/>
        </w:rPr>
        <w:t>framework</w:t>
      </w:r>
      <w:r w:rsidR="00DD1ADE" w:rsidRPr="00F07407">
        <w:rPr>
          <w:lang w:eastAsia="zh-HK"/>
        </w:rPr>
        <w:t xml:space="preserve"> (</w:t>
      </w:r>
      <w:r w:rsidR="00D70996" w:rsidRPr="00F07407">
        <w:rPr>
          <w:lang w:eastAsia="zh-HK"/>
        </w:rPr>
        <w:t xml:space="preserve">Blair &amp; Raver, 2015), </w:t>
      </w:r>
      <w:r w:rsidR="006F46E0" w:rsidRPr="00F07407">
        <w:rPr>
          <w:lang w:eastAsia="zh-HK"/>
        </w:rPr>
        <w:t xml:space="preserve">the </w:t>
      </w:r>
      <w:r w:rsidR="00D70996" w:rsidRPr="00F07407">
        <w:rPr>
          <w:lang w:eastAsia="zh-HK"/>
        </w:rPr>
        <w:t>use</w:t>
      </w:r>
      <w:r w:rsidR="006F46E0" w:rsidRPr="00F07407">
        <w:rPr>
          <w:lang w:eastAsia="zh-HK"/>
        </w:rPr>
        <w:t xml:space="preserve"> of </w:t>
      </w:r>
      <w:r w:rsidR="006F46E0" w:rsidRPr="00F07407">
        <w:rPr>
          <w:bCs/>
        </w:rPr>
        <w:t xml:space="preserve">Gumpel Readiness Inventory (GRI; Gumpel, 1999) </w:t>
      </w:r>
      <w:r w:rsidR="006F46E0" w:rsidRPr="00F07407">
        <w:rPr>
          <w:lang w:eastAsia="zh-HK"/>
        </w:rPr>
        <w:t xml:space="preserve">for tapping children’s </w:t>
      </w:r>
      <w:r w:rsidR="00D70996" w:rsidRPr="00F07407">
        <w:rPr>
          <w:lang w:eastAsia="zh-HK"/>
        </w:rPr>
        <w:t>academic skills, strategic working skills, and role-governed skills</w:t>
      </w:r>
      <w:r w:rsidR="009806CD" w:rsidRPr="00F07407">
        <w:rPr>
          <w:lang w:eastAsia="zh-HK"/>
        </w:rPr>
        <w:t xml:space="preserve"> </w:t>
      </w:r>
      <w:r w:rsidR="006F46E0" w:rsidRPr="00F07407">
        <w:rPr>
          <w:lang w:eastAsia="zh-HK"/>
        </w:rPr>
        <w:t xml:space="preserve">may </w:t>
      </w:r>
      <w:r w:rsidR="00DD1ADE" w:rsidRPr="00F07407">
        <w:rPr>
          <w:lang w:eastAsia="zh-HK"/>
        </w:rPr>
        <w:t xml:space="preserve">overlook </w:t>
      </w:r>
      <w:r w:rsidR="00D70996" w:rsidRPr="00F07407">
        <w:rPr>
          <w:lang w:eastAsia="zh-HK"/>
        </w:rPr>
        <w:t xml:space="preserve">the social and emotional aspects of school readiness </w:t>
      </w:r>
      <w:r w:rsidR="00D70996" w:rsidRPr="00F07407">
        <w:rPr>
          <w:lang w:eastAsia="zh-HK"/>
        </w:rPr>
        <w:lastRenderedPageBreak/>
        <w:t>(Eisenberg et al., 2010). F</w:t>
      </w:r>
      <w:r w:rsidR="009806CD" w:rsidRPr="00F07407">
        <w:rPr>
          <w:lang w:eastAsia="zh-HK"/>
        </w:rPr>
        <w:t xml:space="preserve">uture work should </w:t>
      </w:r>
      <w:r w:rsidR="00050FB1" w:rsidRPr="00F07407">
        <w:rPr>
          <w:lang w:eastAsia="zh-HK"/>
        </w:rPr>
        <w:t xml:space="preserve">measure children’s </w:t>
      </w:r>
      <w:r w:rsidR="00D70996" w:rsidRPr="00F07407">
        <w:rPr>
          <w:lang w:eastAsia="zh-HK"/>
        </w:rPr>
        <w:t xml:space="preserve">social-emotional competence </w:t>
      </w:r>
      <w:r w:rsidR="00050FB1" w:rsidRPr="00F07407">
        <w:rPr>
          <w:lang w:eastAsia="zh-HK"/>
        </w:rPr>
        <w:t xml:space="preserve">as </w:t>
      </w:r>
      <w:r w:rsidR="003771D9" w:rsidRPr="00F07407">
        <w:rPr>
          <w:lang w:eastAsia="zh-HK"/>
        </w:rPr>
        <w:t>extra</w:t>
      </w:r>
      <w:r w:rsidR="00050FB1" w:rsidRPr="00F07407">
        <w:rPr>
          <w:lang w:eastAsia="zh-HK"/>
        </w:rPr>
        <w:t xml:space="preserve"> </w:t>
      </w:r>
      <w:r w:rsidR="00806AB1" w:rsidRPr="00F07407">
        <w:rPr>
          <w:lang w:eastAsia="zh-HK"/>
        </w:rPr>
        <w:t>predictors</w:t>
      </w:r>
      <w:r w:rsidR="009806CD" w:rsidRPr="00F07407">
        <w:rPr>
          <w:lang w:eastAsia="zh-HK"/>
        </w:rPr>
        <w:t>.</w:t>
      </w:r>
      <w:r w:rsidRPr="00F07407">
        <w:rPr>
          <w:lang w:eastAsia="zh-HK"/>
        </w:rPr>
        <w:t xml:space="preserve"> </w:t>
      </w:r>
      <w:r w:rsidR="00295909" w:rsidRPr="00F07407">
        <w:rPr>
          <w:lang w:eastAsia="zh-HK"/>
        </w:rPr>
        <w:t>Third</w:t>
      </w:r>
      <w:r w:rsidR="00193C7A" w:rsidRPr="00F07407">
        <w:rPr>
          <w:lang w:eastAsia="zh-HK"/>
        </w:rPr>
        <w:t xml:space="preserve">, </w:t>
      </w:r>
      <w:r w:rsidR="00A00F9A" w:rsidRPr="00F07407">
        <w:rPr>
          <w:lang w:eastAsia="zh-HK"/>
        </w:rPr>
        <w:t xml:space="preserve">children’s </w:t>
      </w:r>
      <w:r w:rsidR="009806CD" w:rsidRPr="00F07407">
        <w:rPr>
          <w:lang w:eastAsia="zh-HK"/>
        </w:rPr>
        <w:t xml:space="preserve">mastery motivation and school readiness were </w:t>
      </w:r>
      <w:r w:rsidR="00806AB1" w:rsidRPr="00F07407">
        <w:rPr>
          <w:lang w:eastAsia="zh-HK"/>
        </w:rPr>
        <w:t xml:space="preserve">both </w:t>
      </w:r>
      <w:r w:rsidR="009806CD" w:rsidRPr="00F07407">
        <w:rPr>
          <w:lang w:eastAsia="zh-HK"/>
        </w:rPr>
        <w:t xml:space="preserve">reported by teachers. </w:t>
      </w:r>
      <w:r w:rsidR="007479D6" w:rsidRPr="00F07407">
        <w:rPr>
          <w:lang w:eastAsia="zh-HK"/>
        </w:rPr>
        <w:t xml:space="preserve">Although </w:t>
      </w:r>
      <w:r w:rsidR="00B44573" w:rsidRPr="00F07407">
        <w:rPr>
          <w:lang w:eastAsia="zh-HK"/>
        </w:rPr>
        <w:t>this</w:t>
      </w:r>
      <w:r w:rsidR="007479D6" w:rsidRPr="00F07407">
        <w:rPr>
          <w:lang w:eastAsia="zh-HK"/>
        </w:rPr>
        <w:t xml:space="preserve"> approach </w:t>
      </w:r>
      <w:r w:rsidR="00B44573" w:rsidRPr="00F07407">
        <w:rPr>
          <w:lang w:eastAsia="zh-HK"/>
        </w:rPr>
        <w:t xml:space="preserve">amply anchors the choice of </w:t>
      </w:r>
      <w:r w:rsidR="00AD2C60" w:rsidRPr="00F07407">
        <w:rPr>
          <w:lang w:eastAsia="zh-HK"/>
        </w:rPr>
        <w:t>assessment (teacher-report) to the relevant context (children’s behaviors in school) (Campbell et al., 2016),</w:t>
      </w:r>
      <w:r w:rsidR="009806CD" w:rsidRPr="00F07407">
        <w:rPr>
          <w:lang w:eastAsia="zh-HK"/>
        </w:rPr>
        <w:t xml:space="preserve"> </w:t>
      </w:r>
      <w:r w:rsidR="005C5936" w:rsidRPr="00F07407">
        <w:rPr>
          <w:lang w:eastAsia="zh-HK"/>
        </w:rPr>
        <w:t>the shared method variance is a limitation in the research design. R</w:t>
      </w:r>
      <w:r w:rsidR="009806CD" w:rsidRPr="00F07407">
        <w:rPr>
          <w:lang w:eastAsia="zh-HK"/>
        </w:rPr>
        <w:t xml:space="preserve">eplications are required by employing independent measures such as systematic observation </w:t>
      </w:r>
      <w:r w:rsidR="005C5936" w:rsidRPr="00F07407">
        <w:rPr>
          <w:lang w:eastAsia="zh-HK"/>
        </w:rPr>
        <w:t xml:space="preserve">of children’s object and social mastery motivation </w:t>
      </w:r>
      <w:r w:rsidR="009806CD" w:rsidRPr="00F07407">
        <w:rPr>
          <w:lang w:eastAsia="zh-HK"/>
        </w:rPr>
        <w:t>or behavioral assessment</w:t>
      </w:r>
      <w:r w:rsidR="00AD2C60" w:rsidRPr="00F07407">
        <w:rPr>
          <w:lang w:eastAsia="zh-HK"/>
        </w:rPr>
        <w:t xml:space="preserve"> </w:t>
      </w:r>
      <w:r w:rsidR="005C5936" w:rsidRPr="00F07407">
        <w:rPr>
          <w:lang w:eastAsia="zh-HK"/>
        </w:rPr>
        <w:t>of their school readiness</w:t>
      </w:r>
      <w:r w:rsidR="00146616" w:rsidRPr="00F07407">
        <w:rPr>
          <w:lang w:eastAsia="zh-HK"/>
        </w:rPr>
        <w:t xml:space="preserve"> (e.g., behavioral regulation, academic competence)</w:t>
      </w:r>
      <w:r w:rsidR="005C5936" w:rsidRPr="00F07407">
        <w:rPr>
          <w:lang w:eastAsia="zh-HK"/>
        </w:rPr>
        <w:t xml:space="preserve"> </w:t>
      </w:r>
      <w:r w:rsidR="00AD2C60" w:rsidRPr="00F07407">
        <w:rPr>
          <w:lang w:eastAsia="zh-HK"/>
        </w:rPr>
        <w:t>to validate the present findings</w:t>
      </w:r>
      <w:r w:rsidR="009806CD" w:rsidRPr="00F07407">
        <w:rPr>
          <w:lang w:eastAsia="zh-HK"/>
        </w:rPr>
        <w:t>.</w:t>
      </w:r>
      <w:r w:rsidR="002A6B5E">
        <w:rPr>
          <w:lang w:eastAsia="zh-HK"/>
        </w:rPr>
        <w:t xml:space="preserve"> </w:t>
      </w:r>
      <w:r w:rsidR="0068328C" w:rsidRPr="0068328C">
        <w:rPr>
          <w:color w:val="00B0F0"/>
          <w:lang w:eastAsia="zh-HK"/>
        </w:rPr>
        <w:t>Finally, the small sample size in this study precluded by using more sophisticated statistical approaches such as structural equation modelling. Future studies with a larger sample size would enable modelling the concerned constructs as latent variables</w:t>
      </w:r>
      <w:r w:rsidR="00BE6E63" w:rsidRPr="00783952">
        <w:rPr>
          <w:color w:val="00B0F0"/>
          <w:lang w:eastAsia="zh-HK"/>
        </w:rPr>
        <w:t xml:space="preserve">.  </w:t>
      </w:r>
    </w:p>
    <w:p w14:paraId="5B53E1AE" w14:textId="77777777" w:rsidR="000518C6" w:rsidRPr="00F07407" w:rsidRDefault="000518C6" w:rsidP="000518C6">
      <w:pPr>
        <w:spacing w:line="480" w:lineRule="auto"/>
        <w:rPr>
          <w:b/>
          <w:bCs/>
          <w:lang w:eastAsia="zh-HK"/>
        </w:rPr>
      </w:pPr>
      <w:r w:rsidRPr="00F07407">
        <w:rPr>
          <w:b/>
          <w:bCs/>
          <w:lang w:eastAsia="zh-HK"/>
        </w:rPr>
        <w:t>Conclusions and implications</w:t>
      </w:r>
    </w:p>
    <w:p w14:paraId="3C05C46D" w14:textId="7AEC1022" w:rsidR="00D606E9" w:rsidRPr="00F07407" w:rsidRDefault="000518C6" w:rsidP="00D606E9">
      <w:pPr>
        <w:spacing w:line="480" w:lineRule="auto"/>
        <w:ind w:firstLine="567"/>
        <w:rPr>
          <w:lang w:eastAsia="zh-HK"/>
        </w:rPr>
      </w:pPr>
      <w:r w:rsidRPr="00F07407">
        <w:rPr>
          <w:lang w:eastAsia="zh-HK"/>
        </w:rPr>
        <w:t xml:space="preserve">Despite these limitations, the </w:t>
      </w:r>
      <w:r w:rsidR="009806CD" w:rsidRPr="00F07407">
        <w:rPr>
          <w:lang w:eastAsia="zh-HK"/>
        </w:rPr>
        <w:t xml:space="preserve">present </w:t>
      </w:r>
      <w:r w:rsidR="00074E65" w:rsidRPr="00F07407">
        <w:rPr>
          <w:lang w:eastAsia="zh-HK"/>
        </w:rPr>
        <w:t>results</w:t>
      </w:r>
      <w:r w:rsidRPr="00F07407">
        <w:rPr>
          <w:lang w:eastAsia="zh-HK"/>
        </w:rPr>
        <w:t xml:space="preserve"> contributed to </w:t>
      </w:r>
      <w:r w:rsidR="000D58CF" w:rsidRPr="00F07407">
        <w:rPr>
          <w:lang w:eastAsia="zh-HK"/>
        </w:rPr>
        <w:t xml:space="preserve">the </w:t>
      </w:r>
      <w:r w:rsidRPr="00F07407">
        <w:rPr>
          <w:lang w:eastAsia="zh-HK"/>
        </w:rPr>
        <w:t xml:space="preserve">theory by </w:t>
      </w:r>
      <w:r w:rsidR="009806CD" w:rsidRPr="00F07407">
        <w:rPr>
          <w:lang w:eastAsia="zh-HK"/>
        </w:rPr>
        <w:t xml:space="preserve">showing how a varied and reachable home play environment </w:t>
      </w:r>
      <w:r w:rsidR="00BE02DE" w:rsidRPr="00F07407">
        <w:rPr>
          <w:lang w:eastAsia="zh-HK"/>
        </w:rPr>
        <w:t>might</w:t>
      </w:r>
      <w:r w:rsidR="009806CD" w:rsidRPr="00F07407">
        <w:rPr>
          <w:lang w:eastAsia="zh-HK"/>
        </w:rPr>
        <w:t xml:space="preserve"> impact children’s subsequent mastery motivation and school readiness</w:t>
      </w:r>
      <w:r w:rsidRPr="00F07407">
        <w:rPr>
          <w:lang w:eastAsia="zh-HK"/>
        </w:rPr>
        <w:t xml:space="preserve">. </w:t>
      </w:r>
      <w:r w:rsidR="0068328C" w:rsidRPr="0068328C">
        <w:rPr>
          <w:color w:val="00B0F0"/>
          <w:lang w:eastAsia="zh-HK"/>
        </w:rPr>
        <w:t xml:space="preserve">Prior research primarily examined how a learning-oriented and cognitively stimulating home environment may facilitate children’s school readiness (e.g., Baker, 2014; Korucu et al., 2020; Lahaie, 2008). </w:t>
      </w:r>
      <w:bookmarkStart w:id="2" w:name="_Hlk109389369"/>
      <w:r w:rsidR="0068328C" w:rsidRPr="0068328C">
        <w:rPr>
          <w:color w:val="00B0F0"/>
          <w:lang w:eastAsia="zh-HK"/>
        </w:rPr>
        <w:t xml:space="preserve">Findings from this study indicated an alternative perspective in supporting children’s formal school transition by attuning the home environment to promote children’s mastery motivation through daily play activities. This </w:t>
      </w:r>
      <w:r w:rsidR="0068328C" w:rsidRPr="0068328C">
        <w:rPr>
          <w:color w:val="00B0F0"/>
          <w:lang w:eastAsia="zh-HK"/>
        </w:rPr>
        <w:lastRenderedPageBreak/>
        <w:t>perspective emphasizes the utility of strengthening family support policies, such as the further popularization of toy libraries (Bastiansen &amp; Wharton, 2015) and the promotion of parental play belief (Hyun et al., 2021), which can extend the beneficial impacts of household play, especially to those from the low socioeconomic strata. These approaches may promote children’s school readiness more naturally and enjoyably</w:t>
      </w:r>
      <w:bookmarkEnd w:id="2"/>
      <w:r w:rsidR="00C22108">
        <w:rPr>
          <w:color w:val="00B0F0"/>
          <w:lang w:eastAsia="zh-HK"/>
        </w:rPr>
        <w:t xml:space="preserve">. </w:t>
      </w:r>
      <w:r w:rsidR="002E160E">
        <w:rPr>
          <w:lang w:eastAsia="zh-HK"/>
        </w:rPr>
        <w:t>Practically speaking, t</w:t>
      </w:r>
      <w:r w:rsidR="009806CD" w:rsidRPr="00F07407">
        <w:rPr>
          <w:lang w:eastAsia="zh-HK"/>
        </w:rPr>
        <w:t xml:space="preserve">he </w:t>
      </w:r>
      <w:r w:rsidR="00074E65" w:rsidRPr="00F07407">
        <w:rPr>
          <w:lang w:eastAsia="zh-HK"/>
        </w:rPr>
        <w:t>findings</w:t>
      </w:r>
      <w:r w:rsidR="009806CD" w:rsidRPr="00F07407">
        <w:rPr>
          <w:lang w:eastAsia="zh-HK"/>
        </w:rPr>
        <w:t xml:space="preserve"> </w:t>
      </w:r>
      <w:r w:rsidR="00582B08">
        <w:rPr>
          <w:lang w:eastAsia="zh-HK"/>
        </w:rPr>
        <w:t xml:space="preserve">also </w:t>
      </w:r>
      <w:r w:rsidR="00BE02DE" w:rsidRPr="00F07407">
        <w:rPr>
          <w:lang w:eastAsia="zh-HK"/>
        </w:rPr>
        <w:t xml:space="preserve">highlighted the </w:t>
      </w:r>
      <w:r w:rsidR="00074E65" w:rsidRPr="00F07407">
        <w:rPr>
          <w:lang w:eastAsia="zh-HK"/>
        </w:rPr>
        <w:t>distinctive</w:t>
      </w:r>
      <w:r w:rsidR="00BE02DE" w:rsidRPr="00F07407">
        <w:rPr>
          <w:lang w:eastAsia="zh-HK"/>
        </w:rPr>
        <w:t xml:space="preserve"> </w:t>
      </w:r>
      <w:r w:rsidR="001E0054" w:rsidRPr="00F07407">
        <w:rPr>
          <w:lang w:eastAsia="zh-HK"/>
        </w:rPr>
        <w:t>relationships</w:t>
      </w:r>
      <w:r w:rsidR="00BE02DE" w:rsidRPr="00F07407">
        <w:rPr>
          <w:lang w:eastAsia="zh-HK"/>
        </w:rPr>
        <w:t xml:space="preserve"> of object and social mastery motivation </w:t>
      </w:r>
      <w:r w:rsidR="001E0054" w:rsidRPr="00F07407">
        <w:rPr>
          <w:lang w:eastAsia="zh-HK"/>
        </w:rPr>
        <w:t>with</w:t>
      </w:r>
      <w:r w:rsidR="00BE02DE" w:rsidRPr="00F07407">
        <w:rPr>
          <w:lang w:eastAsia="zh-HK"/>
        </w:rPr>
        <w:t xml:space="preserve"> children’s school readiness. Apart from the predominant focus on </w:t>
      </w:r>
      <w:r w:rsidR="00183BF8" w:rsidRPr="00F07407">
        <w:rPr>
          <w:lang w:eastAsia="zh-HK"/>
        </w:rPr>
        <w:t>fostering</w:t>
      </w:r>
      <w:r w:rsidR="00BE02DE" w:rsidRPr="00F07407">
        <w:rPr>
          <w:lang w:eastAsia="zh-HK"/>
        </w:rPr>
        <w:t xml:space="preserve"> children’s persistence in tackling challenging cognitive tasks (e.g., </w:t>
      </w:r>
      <w:r w:rsidR="003D451C" w:rsidRPr="00F07407">
        <w:rPr>
          <w:lang w:eastAsia="zh-HK"/>
        </w:rPr>
        <w:t>consistent</w:t>
      </w:r>
      <w:r w:rsidR="00D606E9" w:rsidRPr="00F07407">
        <w:rPr>
          <w:lang w:eastAsia="zh-HK"/>
        </w:rPr>
        <w:t xml:space="preserve"> </w:t>
      </w:r>
      <w:r w:rsidR="00BE02DE" w:rsidRPr="00F07407">
        <w:rPr>
          <w:lang w:eastAsia="zh-HK"/>
        </w:rPr>
        <w:t xml:space="preserve">praising </w:t>
      </w:r>
      <w:r w:rsidR="00D606E9" w:rsidRPr="00F07407">
        <w:rPr>
          <w:lang w:eastAsia="zh-HK"/>
        </w:rPr>
        <w:t xml:space="preserve">of </w:t>
      </w:r>
      <w:r w:rsidR="00074E65" w:rsidRPr="00F07407">
        <w:rPr>
          <w:lang w:eastAsia="zh-HK"/>
        </w:rPr>
        <w:t xml:space="preserve">children’s </w:t>
      </w:r>
      <w:r w:rsidR="00BE02DE" w:rsidRPr="00F07407">
        <w:rPr>
          <w:lang w:eastAsia="zh-HK"/>
        </w:rPr>
        <w:t>effort</w:t>
      </w:r>
      <w:r w:rsidR="00074E65" w:rsidRPr="00F07407">
        <w:rPr>
          <w:lang w:eastAsia="zh-HK"/>
        </w:rPr>
        <w:t xml:space="preserve"> instead of success</w:t>
      </w:r>
      <w:r w:rsidR="00BE02DE" w:rsidRPr="00F07407">
        <w:rPr>
          <w:lang w:eastAsia="zh-HK"/>
        </w:rPr>
        <w:t xml:space="preserve">; </w:t>
      </w:r>
      <w:r w:rsidR="00EC178E" w:rsidRPr="00F07407">
        <w:rPr>
          <w:lang w:eastAsia="zh-HK"/>
        </w:rPr>
        <w:t>Zentall &amp; Morris, 2010), i</w:t>
      </w:r>
      <w:r w:rsidR="009A699E" w:rsidRPr="00F07407">
        <w:rPr>
          <w:lang w:eastAsia="zh-HK"/>
        </w:rPr>
        <w:t xml:space="preserve">ntervention effort targeting </w:t>
      </w:r>
      <w:r w:rsidR="00EC178E" w:rsidRPr="00F07407">
        <w:rPr>
          <w:lang w:eastAsia="zh-HK"/>
        </w:rPr>
        <w:t xml:space="preserve">children’s persistence </w:t>
      </w:r>
      <w:r w:rsidR="00183BF8" w:rsidRPr="00F07407">
        <w:rPr>
          <w:lang w:eastAsia="zh-HK"/>
        </w:rPr>
        <w:t>in having social interaction</w:t>
      </w:r>
      <w:r w:rsidR="00074E65" w:rsidRPr="00F07407">
        <w:rPr>
          <w:lang w:eastAsia="zh-HK"/>
        </w:rPr>
        <w:t>,</w:t>
      </w:r>
      <w:r w:rsidR="00183BF8" w:rsidRPr="00F07407">
        <w:rPr>
          <w:lang w:eastAsia="zh-HK"/>
        </w:rPr>
        <w:t xml:space="preserve"> </w:t>
      </w:r>
      <w:r w:rsidR="00EC178E" w:rsidRPr="00F07407">
        <w:rPr>
          <w:lang w:eastAsia="zh-HK"/>
        </w:rPr>
        <w:t>such as increased home play opportunity with parental scaffolding</w:t>
      </w:r>
      <w:r w:rsidR="00183BF8" w:rsidRPr="00F07407">
        <w:rPr>
          <w:lang w:eastAsia="zh-HK"/>
        </w:rPr>
        <w:t xml:space="preserve"> (Lunkenheimer &amp; Wang, 2017) or heightened day-to-day </w:t>
      </w:r>
      <w:r w:rsidR="00EC178E" w:rsidRPr="00F07407">
        <w:rPr>
          <w:lang w:eastAsia="zh-HK"/>
        </w:rPr>
        <w:t>parental responsiveness</w:t>
      </w:r>
      <w:r w:rsidR="009A699E" w:rsidRPr="00F07407">
        <w:rPr>
          <w:lang w:eastAsia="zh-HK"/>
        </w:rPr>
        <w:t xml:space="preserve"> </w:t>
      </w:r>
      <w:r w:rsidR="00183BF8" w:rsidRPr="00F07407">
        <w:rPr>
          <w:lang w:eastAsia="zh-HK"/>
        </w:rPr>
        <w:t>(</w:t>
      </w:r>
      <w:r w:rsidR="00411561" w:rsidRPr="00F07407">
        <w:rPr>
          <w:lang w:eastAsia="zh-HK"/>
        </w:rPr>
        <w:t>Fung</w:t>
      </w:r>
      <w:r w:rsidR="001E0054" w:rsidRPr="00F07407">
        <w:rPr>
          <w:lang w:eastAsia="zh-HK"/>
        </w:rPr>
        <w:t>, 2021</w:t>
      </w:r>
      <w:r w:rsidR="00183BF8" w:rsidRPr="00F07407">
        <w:rPr>
          <w:lang w:eastAsia="zh-HK"/>
        </w:rPr>
        <w:t>)</w:t>
      </w:r>
      <w:r w:rsidR="00074E65" w:rsidRPr="00F07407">
        <w:rPr>
          <w:lang w:eastAsia="zh-HK"/>
        </w:rPr>
        <w:t>,</w:t>
      </w:r>
      <w:r w:rsidR="00183BF8" w:rsidRPr="00F07407">
        <w:rPr>
          <w:lang w:eastAsia="zh-HK"/>
        </w:rPr>
        <w:t xml:space="preserve"> may also promote children’s school readiness</w:t>
      </w:r>
      <w:r w:rsidR="000C337F" w:rsidRPr="00F07407">
        <w:rPr>
          <w:lang w:eastAsia="zh-HK"/>
        </w:rPr>
        <w:t>.</w:t>
      </w:r>
      <w:r w:rsidR="002E160E">
        <w:rPr>
          <w:lang w:eastAsia="zh-HK"/>
        </w:rPr>
        <w:t xml:space="preserve"> </w:t>
      </w:r>
      <w:bookmarkStart w:id="3" w:name="_Hlk109389384"/>
      <w:r w:rsidR="00782D28" w:rsidRPr="00782D28">
        <w:rPr>
          <w:color w:val="00B0F0"/>
          <w:lang w:eastAsia="zh-HK"/>
        </w:rPr>
        <w:t>In the kindergarten context, teachers can keep track of and advocate for children’s constructive social communication while engaging in learning tasks or play activities given that these social mastery behaviors may contribute to school readiness, over and above the cognitive effort children make</w:t>
      </w:r>
      <w:bookmarkEnd w:id="3"/>
      <w:r w:rsidR="005A46FA" w:rsidRPr="005A46FA">
        <w:rPr>
          <w:color w:val="00B0F0"/>
          <w:lang w:eastAsia="zh-HK"/>
        </w:rPr>
        <w:t>.</w:t>
      </w:r>
      <w:r w:rsidR="002E160E" w:rsidRPr="005A46FA">
        <w:rPr>
          <w:color w:val="00B0F0"/>
          <w:lang w:eastAsia="zh-HK"/>
        </w:rPr>
        <w:t xml:space="preserve">  </w:t>
      </w:r>
    </w:p>
    <w:p w14:paraId="444D58DF" w14:textId="77777777" w:rsidR="00D606E9" w:rsidRPr="00F07407" w:rsidRDefault="00D606E9">
      <w:pPr>
        <w:widowControl/>
        <w:rPr>
          <w:lang w:eastAsia="zh-HK"/>
        </w:rPr>
      </w:pPr>
      <w:r w:rsidRPr="00F07407">
        <w:rPr>
          <w:lang w:eastAsia="zh-HK"/>
        </w:rPr>
        <w:br w:type="page"/>
      </w:r>
    </w:p>
    <w:p w14:paraId="66574398" w14:textId="77777777" w:rsidR="000A1A3D" w:rsidRPr="00F07407" w:rsidRDefault="000A1A3D" w:rsidP="00D606E9">
      <w:pPr>
        <w:spacing w:line="480" w:lineRule="auto"/>
        <w:ind w:firstLine="567"/>
        <w:jc w:val="center"/>
        <w:rPr>
          <w:b/>
          <w:bCs/>
          <w:lang w:eastAsia="zh-HK"/>
        </w:rPr>
      </w:pPr>
      <w:r w:rsidRPr="00F07407">
        <w:rPr>
          <w:b/>
          <w:bCs/>
          <w:lang w:eastAsia="zh-HK"/>
        </w:rPr>
        <w:lastRenderedPageBreak/>
        <w:t>R</w:t>
      </w:r>
      <w:r w:rsidR="009F3707" w:rsidRPr="00F07407">
        <w:rPr>
          <w:b/>
          <w:bCs/>
          <w:lang w:eastAsia="zh-HK"/>
        </w:rPr>
        <w:t>eferences</w:t>
      </w:r>
    </w:p>
    <w:p w14:paraId="3CC8FD3A" w14:textId="77777777" w:rsidR="00B162AD" w:rsidRPr="00B162AD" w:rsidRDefault="00B162AD" w:rsidP="009A6B43">
      <w:pPr>
        <w:keepLines/>
        <w:widowControl/>
        <w:spacing w:after="120" w:line="480" w:lineRule="auto"/>
        <w:ind w:left="720" w:hanging="720"/>
        <w:rPr>
          <w:color w:val="00B0F0"/>
          <w:szCs w:val="20"/>
          <w:lang w:eastAsia="zh-HK"/>
        </w:rPr>
      </w:pPr>
      <w:bookmarkStart w:id="4" w:name="_Hlk503262126"/>
      <w:r w:rsidRPr="00B162AD">
        <w:rPr>
          <w:color w:val="00B0F0"/>
          <w:szCs w:val="20"/>
          <w:lang w:eastAsia="zh-HK"/>
        </w:rPr>
        <w:t xml:space="preserve">Baker, C. E. (2014). Mexican </w:t>
      </w:r>
      <w:r>
        <w:rPr>
          <w:color w:val="00B0F0"/>
          <w:szCs w:val="20"/>
          <w:lang w:eastAsia="zh-HK"/>
        </w:rPr>
        <w:t>m</w:t>
      </w:r>
      <w:r w:rsidRPr="00B162AD">
        <w:rPr>
          <w:color w:val="00B0F0"/>
          <w:szCs w:val="20"/>
          <w:lang w:eastAsia="zh-HK"/>
        </w:rPr>
        <w:t xml:space="preserve">others’ </w:t>
      </w:r>
      <w:proofErr w:type="spellStart"/>
      <w:r>
        <w:rPr>
          <w:color w:val="00B0F0"/>
          <w:szCs w:val="20"/>
          <w:lang w:eastAsia="zh-HK"/>
        </w:rPr>
        <w:t>e</w:t>
      </w:r>
      <w:r w:rsidRPr="00B162AD">
        <w:rPr>
          <w:color w:val="00B0F0"/>
          <w:szCs w:val="20"/>
          <w:lang w:eastAsia="zh-HK"/>
        </w:rPr>
        <w:t>nglish</w:t>
      </w:r>
      <w:proofErr w:type="spellEnd"/>
      <w:r w:rsidRPr="00B162AD">
        <w:rPr>
          <w:color w:val="00B0F0"/>
          <w:szCs w:val="20"/>
          <w:lang w:eastAsia="zh-HK"/>
        </w:rPr>
        <w:t xml:space="preserve"> </w:t>
      </w:r>
      <w:r>
        <w:rPr>
          <w:color w:val="00B0F0"/>
          <w:szCs w:val="20"/>
          <w:lang w:eastAsia="zh-HK"/>
        </w:rPr>
        <w:t>p</w:t>
      </w:r>
      <w:r w:rsidRPr="00B162AD">
        <w:rPr>
          <w:color w:val="00B0F0"/>
          <w:szCs w:val="20"/>
          <w:lang w:eastAsia="zh-HK"/>
        </w:rPr>
        <w:t xml:space="preserve">roficiency and </w:t>
      </w:r>
      <w:r>
        <w:rPr>
          <w:color w:val="00B0F0"/>
          <w:szCs w:val="20"/>
          <w:lang w:eastAsia="zh-HK"/>
        </w:rPr>
        <w:t>c</w:t>
      </w:r>
      <w:r w:rsidRPr="00B162AD">
        <w:rPr>
          <w:color w:val="00B0F0"/>
          <w:szCs w:val="20"/>
          <w:lang w:eastAsia="zh-HK"/>
        </w:rPr>
        <w:t xml:space="preserve">hildren’s </w:t>
      </w:r>
      <w:r>
        <w:rPr>
          <w:color w:val="00B0F0"/>
          <w:szCs w:val="20"/>
          <w:lang w:eastAsia="zh-HK"/>
        </w:rPr>
        <w:t>s</w:t>
      </w:r>
      <w:r w:rsidRPr="00B162AD">
        <w:rPr>
          <w:color w:val="00B0F0"/>
          <w:szCs w:val="20"/>
          <w:lang w:eastAsia="zh-HK"/>
        </w:rPr>
        <w:t xml:space="preserve">chool </w:t>
      </w:r>
      <w:r>
        <w:rPr>
          <w:color w:val="00B0F0"/>
          <w:szCs w:val="20"/>
          <w:lang w:eastAsia="zh-HK"/>
        </w:rPr>
        <w:t>r</w:t>
      </w:r>
      <w:r w:rsidRPr="00B162AD">
        <w:rPr>
          <w:color w:val="00B0F0"/>
          <w:szCs w:val="20"/>
          <w:lang w:eastAsia="zh-HK"/>
        </w:rPr>
        <w:t xml:space="preserve">eadiness: Mediation </w:t>
      </w:r>
      <w:r>
        <w:rPr>
          <w:color w:val="00B0F0"/>
          <w:szCs w:val="20"/>
          <w:lang w:eastAsia="zh-HK"/>
        </w:rPr>
        <w:t>t</w:t>
      </w:r>
      <w:r w:rsidRPr="00B162AD">
        <w:rPr>
          <w:color w:val="00B0F0"/>
          <w:szCs w:val="20"/>
          <w:lang w:eastAsia="zh-HK"/>
        </w:rPr>
        <w:t xml:space="preserve">hrough </w:t>
      </w:r>
      <w:r>
        <w:rPr>
          <w:color w:val="00B0F0"/>
          <w:szCs w:val="20"/>
          <w:lang w:eastAsia="zh-HK"/>
        </w:rPr>
        <w:t>h</w:t>
      </w:r>
      <w:r w:rsidRPr="00B162AD">
        <w:rPr>
          <w:color w:val="00B0F0"/>
          <w:szCs w:val="20"/>
          <w:lang w:eastAsia="zh-HK"/>
        </w:rPr>
        <w:t xml:space="preserve">ome </w:t>
      </w:r>
      <w:r>
        <w:rPr>
          <w:color w:val="00B0F0"/>
          <w:szCs w:val="20"/>
          <w:lang w:eastAsia="zh-HK"/>
        </w:rPr>
        <w:t>l</w:t>
      </w:r>
      <w:r w:rsidRPr="00B162AD">
        <w:rPr>
          <w:color w:val="00B0F0"/>
          <w:szCs w:val="20"/>
          <w:lang w:eastAsia="zh-HK"/>
        </w:rPr>
        <w:t xml:space="preserve">iteracy </w:t>
      </w:r>
      <w:r>
        <w:rPr>
          <w:color w:val="00B0F0"/>
          <w:szCs w:val="20"/>
          <w:lang w:eastAsia="zh-HK"/>
        </w:rPr>
        <w:t>i</w:t>
      </w:r>
      <w:r w:rsidRPr="00B162AD">
        <w:rPr>
          <w:color w:val="00B0F0"/>
          <w:szCs w:val="20"/>
          <w:lang w:eastAsia="zh-HK"/>
        </w:rPr>
        <w:t xml:space="preserve">nvolvement. </w:t>
      </w:r>
      <w:r w:rsidRPr="00B162AD">
        <w:rPr>
          <w:i/>
          <w:iCs/>
          <w:color w:val="00B0F0"/>
          <w:szCs w:val="20"/>
          <w:lang w:eastAsia="zh-HK"/>
        </w:rPr>
        <w:t>Early Education and Development, 25</w:t>
      </w:r>
      <w:r w:rsidRPr="00B162AD">
        <w:rPr>
          <w:color w:val="00B0F0"/>
          <w:szCs w:val="20"/>
          <w:lang w:eastAsia="zh-HK"/>
        </w:rPr>
        <w:t>(3), 338–355. https://doi.org/10.1080/10409289.2013.807721</w:t>
      </w:r>
    </w:p>
    <w:p w14:paraId="05A78034" w14:textId="77777777" w:rsidR="007E5935" w:rsidRPr="007E5935" w:rsidRDefault="007E5935" w:rsidP="009A6B43">
      <w:pPr>
        <w:keepLines/>
        <w:widowControl/>
        <w:spacing w:after="120" w:line="480" w:lineRule="auto"/>
        <w:ind w:left="720" w:hanging="720"/>
        <w:rPr>
          <w:color w:val="00B0F0"/>
          <w:szCs w:val="20"/>
          <w:lang w:eastAsia="zh-HK"/>
        </w:rPr>
      </w:pPr>
      <w:r w:rsidRPr="007E5935">
        <w:rPr>
          <w:color w:val="00B0F0"/>
          <w:szCs w:val="20"/>
          <w:lang w:eastAsia="zh-HK"/>
        </w:rPr>
        <w:t xml:space="preserve">Bastiansen, C., &amp; Wharton, J. (2015). Getting </w:t>
      </w:r>
      <w:r>
        <w:rPr>
          <w:rFonts w:hint="eastAsia"/>
          <w:color w:val="00B0F0"/>
          <w:szCs w:val="20"/>
          <w:lang w:val="en-HK" w:eastAsia="zh-HK"/>
        </w:rPr>
        <w:t>r</w:t>
      </w:r>
      <w:proofErr w:type="spellStart"/>
      <w:r w:rsidRPr="007E5935">
        <w:rPr>
          <w:color w:val="00B0F0"/>
          <w:szCs w:val="20"/>
          <w:lang w:eastAsia="zh-HK"/>
        </w:rPr>
        <w:t>eady</w:t>
      </w:r>
      <w:proofErr w:type="spellEnd"/>
      <w:r w:rsidRPr="007E5935">
        <w:rPr>
          <w:color w:val="00B0F0"/>
          <w:szCs w:val="20"/>
          <w:lang w:eastAsia="zh-HK"/>
        </w:rPr>
        <w:t xml:space="preserve"> for </w:t>
      </w:r>
      <w:r>
        <w:rPr>
          <w:color w:val="00B0F0"/>
          <w:szCs w:val="20"/>
          <w:lang w:eastAsia="zh-HK"/>
        </w:rPr>
        <w:t>p</w:t>
      </w:r>
      <w:r w:rsidRPr="007E5935">
        <w:rPr>
          <w:color w:val="00B0F0"/>
          <w:szCs w:val="20"/>
          <w:lang w:eastAsia="zh-HK"/>
        </w:rPr>
        <w:t xml:space="preserve">lay! Toy </w:t>
      </w:r>
      <w:r>
        <w:rPr>
          <w:color w:val="00B0F0"/>
          <w:szCs w:val="20"/>
          <w:lang w:eastAsia="zh-HK"/>
        </w:rPr>
        <w:t>c</w:t>
      </w:r>
      <w:r w:rsidRPr="007E5935">
        <w:rPr>
          <w:color w:val="00B0F0"/>
          <w:szCs w:val="20"/>
          <w:lang w:eastAsia="zh-HK"/>
        </w:rPr>
        <w:t xml:space="preserve">ollections in </w:t>
      </w:r>
      <w:r>
        <w:rPr>
          <w:color w:val="00B0F0"/>
          <w:szCs w:val="20"/>
          <w:lang w:eastAsia="zh-HK"/>
        </w:rPr>
        <w:t>p</w:t>
      </w:r>
      <w:r w:rsidRPr="007E5935">
        <w:rPr>
          <w:color w:val="00B0F0"/>
          <w:szCs w:val="20"/>
          <w:lang w:eastAsia="zh-HK"/>
        </w:rPr>
        <w:t xml:space="preserve">ublic </w:t>
      </w:r>
      <w:r>
        <w:rPr>
          <w:color w:val="00B0F0"/>
          <w:szCs w:val="20"/>
          <w:lang w:eastAsia="zh-HK"/>
        </w:rPr>
        <w:t>l</w:t>
      </w:r>
      <w:r w:rsidRPr="007E5935">
        <w:rPr>
          <w:color w:val="00B0F0"/>
          <w:szCs w:val="20"/>
          <w:lang w:eastAsia="zh-HK"/>
        </w:rPr>
        <w:t xml:space="preserve">ibraries. </w:t>
      </w:r>
      <w:r w:rsidRPr="007E5935">
        <w:rPr>
          <w:i/>
          <w:iCs/>
          <w:color w:val="00B0F0"/>
          <w:szCs w:val="20"/>
          <w:lang w:eastAsia="zh-HK"/>
        </w:rPr>
        <w:t>Children &amp; Libraries, 13</w:t>
      </w:r>
      <w:r w:rsidRPr="007E5935">
        <w:rPr>
          <w:color w:val="00B0F0"/>
          <w:szCs w:val="20"/>
          <w:lang w:eastAsia="zh-HK"/>
        </w:rPr>
        <w:t>(4), 13–. https://doi.org/10.5860/cal13n4.13</w:t>
      </w:r>
    </w:p>
    <w:p w14:paraId="05EDEE1C" w14:textId="77777777" w:rsidR="00C35DF0" w:rsidRPr="00F07407" w:rsidRDefault="00C35DF0" w:rsidP="009A6B43">
      <w:pPr>
        <w:keepLines/>
        <w:widowControl/>
        <w:spacing w:after="120" w:line="480" w:lineRule="auto"/>
        <w:ind w:left="720" w:hanging="720"/>
        <w:rPr>
          <w:szCs w:val="20"/>
          <w:lang w:eastAsia="zh-HK"/>
        </w:rPr>
      </w:pPr>
      <w:r w:rsidRPr="00F07407">
        <w:rPr>
          <w:szCs w:val="20"/>
          <w:lang w:eastAsia="zh-HK"/>
        </w:rPr>
        <w:t xml:space="preserve">Blair, C., &amp; Raver, C. (2015). School readiness and self-regulation: A developmental psychobiological approach. </w:t>
      </w:r>
      <w:r w:rsidRPr="00F07407">
        <w:rPr>
          <w:i/>
          <w:iCs/>
          <w:szCs w:val="20"/>
          <w:lang w:eastAsia="zh-HK"/>
        </w:rPr>
        <w:t>Annual Review of Psychology, 66</w:t>
      </w:r>
      <w:r w:rsidRPr="00F07407">
        <w:rPr>
          <w:szCs w:val="20"/>
          <w:lang w:eastAsia="zh-HK"/>
        </w:rPr>
        <w:t>(1), 711–731. https://doi.org/10.1146/annurev-psych-010814-015221</w:t>
      </w:r>
    </w:p>
    <w:p w14:paraId="13D469E3" w14:textId="77777777" w:rsidR="002230CC" w:rsidRPr="00F07407" w:rsidRDefault="002230CC" w:rsidP="009A6B43">
      <w:pPr>
        <w:keepLines/>
        <w:widowControl/>
        <w:spacing w:after="120" w:line="480" w:lineRule="auto"/>
        <w:ind w:left="720" w:hanging="720"/>
        <w:rPr>
          <w:lang w:eastAsia="zh-HK"/>
        </w:rPr>
      </w:pPr>
      <w:r w:rsidRPr="00F07407">
        <w:rPr>
          <w:lang w:eastAsia="zh-HK"/>
        </w:rPr>
        <w:t xml:space="preserve">Blair, C., Ursache, A., Greenberg, M., &amp; Vernon-Feagans, L. (2015). Multiple aspects of self-regulation uniquely predict mathematics but not letter-word knowledge in the early elementary grades. </w:t>
      </w:r>
      <w:r w:rsidRPr="00F07407">
        <w:rPr>
          <w:i/>
          <w:iCs/>
          <w:lang w:eastAsia="zh-HK"/>
        </w:rPr>
        <w:t>Developmental Psychology, 51</w:t>
      </w:r>
      <w:r w:rsidRPr="00F07407">
        <w:rPr>
          <w:lang w:eastAsia="zh-HK"/>
        </w:rPr>
        <w:t>(4), 459–472. https://doi.org/10.1037/a0038813</w:t>
      </w:r>
    </w:p>
    <w:p w14:paraId="56EEE867" w14:textId="77777777" w:rsidR="007912C6" w:rsidRPr="007912C6" w:rsidRDefault="007912C6" w:rsidP="009A6B43">
      <w:pPr>
        <w:keepLines/>
        <w:widowControl/>
        <w:spacing w:after="120" w:line="480" w:lineRule="auto"/>
        <w:ind w:left="720" w:hanging="720"/>
        <w:rPr>
          <w:color w:val="00B0F0"/>
          <w:lang w:eastAsia="zh-HK"/>
        </w:rPr>
      </w:pPr>
      <w:r w:rsidRPr="007912C6">
        <w:rPr>
          <w:color w:val="00B0F0"/>
          <w:lang w:eastAsia="zh-HK"/>
        </w:rPr>
        <w:t xml:space="preserve">Bradley, R. H., Caldwell, B. M., &amp; Corwyn, R. F. (2003). The Child Care HOME Inventories: assessing the quality of family child care homes. </w:t>
      </w:r>
      <w:r w:rsidRPr="007912C6">
        <w:rPr>
          <w:i/>
          <w:iCs/>
          <w:color w:val="00B0F0"/>
          <w:lang w:eastAsia="zh-HK"/>
        </w:rPr>
        <w:t>Early Childhood Research Quarterly, 18</w:t>
      </w:r>
      <w:r w:rsidRPr="007912C6">
        <w:rPr>
          <w:color w:val="00B0F0"/>
          <w:lang w:eastAsia="zh-HK"/>
        </w:rPr>
        <w:t>(3), 294–309. https://doi.org/10.1016/S0885-2006(03)00041-3</w:t>
      </w:r>
    </w:p>
    <w:p w14:paraId="2656A770" w14:textId="77777777" w:rsidR="009A6B43" w:rsidRPr="00F07407" w:rsidRDefault="009A6B43" w:rsidP="009A6B43">
      <w:pPr>
        <w:keepLines/>
        <w:widowControl/>
        <w:spacing w:after="120" w:line="480" w:lineRule="auto"/>
        <w:ind w:left="720" w:hanging="720"/>
        <w:rPr>
          <w:lang w:eastAsia="zh-HK"/>
        </w:rPr>
      </w:pPr>
      <w:r w:rsidRPr="00F07407">
        <w:rPr>
          <w:lang w:eastAsia="zh-HK"/>
        </w:rPr>
        <w:lastRenderedPageBreak/>
        <w:t xml:space="preserve">Busch-Rossnagel, N. A., Knauf-Jensen, D. E., &amp; DesRosiers, F. S. (1995). Mothers and others: The role of the socializing environment in the development of mastery motivation. In R. H. MacTurk, &amp; G. A. Morgan (Eds.), </w:t>
      </w:r>
      <w:r w:rsidRPr="00F07407">
        <w:rPr>
          <w:i/>
          <w:iCs/>
          <w:lang w:eastAsia="zh-HK"/>
        </w:rPr>
        <w:t>Mastery motivation: Origins, conceptualizations, and applications</w:t>
      </w:r>
      <w:r w:rsidRPr="00F07407">
        <w:rPr>
          <w:lang w:eastAsia="zh-HK"/>
        </w:rPr>
        <w:t xml:space="preserve"> (pp. 117–145). Ablex Publishing Corporation.</w:t>
      </w:r>
    </w:p>
    <w:p w14:paraId="65623C5E" w14:textId="77777777" w:rsidR="00C35DF0" w:rsidRPr="00F07407" w:rsidRDefault="00C35DF0" w:rsidP="00C35DF0">
      <w:pPr>
        <w:keepLines/>
        <w:spacing w:after="120" w:line="480" w:lineRule="auto"/>
        <w:ind w:left="720" w:hanging="720"/>
        <w:rPr>
          <w:szCs w:val="20"/>
          <w:lang w:eastAsia="zh-HK"/>
        </w:rPr>
      </w:pPr>
      <w:r w:rsidRPr="00F07407">
        <w:rPr>
          <w:szCs w:val="20"/>
          <w:lang w:eastAsia="zh-HK"/>
        </w:rPr>
        <w:t xml:space="preserve">Campbell, S. B., Denham, S. A., Howarth, G. Z., Jones, S. M., Whittaker, J. V., Williford, A. P., . . . Darling-Churchill, K. (2016). Commentary on the review of measures of early childhood social and emotional development: Conceptualization, critique, and recommendations. </w:t>
      </w:r>
      <w:r w:rsidRPr="00F07407">
        <w:rPr>
          <w:i/>
          <w:szCs w:val="20"/>
          <w:lang w:eastAsia="zh-HK"/>
        </w:rPr>
        <w:t>Journal of Applied Developmental Psychology, 45</w:t>
      </w:r>
      <w:r w:rsidRPr="00F07407">
        <w:rPr>
          <w:szCs w:val="20"/>
          <w:lang w:eastAsia="zh-HK"/>
        </w:rPr>
        <w:t>, 19-41. https://doi.org/10.1080/10.1016/j.appdev.2016.01.008</w:t>
      </w:r>
    </w:p>
    <w:p w14:paraId="04B2C356" w14:textId="77777777" w:rsidR="00CA1A6D" w:rsidRPr="00F07407" w:rsidRDefault="00CA1A6D" w:rsidP="00AD31D9">
      <w:pPr>
        <w:keepLines/>
        <w:spacing w:after="120" w:line="480" w:lineRule="auto"/>
        <w:ind w:left="720" w:hanging="720"/>
        <w:rPr>
          <w:szCs w:val="20"/>
          <w:lang w:eastAsia="zh-HK"/>
        </w:rPr>
      </w:pPr>
      <w:r w:rsidRPr="00F07407">
        <w:rPr>
          <w:szCs w:val="20"/>
          <w:lang w:eastAsia="zh-HK"/>
        </w:rPr>
        <w:t>Coolahan, K</w:t>
      </w:r>
      <w:r w:rsidR="00D606E9" w:rsidRPr="00F07407">
        <w:rPr>
          <w:szCs w:val="20"/>
          <w:lang w:eastAsia="zh-HK"/>
        </w:rPr>
        <w:t>.</w:t>
      </w:r>
      <w:r w:rsidRPr="00F07407">
        <w:rPr>
          <w:szCs w:val="20"/>
          <w:lang w:eastAsia="zh-HK"/>
        </w:rPr>
        <w:t>, Fantuzzo, J</w:t>
      </w:r>
      <w:r w:rsidR="00D606E9" w:rsidRPr="00F07407">
        <w:rPr>
          <w:szCs w:val="20"/>
          <w:lang w:eastAsia="zh-HK"/>
        </w:rPr>
        <w:t>.</w:t>
      </w:r>
      <w:r w:rsidRPr="00F07407">
        <w:rPr>
          <w:szCs w:val="20"/>
          <w:lang w:eastAsia="zh-HK"/>
        </w:rPr>
        <w:t>, Mendez, J</w:t>
      </w:r>
      <w:r w:rsidR="00D606E9" w:rsidRPr="00F07407">
        <w:rPr>
          <w:szCs w:val="20"/>
          <w:lang w:eastAsia="zh-HK"/>
        </w:rPr>
        <w:t>.</w:t>
      </w:r>
      <w:r w:rsidRPr="00F07407">
        <w:rPr>
          <w:szCs w:val="20"/>
          <w:lang w:eastAsia="zh-HK"/>
        </w:rPr>
        <w:t xml:space="preserve">, &amp; McDermott, P. (2000). Preschool peer interactions and readiness to learn: Relationships between classroom peer play and learning behaviors and conduct. </w:t>
      </w:r>
      <w:r w:rsidRPr="00F07407">
        <w:rPr>
          <w:i/>
          <w:iCs/>
          <w:szCs w:val="20"/>
          <w:lang w:eastAsia="zh-HK"/>
        </w:rPr>
        <w:t>Journal of Educational Psychology, 92</w:t>
      </w:r>
      <w:r w:rsidRPr="00F07407">
        <w:rPr>
          <w:szCs w:val="20"/>
          <w:lang w:eastAsia="zh-HK"/>
        </w:rPr>
        <w:t>(3), 458–465. https://doi.org/10.1037//0022-0663.92.3.458</w:t>
      </w:r>
    </w:p>
    <w:p w14:paraId="58FC5DE8" w14:textId="77777777" w:rsidR="00DB2EE8" w:rsidRPr="00F07407" w:rsidRDefault="00DB2EE8" w:rsidP="00183BF8">
      <w:pPr>
        <w:keepLines/>
        <w:widowControl/>
        <w:spacing w:after="120" w:line="480" w:lineRule="auto"/>
        <w:ind w:left="720" w:hanging="720"/>
        <w:rPr>
          <w:lang w:eastAsia="zh-HK"/>
        </w:rPr>
      </w:pPr>
      <w:r w:rsidRPr="00F07407">
        <w:rPr>
          <w:lang w:eastAsia="zh-HK"/>
        </w:rPr>
        <w:t xml:space="preserve">Denham, S. A., &amp; Brown, C. (2010). "Plays nice with others": Social-emotional learning and academic success. </w:t>
      </w:r>
      <w:r w:rsidRPr="00F07407">
        <w:rPr>
          <w:i/>
          <w:iCs/>
          <w:lang w:eastAsia="zh-HK"/>
        </w:rPr>
        <w:t>Early Education and Development, 21</w:t>
      </w:r>
      <w:r w:rsidRPr="00F07407">
        <w:rPr>
          <w:lang w:eastAsia="zh-HK"/>
        </w:rPr>
        <w:t>(5), 652–680. https://doi.org/10.1080/10409289.2010.497450</w:t>
      </w:r>
    </w:p>
    <w:p w14:paraId="64AB78CD" w14:textId="77777777" w:rsidR="005332B0" w:rsidRPr="00F07407" w:rsidRDefault="005332B0" w:rsidP="005332B0">
      <w:pPr>
        <w:keepLines/>
        <w:spacing w:after="120" w:line="480" w:lineRule="auto"/>
        <w:ind w:left="720" w:hanging="720"/>
        <w:rPr>
          <w:szCs w:val="20"/>
          <w:lang w:eastAsia="zh-HK"/>
        </w:rPr>
      </w:pPr>
      <w:r w:rsidRPr="00F07407">
        <w:rPr>
          <w:szCs w:val="20"/>
          <w:lang w:eastAsia="zh-HK"/>
        </w:rPr>
        <w:t xml:space="preserve">Duncan, G. J., Dowsett, C. J., Claessens, A., Magnuson, K., Huston, A. C., Klebanov, P., … Japel, C. (2007). School readiness and later achievement. </w:t>
      </w:r>
      <w:r w:rsidRPr="00F07407">
        <w:rPr>
          <w:i/>
          <w:iCs/>
          <w:szCs w:val="20"/>
          <w:lang w:eastAsia="zh-HK"/>
        </w:rPr>
        <w:t>Developmental Psychology, 43</w:t>
      </w:r>
      <w:r w:rsidRPr="00F07407">
        <w:rPr>
          <w:szCs w:val="20"/>
          <w:lang w:eastAsia="zh-HK"/>
        </w:rPr>
        <w:t>, 1428–1446. https ://doi.org/10.1037/0012-1649.43.6.1428</w:t>
      </w:r>
    </w:p>
    <w:p w14:paraId="2146436A" w14:textId="77777777" w:rsidR="005332B0" w:rsidRPr="00F07407" w:rsidRDefault="00CA6C9F" w:rsidP="00871BC9">
      <w:pPr>
        <w:keepLines/>
        <w:widowControl/>
        <w:spacing w:after="120" w:line="480" w:lineRule="auto"/>
        <w:ind w:left="720" w:hanging="720"/>
        <w:rPr>
          <w:szCs w:val="20"/>
          <w:lang w:eastAsia="zh-HK"/>
        </w:rPr>
      </w:pPr>
      <w:r w:rsidRPr="00F07407">
        <w:rPr>
          <w:szCs w:val="20"/>
          <w:lang w:eastAsia="zh-HK"/>
        </w:rPr>
        <w:lastRenderedPageBreak/>
        <w:t xml:space="preserve">Eisenberg, N., Valiente, C., &amp; Eggum, N. (2010). Self-regulation and school readiness. </w:t>
      </w:r>
      <w:r w:rsidRPr="00F07407">
        <w:rPr>
          <w:i/>
          <w:iCs/>
          <w:szCs w:val="20"/>
          <w:lang w:eastAsia="zh-HK"/>
        </w:rPr>
        <w:t>Early Education and Development, 21</w:t>
      </w:r>
      <w:r w:rsidRPr="00F07407">
        <w:rPr>
          <w:szCs w:val="20"/>
          <w:lang w:eastAsia="zh-HK"/>
        </w:rPr>
        <w:t>, 681–698. https ://doi.org/10.1080/10409289.2010.497451</w:t>
      </w:r>
      <w:r w:rsidR="005332B0" w:rsidRPr="00F07407">
        <w:rPr>
          <w:szCs w:val="20"/>
          <w:lang w:eastAsia="zh-HK"/>
        </w:rPr>
        <w:t>.</w:t>
      </w:r>
    </w:p>
    <w:p w14:paraId="1F95056A" w14:textId="77777777" w:rsidR="000809CA" w:rsidRPr="00F07407" w:rsidRDefault="000809CA" w:rsidP="000809CA">
      <w:pPr>
        <w:keepLines/>
        <w:widowControl/>
        <w:spacing w:after="120" w:line="480" w:lineRule="auto"/>
        <w:ind w:left="720" w:hanging="720"/>
        <w:rPr>
          <w:lang w:eastAsia="zh-HK"/>
        </w:rPr>
      </w:pPr>
      <w:r w:rsidRPr="00F07407">
        <w:rPr>
          <w:lang w:eastAsia="zh-HK"/>
        </w:rPr>
        <w:t xml:space="preserve">Fung, W. K. (2021). Social mastery motivation mediates the link between parental responsiveness and children’s social-emotional competence. </w:t>
      </w:r>
      <w:r w:rsidRPr="00F07407">
        <w:rPr>
          <w:i/>
          <w:iCs/>
          <w:lang w:eastAsia="zh-HK"/>
        </w:rPr>
        <w:t>Early Education and Development</w:t>
      </w:r>
      <w:r w:rsidRPr="00F07407">
        <w:rPr>
          <w:lang w:eastAsia="zh-HK"/>
        </w:rPr>
        <w:t>. Advanced online publication. https://doi.org/10.1080/10409289.2021.1957628</w:t>
      </w:r>
    </w:p>
    <w:p w14:paraId="32FD670F" w14:textId="77777777" w:rsidR="00365592" w:rsidRPr="00365592" w:rsidRDefault="00365592" w:rsidP="00365592">
      <w:pPr>
        <w:keepLines/>
        <w:widowControl/>
        <w:spacing w:after="120" w:line="480" w:lineRule="auto"/>
        <w:ind w:left="720" w:hanging="720"/>
        <w:rPr>
          <w:color w:val="00B0F0"/>
          <w:lang w:eastAsia="zh-HK"/>
        </w:rPr>
      </w:pPr>
      <w:r w:rsidRPr="00365592">
        <w:rPr>
          <w:color w:val="00B0F0"/>
          <w:lang w:eastAsia="zh-HK"/>
        </w:rPr>
        <w:t xml:space="preserve">Fung, C. K. H., &amp; Cheng, D. P. W. (2012). Consensus or dissensus? Stakeholders’ views on the role of play in learning. </w:t>
      </w:r>
      <w:r w:rsidRPr="00365592">
        <w:rPr>
          <w:i/>
          <w:iCs/>
          <w:color w:val="00B0F0"/>
          <w:lang w:eastAsia="zh-HK"/>
        </w:rPr>
        <w:t>Early Years, 32</w:t>
      </w:r>
      <w:r w:rsidRPr="00365592">
        <w:rPr>
          <w:color w:val="00B0F0"/>
          <w:lang w:eastAsia="zh-HK"/>
        </w:rPr>
        <w:t>, 17–33. https://doi.org/10.1080/09575146.2011.599794</w:t>
      </w:r>
    </w:p>
    <w:p w14:paraId="3E678317" w14:textId="77777777" w:rsidR="00871BC9" w:rsidRPr="00F07407" w:rsidRDefault="00871BC9" w:rsidP="00871BC9">
      <w:pPr>
        <w:keepLines/>
        <w:widowControl/>
        <w:spacing w:after="120" w:line="480" w:lineRule="auto"/>
        <w:ind w:left="720" w:hanging="720"/>
        <w:rPr>
          <w:lang w:eastAsia="zh-HK"/>
        </w:rPr>
      </w:pPr>
      <w:r w:rsidRPr="00F07407">
        <w:rPr>
          <w:lang w:eastAsia="zh-HK"/>
        </w:rPr>
        <w:t>Fung, W., &amp; Chung, K. K. (2019</w:t>
      </w:r>
      <w:r w:rsidR="008972EE" w:rsidRPr="00F07407">
        <w:rPr>
          <w:lang w:eastAsia="zh-HK"/>
        </w:rPr>
        <w:t>a</w:t>
      </w:r>
      <w:r w:rsidRPr="00F07407">
        <w:rPr>
          <w:lang w:eastAsia="zh-HK"/>
        </w:rPr>
        <w:t xml:space="preserve">). The direct and indirect relationships among kindergarten children’s social mastery motivation, receptive vocabulary, and socioemotional skills. </w:t>
      </w:r>
      <w:r w:rsidRPr="00F07407">
        <w:rPr>
          <w:i/>
          <w:iCs/>
          <w:lang w:eastAsia="zh-HK"/>
        </w:rPr>
        <w:t>Current Psychology</w:t>
      </w:r>
      <w:r w:rsidRPr="00F07407">
        <w:rPr>
          <w:lang w:eastAsia="zh-HK"/>
        </w:rPr>
        <w:t>. https://doi.org/10.1007/s12144-019-00523-3</w:t>
      </w:r>
    </w:p>
    <w:p w14:paraId="241CDEA0" w14:textId="77777777" w:rsidR="008972EE" w:rsidRPr="00F07407" w:rsidRDefault="008972EE" w:rsidP="00871BC9">
      <w:pPr>
        <w:keepLines/>
        <w:widowControl/>
        <w:spacing w:after="120" w:line="480" w:lineRule="auto"/>
        <w:ind w:left="720" w:hanging="720"/>
        <w:rPr>
          <w:lang w:eastAsia="zh-HK"/>
        </w:rPr>
      </w:pPr>
      <w:r w:rsidRPr="00F07407">
        <w:rPr>
          <w:lang w:eastAsia="zh-HK"/>
        </w:rPr>
        <w:t xml:space="preserve">Fung, W., &amp; Chung, K. K. (2019b). The roles of social mastery motivation and parental response in preschoolers’ vocabulary knowledge and self-regulation. </w:t>
      </w:r>
      <w:r w:rsidR="00980872" w:rsidRPr="00F07407">
        <w:rPr>
          <w:i/>
          <w:iCs/>
          <w:lang w:eastAsia="zh-HK"/>
        </w:rPr>
        <w:t>Early Child Development and Care, 191</w:t>
      </w:r>
      <w:r w:rsidR="00980872" w:rsidRPr="00F07407">
        <w:rPr>
          <w:lang w:eastAsia="zh-HK"/>
        </w:rPr>
        <w:t>(1), 21–35</w:t>
      </w:r>
      <w:r w:rsidRPr="00F07407">
        <w:rPr>
          <w:lang w:eastAsia="zh-HK"/>
        </w:rPr>
        <w:t xml:space="preserve">. </w:t>
      </w:r>
      <w:r w:rsidR="00980872" w:rsidRPr="00F07407">
        <w:rPr>
          <w:lang w:eastAsia="zh-HK"/>
        </w:rPr>
        <w:t>https://doi.org/10.1080/03004430.2019.1596902</w:t>
      </w:r>
    </w:p>
    <w:p w14:paraId="02956EBB" w14:textId="77777777" w:rsidR="00560BD7" w:rsidRPr="00F07407" w:rsidRDefault="00560BD7" w:rsidP="004D15A0">
      <w:pPr>
        <w:keepLines/>
        <w:widowControl/>
        <w:spacing w:after="120" w:line="480" w:lineRule="auto"/>
        <w:ind w:left="720" w:hanging="720"/>
        <w:rPr>
          <w:lang w:eastAsia="zh-HK"/>
        </w:rPr>
      </w:pPr>
      <w:r w:rsidRPr="00F07407">
        <w:rPr>
          <w:lang w:eastAsia="zh-HK"/>
        </w:rPr>
        <w:lastRenderedPageBreak/>
        <w:t xml:space="preserve">Fung, W. K., &amp; Chung, K. K. H. (2021). Associations between overexcitabilities and playfulness of kindergarten children. </w:t>
      </w:r>
      <w:r w:rsidRPr="00F07407">
        <w:rPr>
          <w:i/>
          <w:iCs/>
          <w:lang w:eastAsia="zh-HK"/>
        </w:rPr>
        <w:t>Thinking Skills and Creativity, 40</w:t>
      </w:r>
      <w:r w:rsidRPr="00F07407">
        <w:rPr>
          <w:lang w:eastAsia="zh-HK"/>
        </w:rPr>
        <w:t>, 100834. https://doi.org/10.1016/j.tsc.2021.100834</w:t>
      </w:r>
    </w:p>
    <w:p w14:paraId="39C59DCD" w14:textId="77777777" w:rsidR="00F67C34" w:rsidRPr="00F67C34" w:rsidRDefault="00F67C34" w:rsidP="00F67C34">
      <w:pPr>
        <w:keepLines/>
        <w:widowControl/>
        <w:spacing w:after="120" w:line="480" w:lineRule="auto"/>
        <w:ind w:left="720" w:hanging="720"/>
        <w:rPr>
          <w:color w:val="00B0F0"/>
          <w:lang w:eastAsia="zh-HK"/>
        </w:rPr>
      </w:pPr>
      <w:r w:rsidRPr="00F67C34">
        <w:rPr>
          <w:color w:val="00B0F0"/>
          <w:lang w:eastAsia="zh-HK"/>
        </w:rPr>
        <w:t xml:space="preserve">Fung, W. K., &amp; Chung, K. K. H. (2022). Parental play supportiveness and kindergartners’ peer problems: Children’s playfulness as a potential mediator. </w:t>
      </w:r>
      <w:r w:rsidRPr="00F67C34">
        <w:rPr>
          <w:i/>
          <w:iCs/>
          <w:color w:val="00B0F0"/>
          <w:lang w:eastAsia="zh-HK"/>
        </w:rPr>
        <w:t>Social Development</w:t>
      </w:r>
      <w:r w:rsidRPr="00F67C34">
        <w:rPr>
          <w:color w:val="00B0F0"/>
          <w:lang w:eastAsia="zh-HK"/>
        </w:rPr>
        <w:t>, 1</w:t>
      </w:r>
      <w:r>
        <w:rPr>
          <w:color w:val="00B0F0"/>
          <w:lang w:eastAsia="zh-HK"/>
        </w:rPr>
        <w:t>-</w:t>
      </w:r>
      <w:r w:rsidRPr="00F67C34">
        <w:rPr>
          <w:color w:val="00B0F0"/>
          <w:lang w:eastAsia="zh-HK"/>
        </w:rPr>
        <w:t>12. https://doi.org/10.1111/sode.12603</w:t>
      </w:r>
    </w:p>
    <w:p w14:paraId="6D439F35" w14:textId="77777777" w:rsidR="004D15A0" w:rsidRPr="00F07407" w:rsidRDefault="004D15A0" w:rsidP="004D15A0">
      <w:pPr>
        <w:keepLines/>
        <w:widowControl/>
        <w:spacing w:after="120" w:line="480" w:lineRule="auto"/>
        <w:ind w:left="720" w:hanging="720"/>
        <w:rPr>
          <w:lang w:eastAsia="zh-HK"/>
        </w:rPr>
      </w:pPr>
      <w:r w:rsidRPr="00F07407">
        <w:rPr>
          <w:lang w:eastAsia="zh-HK"/>
        </w:rPr>
        <w:t xml:space="preserve">Fung, W., Chung, K. K., &amp; Cheng, R. W. (2018). Gender differences in social mastery motivation and its relationships to vocabulary knowledge, behavioral self-regulation, and socioemotional skills. </w:t>
      </w:r>
      <w:r w:rsidRPr="00F07407">
        <w:rPr>
          <w:i/>
          <w:iCs/>
          <w:lang w:eastAsia="zh-HK"/>
        </w:rPr>
        <w:t>Early Education and Development, 30</w:t>
      </w:r>
      <w:r w:rsidRPr="00F07407">
        <w:rPr>
          <w:lang w:eastAsia="zh-HK"/>
        </w:rPr>
        <w:t>(2), 280-293. https://doi.org/10.1080/10409289.2018.1544004</w:t>
      </w:r>
    </w:p>
    <w:p w14:paraId="563FAE03" w14:textId="77777777" w:rsidR="002B08F2" w:rsidRPr="00F07407" w:rsidRDefault="002B08F2" w:rsidP="008E7643">
      <w:pPr>
        <w:keepLines/>
        <w:spacing w:after="120" w:line="480" w:lineRule="auto"/>
        <w:ind w:left="720" w:hanging="720"/>
        <w:rPr>
          <w:szCs w:val="20"/>
          <w:lang w:eastAsia="zh-HK"/>
        </w:rPr>
      </w:pPr>
      <w:r w:rsidRPr="00F07407">
        <w:rPr>
          <w:szCs w:val="20"/>
          <w:lang w:eastAsia="zh-HK"/>
        </w:rPr>
        <w:t xml:space="preserve">Fung, W. K., Chung, K. K. H., Lam, I. C. B., &amp; Li, N. X. (2020). Bidirectionality in kindergarten children's school readiness and emotional regulation. </w:t>
      </w:r>
      <w:r w:rsidRPr="00F07407">
        <w:rPr>
          <w:i/>
          <w:iCs/>
          <w:szCs w:val="20"/>
          <w:lang w:eastAsia="zh-HK"/>
        </w:rPr>
        <w:t>Social Development, 29</w:t>
      </w:r>
      <w:r w:rsidRPr="00F07407">
        <w:rPr>
          <w:szCs w:val="20"/>
          <w:lang w:eastAsia="zh-HK"/>
        </w:rPr>
        <w:t>(3), 801–817. https://doi.org/10.1111/sode.12434</w:t>
      </w:r>
    </w:p>
    <w:p w14:paraId="6403895F" w14:textId="77777777" w:rsidR="0088238A" w:rsidRPr="00F07407" w:rsidRDefault="0088238A" w:rsidP="0088238A">
      <w:pPr>
        <w:keepLines/>
        <w:spacing w:after="120" w:line="480" w:lineRule="auto"/>
        <w:ind w:left="720" w:hanging="720"/>
        <w:rPr>
          <w:szCs w:val="20"/>
          <w:lang w:eastAsia="zh-HK"/>
        </w:rPr>
      </w:pPr>
      <w:r w:rsidRPr="00F07407">
        <w:rPr>
          <w:szCs w:val="20"/>
          <w:lang w:eastAsia="zh-HK"/>
        </w:rPr>
        <w:t xml:space="preserve">Galindo, C., &amp; Fuller, B. (2010). The social competence of Latino kindergartners and growth in mathematical understanding. </w:t>
      </w:r>
      <w:r w:rsidRPr="00F07407">
        <w:rPr>
          <w:i/>
          <w:iCs/>
          <w:szCs w:val="20"/>
          <w:lang w:eastAsia="zh-HK"/>
        </w:rPr>
        <w:t>Developmental Psychology, 46</w:t>
      </w:r>
      <w:r w:rsidRPr="00F07407">
        <w:rPr>
          <w:szCs w:val="20"/>
          <w:lang w:eastAsia="zh-HK"/>
        </w:rPr>
        <w:t>(3), 579-592. https://doi.org/10.1037/a0017821</w:t>
      </w:r>
    </w:p>
    <w:p w14:paraId="76B9EB02" w14:textId="77777777" w:rsidR="004D15A0" w:rsidRPr="00F07407" w:rsidRDefault="004D15A0" w:rsidP="008E7643">
      <w:pPr>
        <w:keepLines/>
        <w:spacing w:after="120" w:line="480" w:lineRule="auto"/>
        <w:ind w:left="720" w:hanging="720"/>
        <w:rPr>
          <w:szCs w:val="20"/>
          <w:lang w:eastAsia="zh-HK"/>
        </w:rPr>
      </w:pPr>
      <w:r w:rsidRPr="00F07407">
        <w:rPr>
          <w:szCs w:val="20"/>
          <w:lang w:eastAsia="zh-HK"/>
        </w:rPr>
        <w:lastRenderedPageBreak/>
        <w:t xml:space="preserve">Gilmore, L., Cuskelly, M., &amp; Purdie, N. (2003). Mastery motivation: Stability and predictive validity from ages two to eight. </w:t>
      </w:r>
      <w:r w:rsidRPr="00F07407">
        <w:rPr>
          <w:i/>
          <w:iCs/>
          <w:szCs w:val="20"/>
          <w:lang w:eastAsia="zh-HK"/>
        </w:rPr>
        <w:t>Early Education and Development, 14</w:t>
      </w:r>
      <w:r w:rsidRPr="00F07407">
        <w:rPr>
          <w:szCs w:val="20"/>
          <w:lang w:eastAsia="zh-HK"/>
        </w:rPr>
        <w:t>(4), 411–424. https://doi.org/10.1207/s15566935eed1404_2</w:t>
      </w:r>
    </w:p>
    <w:p w14:paraId="5579A256" w14:textId="77777777" w:rsidR="008E7643" w:rsidRPr="00F07407" w:rsidRDefault="008E7643" w:rsidP="008E7643">
      <w:pPr>
        <w:keepLines/>
        <w:spacing w:after="120" w:line="480" w:lineRule="auto"/>
        <w:ind w:left="720" w:hanging="720"/>
        <w:rPr>
          <w:szCs w:val="20"/>
          <w:lang w:eastAsia="zh-HK"/>
        </w:rPr>
      </w:pPr>
      <w:r w:rsidRPr="00F07407">
        <w:rPr>
          <w:szCs w:val="20"/>
          <w:lang w:eastAsia="zh-HK"/>
        </w:rPr>
        <w:t xml:space="preserve">Gumpel, T. P. (1999). Use of item response theory to develop a measure of first-grade readiness. </w:t>
      </w:r>
      <w:r w:rsidRPr="00F07407">
        <w:rPr>
          <w:i/>
          <w:iCs/>
          <w:szCs w:val="20"/>
          <w:lang w:eastAsia="zh-HK"/>
        </w:rPr>
        <w:t>Psychology in the Schools, 36</w:t>
      </w:r>
      <w:r w:rsidRPr="00F07407">
        <w:rPr>
          <w:szCs w:val="20"/>
          <w:lang w:eastAsia="zh-HK"/>
        </w:rPr>
        <w:t>, 285–293. https://doi.org/10.1002/(SICI)1520-6807(199907)36:4&lt;285::AID-PITS2&gt;3.3.CO;2-D</w:t>
      </w:r>
    </w:p>
    <w:p w14:paraId="3655ABC3" w14:textId="77777777" w:rsidR="00AD31D9" w:rsidRPr="00F07407" w:rsidRDefault="00AD31D9" w:rsidP="00AD31D9">
      <w:pPr>
        <w:keepLines/>
        <w:spacing w:after="120" w:line="480" w:lineRule="auto"/>
        <w:ind w:left="720" w:hanging="720"/>
        <w:rPr>
          <w:szCs w:val="20"/>
          <w:lang w:eastAsia="zh-HK"/>
        </w:rPr>
      </w:pPr>
      <w:r w:rsidRPr="00F07407">
        <w:rPr>
          <w:szCs w:val="20"/>
          <w:lang w:eastAsia="zh-HK"/>
        </w:rPr>
        <w:t xml:space="preserve">Hayes, A. F. (2009). Beyond Baron and Kenny: Statistical mediation analysis in the new millennium. </w:t>
      </w:r>
      <w:r w:rsidRPr="00F07407">
        <w:rPr>
          <w:i/>
          <w:iCs/>
          <w:szCs w:val="20"/>
          <w:lang w:eastAsia="zh-HK"/>
        </w:rPr>
        <w:t>Communication Monographs, 76</w:t>
      </w:r>
      <w:r w:rsidRPr="00F07407">
        <w:rPr>
          <w:szCs w:val="20"/>
          <w:lang w:eastAsia="zh-HK"/>
        </w:rPr>
        <w:t>(4), 408-420. https://doi.org/10.1080/03637750903310360</w:t>
      </w:r>
    </w:p>
    <w:p w14:paraId="0FAB2E9C" w14:textId="77777777" w:rsidR="00CA1A6D" w:rsidRPr="00F07407" w:rsidRDefault="00CA1A6D" w:rsidP="00FA43B9">
      <w:pPr>
        <w:keepLines/>
        <w:widowControl/>
        <w:spacing w:after="120" w:line="480" w:lineRule="auto"/>
        <w:ind w:left="720" w:hanging="720"/>
        <w:rPr>
          <w:szCs w:val="20"/>
          <w:lang w:eastAsia="zh-HK"/>
        </w:rPr>
      </w:pPr>
      <w:r w:rsidRPr="00F07407">
        <w:rPr>
          <w:szCs w:val="20"/>
          <w:lang w:eastAsia="zh-HK"/>
        </w:rPr>
        <w:t xml:space="preserve">Heatly, M. C., &amp; Votruba-Drzal, E. (2017). Parent- and teacher-child relationships and engagement at school entry: Mediating, interactive, and transactional associations across contexts. </w:t>
      </w:r>
      <w:r w:rsidRPr="00F07407">
        <w:rPr>
          <w:i/>
          <w:iCs/>
          <w:szCs w:val="20"/>
          <w:lang w:eastAsia="zh-HK"/>
        </w:rPr>
        <w:t>Developmental Psychology, 53</w:t>
      </w:r>
      <w:r w:rsidRPr="00F07407">
        <w:rPr>
          <w:szCs w:val="20"/>
          <w:lang w:eastAsia="zh-HK"/>
        </w:rPr>
        <w:t>(6), 1042–1062. https://doi.org/10.1037/dev0000310</w:t>
      </w:r>
    </w:p>
    <w:p w14:paraId="3527D730" w14:textId="77777777" w:rsidR="0088238A" w:rsidRPr="00F07407" w:rsidRDefault="0088238A" w:rsidP="0088238A">
      <w:pPr>
        <w:keepLines/>
        <w:spacing w:after="120" w:line="480" w:lineRule="auto"/>
        <w:ind w:left="720" w:hanging="720"/>
        <w:rPr>
          <w:szCs w:val="20"/>
          <w:lang w:eastAsia="zh-HK"/>
        </w:rPr>
      </w:pPr>
      <w:r w:rsidRPr="00F07407">
        <w:rPr>
          <w:szCs w:val="20"/>
          <w:lang w:eastAsia="zh-HK"/>
        </w:rPr>
        <w:t xml:space="preserve">Hernández, M. M., Eisenberg, N., Valiente, C., VanSchyndel, S. K., Spinrad, T. L., Silva, K. M., . . . Southworth, J. (2016). Emotional expression in school context, social relationships, and academic adjustment in kindergarten. </w:t>
      </w:r>
      <w:r w:rsidRPr="00F07407">
        <w:rPr>
          <w:i/>
          <w:iCs/>
          <w:szCs w:val="20"/>
          <w:lang w:eastAsia="zh-HK"/>
        </w:rPr>
        <w:t>Emotion, 16</w:t>
      </w:r>
      <w:r w:rsidRPr="00F07407">
        <w:rPr>
          <w:szCs w:val="20"/>
          <w:lang w:eastAsia="zh-HK"/>
        </w:rPr>
        <w:t>(4), 553-566. https://doi.org/10.1037/emo0000147</w:t>
      </w:r>
    </w:p>
    <w:p w14:paraId="54770EF9" w14:textId="77777777" w:rsidR="008E7643" w:rsidRPr="00F07407" w:rsidRDefault="008E7643" w:rsidP="00FA43B9">
      <w:pPr>
        <w:keepLines/>
        <w:widowControl/>
        <w:spacing w:after="120" w:line="480" w:lineRule="auto"/>
        <w:ind w:left="720" w:hanging="720"/>
        <w:rPr>
          <w:szCs w:val="20"/>
          <w:lang w:eastAsia="zh-HK"/>
        </w:rPr>
      </w:pPr>
      <w:r w:rsidRPr="00F07407">
        <w:rPr>
          <w:szCs w:val="20"/>
          <w:lang w:eastAsia="zh-HK"/>
        </w:rPr>
        <w:lastRenderedPageBreak/>
        <w:t xml:space="preserve">Ho, D. S. T., Leung, C., &amp; Lo, S. K. (2013). Validation of the Gumpel readiness inventory for preschool children in Hong Kong. </w:t>
      </w:r>
      <w:r w:rsidRPr="00F07407">
        <w:rPr>
          <w:i/>
          <w:iCs/>
          <w:szCs w:val="20"/>
          <w:lang w:eastAsia="zh-HK"/>
        </w:rPr>
        <w:t>Research in Developmental Disabilities, 34</w:t>
      </w:r>
      <w:r w:rsidRPr="00F07407">
        <w:rPr>
          <w:szCs w:val="20"/>
          <w:lang w:eastAsia="zh-HK"/>
        </w:rPr>
        <w:t>, 3066–3076. https ://doi.org/10.1016/j.ridd.2013.05.039</w:t>
      </w:r>
    </w:p>
    <w:p w14:paraId="76864BAF" w14:textId="77777777" w:rsidR="00FA43B9" w:rsidRPr="00F07407" w:rsidRDefault="00FA43B9" w:rsidP="00FA43B9">
      <w:pPr>
        <w:keepLines/>
        <w:widowControl/>
        <w:spacing w:after="120" w:line="480" w:lineRule="auto"/>
        <w:ind w:left="720" w:hanging="720"/>
        <w:rPr>
          <w:lang w:eastAsia="zh-HK"/>
        </w:rPr>
      </w:pPr>
      <w:r w:rsidRPr="00F07407">
        <w:rPr>
          <w:szCs w:val="20"/>
          <w:lang w:eastAsia="zh-HK"/>
        </w:rPr>
        <w:t xml:space="preserve">Hu, L., &amp; Bentler, P. M. (1999). Cutoff criteria for fit indexes in covariance structure analysis: Conventional criteria versus new alternatives. </w:t>
      </w:r>
      <w:r w:rsidRPr="00F07407">
        <w:rPr>
          <w:i/>
          <w:iCs/>
          <w:szCs w:val="20"/>
          <w:lang w:eastAsia="zh-HK"/>
        </w:rPr>
        <w:t>Structural Equation Modeling: A Multidisciplinary Journal, 6</w:t>
      </w:r>
      <w:r w:rsidRPr="00F07407">
        <w:rPr>
          <w:szCs w:val="20"/>
          <w:lang w:eastAsia="zh-HK"/>
        </w:rPr>
        <w:t xml:space="preserve">(1), 1-55. </w:t>
      </w:r>
      <w:r w:rsidRPr="00F07407">
        <w:rPr>
          <w:lang w:eastAsia="zh-HK"/>
        </w:rPr>
        <w:t>https://doi.org/</w:t>
      </w:r>
      <w:r w:rsidRPr="00F07407">
        <w:rPr>
          <w:szCs w:val="20"/>
          <w:lang w:eastAsia="zh-HK"/>
        </w:rPr>
        <w:t>10.1080/10705519909540118</w:t>
      </w:r>
    </w:p>
    <w:p w14:paraId="191261A0" w14:textId="77777777" w:rsidR="00A03986" w:rsidRPr="00A03986" w:rsidRDefault="00A03986" w:rsidP="00774161">
      <w:pPr>
        <w:keepLines/>
        <w:spacing w:after="120" w:line="480" w:lineRule="auto"/>
        <w:ind w:left="720" w:hanging="720"/>
        <w:rPr>
          <w:color w:val="00B0F0"/>
        </w:rPr>
      </w:pPr>
      <w:r w:rsidRPr="00A03986">
        <w:rPr>
          <w:color w:val="00B0F0"/>
        </w:rPr>
        <w:t xml:space="preserve">Hyun, S., McWayne, C. M., &amp; Mendez Smith, J. (2021). “I see why they play”: Chinese immigrant parents and their beliefs about young children’s play. </w:t>
      </w:r>
      <w:r w:rsidRPr="00A03986">
        <w:rPr>
          <w:i/>
          <w:iCs/>
          <w:color w:val="00B0F0"/>
        </w:rPr>
        <w:t>Early Childhood Research Quarterly, 56</w:t>
      </w:r>
      <w:r w:rsidRPr="00A03986">
        <w:rPr>
          <w:color w:val="00B0F0"/>
        </w:rPr>
        <w:t>, 272–280. https://doi.org/10.1016/j.ecresq.2021.03.014</w:t>
      </w:r>
    </w:p>
    <w:p w14:paraId="71380413" w14:textId="77777777" w:rsidR="00774161" w:rsidRPr="00F07407" w:rsidRDefault="00774161" w:rsidP="00774161">
      <w:pPr>
        <w:keepLines/>
        <w:spacing w:after="120" w:line="480" w:lineRule="auto"/>
        <w:ind w:left="720" w:hanging="720"/>
      </w:pPr>
      <w:r w:rsidRPr="00F07407">
        <w:t xml:space="preserve">Jackson, S. L., &amp; Cunningham, S. A. (2017). The stability of children's weight status over time, and the role of television, physical activity, and diet in elementary school. </w:t>
      </w:r>
      <w:r w:rsidRPr="00F07407">
        <w:rPr>
          <w:i/>
          <w:iCs/>
        </w:rPr>
        <w:t>Preventive Medicine, 100</w:t>
      </w:r>
      <w:r w:rsidRPr="00F07407">
        <w:t>, 229-234. https://doi.org/10.1016/j.ypmed.2017.04.026</w:t>
      </w:r>
    </w:p>
    <w:p w14:paraId="0D013BA6" w14:textId="77777777" w:rsidR="00EC4134" w:rsidRPr="00EC4134" w:rsidRDefault="00EC4134" w:rsidP="00EC4945">
      <w:pPr>
        <w:keepLines/>
        <w:widowControl/>
        <w:spacing w:after="120" w:line="480" w:lineRule="auto"/>
        <w:ind w:left="720" w:hanging="720"/>
        <w:rPr>
          <w:color w:val="00B0F0"/>
          <w:lang w:eastAsia="zh-HK"/>
        </w:rPr>
      </w:pPr>
      <w:r w:rsidRPr="00EC4134">
        <w:rPr>
          <w:color w:val="00B0F0"/>
          <w:lang w:eastAsia="zh-HK"/>
        </w:rPr>
        <w:t xml:space="preserve">Jeon, L., Buettner, C. K., &amp; Hur, E. (2014). Family and </w:t>
      </w:r>
      <w:r>
        <w:rPr>
          <w:color w:val="00B0F0"/>
          <w:lang w:eastAsia="zh-HK"/>
        </w:rPr>
        <w:t>n</w:t>
      </w:r>
      <w:r w:rsidRPr="00EC4134">
        <w:rPr>
          <w:color w:val="00B0F0"/>
          <w:lang w:eastAsia="zh-HK"/>
        </w:rPr>
        <w:t xml:space="preserve">eighborhood </w:t>
      </w:r>
      <w:r>
        <w:rPr>
          <w:color w:val="00B0F0"/>
          <w:lang w:eastAsia="zh-HK"/>
        </w:rPr>
        <w:t>d</w:t>
      </w:r>
      <w:r w:rsidRPr="00EC4134">
        <w:rPr>
          <w:color w:val="00B0F0"/>
          <w:lang w:eastAsia="zh-HK"/>
        </w:rPr>
        <w:t xml:space="preserve">isadvantage, </w:t>
      </w:r>
      <w:r>
        <w:rPr>
          <w:color w:val="00B0F0"/>
          <w:lang w:eastAsia="zh-HK"/>
        </w:rPr>
        <w:t>h</w:t>
      </w:r>
      <w:r w:rsidRPr="00EC4134">
        <w:rPr>
          <w:color w:val="00B0F0"/>
          <w:lang w:eastAsia="zh-HK"/>
        </w:rPr>
        <w:t xml:space="preserve">ome </w:t>
      </w:r>
      <w:r>
        <w:rPr>
          <w:color w:val="00B0F0"/>
          <w:lang w:eastAsia="zh-HK"/>
        </w:rPr>
        <w:t>e</w:t>
      </w:r>
      <w:r w:rsidRPr="00EC4134">
        <w:rPr>
          <w:color w:val="00B0F0"/>
          <w:lang w:eastAsia="zh-HK"/>
        </w:rPr>
        <w:t xml:space="preserve">nvironment, and </w:t>
      </w:r>
      <w:r>
        <w:rPr>
          <w:color w:val="00B0F0"/>
          <w:lang w:eastAsia="zh-HK"/>
        </w:rPr>
        <w:t>c</w:t>
      </w:r>
      <w:r w:rsidRPr="00EC4134">
        <w:rPr>
          <w:color w:val="00B0F0"/>
          <w:lang w:eastAsia="zh-HK"/>
        </w:rPr>
        <w:t xml:space="preserve">hildren’s </w:t>
      </w:r>
      <w:r>
        <w:rPr>
          <w:color w:val="00B0F0"/>
          <w:lang w:eastAsia="zh-HK"/>
        </w:rPr>
        <w:t>s</w:t>
      </w:r>
      <w:r w:rsidRPr="00EC4134">
        <w:rPr>
          <w:color w:val="00B0F0"/>
          <w:lang w:eastAsia="zh-HK"/>
        </w:rPr>
        <w:t xml:space="preserve">chool </w:t>
      </w:r>
      <w:r>
        <w:rPr>
          <w:color w:val="00B0F0"/>
          <w:lang w:eastAsia="zh-HK"/>
        </w:rPr>
        <w:t>r</w:t>
      </w:r>
      <w:r w:rsidRPr="00EC4134">
        <w:rPr>
          <w:color w:val="00B0F0"/>
          <w:lang w:eastAsia="zh-HK"/>
        </w:rPr>
        <w:t xml:space="preserve">eadiness. </w:t>
      </w:r>
      <w:r w:rsidRPr="00EC4134">
        <w:rPr>
          <w:i/>
          <w:iCs/>
          <w:color w:val="00B0F0"/>
          <w:lang w:eastAsia="zh-HK"/>
        </w:rPr>
        <w:t>Journal of Family Psychology, 28</w:t>
      </w:r>
      <w:r w:rsidRPr="00EC4134">
        <w:rPr>
          <w:color w:val="00B0F0"/>
          <w:lang w:eastAsia="zh-HK"/>
        </w:rPr>
        <w:t>(5), 718–727. https://doi.org/10.1037/fam0000022</w:t>
      </w:r>
    </w:p>
    <w:p w14:paraId="035A14C4" w14:textId="77777777" w:rsidR="00EC4945" w:rsidRPr="00F07407" w:rsidRDefault="00EC4945" w:rsidP="00EC4945">
      <w:pPr>
        <w:keepLines/>
        <w:widowControl/>
        <w:spacing w:after="120" w:line="480" w:lineRule="auto"/>
        <w:ind w:left="720" w:hanging="720"/>
        <w:rPr>
          <w:lang w:eastAsia="zh-HK"/>
        </w:rPr>
      </w:pPr>
      <w:r w:rsidRPr="00F07407">
        <w:rPr>
          <w:lang w:eastAsia="zh-HK"/>
        </w:rPr>
        <w:lastRenderedPageBreak/>
        <w:t xml:space="preserve">Józsa, K., &amp; Barrett, K. C. (2018). Affective and social mastery motivation in preschool as predictors of early school success: A longitudinal study. </w:t>
      </w:r>
      <w:r w:rsidRPr="00F07407">
        <w:rPr>
          <w:i/>
          <w:iCs/>
          <w:lang w:eastAsia="zh-HK"/>
        </w:rPr>
        <w:t>Early Childhood Research Quarterly, 45</w:t>
      </w:r>
      <w:r w:rsidRPr="00F07407">
        <w:rPr>
          <w:lang w:eastAsia="zh-HK"/>
        </w:rPr>
        <w:t>, 81-92. https://doi.org/10.1016/j.ecresq.2018.05.007</w:t>
      </w:r>
    </w:p>
    <w:p w14:paraId="48C9A9AA" w14:textId="77777777" w:rsidR="00B162AD" w:rsidRDefault="00B162AD" w:rsidP="00EC4945">
      <w:pPr>
        <w:keepLines/>
        <w:widowControl/>
        <w:spacing w:after="120" w:line="480" w:lineRule="auto"/>
        <w:ind w:left="720" w:hanging="720"/>
        <w:rPr>
          <w:color w:val="00B0F0"/>
          <w:lang w:eastAsia="zh-HK"/>
        </w:rPr>
      </w:pPr>
      <w:r w:rsidRPr="00B162AD">
        <w:rPr>
          <w:color w:val="00B0F0"/>
          <w:lang w:eastAsia="zh-HK"/>
        </w:rPr>
        <w:t xml:space="preserve">Korucu, I., Litkowski, E., &amp; Schmitt, S. A. (2020). Examining </w:t>
      </w:r>
      <w:r>
        <w:rPr>
          <w:color w:val="00B0F0"/>
          <w:lang w:eastAsia="zh-HK"/>
        </w:rPr>
        <w:t>a</w:t>
      </w:r>
      <w:r w:rsidRPr="00B162AD">
        <w:rPr>
          <w:color w:val="00B0F0"/>
          <w:lang w:eastAsia="zh-HK"/>
        </w:rPr>
        <w:t xml:space="preserve">ssociations between the </w:t>
      </w:r>
      <w:r w:rsidR="0076664A">
        <w:rPr>
          <w:color w:val="00B0F0"/>
          <w:lang w:eastAsia="zh-HK"/>
        </w:rPr>
        <w:t>h</w:t>
      </w:r>
      <w:r w:rsidRPr="00B162AD">
        <w:rPr>
          <w:color w:val="00B0F0"/>
          <w:lang w:eastAsia="zh-HK"/>
        </w:rPr>
        <w:t xml:space="preserve">ome </w:t>
      </w:r>
      <w:r>
        <w:rPr>
          <w:color w:val="00B0F0"/>
          <w:lang w:eastAsia="zh-HK"/>
        </w:rPr>
        <w:t>l</w:t>
      </w:r>
      <w:r w:rsidRPr="00B162AD">
        <w:rPr>
          <w:color w:val="00B0F0"/>
          <w:lang w:eastAsia="zh-HK"/>
        </w:rPr>
        <w:t xml:space="preserve">iteracy </w:t>
      </w:r>
      <w:r>
        <w:rPr>
          <w:color w:val="00B0F0"/>
          <w:lang w:eastAsia="zh-HK"/>
        </w:rPr>
        <w:t>e</w:t>
      </w:r>
      <w:r w:rsidRPr="00B162AD">
        <w:rPr>
          <w:color w:val="00B0F0"/>
          <w:lang w:eastAsia="zh-HK"/>
        </w:rPr>
        <w:t xml:space="preserve">nvironment, </w:t>
      </w:r>
      <w:r>
        <w:rPr>
          <w:color w:val="00B0F0"/>
          <w:lang w:eastAsia="zh-HK"/>
        </w:rPr>
        <w:t>e</w:t>
      </w:r>
      <w:r w:rsidRPr="00B162AD">
        <w:rPr>
          <w:color w:val="00B0F0"/>
          <w:lang w:eastAsia="zh-HK"/>
        </w:rPr>
        <w:t xml:space="preserve">xecutive </w:t>
      </w:r>
      <w:r>
        <w:rPr>
          <w:color w:val="00B0F0"/>
          <w:lang w:eastAsia="zh-HK"/>
        </w:rPr>
        <w:t>f</w:t>
      </w:r>
      <w:r w:rsidRPr="00B162AD">
        <w:rPr>
          <w:color w:val="00B0F0"/>
          <w:lang w:eastAsia="zh-HK"/>
        </w:rPr>
        <w:t xml:space="preserve">unction, and </w:t>
      </w:r>
      <w:r>
        <w:rPr>
          <w:color w:val="00B0F0"/>
          <w:lang w:eastAsia="zh-HK"/>
        </w:rPr>
        <w:t>s</w:t>
      </w:r>
      <w:r w:rsidRPr="00B162AD">
        <w:rPr>
          <w:color w:val="00B0F0"/>
          <w:lang w:eastAsia="zh-HK"/>
        </w:rPr>
        <w:t xml:space="preserve">chool </w:t>
      </w:r>
      <w:r>
        <w:rPr>
          <w:color w:val="00B0F0"/>
          <w:lang w:eastAsia="zh-HK"/>
        </w:rPr>
        <w:t>r</w:t>
      </w:r>
      <w:r w:rsidRPr="00B162AD">
        <w:rPr>
          <w:color w:val="00B0F0"/>
          <w:lang w:eastAsia="zh-HK"/>
        </w:rPr>
        <w:t xml:space="preserve">eadiness. </w:t>
      </w:r>
      <w:r w:rsidRPr="00B162AD">
        <w:rPr>
          <w:i/>
          <w:iCs/>
          <w:color w:val="00B0F0"/>
          <w:lang w:eastAsia="zh-HK"/>
        </w:rPr>
        <w:t>Early Education and Development, 31</w:t>
      </w:r>
      <w:r w:rsidRPr="00B162AD">
        <w:rPr>
          <w:color w:val="00B0F0"/>
          <w:lang w:eastAsia="zh-HK"/>
        </w:rPr>
        <w:t xml:space="preserve">(3), 455–473. </w:t>
      </w:r>
      <w:r>
        <w:rPr>
          <w:color w:val="00B0F0"/>
          <w:lang w:eastAsia="zh-HK"/>
        </w:rPr>
        <w:t>h</w:t>
      </w:r>
      <w:r w:rsidRPr="00B162AD">
        <w:rPr>
          <w:color w:val="00B0F0"/>
          <w:lang w:eastAsia="zh-HK"/>
        </w:rPr>
        <w:t>ttps://doi.org/10.1080/10409289.2020.1716287</w:t>
      </w:r>
    </w:p>
    <w:p w14:paraId="598AC487" w14:textId="77777777" w:rsidR="006C6AB0" w:rsidRPr="00BE542F" w:rsidRDefault="006C6AB0" w:rsidP="006C6AB0">
      <w:pPr>
        <w:keepLines/>
        <w:widowControl/>
        <w:spacing w:after="120" w:line="480" w:lineRule="auto"/>
        <w:ind w:left="720" w:hanging="720"/>
        <w:rPr>
          <w:color w:val="00B0F0"/>
          <w:lang w:eastAsia="zh-HK"/>
        </w:rPr>
      </w:pPr>
      <w:r w:rsidRPr="00BE542F">
        <w:rPr>
          <w:color w:val="00B0F0"/>
          <w:lang w:eastAsia="zh-HK"/>
        </w:rPr>
        <w:t xml:space="preserve">Korucu, I., &amp; Schmitt, S. A. (2020). Continuity and change in the home environment: Associations with school readiness. </w:t>
      </w:r>
      <w:r w:rsidRPr="00BE542F">
        <w:rPr>
          <w:i/>
          <w:iCs/>
          <w:color w:val="00B0F0"/>
          <w:lang w:eastAsia="zh-HK"/>
        </w:rPr>
        <w:t>Early Childhood Research Quarterly, 53</w:t>
      </w:r>
      <w:r w:rsidRPr="00BE542F">
        <w:rPr>
          <w:color w:val="00B0F0"/>
          <w:lang w:eastAsia="zh-HK"/>
        </w:rPr>
        <w:t>, 97–107. https://doi.org/10.1016/j.ecresq.2020.03.002</w:t>
      </w:r>
    </w:p>
    <w:p w14:paraId="7B7EBA2B" w14:textId="77777777" w:rsidR="00AC7937" w:rsidRPr="00AC7937" w:rsidRDefault="00AC7937" w:rsidP="00EC4945">
      <w:pPr>
        <w:keepLines/>
        <w:widowControl/>
        <w:spacing w:after="120" w:line="480" w:lineRule="auto"/>
        <w:ind w:left="720" w:hanging="720"/>
        <w:rPr>
          <w:color w:val="00B0F0"/>
          <w:lang w:eastAsia="zh-HK"/>
        </w:rPr>
      </w:pPr>
      <w:r w:rsidRPr="00AC7937">
        <w:rPr>
          <w:color w:val="00B0F0"/>
          <w:lang w:eastAsia="zh-HK"/>
        </w:rPr>
        <w:t xml:space="preserve">Lahaie, C. (2008). School </w:t>
      </w:r>
      <w:r w:rsidR="00EC4134">
        <w:rPr>
          <w:color w:val="00B0F0"/>
          <w:lang w:eastAsia="zh-HK"/>
        </w:rPr>
        <w:t>r</w:t>
      </w:r>
      <w:r w:rsidRPr="00AC7937">
        <w:rPr>
          <w:color w:val="00B0F0"/>
          <w:lang w:eastAsia="zh-HK"/>
        </w:rPr>
        <w:t xml:space="preserve">eadiness of </w:t>
      </w:r>
      <w:r w:rsidR="00EC4134">
        <w:rPr>
          <w:color w:val="00B0F0"/>
          <w:lang w:eastAsia="zh-HK"/>
        </w:rPr>
        <w:t>c</w:t>
      </w:r>
      <w:r w:rsidRPr="00AC7937">
        <w:rPr>
          <w:color w:val="00B0F0"/>
          <w:lang w:eastAsia="zh-HK"/>
        </w:rPr>
        <w:t xml:space="preserve">hildren of </w:t>
      </w:r>
      <w:r w:rsidR="00EC4134">
        <w:rPr>
          <w:color w:val="00B0F0"/>
          <w:lang w:eastAsia="zh-HK"/>
        </w:rPr>
        <w:t>i</w:t>
      </w:r>
      <w:r w:rsidRPr="00AC7937">
        <w:rPr>
          <w:color w:val="00B0F0"/>
          <w:lang w:eastAsia="zh-HK"/>
        </w:rPr>
        <w:t xml:space="preserve">mmigrants: Does </w:t>
      </w:r>
      <w:r w:rsidR="00EC4134">
        <w:rPr>
          <w:color w:val="00B0F0"/>
          <w:lang w:eastAsia="zh-HK"/>
        </w:rPr>
        <w:t>p</w:t>
      </w:r>
      <w:r w:rsidRPr="00AC7937">
        <w:rPr>
          <w:color w:val="00B0F0"/>
          <w:lang w:eastAsia="zh-HK"/>
        </w:rPr>
        <w:t xml:space="preserve">arental </w:t>
      </w:r>
      <w:r w:rsidR="00EC4134">
        <w:rPr>
          <w:color w:val="00B0F0"/>
          <w:lang w:eastAsia="zh-HK"/>
        </w:rPr>
        <w:t>i</w:t>
      </w:r>
      <w:r w:rsidRPr="00AC7937">
        <w:rPr>
          <w:color w:val="00B0F0"/>
          <w:lang w:eastAsia="zh-HK"/>
        </w:rPr>
        <w:t xml:space="preserve">nvolvement </w:t>
      </w:r>
      <w:r w:rsidR="00EC4134">
        <w:rPr>
          <w:color w:val="00B0F0"/>
          <w:lang w:eastAsia="zh-HK"/>
        </w:rPr>
        <w:t>p</w:t>
      </w:r>
      <w:r w:rsidRPr="00AC7937">
        <w:rPr>
          <w:color w:val="00B0F0"/>
          <w:lang w:eastAsia="zh-HK"/>
        </w:rPr>
        <w:t xml:space="preserve">lay a </w:t>
      </w:r>
      <w:r w:rsidR="00EC4134">
        <w:rPr>
          <w:color w:val="00B0F0"/>
          <w:lang w:eastAsia="zh-HK"/>
        </w:rPr>
        <w:t>r</w:t>
      </w:r>
      <w:r w:rsidRPr="00AC7937">
        <w:rPr>
          <w:color w:val="00B0F0"/>
          <w:lang w:eastAsia="zh-HK"/>
        </w:rPr>
        <w:t xml:space="preserve">ole? </w:t>
      </w:r>
      <w:r w:rsidRPr="00AC7937">
        <w:rPr>
          <w:i/>
          <w:iCs/>
          <w:color w:val="00B0F0"/>
          <w:lang w:eastAsia="zh-HK"/>
        </w:rPr>
        <w:t>Social Science Quarterly, 89</w:t>
      </w:r>
      <w:r w:rsidRPr="00AC7937">
        <w:rPr>
          <w:color w:val="00B0F0"/>
          <w:lang w:eastAsia="zh-HK"/>
        </w:rPr>
        <w:t>(3), 684–705. https://doi.org/10.1111/j.1540-6237.2008.00554.x</w:t>
      </w:r>
    </w:p>
    <w:p w14:paraId="47B8F48A" w14:textId="77777777" w:rsidR="00806834" w:rsidRPr="00806834" w:rsidRDefault="00806834" w:rsidP="00EC4945">
      <w:pPr>
        <w:keepLines/>
        <w:widowControl/>
        <w:spacing w:after="120" w:line="480" w:lineRule="auto"/>
        <w:ind w:left="720" w:hanging="720"/>
        <w:rPr>
          <w:color w:val="00B0F0"/>
          <w:lang w:eastAsia="zh-HK"/>
        </w:rPr>
      </w:pPr>
      <w:r w:rsidRPr="00806834">
        <w:rPr>
          <w:color w:val="00B0F0"/>
          <w:lang w:eastAsia="zh-HK"/>
        </w:rPr>
        <w:t xml:space="preserve">Lin, X., &amp; Li, H. (2018). Parents’ play beliefs and engagement in young children’s play at home. </w:t>
      </w:r>
      <w:r w:rsidRPr="00806834">
        <w:rPr>
          <w:i/>
          <w:iCs/>
          <w:color w:val="00B0F0"/>
          <w:lang w:eastAsia="zh-HK"/>
        </w:rPr>
        <w:t>European Early Childhood Education Research Journal, 26</w:t>
      </w:r>
      <w:r w:rsidRPr="00806834">
        <w:rPr>
          <w:color w:val="00B0F0"/>
          <w:lang w:eastAsia="zh-HK"/>
        </w:rPr>
        <w:t>(2), 161–176. https://doi.org/10.1080/1350293X.2018.1441979</w:t>
      </w:r>
    </w:p>
    <w:p w14:paraId="1D8A21C9" w14:textId="77777777" w:rsidR="00EC4945" w:rsidRPr="00F07407" w:rsidRDefault="00EC4945" w:rsidP="00EC4945">
      <w:pPr>
        <w:keepLines/>
        <w:widowControl/>
        <w:spacing w:after="120" w:line="480" w:lineRule="auto"/>
        <w:ind w:left="720" w:hanging="720"/>
        <w:rPr>
          <w:lang w:eastAsia="zh-HK"/>
        </w:rPr>
      </w:pPr>
      <w:r w:rsidRPr="00F07407">
        <w:rPr>
          <w:lang w:eastAsia="zh-HK"/>
        </w:rPr>
        <w:t>Lunkenheimer, E., &amp; Wang, J. (2017). It's OK to fail: Individual and dyadic regulatory antecedents of mastery motivation in preschool</w:t>
      </w:r>
      <w:r w:rsidRPr="00F07407">
        <w:rPr>
          <w:i/>
          <w:iCs/>
          <w:lang w:eastAsia="zh-HK"/>
        </w:rPr>
        <w:t>. Journal of Child and Family Studies, 26</w:t>
      </w:r>
      <w:r w:rsidRPr="00F07407">
        <w:rPr>
          <w:lang w:eastAsia="zh-HK"/>
        </w:rPr>
        <w:t>(5), 1481-1490. https://doi.org/10.1007/s10826-016-0633-0</w:t>
      </w:r>
    </w:p>
    <w:p w14:paraId="573ED2B7" w14:textId="77777777" w:rsidR="007D0462" w:rsidRPr="00F07407" w:rsidRDefault="007D0462" w:rsidP="00EC4945">
      <w:pPr>
        <w:keepLines/>
        <w:widowControl/>
        <w:spacing w:after="120" w:line="480" w:lineRule="auto"/>
        <w:ind w:left="720" w:hanging="720"/>
        <w:rPr>
          <w:lang w:eastAsia="zh-HK"/>
        </w:rPr>
      </w:pPr>
      <w:r w:rsidRPr="00F07407">
        <w:rPr>
          <w:lang w:eastAsia="zh-HK"/>
        </w:rPr>
        <w:lastRenderedPageBreak/>
        <w:t xml:space="preserve">MacPhee, D., Prendergast, S., Albrecht, E., Walker, A. K., &amp; Miller-Heyl, J. (2018). The child-rearing environment and children's mastery motivation as contributors to school readiness. </w:t>
      </w:r>
      <w:r w:rsidRPr="00F07407">
        <w:rPr>
          <w:i/>
          <w:iCs/>
          <w:lang w:eastAsia="zh-HK"/>
        </w:rPr>
        <w:t>Journal of Applied Developmental Psychology, 56</w:t>
      </w:r>
      <w:r w:rsidRPr="00F07407">
        <w:rPr>
          <w:lang w:eastAsia="zh-HK"/>
        </w:rPr>
        <w:t>, 1–12. https://doi.org/10.1016/j.appdev.2018.01.002</w:t>
      </w:r>
    </w:p>
    <w:p w14:paraId="2026A740" w14:textId="77777777" w:rsidR="00F11468" w:rsidRPr="00F07407" w:rsidRDefault="00F11468" w:rsidP="00F11468">
      <w:pPr>
        <w:keepLines/>
        <w:widowControl/>
        <w:spacing w:after="120" w:line="480" w:lineRule="auto"/>
        <w:ind w:left="720" w:hanging="720"/>
        <w:rPr>
          <w:lang w:eastAsia="zh-HK"/>
        </w:rPr>
      </w:pPr>
      <w:bookmarkStart w:id="5" w:name="_Hlk503267909"/>
      <w:r w:rsidRPr="00F07407">
        <w:rPr>
          <w:lang w:eastAsia="zh-HK"/>
        </w:rPr>
        <w:t>MacTurk, R. H., Hunter, F. T., McCarthy, M. E., Vietze, P. M., &amp; McQuiston, S. (1985</w:t>
      </w:r>
      <w:bookmarkEnd w:id="5"/>
      <w:r w:rsidRPr="00F07407">
        <w:rPr>
          <w:lang w:eastAsia="zh-HK"/>
        </w:rPr>
        <w:t>). Social mastery motivation in Down syndrome and nondelayed infants. </w:t>
      </w:r>
      <w:r w:rsidRPr="00F07407">
        <w:rPr>
          <w:i/>
          <w:iCs/>
          <w:lang w:eastAsia="zh-HK"/>
        </w:rPr>
        <w:t>Topics in Early Childhood Special Education</w:t>
      </w:r>
      <w:r w:rsidRPr="00F07407">
        <w:rPr>
          <w:lang w:eastAsia="zh-HK"/>
        </w:rPr>
        <w:t>, </w:t>
      </w:r>
      <w:r w:rsidRPr="00F07407">
        <w:rPr>
          <w:i/>
          <w:iCs/>
          <w:lang w:eastAsia="zh-HK"/>
        </w:rPr>
        <w:t>4</w:t>
      </w:r>
      <w:r w:rsidRPr="00F07407">
        <w:rPr>
          <w:lang w:eastAsia="zh-HK"/>
        </w:rPr>
        <w:t>(4), 93-109. https://doi.org/10.1177/027112148500400409</w:t>
      </w:r>
    </w:p>
    <w:p w14:paraId="05EB03E4" w14:textId="77777777" w:rsidR="00871BC9" w:rsidRPr="00F07407" w:rsidRDefault="00871BC9" w:rsidP="00EC4945">
      <w:pPr>
        <w:keepLines/>
        <w:widowControl/>
        <w:spacing w:after="120" w:line="480" w:lineRule="auto"/>
        <w:ind w:left="720" w:hanging="720"/>
        <w:rPr>
          <w:lang w:eastAsia="zh-HK"/>
        </w:rPr>
      </w:pPr>
      <w:r w:rsidRPr="00F07407">
        <w:rPr>
          <w:lang w:eastAsia="zh-HK"/>
        </w:rPr>
        <w:t xml:space="preserve">Martin, A., Ryan, R. M., &amp; Brooks-Gunn, J. (2013). Longitudinal associations among interest, persistence, supportive parenting, and achievement in early childhood. </w:t>
      </w:r>
      <w:r w:rsidRPr="00F07407">
        <w:rPr>
          <w:i/>
          <w:iCs/>
          <w:lang w:eastAsia="zh-HK"/>
        </w:rPr>
        <w:t>Early Childhood Research Quarterly, 28</w:t>
      </w:r>
      <w:r w:rsidRPr="00F07407">
        <w:rPr>
          <w:lang w:eastAsia="zh-HK"/>
        </w:rPr>
        <w:t>(4), 658–667. https://doi.org/10.1016/j.ecresq.2013.05.003</w:t>
      </w:r>
    </w:p>
    <w:p w14:paraId="2400F9CD" w14:textId="77777777" w:rsidR="00D61E5C" w:rsidRPr="00F07407" w:rsidRDefault="00D61E5C" w:rsidP="00EC4945">
      <w:pPr>
        <w:keepLines/>
        <w:widowControl/>
        <w:spacing w:after="120" w:line="480" w:lineRule="auto"/>
        <w:ind w:left="720" w:hanging="720"/>
        <w:rPr>
          <w:lang w:eastAsia="zh-HK"/>
        </w:rPr>
      </w:pPr>
      <w:r w:rsidRPr="00F07407">
        <w:rPr>
          <w:lang w:eastAsia="zh-HK"/>
        </w:rPr>
        <w:t xml:space="preserve">Moorman, E. A., &amp; Pomerantz, E. M. (2008). The role of mothers' control in children's mastery orientation. </w:t>
      </w:r>
      <w:r w:rsidRPr="00F07407">
        <w:rPr>
          <w:i/>
          <w:iCs/>
          <w:lang w:eastAsia="zh-HK"/>
        </w:rPr>
        <w:t>Journal of Family Psychology, 22</w:t>
      </w:r>
      <w:r w:rsidRPr="00F07407">
        <w:rPr>
          <w:lang w:eastAsia="zh-HK"/>
        </w:rPr>
        <w:t>(5), 734–741. https://doi.org/10.1037/0893-3200.22.5.734</w:t>
      </w:r>
    </w:p>
    <w:p w14:paraId="547BFB3F" w14:textId="77777777" w:rsidR="00EC4945" w:rsidRPr="00F07407" w:rsidRDefault="00EC4945" w:rsidP="00EC4945">
      <w:pPr>
        <w:keepLines/>
        <w:widowControl/>
        <w:spacing w:after="120" w:line="480" w:lineRule="auto"/>
        <w:ind w:left="720" w:hanging="720"/>
        <w:rPr>
          <w:lang w:eastAsia="zh-HK"/>
        </w:rPr>
      </w:pPr>
      <w:r w:rsidRPr="00F07407">
        <w:rPr>
          <w:lang w:eastAsia="zh-HK"/>
        </w:rPr>
        <w:lastRenderedPageBreak/>
        <w:t xml:space="preserve">Morgan, G. A., Liao, H., Nyitrai, A., Huang, S., Wang, P., Blasco, P. M., Ramakrishnan, J., &amp; Józsa, K. (2017). The Revised Dimensions of Mastery Questionnaire (DMQ 18) for infants and preschool children with and without risks or delays in Hungary, Taiwan and the US. </w:t>
      </w:r>
      <w:r w:rsidRPr="00F07407">
        <w:rPr>
          <w:i/>
          <w:iCs/>
          <w:lang w:eastAsia="zh-HK"/>
        </w:rPr>
        <w:t>Hungarian Educational Research Journal, 7</w:t>
      </w:r>
      <w:r w:rsidRPr="00F07407">
        <w:rPr>
          <w:lang w:eastAsia="zh-HK"/>
        </w:rPr>
        <w:t>(2), 48-67. https://doi.org/10.14413/HERJ/7/2/4</w:t>
      </w:r>
    </w:p>
    <w:p w14:paraId="33628E8F" w14:textId="77777777" w:rsidR="00021FA4" w:rsidRPr="00F07407" w:rsidRDefault="00021FA4" w:rsidP="00021FA4">
      <w:pPr>
        <w:keepLines/>
        <w:spacing w:after="120" w:line="480" w:lineRule="auto"/>
        <w:ind w:left="720" w:hanging="720"/>
        <w:rPr>
          <w:szCs w:val="20"/>
          <w:lang w:eastAsia="zh-HK"/>
        </w:rPr>
      </w:pPr>
      <w:r w:rsidRPr="00F07407">
        <w:rPr>
          <w:szCs w:val="20"/>
          <w:lang w:eastAsia="zh-HK"/>
        </w:rPr>
        <w:t xml:space="preserve">Morgan, G. A., MacTurk, R. H., &amp; Hrncir, E. J. (1995). Mastery motivation: Overview, definitions, and conceptual issues. In R. H. MacTurk, &amp; G. A. Morgan (Eds.), </w:t>
      </w:r>
      <w:r w:rsidRPr="00F07407">
        <w:rPr>
          <w:i/>
          <w:iCs/>
          <w:szCs w:val="20"/>
          <w:lang w:eastAsia="zh-HK"/>
        </w:rPr>
        <w:t>Mastery motivation: Origins, conceptualizations, and applications</w:t>
      </w:r>
      <w:r w:rsidRPr="00F07407">
        <w:rPr>
          <w:szCs w:val="20"/>
          <w:lang w:eastAsia="zh-HK"/>
        </w:rPr>
        <w:t xml:space="preserve"> (pp. 1–18). Ablex Publishing Corporation.</w:t>
      </w:r>
    </w:p>
    <w:p w14:paraId="6703C24A" w14:textId="77777777" w:rsidR="00774161" w:rsidRPr="00F07407" w:rsidRDefault="00774161" w:rsidP="00774161">
      <w:pPr>
        <w:keepLines/>
        <w:spacing w:after="120" w:line="480" w:lineRule="auto"/>
        <w:ind w:left="720" w:hanging="720"/>
        <w:rPr>
          <w:szCs w:val="20"/>
          <w:lang w:eastAsia="zh-HK"/>
        </w:rPr>
      </w:pPr>
      <w:r w:rsidRPr="00F07407">
        <w:rPr>
          <w:szCs w:val="20"/>
          <w:lang w:eastAsia="zh-HK"/>
        </w:rPr>
        <w:t xml:space="preserve">Oberski, D. (2014). lavaan.survey: An R package for complex survey analysis of structural equation models. </w:t>
      </w:r>
      <w:r w:rsidRPr="00F07407">
        <w:rPr>
          <w:i/>
          <w:szCs w:val="20"/>
          <w:lang w:eastAsia="zh-HK"/>
        </w:rPr>
        <w:t>Journal of Statistical Software, 57</w:t>
      </w:r>
      <w:r w:rsidRPr="00F07407">
        <w:rPr>
          <w:szCs w:val="20"/>
          <w:lang w:eastAsia="zh-HK"/>
        </w:rPr>
        <w:t>, 1-27. https://doi.org/10.18637/jss.v057.i01</w:t>
      </w:r>
    </w:p>
    <w:p w14:paraId="16416F85" w14:textId="77777777" w:rsidR="00116F57" w:rsidRPr="00F07407" w:rsidRDefault="00116F57" w:rsidP="005332B0">
      <w:pPr>
        <w:keepLines/>
        <w:spacing w:after="120" w:line="480" w:lineRule="auto"/>
        <w:ind w:left="720" w:hanging="720"/>
      </w:pPr>
      <w:r w:rsidRPr="00F07407">
        <w:t xml:space="preserve">Piaget, J. (1976). </w:t>
      </w:r>
      <w:r w:rsidRPr="00F07407">
        <w:rPr>
          <w:i/>
          <w:iCs/>
        </w:rPr>
        <w:t>The child and reality</w:t>
      </w:r>
      <w:r w:rsidRPr="00F07407">
        <w:t>. Penguin Books.</w:t>
      </w:r>
    </w:p>
    <w:p w14:paraId="6760049A" w14:textId="77777777" w:rsidR="005332B0" w:rsidRPr="00F07407" w:rsidRDefault="005332B0" w:rsidP="005332B0">
      <w:pPr>
        <w:keepLines/>
        <w:spacing w:after="120" w:line="480" w:lineRule="auto"/>
        <w:ind w:left="720" w:hanging="720"/>
      </w:pPr>
      <w:r w:rsidRPr="00F07407">
        <w:t xml:space="preserve">Portilla, X. A., Ballard, P. J., Adler, N. E., Boyce, W. T., &amp; Obradović, J. (2014). An integrative view of school functioning: transactions between self-regulation, school engagement, and teacher–child relationship quality. </w:t>
      </w:r>
      <w:r w:rsidRPr="00F07407">
        <w:rPr>
          <w:i/>
          <w:iCs/>
        </w:rPr>
        <w:t>Child Development, 85</w:t>
      </w:r>
      <w:r w:rsidRPr="00F07407">
        <w:t>, 1915–1931. https://doi.org/10.1111/cdev.12259</w:t>
      </w:r>
    </w:p>
    <w:p w14:paraId="699D6621" w14:textId="77777777" w:rsidR="00FA43B9" w:rsidRPr="00F07407" w:rsidRDefault="00FA43B9" w:rsidP="00FA43B9">
      <w:pPr>
        <w:keepLines/>
        <w:spacing w:after="120" w:line="480" w:lineRule="auto"/>
        <w:ind w:left="720" w:hanging="720"/>
        <w:rPr>
          <w:szCs w:val="20"/>
          <w:lang w:eastAsia="zh-HK"/>
        </w:rPr>
      </w:pPr>
      <w:r w:rsidRPr="00F07407">
        <w:rPr>
          <w:szCs w:val="20"/>
          <w:lang w:eastAsia="zh-HK"/>
        </w:rPr>
        <w:lastRenderedPageBreak/>
        <w:t>R Foundation for Statistical Computing (202</w:t>
      </w:r>
      <w:r w:rsidR="00A41AEE" w:rsidRPr="00F07407">
        <w:rPr>
          <w:szCs w:val="20"/>
          <w:lang w:eastAsia="zh-HK"/>
        </w:rPr>
        <w:t>1</w:t>
      </w:r>
      <w:r w:rsidRPr="00F07407">
        <w:rPr>
          <w:szCs w:val="20"/>
          <w:lang w:eastAsia="zh-HK"/>
        </w:rPr>
        <w:t xml:space="preserve">). </w:t>
      </w:r>
      <w:r w:rsidRPr="00F07407">
        <w:rPr>
          <w:i/>
          <w:iCs/>
          <w:szCs w:val="20"/>
          <w:lang w:eastAsia="zh-HK"/>
        </w:rPr>
        <w:t>The R project for statistical computing</w:t>
      </w:r>
      <w:r w:rsidRPr="00F07407">
        <w:rPr>
          <w:szCs w:val="20"/>
          <w:lang w:eastAsia="zh-HK"/>
        </w:rPr>
        <w:t xml:space="preserve">. </w:t>
      </w:r>
      <w:hyperlink r:id="rId8" w:history="1">
        <w:r w:rsidRPr="00F07407">
          <w:t>https://www.R-project.org/</w:t>
        </w:r>
      </w:hyperlink>
      <w:r w:rsidRPr="00F07407">
        <w:rPr>
          <w:sz w:val="20"/>
          <w:szCs w:val="20"/>
          <w:lang w:eastAsia="zh-HK"/>
        </w:rPr>
        <w:t xml:space="preserve"> </w:t>
      </w:r>
    </w:p>
    <w:p w14:paraId="5663E630" w14:textId="77777777" w:rsidR="00165017" w:rsidRPr="005E71D6" w:rsidRDefault="00165017" w:rsidP="009812BA">
      <w:pPr>
        <w:keepLines/>
        <w:spacing w:after="120" w:line="480" w:lineRule="auto"/>
        <w:ind w:left="720" w:hanging="720"/>
        <w:rPr>
          <w:color w:val="00B0F0"/>
          <w:lang w:eastAsia="zh-HK"/>
        </w:rPr>
      </w:pPr>
      <w:r w:rsidRPr="005E71D6">
        <w:rPr>
          <w:color w:val="00B0F0"/>
          <w:lang w:eastAsia="zh-HK"/>
        </w:rPr>
        <w:t xml:space="preserve">Roopnarine, J. L., &amp; Davidson, K. L. (2015). Parent-child play across cultures: advancing play research. </w:t>
      </w:r>
      <w:r w:rsidRPr="005E71D6">
        <w:rPr>
          <w:i/>
          <w:iCs/>
          <w:color w:val="00B0F0"/>
          <w:lang w:eastAsia="zh-HK"/>
        </w:rPr>
        <w:t>American Journal of Play, 7</w:t>
      </w:r>
      <w:r w:rsidRPr="005E71D6">
        <w:rPr>
          <w:color w:val="00B0F0"/>
          <w:lang w:eastAsia="zh-HK"/>
        </w:rPr>
        <w:t xml:space="preserve">(2), 228–252. </w:t>
      </w:r>
    </w:p>
    <w:p w14:paraId="5182B659" w14:textId="77777777" w:rsidR="009812BA" w:rsidRPr="00F07407" w:rsidRDefault="009812BA" w:rsidP="009812BA">
      <w:pPr>
        <w:keepLines/>
        <w:spacing w:after="120" w:line="480" w:lineRule="auto"/>
        <w:ind w:left="720" w:hanging="720"/>
        <w:rPr>
          <w:lang w:eastAsia="zh-HK"/>
        </w:rPr>
      </w:pPr>
      <w:r w:rsidRPr="00F07407">
        <w:rPr>
          <w:lang w:eastAsia="zh-HK"/>
        </w:rPr>
        <w:t xml:space="preserve">Schmitt, S. A., Pratt, M. E., &amp; McClelland, M. M. (2014). Examining the validity of behavioral self-regulation tools in predicting preschoolers’ academic achievement. </w:t>
      </w:r>
      <w:r w:rsidRPr="00F07407">
        <w:rPr>
          <w:i/>
          <w:iCs/>
          <w:lang w:eastAsia="zh-HK"/>
        </w:rPr>
        <w:t>Early Education and Development, 25</w:t>
      </w:r>
      <w:r w:rsidRPr="00F07407">
        <w:rPr>
          <w:lang w:eastAsia="zh-HK"/>
        </w:rPr>
        <w:t xml:space="preserve">, 641–660. </w:t>
      </w:r>
      <w:r w:rsidRPr="00F07407">
        <w:rPr>
          <w:szCs w:val="20"/>
          <w:lang w:eastAsia="zh-HK"/>
        </w:rPr>
        <w:t>https://doi.org/</w:t>
      </w:r>
      <w:r w:rsidRPr="00F07407">
        <w:rPr>
          <w:lang w:eastAsia="zh-HK"/>
        </w:rPr>
        <w:t>10.1080/10409289.2014.850397</w:t>
      </w:r>
    </w:p>
    <w:p w14:paraId="1E9A584A" w14:textId="77777777" w:rsidR="00EC4945" w:rsidRPr="00F07407" w:rsidRDefault="00EC4945" w:rsidP="00EC4945">
      <w:pPr>
        <w:keepLines/>
        <w:spacing w:after="120" w:line="480" w:lineRule="auto"/>
        <w:ind w:left="720" w:hanging="720"/>
        <w:rPr>
          <w:lang w:eastAsia="zh-HK"/>
        </w:rPr>
      </w:pPr>
      <w:r w:rsidRPr="00F07407">
        <w:rPr>
          <w:lang w:eastAsia="zh-HK"/>
        </w:rPr>
        <w:t xml:space="preserve">Schneider, E., &amp; Rosenblum, S. (2014). Development, reliability, and validity of the My Child's Play (MCP) questionnaire. </w:t>
      </w:r>
      <w:r w:rsidRPr="00F07407">
        <w:rPr>
          <w:i/>
          <w:iCs/>
          <w:lang w:eastAsia="zh-HK"/>
        </w:rPr>
        <w:t>The American Journal of Occupational Therapy, 68</w:t>
      </w:r>
      <w:r w:rsidRPr="00F07407">
        <w:rPr>
          <w:lang w:eastAsia="zh-HK"/>
        </w:rPr>
        <w:t xml:space="preserve">(3), 277-285. </w:t>
      </w:r>
      <w:r w:rsidRPr="00F07407">
        <w:rPr>
          <w:szCs w:val="20"/>
          <w:lang w:eastAsia="zh-HK"/>
        </w:rPr>
        <w:t>https://doi.org/</w:t>
      </w:r>
      <w:r w:rsidRPr="00F07407">
        <w:rPr>
          <w:lang w:eastAsia="zh-HK"/>
        </w:rPr>
        <w:t>10.5014/ajot.2014.009159</w:t>
      </w:r>
    </w:p>
    <w:p w14:paraId="2239CE33" w14:textId="77777777" w:rsidR="00774161" w:rsidRPr="00F07407" w:rsidRDefault="00774161" w:rsidP="00774161">
      <w:pPr>
        <w:keepLines/>
        <w:spacing w:after="120" w:line="480" w:lineRule="auto"/>
        <w:ind w:left="720" w:hanging="720"/>
        <w:rPr>
          <w:szCs w:val="20"/>
          <w:lang w:eastAsia="zh-HK"/>
        </w:rPr>
      </w:pPr>
      <w:r w:rsidRPr="00F07407">
        <w:t xml:space="preserve">Stühmann, L. M., Paprott, R., Heidemann, C., Ziese, T., Hansen, S., Zahn, D., . . . Gellert, P. (2020). Psychometric properties of a nationwide survey for adults with and without diabetes: The "disease knowledge and information needs - diabetes mellitus (2017)" survey. </w:t>
      </w:r>
      <w:r w:rsidRPr="00F07407">
        <w:rPr>
          <w:i/>
          <w:iCs/>
        </w:rPr>
        <w:t>BMC Public Health, 20</w:t>
      </w:r>
      <w:r w:rsidRPr="00F07407">
        <w:t>(1), 192. https://doi.org/10.1186/s12889-020-8296-6</w:t>
      </w:r>
    </w:p>
    <w:p w14:paraId="1EA840AA" w14:textId="77777777" w:rsidR="000077AD" w:rsidRPr="00F07407" w:rsidRDefault="000077AD" w:rsidP="004E42CB">
      <w:pPr>
        <w:keepLines/>
        <w:spacing w:after="120" w:line="480" w:lineRule="auto"/>
        <w:ind w:left="720" w:hanging="720"/>
        <w:rPr>
          <w:szCs w:val="20"/>
          <w:lang w:eastAsia="zh-HK"/>
        </w:rPr>
      </w:pPr>
      <w:r w:rsidRPr="00F07407">
        <w:rPr>
          <w:szCs w:val="20"/>
          <w:lang w:eastAsia="zh-HK"/>
        </w:rPr>
        <w:t xml:space="preserve">Turner, L. A., &amp; Johnson, B. (2003). A model of mastery motivation for at-risk preschoolers. </w:t>
      </w:r>
      <w:r w:rsidRPr="00F07407">
        <w:rPr>
          <w:i/>
          <w:iCs/>
          <w:szCs w:val="20"/>
          <w:lang w:eastAsia="zh-HK"/>
        </w:rPr>
        <w:t>Journal of Educational Psychology, 95</w:t>
      </w:r>
      <w:r w:rsidRPr="00F07407">
        <w:rPr>
          <w:szCs w:val="20"/>
          <w:lang w:eastAsia="zh-HK"/>
        </w:rPr>
        <w:t>(3), 495–505. https://doi.org/10.1037/0022-0663.95.3.495</w:t>
      </w:r>
    </w:p>
    <w:p w14:paraId="37C56DD5" w14:textId="77777777" w:rsidR="00116F57" w:rsidRPr="00F07407" w:rsidRDefault="00116F57" w:rsidP="004E42CB">
      <w:pPr>
        <w:keepLines/>
        <w:spacing w:after="120" w:line="480" w:lineRule="auto"/>
        <w:ind w:left="720" w:hanging="720"/>
      </w:pPr>
      <w:r w:rsidRPr="00F07407">
        <w:lastRenderedPageBreak/>
        <w:t xml:space="preserve">Vygotsky, L. (1967). Play and its role in the mental development of the child. </w:t>
      </w:r>
      <w:r w:rsidRPr="00F07407">
        <w:rPr>
          <w:i/>
          <w:iCs/>
        </w:rPr>
        <w:t>Soviet Psychology, 5</w:t>
      </w:r>
      <w:r w:rsidRPr="00F07407">
        <w:t>(3), 6–18.</w:t>
      </w:r>
    </w:p>
    <w:p w14:paraId="2C136770" w14:textId="77777777" w:rsidR="00FA43B9" w:rsidRPr="00F07407" w:rsidRDefault="0052578F" w:rsidP="004E42CB">
      <w:pPr>
        <w:keepLines/>
        <w:spacing w:after="120" w:line="480" w:lineRule="auto"/>
        <w:ind w:left="720" w:hanging="720"/>
        <w:rPr>
          <w:szCs w:val="20"/>
          <w:lang w:eastAsia="zh-HK"/>
        </w:rPr>
      </w:pPr>
      <w:r w:rsidRPr="00F07407">
        <w:rPr>
          <w:szCs w:val="20"/>
          <w:lang w:eastAsia="zh-HK"/>
        </w:rPr>
        <w:t xml:space="preserve">Wang, P., Hwang, A., Liao, H., Chen, P., &amp; Hsieh, W. (2011). The stability of mastery motivation and its relationship with home environment in infants and toddlers. </w:t>
      </w:r>
      <w:r w:rsidRPr="00F07407">
        <w:rPr>
          <w:i/>
          <w:iCs/>
          <w:szCs w:val="20"/>
          <w:lang w:eastAsia="zh-HK"/>
        </w:rPr>
        <w:t>Infant Behavior &amp; Development, 34</w:t>
      </w:r>
      <w:r w:rsidRPr="00F07407">
        <w:rPr>
          <w:szCs w:val="20"/>
          <w:lang w:eastAsia="zh-HK"/>
        </w:rPr>
        <w:t>(3), 434–442. https://doi.org/10.1016/j.infbeh.2011.04.005</w:t>
      </w:r>
    </w:p>
    <w:p w14:paraId="7F73EC1B" w14:textId="77777777" w:rsidR="00EC178E" w:rsidRPr="00F07407" w:rsidRDefault="00EC178E" w:rsidP="004E42CB">
      <w:pPr>
        <w:keepLines/>
        <w:spacing w:after="120" w:line="480" w:lineRule="auto"/>
        <w:ind w:left="720" w:hanging="720"/>
        <w:rPr>
          <w:szCs w:val="20"/>
          <w:lang w:eastAsia="zh-HK"/>
        </w:rPr>
      </w:pPr>
      <w:r w:rsidRPr="00F07407">
        <w:rPr>
          <w:szCs w:val="20"/>
          <w:lang w:eastAsia="zh-HK"/>
        </w:rPr>
        <w:t xml:space="preserve">Zentall, S. R., &amp; Morris, B. J. (2010). “Good job, you’re so smart”: The effects of inconsistency of praise type on young children’s motivation. </w:t>
      </w:r>
      <w:r w:rsidRPr="00F07407">
        <w:rPr>
          <w:i/>
          <w:iCs/>
          <w:szCs w:val="20"/>
          <w:lang w:eastAsia="zh-HK"/>
        </w:rPr>
        <w:t>Journal of Experimental Child Psychology, 107</w:t>
      </w:r>
      <w:r w:rsidRPr="00F07407">
        <w:rPr>
          <w:szCs w:val="20"/>
          <w:lang w:eastAsia="zh-HK"/>
        </w:rPr>
        <w:t>(2), 155–163. https://doi.org/10.1016/j.jecp.2010.04.015</w:t>
      </w:r>
    </w:p>
    <w:p w14:paraId="1D35BF66" w14:textId="77777777" w:rsidR="00EC4945" w:rsidRPr="00F07407" w:rsidRDefault="00EC4945" w:rsidP="004E42CB">
      <w:pPr>
        <w:keepLines/>
        <w:spacing w:after="120" w:line="480" w:lineRule="auto"/>
        <w:ind w:left="720" w:hanging="720"/>
        <w:rPr>
          <w:szCs w:val="20"/>
          <w:lang w:eastAsia="zh-HK"/>
        </w:rPr>
      </w:pPr>
    </w:p>
    <w:bookmarkEnd w:id="4"/>
    <w:p w14:paraId="31FC5BA3" w14:textId="77777777" w:rsidR="00A70668" w:rsidRPr="00F07407" w:rsidRDefault="00A70668" w:rsidP="005632B3">
      <w:pPr>
        <w:keepLines/>
        <w:widowControl/>
        <w:spacing w:after="120" w:line="480" w:lineRule="auto"/>
        <w:ind w:left="720" w:hanging="720"/>
        <w:rPr>
          <w:lang w:eastAsia="zh-HK"/>
        </w:rPr>
      </w:pPr>
      <w:r w:rsidRPr="00F07407">
        <w:rPr>
          <w:lang w:eastAsia="zh-HK"/>
        </w:rPr>
        <w:br w:type="page"/>
      </w:r>
    </w:p>
    <w:p w14:paraId="39543CCE" w14:textId="77777777" w:rsidR="00A70668" w:rsidRPr="00F07407" w:rsidRDefault="00A70668" w:rsidP="00AF18C7">
      <w:pPr>
        <w:spacing w:line="480" w:lineRule="auto"/>
        <w:rPr>
          <w:lang w:eastAsia="zh-HK"/>
        </w:rPr>
        <w:sectPr w:rsidR="00A70668" w:rsidRPr="00F07407" w:rsidSect="0078577F">
          <w:headerReference w:type="even" r:id="rId9"/>
          <w:headerReference w:type="default" r:id="rId10"/>
          <w:pgSz w:w="11906" w:h="16838" w:code="9"/>
          <w:pgMar w:top="1440" w:right="1440" w:bottom="1440" w:left="1440" w:header="850" w:footer="994" w:gutter="0"/>
          <w:cols w:space="425"/>
          <w:docGrid w:type="lines" w:linePitch="360"/>
        </w:sectPr>
      </w:pPr>
    </w:p>
    <w:p w14:paraId="6FAD7457" w14:textId="77777777" w:rsidR="00EF5EE7" w:rsidRPr="00F07407" w:rsidRDefault="00AF18C7" w:rsidP="005B4501">
      <w:pPr>
        <w:rPr>
          <w:lang w:eastAsia="zh-HK"/>
        </w:rPr>
      </w:pPr>
      <w:r w:rsidRPr="00F07407">
        <w:rPr>
          <w:lang w:eastAsia="zh-HK"/>
        </w:rPr>
        <w:lastRenderedPageBreak/>
        <w:t>Table 1</w:t>
      </w:r>
    </w:p>
    <w:p w14:paraId="6C550EB6" w14:textId="77777777" w:rsidR="00EA1E96" w:rsidRPr="00F07407" w:rsidRDefault="00AF18C7" w:rsidP="0056617E">
      <w:pPr>
        <w:spacing w:line="480" w:lineRule="auto"/>
        <w:rPr>
          <w:i/>
          <w:lang w:eastAsia="zh-HK"/>
        </w:rPr>
      </w:pPr>
      <w:r w:rsidRPr="00F07407">
        <w:rPr>
          <w:i/>
          <w:lang w:eastAsia="zh-HK"/>
        </w:rPr>
        <w:t xml:space="preserve">Descriptive statistics </w:t>
      </w:r>
      <w:r w:rsidR="00F523CF" w:rsidRPr="00F07407">
        <w:rPr>
          <w:i/>
          <w:lang w:eastAsia="zh-HK"/>
        </w:rPr>
        <w:t xml:space="preserve">of </w:t>
      </w:r>
      <w:r w:rsidRPr="00F07407">
        <w:rPr>
          <w:i/>
          <w:lang w:eastAsia="zh-HK"/>
        </w:rPr>
        <w:t xml:space="preserve">and bivariate correlations among </w:t>
      </w:r>
      <w:r w:rsidR="00C13BE8" w:rsidRPr="00F07407">
        <w:rPr>
          <w:i/>
          <w:lang w:eastAsia="zh-HK"/>
        </w:rPr>
        <w:t xml:space="preserve">the </w:t>
      </w:r>
      <w:r w:rsidRPr="00F07407">
        <w:rPr>
          <w:i/>
          <w:lang w:eastAsia="zh-HK"/>
        </w:rPr>
        <w:t>study variables</w:t>
      </w:r>
    </w:p>
    <w:tbl>
      <w:tblPr>
        <w:tblStyle w:val="TableGrid"/>
        <w:tblW w:w="9072" w:type="dxa"/>
        <w:tblLayout w:type="fixed"/>
        <w:tblLook w:val="04A0" w:firstRow="1" w:lastRow="0" w:firstColumn="1" w:lastColumn="0" w:noHBand="0" w:noVBand="1"/>
      </w:tblPr>
      <w:tblGrid>
        <w:gridCol w:w="850"/>
        <w:gridCol w:w="993"/>
        <w:gridCol w:w="2126"/>
        <w:gridCol w:w="378"/>
        <w:gridCol w:w="898"/>
        <w:gridCol w:w="1276"/>
        <w:gridCol w:w="1276"/>
        <w:gridCol w:w="1275"/>
      </w:tblGrid>
      <w:tr w:rsidR="00F07407" w:rsidRPr="00F07407" w14:paraId="10364574" w14:textId="77777777" w:rsidTr="00BE76D8">
        <w:tc>
          <w:tcPr>
            <w:tcW w:w="3969" w:type="dxa"/>
            <w:gridSpan w:val="3"/>
            <w:tcBorders>
              <w:top w:val="single" w:sz="4" w:space="0" w:color="auto"/>
              <w:left w:val="nil"/>
              <w:bottom w:val="nil"/>
              <w:right w:val="nil"/>
            </w:tcBorders>
          </w:tcPr>
          <w:p w14:paraId="1622458B" w14:textId="77777777" w:rsidR="00CF4C07" w:rsidRPr="00F07407" w:rsidRDefault="00CF4C07" w:rsidP="00BE76D8">
            <w:pPr>
              <w:spacing w:line="480" w:lineRule="auto"/>
              <w:rPr>
                <w:sz w:val="22"/>
                <w:szCs w:val="22"/>
                <w:lang w:eastAsia="zh-HK"/>
              </w:rPr>
            </w:pPr>
          </w:p>
        </w:tc>
        <w:tc>
          <w:tcPr>
            <w:tcW w:w="378" w:type="dxa"/>
            <w:tcBorders>
              <w:top w:val="single" w:sz="4" w:space="0" w:color="auto"/>
              <w:left w:val="nil"/>
              <w:bottom w:val="single" w:sz="4" w:space="0" w:color="auto"/>
              <w:right w:val="nil"/>
            </w:tcBorders>
          </w:tcPr>
          <w:p w14:paraId="3BD2AEDA" w14:textId="77777777" w:rsidR="00CF4C07" w:rsidRPr="00F07407" w:rsidRDefault="00CF4C07" w:rsidP="00BE76D8">
            <w:pPr>
              <w:spacing w:line="480" w:lineRule="auto"/>
              <w:rPr>
                <w:sz w:val="22"/>
                <w:szCs w:val="22"/>
                <w:lang w:eastAsia="zh-HK"/>
              </w:rPr>
            </w:pPr>
          </w:p>
        </w:tc>
        <w:tc>
          <w:tcPr>
            <w:tcW w:w="4725" w:type="dxa"/>
            <w:gridSpan w:val="4"/>
            <w:tcBorders>
              <w:top w:val="single" w:sz="4" w:space="0" w:color="auto"/>
              <w:left w:val="nil"/>
              <w:bottom w:val="single" w:sz="4" w:space="0" w:color="auto"/>
              <w:right w:val="nil"/>
            </w:tcBorders>
          </w:tcPr>
          <w:p w14:paraId="1C8AB45E" w14:textId="77777777" w:rsidR="00CF4C07" w:rsidRPr="00F07407" w:rsidRDefault="00CF4C07" w:rsidP="00BE76D8">
            <w:pPr>
              <w:spacing w:line="480" w:lineRule="auto"/>
              <w:jc w:val="center"/>
              <w:rPr>
                <w:sz w:val="22"/>
                <w:szCs w:val="22"/>
                <w:lang w:eastAsia="zh-HK"/>
              </w:rPr>
            </w:pPr>
            <w:r w:rsidRPr="00F07407">
              <w:rPr>
                <w:sz w:val="22"/>
                <w:szCs w:val="22"/>
                <w:lang w:eastAsia="zh-HK"/>
              </w:rPr>
              <w:t>Correlations</w:t>
            </w:r>
          </w:p>
        </w:tc>
      </w:tr>
      <w:tr w:rsidR="00F07407" w:rsidRPr="00F07407" w14:paraId="5E162DFD" w14:textId="77777777" w:rsidTr="00BE76D8">
        <w:trPr>
          <w:trHeight w:val="512"/>
        </w:trPr>
        <w:tc>
          <w:tcPr>
            <w:tcW w:w="3969" w:type="dxa"/>
            <w:gridSpan w:val="3"/>
            <w:tcBorders>
              <w:top w:val="nil"/>
              <w:left w:val="nil"/>
              <w:bottom w:val="single" w:sz="4" w:space="0" w:color="auto"/>
              <w:right w:val="nil"/>
            </w:tcBorders>
          </w:tcPr>
          <w:p w14:paraId="0D133BAD" w14:textId="77777777" w:rsidR="00BE76D8" w:rsidRPr="00F07407" w:rsidRDefault="00BE76D8" w:rsidP="00BE76D8">
            <w:pPr>
              <w:spacing w:line="480" w:lineRule="auto"/>
              <w:rPr>
                <w:sz w:val="22"/>
                <w:szCs w:val="22"/>
                <w:lang w:eastAsia="zh-HK"/>
              </w:rPr>
            </w:pPr>
            <w:r w:rsidRPr="00F07407">
              <w:rPr>
                <w:sz w:val="22"/>
                <w:szCs w:val="22"/>
                <w:lang w:eastAsia="zh-HK"/>
              </w:rPr>
              <w:t>Variables</w:t>
            </w:r>
          </w:p>
        </w:tc>
        <w:tc>
          <w:tcPr>
            <w:tcW w:w="1276" w:type="dxa"/>
            <w:gridSpan w:val="2"/>
            <w:tcBorders>
              <w:top w:val="single" w:sz="4" w:space="0" w:color="auto"/>
              <w:left w:val="nil"/>
              <w:bottom w:val="single" w:sz="4" w:space="0" w:color="auto"/>
              <w:right w:val="nil"/>
            </w:tcBorders>
          </w:tcPr>
          <w:p w14:paraId="35E508BB" w14:textId="77777777" w:rsidR="00BE76D8" w:rsidRPr="00F07407" w:rsidRDefault="00BE76D8" w:rsidP="00BE76D8">
            <w:pPr>
              <w:spacing w:line="480" w:lineRule="auto"/>
              <w:rPr>
                <w:sz w:val="22"/>
                <w:szCs w:val="22"/>
                <w:lang w:eastAsia="zh-HK"/>
              </w:rPr>
            </w:pPr>
            <w:r w:rsidRPr="00F07407">
              <w:rPr>
                <w:sz w:val="22"/>
                <w:szCs w:val="22"/>
              </w:rPr>
              <w:t>(1)</w:t>
            </w:r>
          </w:p>
        </w:tc>
        <w:tc>
          <w:tcPr>
            <w:tcW w:w="1276" w:type="dxa"/>
            <w:tcBorders>
              <w:top w:val="single" w:sz="4" w:space="0" w:color="auto"/>
              <w:left w:val="nil"/>
              <w:bottom w:val="single" w:sz="4" w:space="0" w:color="auto"/>
              <w:right w:val="nil"/>
            </w:tcBorders>
          </w:tcPr>
          <w:p w14:paraId="2E8CC035" w14:textId="77777777" w:rsidR="00BE76D8" w:rsidRPr="00F07407" w:rsidRDefault="00BE76D8" w:rsidP="00BE76D8">
            <w:pPr>
              <w:spacing w:line="480" w:lineRule="auto"/>
              <w:rPr>
                <w:sz w:val="22"/>
                <w:szCs w:val="22"/>
                <w:lang w:eastAsia="zh-HK"/>
              </w:rPr>
            </w:pPr>
            <w:r w:rsidRPr="00F07407">
              <w:rPr>
                <w:sz w:val="22"/>
                <w:szCs w:val="22"/>
              </w:rPr>
              <w:t>(2)</w:t>
            </w:r>
          </w:p>
        </w:tc>
        <w:tc>
          <w:tcPr>
            <w:tcW w:w="1276" w:type="dxa"/>
            <w:tcBorders>
              <w:top w:val="single" w:sz="4" w:space="0" w:color="auto"/>
              <w:left w:val="nil"/>
              <w:bottom w:val="single" w:sz="4" w:space="0" w:color="auto"/>
              <w:right w:val="nil"/>
            </w:tcBorders>
          </w:tcPr>
          <w:p w14:paraId="68B675A9" w14:textId="77777777" w:rsidR="00BE76D8" w:rsidRPr="00F07407" w:rsidRDefault="00BE76D8" w:rsidP="00BE76D8">
            <w:pPr>
              <w:spacing w:line="480" w:lineRule="auto"/>
              <w:rPr>
                <w:sz w:val="22"/>
                <w:szCs w:val="22"/>
                <w:lang w:eastAsia="zh-HK"/>
              </w:rPr>
            </w:pPr>
            <w:r w:rsidRPr="00F07407">
              <w:rPr>
                <w:sz w:val="22"/>
                <w:szCs w:val="22"/>
              </w:rPr>
              <w:t>(3)</w:t>
            </w:r>
          </w:p>
        </w:tc>
        <w:tc>
          <w:tcPr>
            <w:tcW w:w="1275" w:type="dxa"/>
            <w:tcBorders>
              <w:top w:val="single" w:sz="4" w:space="0" w:color="auto"/>
              <w:left w:val="nil"/>
              <w:bottom w:val="single" w:sz="4" w:space="0" w:color="auto"/>
              <w:right w:val="nil"/>
            </w:tcBorders>
          </w:tcPr>
          <w:p w14:paraId="3ACCCE61" w14:textId="77777777" w:rsidR="00BE76D8" w:rsidRPr="00F07407" w:rsidRDefault="00BE76D8" w:rsidP="00BE76D8">
            <w:pPr>
              <w:spacing w:line="480" w:lineRule="auto"/>
              <w:rPr>
                <w:sz w:val="22"/>
                <w:szCs w:val="22"/>
                <w:lang w:eastAsia="zh-HK"/>
              </w:rPr>
            </w:pPr>
            <w:r w:rsidRPr="00F07407">
              <w:rPr>
                <w:sz w:val="22"/>
                <w:szCs w:val="22"/>
              </w:rPr>
              <w:t>(4)</w:t>
            </w:r>
          </w:p>
        </w:tc>
      </w:tr>
      <w:tr w:rsidR="00F07407" w:rsidRPr="00F07407" w14:paraId="59C3C456" w14:textId="77777777" w:rsidTr="00BE76D8">
        <w:tc>
          <w:tcPr>
            <w:tcW w:w="3969" w:type="dxa"/>
            <w:gridSpan w:val="3"/>
            <w:tcBorders>
              <w:top w:val="nil"/>
              <w:left w:val="nil"/>
              <w:bottom w:val="nil"/>
              <w:right w:val="nil"/>
            </w:tcBorders>
          </w:tcPr>
          <w:p w14:paraId="13EF1915" w14:textId="77777777" w:rsidR="00BE76D8" w:rsidRPr="00F07407" w:rsidRDefault="00BE76D8" w:rsidP="00BE76D8">
            <w:pPr>
              <w:spacing w:line="480" w:lineRule="auto"/>
              <w:rPr>
                <w:sz w:val="22"/>
                <w:szCs w:val="22"/>
                <w:lang w:eastAsia="zh-HK"/>
              </w:rPr>
            </w:pPr>
            <w:r w:rsidRPr="00F07407">
              <w:rPr>
                <w:sz w:val="22"/>
                <w:szCs w:val="22"/>
                <w:lang w:eastAsia="zh-HK"/>
              </w:rPr>
              <w:t>1. T1 Home play opportunity</w:t>
            </w:r>
          </w:p>
        </w:tc>
        <w:tc>
          <w:tcPr>
            <w:tcW w:w="1276" w:type="dxa"/>
            <w:gridSpan w:val="2"/>
            <w:tcBorders>
              <w:top w:val="nil"/>
              <w:left w:val="nil"/>
              <w:bottom w:val="nil"/>
              <w:right w:val="nil"/>
            </w:tcBorders>
          </w:tcPr>
          <w:p w14:paraId="56A1E9C2" w14:textId="77777777" w:rsidR="00BE76D8" w:rsidRPr="00F07407" w:rsidRDefault="00BE76D8" w:rsidP="00BE76D8">
            <w:pPr>
              <w:spacing w:line="480" w:lineRule="auto"/>
              <w:rPr>
                <w:sz w:val="22"/>
                <w:szCs w:val="22"/>
                <w:lang w:eastAsia="zh-HK"/>
              </w:rPr>
            </w:pPr>
            <w:r w:rsidRPr="00F07407">
              <w:rPr>
                <w:sz w:val="22"/>
                <w:szCs w:val="22"/>
                <w:lang w:eastAsia="zh-HK"/>
              </w:rPr>
              <w:t>--</w:t>
            </w:r>
          </w:p>
        </w:tc>
        <w:tc>
          <w:tcPr>
            <w:tcW w:w="1276" w:type="dxa"/>
            <w:tcBorders>
              <w:top w:val="nil"/>
              <w:left w:val="nil"/>
              <w:bottom w:val="nil"/>
              <w:right w:val="nil"/>
            </w:tcBorders>
          </w:tcPr>
          <w:p w14:paraId="1C919AFC" w14:textId="77777777" w:rsidR="00BE76D8" w:rsidRPr="00F07407" w:rsidRDefault="00BE76D8" w:rsidP="00BE76D8">
            <w:pPr>
              <w:spacing w:line="480" w:lineRule="auto"/>
              <w:rPr>
                <w:sz w:val="22"/>
                <w:szCs w:val="22"/>
                <w:lang w:eastAsia="zh-HK"/>
              </w:rPr>
            </w:pPr>
          </w:p>
        </w:tc>
        <w:tc>
          <w:tcPr>
            <w:tcW w:w="1276" w:type="dxa"/>
            <w:tcBorders>
              <w:top w:val="nil"/>
              <w:left w:val="nil"/>
              <w:bottom w:val="nil"/>
              <w:right w:val="nil"/>
            </w:tcBorders>
          </w:tcPr>
          <w:p w14:paraId="18F3716B" w14:textId="77777777" w:rsidR="00BE76D8" w:rsidRPr="00F07407" w:rsidRDefault="00BE76D8" w:rsidP="00BE76D8">
            <w:pPr>
              <w:spacing w:line="480" w:lineRule="auto"/>
              <w:rPr>
                <w:sz w:val="22"/>
                <w:szCs w:val="22"/>
                <w:lang w:eastAsia="zh-HK"/>
              </w:rPr>
            </w:pPr>
          </w:p>
        </w:tc>
        <w:tc>
          <w:tcPr>
            <w:tcW w:w="1275" w:type="dxa"/>
            <w:tcBorders>
              <w:top w:val="nil"/>
              <w:left w:val="nil"/>
              <w:bottom w:val="nil"/>
              <w:right w:val="nil"/>
            </w:tcBorders>
          </w:tcPr>
          <w:p w14:paraId="4E52CE5E" w14:textId="77777777" w:rsidR="00BE76D8" w:rsidRPr="00F07407" w:rsidRDefault="00BE76D8" w:rsidP="00BE76D8">
            <w:pPr>
              <w:spacing w:line="480" w:lineRule="auto"/>
              <w:rPr>
                <w:sz w:val="22"/>
                <w:szCs w:val="22"/>
                <w:lang w:eastAsia="zh-HK"/>
              </w:rPr>
            </w:pPr>
          </w:p>
        </w:tc>
      </w:tr>
      <w:tr w:rsidR="00F07407" w:rsidRPr="00F07407" w14:paraId="65776A8D" w14:textId="77777777" w:rsidTr="00BE76D8">
        <w:trPr>
          <w:trHeight w:val="531"/>
        </w:trPr>
        <w:tc>
          <w:tcPr>
            <w:tcW w:w="3969" w:type="dxa"/>
            <w:gridSpan w:val="3"/>
            <w:tcBorders>
              <w:top w:val="nil"/>
              <w:left w:val="nil"/>
              <w:bottom w:val="nil"/>
              <w:right w:val="nil"/>
            </w:tcBorders>
          </w:tcPr>
          <w:p w14:paraId="46500F6D" w14:textId="77777777" w:rsidR="00BE76D8" w:rsidRPr="00F07407" w:rsidRDefault="00BE76D8" w:rsidP="00BE76D8">
            <w:pPr>
              <w:spacing w:line="480" w:lineRule="auto"/>
              <w:rPr>
                <w:sz w:val="22"/>
                <w:szCs w:val="22"/>
                <w:lang w:eastAsia="zh-HK"/>
              </w:rPr>
            </w:pPr>
            <w:r w:rsidRPr="00F07407">
              <w:rPr>
                <w:sz w:val="22"/>
                <w:szCs w:val="22"/>
              </w:rPr>
              <w:t>2. T2 Object mastery motivation</w:t>
            </w:r>
          </w:p>
        </w:tc>
        <w:tc>
          <w:tcPr>
            <w:tcW w:w="1276" w:type="dxa"/>
            <w:gridSpan w:val="2"/>
            <w:tcBorders>
              <w:top w:val="nil"/>
              <w:left w:val="nil"/>
              <w:bottom w:val="nil"/>
              <w:right w:val="nil"/>
            </w:tcBorders>
          </w:tcPr>
          <w:p w14:paraId="086CAFED" w14:textId="77777777" w:rsidR="00BE76D8" w:rsidRPr="00F07407" w:rsidRDefault="003F46F4" w:rsidP="00BE76D8">
            <w:pPr>
              <w:spacing w:line="480" w:lineRule="auto"/>
              <w:rPr>
                <w:sz w:val="22"/>
                <w:szCs w:val="22"/>
                <w:lang w:eastAsia="zh-HK"/>
              </w:rPr>
            </w:pPr>
            <w:r w:rsidRPr="00F07407">
              <w:rPr>
                <w:sz w:val="22"/>
                <w:szCs w:val="22"/>
                <w:lang w:eastAsia="zh-HK"/>
              </w:rPr>
              <w:t>.24</w:t>
            </w:r>
            <w:r w:rsidRPr="00F07407">
              <w:rPr>
                <w:sz w:val="22"/>
                <w:szCs w:val="22"/>
                <w:vertAlign w:val="superscript"/>
                <w:lang w:eastAsia="zh-HK"/>
              </w:rPr>
              <w:t>*</w:t>
            </w:r>
          </w:p>
        </w:tc>
        <w:tc>
          <w:tcPr>
            <w:tcW w:w="1276" w:type="dxa"/>
            <w:tcBorders>
              <w:top w:val="nil"/>
              <w:left w:val="nil"/>
              <w:bottom w:val="nil"/>
              <w:right w:val="nil"/>
            </w:tcBorders>
          </w:tcPr>
          <w:p w14:paraId="4CA5DD15" w14:textId="77777777" w:rsidR="00BE76D8" w:rsidRPr="00F07407" w:rsidRDefault="00BE76D8" w:rsidP="00BE76D8">
            <w:pPr>
              <w:spacing w:line="480" w:lineRule="auto"/>
              <w:rPr>
                <w:sz w:val="22"/>
                <w:szCs w:val="22"/>
                <w:lang w:eastAsia="zh-HK"/>
              </w:rPr>
            </w:pPr>
            <w:r w:rsidRPr="00F07407">
              <w:rPr>
                <w:sz w:val="22"/>
                <w:szCs w:val="22"/>
                <w:lang w:eastAsia="zh-HK"/>
              </w:rPr>
              <w:t>--</w:t>
            </w:r>
          </w:p>
        </w:tc>
        <w:tc>
          <w:tcPr>
            <w:tcW w:w="1276" w:type="dxa"/>
            <w:tcBorders>
              <w:top w:val="nil"/>
              <w:left w:val="nil"/>
              <w:bottom w:val="nil"/>
              <w:right w:val="nil"/>
            </w:tcBorders>
          </w:tcPr>
          <w:p w14:paraId="121F3B22" w14:textId="77777777" w:rsidR="00BE76D8" w:rsidRPr="00F07407" w:rsidRDefault="00BE76D8" w:rsidP="00BE76D8">
            <w:pPr>
              <w:spacing w:line="480" w:lineRule="auto"/>
              <w:rPr>
                <w:sz w:val="22"/>
                <w:szCs w:val="22"/>
                <w:lang w:eastAsia="zh-HK"/>
              </w:rPr>
            </w:pPr>
          </w:p>
        </w:tc>
        <w:tc>
          <w:tcPr>
            <w:tcW w:w="1275" w:type="dxa"/>
            <w:tcBorders>
              <w:top w:val="nil"/>
              <w:left w:val="nil"/>
              <w:bottom w:val="nil"/>
              <w:right w:val="nil"/>
            </w:tcBorders>
          </w:tcPr>
          <w:p w14:paraId="532C4C49" w14:textId="77777777" w:rsidR="00BE76D8" w:rsidRPr="00F07407" w:rsidRDefault="00BE76D8" w:rsidP="00BE76D8">
            <w:pPr>
              <w:spacing w:line="480" w:lineRule="auto"/>
              <w:rPr>
                <w:sz w:val="22"/>
                <w:szCs w:val="22"/>
                <w:lang w:eastAsia="zh-HK"/>
              </w:rPr>
            </w:pPr>
          </w:p>
        </w:tc>
      </w:tr>
      <w:tr w:rsidR="00F07407" w:rsidRPr="00F07407" w14:paraId="01FFAFC1" w14:textId="77777777" w:rsidTr="00BE76D8">
        <w:tc>
          <w:tcPr>
            <w:tcW w:w="3969" w:type="dxa"/>
            <w:gridSpan w:val="3"/>
            <w:tcBorders>
              <w:top w:val="nil"/>
              <w:left w:val="nil"/>
              <w:bottom w:val="nil"/>
              <w:right w:val="nil"/>
            </w:tcBorders>
          </w:tcPr>
          <w:p w14:paraId="313FA1DA" w14:textId="77777777" w:rsidR="00BE76D8" w:rsidRPr="00F07407" w:rsidRDefault="00BE76D8" w:rsidP="00BE76D8">
            <w:pPr>
              <w:spacing w:line="480" w:lineRule="auto"/>
              <w:rPr>
                <w:sz w:val="22"/>
                <w:szCs w:val="22"/>
                <w:lang w:eastAsia="zh-HK"/>
              </w:rPr>
            </w:pPr>
            <w:r w:rsidRPr="00F07407">
              <w:rPr>
                <w:sz w:val="22"/>
                <w:szCs w:val="22"/>
              </w:rPr>
              <w:t>3. T2 Social mastery motivation</w:t>
            </w:r>
          </w:p>
        </w:tc>
        <w:tc>
          <w:tcPr>
            <w:tcW w:w="1276" w:type="dxa"/>
            <w:gridSpan w:val="2"/>
            <w:tcBorders>
              <w:top w:val="nil"/>
              <w:left w:val="nil"/>
              <w:bottom w:val="nil"/>
              <w:right w:val="nil"/>
            </w:tcBorders>
          </w:tcPr>
          <w:p w14:paraId="713100FC" w14:textId="77777777" w:rsidR="00BE76D8" w:rsidRPr="00F07407" w:rsidRDefault="003F46F4" w:rsidP="00BE76D8">
            <w:pPr>
              <w:spacing w:line="480" w:lineRule="auto"/>
              <w:rPr>
                <w:sz w:val="22"/>
                <w:szCs w:val="22"/>
                <w:lang w:eastAsia="zh-HK"/>
              </w:rPr>
            </w:pPr>
            <w:r w:rsidRPr="00F07407">
              <w:rPr>
                <w:sz w:val="22"/>
                <w:szCs w:val="22"/>
                <w:lang w:eastAsia="zh-HK"/>
              </w:rPr>
              <w:t>.17</w:t>
            </w:r>
          </w:p>
        </w:tc>
        <w:tc>
          <w:tcPr>
            <w:tcW w:w="1276" w:type="dxa"/>
            <w:tcBorders>
              <w:top w:val="nil"/>
              <w:left w:val="nil"/>
              <w:bottom w:val="nil"/>
              <w:right w:val="nil"/>
            </w:tcBorders>
          </w:tcPr>
          <w:p w14:paraId="7FFFA6C0" w14:textId="77777777" w:rsidR="00BE76D8" w:rsidRPr="00F07407" w:rsidRDefault="003F46F4" w:rsidP="00BE76D8">
            <w:pPr>
              <w:spacing w:line="480" w:lineRule="auto"/>
              <w:rPr>
                <w:sz w:val="22"/>
                <w:szCs w:val="22"/>
                <w:lang w:eastAsia="zh-HK"/>
              </w:rPr>
            </w:pPr>
            <w:r w:rsidRPr="00F07407">
              <w:rPr>
                <w:sz w:val="22"/>
                <w:szCs w:val="22"/>
                <w:lang w:eastAsia="zh-HK"/>
              </w:rPr>
              <w:t>.70</w:t>
            </w:r>
            <w:r w:rsidRPr="00F07407">
              <w:rPr>
                <w:sz w:val="22"/>
                <w:szCs w:val="22"/>
                <w:vertAlign w:val="superscript"/>
                <w:lang w:eastAsia="zh-HK"/>
              </w:rPr>
              <w:t>**</w:t>
            </w:r>
          </w:p>
        </w:tc>
        <w:tc>
          <w:tcPr>
            <w:tcW w:w="1276" w:type="dxa"/>
            <w:tcBorders>
              <w:top w:val="nil"/>
              <w:left w:val="nil"/>
              <w:bottom w:val="nil"/>
              <w:right w:val="nil"/>
            </w:tcBorders>
          </w:tcPr>
          <w:p w14:paraId="0DAD0079" w14:textId="77777777" w:rsidR="00BE76D8" w:rsidRPr="00F07407" w:rsidRDefault="00BE76D8" w:rsidP="00BE76D8">
            <w:pPr>
              <w:spacing w:line="480" w:lineRule="auto"/>
              <w:rPr>
                <w:sz w:val="22"/>
                <w:szCs w:val="22"/>
                <w:lang w:eastAsia="zh-HK"/>
              </w:rPr>
            </w:pPr>
            <w:r w:rsidRPr="00F07407">
              <w:rPr>
                <w:sz w:val="22"/>
                <w:szCs w:val="22"/>
                <w:lang w:eastAsia="zh-HK"/>
              </w:rPr>
              <w:t>--</w:t>
            </w:r>
          </w:p>
        </w:tc>
        <w:tc>
          <w:tcPr>
            <w:tcW w:w="1275" w:type="dxa"/>
            <w:tcBorders>
              <w:top w:val="nil"/>
              <w:left w:val="nil"/>
              <w:bottom w:val="nil"/>
              <w:right w:val="nil"/>
            </w:tcBorders>
          </w:tcPr>
          <w:p w14:paraId="40F7EB03" w14:textId="77777777" w:rsidR="00BE76D8" w:rsidRPr="00F07407" w:rsidRDefault="00BE76D8" w:rsidP="00BE76D8">
            <w:pPr>
              <w:spacing w:line="480" w:lineRule="auto"/>
              <w:rPr>
                <w:sz w:val="22"/>
                <w:szCs w:val="22"/>
                <w:lang w:eastAsia="zh-HK"/>
              </w:rPr>
            </w:pPr>
          </w:p>
        </w:tc>
      </w:tr>
      <w:tr w:rsidR="00F07407" w:rsidRPr="00F07407" w14:paraId="0DC8A89E" w14:textId="77777777" w:rsidTr="00166994">
        <w:tc>
          <w:tcPr>
            <w:tcW w:w="3969" w:type="dxa"/>
            <w:gridSpan w:val="3"/>
            <w:tcBorders>
              <w:top w:val="nil"/>
              <w:left w:val="nil"/>
              <w:bottom w:val="single" w:sz="4" w:space="0" w:color="auto"/>
              <w:right w:val="nil"/>
            </w:tcBorders>
          </w:tcPr>
          <w:p w14:paraId="49063489" w14:textId="77777777" w:rsidR="00BE76D8" w:rsidRPr="00F07407" w:rsidRDefault="00BE76D8" w:rsidP="00BE76D8">
            <w:pPr>
              <w:spacing w:line="480" w:lineRule="auto"/>
              <w:rPr>
                <w:sz w:val="22"/>
                <w:szCs w:val="22"/>
                <w:lang w:eastAsia="zh-HK"/>
              </w:rPr>
            </w:pPr>
            <w:r w:rsidRPr="00F07407">
              <w:rPr>
                <w:sz w:val="22"/>
                <w:szCs w:val="22"/>
              </w:rPr>
              <w:t>4. T2 School readiness</w:t>
            </w:r>
          </w:p>
        </w:tc>
        <w:tc>
          <w:tcPr>
            <w:tcW w:w="1276" w:type="dxa"/>
            <w:gridSpan w:val="2"/>
            <w:tcBorders>
              <w:top w:val="nil"/>
              <w:left w:val="nil"/>
              <w:bottom w:val="single" w:sz="4" w:space="0" w:color="auto"/>
              <w:right w:val="nil"/>
            </w:tcBorders>
          </w:tcPr>
          <w:p w14:paraId="0E1A592C" w14:textId="77777777" w:rsidR="00BE76D8" w:rsidRPr="00F07407" w:rsidRDefault="003F46F4" w:rsidP="00BE76D8">
            <w:pPr>
              <w:spacing w:line="480" w:lineRule="auto"/>
              <w:rPr>
                <w:sz w:val="22"/>
                <w:szCs w:val="22"/>
                <w:lang w:eastAsia="zh-HK"/>
              </w:rPr>
            </w:pPr>
            <w:r w:rsidRPr="00F07407">
              <w:rPr>
                <w:sz w:val="22"/>
                <w:szCs w:val="22"/>
                <w:lang w:eastAsia="zh-HK"/>
              </w:rPr>
              <w:t>.21</w:t>
            </w:r>
            <w:r w:rsidRPr="00F07407">
              <w:rPr>
                <w:sz w:val="22"/>
                <w:szCs w:val="22"/>
                <w:vertAlign w:val="superscript"/>
                <w:lang w:eastAsia="zh-HK"/>
              </w:rPr>
              <w:t>*</w:t>
            </w:r>
          </w:p>
        </w:tc>
        <w:tc>
          <w:tcPr>
            <w:tcW w:w="1276" w:type="dxa"/>
            <w:tcBorders>
              <w:top w:val="nil"/>
              <w:left w:val="nil"/>
              <w:bottom w:val="single" w:sz="4" w:space="0" w:color="auto"/>
              <w:right w:val="nil"/>
            </w:tcBorders>
          </w:tcPr>
          <w:p w14:paraId="23DB9898" w14:textId="77777777" w:rsidR="00BE76D8" w:rsidRPr="00F07407" w:rsidRDefault="003F46F4" w:rsidP="00BE76D8">
            <w:pPr>
              <w:spacing w:line="480" w:lineRule="auto"/>
              <w:rPr>
                <w:sz w:val="22"/>
                <w:szCs w:val="22"/>
                <w:lang w:eastAsia="zh-HK"/>
              </w:rPr>
            </w:pPr>
            <w:r w:rsidRPr="00F07407">
              <w:rPr>
                <w:sz w:val="22"/>
                <w:szCs w:val="22"/>
                <w:lang w:eastAsia="zh-HK"/>
              </w:rPr>
              <w:t>.79</w:t>
            </w:r>
            <w:r w:rsidRPr="00F07407">
              <w:rPr>
                <w:sz w:val="22"/>
                <w:szCs w:val="22"/>
                <w:vertAlign w:val="superscript"/>
                <w:lang w:eastAsia="zh-HK"/>
              </w:rPr>
              <w:t>**</w:t>
            </w:r>
          </w:p>
        </w:tc>
        <w:tc>
          <w:tcPr>
            <w:tcW w:w="1276" w:type="dxa"/>
            <w:tcBorders>
              <w:top w:val="nil"/>
              <w:left w:val="nil"/>
              <w:bottom w:val="single" w:sz="4" w:space="0" w:color="auto"/>
              <w:right w:val="nil"/>
            </w:tcBorders>
          </w:tcPr>
          <w:p w14:paraId="3A79CE1E" w14:textId="77777777" w:rsidR="00BE76D8" w:rsidRPr="00F07407" w:rsidRDefault="003F46F4" w:rsidP="00BE76D8">
            <w:pPr>
              <w:spacing w:line="480" w:lineRule="auto"/>
              <w:rPr>
                <w:sz w:val="22"/>
                <w:szCs w:val="22"/>
                <w:lang w:eastAsia="zh-HK"/>
              </w:rPr>
            </w:pPr>
            <w:r w:rsidRPr="00F07407">
              <w:rPr>
                <w:sz w:val="22"/>
                <w:szCs w:val="22"/>
                <w:lang w:eastAsia="zh-HK"/>
              </w:rPr>
              <w:t>.65</w:t>
            </w:r>
            <w:r w:rsidRPr="00F07407">
              <w:rPr>
                <w:sz w:val="22"/>
                <w:szCs w:val="22"/>
                <w:vertAlign w:val="superscript"/>
                <w:lang w:eastAsia="zh-HK"/>
              </w:rPr>
              <w:t>**</w:t>
            </w:r>
          </w:p>
        </w:tc>
        <w:tc>
          <w:tcPr>
            <w:tcW w:w="1275" w:type="dxa"/>
            <w:tcBorders>
              <w:top w:val="nil"/>
              <w:left w:val="nil"/>
              <w:bottom w:val="single" w:sz="4" w:space="0" w:color="auto"/>
              <w:right w:val="nil"/>
            </w:tcBorders>
          </w:tcPr>
          <w:p w14:paraId="6DE53900" w14:textId="77777777" w:rsidR="00BE76D8" w:rsidRPr="00F07407" w:rsidRDefault="00BE76D8" w:rsidP="00BE76D8">
            <w:pPr>
              <w:spacing w:line="480" w:lineRule="auto"/>
              <w:rPr>
                <w:sz w:val="22"/>
                <w:szCs w:val="22"/>
                <w:lang w:eastAsia="zh-HK"/>
              </w:rPr>
            </w:pPr>
            <w:r w:rsidRPr="00F07407">
              <w:rPr>
                <w:sz w:val="22"/>
                <w:szCs w:val="22"/>
                <w:lang w:eastAsia="zh-HK"/>
              </w:rPr>
              <w:t>--</w:t>
            </w:r>
          </w:p>
        </w:tc>
      </w:tr>
      <w:tr w:rsidR="00F07407" w:rsidRPr="00F07407" w14:paraId="3BA033FA" w14:textId="77777777" w:rsidTr="00BE76D8">
        <w:tc>
          <w:tcPr>
            <w:tcW w:w="1843" w:type="dxa"/>
            <w:gridSpan w:val="2"/>
            <w:vMerge w:val="restart"/>
            <w:tcBorders>
              <w:top w:val="single" w:sz="4" w:space="0" w:color="auto"/>
              <w:left w:val="nil"/>
              <w:right w:val="nil"/>
            </w:tcBorders>
          </w:tcPr>
          <w:p w14:paraId="65F9735D" w14:textId="77777777" w:rsidR="00166994" w:rsidRPr="00F07407" w:rsidRDefault="00166994" w:rsidP="00BE76D8">
            <w:pPr>
              <w:spacing w:line="360" w:lineRule="auto"/>
              <w:jc w:val="center"/>
              <w:rPr>
                <w:sz w:val="22"/>
                <w:szCs w:val="22"/>
              </w:rPr>
            </w:pPr>
          </w:p>
          <w:p w14:paraId="2DCB98F1" w14:textId="77777777" w:rsidR="00166994" w:rsidRPr="00F07407" w:rsidRDefault="00166994" w:rsidP="00BE76D8">
            <w:pPr>
              <w:spacing w:line="360" w:lineRule="auto"/>
              <w:jc w:val="center"/>
              <w:rPr>
                <w:sz w:val="22"/>
                <w:szCs w:val="22"/>
              </w:rPr>
            </w:pPr>
          </w:p>
          <w:p w14:paraId="76B72D70" w14:textId="77777777" w:rsidR="00166994" w:rsidRPr="00F07407" w:rsidRDefault="00166994" w:rsidP="00BE76D8">
            <w:pPr>
              <w:spacing w:line="360" w:lineRule="auto"/>
              <w:jc w:val="center"/>
              <w:rPr>
                <w:sz w:val="22"/>
                <w:szCs w:val="22"/>
              </w:rPr>
            </w:pPr>
          </w:p>
          <w:p w14:paraId="6C57245C" w14:textId="77777777" w:rsidR="00166994" w:rsidRPr="00F07407" w:rsidRDefault="00166994" w:rsidP="00BE76D8">
            <w:pPr>
              <w:spacing w:line="360" w:lineRule="auto"/>
              <w:jc w:val="center"/>
              <w:rPr>
                <w:sz w:val="22"/>
                <w:szCs w:val="22"/>
              </w:rPr>
            </w:pPr>
            <w:r w:rsidRPr="00F07407">
              <w:rPr>
                <w:sz w:val="22"/>
                <w:szCs w:val="22"/>
              </w:rPr>
              <w:t>Descriptive statistics</w:t>
            </w:r>
          </w:p>
        </w:tc>
        <w:tc>
          <w:tcPr>
            <w:tcW w:w="2126" w:type="dxa"/>
            <w:tcBorders>
              <w:top w:val="single" w:sz="4" w:space="0" w:color="auto"/>
              <w:left w:val="nil"/>
              <w:bottom w:val="nil"/>
              <w:right w:val="nil"/>
            </w:tcBorders>
          </w:tcPr>
          <w:p w14:paraId="661AD53B" w14:textId="77777777" w:rsidR="00166994" w:rsidRPr="00F07407" w:rsidRDefault="00166994" w:rsidP="00BE76D8">
            <w:pPr>
              <w:spacing w:line="360" w:lineRule="auto"/>
              <w:rPr>
                <w:sz w:val="22"/>
                <w:szCs w:val="22"/>
              </w:rPr>
            </w:pPr>
            <w:r w:rsidRPr="00F07407">
              <w:rPr>
                <w:sz w:val="22"/>
                <w:szCs w:val="22"/>
              </w:rPr>
              <w:t>Mean</w:t>
            </w:r>
          </w:p>
        </w:tc>
        <w:tc>
          <w:tcPr>
            <w:tcW w:w="1276" w:type="dxa"/>
            <w:gridSpan w:val="2"/>
            <w:tcBorders>
              <w:top w:val="single" w:sz="4" w:space="0" w:color="auto"/>
              <w:left w:val="nil"/>
              <w:bottom w:val="nil"/>
              <w:right w:val="nil"/>
            </w:tcBorders>
          </w:tcPr>
          <w:p w14:paraId="2E73235C" w14:textId="77777777" w:rsidR="00166994" w:rsidRPr="00F07407" w:rsidRDefault="00166994" w:rsidP="00BE76D8">
            <w:pPr>
              <w:spacing w:line="360" w:lineRule="auto"/>
              <w:rPr>
                <w:sz w:val="22"/>
                <w:szCs w:val="22"/>
                <w:lang w:eastAsia="zh-HK"/>
              </w:rPr>
            </w:pPr>
            <w:r w:rsidRPr="00F07407">
              <w:rPr>
                <w:sz w:val="22"/>
                <w:szCs w:val="22"/>
                <w:lang w:eastAsia="zh-HK"/>
              </w:rPr>
              <w:t>3.84</w:t>
            </w:r>
          </w:p>
        </w:tc>
        <w:tc>
          <w:tcPr>
            <w:tcW w:w="1276" w:type="dxa"/>
            <w:tcBorders>
              <w:top w:val="single" w:sz="4" w:space="0" w:color="auto"/>
              <w:left w:val="nil"/>
              <w:bottom w:val="nil"/>
              <w:right w:val="nil"/>
            </w:tcBorders>
          </w:tcPr>
          <w:p w14:paraId="12203B9E" w14:textId="77777777" w:rsidR="00166994" w:rsidRPr="00F07407" w:rsidRDefault="00166994" w:rsidP="00BE76D8">
            <w:pPr>
              <w:spacing w:line="360" w:lineRule="auto"/>
              <w:rPr>
                <w:sz w:val="22"/>
                <w:szCs w:val="22"/>
                <w:lang w:eastAsia="zh-HK"/>
              </w:rPr>
            </w:pPr>
            <w:r w:rsidRPr="00F07407">
              <w:rPr>
                <w:sz w:val="22"/>
                <w:szCs w:val="22"/>
                <w:lang w:eastAsia="zh-HK"/>
              </w:rPr>
              <w:t>3.53</w:t>
            </w:r>
          </w:p>
        </w:tc>
        <w:tc>
          <w:tcPr>
            <w:tcW w:w="1276" w:type="dxa"/>
            <w:tcBorders>
              <w:top w:val="single" w:sz="4" w:space="0" w:color="auto"/>
              <w:left w:val="nil"/>
              <w:bottom w:val="nil"/>
              <w:right w:val="nil"/>
            </w:tcBorders>
          </w:tcPr>
          <w:p w14:paraId="799BE2E7" w14:textId="77777777" w:rsidR="00166994" w:rsidRPr="00F07407" w:rsidRDefault="00166994" w:rsidP="00BE76D8">
            <w:pPr>
              <w:spacing w:line="360" w:lineRule="auto"/>
              <w:rPr>
                <w:sz w:val="22"/>
                <w:szCs w:val="22"/>
                <w:lang w:eastAsia="zh-HK"/>
              </w:rPr>
            </w:pPr>
            <w:r w:rsidRPr="00F07407">
              <w:rPr>
                <w:sz w:val="22"/>
                <w:szCs w:val="22"/>
                <w:lang w:eastAsia="zh-HK"/>
              </w:rPr>
              <w:t>3.64</w:t>
            </w:r>
          </w:p>
        </w:tc>
        <w:tc>
          <w:tcPr>
            <w:tcW w:w="1275" w:type="dxa"/>
            <w:tcBorders>
              <w:top w:val="single" w:sz="4" w:space="0" w:color="auto"/>
              <w:left w:val="nil"/>
              <w:bottom w:val="nil"/>
              <w:right w:val="nil"/>
            </w:tcBorders>
          </w:tcPr>
          <w:p w14:paraId="6C5CB532" w14:textId="77777777" w:rsidR="00166994" w:rsidRPr="00F07407" w:rsidRDefault="00166994" w:rsidP="00BE76D8">
            <w:pPr>
              <w:spacing w:line="360" w:lineRule="auto"/>
              <w:rPr>
                <w:sz w:val="22"/>
                <w:szCs w:val="22"/>
                <w:lang w:eastAsia="zh-HK"/>
              </w:rPr>
            </w:pPr>
            <w:r w:rsidRPr="00F07407">
              <w:rPr>
                <w:sz w:val="22"/>
                <w:szCs w:val="22"/>
                <w:lang w:eastAsia="zh-HK"/>
              </w:rPr>
              <w:t>3.97</w:t>
            </w:r>
          </w:p>
        </w:tc>
      </w:tr>
      <w:tr w:rsidR="00F07407" w:rsidRPr="00F07407" w14:paraId="586975F5" w14:textId="77777777" w:rsidTr="00BE76D8">
        <w:tc>
          <w:tcPr>
            <w:tcW w:w="1843" w:type="dxa"/>
            <w:gridSpan w:val="2"/>
            <w:vMerge/>
            <w:tcBorders>
              <w:left w:val="nil"/>
              <w:right w:val="nil"/>
            </w:tcBorders>
          </w:tcPr>
          <w:p w14:paraId="0BF6DE8E" w14:textId="77777777" w:rsidR="00166994" w:rsidRPr="00F07407" w:rsidRDefault="00166994" w:rsidP="00BE76D8">
            <w:pPr>
              <w:spacing w:line="360" w:lineRule="auto"/>
              <w:rPr>
                <w:sz w:val="22"/>
                <w:szCs w:val="22"/>
              </w:rPr>
            </w:pPr>
          </w:p>
        </w:tc>
        <w:tc>
          <w:tcPr>
            <w:tcW w:w="2126" w:type="dxa"/>
            <w:tcBorders>
              <w:top w:val="nil"/>
              <w:left w:val="nil"/>
              <w:bottom w:val="nil"/>
              <w:right w:val="nil"/>
            </w:tcBorders>
          </w:tcPr>
          <w:p w14:paraId="18C4B42C" w14:textId="77777777" w:rsidR="00166994" w:rsidRPr="00F07407" w:rsidRDefault="00166994" w:rsidP="00BE76D8">
            <w:pPr>
              <w:spacing w:line="360" w:lineRule="auto"/>
              <w:rPr>
                <w:sz w:val="22"/>
                <w:szCs w:val="22"/>
              </w:rPr>
            </w:pPr>
            <w:r w:rsidRPr="00F07407">
              <w:rPr>
                <w:sz w:val="22"/>
                <w:szCs w:val="22"/>
              </w:rPr>
              <w:t>Standard deviation</w:t>
            </w:r>
          </w:p>
        </w:tc>
        <w:tc>
          <w:tcPr>
            <w:tcW w:w="1276" w:type="dxa"/>
            <w:gridSpan w:val="2"/>
            <w:tcBorders>
              <w:top w:val="nil"/>
              <w:left w:val="nil"/>
              <w:bottom w:val="nil"/>
              <w:right w:val="nil"/>
            </w:tcBorders>
          </w:tcPr>
          <w:p w14:paraId="4D40B381" w14:textId="77777777" w:rsidR="00166994" w:rsidRPr="00F07407" w:rsidRDefault="00166994" w:rsidP="00BE76D8">
            <w:pPr>
              <w:spacing w:line="360" w:lineRule="auto"/>
              <w:rPr>
                <w:sz w:val="22"/>
                <w:szCs w:val="22"/>
                <w:lang w:eastAsia="zh-HK"/>
              </w:rPr>
            </w:pPr>
            <w:r w:rsidRPr="00F07407">
              <w:rPr>
                <w:sz w:val="22"/>
                <w:szCs w:val="22"/>
                <w:lang w:eastAsia="zh-HK"/>
              </w:rPr>
              <w:t>0.73</w:t>
            </w:r>
          </w:p>
        </w:tc>
        <w:tc>
          <w:tcPr>
            <w:tcW w:w="1276" w:type="dxa"/>
            <w:tcBorders>
              <w:top w:val="nil"/>
              <w:left w:val="nil"/>
              <w:bottom w:val="nil"/>
              <w:right w:val="nil"/>
            </w:tcBorders>
          </w:tcPr>
          <w:p w14:paraId="46334C8E" w14:textId="77777777" w:rsidR="00166994" w:rsidRPr="00F07407" w:rsidRDefault="00166994" w:rsidP="00BE76D8">
            <w:pPr>
              <w:spacing w:line="360" w:lineRule="auto"/>
              <w:rPr>
                <w:sz w:val="22"/>
                <w:szCs w:val="22"/>
                <w:lang w:eastAsia="zh-HK"/>
              </w:rPr>
            </w:pPr>
            <w:r w:rsidRPr="00F07407">
              <w:rPr>
                <w:sz w:val="22"/>
                <w:szCs w:val="22"/>
                <w:lang w:eastAsia="zh-HK"/>
              </w:rPr>
              <w:t>0.76</w:t>
            </w:r>
          </w:p>
        </w:tc>
        <w:tc>
          <w:tcPr>
            <w:tcW w:w="1276" w:type="dxa"/>
            <w:tcBorders>
              <w:top w:val="nil"/>
              <w:left w:val="nil"/>
              <w:bottom w:val="nil"/>
              <w:right w:val="nil"/>
            </w:tcBorders>
          </w:tcPr>
          <w:p w14:paraId="390CC49E" w14:textId="77777777" w:rsidR="00166994" w:rsidRPr="00F07407" w:rsidRDefault="00166994" w:rsidP="00BE76D8">
            <w:pPr>
              <w:spacing w:line="360" w:lineRule="auto"/>
              <w:rPr>
                <w:sz w:val="22"/>
                <w:szCs w:val="22"/>
                <w:lang w:eastAsia="zh-HK"/>
              </w:rPr>
            </w:pPr>
            <w:r w:rsidRPr="00F07407">
              <w:rPr>
                <w:sz w:val="22"/>
                <w:szCs w:val="22"/>
                <w:lang w:eastAsia="zh-HK"/>
              </w:rPr>
              <w:t>0.84</w:t>
            </w:r>
          </w:p>
        </w:tc>
        <w:tc>
          <w:tcPr>
            <w:tcW w:w="1275" w:type="dxa"/>
            <w:tcBorders>
              <w:top w:val="nil"/>
              <w:left w:val="nil"/>
              <w:bottom w:val="nil"/>
              <w:right w:val="nil"/>
            </w:tcBorders>
          </w:tcPr>
          <w:p w14:paraId="39DFC3DB" w14:textId="77777777" w:rsidR="00166994" w:rsidRPr="00F07407" w:rsidRDefault="00166994" w:rsidP="00BE76D8">
            <w:pPr>
              <w:spacing w:line="360" w:lineRule="auto"/>
              <w:rPr>
                <w:sz w:val="22"/>
                <w:szCs w:val="22"/>
                <w:lang w:eastAsia="zh-HK"/>
              </w:rPr>
            </w:pPr>
            <w:r w:rsidRPr="00F07407">
              <w:rPr>
                <w:sz w:val="22"/>
                <w:szCs w:val="22"/>
                <w:lang w:eastAsia="zh-HK"/>
              </w:rPr>
              <w:t>0.73</w:t>
            </w:r>
          </w:p>
        </w:tc>
      </w:tr>
      <w:tr w:rsidR="00F07407" w:rsidRPr="00F07407" w14:paraId="0D43D8F2" w14:textId="77777777" w:rsidTr="00BE76D8">
        <w:tc>
          <w:tcPr>
            <w:tcW w:w="1843" w:type="dxa"/>
            <w:gridSpan w:val="2"/>
            <w:vMerge/>
            <w:tcBorders>
              <w:left w:val="nil"/>
              <w:right w:val="nil"/>
            </w:tcBorders>
          </w:tcPr>
          <w:p w14:paraId="60DF2A31" w14:textId="77777777" w:rsidR="00166994" w:rsidRPr="00F07407" w:rsidRDefault="00166994" w:rsidP="00BE76D8">
            <w:pPr>
              <w:spacing w:line="360" w:lineRule="auto"/>
              <w:rPr>
                <w:sz w:val="22"/>
                <w:szCs w:val="22"/>
              </w:rPr>
            </w:pPr>
          </w:p>
        </w:tc>
        <w:tc>
          <w:tcPr>
            <w:tcW w:w="2126" w:type="dxa"/>
            <w:tcBorders>
              <w:top w:val="nil"/>
              <w:left w:val="nil"/>
              <w:bottom w:val="nil"/>
              <w:right w:val="nil"/>
            </w:tcBorders>
          </w:tcPr>
          <w:p w14:paraId="6C62931B" w14:textId="77777777" w:rsidR="00166994" w:rsidRPr="00F07407" w:rsidRDefault="00166994" w:rsidP="00BE76D8">
            <w:pPr>
              <w:spacing w:line="360" w:lineRule="auto"/>
              <w:rPr>
                <w:sz w:val="22"/>
                <w:szCs w:val="22"/>
              </w:rPr>
            </w:pPr>
            <w:r w:rsidRPr="00F07407">
              <w:rPr>
                <w:sz w:val="22"/>
                <w:szCs w:val="22"/>
              </w:rPr>
              <w:t>Minimum</w:t>
            </w:r>
          </w:p>
        </w:tc>
        <w:tc>
          <w:tcPr>
            <w:tcW w:w="1276" w:type="dxa"/>
            <w:gridSpan w:val="2"/>
            <w:tcBorders>
              <w:top w:val="nil"/>
              <w:left w:val="nil"/>
              <w:bottom w:val="nil"/>
              <w:right w:val="nil"/>
            </w:tcBorders>
          </w:tcPr>
          <w:p w14:paraId="1CB275F0" w14:textId="77777777" w:rsidR="00166994" w:rsidRPr="00F07407" w:rsidRDefault="00166994" w:rsidP="00BE76D8">
            <w:pPr>
              <w:spacing w:line="360" w:lineRule="auto"/>
              <w:rPr>
                <w:sz w:val="22"/>
                <w:szCs w:val="22"/>
                <w:lang w:eastAsia="zh-HK"/>
              </w:rPr>
            </w:pPr>
            <w:r w:rsidRPr="00F07407">
              <w:rPr>
                <w:sz w:val="22"/>
                <w:szCs w:val="22"/>
                <w:lang w:eastAsia="zh-HK"/>
              </w:rPr>
              <w:t>1.80</w:t>
            </w:r>
          </w:p>
        </w:tc>
        <w:tc>
          <w:tcPr>
            <w:tcW w:w="1276" w:type="dxa"/>
            <w:tcBorders>
              <w:top w:val="nil"/>
              <w:left w:val="nil"/>
              <w:bottom w:val="nil"/>
              <w:right w:val="nil"/>
            </w:tcBorders>
          </w:tcPr>
          <w:p w14:paraId="056326DF" w14:textId="77777777" w:rsidR="00166994" w:rsidRPr="00F07407" w:rsidRDefault="00166994" w:rsidP="00BE76D8">
            <w:pPr>
              <w:spacing w:line="360" w:lineRule="auto"/>
              <w:rPr>
                <w:sz w:val="22"/>
                <w:szCs w:val="22"/>
                <w:lang w:eastAsia="zh-HK"/>
              </w:rPr>
            </w:pPr>
            <w:r w:rsidRPr="00F07407">
              <w:rPr>
                <w:sz w:val="22"/>
                <w:szCs w:val="22"/>
                <w:lang w:eastAsia="zh-HK"/>
              </w:rPr>
              <w:t>1.80</w:t>
            </w:r>
          </w:p>
        </w:tc>
        <w:tc>
          <w:tcPr>
            <w:tcW w:w="1276" w:type="dxa"/>
            <w:tcBorders>
              <w:top w:val="nil"/>
              <w:left w:val="nil"/>
              <w:bottom w:val="nil"/>
              <w:right w:val="nil"/>
            </w:tcBorders>
          </w:tcPr>
          <w:p w14:paraId="47D6F2B5" w14:textId="77777777" w:rsidR="00166994" w:rsidRPr="00F07407" w:rsidRDefault="00166994" w:rsidP="00BE76D8">
            <w:pPr>
              <w:spacing w:line="360" w:lineRule="auto"/>
              <w:rPr>
                <w:sz w:val="22"/>
                <w:szCs w:val="22"/>
                <w:lang w:eastAsia="zh-HK"/>
              </w:rPr>
            </w:pPr>
            <w:r w:rsidRPr="00F07407">
              <w:rPr>
                <w:sz w:val="22"/>
                <w:szCs w:val="22"/>
                <w:lang w:eastAsia="zh-HK"/>
              </w:rPr>
              <w:t>1.30</w:t>
            </w:r>
          </w:p>
        </w:tc>
        <w:tc>
          <w:tcPr>
            <w:tcW w:w="1275" w:type="dxa"/>
            <w:tcBorders>
              <w:top w:val="nil"/>
              <w:left w:val="nil"/>
              <w:bottom w:val="nil"/>
              <w:right w:val="nil"/>
            </w:tcBorders>
          </w:tcPr>
          <w:p w14:paraId="1C29DE5A" w14:textId="77777777" w:rsidR="00166994" w:rsidRPr="00F07407" w:rsidRDefault="00166994" w:rsidP="00BE76D8">
            <w:pPr>
              <w:spacing w:line="360" w:lineRule="auto"/>
              <w:rPr>
                <w:sz w:val="22"/>
                <w:szCs w:val="22"/>
                <w:lang w:eastAsia="zh-HK"/>
              </w:rPr>
            </w:pPr>
            <w:r w:rsidRPr="00F07407">
              <w:rPr>
                <w:sz w:val="22"/>
                <w:szCs w:val="22"/>
                <w:lang w:eastAsia="zh-HK"/>
              </w:rPr>
              <w:t>2.00</w:t>
            </w:r>
          </w:p>
        </w:tc>
      </w:tr>
      <w:tr w:rsidR="00F07407" w:rsidRPr="00F07407" w14:paraId="6B6A501C" w14:textId="77777777" w:rsidTr="00BE76D8">
        <w:tc>
          <w:tcPr>
            <w:tcW w:w="1843" w:type="dxa"/>
            <w:gridSpan w:val="2"/>
            <w:vMerge/>
            <w:tcBorders>
              <w:left w:val="nil"/>
              <w:right w:val="nil"/>
            </w:tcBorders>
          </w:tcPr>
          <w:p w14:paraId="7EE682DE" w14:textId="77777777" w:rsidR="00166994" w:rsidRPr="00F07407" w:rsidRDefault="00166994" w:rsidP="00BE76D8">
            <w:pPr>
              <w:spacing w:line="360" w:lineRule="auto"/>
              <w:rPr>
                <w:sz w:val="22"/>
                <w:szCs w:val="22"/>
              </w:rPr>
            </w:pPr>
          </w:p>
        </w:tc>
        <w:tc>
          <w:tcPr>
            <w:tcW w:w="2126" w:type="dxa"/>
            <w:tcBorders>
              <w:top w:val="nil"/>
              <w:left w:val="nil"/>
              <w:bottom w:val="nil"/>
              <w:right w:val="nil"/>
            </w:tcBorders>
          </w:tcPr>
          <w:p w14:paraId="6C377F5F" w14:textId="77777777" w:rsidR="00166994" w:rsidRPr="00F07407" w:rsidRDefault="00166994" w:rsidP="00BE76D8">
            <w:pPr>
              <w:spacing w:line="360" w:lineRule="auto"/>
              <w:rPr>
                <w:sz w:val="22"/>
                <w:szCs w:val="22"/>
              </w:rPr>
            </w:pPr>
            <w:r w:rsidRPr="00F07407">
              <w:rPr>
                <w:sz w:val="22"/>
                <w:szCs w:val="22"/>
              </w:rPr>
              <w:t>Maximum</w:t>
            </w:r>
          </w:p>
        </w:tc>
        <w:tc>
          <w:tcPr>
            <w:tcW w:w="1276" w:type="dxa"/>
            <w:gridSpan w:val="2"/>
            <w:tcBorders>
              <w:top w:val="nil"/>
              <w:left w:val="nil"/>
              <w:bottom w:val="nil"/>
              <w:right w:val="nil"/>
            </w:tcBorders>
          </w:tcPr>
          <w:p w14:paraId="281E621D" w14:textId="77777777" w:rsidR="00166994" w:rsidRPr="00F07407" w:rsidRDefault="00166994" w:rsidP="00BE76D8">
            <w:pPr>
              <w:spacing w:line="360" w:lineRule="auto"/>
              <w:rPr>
                <w:sz w:val="22"/>
                <w:szCs w:val="22"/>
                <w:lang w:eastAsia="zh-HK"/>
              </w:rPr>
            </w:pPr>
            <w:r w:rsidRPr="00F07407">
              <w:rPr>
                <w:sz w:val="22"/>
                <w:szCs w:val="22"/>
                <w:lang w:eastAsia="zh-HK"/>
              </w:rPr>
              <w:t>5.00</w:t>
            </w:r>
          </w:p>
        </w:tc>
        <w:tc>
          <w:tcPr>
            <w:tcW w:w="1276" w:type="dxa"/>
            <w:tcBorders>
              <w:top w:val="nil"/>
              <w:left w:val="nil"/>
              <w:bottom w:val="nil"/>
              <w:right w:val="nil"/>
            </w:tcBorders>
          </w:tcPr>
          <w:p w14:paraId="30A6BD17" w14:textId="77777777" w:rsidR="00166994" w:rsidRPr="00F07407" w:rsidRDefault="00166994" w:rsidP="00BE76D8">
            <w:pPr>
              <w:spacing w:line="360" w:lineRule="auto"/>
              <w:rPr>
                <w:sz w:val="22"/>
                <w:szCs w:val="22"/>
                <w:lang w:eastAsia="zh-HK"/>
              </w:rPr>
            </w:pPr>
            <w:r w:rsidRPr="00F07407">
              <w:rPr>
                <w:sz w:val="22"/>
                <w:szCs w:val="22"/>
                <w:lang w:eastAsia="zh-HK"/>
              </w:rPr>
              <w:t>5.00</w:t>
            </w:r>
          </w:p>
        </w:tc>
        <w:tc>
          <w:tcPr>
            <w:tcW w:w="1276" w:type="dxa"/>
            <w:tcBorders>
              <w:top w:val="nil"/>
              <w:left w:val="nil"/>
              <w:bottom w:val="nil"/>
              <w:right w:val="nil"/>
            </w:tcBorders>
          </w:tcPr>
          <w:p w14:paraId="07B0EAEF" w14:textId="77777777" w:rsidR="00166994" w:rsidRPr="00F07407" w:rsidRDefault="00166994" w:rsidP="00BE76D8">
            <w:pPr>
              <w:spacing w:line="360" w:lineRule="auto"/>
              <w:rPr>
                <w:sz w:val="22"/>
                <w:szCs w:val="22"/>
                <w:lang w:eastAsia="zh-HK"/>
              </w:rPr>
            </w:pPr>
            <w:r w:rsidRPr="00F07407">
              <w:rPr>
                <w:sz w:val="22"/>
                <w:szCs w:val="22"/>
                <w:lang w:eastAsia="zh-HK"/>
              </w:rPr>
              <w:t>5.00</w:t>
            </w:r>
          </w:p>
        </w:tc>
        <w:tc>
          <w:tcPr>
            <w:tcW w:w="1275" w:type="dxa"/>
            <w:tcBorders>
              <w:top w:val="nil"/>
              <w:left w:val="nil"/>
              <w:bottom w:val="nil"/>
              <w:right w:val="nil"/>
            </w:tcBorders>
          </w:tcPr>
          <w:p w14:paraId="2931828E" w14:textId="77777777" w:rsidR="00166994" w:rsidRPr="00F07407" w:rsidRDefault="00166994" w:rsidP="00BE76D8">
            <w:pPr>
              <w:spacing w:line="360" w:lineRule="auto"/>
              <w:rPr>
                <w:sz w:val="22"/>
                <w:szCs w:val="22"/>
                <w:lang w:eastAsia="zh-HK"/>
              </w:rPr>
            </w:pPr>
            <w:r w:rsidRPr="00F07407">
              <w:rPr>
                <w:sz w:val="22"/>
                <w:szCs w:val="22"/>
                <w:lang w:eastAsia="zh-HK"/>
              </w:rPr>
              <w:t>5.00</w:t>
            </w:r>
          </w:p>
        </w:tc>
      </w:tr>
      <w:tr w:rsidR="00F07407" w:rsidRPr="00F07407" w14:paraId="3025F403" w14:textId="77777777" w:rsidTr="00BE76D8">
        <w:tc>
          <w:tcPr>
            <w:tcW w:w="1843" w:type="dxa"/>
            <w:gridSpan w:val="2"/>
            <w:vMerge/>
            <w:tcBorders>
              <w:left w:val="nil"/>
              <w:right w:val="nil"/>
            </w:tcBorders>
          </w:tcPr>
          <w:p w14:paraId="689029CC" w14:textId="77777777" w:rsidR="00166994" w:rsidRPr="00F07407" w:rsidRDefault="00166994" w:rsidP="00BE76D8">
            <w:pPr>
              <w:spacing w:line="360" w:lineRule="auto"/>
              <w:rPr>
                <w:sz w:val="22"/>
                <w:szCs w:val="22"/>
              </w:rPr>
            </w:pPr>
          </w:p>
        </w:tc>
        <w:tc>
          <w:tcPr>
            <w:tcW w:w="2126" w:type="dxa"/>
            <w:tcBorders>
              <w:top w:val="nil"/>
              <w:left w:val="nil"/>
              <w:bottom w:val="nil"/>
              <w:right w:val="nil"/>
            </w:tcBorders>
          </w:tcPr>
          <w:p w14:paraId="7DA0590A" w14:textId="77777777" w:rsidR="00166994" w:rsidRPr="00F07407" w:rsidRDefault="00166994" w:rsidP="00BE76D8">
            <w:pPr>
              <w:spacing w:line="360" w:lineRule="auto"/>
              <w:rPr>
                <w:sz w:val="22"/>
                <w:szCs w:val="22"/>
              </w:rPr>
            </w:pPr>
            <w:r w:rsidRPr="00F07407">
              <w:rPr>
                <w:sz w:val="22"/>
                <w:szCs w:val="22"/>
              </w:rPr>
              <w:t>Skewness</w:t>
            </w:r>
          </w:p>
        </w:tc>
        <w:tc>
          <w:tcPr>
            <w:tcW w:w="1276" w:type="dxa"/>
            <w:gridSpan w:val="2"/>
            <w:tcBorders>
              <w:top w:val="nil"/>
              <w:left w:val="nil"/>
              <w:bottom w:val="nil"/>
              <w:right w:val="nil"/>
            </w:tcBorders>
          </w:tcPr>
          <w:p w14:paraId="0B84BDFC" w14:textId="77777777" w:rsidR="00166994" w:rsidRPr="00F07407" w:rsidRDefault="00166994" w:rsidP="00BE76D8">
            <w:pPr>
              <w:spacing w:line="360" w:lineRule="auto"/>
              <w:rPr>
                <w:sz w:val="22"/>
                <w:szCs w:val="22"/>
                <w:lang w:eastAsia="zh-HK"/>
              </w:rPr>
            </w:pPr>
            <w:r w:rsidRPr="00F07407">
              <w:rPr>
                <w:sz w:val="22"/>
                <w:szCs w:val="22"/>
                <w:lang w:eastAsia="zh-HK"/>
              </w:rPr>
              <w:t>-.39</w:t>
            </w:r>
          </w:p>
        </w:tc>
        <w:tc>
          <w:tcPr>
            <w:tcW w:w="1276" w:type="dxa"/>
            <w:tcBorders>
              <w:top w:val="nil"/>
              <w:left w:val="nil"/>
              <w:bottom w:val="nil"/>
              <w:right w:val="nil"/>
            </w:tcBorders>
          </w:tcPr>
          <w:p w14:paraId="7E792F01" w14:textId="77777777" w:rsidR="00166994" w:rsidRPr="00F07407" w:rsidRDefault="00166994" w:rsidP="00BE76D8">
            <w:pPr>
              <w:spacing w:line="360" w:lineRule="auto"/>
              <w:rPr>
                <w:sz w:val="22"/>
                <w:szCs w:val="22"/>
                <w:lang w:eastAsia="zh-HK"/>
              </w:rPr>
            </w:pPr>
            <w:r w:rsidRPr="00F07407">
              <w:rPr>
                <w:sz w:val="22"/>
                <w:szCs w:val="22"/>
                <w:lang w:eastAsia="zh-HK"/>
              </w:rPr>
              <w:t>-.21</w:t>
            </w:r>
          </w:p>
        </w:tc>
        <w:tc>
          <w:tcPr>
            <w:tcW w:w="1276" w:type="dxa"/>
            <w:tcBorders>
              <w:top w:val="nil"/>
              <w:left w:val="nil"/>
              <w:bottom w:val="nil"/>
              <w:right w:val="nil"/>
            </w:tcBorders>
          </w:tcPr>
          <w:p w14:paraId="0A0D3DFD" w14:textId="77777777" w:rsidR="00166994" w:rsidRPr="00F07407" w:rsidRDefault="00166994" w:rsidP="00BE76D8">
            <w:pPr>
              <w:spacing w:line="360" w:lineRule="auto"/>
              <w:rPr>
                <w:sz w:val="22"/>
                <w:szCs w:val="22"/>
                <w:lang w:eastAsia="zh-HK"/>
              </w:rPr>
            </w:pPr>
            <w:r w:rsidRPr="00F07407">
              <w:rPr>
                <w:sz w:val="22"/>
                <w:szCs w:val="22"/>
                <w:lang w:eastAsia="zh-HK"/>
              </w:rPr>
              <w:t>-.55</w:t>
            </w:r>
          </w:p>
        </w:tc>
        <w:tc>
          <w:tcPr>
            <w:tcW w:w="1275" w:type="dxa"/>
            <w:tcBorders>
              <w:top w:val="nil"/>
              <w:left w:val="nil"/>
              <w:bottom w:val="nil"/>
              <w:right w:val="nil"/>
            </w:tcBorders>
          </w:tcPr>
          <w:p w14:paraId="390FD9DE" w14:textId="77777777" w:rsidR="00166994" w:rsidRPr="00F07407" w:rsidRDefault="00166994" w:rsidP="00BE76D8">
            <w:pPr>
              <w:spacing w:line="360" w:lineRule="auto"/>
              <w:rPr>
                <w:sz w:val="22"/>
                <w:szCs w:val="22"/>
                <w:lang w:eastAsia="zh-HK"/>
              </w:rPr>
            </w:pPr>
            <w:r w:rsidRPr="00F07407">
              <w:rPr>
                <w:sz w:val="22"/>
                <w:szCs w:val="22"/>
                <w:lang w:eastAsia="zh-HK"/>
              </w:rPr>
              <w:t>-.61</w:t>
            </w:r>
          </w:p>
        </w:tc>
      </w:tr>
      <w:tr w:rsidR="00F07407" w:rsidRPr="00F07407" w14:paraId="541E741F" w14:textId="77777777" w:rsidTr="003E7399">
        <w:tc>
          <w:tcPr>
            <w:tcW w:w="1843" w:type="dxa"/>
            <w:gridSpan w:val="2"/>
            <w:vMerge/>
            <w:tcBorders>
              <w:left w:val="nil"/>
              <w:right w:val="nil"/>
            </w:tcBorders>
          </w:tcPr>
          <w:p w14:paraId="3B0EF32D" w14:textId="77777777" w:rsidR="00166994" w:rsidRPr="00F07407" w:rsidRDefault="00166994" w:rsidP="00BE76D8">
            <w:pPr>
              <w:spacing w:line="360" w:lineRule="auto"/>
              <w:rPr>
                <w:sz w:val="22"/>
                <w:szCs w:val="22"/>
              </w:rPr>
            </w:pPr>
          </w:p>
        </w:tc>
        <w:tc>
          <w:tcPr>
            <w:tcW w:w="2126" w:type="dxa"/>
            <w:tcBorders>
              <w:top w:val="nil"/>
              <w:left w:val="nil"/>
              <w:bottom w:val="nil"/>
              <w:right w:val="nil"/>
            </w:tcBorders>
          </w:tcPr>
          <w:p w14:paraId="4793E841" w14:textId="77777777" w:rsidR="00166994" w:rsidRPr="00F07407" w:rsidRDefault="00166994" w:rsidP="00BE76D8">
            <w:pPr>
              <w:spacing w:line="360" w:lineRule="auto"/>
              <w:rPr>
                <w:sz w:val="22"/>
                <w:szCs w:val="22"/>
              </w:rPr>
            </w:pPr>
            <w:r w:rsidRPr="00F07407">
              <w:rPr>
                <w:sz w:val="22"/>
                <w:szCs w:val="22"/>
              </w:rPr>
              <w:t>Kurtosis</w:t>
            </w:r>
          </w:p>
        </w:tc>
        <w:tc>
          <w:tcPr>
            <w:tcW w:w="1276" w:type="dxa"/>
            <w:gridSpan w:val="2"/>
            <w:tcBorders>
              <w:top w:val="nil"/>
              <w:left w:val="nil"/>
              <w:bottom w:val="nil"/>
              <w:right w:val="nil"/>
            </w:tcBorders>
          </w:tcPr>
          <w:p w14:paraId="1041D677" w14:textId="77777777" w:rsidR="00166994" w:rsidRPr="00F07407" w:rsidRDefault="00166994" w:rsidP="00BE76D8">
            <w:pPr>
              <w:spacing w:line="360" w:lineRule="auto"/>
              <w:rPr>
                <w:sz w:val="22"/>
                <w:szCs w:val="22"/>
                <w:lang w:eastAsia="zh-HK"/>
              </w:rPr>
            </w:pPr>
            <w:r w:rsidRPr="00F07407">
              <w:rPr>
                <w:sz w:val="22"/>
                <w:szCs w:val="22"/>
                <w:lang w:eastAsia="zh-HK"/>
              </w:rPr>
              <w:t>-.21</w:t>
            </w:r>
          </w:p>
        </w:tc>
        <w:tc>
          <w:tcPr>
            <w:tcW w:w="1276" w:type="dxa"/>
            <w:tcBorders>
              <w:top w:val="nil"/>
              <w:left w:val="nil"/>
              <w:bottom w:val="nil"/>
              <w:right w:val="nil"/>
            </w:tcBorders>
          </w:tcPr>
          <w:p w14:paraId="48CD4655" w14:textId="77777777" w:rsidR="00166994" w:rsidRPr="00F07407" w:rsidRDefault="00166994" w:rsidP="00BE76D8">
            <w:pPr>
              <w:spacing w:line="360" w:lineRule="auto"/>
              <w:rPr>
                <w:sz w:val="22"/>
                <w:szCs w:val="22"/>
                <w:lang w:eastAsia="zh-HK"/>
              </w:rPr>
            </w:pPr>
            <w:r w:rsidRPr="00F07407">
              <w:rPr>
                <w:sz w:val="22"/>
                <w:szCs w:val="22"/>
                <w:lang w:eastAsia="zh-HK"/>
              </w:rPr>
              <w:t>-.60</w:t>
            </w:r>
          </w:p>
        </w:tc>
        <w:tc>
          <w:tcPr>
            <w:tcW w:w="1276" w:type="dxa"/>
            <w:tcBorders>
              <w:top w:val="nil"/>
              <w:left w:val="nil"/>
              <w:bottom w:val="nil"/>
              <w:right w:val="nil"/>
            </w:tcBorders>
          </w:tcPr>
          <w:p w14:paraId="06100014" w14:textId="77777777" w:rsidR="00166994" w:rsidRPr="00F07407" w:rsidRDefault="00166994" w:rsidP="00BE76D8">
            <w:pPr>
              <w:spacing w:line="360" w:lineRule="auto"/>
              <w:rPr>
                <w:sz w:val="22"/>
                <w:szCs w:val="22"/>
                <w:lang w:eastAsia="zh-HK"/>
              </w:rPr>
            </w:pPr>
            <w:r w:rsidRPr="00F07407">
              <w:rPr>
                <w:sz w:val="22"/>
                <w:szCs w:val="22"/>
                <w:lang w:eastAsia="zh-HK"/>
              </w:rPr>
              <w:t>-.09</w:t>
            </w:r>
          </w:p>
        </w:tc>
        <w:tc>
          <w:tcPr>
            <w:tcW w:w="1275" w:type="dxa"/>
            <w:tcBorders>
              <w:top w:val="nil"/>
              <w:left w:val="nil"/>
              <w:bottom w:val="nil"/>
              <w:right w:val="nil"/>
            </w:tcBorders>
          </w:tcPr>
          <w:p w14:paraId="2EDFA089" w14:textId="77777777" w:rsidR="00166994" w:rsidRPr="00F07407" w:rsidRDefault="00166994" w:rsidP="00BE76D8">
            <w:pPr>
              <w:spacing w:line="360" w:lineRule="auto"/>
              <w:rPr>
                <w:sz w:val="22"/>
                <w:szCs w:val="22"/>
                <w:lang w:eastAsia="zh-HK"/>
              </w:rPr>
            </w:pPr>
            <w:r w:rsidRPr="00F07407">
              <w:rPr>
                <w:sz w:val="22"/>
                <w:szCs w:val="22"/>
                <w:lang w:eastAsia="zh-HK"/>
              </w:rPr>
              <w:t>-.19</w:t>
            </w:r>
          </w:p>
        </w:tc>
      </w:tr>
      <w:tr w:rsidR="00F07407" w:rsidRPr="00F07407" w14:paraId="2D6A5D1F" w14:textId="77777777" w:rsidTr="003E7399">
        <w:tc>
          <w:tcPr>
            <w:tcW w:w="1843" w:type="dxa"/>
            <w:gridSpan w:val="2"/>
            <w:vMerge/>
            <w:tcBorders>
              <w:left w:val="nil"/>
              <w:bottom w:val="single" w:sz="4" w:space="0" w:color="auto"/>
              <w:right w:val="nil"/>
            </w:tcBorders>
          </w:tcPr>
          <w:p w14:paraId="2F59A6A0" w14:textId="77777777" w:rsidR="00166994" w:rsidRPr="00F07407" w:rsidRDefault="00166994" w:rsidP="00BE76D8">
            <w:pPr>
              <w:spacing w:line="360" w:lineRule="auto"/>
              <w:rPr>
                <w:sz w:val="22"/>
                <w:szCs w:val="22"/>
              </w:rPr>
            </w:pPr>
          </w:p>
        </w:tc>
        <w:tc>
          <w:tcPr>
            <w:tcW w:w="2126" w:type="dxa"/>
            <w:tcBorders>
              <w:top w:val="nil"/>
              <w:left w:val="nil"/>
              <w:bottom w:val="single" w:sz="4" w:space="0" w:color="auto"/>
              <w:right w:val="nil"/>
            </w:tcBorders>
          </w:tcPr>
          <w:p w14:paraId="1D5A080B" w14:textId="77777777" w:rsidR="00166994" w:rsidRPr="00F07407" w:rsidRDefault="00166994" w:rsidP="00BE76D8">
            <w:pPr>
              <w:spacing w:line="360" w:lineRule="auto"/>
              <w:rPr>
                <w:sz w:val="22"/>
                <w:szCs w:val="22"/>
              </w:rPr>
            </w:pPr>
            <w:r w:rsidRPr="00F07407">
              <w:rPr>
                <w:sz w:val="22"/>
                <w:szCs w:val="22"/>
              </w:rPr>
              <w:t>Cronbach’s alpha</w:t>
            </w:r>
          </w:p>
        </w:tc>
        <w:tc>
          <w:tcPr>
            <w:tcW w:w="1276" w:type="dxa"/>
            <w:gridSpan w:val="2"/>
            <w:tcBorders>
              <w:top w:val="nil"/>
              <w:left w:val="nil"/>
              <w:bottom w:val="single" w:sz="4" w:space="0" w:color="auto"/>
              <w:right w:val="nil"/>
            </w:tcBorders>
          </w:tcPr>
          <w:p w14:paraId="21F33F27" w14:textId="77777777" w:rsidR="00166994" w:rsidRPr="00F07407" w:rsidRDefault="00166994" w:rsidP="00BE76D8">
            <w:pPr>
              <w:spacing w:line="360" w:lineRule="auto"/>
              <w:rPr>
                <w:sz w:val="22"/>
                <w:szCs w:val="22"/>
                <w:lang w:eastAsia="zh-HK"/>
              </w:rPr>
            </w:pPr>
            <w:r w:rsidRPr="00F07407">
              <w:rPr>
                <w:sz w:val="22"/>
                <w:szCs w:val="22"/>
                <w:lang w:eastAsia="zh-HK"/>
              </w:rPr>
              <w:t>.75</w:t>
            </w:r>
          </w:p>
        </w:tc>
        <w:tc>
          <w:tcPr>
            <w:tcW w:w="1276" w:type="dxa"/>
            <w:tcBorders>
              <w:top w:val="nil"/>
              <w:left w:val="nil"/>
              <w:bottom w:val="single" w:sz="4" w:space="0" w:color="auto"/>
              <w:right w:val="nil"/>
            </w:tcBorders>
          </w:tcPr>
          <w:p w14:paraId="0BCA74A4" w14:textId="77777777" w:rsidR="00166994" w:rsidRPr="00F07407" w:rsidRDefault="00166994" w:rsidP="00BE76D8">
            <w:pPr>
              <w:spacing w:line="360" w:lineRule="auto"/>
              <w:rPr>
                <w:sz w:val="22"/>
                <w:szCs w:val="22"/>
                <w:lang w:eastAsia="zh-HK"/>
              </w:rPr>
            </w:pPr>
            <w:r w:rsidRPr="00F07407">
              <w:rPr>
                <w:sz w:val="22"/>
                <w:szCs w:val="22"/>
                <w:lang w:eastAsia="zh-HK"/>
              </w:rPr>
              <w:t>.91</w:t>
            </w:r>
          </w:p>
        </w:tc>
        <w:tc>
          <w:tcPr>
            <w:tcW w:w="1276" w:type="dxa"/>
            <w:tcBorders>
              <w:top w:val="nil"/>
              <w:left w:val="nil"/>
              <w:bottom w:val="single" w:sz="4" w:space="0" w:color="auto"/>
              <w:right w:val="nil"/>
            </w:tcBorders>
          </w:tcPr>
          <w:p w14:paraId="70E97744" w14:textId="77777777" w:rsidR="00166994" w:rsidRPr="00F07407" w:rsidRDefault="00166994" w:rsidP="00BE76D8">
            <w:pPr>
              <w:spacing w:line="360" w:lineRule="auto"/>
              <w:rPr>
                <w:sz w:val="22"/>
                <w:szCs w:val="22"/>
                <w:lang w:eastAsia="zh-HK"/>
              </w:rPr>
            </w:pPr>
            <w:r w:rsidRPr="00F07407">
              <w:rPr>
                <w:sz w:val="22"/>
                <w:szCs w:val="22"/>
                <w:lang w:eastAsia="zh-HK"/>
              </w:rPr>
              <w:t>.96</w:t>
            </w:r>
          </w:p>
        </w:tc>
        <w:tc>
          <w:tcPr>
            <w:tcW w:w="1275" w:type="dxa"/>
            <w:tcBorders>
              <w:top w:val="nil"/>
              <w:left w:val="nil"/>
              <w:bottom w:val="single" w:sz="4" w:space="0" w:color="auto"/>
              <w:right w:val="nil"/>
            </w:tcBorders>
          </w:tcPr>
          <w:p w14:paraId="479154AD" w14:textId="77777777" w:rsidR="00166994" w:rsidRPr="00F07407" w:rsidRDefault="00166994" w:rsidP="00BE76D8">
            <w:pPr>
              <w:spacing w:line="360" w:lineRule="auto"/>
              <w:rPr>
                <w:sz w:val="22"/>
                <w:szCs w:val="22"/>
                <w:lang w:eastAsia="zh-HK"/>
              </w:rPr>
            </w:pPr>
            <w:r w:rsidRPr="00F07407">
              <w:rPr>
                <w:sz w:val="22"/>
                <w:szCs w:val="22"/>
                <w:lang w:eastAsia="zh-HK"/>
              </w:rPr>
              <w:t>.87</w:t>
            </w:r>
          </w:p>
        </w:tc>
      </w:tr>
      <w:tr w:rsidR="00F07407" w:rsidRPr="00F07407" w14:paraId="1866E22B" w14:textId="77777777" w:rsidTr="00BE76D8">
        <w:tc>
          <w:tcPr>
            <w:tcW w:w="9072" w:type="dxa"/>
            <w:gridSpan w:val="8"/>
            <w:tcBorders>
              <w:top w:val="single" w:sz="4" w:space="0" w:color="auto"/>
              <w:left w:val="nil"/>
              <w:bottom w:val="nil"/>
              <w:right w:val="nil"/>
            </w:tcBorders>
          </w:tcPr>
          <w:p w14:paraId="648333CB" w14:textId="77777777" w:rsidR="002C2B04" w:rsidRPr="00F07407" w:rsidRDefault="002C2B04" w:rsidP="00BE76D8">
            <w:pPr>
              <w:spacing w:line="480" w:lineRule="auto"/>
            </w:pPr>
            <w:r w:rsidRPr="00F07407">
              <w:rPr>
                <w:i/>
                <w:iCs/>
              </w:rPr>
              <w:t xml:space="preserve">Note. </w:t>
            </w:r>
            <w:r w:rsidRPr="00F07407">
              <w:t>T1 = time 1; T2 = time 2</w:t>
            </w:r>
            <w:r w:rsidR="000E7BAC" w:rsidRPr="00F07407">
              <w:t xml:space="preserve">; * </w:t>
            </w:r>
            <w:r w:rsidR="000E7BAC" w:rsidRPr="00F07407">
              <w:rPr>
                <w:i/>
              </w:rPr>
              <w:t>p</w:t>
            </w:r>
            <w:r w:rsidR="000E7BAC" w:rsidRPr="00F07407">
              <w:t xml:space="preserve"> &lt; .05; </w:t>
            </w:r>
            <w:r w:rsidRPr="00F07407">
              <w:t xml:space="preserve">** </w:t>
            </w:r>
            <w:r w:rsidRPr="00F07407">
              <w:rPr>
                <w:i/>
              </w:rPr>
              <w:t>p</w:t>
            </w:r>
            <w:r w:rsidRPr="00F07407">
              <w:t xml:space="preserve"> &lt; .01</w:t>
            </w:r>
          </w:p>
        </w:tc>
      </w:tr>
      <w:tr w:rsidR="002C2B04" w:rsidRPr="00F07407" w14:paraId="7D80A4EC" w14:textId="77777777" w:rsidTr="00BE76D8">
        <w:tc>
          <w:tcPr>
            <w:tcW w:w="850" w:type="dxa"/>
            <w:tcBorders>
              <w:top w:val="nil"/>
              <w:left w:val="nil"/>
              <w:bottom w:val="nil"/>
              <w:right w:val="nil"/>
            </w:tcBorders>
          </w:tcPr>
          <w:p w14:paraId="3DFF42EB" w14:textId="77777777" w:rsidR="002C2B04" w:rsidRPr="00F07407" w:rsidRDefault="002C2B04" w:rsidP="002C2B04">
            <w:pPr>
              <w:spacing w:line="360" w:lineRule="auto"/>
              <w:rPr>
                <w:i/>
                <w:iCs/>
              </w:rPr>
            </w:pPr>
          </w:p>
        </w:tc>
        <w:tc>
          <w:tcPr>
            <w:tcW w:w="8222" w:type="dxa"/>
            <w:gridSpan w:val="7"/>
            <w:tcBorders>
              <w:top w:val="nil"/>
              <w:left w:val="nil"/>
              <w:bottom w:val="nil"/>
              <w:right w:val="nil"/>
            </w:tcBorders>
          </w:tcPr>
          <w:p w14:paraId="04B70D2A" w14:textId="77777777" w:rsidR="002C2B04" w:rsidRPr="00F07407" w:rsidRDefault="002C2B04" w:rsidP="002C2B04">
            <w:pPr>
              <w:spacing w:line="360" w:lineRule="auto"/>
              <w:rPr>
                <w:i/>
                <w:iCs/>
              </w:rPr>
            </w:pPr>
          </w:p>
        </w:tc>
      </w:tr>
    </w:tbl>
    <w:p w14:paraId="4B43F96E" w14:textId="77777777" w:rsidR="00EA1E96" w:rsidRPr="00F07407" w:rsidRDefault="00EA1E96" w:rsidP="00EA1E96">
      <w:pPr>
        <w:rPr>
          <w:sz w:val="16"/>
          <w:lang w:eastAsia="zh-HK"/>
        </w:rPr>
        <w:sectPr w:rsidR="00EA1E96" w:rsidRPr="00F07407" w:rsidSect="00E83097">
          <w:pgSz w:w="11906" w:h="16838" w:code="9"/>
          <w:pgMar w:top="1440" w:right="1440" w:bottom="1440" w:left="1440" w:header="850" w:footer="994" w:gutter="0"/>
          <w:cols w:space="425"/>
          <w:docGrid w:type="linesAndChars" w:linePitch="360"/>
        </w:sectPr>
      </w:pPr>
    </w:p>
    <w:p w14:paraId="09C4C901" w14:textId="77777777" w:rsidR="00ED7B02" w:rsidRPr="00383D6C" w:rsidRDefault="00ED7B02" w:rsidP="00ED7B02">
      <w:pPr>
        <w:spacing w:line="480" w:lineRule="auto"/>
        <w:rPr>
          <w:color w:val="00B0F0"/>
          <w:lang w:eastAsia="zh-HK"/>
        </w:rPr>
      </w:pPr>
      <w:r w:rsidRPr="00383D6C">
        <w:rPr>
          <w:color w:val="00B0F0"/>
          <w:lang w:eastAsia="zh-HK"/>
        </w:rPr>
        <w:lastRenderedPageBreak/>
        <w:t>Table 2</w:t>
      </w:r>
    </w:p>
    <w:p w14:paraId="5D5FEF3F" w14:textId="77777777" w:rsidR="00ED7B02" w:rsidRPr="00383D6C" w:rsidRDefault="00ED7B02" w:rsidP="00ED7B02">
      <w:pPr>
        <w:widowControl/>
        <w:spacing w:line="480" w:lineRule="auto"/>
        <w:rPr>
          <w:i/>
          <w:color w:val="00B0F0"/>
          <w:lang w:eastAsia="zh-HK"/>
        </w:rPr>
      </w:pPr>
      <w:r w:rsidRPr="00383D6C">
        <w:rPr>
          <w:i/>
          <w:color w:val="00B0F0"/>
          <w:lang w:eastAsia="zh-HK"/>
        </w:rPr>
        <w:t xml:space="preserve">Hierarchical regression predicting children’s school readiness from home play opportunity, object mastery motivation, and social mastery motivation. </w:t>
      </w:r>
    </w:p>
    <w:tbl>
      <w:tblPr>
        <w:tblStyle w:val="TableGrid"/>
        <w:tblpPr w:leftFromText="180" w:rightFromText="180" w:vertAnchor="text" w:horzAnchor="margin" w:tblpY="108"/>
        <w:tblW w:w="8931" w:type="dxa"/>
        <w:tblLayout w:type="fixed"/>
        <w:tblLook w:val="04A0" w:firstRow="1" w:lastRow="0" w:firstColumn="1" w:lastColumn="0" w:noHBand="0" w:noVBand="1"/>
      </w:tblPr>
      <w:tblGrid>
        <w:gridCol w:w="3828"/>
        <w:gridCol w:w="283"/>
        <w:gridCol w:w="992"/>
        <w:gridCol w:w="709"/>
        <w:gridCol w:w="1134"/>
        <w:gridCol w:w="851"/>
        <w:gridCol w:w="1134"/>
      </w:tblGrid>
      <w:tr w:rsidR="00383D6C" w:rsidRPr="00383D6C" w14:paraId="0839FB0A" w14:textId="77777777" w:rsidTr="0076664A">
        <w:trPr>
          <w:trHeight w:val="278"/>
        </w:trPr>
        <w:tc>
          <w:tcPr>
            <w:tcW w:w="3828" w:type="dxa"/>
            <w:tcBorders>
              <w:top w:val="single" w:sz="4" w:space="0" w:color="auto"/>
              <w:left w:val="nil"/>
              <w:bottom w:val="nil"/>
              <w:right w:val="nil"/>
            </w:tcBorders>
          </w:tcPr>
          <w:p w14:paraId="446A3374" w14:textId="77777777" w:rsidR="00ED7B02" w:rsidRPr="00383D6C" w:rsidRDefault="00ED7B02" w:rsidP="003375C1">
            <w:pPr>
              <w:spacing w:line="360" w:lineRule="auto"/>
              <w:rPr>
                <w:color w:val="00B0F0"/>
                <w:lang w:eastAsia="zh-HK"/>
              </w:rPr>
            </w:pPr>
          </w:p>
        </w:tc>
        <w:tc>
          <w:tcPr>
            <w:tcW w:w="283" w:type="dxa"/>
            <w:tcBorders>
              <w:top w:val="single" w:sz="4" w:space="0" w:color="auto"/>
              <w:left w:val="nil"/>
              <w:bottom w:val="nil"/>
              <w:right w:val="nil"/>
            </w:tcBorders>
          </w:tcPr>
          <w:p w14:paraId="3944D4BD" w14:textId="77777777" w:rsidR="00ED7B02" w:rsidRPr="00383D6C" w:rsidRDefault="00ED7B02" w:rsidP="003375C1">
            <w:pPr>
              <w:spacing w:line="360" w:lineRule="auto"/>
              <w:jc w:val="center"/>
              <w:rPr>
                <w:i/>
                <w:color w:val="00B0F0"/>
              </w:rPr>
            </w:pPr>
          </w:p>
        </w:tc>
        <w:tc>
          <w:tcPr>
            <w:tcW w:w="4820" w:type="dxa"/>
            <w:gridSpan w:val="5"/>
            <w:tcBorders>
              <w:top w:val="single" w:sz="4" w:space="0" w:color="auto"/>
              <w:left w:val="nil"/>
              <w:bottom w:val="single" w:sz="4" w:space="0" w:color="auto"/>
              <w:right w:val="nil"/>
            </w:tcBorders>
          </w:tcPr>
          <w:p w14:paraId="20A22A35" w14:textId="77777777" w:rsidR="00ED7B02" w:rsidRPr="00383D6C" w:rsidRDefault="00377920" w:rsidP="003375C1">
            <w:pPr>
              <w:spacing w:line="360" w:lineRule="auto"/>
              <w:jc w:val="center"/>
              <w:rPr>
                <w:color w:val="00B0F0"/>
              </w:rPr>
            </w:pPr>
            <w:r>
              <w:rPr>
                <w:color w:val="00B0F0"/>
              </w:rPr>
              <w:t xml:space="preserve">T2 </w:t>
            </w:r>
            <w:r w:rsidR="00383D6C" w:rsidRPr="00383D6C">
              <w:rPr>
                <w:color w:val="00B0F0"/>
              </w:rPr>
              <w:t>School readiness</w:t>
            </w:r>
          </w:p>
        </w:tc>
      </w:tr>
      <w:tr w:rsidR="00377920" w:rsidRPr="00383D6C" w14:paraId="1B7CEB3E" w14:textId="77777777" w:rsidTr="0076664A">
        <w:trPr>
          <w:trHeight w:val="328"/>
        </w:trPr>
        <w:tc>
          <w:tcPr>
            <w:tcW w:w="3828" w:type="dxa"/>
            <w:tcBorders>
              <w:top w:val="nil"/>
              <w:left w:val="nil"/>
              <w:bottom w:val="single" w:sz="4" w:space="0" w:color="auto"/>
              <w:right w:val="nil"/>
            </w:tcBorders>
            <w:vAlign w:val="center"/>
          </w:tcPr>
          <w:p w14:paraId="3360628F" w14:textId="77777777" w:rsidR="00383D6C" w:rsidRPr="00383D6C" w:rsidRDefault="00B60966" w:rsidP="00383D6C">
            <w:pPr>
              <w:spacing w:line="360" w:lineRule="auto"/>
              <w:rPr>
                <w:color w:val="00B0F0"/>
                <w:lang w:eastAsia="zh-HK"/>
              </w:rPr>
            </w:pPr>
            <w:r>
              <w:rPr>
                <w:color w:val="00B0F0"/>
                <w:lang w:eastAsia="zh-HK"/>
              </w:rPr>
              <w:t>Step/</w:t>
            </w:r>
            <w:r w:rsidR="00383D6C" w:rsidRPr="00383D6C">
              <w:rPr>
                <w:color w:val="00B0F0"/>
                <w:lang w:eastAsia="zh-HK"/>
              </w:rPr>
              <w:t>Independent variable</w:t>
            </w:r>
          </w:p>
        </w:tc>
        <w:tc>
          <w:tcPr>
            <w:tcW w:w="283" w:type="dxa"/>
            <w:tcBorders>
              <w:top w:val="nil"/>
              <w:left w:val="nil"/>
              <w:bottom w:val="single" w:sz="4" w:space="0" w:color="auto"/>
              <w:right w:val="nil"/>
            </w:tcBorders>
            <w:vAlign w:val="center"/>
          </w:tcPr>
          <w:p w14:paraId="13B1DD12" w14:textId="77777777" w:rsidR="00383D6C" w:rsidRPr="00383D6C" w:rsidRDefault="00383D6C" w:rsidP="00383D6C">
            <w:pPr>
              <w:spacing w:line="360" w:lineRule="auto"/>
              <w:rPr>
                <w:color w:val="00B0F0"/>
              </w:rPr>
            </w:pPr>
          </w:p>
        </w:tc>
        <w:tc>
          <w:tcPr>
            <w:tcW w:w="992" w:type="dxa"/>
            <w:tcBorders>
              <w:top w:val="single" w:sz="4" w:space="0" w:color="auto"/>
              <w:left w:val="nil"/>
              <w:bottom w:val="single" w:sz="4" w:space="0" w:color="auto"/>
              <w:right w:val="nil"/>
            </w:tcBorders>
            <w:vAlign w:val="center"/>
          </w:tcPr>
          <w:p w14:paraId="297ABC34" w14:textId="77777777" w:rsidR="00383D6C" w:rsidRPr="00383D6C" w:rsidRDefault="00383D6C" w:rsidP="00383D6C">
            <w:pPr>
              <w:spacing w:line="360" w:lineRule="auto"/>
              <w:rPr>
                <w:color w:val="00B0F0"/>
                <w:lang w:eastAsia="zh-HK"/>
              </w:rPr>
            </w:pPr>
            <w:r w:rsidRPr="00383D6C">
              <w:rPr>
                <w:color w:val="00B0F0"/>
                <w:lang w:eastAsia="en-US"/>
              </w:rPr>
              <w:t xml:space="preserve">Final </w:t>
            </w:r>
            <w:r w:rsidRPr="00383D6C">
              <w:rPr>
                <w:i/>
                <w:iCs/>
                <w:color w:val="00B0F0"/>
                <w:lang w:eastAsia="en-US"/>
              </w:rPr>
              <w:t>β</w:t>
            </w:r>
          </w:p>
        </w:tc>
        <w:tc>
          <w:tcPr>
            <w:tcW w:w="709" w:type="dxa"/>
            <w:tcBorders>
              <w:top w:val="single" w:sz="4" w:space="0" w:color="auto"/>
              <w:left w:val="nil"/>
              <w:bottom w:val="single" w:sz="4" w:space="0" w:color="auto"/>
              <w:right w:val="nil"/>
            </w:tcBorders>
          </w:tcPr>
          <w:p w14:paraId="6492E75D" w14:textId="77777777" w:rsidR="00383D6C" w:rsidRPr="00383D6C" w:rsidRDefault="00383D6C" w:rsidP="00383D6C">
            <w:pPr>
              <w:spacing w:line="360" w:lineRule="auto"/>
              <w:rPr>
                <w:i/>
                <w:iCs/>
                <w:color w:val="00B0F0"/>
                <w:lang w:eastAsia="en-US"/>
              </w:rPr>
            </w:pPr>
            <w:r w:rsidRPr="00383D6C">
              <w:rPr>
                <w:i/>
                <w:iCs/>
                <w:color w:val="00B0F0"/>
                <w:lang w:eastAsia="en-US"/>
              </w:rPr>
              <w:t>SE</w:t>
            </w:r>
          </w:p>
        </w:tc>
        <w:tc>
          <w:tcPr>
            <w:tcW w:w="1134" w:type="dxa"/>
            <w:tcBorders>
              <w:top w:val="single" w:sz="4" w:space="0" w:color="auto"/>
              <w:left w:val="nil"/>
              <w:bottom w:val="single" w:sz="4" w:space="0" w:color="auto"/>
              <w:right w:val="nil"/>
            </w:tcBorders>
            <w:vAlign w:val="center"/>
          </w:tcPr>
          <w:p w14:paraId="72C2B7C5" w14:textId="77777777" w:rsidR="00383D6C" w:rsidRPr="00383D6C" w:rsidRDefault="00383D6C" w:rsidP="00383D6C">
            <w:pPr>
              <w:spacing w:line="360" w:lineRule="auto"/>
              <w:rPr>
                <w:color w:val="00B0F0"/>
                <w:lang w:eastAsia="zh-HK"/>
              </w:rPr>
            </w:pPr>
            <w:r w:rsidRPr="00383D6C">
              <w:rPr>
                <w:color w:val="00B0F0"/>
                <w:lang w:eastAsia="en-US"/>
              </w:rPr>
              <w:t xml:space="preserve">Total </w:t>
            </w:r>
            <w:r w:rsidRPr="00383D6C">
              <w:rPr>
                <w:i/>
                <w:iCs/>
                <w:color w:val="00B0F0"/>
                <w:lang w:eastAsia="en-US"/>
              </w:rPr>
              <w:t>R</w:t>
            </w:r>
            <w:r w:rsidRPr="00383D6C">
              <w:rPr>
                <w:color w:val="00B0F0"/>
                <w:vertAlign w:val="superscript"/>
                <w:lang w:eastAsia="en-US"/>
              </w:rPr>
              <w:t>2</w:t>
            </w:r>
          </w:p>
        </w:tc>
        <w:tc>
          <w:tcPr>
            <w:tcW w:w="851" w:type="dxa"/>
            <w:tcBorders>
              <w:top w:val="single" w:sz="4" w:space="0" w:color="auto"/>
              <w:left w:val="nil"/>
              <w:bottom w:val="single" w:sz="4" w:space="0" w:color="auto"/>
              <w:right w:val="nil"/>
            </w:tcBorders>
            <w:vAlign w:val="center"/>
          </w:tcPr>
          <w:p w14:paraId="3310EA5E" w14:textId="77777777" w:rsidR="00383D6C" w:rsidRPr="00383D6C" w:rsidRDefault="00383D6C" w:rsidP="00383D6C">
            <w:pPr>
              <w:spacing w:line="360" w:lineRule="auto"/>
              <w:rPr>
                <w:color w:val="00B0F0"/>
                <w:lang w:eastAsia="zh-HK"/>
              </w:rPr>
            </w:pPr>
            <w:r w:rsidRPr="00383D6C">
              <w:rPr>
                <w:color w:val="00B0F0"/>
                <w:lang w:eastAsia="en-US"/>
              </w:rPr>
              <w:t>Δ</w:t>
            </w:r>
            <w:r w:rsidRPr="00383D6C">
              <w:rPr>
                <w:i/>
                <w:iCs/>
                <w:color w:val="00B0F0"/>
                <w:lang w:eastAsia="en-US"/>
              </w:rPr>
              <w:t>R</w:t>
            </w:r>
            <w:r w:rsidRPr="00383D6C">
              <w:rPr>
                <w:color w:val="00B0F0"/>
                <w:vertAlign w:val="superscript"/>
                <w:lang w:eastAsia="en-US"/>
              </w:rPr>
              <w:t>2</w:t>
            </w:r>
          </w:p>
        </w:tc>
        <w:tc>
          <w:tcPr>
            <w:tcW w:w="1134" w:type="dxa"/>
            <w:tcBorders>
              <w:top w:val="single" w:sz="4" w:space="0" w:color="auto"/>
              <w:left w:val="nil"/>
              <w:bottom w:val="single" w:sz="4" w:space="0" w:color="auto"/>
              <w:right w:val="nil"/>
            </w:tcBorders>
            <w:vAlign w:val="center"/>
          </w:tcPr>
          <w:p w14:paraId="2AFBDDE9" w14:textId="77777777" w:rsidR="00383D6C" w:rsidRPr="00383D6C" w:rsidRDefault="00383D6C" w:rsidP="00383D6C">
            <w:pPr>
              <w:spacing w:line="360" w:lineRule="auto"/>
              <w:rPr>
                <w:i/>
                <w:iCs/>
                <w:color w:val="00B0F0"/>
              </w:rPr>
            </w:pPr>
            <w:r w:rsidRPr="00383D6C">
              <w:rPr>
                <w:color w:val="00B0F0"/>
                <w:lang w:eastAsia="en-US"/>
              </w:rPr>
              <w:t>Δ</w:t>
            </w:r>
            <w:r w:rsidRPr="00383D6C">
              <w:rPr>
                <w:i/>
                <w:iCs/>
                <w:color w:val="00B0F0"/>
                <w:lang w:eastAsia="en-US"/>
              </w:rPr>
              <w:t>F</w:t>
            </w:r>
          </w:p>
        </w:tc>
      </w:tr>
      <w:tr w:rsidR="0076664A" w:rsidRPr="00383D6C" w14:paraId="7156A5CC" w14:textId="77777777" w:rsidTr="0076664A">
        <w:tc>
          <w:tcPr>
            <w:tcW w:w="3828" w:type="dxa"/>
            <w:tcBorders>
              <w:top w:val="single" w:sz="4" w:space="0" w:color="auto"/>
              <w:left w:val="nil"/>
              <w:bottom w:val="nil"/>
              <w:right w:val="nil"/>
            </w:tcBorders>
            <w:vAlign w:val="center"/>
          </w:tcPr>
          <w:p w14:paraId="22597AD3" w14:textId="77777777" w:rsidR="00383D6C" w:rsidRPr="00383D6C" w:rsidRDefault="00383D6C" w:rsidP="00383D6C">
            <w:pPr>
              <w:spacing w:line="360" w:lineRule="auto"/>
              <w:rPr>
                <w:color w:val="00B0F0"/>
                <w:lang w:eastAsia="zh-HK"/>
              </w:rPr>
            </w:pPr>
            <w:r w:rsidRPr="00383D6C">
              <w:rPr>
                <w:color w:val="00B0F0"/>
                <w:lang w:eastAsia="zh-HK"/>
              </w:rPr>
              <w:t>Model 1</w:t>
            </w:r>
          </w:p>
        </w:tc>
        <w:tc>
          <w:tcPr>
            <w:tcW w:w="283" w:type="dxa"/>
            <w:tcBorders>
              <w:top w:val="single" w:sz="4" w:space="0" w:color="auto"/>
              <w:left w:val="nil"/>
              <w:bottom w:val="nil"/>
              <w:right w:val="nil"/>
            </w:tcBorders>
            <w:vAlign w:val="center"/>
          </w:tcPr>
          <w:p w14:paraId="5DC9A733" w14:textId="77777777" w:rsidR="00383D6C" w:rsidRPr="00383D6C" w:rsidRDefault="00383D6C" w:rsidP="00383D6C">
            <w:pPr>
              <w:spacing w:line="360" w:lineRule="auto"/>
              <w:rPr>
                <w:color w:val="00B0F0"/>
              </w:rPr>
            </w:pPr>
          </w:p>
        </w:tc>
        <w:tc>
          <w:tcPr>
            <w:tcW w:w="992" w:type="dxa"/>
            <w:tcBorders>
              <w:top w:val="single" w:sz="4" w:space="0" w:color="auto"/>
              <w:left w:val="nil"/>
              <w:bottom w:val="nil"/>
              <w:right w:val="nil"/>
            </w:tcBorders>
            <w:vAlign w:val="center"/>
          </w:tcPr>
          <w:p w14:paraId="1C20325C" w14:textId="77777777" w:rsidR="00383D6C" w:rsidRPr="00383D6C" w:rsidRDefault="00383D6C" w:rsidP="00383D6C">
            <w:pPr>
              <w:spacing w:line="360" w:lineRule="auto"/>
              <w:rPr>
                <w:color w:val="00B0F0"/>
                <w:lang w:eastAsia="zh-HK"/>
              </w:rPr>
            </w:pPr>
            <w:r w:rsidRPr="00383D6C">
              <w:rPr>
                <w:color w:val="00B0F0"/>
                <w:lang w:eastAsia="zh-HK"/>
              </w:rPr>
              <w:t>--</w:t>
            </w:r>
          </w:p>
        </w:tc>
        <w:tc>
          <w:tcPr>
            <w:tcW w:w="709" w:type="dxa"/>
            <w:tcBorders>
              <w:top w:val="single" w:sz="4" w:space="0" w:color="auto"/>
              <w:left w:val="nil"/>
              <w:bottom w:val="nil"/>
              <w:right w:val="nil"/>
            </w:tcBorders>
          </w:tcPr>
          <w:p w14:paraId="1A38BD4E" w14:textId="77777777" w:rsidR="00383D6C" w:rsidRPr="00383D6C" w:rsidRDefault="00383D6C" w:rsidP="00383D6C">
            <w:pPr>
              <w:spacing w:line="360" w:lineRule="auto"/>
              <w:rPr>
                <w:color w:val="00B0F0"/>
                <w:lang w:eastAsia="zh-HK"/>
              </w:rPr>
            </w:pPr>
            <w:r w:rsidRPr="00383D6C">
              <w:rPr>
                <w:color w:val="00B0F0"/>
                <w:lang w:eastAsia="zh-HK"/>
              </w:rPr>
              <w:t>--</w:t>
            </w:r>
          </w:p>
        </w:tc>
        <w:tc>
          <w:tcPr>
            <w:tcW w:w="1134" w:type="dxa"/>
            <w:tcBorders>
              <w:top w:val="single" w:sz="4" w:space="0" w:color="auto"/>
              <w:left w:val="nil"/>
              <w:bottom w:val="nil"/>
              <w:right w:val="nil"/>
            </w:tcBorders>
            <w:vAlign w:val="center"/>
          </w:tcPr>
          <w:p w14:paraId="0DC31090" w14:textId="77777777" w:rsidR="00383D6C" w:rsidRPr="00383D6C" w:rsidRDefault="00383D6C" w:rsidP="00383D6C">
            <w:pPr>
              <w:spacing w:line="360" w:lineRule="auto"/>
              <w:rPr>
                <w:color w:val="00B0F0"/>
                <w:lang w:eastAsia="zh-HK"/>
              </w:rPr>
            </w:pPr>
          </w:p>
        </w:tc>
        <w:tc>
          <w:tcPr>
            <w:tcW w:w="851" w:type="dxa"/>
            <w:tcBorders>
              <w:top w:val="single" w:sz="4" w:space="0" w:color="auto"/>
              <w:left w:val="nil"/>
              <w:bottom w:val="nil"/>
              <w:right w:val="nil"/>
            </w:tcBorders>
            <w:vAlign w:val="center"/>
          </w:tcPr>
          <w:p w14:paraId="0F5F12C5" w14:textId="77777777" w:rsidR="00383D6C" w:rsidRPr="00383D6C" w:rsidRDefault="00383D6C" w:rsidP="00383D6C">
            <w:pPr>
              <w:spacing w:line="360" w:lineRule="auto"/>
              <w:rPr>
                <w:color w:val="00B0F0"/>
                <w:lang w:eastAsia="zh-HK"/>
              </w:rPr>
            </w:pPr>
          </w:p>
        </w:tc>
        <w:tc>
          <w:tcPr>
            <w:tcW w:w="1134" w:type="dxa"/>
            <w:tcBorders>
              <w:top w:val="single" w:sz="4" w:space="0" w:color="auto"/>
              <w:left w:val="nil"/>
              <w:bottom w:val="nil"/>
              <w:right w:val="nil"/>
            </w:tcBorders>
            <w:vAlign w:val="center"/>
          </w:tcPr>
          <w:p w14:paraId="4D5FDAB8" w14:textId="77777777" w:rsidR="00383D6C" w:rsidRPr="00383D6C" w:rsidRDefault="00383D6C" w:rsidP="00383D6C">
            <w:pPr>
              <w:spacing w:line="360" w:lineRule="auto"/>
              <w:rPr>
                <w:color w:val="00B0F0"/>
                <w:lang w:eastAsia="zh-HK"/>
              </w:rPr>
            </w:pPr>
          </w:p>
        </w:tc>
      </w:tr>
      <w:tr w:rsidR="0076664A" w:rsidRPr="00383D6C" w14:paraId="0F97D793" w14:textId="77777777" w:rsidTr="0076664A">
        <w:tc>
          <w:tcPr>
            <w:tcW w:w="3828" w:type="dxa"/>
            <w:tcBorders>
              <w:top w:val="nil"/>
              <w:left w:val="nil"/>
              <w:bottom w:val="nil"/>
              <w:right w:val="nil"/>
            </w:tcBorders>
            <w:vAlign w:val="center"/>
          </w:tcPr>
          <w:p w14:paraId="242384F6" w14:textId="77777777" w:rsidR="00383D6C" w:rsidRPr="00B60966" w:rsidRDefault="00377920" w:rsidP="00B60966">
            <w:pPr>
              <w:pStyle w:val="ListParagraph"/>
              <w:numPr>
                <w:ilvl w:val="0"/>
                <w:numId w:val="22"/>
              </w:numPr>
              <w:spacing w:line="360" w:lineRule="auto"/>
              <w:rPr>
                <w:color w:val="00B0F0"/>
                <w:lang w:eastAsia="zh-HK"/>
              </w:rPr>
            </w:pPr>
            <w:r>
              <w:rPr>
                <w:color w:val="00B0F0"/>
                <w:lang w:eastAsia="zh-HK"/>
              </w:rPr>
              <w:t xml:space="preserve">T1 </w:t>
            </w:r>
            <w:r w:rsidR="00383D6C" w:rsidRPr="00B60966">
              <w:rPr>
                <w:color w:val="00B0F0"/>
                <w:lang w:eastAsia="zh-HK"/>
              </w:rPr>
              <w:t>Home play opportunity</w:t>
            </w:r>
          </w:p>
        </w:tc>
        <w:tc>
          <w:tcPr>
            <w:tcW w:w="283" w:type="dxa"/>
            <w:tcBorders>
              <w:top w:val="nil"/>
              <w:left w:val="nil"/>
              <w:bottom w:val="nil"/>
              <w:right w:val="nil"/>
            </w:tcBorders>
            <w:vAlign w:val="center"/>
          </w:tcPr>
          <w:p w14:paraId="01B0A2F8" w14:textId="77777777" w:rsidR="00383D6C" w:rsidRPr="00383D6C" w:rsidRDefault="00383D6C" w:rsidP="00383D6C">
            <w:pPr>
              <w:spacing w:line="360" w:lineRule="auto"/>
              <w:rPr>
                <w:color w:val="00B0F0"/>
              </w:rPr>
            </w:pPr>
          </w:p>
        </w:tc>
        <w:tc>
          <w:tcPr>
            <w:tcW w:w="992" w:type="dxa"/>
            <w:tcBorders>
              <w:top w:val="nil"/>
              <w:left w:val="nil"/>
              <w:bottom w:val="nil"/>
              <w:right w:val="nil"/>
            </w:tcBorders>
            <w:vAlign w:val="center"/>
          </w:tcPr>
          <w:p w14:paraId="7068B026" w14:textId="77777777" w:rsidR="00383D6C" w:rsidRPr="00B60966" w:rsidRDefault="00B60966" w:rsidP="00383D6C">
            <w:pPr>
              <w:spacing w:line="360" w:lineRule="auto"/>
              <w:rPr>
                <w:color w:val="00B0F0"/>
                <w:vertAlign w:val="superscript"/>
                <w:lang w:eastAsia="zh-HK"/>
              </w:rPr>
            </w:pPr>
            <w:r>
              <w:rPr>
                <w:color w:val="00B0F0"/>
                <w:lang w:eastAsia="zh-HK"/>
              </w:rPr>
              <w:t>.21</w:t>
            </w:r>
            <w:r>
              <w:rPr>
                <w:color w:val="00B0F0"/>
                <w:vertAlign w:val="superscript"/>
                <w:lang w:eastAsia="zh-HK"/>
              </w:rPr>
              <w:t>*</w:t>
            </w:r>
          </w:p>
        </w:tc>
        <w:tc>
          <w:tcPr>
            <w:tcW w:w="709" w:type="dxa"/>
            <w:tcBorders>
              <w:top w:val="nil"/>
              <w:left w:val="nil"/>
              <w:bottom w:val="nil"/>
              <w:right w:val="nil"/>
            </w:tcBorders>
          </w:tcPr>
          <w:p w14:paraId="7B3A9A83" w14:textId="77777777" w:rsidR="00383D6C" w:rsidRPr="00383D6C" w:rsidRDefault="00B60966" w:rsidP="00383D6C">
            <w:pPr>
              <w:spacing w:line="360" w:lineRule="auto"/>
              <w:rPr>
                <w:color w:val="00B0F0"/>
                <w:lang w:eastAsia="zh-HK"/>
              </w:rPr>
            </w:pPr>
            <w:r>
              <w:rPr>
                <w:color w:val="00B0F0"/>
                <w:lang w:eastAsia="zh-HK"/>
              </w:rPr>
              <w:t>.10</w:t>
            </w:r>
          </w:p>
        </w:tc>
        <w:tc>
          <w:tcPr>
            <w:tcW w:w="1134" w:type="dxa"/>
            <w:tcBorders>
              <w:top w:val="nil"/>
              <w:left w:val="nil"/>
              <w:bottom w:val="nil"/>
              <w:right w:val="nil"/>
            </w:tcBorders>
            <w:vAlign w:val="center"/>
          </w:tcPr>
          <w:p w14:paraId="12469C56" w14:textId="77777777" w:rsidR="00383D6C" w:rsidRPr="00383D6C" w:rsidRDefault="00B60966" w:rsidP="00383D6C">
            <w:pPr>
              <w:spacing w:line="360" w:lineRule="auto"/>
              <w:rPr>
                <w:color w:val="00B0F0"/>
                <w:lang w:eastAsia="zh-HK"/>
              </w:rPr>
            </w:pPr>
            <w:r>
              <w:rPr>
                <w:color w:val="00B0F0"/>
                <w:lang w:eastAsia="zh-HK"/>
              </w:rPr>
              <w:t>.05</w:t>
            </w:r>
          </w:p>
        </w:tc>
        <w:tc>
          <w:tcPr>
            <w:tcW w:w="851" w:type="dxa"/>
            <w:tcBorders>
              <w:top w:val="nil"/>
              <w:left w:val="nil"/>
              <w:bottom w:val="nil"/>
              <w:right w:val="nil"/>
            </w:tcBorders>
            <w:vAlign w:val="center"/>
          </w:tcPr>
          <w:p w14:paraId="39E855C0" w14:textId="77777777" w:rsidR="00383D6C" w:rsidRPr="00383D6C" w:rsidRDefault="00B60966" w:rsidP="00383D6C">
            <w:pPr>
              <w:spacing w:line="360" w:lineRule="auto"/>
              <w:rPr>
                <w:color w:val="00B0F0"/>
                <w:lang w:eastAsia="zh-HK"/>
              </w:rPr>
            </w:pPr>
            <w:r>
              <w:rPr>
                <w:color w:val="00B0F0"/>
                <w:lang w:eastAsia="zh-HK"/>
              </w:rPr>
              <w:t>.05</w:t>
            </w:r>
          </w:p>
        </w:tc>
        <w:tc>
          <w:tcPr>
            <w:tcW w:w="1134" w:type="dxa"/>
            <w:tcBorders>
              <w:top w:val="nil"/>
              <w:left w:val="nil"/>
              <w:bottom w:val="nil"/>
              <w:right w:val="nil"/>
            </w:tcBorders>
          </w:tcPr>
          <w:p w14:paraId="212E7DAB" w14:textId="77777777" w:rsidR="00383D6C" w:rsidRPr="002C1E44" w:rsidRDefault="00B60966" w:rsidP="00383D6C">
            <w:pPr>
              <w:spacing w:line="360" w:lineRule="auto"/>
              <w:rPr>
                <w:color w:val="00B0F0"/>
                <w:vertAlign w:val="superscript"/>
                <w:lang w:eastAsia="zh-HK"/>
              </w:rPr>
            </w:pPr>
            <w:r>
              <w:rPr>
                <w:color w:val="00B0F0"/>
                <w:lang w:eastAsia="zh-HK"/>
              </w:rPr>
              <w:t>4.93</w:t>
            </w:r>
            <w:r w:rsidR="002C1E44">
              <w:rPr>
                <w:color w:val="00B0F0"/>
                <w:vertAlign w:val="superscript"/>
                <w:lang w:eastAsia="zh-HK"/>
              </w:rPr>
              <w:t>*</w:t>
            </w:r>
          </w:p>
        </w:tc>
      </w:tr>
      <w:tr w:rsidR="0076664A" w:rsidRPr="00383D6C" w14:paraId="10005A1D" w14:textId="77777777" w:rsidTr="0076664A">
        <w:tc>
          <w:tcPr>
            <w:tcW w:w="3828" w:type="dxa"/>
            <w:tcBorders>
              <w:top w:val="nil"/>
              <w:left w:val="nil"/>
              <w:bottom w:val="nil"/>
              <w:right w:val="nil"/>
            </w:tcBorders>
            <w:vAlign w:val="center"/>
          </w:tcPr>
          <w:p w14:paraId="4F35DCB2" w14:textId="77777777" w:rsidR="00383D6C" w:rsidRPr="00383D6C" w:rsidRDefault="00383D6C" w:rsidP="00383D6C">
            <w:pPr>
              <w:spacing w:line="360" w:lineRule="auto"/>
              <w:rPr>
                <w:color w:val="00B0F0"/>
                <w:lang w:eastAsia="zh-HK"/>
              </w:rPr>
            </w:pPr>
            <w:r w:rsidRPr="00383D6C">
              <w:rPr>
                <w:color w:val="00B0F0"/>
                <w:lang w:eastAsia="zh-HK"/>
              </w:rPr>
              <w:t>Model 2</w:t>
            </w:r>
          </w:p>
        </w:tc>
        <w:tc>
          <w:tcPr>
            <w:tcW w:w="283" w:type="dxa"/>
            <w:tcBorders>
              <w:top w:val="nil"/>
              <w:left w:val="nil"/>
              <w:bottom w:val="nil"/>
              <w:right w:val="nil"/>
            </w:tcBorders>
            <w:vAlign w:val="center"/>
          </w:tcPr>
          <w:p w14:paraId="60607EA4" w14:textId="77777777" w:rsidR="00383D6C" w:rsidRPr="00383D6C" w:rsidRDefault="00383D6C" w:rsidP="00383D6C">
            <w:pPr>
              <w:spacing w:line="360" w:lineRule="auto"/>
              <w:rPr>
                <w:color w:val="00B0F0"/>
              </w:rPr>
            </w:pPr>
          </w:p>
        </w:tc>
        <w:tc>
          <w:tcPr>
            <w:tcW w:w="992" w:type="dxa"/>
            <w:tcBorders>
              <w:top w:val="nil"/>
              <w:left w:val="nil"/>
              <w:bottom w:val="nil"/>
              <w:right w:val="nil"/>
            </w:tcBorders>
            <w:vAlign w:val="center"/>
          </w:tcPr>
          <w:p w14:paraId="70E73B95" w14:textId="77777777" w:rsidR="00383D6C" w:rsidRPr="00383D6C" w:rsidRDefault="00383D6C" w:rsidP="00383D6C">
            <w:pPr>
              <w:spacing w:line="360" w:lineRule="auto"/>
              <w:rPr>
                <w:color w:val="00B0F0"/>
                <w:lang w:eastAsia="zh-HK"/>
              </w:rPr>
            </w:pPr>
            <w:r w:rsidRPr="00383D6C">
              <w:rPr>
                <w:color w:val="00B0F0"/>
                <w:lang w:eastAsia="zh-HK"/>
              </w:rPr>
              <w:t>--</w:t>
            </w:r>
          </w:p>
        </w:tc>
        <w:tc>
          <w:tcPr>
            <w:tcW w:w="709" w:type="dxa"/>
            <w:tcBorders>
              <w:top w:val="nil"/>
              <w:left w:val="nil"/>
              <w:bottom w:val="nil"/>
              <w:right w:val="nil"/>
            </w:tcBorders>
          </w:tcPr>
          <w:p w14:paraId="71E5B372" w14:textId="77777777" w:rsidR="00383D6C" w:rsidRPr="00383D6C" w:rsidRDefault="00383D6C" w:rsidP="00383D6C">
            <w:pPr>
              <w:spacing w:line="360" w:lineRule="auto"/>
              <w:rPr>
                <w:color w:val="00B0F0"/>
                <w:lang w:eastAsia="zh-HK"/>
              </w:rPr>
            </w:pPr>
            <w:r w:rsidRPr="00383D6C">
              <w:rPr>
                <w:color w:val="00B0F0"/>
                <w:lang w:eastAsia="zh-HK"/>
              </w:rPr>
              <w:t>--</w:t>
            </w:r>
          </w:p>
        </w:tc>
        <w:tc>
          <w:tcPr>
            <w:tcW w:w="1134" w:type="dxa"/>
            <w:tcBorders>
              <w:top w:val="nil"/>
              <w:left w:val="nil"/>
              <w:bottom w:val="nil"/>
              <w:right w:val="nil"/>
            </w:tcBorders>
            <w:vAlign w:val="center"/>
          </w:tcPr>
          <w:p w14:paraId="1422010C" w14:textId="77777777" w:rsidR="00383D6C" w:rsidRPr="00383D6C" w:rsidRDefault="00383D6C" w:rsidP="00383D6C">
            <w:pPr>
              <w:spacing w:line="360" w:lineRule="auto"/>
              <w:rPr>
                <w:color w:val="00B0F0"/>
                <w:lang w:eastAsia="zh-HK"/>
              </w:rPr>
            </w:pPr>
          </w:p>
        </w:tc>
        <w:tc>
          <w:tcPr>
            <w:tcW w:w="851" w:type="dxa"/>
            <w:tcBorders>
              <w:top w:val="nil"/>
              <w:left w:val="nil"/>
              <w:bottom w:val="nil"/>
              <w:right w:val="nil"/>
            </w:tcBorders>
            <w:vAlign w:val="center"/>
          </w:tcPr>
          <w:p w14:paraId="778EDABC" w14:textId="77777777" w:rsidR="00383D6C" w:rsidRPr="00383D6C" w:rsidRDefault="00383D6C" w:rsidP="00383D6C">
            <w:pPr>
              <w:spacing w:line="360" w:lineRule="auto"/>
              <w:rPr>
                <w:color w:val="00B0F0"/>
                <w:lang w:eastAsia="zh-HK"/>
              </w:rPr>
            </w:pPr>
          </w:p>
        </w:tc>
        <w:tc>
          <w:tcPr>
            <w:tcW w:w="1134" w:type="dxa"/>
            <w:tcBorders>
              <w:top w:val="nil"/>
              <w:left w:val="nil"/>
              <w:bottom w:val="nil"/>
              <w:right w:val="nil"/>
            </w:tcBorders>
          </w:tcPr>
          <w:p w14:paraId="3E6A5309" w14:textId="77777777" w:rsidR="00383D6C" w:rsidRPr="00383D6C" w:rsidRDefault="00383D6C" w:rsidP="00383D6C">
            <w:pPr>
              <w:spacing w:line="360" w:lineRule="auto"/>
              <w:rPr>
                <w:color w:val="00B0F0"/>
                <w:lang w:eastAsia="zh-HK"/>
              </w:rPr>
            </w:pPr>
          </w:p>
        </w:tc>
      </w:tr>
      <w:tr w:rsidR="00377920" w:rsidRPr="00383D6C" w14:paraId="39237395" w14:textId="77777777" w:rsidTr="0076664A">
        <w:tc>
          <w:tcPr>
            <w:tcW w:w="3828" w:type="dxa"/>
            <w:tcBorders>
              <w:top w:val="nil"/>
              <w:left w:val="nil"/>
              <w:bottom w:val="nil"/>
              <w:right w:val="nil"/>
            </w:tcBorders>
            <w:vAlign w:val="center"/>
          </w:tcPr>
          <w:p w14:paraId="788DB5D7" w14:textId="77777777" w:rsidR="002C1E44" w:rsidRPr="00B60966" w:rsidRDefault="00377920" w:rsidP="002C1E44">
            <w:pPr>
              <w:pStyle w:val="ListParagraph"/>
              <w:numPr>
                <w:ilvl w:val="0"/>
                <w:numId w:val="23"/>
              </w:numPr>
              <w:spacing w:line="360" w:lineRule="auto"/>
              <w:rPr>
                <w:color w:val="00B0F0"/>
                <w:lang w:eastAsia="zh-HK"/>
              </w:rPr>
            </w:pPr>
            <w:r>
              <w:rPr>
                <w:color w:val="00B0F0"/>
              </w:rPr>
              <w:t xml:space="preserve">T2 </w:t>
            </w:r>
            <w:r w:rsidR="002C1E44" w:rsidRPr="00B60966">
              <w:rPr>
                <w:color w:val="00B0F0"/>
              </w:rPr>
              <w:t>Object mastery motivation</w:t>
            </w:r>
          </w:p>
        </w:tc>
        <w:tc>
          <w:tcPr>
            <w:tcW w:w="283" w:type="dxa"/>
            <w:tcBorders>
              <w:top w:val="nil"/>
              <w:left w:val="nil"/>
              <w:bottom w:val="nil"/>
              <w:right w:val="nil"/>
            </w:tcBorders>
            <w:vAlign w:val="center"/>
          </w:tcPr>
          <w:p w14:paraId="6F85F8DB" w14:textId="77777777" w:rsidR="002C1E44" w:rsidRPr="00383D6C" w:rsidRDefault="002C1E44" w:rsidP="002C1E44">
            <w:pPr>
              <w:spacing w:line="360" w:lineRule="auto"/>
              <w:rPr>
                <w:color w:val="00B0F0"/>
              </w:rPr>
            </w:pPr>
          </w:p>
        </w:tc>
        <w:tc>
          <w:tcPr>
            <w:tcW w:w="992" w:type="dxa"/>
            <w:tcBorders>
              <w:top w:val="nil"/>
              <w:left w:val="nil"/>
              <w:bottom w:val="nil"/>
              <w:right w:val="nil"/>
            </w:tcBorders>
          </w:tcPr>
          <w:p w14:paraId="01A8DE3A" w14:textId="77777777" w:rsidR="002C1E44" w:rsidRPr="00974261" w:rsidRDefault="00974261" w:rsidP="002C1E44">
            <w:pPr>
              <w:spacing w:line="360" w:lineRule="auto"/>
              <w:rPr>
                <w:color w:val="00B0F0"/>
                <w:vertAlign w:val="superscript"/>
                <w:lang w:eastAsia="zh-HK"/>
              </w:rPr>
            </w:pPr>
            <w:r>
              <w:rPr>
                <w:color w:val="00B0F0"/>
                <w:lang w:eastAsia="zh-HK"/>
              </w:rPr>
              <w:t>.63</w:t>
            </w:r>
            <w:r>
              <w:rPr>
                <w:color w:val="00B0F0"/>
                <w:vertAlign w:val="superscript"/>
                <w:lang w:eastAsia="zh-HK"/>
              </w:rPr>
              <w:t>***</w:t>
            </w:r>
          </w:p>
        </w:tc>
        <w:tc>
          <w:tcPr>
            <w:tcW w:w="709" w:type="dxa"/>
            <w:tcBorders>
              <w:top w:val="nil"/>
              <w:left w:val="nil"/>
              <w:bottom w:val="nil"/>
              <w:right w:val="nil"/>
            </w:tcBorders>
          </w:tcPr>
          <w:p w14:paraId="46620381" w14:textId="77777777" w:rsidR="002C1E44" w:rsidRPr="00383D6C" w:rsidRDefault="00974261" w:rsidP="002C1E44">
            <w:pPr>
              <w:spacing w:line="360" w:lineRule="auto"/>
              <w:rPr>
                <w:color w:val="00B0F0"/>
                <w:lang w:eastAsia="zh-HK"/>
              </w:rPr>
            </w:pPr>
            <w:r>
              <w:rPr>
                <w:color w:val="00B0F0"/>
                <w:lang w:eastAsia="zh-HK"/>
              </w:rPr>
              <w:t>.08</w:t>
            </w:r>
          </w:p>
        </w:tc>
        <w:tc>
          <w:tcPr>
            <w:tcW w:w="1134" w:type="dxa"/>
            <w:tcBorders>
              <w:top w:val="nil"/>
              <w:left w:val="nil"/>
              <w:bottom w:val="nil"/>
              <w:right w:val="nil"/>
            </w:tcBorders>
            <w:vAlign w:val="center"/>
          </w:tcPr>
          <w:p w14:paraId="392D3AB1" w14:textId="77777777" w:rsidR="002C1E44" w:rsidRPr="00383D6C" w:rsidRDefault="00582094" w:rsidP="002C1E44">
            <w:pPr>
              <w:spacing w:line="360" w:lineRule="auto"/>
              <w:rPr>
                <w:color w:val="00B0F0"/>
                <w:lang w:eastAsia="zh-HK"/>
              </w:rPr>
            </w:pPr>
            <w:r>
              <w:rPr>
                <w:color w:val="00B0F0"/>
                <w:lang w:eastAsia="zh-HK"/>
              </w:rPr>
              <w:t>.65</w:t>
            </w:r>
          </w:p>
        </w:tc>
        <w:tc>
          <w:tcPr>
            <w:tcW w:w="851" w:type="dxa"/>
            <w:tcBorders>
              <w:top w:val="nil"/>
              <w:left w:val="nil"/>
              <w:bottom w:val="nil"/>
              <w:right w:val="nil"/>
            </w:tcBorders>
            <w:vAlign w:val="center"/>
          </w:tcPr>
          <w:p w14:paraId="17315A8A" w14:textId="77777777" w:rsidR="002C1E44" w:rsidRPr="00383D6C" w:rsidRDefault="00582094" w:rsidP="002C1E44">
            <w:pPr>
              <w:spacing w:line="360" w:lineRule="auto"/>
              <w:rPr>
                <w:color w:val="00B0F0"/>
                <w:lang w:eastAsia="zh-HK"/>
              </w:rPr>
            </w:pPr>
            <w:r>
              <w:rPr>
                <w:color w:val="00B0F0"/>
                <w:lang w:eastAsia="zh-HK"/>
              </w:rPr>
              <w:t>.65</w:t>
            </w:r>
          </w:p>
        </w:tc>
        <w:tc>
          <w:tcPr>
            <w:tcW w:w="1134" w:type="dxa"/>
            <w:tcBorders>
              <w:top w:val="nil"/>
              <w:left w:val="nil"/>
              <w:bottom w:val="nil"/>
              <w:right w:val="nil"/>
            </w:tcBorders>
          </w:tcPr>
          <w:p w14:paraId="5B6B297C" w14:textId="77777777" w:rsidR="002C1E44" w:rsidRPr="00582094" w:rsidRDefault="00582094" w:rsidP="002C1E44">
            <w:pPr>
              <w:spacing w:line="360" w:lineRule="auto"/>
              <w:rPr>
                <w:color w:val="00B0F0"/>
                <w:vertAlign w:val="superscript"/>
                <w:lang w:eastAsia="zh-HK"/>
              </w:rPr>
            </w:pPr>
            <w:r>
              <w:rPr>
                <w:color w:val="00B0F0"/>
                <w:lang w:eastAsia="zh-HK"/>
              </w:rPr>
              <w:t>94.47</w:t>
            </w:r>
            <w:r>
              <w:rPr>
                <w:color w:val="00B0F0"/>
                <w:vertAlign w:val="superscript"/>
                <w:lang w:eastAsia="zh-HK"/>
              </w:rPr>
              <w:t>***</w:t>
            </w:r>
          </w:p>
        </w:tc>
      </w:tr>
      <w:tr w:rsidR="00377920" w:rsidRPr="00383D6C" w14:paraId="08FBD0CB" w14:textId="77777777" w:rsidTr="0076664A">
        <w:tc>
          <w:tcPr>
            <w:tcW w:w="3828" w:type="dxa"/>
            <w:tcBorders>
              <w:top w:val="nil"/>
              <w:left w:val="nil"/>
              <w:bottom w:val="nil"/>
              <w:right w:val="nil"/>
            </w:tcBorders>
            <w:vAlign w:val="center"/>
          </w:tcPr>
          <w:p w14:paraId="2015E66F" w14:textId="77777777" w:rsidR="002C1E44" w:rsidRPr="002C1E44" w:rsidRDefault="002C1E44" w:rsidP="002C1E44">
            <w:pPr>
              <w:spacing w:line="360" w:lineRule="auto"/>
              <w:rPr>
                <w:color w:val="00B0F0"/>
              </w:rPr>
            </w:pPr>
            <w:r>
              <w:rPr>
                <w:color w:val="00B0F0"/>
              </w:rPr>
              <w:t xml:space="preserve">     </w:t>
            </w:r>
            <w:r w:rsidR="00377920">
              <w:rPr>
                <w:color w:val="00B0F0"/>
              </w:rPr>
              <w:t xml:space="preserve">T2 </w:t>
            </w:r>
            <w:r w:rsidRPr="002C1E44">
              <w:rPr>
                <w:color w:val="00B0F0"/>
              </w:rPr>
              <w:t>Social mastery motivation</w:t>
            </w:r>
          </w:p>
        </w:tc>
        <w:tc>
          <w:tcPr>
            <w:tcW w:w="283" w:type="dxa"/>
            <w:tcBorders>
              <w:top w:val="nil"/>
              <w:left w:val="nil"/>
              <w:bottom w:val="nil"/>
              <w:right w:val="nil"/>
            </w:tcBorders>
            <w:vAlign w:val="center"/>
          </w:tcPr>
          <w:p w14:paraId="0335F8DC" w14:textId="77777777" w:rsidR="002C1E44" w:rsidRPr="00383D6C" w:rsidRDefault="002C1E44" w:rsidP="002C1E44">
            <w:pPr>
              <w:spacing w:line="360" w:lineRule="auto"/>
              <w:rPr>
                <w:color w:val="00B0F0"/>
              </w:rPr>
            </w:pPr>
          </w:p>
        </w:tc>
        <w:tc>
          <w:tcPr>
            <w:tcW w:w="992" w:type="dxa"/>
            <w:tcBorders>
              <w:top w:val="nil"/>
              <w:left w:val="nil"/>
              <w:bottom w:val="nil"/>
              <w:right w:val="nil"/>
            </w:tcBorders>
          </w:tcPr>
          <w:p w14:paraId="4898BCCE" w14:textId="77777777" w:rsidR="002C1E44" w:rsidRPr="00974261" w:rsidRDefault="00974261" w:rsidP="002C1E44">
            <w:pPr>
              <w:spacing w:line="360" w:lineRule="auto"/>
              <w:rPr>
                <w:color w:val="00B0F0"/>
                <w:vertAlign w:val="superscript"/>
              </w:rPr>
            </w:pPr>
            <w:r>
              <w:rPr>
                <w:color w:val="00B0F0"/>
              </w:rPr>
              <w:t>.16</w:t>
            </w:r>
            <w:r>
              <w:rPr>
                <w:color w:val="00B0F0"/>
                <w:vertAlign w:val="superscript"/>
              </w:rPr>
              <w:t>*</w:t>
            </w:r>
          </w:p>
        </w:tc>
        <w:tc>
          <w:tcPr>
            <w:tcW w:w="709" w:type="dxa"/>
            <w:tcBorders>
              <w:top w:val="nil"/>
              <w:left w:val="nil"/>
              <w:bottom w:val="nil"/>
              <w:right w:val="nil"/>
            </w:tcBorders>
          </w:tcPr>
          <w:p w14:paraId="268FFD1D" w14:textId="77777777" w:rsidR="002C1E44" w:rsidRPr="00383D6C" w:rsidRDefault="00974261" w:rsidP="002C1E44">
            <w:pPr>
              <w:spacing w:line="360" w:lineRule="auto"/>
              <w:rPr>
                <w:color w:val="00B0F0"/>
              </w:rPr>
            </w:pPr>
            <w:r>
              <w:rPr>
                <w:color w:val="00B0F0"/>
              </w:rPr>
              <w:t>.07</w:t>
            </w:r>
          </w:p>
        </w:tc>
        <w:tc>
          <w:tcPr>
            <w:tcW w:w="1134" w:type="dxa"/>
            <w:tcBorders>
              <w:top w:val="nil"/>
              <w:left w:val="nil"/>
              <w:bottom w:val="nil"/>
              <w:right w:val="nil"/>
            </w:tcBorders>
            <w:vAlign w:val="center"/>
          </w:tcPr>
          <w:p w14:paraId="7CEDF695" w14:textId="77777777" w:rsidR="002C1E44" w:rsidRPr="00383D6C" w:rsidRDefault="002C1E44" w:rsidP="002C1E44">
            <w:pPr>
              <w:spacing w:line="360" w:lineRule="auto"/>
              <w:rPr>
                <w:color w:val="00B0F0"/>
              </w:rPr>
            </w:pPr>
          </w:p>
        </w:tc>
        <w:tc>
          <w:tcPr>
            <w:tcW w:w="851" w:type="dxa"/>
            <w:tcBorders>
              <w:top w:val="nil"/>
              <w:left w:val="nil"/>
              <w:bottom w:val="nil"/>
              <w:right w:val="nil"/>
            </w:tcBorders>
            <w:vAlign w:val="center"/>
          </w:tcPr>
          <w:p w14:paraId="5019A30C" w14:textId="77777777" w:rsidR="002C1E44" w:rsidRPr="00383D6C" w:rsidRDefault="002C1E44" w:rsidP="002C1E44">
            <w:pPr>
              <w:spacing w:line="360" w:lineRule="auto"/>
              <w:rPr>
                <w:color w:val="00B0F0"/>
              </w:rPr>
            </w:pPr>
          </w:p>
        </w:tc>
        <w:tc>
          <w:tcPr>
            <w:tcW w:w="1134" w:type="dxa"/>
            <w:tcBorders>
              <w:top w:val="nil"/>
              <w:left w:val="nil"/>
              <w:bottom w:val="nil"/>
              <w:right w:val="nil"/>
            </w:tcBorders>
          </w:tcPr>
          <w:p w14:paraId="0290D303" w14:textId="77777777" w:rsidR="002C1E44" w:rsidRPr="00383D6C" w:rsidRDefault="002C1E44" w:rsidP="002C1E44">
            <w:pPr>
              <w:spacing w:line="360" w:lineRule="auto"/>
              <w:rPr>
                <w:color w:val="00B0F0"/>
              </w:rPr>
            </w:pPr>
          </w:p>
        </w:tc>
      </w:tr>
      <w:tr w:rsidR="0076664A" w:rsidRPr="00383D6C" w14:paraId="77367C3A" w14:textId="77777777" w:rsidTr="0076664A">
        <w:tc>
          <w:tcPr>
            <w:tcW w:w="3828" w:type="dxa"/>
            <w:tcBorders>
              <w:top w:val="nil"/>
              <w:left w:val="nil"/>
              <w:bottom w:val="single" w:sz="4" w:space="0" w:color="auto"/>
              <w:right w:val="nil"/>
            </w:tcBorders>
            <w:vAlign w:val="center"/>
          </w:tcPr>
          <w:p w14:paraId="3F859FCA" w14:textId="77777777" w:rsidR="00383D6C" w:rsidRPr="00974261" w:rsidRDefault="00974261" w:rsidP="00974261">
            <w:pPr>
              <w:spacing w:line="360" w:lineRule="auto"/>
              <w:rPr>
                <w:color w:val="00B0F0"/>
              </w:rPr>
            </w:pPr>
            <w:r w:rsidRPr="00974261">
              <w:rPr>
                <w:color w:val="00B0F0"/>
              </w:rPr>
              <w:t xml:space="preserve">  </w:t>
            </w:r>
            <w:r>
              <w:rPr>
                <w:color w:val="00B0F0"/>
              </w:rPr>
              <w:t xml:space="preserve">(2) </w:t>
            </w:r>
            <w:r w:rsidR="00377920">
              <w:rPr>
                <w:color w:val="00B0F0"/>
              </w:rPr>
              <w:t xml:space="preserve">T1 </w:t>
            </w:r>
            <w:r w:rsidR="002C1E44" w:rsidRPr="00974261">
              <w:rPr>
                <w:color w:val="00B0F0"/>
              </w:rPr>
              <w:t>Home play opportunity</w:t>
            </w:r>
          </w:p>
        </w:tc>
        <w:tc>
          <w:tcPr>
            <w:tcW w:w="283" w:type="dxa"/>
            <w:tcBorders>
              <w:top w:val="nil"/>
              <w:left w:val="nil"/>
              <w:bottom w:val="single" w:sz="4" w:space="0" w:color="auto"/>
              <w:right w:val="nil"/>
            </w:tcBorders>
            <w:vAlign w:val="center"/>
          </w:tcPr>
          <w:p w14:paraId="044FE105" w14:textId="77777777" w:rsidR="00383D6C" w:rsidRPr="00383D6C" w:rsidRDefault="00383D6C" w:rsidP="00383D6C">
            <w:pPr>
              <w:spacing w:line="360" w:lineRule="auto"/>
              <w:rPr>
                <w:color w:val="00B0F0"/>
              </w:rPr>
            </w:pPr>
          </w:p>
        </w:tc>
        <w:tc>
          <w:tcPr>
            <w:tcW w:w="992" w:type="dxa"/>
            <w:tcBorders>
              <w:top w:val="nil"/>
              <w:left w:val="nil"/>
              <w:bottom w:val="single" w:sz="4" w:space="0" w:color="auto"/>
              <w:right w:val="nil"/>
            </w:tcBorders>
          </w:tcPr>
          <w:p w14:paraId="07781C71" w14:textId="77777777" w:rsidR="00383D6C" w:rsidRPr="00383D6C" w:rsidRDefault="00974261" w:rsidP="00383D6C">
            <w:pPr>
              <w:spacing w:line="360" w:lineRule="auto"/>
              <w:rPr>
                <w:color w:val="00B0F0"/>
              </w:rPr>
            </w:pPr>
            <w:r>
              <w:rPr>
                <w:color w:val="00B0F0"/>
              </w:rPr>
              <w:t>.02</w:t>
            </w:r>
          </w:p>
        </w:tc>
        <w:tc>
          <w:tcPr>
            <w:tcW w:w="709" w:type="dxa"/>
            <w:tcBorders>
              <w:top w:val="nil"/>
              <w:left w:val="nil"/>
              <w:bottom w:val="single" w:sz="4" w:space="0" w:color="auto"/>
              <w:right w:val="nil"/>
            </w:tcBorders>
          </w:tcPr>
          <w:p w14:paraId="25E7C131" w14:textId="77777777" w:rsidR="00383D6C" w:rsidRPr="00383D6C" w:rsidRDefault="00974261" w:rsidP="00383D6C">
            <w:pPr>
              <w:spacing w:line="360" w:lineRule="auto"/>
              <w:rPr>
                <w:color w:val="00B0F0"/>
              </w:rPr>
            </w:pPr>
            <w:r>
              <w:rPr>
                <w:color w:val="00B0F0"/>
              </w:rPr>
              <w:t>.06</w:t>
            </w:r>
          </w:p>
        </w:tc>
        <w:tc>
          <w:tcPr>
            <w:tcW w:w="1134" w:type="dxa"/>
            <w:tcBorders>
              <w:top w:val="nil"/>
              <w:left w:val="nil"/>
              <w:bottom w:val="single" w:sz="4" w:space="0" w:color="auto"/>
              <w:right w:val="nil"/>
            </w:tcBorders>
            <w:vAlign w:val="center"/>
          </w:tcPr>
          <w:p w14:paraId="46EB39BC" w14:textId="77777777" w:rsidR="00383D6C" w:rsidRPr="00383D6C" w:rsidRDefault="00582094" w:rsidP="00383D6C">
            <w:pPr>
              <w:spacing w:line="360" w:lineRule="auto"/>
              <w:rPr>
                <w:color w:val="00B0F0"/>
              </w:rPr>
            </w:pPr>
            <w:r>
              <w:rPr>
                <w:color w:val="00B0F0"/>
              </w:rPr>
              <w:t>.65</w:t>
            </w:r>
          </w:p>
        </w:tc>
        <w:tc>
          <w:tcPr>
            <w:tcW w:w="851" w:type="dxa"/>
            <w:tcBorders>
              <w:top w:val="nil"/>
              <w:left w:val="nil"/>
              <w:bottom w:val="single" w:sz="4" w:space="0" w:color="auto"/>
              <w:right w:val="nil"/>
            </w:tcBorders>
            <w:vAlign w:val="center"/>
          </w:tcPr>
          <w:p w14:paraId="4912BF55" w14:textId="77777777" w:rsidR="00383D6C" w:rsidRPr="00383D6C" w:rsidRDefault="00582094" w:rsidP="00383D6C">
            <w:pPr>
              <w:spacing w:line="360" w:lineRule="auto"/>
              <w:rPr>
                <w:color w:val="00B0F0"/>
              </w:rPr>
            </w:pPr>
            <w:r>
              <w:rPr>
                <w:color w:val="00B0F0"/>
              </w:rPr>
              <w:t>.00</w:t>
            </w:r>
          </w:p>
        </w:tc>
        <w:tc>
          <w:tcPr>
            <w:tcW w:w="1134" w:type="dxa"/>
            <w:tcBorders>
              <w:top w:val="nil"/>
              <w:left w:val="nil"/>
              <w:bottom w:val="single" w:sz="4" w:space="0" w:color="auto"/>
              <w:right w:val="nil"/>
            </w:tcBorders>
          </w:tcPr>
          <w:p w14:paraId="6F42F824" w14:textId="77777777" w:rsidR="00383D6C" w:rsidRPr="00383D6C" w:rsidRDefault="00582094" w:rsidP="00383D6C">
            <w:pPr>
              <w:spacing w:line="360" w:lineRule="auto"/>
              <w:rPr>
                <w:color w:val="00B0F0"/>
              </w:rPr>
            </w:pPr>
            <w:r>
              <w:rPr>
                <w:color w:val="00B0F0"/>
              </w:rPr>
              <w:t>.13</w:t>
            </w:r>
          </w:p>
        </w:tc>
      </w:tr>
      <w:tr w:rsidR="00383D6C" w:rsidRPr="00383D6C" w14:paraId="02FC27E3" w14:textId="77777777" w:rsidTr="00377920">
        <w:tc>
          <w:tcPr>
            <w:tcW w:w="8931" w:type="dxa"/>
            <w:gridSpan w:val="7"/>
            <w:tcBorders>
              <w:top w:val="single" w:sz="4" w:space="0" w:color="auto"/>
              <w:left w:val="nil"/>
              <w:bottom w:val="nil"/>
              <w:right w:val="nil"/>
            </w:tcBorders>
          </w:tcPr>
          <w:p w14:paraId="0048C6B8" w14:textId="77777777" w:rsidR="00ED7B02" w:rsidRPr="00383D6C" w:rsidRDefault="00ED7B02" w:rsidP="003375C1">
            <w:pPr>
              <w:spacing w:line="360" w:lineRule="auto"/>
              <w:rPr>
                <w:color w:val="00B0F0"/>
                <w:vertAlign w:val="superscript"/>
              </w:rPr>
            </w:pPr>
            <w:r w:rsidRPr="00383D6C">
              <w:rPr>
                <w:i/>
                <w:color w:val="00B0F0"/>
                <w:lang w:eastAsia="zh-HK"/>
              </w:rPr>
              <w:t>Note</w:t>
            </w:r>
            <w:r w:rsidRPr="009833D4">
              <w:rPr>
                <w:i/>
                <w:color w:val="00B0F0"/>
                <w:lang w:eastAsia="zh-HK"/>
              </w:rPr>
              <w:t>:</w:t>
            </w:r>
            <w:r w:rsidR="00377920" w:rsidRPr="009833D4">
              <w:rPr>
                <w:color w:val="00B0F0"/>
              </w:rPr>
              <w:t xml:space="preserve"> T1 = time 1; T2 = time 2;</w:t>
            </w:r>
            <w:r w:rsidRPr="009833D4">
              <w:rPr>
                <w:color w:val="00B0F0"/>
                <w:lang w:eastAsia="zh-HK"/>
              </w:rPr>
              <w:t xml:space="preserve"> </w:t>
            </w:r>
            <w:r w:rsidR="00582094" w:rsidRPr="009833D4">
              <w:rPr>
                <w:color w:val="00B0F0"/>
                <w:vertAlign w:val="superscript"/>
              </w:rPr>
              <w:t>*</w:t>
            </w:r>
            <w:r w:rsidR="00582094" w:rsidRPr="009833D4">
              <w:rPr>
                <w:color w:val="00B0F0"/>
              </w:rPr>
              <w:t xml:space="preserve"> </w:t>
            </w:r>
            <w:r w:rsidR="00582094" w:rsidRPr="009833D4">
              <w:rPr>
                <w:i/>
                <w:color w:val="00B0F0"/>
              </w:rPr>
              <w:t>p</w:t>
            </w:r>
            <w:r w:rsidR="00582094" w:rsidRPr="009833D4">
              <w:rPr>
                <w:color w:val="00B0F0"/>
              </w:rPr>
              <w:t xml:space="preserve"> &lt; </w:t>
            </w:r>
            <w:r w:rsidR="00582094" w:rsidRPr="00582094">
              <w:rPr>
                <w:color w:val="00B0F0"/>
              </w:rPr>
              <w:t xml:space="preserve">.05; </w:t>
            </w:r>
            <w:r w:rsidR="00582094" w:rsidRPr="00582094">
              <w:rPr>
                <w:color w:val="00B0F0"/>
                <w:vertAlign w:val="superscript"/>
              </w:rPr>
              <w:t xml:space="preserve">** </w:t>
            </w:r>
            <w:r w:rsidR="00582094" w:rsidRPr="00582094">
              <w:rPr>
                <w:i/>
                <w:color w:val="00B0F0"/>
              </w:rPr>
              <w:t>p</w:t>
            </w:r>
            <w:r w:rsidR="00582094" w:rsidRPr="00582094">
              <w:rPr>
                <w:color w:val="00B0F0"/>
              </w:rPr>
              <w:t xml:space="preserve"> &lt; .01; </w:t>
            </w:r>
            <w:r w:rsidR="00582094" w:rsidRPr="00582094">
              <w:rPr>
                <w:color w:val="00B0F0"/>
                <w:vertAlign w:val="superscript"/>
              </w:rPr>
              <w:t xml:space="preserve">*** </w:t>
            </w:r>
            <w:r w:rsidR="00582094" w:rsidRPr="00582094">
              <w:rPr>
                <w:i/>
                <w:color w:val="00B0F0"/>
              </w:rPr>
              <w:t>p</w:t>
            </w:r>
            <w:r w:rsidR="00582094" w:rsidRPr="00582094">
              <w:rPr>
                <w:color w:val="00B0F0"/>
              </w:rPr>
              <w:t xml:space="preserve"> &lt; .001</w:t>
            </w:r>
          </w:p>
        </w:tc>
      </w:tr>
    </w:tbl>
    <w:p w14:paraId="1E92D4EF" w14:textId="77777777" w:rsidR="00ED7B02" w:rsidRDefault="00ED7B02" w:rsidP="00ED7B02">
      <w:pPr>
        <w:widowControl/>
        <w:spacing w:line="480" w:lineRule="auto"/>
        <w:rPr>
          <w:lang w:eastAsia="zh-HK"/>
        </w:rPr>
      </w:pPr>
      <w:r>
        <w:rPr>
          <w:lang w:eastAsia="zh-HK"/>
        </w:rPr>
        <w:br w:type="page"/>
      </w:r>
    </w:p>
    <w:p w14:paraId="01FF8FC9" w14:textId="77777777" w:rsidR="00AF18C7" w:rsidRPr="00F07407" w:rsidRDefault="00523721" w:rsidP="00AF18C7">
      <w:pPr>
        <w:spacing w:line="480" w:lineRule="auto"/>
        <w:rPr>
          <w:lang w:eastAsia="zh-HK"/>
        </w:rPr>
      </w:pPr>
      <w:r w:rsidRPr="00F07407">
        <w:rPr>
          <w:lang w:eastAsia="zh-HK"/>
        </w:rPr>
        <w:lastRenderedPageBreak/>
        <w:t xml:space="preserve">Figure </w:t>
      </w:r>
      <w:r w:rsidR="00AD6CF4" w:rsidRPr="00F07407">
        <w:rPr>
          <w:lang w:eastAsia="zh-HK"/>
        </w:rPr>
        <w:t>Legend</w:t>
      </w:r>
    </w:p>
    <w:p w14:paraId="443BC3BC" w14:textId="77777777" w:rsidR="00523721" w:rsidRPr="00F07407" w:rsidRDefault="00AD6CF4" w:rsidP="00AD6CF4">
      <w:pPr>
        <w:spacing w:line="480" w:lineRule="auto"/>
        <w:rPr>
          <w:lang w:eastAsia="zh-HK"/>
        </w:rPr>
      </w:pPr>
      <w:r w:rsidRPr="00F07407">
        <w:rPr>
          <w:b/>
          <w:lang w:eastAsia="zh-HK"/>
        </w:rPr>
        <w:t>Figure 1.</w:t>
      </w:r>
      <w:r w:rsidRPr="00F07407">
        <w:rPr>
          <w:lang w:eastAsia="zh-HK"/>
        </w:rPr>
        <w:t xml:space="preserve"> Path model for predicting children’s </w:t>
      </w:r>
      <w:r w:rsidR="003F46F4" w:rsidRPr="00F07407">
        <w:rPr>
          <w:lang w:eastAsia="zh-HK"/>
        </w:rPr>
        <w:t>school readiness</w:t>
      </w:r>
      <w:r w:rsidRPr="00F07407">
        <w:rPr>
          <w:lang w:eastAsia="zh-HK"/>
        </w:rPr>
        <w:t xml:space="preserve"> from </w:t>
      </w:r>
      <w:r w:rsidR="003F46F4" w:rsidRPr="00F07407">
        <w:rPr>
          <w:lang w:eastAsia="zh-HK"/>
        </w:rPr>
        <w:t xml:space="preserve">home play opportunity, object mastery motivation, and </w:t>
      </w:r>
      <w:r w:rsidRPr="00F07407">
        <w:rPr>
          <w:lang w:eastAsia="zh-HK"/>
        </w:rPr>
        <w:t>social mastery motivation controlling for parental education, and child’s age</w:t>
      </w:r>
      <w:r w:rsidR="003F46F4" w:rsidRPr="00F07407">
        <w:rPr>
          <w:lang w:eastAsia="zh-HK"/>
        </w:rPr>
        <w:t xml:space="preserve"> and</w:t>
      </w:r>
      <w:r w:rsidRPr="00F07407">
        <w:rPr>
          <w:lang w:eastAsia="zh-HK"/>
        </w:rPr>
        <w:t xml:space="preserve"> gender. Standardized coefficients are reported. </w:t>
      </w:r>
      <w:r w:rsidR="000E7BAC" w:rsidRPr="00F07407">
        <w:rPr>
          <w:lang w:eastAsia="zh-HK"/>
        </w:rPr>
        <w:t xml:space="preserve">Solid paths are statistically significant. Dashed paths are non-significant. </w:t>
      </w:r>
      <w:r w:rsidRPr="00F07407">
        <w:rPr>
          <w:vertAlign w:val="superscript"/>
        </w:rPr>
        <w:t>*</w:t>
      </w:r>
      <w:r w:rsidRPr="00F07407">
        <w:t xml:space="preserve"> </w:t>
      </w:r>
      <w:r w:rsidRPr="00F07407">
        <w:rPr>
          <w:i/>
        </w:rPr>
        <w:t>p</w:t>
      </w:r>
      <w:r w:rsidRPr="00F07407">
        <w:t xml:space="preserve"> &lt; .05; </w:t>
      </w:r>
      <w:r w:rsidRPr="00F07407">
        <w:rPr>
          <w:vertAlign w:val="superscript"/>
        </w:rPr>
        <w:t xml:space="preserve">** </w:t>
      </w:r>
      <w:r w:rsidRPr="00F07407">
        <w:rPr>
          <w:i/>
        </w:rPr>
        <w:t>p</w:t>
      </w:r>
      <w:r w:rsidRPr="00F07407">
        <w:t xml:space="preserve"> &lt; .01; </w:t>
      </w:r>
      <w:r w:rsidRPr="00F07407">
        <w:rPr>
          <w:vertAlign w:val="superscript"/>
        </w:rPr>
        <w:t xml:space="preserve">*** </w:t>
      </w:r>
      <w:r w:rsidRPr="00F07407">
        <w:rPr>
          <w:i/>
        </w:rPr>
        <w:t>p</w:t>
      </w:r>
      <w:r w:rsidRPr="00F07407">
        <w:t xml:space="preserve"> &lt; .001</w:t>
      </w:r>
      <w:r w:rsidR="003F46F4" w:rsidRPr="00F07407">
        <w:t>;</w:t>
      </w:r>
      <w:r w:rsidRPr="00F07407">
        <w:t xml:space="preserve"> </w:t>
      </w:r>
      <w:r w:rsidR="003F46F4" w:rsidRPr="00F07407">
        <w:t xml:space="preserve">T1 = time 1; T2 = time 2. </w:t>
      </w:r>
      <w:r w:rsidRPr="00F07407">
        <w:t>Fit indices</w:t>
      </w:r>
      <w:r w:rsidRPr="00F07407">
        <w:rPr>
          <w:lang w:eastAsia="zh-HK"/>
        </w:rPr>
        <w:t xml:space="preserve"> </w:t>
      </w:r>
      <w:r w:rsidRPr="00F07407">
        <w:rPr>
          <w:i/>
          <w:iCs/>
          <w:lang w:eastAsia="zh-HK"/>
        </w:rPr>
        <w:t>χ</w:t>
      </w:r>
      <w:r w:rsidRPr="00F07407">
        <w:rPr>
          <w:i/>
          <w:iCs/>
          <w:vertAlign w:val="superscript"/>
          <w:lang w:eastAsia="zh-HK"/>
        </w:rPr>
        <w:t xml:space="preserve">2 </w:t>
      </w:r>
      <w:r w:rsidRPr="00F07407">
        <w:rPr>
          <w:lang w:eastAsia="zh-HK"/>
        </w:rPr>
        <w:t>(</w:t>
      </w:r>
      <w:r w:rsidR="000E7BAC" w:rsidRPr="00F07407">
        <w:rPr>
          <w:i/>
          <w:iCs/>
          <w:lang w:eastAsia="zh-HK"/>
        </w:rPr>
        <w:t>df</w:t>
      </w:r>
      <w:r w:rsidR="000E7BAC" w:rsidRPr="00F07407">
        <w:rPr>
          <w:lang w:eastAsia="zh-HK"/>
        </w:rPr>
        <w:t xml:space="preserve"> = 8</w:t>
      </w:r>
      <w:r w:rsidRPr="00F07407">
        <w:rPr>
          <w:lang w:eastAsia="zh-HK"/>
        </w:rPr>
        <w:t xml:space="preserve">, </w:t>
      </w:r>
      <w:r w:rsidRPr="00F07407">
        <w:rPr>
          <w:i/>
          <w:iCs/>
          <w:lang w:eastAsia="zh-HK"/>
        </w:rPr>
        <w:t>N</w:t>
      </w:r>
      <w:r w:rsidRPr="00F07407">
        <w:rPr>
          <w:lang w:eastAsia="zh-HK"/>
        </w:rPr>
        <w:t xml:space="preserve"> = </w:t>
      </w:r>
      <w:r w:rsidR="000E7BAC" w:rsidRPr="00F07407">
        <w:rPr>
          <w:lang w:eastAsia="zh-HK"/>
        </w:rPr>
        <w:t>106</w:t>
      </w:r>
      <w:r w:rsidRPr="00F07407">
        <w:rPr>
          <w:lang w:eastAsia="zh-HK"/>
        </w:rPr>
        <w:t xml:space="preserve">) = </w:t>
      </w:r>
      <w:r w:rsidR="000E7BAC" w:rsidRPr="00F07407">
        <w:rPr>
          <w:lang w:eastAsia="zh-HK"/>
        </w:rPr>
        <w:t>9.09</w:t>
      </w:r>
      <w:r w:rsidRPr="00F07407">
        <w:rPr>
          <w:lang w:eastAsia="zh-HK"/>
        </w:rPr>
        <w:t xml:space="preserve">, </w:t>
      </w:r>
      <w:r w:rsidRPr="00F07407">
        <w:rPr>
          <w:i/>
          <w:iCs/>
          <w:lang w:eastAsia="zh-HK"/>
        </w:rPr>
        <w:t xml:space="preserve">p </w:t>
      </w:r>
      <w:r w:rsidRPr="00F07407">
        <w:rPr>
          <w:lang w:eastAsia="zh-HK"/>
        </w:rPr>
        <w:t>= .</w:t>
      </w:r>
      <w:r w:rsidR="000E7BAC" w:rsidRPr="00F07407">
        <w:rPr>
          <w:lang w:eastAsia="zh-HK"/>
        </w:rPr>
        <w:t>34</w:t>
      </w:r>
      <w:r w:rsidRPr="00F07407">
        <w:rPr>
          <w:lang w:eastAsia="zh-HK"/>
        </w:rPr>
        <w:t>, CFI = .9</w:t>
      </w:r>
      <w:r w:rsidR="000E7BAC" w:rsidRPr="00F07407">
        <w:rPr>
          <w:lang w:eastAsia="zh-HK"/>
        </w:rPr>
        <w:t>9</w:t>
      </w:r>
      <w:r w:rsidRPr="00F07407">
        <w:rPr>
          <w:lang w:eastAsia="zh-HK"/>
        </w:rPr>
        <w:t xml:space="preserve">, </w:t>
      </w:r>
      <w:r w:rsidR="000E7BAC" w:rsidRPr="00F07407">
        <w:rPr>
          <w:lang w:eastAsia="zh-HK"/>
        </w:rPr>
        <w:t xml:space="preserve">TLI = .99, </w:t>
      </w:r>
      <w:r w:rsidRPr="00F07407">
        <w:rPr>
          <w:lang w:eastAsia="zh-HK"/>
        </w:rPr>
        <w:t>RMSEA = .0</w:t>
      </w:r>
      <w:r w:rsidR="000E7BAC" w:rsidRPr="00F07407">
        <w:rPr>
          <w:lang w:eastAsia="zh-HK"/>
        </w:rPr>
        <w:t>4</w:t>
      </w:r>
      <w:r w:rsidRPr="00F07407">
        <w:rPr>
          <w:lang w:eastAsia="zh-HK"/>
        </w:rPr>
        <w:t xml:space="preserve"> (90% CI: .00, .1</w:t>
      </w:r>
      <w:r w:rsidR="000E7BAC" w:rsidRPr="00F07407">
        <w:rPr>
          <w:lang w:eastAsia="zh-HK"/>
        </w:rPr>
        <w:t>2</w:t>
      </w:r>
      <w:r w:rsidRPr="00F07407">
        <w:rPr>
          <w:lang w:eastAsia="zh-HK"/>
        </w:rPr>
        <w:t>), SRMR = .0</w:t>
      </w:r>
      <w:r w:rsidR="000E7BAC" w:rsidRPr="00F07407">
        <w:rPr>
          <w:lang w:eastAsia="zh-HK"/>
        </w:rPr>
        <w:t>6</w:t>
      </w:r>
      <w:r w:rsidRPr="00F07407">
        <w:rPr>
          <w:lang w:eastAsia="zh-HK"/>
        </w:rPr>
        <w:t xml:space="preserve">, </w:t>
      </w:r>
      <w:r w:rsidR="000E7BAC" w:rsidRPr="00F07407">
        <w:rPr>
          <w:i/>
          <w:iCs/>
          <w:lang w:eastAsia="zh-HK"/>
        </w:rPr>
        <w:t>R</w:t>
      </w:r>
      <w:r w:rsidR="000E7BAC" w:rsidRPr="00F07407">
        <w:rPr>
          <w:i/>
          <w:iCs/>
          <w:vertAlign w:val="superscript"/>
          <w:lang w:eastAsia="zh-HK"/>
        </w:rPr>
        <w:t>2</w:t>
      </w:r>
      <w:r w:rsidR="000E7BAC" w:rsidRPr="00F07407">
        <w:rPr>
          <w:i/>
          <w:iCs/>
          <w:lang w:eastAsia="zh-HK"/>
        </w:rPr>
        <w:t xml:space="preserve"> </w:t>
      </w:r>
      <w:r w:rsidR="000E7BAC" w:rsidRPr="00F07407">
        <w:rPr>
          <w:i/>
          <w:iCs/>
          <w:vertAlign w:val="subscript"/>
          <w:lang w:eastAsia="zh-HK"/>
        </w:rPr>
        <w:t>T2 Object mastery motivation</w:t>
      </w:r>
      <w:r w:rsidR="000E7BAC" w:rsidRPr="00F07407">
        <w:rPr>
          <w:lang w:eastAsia="zh-HK"/>
        </w:rPr>
        <w:t xml:space="preserve"> = .06, </w:t>
      </w:r>
      <w:r w:rsidRPr="00F07407">
        <w:rPr>
          <w:i/>
          <w:iCs/>
          <w:lang w:eastAsia="zh-HK"/>
        </w:rPr>
        <w:t>R</w:t>
      </w:r>
      <w:r w:rsidRPr="00F07407">
        <w:rPr>
          <w:i/>
          <w:iCs/>
          <w:vertAlign w:val="superscript"/>
          <w:lang w:eastAsia="zh-HK"/>
        </w:rPr>
        <w:t>2</w:t>
      </w:r>
      <w:r w:rsidR="001D09EA" w:rsidRPr="00F07407">
        <w:rPr>
          <w:i/>
          <w:iCs/>
          <w:lang w:eastAsia="zh-HK"/>
        </w:rPr>
        <w:t xml:space="preserve"> </w:t>
      </w:r>
      <w:r w:rsidR="000E7BAC" w:rsidRPr="00F07407">
        <w:rPr>
          <w:i/>
          <w:iCs/>
          <w:vertAlign w:val="subscript"/>
          <w:lang w:eastAsia="zh-HK"/>
        </w:rPr>
        <w:t xml:space="preserve">T2 </w:t>
      </w:r>
      <w:r w:rsidR="001D09EA" w:rsidRPr="00F07407">
        <w:rPr>
          <w:i/>
          <w:iCs/>
          <w:vertAlign w:val="subscript"/>
          <w:lang w:eastAsia="zh-HK"/>
        </w:rPr>
        <w:t>Social mastery motivation</w:t>
      </w:r>
      <w:r w:rsidRPr="00F07407">
        <w:rPr>
          <w:lang w:eastAsia="zh-HK"/>
        </w:rPr>
        <w:t xml:space="preserve"> = .</w:t>
      </w:r>
      <w:r w:rsidR="000E7BAC" w:rsidRPr="00F07407">
        <w:rPr>
          <w:lang w:eastAsia="zh-HK"/>
        </w:rPr>
        <w:t>03</w:t>
      </w:r>
      <w:r w:rsidRPr="00F07407">
        <w:rPr>
          <w:lang w:eastAsia="zh-HK"/>
        </w:rPr>
        <w:t xml:space="preserve">, </w:t>
      </w:r>
      <w:r w:rsidRPr="00F07407">
        <w:rPr>
          <w:i/>
          <w:iCs/>
          <w:lang w:eastAsia="zh-HK"/>
        </w:rPr>
        <w:t>R</w:t>
      </w:r>
      <w:r w:rsidRPr="00F07407">
        <w:rPr>
          <w:i/>
          <w:iCs/>
          <w:vertAlign w:val="superscript"/>
          <w:lang w:eastAsia="zh-HK"/>
        </w:rPr>
        <w:t>2</w:t>
      </w:r>
      <w:r w:rsidRPr="00F07407">
        <w:rPr>
          <w:i/>
          <w:iCs/>
          <w:lang w:eastAsia="zh-HK"/>
        </w:rPr>
        <w:t xml:space="preserve"> </w:t>
      </w:r>
      <w:r w:rsidR="000E7BAC" w:rsidRPr="00F07407">
        <w:rPr>
          <w:i/>
          <w:iCs/>
          <w:vertAlign w:val="subscript"/>
          <w:lang w:eastAsia="zh-HK"/>
        </w:rPr>
        <w:t>T2 School readiness</w:t>
      </w:r>
      <w:r w:rsidRPr="00F07407">
        <w:rPr>
          <w:lang w:eastAsia="zh-HK"/>
        </w:rPr>
        <w:t xml:space="preserve"> = .</w:t>
      </w:r>
      <w:r w:rsidR="001D09EA" w:rsidRPr="00F07407">
        <w:rPr>
          <w:lang w:eastAsia="zh-HK"/>
        </w:rPr>
        <w:t>6</w:t>
      </w:r>
      <w:r w:rsidR="000E7BAC" w:rsidRPr="00F07407">
        <w:rPr>
          <w:lang w:eastAsia="zh-HK"/>
        </w:rPr>
        <w:t>4</w:t>
      </w:r>
      <w:r w:rsidRPr="00F07407">
        <w:rPr>
          <w:lang w:eastAsia="zh-HK"/>
        </w:rPr>
        <w:t xml:space="preserve">. </w:t>
      </w:r>
    </w:p>
    <w:p w14:paraId="43D0DDDA" w14:textId="77777777" w:rsidR="005F3D36" w:rsidRPr="00BC453D" w:rsidRDefault="005F3D36" w:rsidP="00AD6CF4">
      <w:pPr>
        <w:spacing w:line="480" w:lineRule="auto"/>
        <w:rPr>
          <w:lang w:eastAsia="zh-HK"/>
        </w:rPr>
      </w:pPr>
    </w:p>
    <w:p w14:paraId="3EDBBF20" w14:textId="77777777" w:rsidR="005F3D36" w:rsidRPr="00BC453D" w:rsidRDefault="005F3D36" w:rsidP="00AD6CF4">
      <w:pPr>
        <w:spacing w:line="480" w:lineRule="auto"/>
        <w:rPr>
          <w:lang w:eastAsia="zh-HK"/>
        </w:rPr>
      </w:pPr>
    </w:p>
    <w:p w14:paraId="0F3FFAAE" w14:textId="77777777" w:rsidR="005F3D36" w:rsidRPr="00BC453D" w:rsidRDefault="005F3D36" w:rsidP="00AD6CF4">
      <w:pPr>
        <w:spacing w:line="480" w:lineRule="auto"/>
        <w:rPr>
          <w:lang w:eastAsia="zh-HK"/>
        </w:rPr>
      </w:pPr>
    </w:p>
    <w:p w14:paraId="2480A6B3" w14:textId="77777777" w:rsidR="005F3D36" w:rsidRPr="00BC453D" w:rsidRDefault="005F3D36" w:rsidP="00AD6CF4">
      <w:pPr>
        <w:spacing w:line="480" w:lineRule="auto"/>
        <w:rPr>
          <w:lang w:eastAsia="zh-HK"/>
        </w:rPr>
      </w:pPr>
    </w:p>
    <w:p w14:paraId="7687F16C" w14:textId="77777777" w:rsidR="005F3D36" w:rsidRPr="00BC453D" w:rsidRDefault="005F3D36" w:rsidP="00AD6CF4">
      <w:pPr>
        <w:spacing w:line="480" w:lineRule="auto"/>
        <w:rPr>
          <w:lang w:eastAsia="zh-HK"/>
        </w:rPr>
      </w:pPr>
    </w:p>
    <w:p w14:paraId="5845B89D" w14:textId="77777777" w:rsidR="005F3D36" w:rsidRPr="00BC453D" w:rsidRDefault="005F3D36" w:rsidP="00AD6CF4">
      <w:pPr>
        <w:spacing w:line="480" w:lineRule="auto"/>
        <w:rPr>
          <w:lang w:eastAsia="zh-HK"/>
        </w:rPr>
      </w:pPr>
    </w:p>
    <w:p w14:paraId="05C84CF5" w14:textId="77777777" w:rsidR="005F3D36" w:rsidRPr="00BC453D" w:rsidRDefault="005F3D36" w:rsidP="00AD6CF4">
      <w:pPr>
        <w:spacing w:line="480" w:lineRule="auto"/>
        <w:rPr>
          <w:lang w:eastAsia="zh-HK"/>
        </w:rPr>
      </w:pPr>
    </w:p>
    <w:p w14:paraId="703D1863" w14:textId="77777777" w:rsidR="005F3D36" w:rsidRPr="00BC453D" w:rsidRDefault="005F3D36" w:rsidP="00AD6CF4">
      <w:pPr>
        <w:spacing w:line="480" w:lineRule="auto"/>
        <w:rPr>
          <w:lang w:eastAsia="zh-HK"/>
        </w:rPr>
      </w:pPr>
    </w:p>
    <w:p w14:paraId="72DD6F72" w14:textId="77777777" w:rsidR="005F3D36" w:rsidRPr="00BC453D" w:rsidRDefault="005F3D36" w:rsidP="00AD6CF4">
      <w:pPr>
        <w:spacing w:line="480" w:lineRule="auto"/>
        <w:rPr>
          <w:lang w:eastAsia="zh-HK"/>
        </w:rPr>
      </w:pPr>
    </w:p>
    <w:p w14:paraId="34094E64" w14:textId="77777777" w:rsidR="005F3D36" w:rsidRPr="00BC453D" w:rsidRDefault="005F3D36" w:rsidP="00AD6CF4">
      <w:pPr>
        <w:spacing w:line="480" w:lineRule="auto"/>
        <w:rPr>
          <w:lang w:eastAsia="zh-HK"/>
        </w:rPr>
      </w:pPr>
    </w:p>
    <w:p w14:paraId="64113468" w14:textId="77777777" w:rsidR="00B07E2E" w:rsidRPr="00BC453D" w:rsidRDefault="00B07E2E" w:rsidP="00AD6CF4">
      <w:pPr>
        <w:spacing w:line="480" w:lineRule="auto"/>
        <w:rPr>
          <w:b/>
          <w:bCs/>
          <w:lang w:eastAsia="zh-HK"/>
        </w:rPr>
      </w:pPr>
    </w:p>
    <w:p w14:paraId="03147112" w14:textId="77777777" w:rsidR="005F3D36" w:rsidRPr="00BC453D" w:rsidRDefault="005F3D36" w:rsidP="00AD6CF4">
      <w:pPr>
        <w:spacing w:line="480" w:lineRule="auto"/>
        <w:rPr>
          <w:b/>
          <w:bCs/>
          <w:lang w:eastAsia="zh-HK"/>
        </w:rPr>
      </w:pPr>
      <w:r w:rsidRPr="00BC453D">
        <w:rPr>
          <w:b/>
          <w:bCs/>
          <w:lang w:eastAsia="zh-HK"/>
        </w:rPr>
        <w:lastRenderedPageBreak/>
        <w:t>Figure 1.</w:t>
      </w:r>
    </w:p>
    <w:p w14:paraId="4242799C" w14:textId="77777777" w:rsidR="005F3D36" w:rsidRPr="002145D5" w:rsidRDefault="0027123D" w:rsidP="005F3D36">
      <w:pPr>
        <w:spacing w:line="480" w:lineRule="auto"/>
        <w:jc w:val="center"/>
        <w:rPr>
          <w:lang w:eastAsia="zh-HK"/>
        </w:rPr>
      </w:pPr>
      <w:r>
        <w:rPr>
          <w:noProof/>
          <w:lang w:eastAsia="en-US"/>
        </w:rPr>
        <w:drawing>
          <wp:inline distT="0" distB="0" distL="0" distR="0" wp14:anchorId="371B4C66" wp14:editId="2D4EA4D2">
            <wp:extent cx="5731510" cy="24187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0B4026C0" w14:textId="77777777" w:rsidR="00A70668" w:rsidRPr="005F7FDA" w:rsidRDefault="00A70668" w:rsidP="00AF18C7">
      <w:pPr>
        <w:spacing w:line="480" w:lineRule="auto"/>
        <w:rPr>
          <w:lang w:eastAsia="zh-HK"/>
        </w:rPr>
      </w:pPr>
    </w:p>
    <w:sectPr w:rsidR="00A70668" w:rsidRPr="005F7FDA" w:rsidSect="00EA1E96">
      <w:pgSz w:w="11906" w:h="16838" w:code="9"/>
      <w:pgMar w:top="1440" w:right="1440" w:bottom="1440"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8415" w14:textId="77777777" w:rsidR="003A56DA" w:rsidRDefault="003A56DA"/>
  </w:endnote>
  <w:endnote w:type="continuationSeparator" w:id="0">
    <w:p w14:paraId="1BA00E44" w14:textId="77777777" w:rsidR="003A56DA" w:rsidRDefault="003A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TT182ff89e+22">
    <w:altName w:val="Microsoft YaHei"/>
    <w:panose1 w:val="00000000000000000000"/>
    <w:charset w:val="86"/>
    <w:family w:val="auto"/>
    <w:notTrueType/>
    <w:pitch w:val="default"/>
    <w:sig w:usb0="00000001" w:usb1="080E0000" w:usb2="00000010" w:usb3="00000000" w:csb0="00040000" w:csb1="00000000"/>
  </w:font>
  <w:font w:name="AdvTT73b978ed.I+03">
    <w:altName w:val="Microsoft YaHei"/>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E597" w14:textId="77777777" w:rsidR="003A56DA" w:rsidRDefault="003A56DA">
      <w:pPr>
        <w:spacing w:line="360" w:lineRule="auto"/>
      </w:pPr>
      <w:r>
        <w:rPr>
          <w:noProof/>
          <w:lang w:eastAsia="en-US"/>
        </w:rPr>
        <w:drawing>
          <wp:inline distT="0" distB="0" distL="0" distR="0" wp14:anchorId="135AAB9F" wp14:editId="1876BD78">
            <wp:extent cx="2792095" cy="395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3959225"/>
                    </a:xfrm>
                    <a:prstGeom prst="rect">
                      <a:avLst/>
                    </a:prstGeom>
                    <a:noFill/>
                    <a:ln>
                      <a:noFill/>
                    </a:ln>
                  </pic:spPr>
                </pic:pic>
              </a:graphicData>
            </a:graphic>
          </wp:inline>
        </w:drawing>
      </w:r>
    </w:p>
  </w:footnote>
  <w:footnote w:type="continuationSeparator" w:id="0">
    <w:p w14:paraId="657F55DF" w14:textId="77777777" w:rsidR="003A56DA" w:rsidRDefault="003A56DA"/>
  </w:footnote>
  <w:footnote w:type="continuationNotice" w:id="1">
    <w:p w14:paraId="7AF95DE2" w14:textId="77777777" w:rsidR="003A56DA" w:rsidRDefault="003A5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F8EF" w14:textId="77777777" w:rsidR="00487E0F" w:rsidRDefault="00F44B55">
    <w:pPr>
      <w:pStyle w:val="Header"/>
      <w:framePr w:wrap="around" w:vAnchor="text" w:hAnchor="margin" w:xAlign="right" w:y="1"/>
      <w:rPr>
        <w:rStyle w:val="PageNumber"/>
      </w:rPr>
    </w:pPr>
    <w:r>
      <w:rPr>
        <w:rStyle w:val="PageNumber"/>
      </w:rPr>
      <w:fldChar w:fldCharType="begin"/>
    </w:r>
    <w:r w:rsidR="00487E0F">
      <w:rPr>
        <w:rStyle w:val="PageNumber"/>
      </w:rPr>
      <w:instrText xml:space="preserve">PAGE  </w:instrText>
    </w:r>
    <w:r>
      <w:rPr>
        <w:rStyle w:val="PageNumber"/>
      </w:rPr>
      <w:fldChar w:fldCharType="end"/>
    </w:r>
  </w:p>
  <w:p w14:paraId="09C59B8E" w14:textId="77777777" w:rsidR="00487E0F" w:rsidRDefault="00487E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FB6D" w14:textId="77777777" w:rsidR="00487E0F" w:rsidRDefault="00F44B55">
    <w:pPr>
      <w:pStyle w:val="Header"/>
      <w:framePr w:wrap="around" w:vAnchor="text" w:hAnchor="margin" w:xAlign="right" w:y="1"/>
      <w:rPr>
        <w:rStyle w:val="PageNumber"/>
      </w:rPr>
    </w:pPr>
    <w:r>
      <w:rPr>
        <w:rStyle w:val="PageNumber"/>
      </w:rPr>
      <w:fldChar w:fldCharType="begin"/>
    </w:r>
    <w:r w:rsidR="00487E0F">
      <w:rPr>
        <w:rStyle w:val="PageNumber"/>
      </w:rPr>
      <w:instrText xml:space="preserve">PAGE  </w:instrText>
    </w:r>
    <w:r>
      <w:rPr>
        <w:rStyle w:val="PageNumber"/>
      </w:rPr>
      <w:fldChar w:fldCharType="separate"/>
    </w:r>
    <w:r w:rsidR="0080175B">
      <w:rPr>
        <w:rStyle w:val="PageNumber"/>
        <w:noProof/>
      </w:rPr>
      <w:t>22</w:t>
    </w:r>
    <w:r>
      <w:rPr>
        <w:rStyle w:val="PageNumber"/>
      </w:rPr>
      <w:fldChar w:fldCharType="end"/>
    </w:r>
  </w:p>
  <w:p w14:paraId="37A14F27" w14:textId="77777777" w:rsidR="00487E0F" w:rsidRDefault="00487E0F">
    <w:pPr>
      <w:pStyle w:val="Header"/>
      <w:wordWrap w:val="0"/>
      <w:ind w:right="360"/>
      <w:jc w:val="right"/>
      <w:rPr>
        <w:lang w:eastAsia="zh-HK"/>
      </w:rPr>
    </w:pPr>
    <w:r>
      <w:rPr>
        <w:lang w:eastAsia="zh-HK"/>
      </w:rPr>
      <w:t>MASTERY MOTIVATION</w:t>
    </w:r>
    <w:r w:rsidR="00192A16">
      <w:rPr>
        <w:lang w:eastAsia="zh-HK"/>
      </w:rPr>
      <w:t xml:space="preserve"> AND SCHOOL READINESS</w:t>
    </w:r>
  </w:p>
  <w:p w14:paraId="42665ABE" w14:textId="77777777" w:rsidR="00487E0F" w:rsidRPr="00811E64" w:rsidRDefault="00487E0F" w:rsidP="00811E64">
    <w:pPr>
      <w:pStyle w:val="Header"/>
      <w:wordWrap w:val="0"/>
      <w:ind w:right="760"/>
      <w:jc w:val="center"/>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31D"/>
    <w:multiLevelType w:val="hybridMultilevel"/>
    <w:tmpl w:val="EB9ED3A2"/>
    <w:lvl w:ilvl="0" w:tplc="1EEEEF60">
      <w:start w:val="1"/>
      <w:numFmt w:val="decimal"/>
      <w:lvlText w:val="(%1)"/>
      <w:lvlJc w:val="left"/>
      <w:pPr>
        <w:ind w:left="600" w:hanging="360"/>
      </w:pPr>
      <w:rPr>
        <w:rFonts w:hint="default"/>
      </w:rPr>
    </w:lvl>
    <w:lvl w:ilvl="1" w:tplc="3C090019" w:tentative="1">
      <w:start w:val="1"/>
      <w:numFmt w:val="lowerLetter"/>
      <w:lvlText w:val="%2."/>
      <w:lvlJc w:val="left"/>
      <w:pPr>
        <w:ind w:left="1320" w:hanging="360"/>
      </w:pPr>
    </w:lvl>
    <w:lvl w:ilvl="2" w:tplc="3C09001B" w:tentative="1">
      <w:start w:val="1"/>
      <w:numFmt w:val="lowerRoman"/>
      <w:lvlText w:val="%3."/>
      <w:lvlJc w:val="right"/>
      <w:pPr>
        <w:ind w:left="2040" w:hanging="180"/>
      </w:pPr>
    </w:lvl>
    <w:lvl w:ilvl="3" w:tplc="3C09000F" w:tentative="1">
      <w:start w:val="1"/>
      <w:numFmt w:val="decimal"/>
      <w:lvlText w:val="%4."/>
      <w:lvlJc w:val="left"/>
      <w:pPr>
        <w:ind w:left="2760" w:hanging="360"/>
      </w:pPr>
    </w:lvl>
    <w:lvl w:ilvl="4" w:tplc="3C090019" w:tentative="1">
      <w:start w:val="1"/>
      <w:numFmt w:val="lowerLetter"/>
      <w:lvlText w:val="%5."/>
      <w:lvlJc w:val="left"/>
      <w:pPr>
        <w:ind w:left="3480" w:hanging="360"/>
      </w:pPr>
    </w:lvl>
    <w:lvl w:ilvl="5" w:tplc="3C09001B" w:tentative="1">
      <w:start w:val="1"/>
      <w:numFmt w:val="lowerRoman"/>
      <w:lvlText w:val="%6."/>
      <w:lvlJc w:val="right"/>
      <w:pPr>
        <w:ind w:left="4200" w:hanging="180"/>
      </w:pPr>
    </w:lvl>
    <w:lvl w:ilvl="6" w:tplc="3C09000F" w:tentative="1">
      <w:start w:val="1"/>
      <w:numFmt w:val="decimal"/>
      <w:lvlText w:val="%7."/>
      <w:lvlJc w:val="left"/>
      <w:pPr>
        <w:ind w:left="4920" w:hanging="360"/>
      </w:pPr>
    </w:lvl>
    <w:lvl w:ilvl="7" w:tplc="3C090019" w:tentative="1">
      <w:start w:val="1"/>
      <w:numFmt w:val="lowerLetter"/>
      <w:lvlText w:val="%8."/>
      <w:lvlJc w:val="left"/>
      <w:pPr>
        <w:ind w:left="5640" w:hanging="360"/>
      </w:pPr>
    </w:lvl>
    <w:lvl w:ilvl="8" w:tplc="3C09001B" w:tentative="1">
      <w:start w:val="1"/>
      <w:numFmt w:val="lowerRoman"/>
      <w:lvlText w:val="%9."/>
      <w:lvlJc w:val="right"/>
      <w:pPr>
        <w:ind w:left="6360" w:hanging="180"/>
      </w:pPr>
    </w:lvl>
  </w:abstractNum>
  <w:abstractNum w:abstractNumId="1" w15:restartNumberingAfterBreak="0">
    <w:nsid w:val="02260CC0"/>
    <w:multiLevelType w:val="hybridMultilevel"/>
    <w:tmpl w:val="9B80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4CE1"/>
    <w:multiLevelType w:val="hybridMultilevel"/>
    <w:tmpl w:val="E81E83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F94D5B"/>
    <w:multiLevelType w:val="hybridMultilevel"/>
    <w:tmpl w:val="2EB43354"/>
    <w:lvl w:ilvl="0" w:tplc="3C090001">
      <w:start w:val="1"/>
      <w:numFmt w:val="bullet"/>
      <w:lvlText w:val=""/>
      <w:lvlJc w:val="left"/>
      <w:pPr>
        <w:ind w:left="1287" w:hanging="360"/>
      </w:pPr>
      <w:rPr>
        <w:rFonts w:ascii="Symbol" w:hAnsi="Symbol" w:hint="default"/>
      </w:rPr>
    </w:lvl>
    <w:lvl w:ilvl="1" w:tplc="3C090003" w:tentative="1">
      <w:start w:val="1"/>
      <w:numFmt w:val="bullet"/>
      <w:lvlText w:val="o"/>
      <w:lvlJc w:val="left"/>
      <w:pPr>
        <w:ind w:left="2007" w:hanging="360"/>
      </w:pPr>
      <w:rPr>
        <w:rFonts w:ascii="Courier New" w:hAnsi="Courier New" w:cs="Courier New" w:hint="default"/>
      </w:rPr>
    </w:lvl>
    <w:lvl w:ilvl="2" w:tplc="3C090005" w:tentative="1">
      <w:start w:val="1"/>
      <w:numFmt w:val="bullet"/>
      <w:lvlText w:val=""/>
      <w:lvlJc w:val="left"/>
      <w:pPr>
        <w:ind w:left="2727" w:hanging="360"/>
      </w:pPr>
      <w:rPr>
        <w:rFonts w:ascii="Wingdings" w:hAnsi="Wingdings" w:hint="default"/>
      </w:rPr>
    </w:lvl>
    <w:lvl w:ilvl="3" w:tplc="3C090001" w:tentative="1">
      <w:start w:val="1"/>
      <w:numFmt w:val="bullet"/>
      <w:lvlText w:val=""/>
      <w:lvlJc w:val="left"/>
      <w:pPr>
        <w:ind w:left="3447" w:hanging="360"/>
      </w:pPr>
      <w:rPr>
        <w:rFonts w:ascii="Symbol" w:hAnsi="Symbol" w:hint="default"/>
      </w:rPr>
    </w:lvl>
    <w:lvl w:ilvl="4" w:tplc="3C090003" w:tentative="1">
      <w:start w:val="1"/>
      <w:numFmt w:val="bullet"/>
      <w:lvlText w:val="o"/>
      <w:lvlJc w:val="left"/>
      <w:pPr>
        <w:ind w:left="4167" w:hanging="360"/>
      </w:pPr>
      <w:rPr>
        <w:rFonts w:ascii="Courier New" w:hAnsi="Courier New" w:cs="Courier New" w:hint="default"/>
      </w:rPr>
    </w:lvl>
    <w:lvl w:ilvl="5" w:tplc="3C090005" w:tentative="1">
      <w:start w:val="1"/>
      <w:numFmt w:val="bullet"/>
      <w:lvlText w:val=""/>
      <w:lvlJc w:val="left"/>
      <w:pPr>
        <w:ind w:left="4887" w:hanging="360"/>
      </w:pPr>
      <w:rPr>
        <w:rFonts w:ascii="Wingdings" w:hAnsi="Wingdings" w:hint="default"/>
      </w:rPr>
    </w:lvl>
    <w:lvl w:ilvl="6" w:tplc="3C090001" w:tentative="1">
      <w:start w:val="1"/>
      <w:numFmt w:val="bullet"/>
      <w:lvlText w:val=""/>
      <w:lvlJc w:val="left"/>
      <w:pPr>
        <w:ind w:left="5607" w:hanging="360"/>
      </w:pPr>
      <w:rPr>
        <w:rFonts w:ascii="Symbol" w:hAnsi="Symbol" w:hint="default"/>
      </w:rPr>
    </w:lvl>
    <w:lvl w:ilvl="7" w:tplc="3C090003" w:tentative="1">
      <w:start w:val="1"/>
      <w:numFmt w:val="bullet"/>
      <w:lvlText w:val="o"/>
      <w:lvlJc w:val="left"/>
      <w:pPr>
        <w:ind w:left="6327" w:hanging="360"/>
      </w:pPr>
      <w:rPr>
        <w:rFonts w:ascii="Courier New" w:hAnsi="Courier New" w:cs="Courier New" w:hint="default"/>
      </w:rPr>
    </w:lvl>
    <w:lvl w:ilvl="8" w:tplc="3C090005" w:tentative="1">
      <w:start w:val="1"/>
      <w:numFmt w:val="bullet"/>
      <w:lvlText w:val=""/>
      <w:lvlJc w:val="left"/>
      <w:pPr>
        <w:ind w:left="7047" w:hanging="360"/>
      </w:pPr>
      <w:rPr>
        <w:rFonts w:ascii="Wingdings" w:hAnsi="Wingdings" w:hint="default"/>
      </w:rPr>
    </w:lvl>
  </w:abstractNum>
  <w:abstractNum w:abstractNumId="4" w15:restartNumberingAfterBreak="0">
    <w:nsid w:val="19B86AD8"/>
    <w:multiLevelType w:val="hybridMultilevel"/>
    <w:tmpl w:val="834C704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24354E04"/>
    <w:multiLevelType w:val="hybridMultilevel"/>
    <w:tmpl w:val="97726D04"/>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6" w15:restartNumberingAfterBreak="0">
    <w:nsid w:val="2A8F5A27"/>
    <w:multiLevelType w:val="hybridMultilevel"/>
    <w:tmpl w:val="6A223B4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2CA31BE5"/>
    <w:multiLevelType w:val="hybridMultilevel"/>
    <w:tmpl w:val="AEAA53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D276F61"/>
    <w:multiLevelType w:val="hybridMultilevel"/>
    <w:tmpl w:val="ECEE251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38ED235E"/>
    <w:multiLevelType w:val="hybridMultilevel"/>
    <w:tmpl w:val="8184279C"/>
    <w:lvl w:ilvl="0" w:tplc="B25E5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310E34"/>
    <w:multiLevelType w:val="hybridMultilevel"/>
    <w:tmpl w:val="D45A2BF6"/>
    <w:lvl w:ilvl="0" w:tplc="92ECE04E">
      <w:start w:val="1"/>
      <w:numFmt w:val="decimal"/>
      <w:lvlText w:val="(%1)"/>
      <w:lvlJc w:val="left"/>
      <w:pPr>
        <w:ind w:left="600" w:hanging="360"/>
      </w:pPr>
      <w:rPr>
        <w:rFonts w:hint="default"/>
      </w:rPr>
    </w:lvl>
    <w:lvl w:ilvl="1" w:tplc="3C090019" w:tentative="1">
      <w:start w:val="1"/>
      <w:numFmt w:val="lowerLetter"/>
      <w:lvlText w:val="%2."/>
      <w:lvlJc w:val="left"/>
      <w:pPr>
        <w:ind w:left="1320" w:hanging="360"/>
      </w:pPr>
    </w:lvl>
    <w:lvl w:ilvl="2" w:tplc="3C09001B" w:tentative="1">
      <w:start w:val="1"/>
      <w:numFmt w:val="lowerRoman"/>
      <w:lvlText w:val="%3."/>
      <w:lvlJc w:val="right"/>
      <w:pPr>
        <w:ind w:left="2040" w:hanging="180"/>
      </w:pPr>
    </w:lvl>
    <w:lvl w:ilvl="3" w:tplc="3C09000F" w:tentative="1">
      <w:start w:val="1"/>
      <w:numFmt w:val="decimal"/>
      <w:lvlText w:val="%4."/>
      <w:lvlJc w:val="left"/>
      <w:pPr>
        <w:ind w:left="2760" w:hanging="360"/>
      </w:pPr>
    </w:lvl>
    <w:lvl w:ilvl="4" w:tplc="3C090019" w:tentative="1">
      <w:start w:val="1"/>
      <w:numFmt w:val="lowerLetter"/>
      <w:lvlText w:val="%5."/>
      <w:lvlJc w:val="left"/>
      <w:pPr>
        <w:ind w:left="3480" w:hanging="360"/>
      </w:pPr>
    </w:lvl>
    <w:lvl w:ilvl="5" w:tplc="3C09001B" w:tentative="1">
      <w:start w:val="1"/>
      <w:numFmt w:val="lowerRoman"/>
      <w:lvlText w:val="%6."/>
      <w:lvlJc w:val="right"/>
      <w:pPr>
        <w:ind w:left="4200" w:hanging="180"/>
      </w:pPr>
    </w:lvl>
    <w:lvl w:ilvl="6" w:tplc="3C09000F" w:tentative="1">
      <w:start w:val="1"/>
      <w:numFmt w:val="decimal"/>
      <w:lvlText w:val="%7."/>
      <w:lvlJc w:val="left"/>
      <w:pPr>
        <w:ind w:left="4920" w:hanging="360"/>
      </w:pPr>
    </w:lvl>
    <w:lvl w:ilvl="7" w:tplc="3C090019" w:tentative="1">
      <w:start w:val="1"/>
      <w:numFmt w:val="lowerLetter"/>
      <w:lvlText w:val="%8."/>
      <w:lvlJc w:val="left"/>
      <w:pPr>
        <w:ind w:left="5640" w:hanging="360"/>
      </w:pPr>
    </w:lvl>
    <w:lvl w:ilvl="8" w:tplc="3C09001B" w:tentative="1">
      <w:start w:val="1"/>
      <w:numFmt w:val="lowerRoman"/>
      <w:lvlText w:val="%9."/>
      <w:lvlJc w:val="right"/>
      <w:pPr>
        <w:ind w:left="6360" w:hanging="180"/>
      </w:pPr>
    </w:lvl>
  </w:abstractNum>
  <w:abstractNum w:abstractNumId="11" w15:restartNumberingAfterBreak="0">
    <w:nsid w:val="3D233500"/>
    <w:multiLevelType w:val="hybridMultilevel"/>
    <w:tmpl w:val="16D8B2A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2" w15:restartNumberingAfterBreak="0">
    <w:nsid w:val="4AA72768"/>
    <w:multiLevelType w:val="hybridMultilevel"/>
    <w:tmpl w:val="96B40068"/>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51236AC2"/>
    <w:multiLevelType w:val="hybridMultilevel"/>
    <w:tmpl w:val="00BA41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16A24BD"/>
    <w:multiLevelType w:val="hybridMultilevel"/>
    <w:tmpl w:val="C38C7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919A4"/>
    <w:multiLevelType w:val="hybridMultilevel"/>
    <w:tmpl w:val="B46C44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631B5864"/>
    <w:multiLevelType w:val="hybridMultilevel"/>
    <w:tmpl w:val="ED149C60"/>
    <w:lvl w:ilvl="0" w:tplc="178CBE5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451344C"/>
    <w:multiLevelType w:val="hybridMultilevel"/>
    <w:tmpl w:val="EFF2AAD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6CCD4C4C"/>
    <w:multiLevelType w:val="hybridMultilevel"/>
    <w:tmpl w:val="9B5EEA7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9" w15:restartNumberingAfterBreak="0">
    <w:nsid w:val="76EE6B34"/>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0" w15:restartNumberingAfterBreak="0">
    <w:nsid w:val="77025038"/>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1" w15:restartNumberingAfterBreak="0">
    <w:nsid w:val="77147FA7"/>
    <w:multiLevelType w:val="hybridMultilevel"/>
    <w:tmpl w:val="7396A4E8"/>
    <w:lvl w:ilvl="0" w:tplc="BCAED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B212C6"/>
    <w:multiLevelType w:val="hybridMultilevel"/>
    <w:tmpl w:val="4DEA928A"/>
    <w:lvl w:ilvl="0" w:tplc="79F063C0">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286015013">
    <w:abstractNumId w:val="9"/>
  </w:num>
  <w:num w:numId="2" w16cid:durableId="685903980">
    <w:abstractNumId w:val="2"/>
  </w:num>
  <w:num w:numId="3" w16cid:durableId="620503525">
    <w:abstractNumId w:val="16"/>
  </w:num>
  <w:num w:numId="4" w16cid:durableId="249628432">
    <w:abstractNumId w:val="20"/>
  </w:num>
  <w:num w:numId="5" w16cid:durableId="1992904210">
    <w:abstractNumId w:val="19"/>
  </w:num>
  <w:num w:numId="6" w16cid:durableId="213544221">
    <w:abstractNumId w:val="11"/>
  </w:num>
  <w:num w:numId="7" w16cid:durableId="959841990">
    <w:abstractNumId w:val="5"/>
  </w:num>
  <w:num w:numId="8" w16cid:durableId="206726123">
    <w:abstractNumId w:val="12"/>
  </w:num>
  <w:num w:numId="9" w16cid:durableId="945112502">
    <w:abstractNumId w:val="22"/>
  </w:num>
  <w:num w:numId="10" w16cid:durableId="774059222">
    <w:abstractNumId w:val="21"/>
  </w:num>
  <w:num w:numId="11" w16cid:durableId="920330499">
    <w:abstractNumId w:val="13"/>
  </w:num>
  <w:num w:numId="12" w16cid:durableId="664745168">
    <w:abstractNumId w:val="17"/>
  </w:num>
  <w:num w:numId="13" w16cid:durableId="1945267886">
    <w:abstractNumId w:val="15"/>
  </w:num>
  <w:num w:numId="14" w16cid:durableId="336424107">
    <w:abstractNumId w:val="1"/>
  </w:num>
  <w:num w:numId="15" w16cid:durableId="751390888">
    <w:abstractNumId w:val="4"/>
  </w:num>
  <w:num w:numId="16" w16cid:durableId="1806462328">
    <w:abstractNumId w:val="7"/>
  </w:num>
  <w:num w:numId="17" w16cid:durableId="720519517">
    <w:abstractNumId w:val="18"/>
  </w:num>
  <w:num w:numId="18" w16cid:durableId="502429488">
    <w:abstractNumId w:val="8"/>
  </w:num>
  <w:num w:numId="19" w16cid:durableId="619845123">
    <w:abstractNumId w:val="6"/>
  </w:num>
  <w:num w:numId="20" w16cid:durableId="1274941550">
    <w:abstractNumId w:val="14"/>
  </w:num>
  <w:num w:numId="21" w16cid:durableId="609895790">
    <w:abstractNumId w:val="3"/>
  </w:num>
  <w:num w:numId="22" w16cid:durableId="1576238354">
    <w:abstractNumId w:val="10"/>
  </w:num>
  <w:num w:numId="23" w16cid:durableId="164534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en-US" w:vendorID="64" w:dllVersion="5" w:nlCheck="1" w:checkStyle="1"/>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HK" w:vendorID="64" w:dllVersion="4096" w:nlCheck="1" w:checkStyle="0"/>
  <w:activeWritingStyle w:appName="MSWord" w:lang="en-HK" w:vendorID="64" w:dllVersion="6"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8"/>
    <w:rsid w:val="00001B6C"/>
    <w:rsid w:val="00001BB3"/>
    <w:rsid w:val="00002ABB"/>
    <w:rsid w:val="00004037"/>
    <w:rsid w:val="00004A80"/>
    <w:rsid w:val="00004CCE"/>
    <w:rsid w:val="00004DDA"/>
    <w:rsid w:val="00005235"/>
    <w:rsid w:val="00005482"/>
    <w:rsid w:val="000060EB"/>
    <w:rsid w:val="0000639C"/>
    <w:rsid w:val="00006560"/>
    <w:rsid w:val="000070B5"/>
    <w:rsid w:val="000077AD"/>
    <w:rsid w:val="0001105A"/>
    <w:rsid w:val="000120A0"/>
    <w:rsid w:val="000136DF"/>
    <w:rsid w:val="00014A4D"/>
    <w:rsid w:val="00015A15"/>
    <w:rsid w:val="000169BE"/>
    <w:rsid w:val="00016EE4"/>
    <w:rsid w:val="0001723F"/>
    <w:rsid w:val="000173D3"/>
    <w:rsid w:val="000176E9"/>
    <w:rsid w:val="00017700"/>
    <w:rsid w:val="00020519"/>
    <w:rsid w:val="00020A85"/>
    <w:rsid w:val="00021D23"/>
    <w:rsid w:val="00021FA4"/>
    <w:rsid w:val="00023859"/>
    <w:rsid w:val="000241AE"/>
    <w:rsid w:val="0002454D"/>
    <w:rsid w:val="00024CB1"/>
    <w:rsid w:val="000251C1"/>
    <w:rsid w:val="00025851"/>
    <w:rsid w:val="00026E3D"/>
    <w:rsid w:val="000270FF"/>
    <w:rsid w:val="000275E8"/>
    <w:rsid w:val="000302A6"/>
    <w:rsid w:val="00030FD2"/>
    <w:rsid w:val="00032560"/>
    <w:rsid w:val="000339DE"/>
    <w:rsid w:val="00033F4A"/>
    <w:rsid w:val="00033FFB"/>
    <w:rsid w:val="00035349"/>
    <w:rsid w:val="0003689E"/>
    <w:rsid w:val="00037649"/>
    <w:rsid w:val="0003778E"/>
    <w:rsid w:val="00040569"/>
    <w:rsid w:val="000407D6"/>
    <w:rsid w:val="00040897"/>
    <w:rsid w:val="00040D4A"/>
    <w:rsid w:val="00041179"/>
    <w:rsid w:val="00042699"/>
    <w:rsid w:val="00042A9E"/>
    <w:rsid w:val="00042AD3"/>
    <w:rsid w:val="00043DB0"/>
    <w:rsid w:val="00043F0F"/>
    <w:rsid w:val="00044A67"/>
    <w:rsid w:val="000453EB"/>
    <w:rsid w:val="000477F3"/>
    <w:rsid w:val="00047B1D"/>
    <w:rsid w:val="00050C57"/>
    <w:rsid w:val="00050FB1"/>
    <w:rsid w:val="000518C6"/>
    <w:rsid w:val="00052B3E"/>
    <w:rsid w:val="000536F9"/>
    <w:rsid w:val="00053F56"/>
    <w:rsid w:val="0005450D"/>
    <w:rsid w:val="0005465A"/>
    <w:rsid w:val="000550FF"/>
    <w:rsid w:val="0005517E"/>
    <w:rsid w:val="0005533D"/>
    <w:rsid w:val="00055A84"/>
    <w:rsid w:val="00056042"/>
    <w:rsid w:val="00060887"/>
    <w:rsid w:val="000613D2"/>
    <w:rsid w:val="000617C3"/>
    <w:rsid w:val="00061AC6"/>
    <w:rsid w:val="00061CBF"/>
    <w:rsid w:val="0006325A"/>
    <w:rsid w:val="00063A3C"/>
    <w:rsid w:val="00063AB3"/>
    <w:rsid w:val="00063DF5"/>
    <w:rsid w:val="00064A02"/>
    <w:rsid w:val="000652B0"/>
    <w:rsid w:val="000654F8"/>
    <w:rsid w:val="0006613C"/>
    <w:rsid w:val="00066750"/>
    <w:rsid w:val="00066A33"/>
    <w:rsid w:val="00066E19"/>
    <w:rsid w:val="00066EFE"/>
    <w:rsid w:val="0006752D"/>
    <w:rsid w:val="0007033D"/>
    <w:rsid w:val="000706B3"/>
    <w:rsid w:val="000715AD"/>
    <w:rsid w:val="00071684"/>
    <w:rsid w:val="00071DF1"/>
    <w:rsid w:val="000727D0"/>
    <w:rsid w:val="00072A4F"/>
    <w:rsid w:val="00072B29"/>
    <w:rsid w:val="000732E9"/>
    <w:rsid w:val="0007371F"/>
    <w:rsid w:val="00074E65"/>
    <w:rsid w:val="00075011"/>
    <w:rsid w:val="00075151"/>
    <w:rsid w:val="00075793"/>
    <w:rsid w:val="0007641B"/>
    <w:rsid w:val="000805BE"/>
    <w:rsid w:val="000809CA"/>
    <w:rsid w:val="00080E31"/>
    <w:rsid w:val="000811F9"/>
    <w:rsid w:val="00081B78"/>
    <w:rsid w:val="00081D1C"/>
    <w:rsid w:val="00083386"/>
    <w:rsid w:val="000844D4"/>
    <w:rsid w:val="00084C63"/>
    <w:rsid w:val="00085729"/>
    <w:rsid w:val="00085A17"/>
    <w:rsid w:val="00085FCE"/>
    <w:rsid w:val="00086997"/>
    <w:rsid w:val="000877AB"/>
    <w:rsid w:val="00087E2F"/>
    <w:rsid w:val="000903DF"/>
    <w:rsid w:val="00090D76"/>
    <w:rsid w:val="000916B1"/>
    <w:rsid w:val="000935A0"/>
    <w:rsid w:val="000936CD"/>
    <w:rsid w:val="0009594F"/>
    <w:rsid w:val="00095D05"/>
    <w:rsid w:val="00095F56"/>
    <w:rsid w:val="0009668B"/>
    <w:rsid w:val="000966E7"/>
    <w:rsid w:val="00096C2E"/>
    <w:rsid w:val="000975DD"/>
    <w:rsid w:val="000A0060"/>
    <w:rsid w:val="000A04DC"/>
    <w:rsid w:val="000A0AED"/>
    <w:rsid w:val="000A16EA"/>
    <w:rsid w:val="000A1A3D"/>
    <w:rsid w:val="000A1E1C"/>
    <w:rsid w:val="000A2671"/>
    <w:rsid w:val="000A2EA6"/>
    <w:rsid w:val="000A3091"/>
    <w:rsid w:val="000A3126"/>
    <w:rsid w:val="000A3510"/>
    <w:rsid w:val="000A4073"/>
    <w:rsid w:val="000A4382"/>
    <w:rsid w:val="000A47E4"/>
    <w:rsid w:val="000A49E4"/>
    <w:rsid w:val="000A67CA"/>
    <w:rsid w:val="000A694B"/>
    <w:rsid w:val="000A696F"/>
    <w:rsid w:val="000B0E1F"/>
    <w:rsid w:val="000B1C7A"/>
    <w:rsid w:val="000B3BAC"/>
    <w:rsid w:val="000B4F7E"/>
    <w:rsid w:val="000B57BD"/>
    <w:rsid w:val="000B5BF0"/>
    <w:rsid w:val="000B6298"/>
    <w:rsid w:val="000B77AD"/>
    <w:rsid w:val="000C2736"/>
    <w:rsid w:val="000C2A8F"/>
    <w:rsid w:val="000C337F"/>
    <w:rsid w:val="000C4563"/>
    <w:rsid w:val="000C6436"/>
    <w:rsid w:val="000C72B6"/>
    <w:rsid w:val="000C7840"/>
    <w:rsid w:val="000C7CA4"/>
    <w:rsid w:val="000C7FCD"/>
    <w:rsid w:val="000D0195"/>
    <w:rsid w:val="000D053A"/>
    <w:rsid w:val="000D09F8"/>
    <w:rsid w:val="000D0A0F"/>
    <w:rsid w:val="000D0B9F"/>
    <w:rsid w:val="000D0CD7"/>
    <w:rsid w:val="000D0E2C"/>
    <w:rsid w:val="000D1849"/>
    <w:rsid w:val="000D198E"/>
    <w:rsid w:val="000D24D9"/>
    <w:rsid w:val="000D2B20"/>
    <w:rsid w:val="000D2CFF"/>
    <w:rsid w:val="000D466A"/>
    <w:rsid w:val="000D4820"/>
    <w:rsid w:val="000D483A"/>
    <w:rsid w:val="000D4C43"/>
    <w:rsid w:val="000D58CF"/>
    <w:rsid w:val="000D6455"/>
    <w:rsid w:val="000D688C"/>
    <w:rsid w:val="000D73E1"/>
    <w:rsid w:val="000E06AB"/>
    <w:rsid w:val="000E262F"/>
    <w:rsid w:val="000E28FF"/>
    <w:rsid w:val="000E2C02"/>
    <w:rsid w:val="000E2DDE"/>
    <w:rsid w:val="000E330E"/>
    <w:rsid w:val="000E51A8"/>
    <w:rsid w:val="000E56FB"/>
    <w:rsid w:val="000E6C41"/>
    <w:rsid w:val="000E6C78"/>
    <w:rsid w:val="000E7761"/>
    <w:rsid w:val="000E7BAC"/>
    <w:rsid w:val="000E7C4C"/>
    <w:rsid w:val="000F182A"/>
    <w:rsid w:val="000F27E8"/>
    <w:rsid w:val="000F3200"/>
    <w:rsid w:val="000F3222"/>
    <w:rsid w:val="000F3808"/>
    <w:rsid w:val="000F401A"/>
    <w:rsid w:val="000F4215"/>
    <w:rsid w:val="000F43FF"/>
    <w:rsid w:val="000F4BB9"/>
    <w:rsid w:val="000F4D48"/>
    <w:rsid w:val="000F639E"/>
    <w:rsid w:val="000F723D"/>
    <w:rsid w:val="000F73A9"/>
    <w:rsid w:val="001001AB"/>
    <w:rsid w:val="001009D7"/>
    <w:rsid w:val="001036FE"/>
    <w:rsid w:val="00103C19"/>
    <w:rsid w:val="00105E61"/>
    <w:rsid w:val="00106474"/>
    <w:rsid w:val="00106F49"/>
    <w:rsid w:val="0010754B"/>
    <w:rsid w:val="00111A0A"/>
    <w:rsid w:val="00111EEB"/>
    <w:rsid w:val="0011214F"/>
    <w:rsid w:val="00113B54"/>
    <w:rsid w:val="00113D05"/>
    <w:rsid w:val="00114160"/>
    <w:rsid w:val="00114772"/>
    <w:rsid w:val="00114C2A"/>
    <w:rsid w:val="00115279"/>
    <w:rsid w:val="00116EFB"/>
    <w:rsid w:val="00116F57"/>
    <w:rsid w:val="0011700C"/>
    <w:rsid w:val="0011721E"/>
    <w:rsid w:val="00117A67"/>
    <w:rsid w:val="00117B6D"/>
    <w:rsid w:val="001201EC"/>
    <w:rsid w:val="001207FA"/>
    <w:rsid w:val="00121746"/>
    <w:rsid w:val="00121888"/>
    <w:rsid w:val="0012323D"/>
    <w:rsid w:val="001237BE"/>
    <w:rsid w:val="00124EA5"/>
    <w:rsid w:val="00125061"/>
    <w:rsid w:val="00125AB1"/>
    <w:rsid w:val="00126B0A"/>
    <w:rsid w:val="001302EE"/>
    <w:rsid w:val="001317B7"/>
    <w:rsid w:val="001320A1"/>
    <w:rsid w:val="00132922"/>
    <w:rsid w:val="00133C0B"/>
    <w:rsid w:val="00133D9E"/>
    <w:rsid w:val="00133EEC"/>
    <w:rsid w:val="00135FBB"/>
    <w:rsid w:val="001362ED"/>
    <w:rsid w:val="00137B79"/>
    <w:rsid w:val="00141B8C"/>
    <w:rsid w:val="00141EC2"/>
    <w:rsid w:val="001421C9"/>
    <w:rsid w:val="00142A30"/>
    <w:rsid w:val="00142CA2"/>
    <w:rsid w:val="001439CB"/>
    <w:rsid w:val="001441F6"/>
    <w:rsid w:val="0014478E"/>
    <w:rsid w:val="00144F2A"/>
    <w:rsid w:val="001456B5"/>
    <w:rsid w:val="0014660E"/>
    <w:rsid w:val="00146616"/>
    <w:rsid w:val="00147912"/>
    <w:rsid w:val="00151799"/>
    <w:rsid w:val="00151841"/>
    <w:rsid w:val="00155F21"/>
    <w:rsid w:val="00156693"/>
    <w:rsid w:val="00156852"/>
    <w:rsid w:val="00156BA7"/>
    <w:rsid w:val="00156C83"/>
    <w:rsid w:val="0015719F"/>
    <w:rsid w:val="00160595"/>
    <w:rsid w:val="001612FC"/>
    <w:rsid w:val="00161EA2"/>
    <w:rsid w:val="0016206A"/>
    <w:rsid w:val="00162433"/>
    <w:rsid w:val="001626E9"/>
    <w:rsid w:val="001637F8"/>
    <w:rsid w:val="001639DD"/>
    <w:rsid w:val="00163E72"/>
    <w:rsid w:val="0016401D"/>
    <w:rsid w:val="0016489E"/>
    <w:rsid w:val="00164F78"/>
    <w:rsid w:val="00165017"/>
    <w:rsid w:val="0016557A"/>
    <w:rsid w:val="00165BFF"/>
    <w:rsid w:val="00165FF7"/>
    <w:rsid w:val="001668DD"/>
    <w:rsid w:val="00166994"/>
    <w:rsid w:val="0016704B"/>
    <w:rsid w:val="00167345"/>
    <w:rsid w:val="0016754A"/>
    <w:rsid w:val="00167AA1"/>
    <w:rsid w:val="00170C90"/>
    <w:rsid w:val="00171768"/>
    <w:rsid w:val="001717EF"/>
    <w:rsid w:val="001722AD"/>
    <w:rsid w:val="00172EBB"/>
    <w:rsid w:val="001731DC"/>
    <w:rsid w:val="00173CA6"/>
    <w:rsid w:val="0017465B"/>
    <w:rsid w:val="0017471F"/>
    <w:rsid w:val="001751B6"/>
    <w:rsid w:val="00176351"/>
    <w:rsid w:val="00176968"/>
    <w:rsid w:val="00176B37"/>
    <w:rsid w:val="00176BE1"/>
    <w:rsid w:val="00176C4F"/>
    <w:rsid w:val="00176D76"/>
    <w:rsid w:val="0017719C"/>
    <w:rsid w:val="00177797"/>
    <w:rsid w:val="001804C8"/>
    <w:rsid w:val="00180AA8"/>
    <w:rsid w:val="001810A9"/>
    <w:rsid w:val="001816D8"/>
    <w:rsid w:val="00181B95"/>
    <w:rsid w:val="001829DD"/>
    <w:rsid w:val="0018386E"/>
    <w:rsid w:val="00183A4D"/>
    <w:rsid w:val="00183BF8"/>
    <w:rsid w:val="00184287"/>
    <w:rsid w:val="00184D51"/>
    <w:rsid w:val="00185BC4"/>
    <w:rsid w:val="001864E4"/>
    <w:rsid w:val="001872E9"/>
    <w:rsid w:val="001873EE"/>
    <w:rsid w:val="00187773"/>
    <w:rsid w:val="001877CE"/>
    <w:rsid w:val="00187A37"/>
    <w:rsid w:val="001904AC"/>
    <w:rsid w:val="00191B4F"/>
    <w:rsid w:val="00191D90"/>
    <w:rsid w:val="0019257D"/>
    <w:rsid w:val="001925DF"/>
    <w:rsid w:val="00192A16"/>
    <w:rsid w:val="00192B44"/>
    <w:rsid w:val="00192C25"/>
    <w:rsid w:val="0019351E"/>
    <w:rsid w:val="00193C7A"/>
    <w:rsid w:val="00194054"/>
    <w:rsid w:val="00194CA0"/>
    <w:rsid w:val="00194D51"/>
    <w:rsid w:val="001966CD"/>
    <w:rsid w:val="00196708"/>
    <w:rsid w:val="00196D34"/>
    <w:rsid w:val="00196DA2"/>
    <w:rsid w:val="00196DC8"/>
    <w:rsid w:val="00197484"/>
    <w:rsid w:val="00197E59"/>
    <w:rsid w:val="001A18C7"/>
    <w:rsid w:val="001A1A42"/>
    <w:rsid w:val="001A2141"/>
    <w:rsid w:val="001A237D"/>
    <w:rsid w:val="001A28C9"/>
    <w:rsid w:val="001A3915"/>
    <w:rsid w:val="001A39FA"/>
    <w:rsid w:val="001A3FC0"/>
    <w:rsid w:val="001A4289"/>
    <w:rsid w:val="001A4567"/>
    <w:rsid w:val="001A5779"/>
    <w:rsid w:val="001A7029"/>
    <w:rsid w:val="001A78B3"/>
    <w:rsid w:val="001A7D97"/>
    <w:rsid w:val="001B02C7"/>
    <w:rsid w:val="001B1936"/>
    <w:rsid w:val="001B1C11"/>
    <w:rsid w:val="001B205A"/>
    <w:rsid w:val="001B23BC"/>
    <w:rsid w:val="001B2907"/>
    <w:rsid w:val="001B326C"/>
    <w:rsid w:val="001B32EF"/>
    <w:rsid w:val="001B394D"/>
    <w:rsid w:val="001B4457"/>
    <w:rsid w:val="001B44A7"/>
    <w:rsid w:val="001B4C73"/>
    <w:rsid w:val="001B4D34"/>
    <w:rsid w:val="001B50E2"/>
    <w:rsid w:val="001B5E2F"/>
    <w:rsid w:val="001B5FE0"/>
    <w:rsid w:val="001B7C99"/>
    <w:rsid w:val="001C028F"/>
    <w:rsid w:val="001C09BD"/>
    <w:rsid w:val="001C19D1"/>
    <w:rsid w:val="001C250A"/>
    <w:rsid w:val="001C2C4B"/>
    <w:rsid w:val="001C3C5E"/>
    <w:rsid w:val="001C441C"/>
    <w:rsid w:val="001C4687"/>
    <w:rsid w:val="001C53B9"/>
    <w:rsid w:val="001C5EE1"/>
    <w:rsid w:val="001C5F27"/>
    <w:rsid w:val="001C65FC"/>
    <w:rsid w:val="001C6A4B"/>
    <w:rsid w:val="001C6EBD"/>
    <w:rsid w:val="001D09EA"/>
    <w:rsid w:val="001D1498"/>
    <w:rsid w:val="001D1CF2"/>
    <w:rsid w:val="001D2572"/>
    <w:rsid w:val="001D2910"/>
    <w:rsid w:val="001D2CC2"/>
    <w:rsid w:val="001D363F"/>
    <w:rsid w:val="001D4A8E"/>
    <w:rsid w:val="001D4E8A"/>
    <w:rsid w:val="001D6E4C"/>
    <w:rsid w:val="001D7082"/>
    <w:rsid w:val="001D7544"/>
    <w:rsid w:val="001D75B7"/>
    <w:rsid w:val="001D7DC4"/>
    <w:rsid w:val="001E0054"/>
    <w:rsid w:val="001E1161"/>
    <w:rsid w:val="001E2E07"/>
    <w:rsid w:val="001E33CF"/>
    <w:rsid w:val="001E48AC"/>
    <w:rsid w:val="001E5ED7"/>
    <w:rsid w:val="001E7487"/>
    <w:rsid w:val="001F0CB2"/>
    <w:rsid w:val="001F15C4"/>
    <w:rsid w:val="001F15E8"/>
    <w:rsid w:val="001F2DBA"/>
    <w:rsid w:val="001F3C3D"/>
    <w:rsid w:val="001F5612"/>
    <w:rsid w:val="001F564F"/>
    <w:rsid w:val="001F5DBC"/>
    <w:rsid w:val="001F61C3"/>
    <w:rsid w:val="001F6F8B"/>
    <w:rsid w:val="001F75BF"/>
    <w:rsid w:val="001F76D2"/>
    <w:rsid w:val="00200709"/>
    <w:rsid w:val="002012C0"/>
    <w:rsid w:val="00201648"/>
    <w:rsid w:val="00202CC5"/>
    <w:rsid w:val="00203151"/>
    <w:rsid w:val="0020370A"/>
    <w:rsid w:val="00203BC7"/>
    <w:rsid w:val="00203D78"/>
    <w:rsid w:val="002041CB"/>
    <w:rsid w:val="0020482A"/>
    <w:rsid w:val="00205695"/>
    <w:rsid w:val="00205E2D"/>
    <w:rsid w:val="00206DB2"/>
    <w:rsid w:val="00207E92"/>
    <w:rsid w:val="0021051A"/>
    <w:rsid w:val="0021143C"/>
    <w:rsid w:val="002116E5"/>
    <w:rsid w:val="002145D5"/>
    <w:rsid w:val="00214AD0"/>
    <w:rsid w:val="00214BFE"/>
    <w:rsid w:val="00214C1A"/>
    <w:rsid w:val="00215141"/>
    <w:rsid w:val="0021524C"/>
    <w:rsid w:val="00215F5B"/>
    <w:rsid w:val="00216B7B"/>
    <w:rsid w:val="00216CD0"/>
    <w:rsid w:val="00220864"/>
    <w:rsid w:val="00221D98"/>
    <w:rsid w:val="00221ECE"/>
    <w:rsid w:val="00222422"/>
    <w:rsid w:val="002230CC"/>
    <w:rsid w:val="00223163"/>
    <w:rsid w:val="0022412F"/>
    <w:rsid w:val="002242C2"/>
    <w:rsid w:val="00226ED6"/>
    <w:rsid w:val="002271E2"/>
    <w:rsid w:val="002274D1"/>
    <w:rsid w:val="00227F8C"/>
    <w:rsid w:val="00230982"/>
    <w:rsid w:val="00231744"/>
    <w:rsid w:val="002322F7"/>
    <w:rsid w:val="002323B3"/>
    <w:rsid w:val="00232DD6"/>
    <w:rsid w:val="00232F5D"/>
    <w:rsid w:val="00234094"/>
    <w:rsid w:val="0023484A"/>
    <w:rsid w:val="00234C98"/>
    <w:rsid w:val="002353D4"/>
    <w:rsid w:val="00236463"/>
    <w:rsid w:val="00237612"/>
    <w:rsid w:val="00240038"/>
    <w:rsid w:val="00240826"/>
    <w:rsid w:val="00242070"/>
    <w:rsid w:val="0024232F"/>
    <w:rsid w:val="002429A2"/>
    <w:rsid w:val="002435DB"/>
    <w:rsid w:val="00243950"/>
    <w:rsid w:val="00244418"/>
    <w:rsid w:val="00244E53"/>
    <w:rsid w:val="00245EBB"/>
    <w:rsid w:val="00246120"/>
    <w:rsid w:val="002468C4"/>
    <w:rsid w:val="00246B17"/>
    <w:rsid w:val="00246EB9"/>
    <w:rsid w:val="0024780D"/>
    <w:rsid w:val="0024790A"/>
    <w:rsid w:val="00247B2C"/>
    <w:rsid w:val="002517B2"/>
    <w:rsid w:val="00251FC7"/>
    <w:rsid w:val="00253EF5"/>
    <w:rsid w:val="00254828"/>
    <w:rsid w:val="00255115"/>
    <w:rsid w:val="0025541D"/>
    <w:rsid w:val="00255989"/>
    <w:rsid w:val="00255A94"/>
    <w:rsid w:val="00256A12"/>
    <w:rsid w:val="0025754F"/>
    <w:rsid w:val="00257DC7"/>
    <w:rsid w:val="0026015C"/>
    <w:rsid w:val="002610FA"/>
    <w:rsid w:val="002614DD"/>
    <w:rsid w:val="002637E6"/>
    <w:rsid w:val="00264F92"/>
    <w:rsid w:val="002657BB"/>
    <w:rsid w:val="00265AAF"/>
    <w:rsid w:val="00265AEA"/>
    <w:rsid w:val="00265FAB"/>
    <w:rsid w:val="00265FE3"/>
    <w:rsid w:val="00266210"/>
    <w:rsid w:val="00266DE3"/>
    <w:rsid w:val="002675C2"/>
    <w:rsid w:val="00267822"/>
    <w:rsid w:val="0027021C"/>
    <w:rsid w:val="002707C4"/>
    <w:rsid w:val="0027123D"/>
    <w:rsid w:val="00271287"/>
    <w:rsid w:val="0027415F"/>
    <w:rsid w:val="002743DD"/>
    <w:rsid w:val="00274B2F"/>
    <w:rsid w:val="00275403"/>
    <w:rsid w:val="0027589D"/>
    <w:rsid w:val="00276752"/>
    <w:rsid w:val="0027769B"/>
    <w:rsid w:val="002800D2"/>
    <w:rsid w:val="0028012F"/>
    <w:rsid w:val="0028029E"/>
    <w:rsid w:val="00281380"/>
    <w:rsid w:val="002813D0"/>
    <w:rsid w:val="00281BE9"/>
    <w:rsid w:val="0028286B"/>
    <w:rsid w:val="00282999"/>
    <w:rsid w:val="00282EB9"/>
    <w:rsid w:val="00283850"/>
    <w:rsid w:val="002842E5"/>
    <w:rsid w:val="002859EF"/>
    <w:rsid w:val="00285F67"/>
    <w:rsid w:val="002863C6"/>
    <w:rsid w:val="002867F3"/>
    <w:rsid w:val="00286896"/>
    <w:rsid w:val="0028749C"/>
    <w:rsid w:val="0028797E"/>
    <w:rsid w:val="00291982"/>
    <w:rsid w:val="00291CCF"/>
    <w:rsid w:val="00292153"/>
    <w:rsid w:val="002924AD"/>
    <w:rsid w:val="00295434"/>
    <w:rsid w:val="00295753"/>
    <w:rsid w:val="00295909"/>
    <w:rsid w:val="00296A8A"/>
    <w:rsid w:val="00296CE7"/>
    <w:rsid w:val="00296D90"/>
    <w:rsid w:val="002A07FC"/>
    <w:rsid w:val="002A0A9C"/>
    <w:rsid w:val="002A0B70"/>
    <w:rsid w:val="002A0E1A"/>
    <w:rsid w:val="002A1BFB"/>
    <w:rsid w:val="002A21C8"/>
    <w:rsid w:val="002A2EB7"/>
    <w:rsid w:val="002A3BBF"/>
    <w:rsid w:val="002A4F5C"/>
    <w:rsid w:val="002A579A"/>
    <w:rsid w:val="002A6B5E"/>
    <w:rsid w:val="002A6D76"/>
    <w:rsid w:val="002A74D0"/>
    <w:rsid w:val="002A7910"/>
    <w:rsid w:val="002B05A3"/>
    <w:rsid w:val="002B08F2"/>
    <w:rsid w:val="002B1633"/>
    <w:rsid w:val="002B2A02"/>
    <w:rsid w:val="002B3004"/>
    <w:rsid w:val="002B34FC"/>
    <w:rsid w:val="002B3CA4"/>
    <w:rsid w:val="002B40FF"/>
    <w:rsid w:val="002B43DA"/>
    <w:rsid w:val="002B48E7"/>
    <w:rsid w:val="002B4A64"/>
    <w:rsid w:val="002B4C50"/>
    <w:rsid w:val="002B541D"/>
    <w:rsid w:val="002B7A51"/>
    <w:rsid w:val="002B7C79"/>
    <w:rsid w:val="002C05A2"/>
    <w:rsid w:val="002C15EF"/>
    <w:rsid w:val="002C1D35"/>
    <w:rsid w:val="002C1E44"/>
    <w:rsid w:val="002C238C"/>
    <w:rsid w:val="002C2B04"/>
    <w:rsid w:val="002C500A"/>
    <w:rsid w:val="002C563A"/>
    <w:rsid w:val="002C5AD9"/>
    <w:rsid w:val="002C6BC7"/>
    <w:rsid w:val="002C70E7"/>
    <w:rsid w:val="002C79C8"/>
    <w:rsid w:val="002C7C1D"/>
    <w:rsid w:val="002C7CD4"/>
    <w:rsid w:val="002D0255"/>
    <w:rsid w:val="002D0D27"/>
    <w:rsid w:val="002D1C3A"/>
    <w:rsid w:val="002D1F2B"/>
    <w:rsid w:val="002D372F"/>
    <w:rsid w:val="002D44D5"/>
    <w:rsid w:val="002D560D"/>
    <w:rsid w:val="002D64DD"/>
    <w:rsid w:val="002D6757"/>
    <w:rsid w:val="002D6CBD"/>
    <w:rsid w:val="002D6D58"/>
    <w:rsid w:val="002D713B"/>
    <w:rsid w:val="002D745A"/>
    <w:rsid w:val="002E0A89"/>
    <w:rsid w:val="002E160E"/>
    <w:rsid w:val="002E1630"/>
    <w:rsid w:val="002E1669"/>
    <w:rsid w:val="002E17F7"/>
    <w:rsid w:val="002E2131"/>
    <w:rsid w:val="002E3091"/>
    <w:rsid w:val="002E3EDC"/>
    <w:rsid w:val="002E43CE"/>
    <w:rsid w:val="002E679D"/>
    <w:rsid w:val="002E69E6"/>
    <w:rsid w:val="002E7803"/>
    <w:rsid w:val="002F1D2D"/>
    <w:rsid w:val="002F1FEC"/>
    <w:rsid w:val="002F2ADE"/>
    <w:rsid w:val="002F2F9B"/>
    <w:rsid w:val="002F39F0"/>
    <w:rsid w:val="002F5398"/>
    <w:rsid w:val="002F5F10"/>
    <w:rsid w:val="002F6447"/>
    <w:rsid w:val="002F6F3C"/>
    <w:rsid w:val="002F7E4B"/>
    <w:rsid w:val="00300E1E"/>
    <w:rsid w:val="003012EA"/>
    <w:rsid w:val="0030145F"/>
    <w:rsid w:val="00301731"/>
    <w:rsid w:val="00301F57"/>
    <w:rsid w:val="003023DA"/>
    <w:rsid w:val="00302E64"/>
    <w:rsid w:val="00303666"/>
    <w:rsid w:val="003039BF"/>
    <w:rsid w:val="00304004"/>
    <w:rsid w:val="003041D8"/>
    <w:rsid w:val="003046DF"/>
    <w:rsid w:val="00304951"/>
    <w:rsid w:val="00306FEA"/>
    <w:rsid w:val="00310402"/>
    <w:rsid w:val="00310A09"/>
    <w:rsid w:val="00310FD8"/>
    <w:rsid w:val="00311402"/>
    <w:rsid w:val="0031153B"/>
    <w:rsid w:val="0031166B"/>
    <w:rsid w:val="003118E5"/>
    <w:rsid w:val="00312F75"/>
    <w:rsid w:val="003132A4"/>
    <w:rsid w:val="003138A9"/>
    <w:rsid w:val="00314325"/>
    <w:rsid w:val="003148B8"/>
    <w:rsid w:val="003159A3"/>
    <w:rsid w:val="00316047"/>
    <w:rsid w:val="00316563"/>
    <w:rsid w:val="003165C0"/>
    <w:rsid w:val="00316895"/>
    <w:rsid w:val="00316A49"/>
    <w:rsid w:val="00316F19"/>
    <w:rsid w:val="00317A73"/>
    <w:rsid w:val="00321154"/>
    <w:rsid w:val="00321828"/>
    <w:rsid w:val="00322356"/>
    <w:rsid w:val="00323473"/>
    <w:rsid w:val="00323A2F"/>
    <w:rsid w:val="00323E0B"/>
    <w:rsid w:val="00324BAF"/>
    <w:rsid w:val="00324E70"/>
    <w:rsid w:val="00325170"/>
    <w:rsid w:val="00325CC9"/>
    <w:rsid w:val="00326547"/>
    <w:rsid w:val="00327844"/>
    <w:rsid w:val="00327BCF"/>
    <w:rsid w:val="00330543"/>
    <w:rsid w:val="00330C49"/>
    <w:rsid w:val="00331A8F"/>
    <w:rsid w:val="00332364"/>
    <w:rsid w:val="00332F0D"/>
    <w:rsid w:val="00333255"/>
    <w:rsid w:val="00333524"/>
    <w:rsid w:val="00333723"/>
    <w:rsid w:val="003342A2"/>
    <w:rsid w:val="003348C9"/>
    <w:rsid w:val="0033506A"/>
    <w:rsid w:val="003357FF"/>
    <w:rsid w:val="0033623A"/>
    <w:rsid w:val="0033664B"/>
    <w:rsid w:val="00336838"/>
    <w:rsid w:val="0033689D"/>
    <w:rsid w:val="0033728B"/>
    <w:rsid w:val="00340915"/>
    <w:rsid w:val="003412E1"/>
    <w:rsid w:val="003417E1"/>
    <w:rsid w:val="00341CD5"/>
    <w:rsid w:val="003427C7"/>
    <w:rsid w:val="00342D32"/>
    <w:rsid w:val="00343DD2"/>
    <w:rsid w:val="00346E3F"/>
    <w:rsid w:val="003476BD"/>
    <w:rsid w:val="003478BD"/>
    <w:rsid w:val="003508FF"/>
    <w:rsid w:val="00351239"/>
    <w:rsid w:val="00351326"/>
    <w:rsid w:val="00352380"/>
    <w:rsid w:val="003526D3"/>
    <w:rsid w:val="00352E73"/>
    <w:rsid w:val="00353CD6"/>
    <w:rsid w:val="00353D64"/>
    <w:rsid w:val="00354303"/>
    <w:rsid w:val="00354C43"/>
    <w:rsid w:val="00354D77"/>
    <w:rsid w:val="00355299"/>
    <w:rsid w:val="003557AE"/>
    <w:rsid w:val="00356CCD"/>
    <w:rsid w:val="003601E3"/>
    <w:rsid w:val="003602BB"/>
    <w:rsid w:val="0036091B"/>
    <w:rsid w:val="00360D4E"/>
    <w:rsid w:val="00360DA9"/>
    <w:rsid w:val="00360E34"/>
    <w:rsid w:val="003616FF"/>
    <w:rsid w:val="00361AA5"/>
    <w:rsid w:val="00361FED"/>
    <w:rsid w:val="003627A0"/>
    <w:rsid w:val="003627DE"/>
    <w:rsid w:val="00362E46"/>
    <w:rsid w:val="00364D38"/>
    <w:rsid w:val="00365592"/>
    <w:rsid w:val="00365E22"/>
    <w:rsid w:val="0036676A"/>
    <w:rsid w:val="003700FC"/>
    <w:rsid w:val="003719D3"/>
    <w:rsid w:val="00371AD6"/>
    <w:rsid w:val="0037284F"/>
    <w:rsid w:val="0037340E"/>
    <w:rsid w:val="003745BE"/>
    <w:rsid w:val="0037487A"/>
    <w:rsid w:val="00374911"/>
    <w:rsid w:val="00374DC5"/>
    <w:rsid w:val="0037516D"/>
    <w:rsid w:val="00375186"/>
    <w:rsid w:val="003759E1"/>
    <w:rsid w:val="003761FC"/>
    <w:rsid w:val="0037640F"/>
    <w:rsid w:val="0037704A"/>
    <w:rsid w:val="003771D9"/>
    <w:rsid w:val="003771F9"/>
    <w:rsid w:val="00377425"/>
    <w:rsid w:val="00377920"/>
    <w:rsid w:val="00380818"/>
    <w:rsid w:val="00381FFB"/>
    <w:rsid w:val="00382ADB"/>
    <w:rsid w:val="00382B66"/>
    <w:rsid w:val="003834BD"/>
    <w:rsid w:val="00383A5E"/>
    <w:rsid w:val="00383D6C"/>
    <w:rsid w:val="00383E48"/>
    <w:rsid w:val="003849BA"/>
    <w:rsid w:val="00384A4C"/>
    <w:rsid w:val="003864CA"/>
    <w:rsid w:val="00387363"/>
    <w:rsid w:val="003878F8"/>
    <w:rsid w:val="00387B7C"/>
    <w:rsid w:val="003905AD"/>
    <w:rsid w:val="003906DF"/>
    <w:rsid w:val="00390A26"/>
    <w:rsid w:val="00392301"/>
    <w:rsid w:val="00392B29"/>
    <w:rsid w:val="003934C0"/>
    <w:rsid w:val="0039406B"/>
    <w:rsid w:val="00394E8B"/>
    <w:rsid w:val="003958FA"/>
    <w:rsid w:val="0039592F"/>
    <w:rsid w:val="00395B4F"/>
    <w:rsid w:val="00395C52"/>
    <w:rsid w:val="00395E3F"/>
    <w:rsid w:val="003960A8"/>
    <w:rsid w:val="00396821"/>
    <w:rsid w:val="003971D2"/>
    <w:rsid w:val="003979EF"/>
    <w:rsid w:val="00397D57"/>
    <w:rsid w:val="003A045F"/>
    <w:rsid w:val="003A161A"/>
    <w:rsid w:val="003A1E7F"/>
    <w:rsid w:val="003A2F5C"/>
    <w:rsid w:val="003A3515"/>
    <w:rsid w:val="003A356F"/>
    <w:rsid w:val="003A35C3"/>
    <w:rsid w:val="003A3D13"/>
    <w:rsid w:val="003A4686"/>
    <w:rsid w:val="003A547F"/>
    <w:rsid w:val="003A56DA"/>
    <w:rsid w:val="003A6658"/>
    <w:rsid w:val="003A6B47"/>
    <w:rsid w:val="003A79D8"/>
    <w:rsid w:val="003B100A"/>
    <w:rsid w:val="003B12AD"/>
    <w:rsid w:val="003B162E"/>
    <w:rsid w:val="003B1668"/>
    <w:rsid w:val="003B267D"/>
    <w:rsid w:val="003B4E8A"/>
    <w:rsid w:val="003B58B0"/>
    <w:rsid w:val="003B63AD"/>
    <w:rsid w:val="003B6E0C"/>
    <w:rsid w:val="003B706F"/>
    <w:rsid w:val="003C0AA6"/>
    <w:rsid w:val="003C0D0A"/>
    <w:rsid w:val="003C15DD"/>
    <w:rsid w:val="003C207A"/>
    <w:rsid w:val="003C256F"/>
    <w:rsid w:val="003C2663"/>
    <w:rsid w:val="003C364E"/>
    <w:rsid w:val="003C4E4D"/>
    <w:rsid w:val="003C5341"/>
    <w:rsid w:val="003C58E3"/>
    <w:rsid w:val="003C73FC"/>
    <w:rsid w:val="003C79DB"/>
    <w:rsid w:val="003D1358"/>
    <w:rsid w:val="003D2B60"/>
    <w:rsid w:val="003D319F"/>
    <w:rsid w:val="003D3E5A"/>
    <w:rsid w:val="003D4001"/>
    <w:rsid w:val="003D451C"/>
    <w:rsid w:val="003D4568"/>
    <w:rsid w:val="003D4DE2"/>
    <w:rsid w:val="003D5436"/>
    <w:rsid w:val="003D579E"/>
    <w:rsid w:val="003D6CD3"/>
    <w:rsid w:val="003D7867"/>
    <w:rsid w:val="003E0496"/>
    <w:rsid w:val="003E1871"/>
    <w:rsid w:val="003E1998"/>
    <w:rsid w:val="003E3201"/>
    <w:rsid w:val="003E3306"/>
    <w:rsid w:val="003E3843"/>
    <w:rsid w:val="003E3B73"/>
    <w:rsid w:val="003E460A"/>
    <w:rsid w:val="003E4913"/>
    <w:rsid w:val="003E4AF2"/>
    <w:rsid w:val="003E601E"/>
    <w:rsid w:val="003E63C6"/>
    <w:rsid w:val="003E7A47"/>
    <w:rsid w:val="003F0CA5"/>
    <w:rsid w:val="003F135E"/>
    <w:rsid w:val="003F20D1"/>
    <w:rsid w:val="003F29EB"/>
    <w:rsid w:val="003F2D70"/>
    <w:rsid w:val="003F3488"/>
    <w:rsid w:val="003F34FE"/>
    <w:rsid w:val="003F46F4"/>
    <w:rsid w:val="003F7A2B"/>
    <w:rsid w:val="003F7D23"/>
    <w:rsid w:val="00400595"/>
    <w:rsid w:val="00400F62"/>
    <w:rsid w:val="00402B0C"/>
    <w:rsid w:val="00403839"/>
    <w:rsid w:val="00403BD6"/>
    <w:rsid w:val="00403DA2"/>
    <w:rsid w:val="00405A4E"/>
    <w:rsid w:val="00405B1E"/>
    <w:rsid w:val="00406857"/>
    <w:rsid w:val="00406C1D"/>
    <w:rsid w:val="004079B8"/>
    <w:rsid w:val="00407BC4"/>
    <w:rsid w:val="00410CDB"/>
    <w:rsid w:val="00411561"/>
    <w:rsid w:val="00411A6E"/>
    <w:rsid w:val="00411D80"/>
    <w:rsid w:val="00411F04"/>
    <w:rsid w:val="00412139"/>
    <w:rsid w:val="00412152"/>
    <w:rsid w:val="0041288B"/>
    <w:rsid w:val="00414FD2"/>
    <w:rsid w:val="00416324"/>
    <w:rsid w:val="004163E9"/>
    <w:rsid w:val="00416A25"/>
    <w:rsid w:val="00416B5B"/>
    <w:rsid w:val="004175B3"/>
    <w:rsid w:val="004207BF"/>
    <w:rsid w:val="0042081B"/>
    <w:rsid w:val="00421279"/>
    <w:rsid w:val="004217C3"/>
    <w:rsid w:val="004218D1"/>
    <w:rsid w:val="004223F0"/>
    <w:rsid w:val="00422A46"/>
    <w:rsid w:val="00423C95"/>
    <w:rsid w:val="0042500B"/>
    <w:rsid w:val="004252F1"/>
    <w:rsid w:val="00426850"/>
    <w:rsid w:val="00426CDA"/>
    <w:rsid w:val="004277DA"/>
    <w:rsid w:val="00430137"/>
    <w:rsid w:val="00431454"/>
    <w:rsid w:val="004322B5"/>
    <w:rsid w:val="00432AA2"/>
    <w:rsid w:val="00432CB6"/>
    <w:rsid w:val="00433105"/>
    <w:rsid w:val="00434C41"/>
    <w:rsid w:val="00434F0C"/>
    <w:rsid w:val="00436505"/>
    <w:rsid w:val="004372A1"/>
    <w:rsid w:val="00437B1E"/>
    <w:rsid w:val="00440735"/>
    <w:rsid w:val="00440AF6"/>
    <w:rsid w:val="004412B2"/>
    <w:rsid w:val="00443628"/>
    <w:rsid w:val="0044370C"/>
    <w:rsid w:val="00443ACB"/>
    <w:rsid w:val="00443C8E"/>
    <w:rsid w:val="0044401D"/>
    <w:rsid w:val="0044420C"/>
    <w:rsid w:val="00444606"/>
    <w:rsid w:val="00445B49"/>
    <w:rsid w:val="004466F2"/>
    <w:rsid w:val="00450387"/>
    <w:rsid w:val="00450506"/>
    <w:rsid w:val="0045089B"/>
    <w:rsid w:val="0045126B"/>
    <w:rsid w:val="004515A6"/>
    <w:rsid w:val="004527F2"/>
    <w:rsid w:val="004544E6"/>
    <w:rsid w:val="00454B0E"/>
    <w:rsid w:val="004558D2"/>
    <w:rsid w:val="00455DBB"/>
    <w:rsid w:val="004566BC"/>
    <w:rsid w:val="0045790E"/>
    <w:rsid w:val="00457F70"/>
    <w:rsid w:val="004604E8"/>
    <w:rsid w:val="004613D8"/>
    <w:rsid w:val="00462312"/>
    <w:rsid w:val="00463F34"/>
    <w:rsid w:val="00464609"/>
    <w:rsid w:val="00464C71"/>
    <w:rsid w:val="004652BE"/>
    <w:rsid w:val="00465FD0"/>
    <w:rsid w:val="00466B9B"/>
    <w:rsid w:val="00467326"/>
    <w:rsid w:val="00471E27"/>
    <w:rsid w:val="0047345A"/>
    <w:rsid w:val="00473757"/>
    <w:rsid w:val="004742AE"/>
    <w:rsid w:val="00474CD3"/>
    <w:rsid w:val="0047778F"/>
    <w:rsid w:val="00477DC0"/>
    <w:rsid w:val="00481549"/>
    <w:rsid w:val="004818DC"/>
    <w:rsid w:val="004820F4"/>
    <w:rsid w:val="00482B03"/>
    <w:rsid w:val="0048315C"/>
    <w:rsid w:val="00484220"/>
    <w:rsid w:val="004845FB"/>
    <w:rsid w:val="00484E18"/>
    <w:rsid w:val="00484FB9"/>
    <w:rsid w:val="0048567B"/>
    <w:rsid w:val="00485BC7"/>
    <w:rsid w:val="004863CD"/>
    <w:rsid w:val="0048667D"/>
    <w:rsid w:val="00486C60"/>
    <w:rsid w:val="00486F4E"/>
    <w:rsid w:val="004877B3"/>
    <w:rsid w:val="00487A79"/>
    <w:rsid w:val="00487BD6"/>
    <w:rsid w:val="00487E0F"/>
    <w:rsid w:val="004911BB"/>
    <w:rsid w:val="00491858"/>
    <w:rsid w:val="00491CD9"/>
    <w:rsid w:val="004926AA"/>
    <w:rsid w:val="00492885"/>
    <w:rsid w:val="004928EF"/>
    <w:rsid w:val="00492C8C"/>
    <w:rsid w:val="00492CD8"/>
    <w:rsid w:val="0049314D"/>
    <w:rsid w:val="004939B2"/>
    <w:rsid w:val="00493DC1"/>
    <w:rsid w:val="0049578C"/>
    <w:rsid w:val="004960BE"/>
    <w:rsid w:val="00496F23"/>
    <w:rsid w:val="00497EA3"/>
    <w:rsid w:val="004A054D"/>
    <w:rsid w:val="004A2541"/>
    <w:rsid w:val="004A2A8B"/>
    <w:rsid w:val="004A2CE3"/>
    <w:rsid w:val="004A2E88"/>
    <w:rsid w:val="004A3BE8"/>
    <w:rsid w:val="004A4DFF"/>
    <w:rsid w:val="004A6D4B"/>
    <w:rsid w:val="004A736B"/>
    <w:rsid w:val="004A7400"/>
    <w:rsid w:val="004A7498"/>
    <w:rsid w:val="004B2FE4"/>
    <w:rsid w:val="004B33AF"/>
    <w:rsid w:val="004B3DEC"/>
    <w:rsid w:val="004B4640"/>
    <w:rsid w:val="004B4EDE"/>
    <w:rsid w:val="004B53D6"/>
    <w:rsid w:val="004B6A30"/>
    <w:rsid w:val="004B7A03"/>
    <w:rsid w:val="004B7F71"/>
    <w:rsid w:val="004C2B68"/>
    <w:rsid w:val="004C2BF2"/>
    <w:rsid w:val="004C2DA6"/>
    <w:rsid w:val="004C2F61"/>
    <w:rsid w:val="004C37C8"/>
    <w:rsid w:val="004C3D90"/>
    <w:rsid w:val="004C3DDD"/>
    <w:rsid w:val="004C4BA7"/>
    <w:rsid w:val="004C5049"/>
    <w:rsid w:val="004C561F"/>
    <w:rsid w:val="004C59CE"/>
    <w:rsid w:val="004C5C5D"/>
    <w:rsid w:val="004C6431"/>
    <w:rsid w:val="004C663C"/>
    <w:rsid w:val="004C6C43"/>
    <w:rsid w:val="004D0440"/>
    <w:rsid w:val="004D15A0"/>
    <w:rsid w:val="004D1A09"/>
    <w:rsid w:val="004D1DFD"/>
    <w:rsid w:val="004D2E8A"/>
    <w:rsid w:val="004D2F8C"/>
    <w:rsid w:val="004D3FA6"/>
    <w:rsid w:val="004D4428"/>
    <w:rsid w:val="004D4F19"/>
    <w:rsid w:val="004D56E0"/>
    <w:rsid w:val="004D627A"/>
    <w:rsid w:val="004D69D2"/>
    <w:rsid w:val="004D6AD3"/>
    <w:rsid w:val="004D7CF6"/>
    <w:rsid w:val="004E0366"/>
    <w:rsid w:val="004E04CF"/>
    <w:rsid w:val="004E0B9C"/>
    <w:rsid w:val="004E11DF"/>
    <w:rsid w:val="004E2177"/>
    <w:rsid w:val="004E2C3F"/>
    <w:rsid w:val="004E3677"/>
    <w:rsid w:val="004E36B4"/>
    <w:rsid w:val="004E3C96"/>
    <w:rsid w:val="004E42CB"/>
    <w:rsid w:val="004E65EE"/>
    <w:rsid w:val="004E6D13"/>
    <w:rsid w:val="004E6D5B"/>
    <w:rsid w:val="004E7ED5"/>
    <w:rsid w:val="004F010A"/>
    <w:rsid w:val="004F1229"/>
    <w:rsid w:val="004F1776"/>
    <w:rsid w:val="004F1BA4"/>
    <w:rsid w:val="004F2DFD"/>
    <w:rsid w:val="004F43AD"/>
    <w:rsid w:val="004F446C"/>
    <w:rsid w:val="004F476D"/>
    <w:rsid w:val="004F52CE"/>
    <w:rsid w:val="004F5F19"/>
    <w:rsid w:val="004F71CB"/>
    <w:rsid w:val="004F7B01"/>
    <w:rsid w:val="00500B55"/>
    <w:rsid w:val="00500FAB"/>
    <w:rsid w:val="00501673"/>
    <w:rsid w:val="00502383"/>
    <w:rsid w:val="005025D1"/>
    <w:rsid w:val="00503C20"/>
    <w:rsid w:val="00503FD4"/>
    <w:rsid w:val="0050545C"/>
    <w:rsid w:val="00505745"/>
    <w:rsid w:val="00505858"/>
    <w:rsid w:val="00506968"/>
    <w:rsid w:val="005070DC"/>
    <w:rsid w:val="00507585"/>
    <w:rsid w:val="00507BAB"/>
    <w:rsid w:val="00510B26"/>
    <w:rsid w:val="005110A1"/>
    <w:rsid w:val="00511CF9"/>
    <w:rsid w:val="00514271"/>
    <w:rsid w:val="005146DA"/>
    <w:rsid w:val="00514D82"/>
    <w:rsid w:val="00515472"/>
    <w:rsid w:val="00515BFB"/>
    <w:rsid w:val="0051638E"/>
    <w:rsid w:val="00516DE5"/>
    <w:rsid w:val="005179D1"/>
    <w:rsid w:val="0052005A"/>
    <w:rsid w:val="005236D3"/>
    <w:rsid w:val="00523721"/>
    <w:rsid w:val="005253A4"/>
    <w:rsid w:val="0052578F"/>
    <w:rsid w:val="005262AD"/>
    <w:rsid w:val="00526AB0"/>
    <w:rsid w:val="00531298"/>
    <w:rsid w:val="00532EDE"/>
    <w:rsid w:val="005332B0"/>
    <w:rsid w:val="00533465"/>
    <w:rsid w:val="00534586"/>
    <w:rsid w:val="0053585F"/>
    <w:rsid w:val="0053610E"/>
    <w:rsid w:val="0053703A"/>
    <w:rsid w:val="00537B57"/>
    <w:rsid w:val="00537D1B"/>
    <w:rsid w:val="00543F00"/>
    <w:rsid w:val="00544405"/>
    <w:rsid w:val="005445E2"/>
    <w:rsid w:val="0054524D"/>
    <w:rsid w:val="0054581A"/>
    <w:rsid w:val="00545B26"/>
    <w:rsid w:val="00550E6A"/>
    <w:rsid w:val="00551063"/>
    <w:rsid w:val="0055118B"/>
    <w:rsid w:val="00551A02"/>
    <w:rsid w:val="0055231C"/>
    <w:rsid w:val="00552EE8"/>
    <w:rsid w:val="00554CDF"/>
    <w:rsid w:val="005559F0"/>
    <w:rsid w:val="00555A60"/>
    <w:rsid w:val="00555E9E"/>
    <w:rsid w:val="005575C3"/>
    <w:rsid w:val="00557F7A"/>
    <w:rsid w:val="005604AF"/>
    <w:rsid w:val="00560A99"/>
    <w:rsid w:val="00560BD7"/>
    <w:rsid w:val="00561297"/>
    <w:rsid w:val="00562102"/>
    <w:rsid w:val="005623C8"/>
    <w:rsid w:val="005632B3"/>
    <w:rsid w:val="0056342D"/>
    <w:rsid w:val="00563644"/>
    <w:rsid w:val="005639B6"/>
    <w:rsid w:val="00563B23"/>
    <w:rsid w:val="00564404"/>
    <w:rsid w:val="0056617E"/>
    <w:rsid w:val="00566C3B"/>
    <w:rsid w:val="00566C9F"/>
    <w:rsid w:val="00566E11"/>
    <w:rsid w:val="00567C37"/>
    <w:rsid w:val="00570665"/>
    <w:rsid w:val="00570F75"/>
    <w:rsid w:val="005710C1"/>
    <w:rsid w:val="00571524"/>
    <w:rsid w:val="005718DF"/>
    <w:rsid w:val="00571D12"/>
    <w:rsid w:val="005720EC"/>
    <w:rsid w:val="0057336A"/>
    <w:rsid w:val="005733B1"/>
    <w:rsid w:val="00574622"/>
    <w:rsid w:val="005752DE"/>
    <w:rsid w:val="0057655A"/>
    <w:rsid w:val="005772FA"/>
    <w:rsid w:val="00577560"/>
    <w:rsid w:val="00577889"/>
    <w:rsid w:val="00577B8A"/>
    <w:rsid w:val="005804DB"/>
    <w:rsid w:val="005818AE"/>
    <w:rsid w:val="00581B13"/>
    <w:rsid w:val="00581FC3"/>
    <w:rsid w:val="00582094"/>
    <w:rsid w:val="00582B08"/>
    <w:rsid w:val="00583080"/>
    <w:rsid w:val="0058318F"/>
    <w:rsid w:val="00584137"/>
    <w:rsid w:val="005843E9"/>
    <w:rsid w:val="0058456D"/>
    <w:rsid w:val="005845D4"/>
    <w:rsid w:val="00584697"/>
    <w:rsid w:val="00584772"/>
    <w:rsid w:val="00584E3F"/>
    <w:rsid w:val="005856E3"/>
    <w:rsid w:val="005863AF"/>
    <w:rsid w:val="005867A1"/>
    <w:rsid w:val="00587CCB"/>
    <w:rsid w:val="00591EC6"/>
    <w:rsid w:val="005921DA"/>
    <w:rsid w:val="00592F4C"/>
    <w:rsid w:val="00593068"/>
    <w:rsid w:val="00593A27"/>
    <w:rsid w:val="0059420E"/>
    <w:rsid w:val="00595576"/>
    <w:rsid w:val="005956D9"/>
    <w:rsid w:val="005963DC"/>
    <w:rsid w:val="005963E6"/>
    <w:rsid w:val="005966BE"/>
    <w:rsid w:val="00597593"/>
    <w:rsid w:val="005A0CE5"/>
    <w:rsid w:val="005A157C"/>
    <w:rsid w:val="005A2671"/>
    <w:rsid w:val="005A2B0B"/>
    <w:rsid w:val="005A33D4"/>
    <w:rsid w:val="005A3B76"/>
    <w:rsid w:val="005A46FA"/>
    <w:rsid w:val="005A6259"/>
    <w:rsid w:val="005A6769"/>
    <w:rsid w:val="005B130D"/>
    <w:rsid w:val="005B1D6D"/>
    <w:rsid w:val="005B3092"/>
    <w:rsid w:val="005B36F1"/>
    <w:rsid w:val="005B42B4"/>
    <w:rsid w:val="005B436B"/>
    <w:rsid w:val="005B43C6"/>
    <w:rsid w:val="005B44FC"/>
    <w:rsid w:val="005B4501"/>
    <w:rsid w:val="005B5649"/>
    <w:rsid w:val="005B5A4A"/>
    <w:rsid w:val="005B5CAE"/>
    <w:rsid w:val="005B6787"/>
    <w:rsid w:val="005B6893"/>
    <w:rsid w:val="005B699D"/>
    <w:rsid w:val="005B6CA4"/>
    <w:rsid w:val="005B7864"/>
    <w:rsid w:val="005C0018"/>
    <w:rsid w:val="005C0777"/>
    <w:rsid w:val="005C1111"/>
    <w:rsid w:val="005C130E"/>
    <w:rsid w:val="005C2194"/>
    <w:rsid w:val="005C3236"/>
    <w:rsid w:val="005C3C5A"/>
    <w:rsid w:val="005C402F"/>
    <w:rsid w:val="005C4BC5"/>
    <w:rsid w:val="005C5936"/>
    <w:rsid w:val="005C5A7C"/>
    <w:rsid w:val="005C64EF"/>
    <w:rsid w:val="005C6959"/>
    <w:rsid w:val="005C7093"/>
    <w:rsid w:val="005C76D8"/>
    <w:rsid w:val="005C7AA2"/>
    <w:rsid w:val="005C7DAD"/>
    <w:rsid w:val="005C7E64"/>
    <w:rsid w:val="005D1EC6"/>
    <w:rsid w:val="005D2353"/>
    <w:rsid w:val="005D248A"/>
    <w:rsid w:val="005D2735"/>
    <w:rsid w:val="005D286C"/>
    <w:rsid w:val="005D28F2"/>
    <w:rsid w:val="005D2AC3"/>
    <w:rsid w:val="005D31D3"/>
    <w:rsid w:val="005D32C6"/>
    <w:rsid w:val="005D355B"/>
    <w:rsid w:val="005D427F"/>
    <w:rsid w:val="005D42F9"/>
    <w:rsid w:val="005D4421"/>
    <w:rsid w:val="005D4700"/>
    <w:rsid w:val="005D4E71"/>
    <w:rsid w:val="005D5CAD"/>
    <w:rsid w:val="005D62E8"/>
    <w:rsid w:val="005D6FDC"/>
    <w:rsid w:val="005D7D13"/>
    <w:rsid w:val="005E089F"/>
    <w:rsid w:val="005E0D3F"/>
    <w:rsid w:val="005E12E6"/>
    <w:rsid w:val="005E2A6D"/>
    <w:rsid w:val="005E4480"/>
    <w:rsid w:val="005E4B66"/>
    <w:rsid w:val="005E4FA0"/>
    <w:rsid w:val="005E52C3"/>
    <w:rsid w:val="005E548B"/>
    <w:rsid w:val="005E57F4"/>
    <w:rsid w:val="005E59A1"/>
    <w:rsid w:val="005E66D4"/>
    <w:rsid w:val="005E71D6"/>
    <w:rsid w:val="005E78AB"/>
    <w:rsid w:val="005F13FD"/>
    <w:rsid w:val="005F1874"/>
    <w:rsid w:val="005F1A81"/>
    <w:rsid w:val="005F2A75"/>
    <w:rsid w:val="005F31A1"/>
    <w:rsid w:val="005F3D36"/>
    <w:rsid w:val="005F5A8E"/>
    <w:rsid w:val="005F68D4"/>
    <w:rsid w:val="005F79C9"/>
    <w:rsid w:val="005F7EA3"/>
    <w:rsid w:val="005F7FA5"/>
    <w:rsid w:val="005F7FDA"/>
    <w:rsid w:val="006008AA"/>
    <w:rsid w:val="00601938"/>
    <w:rsid w:val="00603263"/>
    <w:rsid w:val="0060396B"/>
    <w:rsid w:val="00603CB5"/>
    <w:rsid w:val="00605785"/>
    <w:rsid w:val="00610169"/>
    <w:rsid w:val="00611BC2"/>
    <w:rsid w:val="006134CA"/>
    <w:rsid w:val="006135C6"/>
    <w:rsid w:val="00615362"/>
    <w:rsid w:val="006157A8"/>
    <w:rsid w:val="0061664E"/>
    <w:rsid w:val="00620DED"/>
    <w:rsid w:val="006215FE"/>
    <w:rsid w:val="00622845"/>
    <w:rsid w:val="00623D1F"/>
    <w:rsid w:val="00624163"/>
    <w:rsid w:val="00625859"/>
    <w:rsid w:val="006258CB"/>
    <w:rsid w:val="00625CE4"/>
    <w:rsid w:val="0062612C"/>
    <w:rsid w:val="006265C7"/>
    <w:rsid w:val="006266F0"/>
    <w:rsid w:val="00626AC9"/>
    <w:rsid w:val="0063056A"/>
    <w:rsid w:val="00631592"/>
    <w:rsid w:val="00631983"/>
    <w:rsid w:val="00631CB7"/>
    <w:rsid w:val="0063207E"/>
    <w:rsid w:val="006326E1"/>
    <w:rsid w:val="006334E0"/>
    <w:rsid w:val="00635CF7"/>
    <w:rsid w:val="006366C9"/>
    <w:rsid w:val="006367C1"/>
    <w:rsid w:val="00640C9F"/>
    <w:rsid w:val="006418F3"/>
    <w:rsid w:val="00641EC4"/>
    <w:rsid w:val="00642500"/>
    <w:rsid w:val="00643E47"/>
    <w:rsid w:val="00645091"/>
    <w:rsid w:val="00645703"/>
    <w:rsid w:val="00646315"/>
    <w:rsid w:val="0064687E"/>
    <w:rsid w:val="00646EEB"/>
    <w:rsid w:val="006470E6"/>
    <w:rsid w:val="00647952"/>
    <w:rsid w:val="0065058B"/>
    <w:rsid w:val="0065103A"/>
    <w:rsid w:val="006513B9"/>
    <w:rsid w:val="00652E4B"/>
    <w:rsid w:val="00653664"/>
    <w:rsid w:val="00654A16"/>
    <w:rsid w:val="0065526D"/>
    <w:rsid w:val="006561A1"/>
    <w:rsid w:val="006572FB"/>
    <w:rsid w:val="0065769A"/>
    <w:rsid w:val="006615C7"/>
    <w:rsid w:val="0066160B"/>
    <w:rsid w:val="006625F2"/>
    <w:rsid w:val="00662EF3"/>
    <w:rsid w:val="006635D7"/>
    <w:rsid w:val="00663A50"/>
    <w:rsid w:val="00663FEB"/>
    <w:rsid w:val="00665081"/>
    <w:rsid w:val="00665E3E"/>
    <w:rsid w:val="006704D1"/>
    <w:rsid w:val="00670F2F"/>
    <w:rsid w:val="00670FBA"/>
    <w:rsid w:val="00672111"/>
    <w:rsid w:val="00672B51"/>
    <w:rsid w:val="00672F9D"/>
    <w:rsid w:val="00673313"/>
    <w:rsid w:val="0067344B"/>
    <w:rsid w:val="00673C51"/>
    <w:rsid w:val="00674601"/>
    <w:rsid w:val="0067599B"/>
    <w:rsid w:val="00675BFC"/>
    <w:rsid w:val="00676233"/>
    <w:rsid w:val="006768D8"/>
    <w:rsid w:val="00676CF3"/>
    <w:rsid w:val="00676E40"/>
    <w:rsid w:val="00677126"/>
    <w:rsid w:val="006774E1"/>
    <w:rsid w:val="00677A85"/>
    <w:rsid w:val="00677E32"/>
    <w:rsid w:val="00680329"/>
    <w:rsid w:val="0068109F"/>
    <w:rsid w:val="006818F0"/>
    <w:rsid w:val="00682FD0"/>
    <w:rsid w:val="0068328C"/>
    <w:rsid w:val="006835C4"/>
    <w:rsid w:val="00683E28"/>
    <w:rsid w:val="00685F0C"/>
    <w:rsid w:val="00686CC6"/>
    <w:rsid w:val="006875A8"/>
    <w:rsid w:val="00687ECF"/>
    <w:rsid w:val="00690887"/>
    <w:rsid w:val="00691642"/>
    <w:rsid w:val="00691E6C"/>
    <w:rsid w:val="00692758"/>
    <w:rsid w:val="006936FF"/>
    <w:rsid w:val="00693980"/>
    <w:rsid w:val="00693A2A"/>
    <w:rsid w:val="0069440F"/>
    <w:rsid w:val="006957EA"/>
    <w:rsid w:val="00695FD9"/>
    <w:rsid w:val="006A0AF7"/>
    <w:rsid w:val="006A0E64"/>
    <w:rsid w:val="006A0F10"/>
    <w:rsid w:val="006A1F42"/>
    <w:rsid w:val="006A21B2"/>
    <w:rsid w:val="006A3111"/>
    <w:rsid w:val="006A4885"/>
    <w:rsid w:val="006A5D82"/>
    <w:rsid w:val="006A65C1"/>
    <w:rsid w:val="006A77E3"/>
    <w:rsid w:val="006B101D"/>
    <w:rsid w:val="006B1361"/>
    <w:rsid w:val="006B24DB"/>
    <w:rsid w:val="006B2671"/>
    <w:rsid w:val="006B2764"/>
    <w:rsid w:val="006B2FF1"/>
    <w:rsid w:val="006B2FF8"/>
    <w:rsid w:val="006B330A"/>
    <w:rsid w:val="006B3A30"/>
    <w:rsid w:val="006B462F"/>
    <w:rsid w:val="006B4E1A"/>
    <w:rsid w:val="006B4F4C"/>
    <w:rsid w:val="006B5741"/>
    <w:rsid w:val="006B57D1"/>
    <w:rsid w:val="006B592A"/>
    <w:rsid w:val="006B5E9A"/>
    <w:rsid w:val="006B6319"/>
    <w:rsid w:val="006B687F"/>
    <w:rsid w:val="006B6B40"/>
    <w:rsid w:val="006B718C"/>
    <w:rsid w:val="006B7553"/>
    <w:rsid w:val="006B7DF5"/>
    <w:rsid w:val="006C06B6"/>
    <w:rsid w:val="006C1060"/>
    <w:rsid w:val="006C149E"/>
    <w:rsid w:val="006C1F82"/>
    <w:rsid w:val="006C204B"/>
    <w:rsid w:val="006C3ED3"/>
    <w:rsid w:val="006C425F"/>
    <w:rsid w:val="006C4DCA"/>
    <w:rsid w:val="006C5281"/>
    <w:rsid w:val="006C5663"/>
    <w:rsid w:val="006C5AC7"/>
    <w:rsid w:val="006C5F57"/>
    <w:rsid w:val="006C68D3"/>
    <w:rsid w:val="006C68DC"/>
    <w:rsid w:val="006C6AB0"/>
    <w:rsid w:val="006D12C1"/>
    <w:rsid w:val="006D1B1D"/>
    <w:rsid w:val="006D25D0"/>
    <w:rsid w:val="006D3CA8"/>
    <w:rsid w:val="006D4097"/>
    <w:rsid w:val="006D4C88"/>
    <w:rsid w:val="006D4EDC"/>
    <w:rsid w:val="006D4F44"/>
    <w:rsid w:val="006D58EA"/>
    <w:rsid w:val="006D5A0A"/>
    <w:rsid w:val="006D5DFD"/>
    <w:rsid w:val="006D6AA0"/>
    <w:rsid w:val="006E172D"/>
    <w:rsid w:val="006E28FA"/>
    <w:rsid w:val="006E29A7"/>
    <w:rsid w:val="006E43C8"/>
    <w:rsid w:val="006E44B5"/>
    <w:rsid w:val="006E4BF8"/>
    <w:rsid w:val="006E51EB"/>
    <w:rsid w:val="006E62A2"/>
    <w:rsid w:val="006E65CC"/>
    <w:rsid w:val="006E73C5"/>
    <w:rsid w:val="006E7B1A"/>
    <w:rsid w:val="006F06C4"/>
    <w:rsid w:val="006F0C6C"/>
    <w:rsid w:val="006F0F0A"/>
    <w:rsid w:val="006F1617"/>
    <w:rsid w:val="006F1A19"/>
    <w:rsid w:val="006F1DCD"/>
    <w:rsid w:val="006F202F"/>
    <w:rsid w:val="006F2894"/>
    <w:rsid w:val="006F29D1"/>
    <w:rsid w:val="006F2BA4"/>
    <w:rsid w:val="006F32CA"/>
    <w:rsid w:val="006F36A6"/>
    <w:rsid w:val="006F46E0"/>
    <w:rsid w:val="006F5614"/>
    <w:rsid w:val="006F703B"/>
    <w:rsid w:val="0070014A"/>
    <w:rsid w:val="007003D6"/>
    <w:rsid w:val="00702873"/>
    <w:rsid w:val="00702B30"/>
    <w:rsid w:val="007032D5"/>
    <w:rsid w:val="00703342"/>
    <w:rsid w:val="00703627"/>
    <w:rsid w:val="0070385E"/>
    <w:rsid w:val="00704438"/>
    <w:rsid w:val="007055BD"/>
    <w:rsid w:val="00705983"/>
    <w:rsid w:val="007064D6"/>
    <w:rsid w:val="00706894"/>
    <w:rsid w:val="007101AB"/>
    <w:rsid w:val="007103FC"/>
    <w:rsid w:val="00710529"/>
    <w:rsid w:val="00711501"/>
    <w:rsid w:val="0071470B"/>
    <w:rsid w:val="007160EF"/>
    <w:rsid w:val="007166F2"/>
    <w:rsid w:val="00716850"/>
    <w:rsid w:val="00721061"/>
    <w:rsid w:val="00721343"/>
    <w:rsid w:val="007221E7"/>
    <w:rsid w:val="00723B64"/>
    <w:rsid w:val="00725E81"/>
    <w:rsid w:val="00726921"/>
    <w:rsid w:val="00727928"/>
    <w:rsid w:val="00730D09"/>
    <w:rsid w:val="00731891"/>
    <w:rsid w:val="00731DF8"/>
    <w:rsid w:val="007335A9"/>
    <w:rsid w:val="00733825"/>
    <w:rsid w:val="007339E9"/>
    <w:rsid w:val="0073498A"/>
    <w:rsid w:val="00734995"/>
    <w:rsid w:val="00736450"/>
    <w:rsid w:val="00736C69"/>
    <w:rsid w:val="007370A6"/>
    <w:rsid w:val="00737C4F"/>
    <w:rsid w:val="00740FB1"/>
    <w:rsid w:val="0074106A"/>
    <w:rsid w:val="00741BD0"/>
    <w:rsid w:val="0074299E"/>
    <w:rsid w:val="00742A7B"/>
    <w:rsid w:val="007439BD"/>
    <w:rsid w:val="00743CA8"/>
    <w:rsid w:val="007445A5"/>
    <w:rsid w:val="00744E08"/>
    <w:rsid w:val="00745B1C"/>
    <w:rsid w:val="00745DE0"/>
    <w:rsid w:val="007462D5"/>
    <w:rsid w:val="00746888"/>
    <w:rsid w:val="007469A9"/>
    <w:rsid w:val="007479D6"/>
    <w:rsid w:val="00751D33"/>
    <w:rsid w:val="0075284D"/>
    <w:rsid w:val="00754050"/>
    <w:rsid w:val="007549EA"/>
    <w:rsid w:val="00754C0D"/>
    <w:rsid w:val="0075554D"/>
    <w:rsid w:val="00755A6B"/>
    <w:rsid w:val="00756D34"/>
    <w:rsid w:val="00756D9E"/>
    <w:rsid w:val="00756F15"/>
    <w:rsid w:val="00757D67"/>
    <w:rsid w:val="007601ED"/>
    <w:rsid w:val="00761968"/>
    <w:rsid w:val="007627B5"/>
    <w:rsid w:val="007631AB"/>
    <w:rsid w:val="0076324F"/>
    <w:rsid w:val="0076361C"/>
    <w:rsid w:val="007641CA"/>
    <w:rsid w:val="007643EA"/>
    <w:rsid w:val="00765B34"/>
    <w:rsid w:val="0076664A"/>
    <w:rsid w:val="00766850"/>
    <w:rsid w:val="00766CD9"/>
    <w:rsid w:val="007679E4"/>
    <w:rsid w:val="00770878"/>
    <w:rsid w:val="00771006"/>
    <w:rsid w:val="00771262"/>
    <w:rsid w:val="00771924"/>
    <w:rsid w:val="007721F5"/>
    <w:rsid w:val="00773BE8"/>
    <w:rsid w:val="00774022"/>
    <w:rsid w:val="00774161"/>
    <w:rsid w:val="00774335"/>
    <w:rsid w:val="0077518D"/>
    <w:rsid w:val="0077548E"/>
    <w:rsid w:val="00775BF0"/>
    <w:rsid w:val="00780394"/>
    <w:rsid w:val="00780C0A"/>
    <w:rsid w:val="00782D28"/>
    <w:rsid w:val="0078312D"/>
    <w:rsid w:val="007836C2"/>
    <w:rsid w:val="00783952"/>
    <w:rsid w:val="007847E6"/>
    <w:rsid w:val="007855A7"/>
    <w:rsid w:val="0078577F"/>
    <w:rsid w:val="00785AEF"/>
    <w:rsid w:val="007875C4"/>
    <w:rsid w:val="00787DEA"/>
    <w:rsid w:val="007909A0"/>
    <w:rsid w:val="007912C6"/>
    <w:rsid w:val="00792D9E"/>
    <w:rsid w:val="007932A1"/>
    <w:rsid w:val="007933C8"/>
    <w:rsid w:val="00793B66"/>
    <w:rsid w:val="007944DF"/>
    <w:rsid w:val="00795879"/>
    <w:rsid w:val="00795F53"/>
    <w:rsid w:val="007963B8"/>
    <w:rsid w:val="007A0134"/>
    <w:rsid w:val="007A01EE"/>
    <w:rsid w:val="007A2764"/>
    <w:rsid w:val="007A30FD"/>
    <w:rsid w:val="007A3365"/>
    <w:rsid w:val="007A3487"/>
    <w:rsid w:val="007A3897"/>
    <w:rsid w:val="007A3D0F"/>
    <w:rsid w:val="007A745F"/>
    <w:rsid w:val="007B0297"/>
    <w:rsid w:val="007B0B1B"/>
    <w:rsid w:val="007B128F"/>
    <w:rsid w:val="007B1BA2"/>
    <w:rsid w:val="007B212D"/>
    <w:rsid w:val="007B2A88"/>
    <w:rsid w:val="007B3443"/>
    <w:rsid w:val="007B3A6B"/>
    <w:rsid w:val="007B3B40"/>
    <w:rsid w:val="007B3B78"/>
    <w:rsid w:val="007B4118"/>
    <w:rsid w:val="007B50F6"/>
    <w:rsid w:val="007B5173"/>
    <w:rsid w:val="007B519E"/>
    <w:rsid w:val="007B52E9"/>
    <w:rsid w:val="007B5BBA"/>
    <w:rsid w:val="007B7721"/>
    <w:rsid w:val="007B7835"/>
    <w:rsid w:val="007B78A8"/>
    <w:rsid w:val="007B78F6"/>
    <w:rsid w:val="007C0894"/>
    <w:rsid w:val="007C0BFE"/>
    <w:rsid w:val="007C1047"/>
    <w:rsid w:val="007C2F7B"/>
    <w:rsid w:val="007C3220"/>
    <w:rsid w:val="007C349B"/>
    <w:rsid w:val="007C3552"/>
    <w:rsid w:val="007C3B67"/>
    <w:rsid w:val="007C423B"/>
    <w:rsid w:val="007C4A0E"/>
    <w:rsid w:val="007C4CC0"/>
    <w:rsid w:val="007C538F"/>
    <w:rsid w:val="007C719D"/>
    <w:rsid w:val="007C77B8"/>
    <w:rsid w:val="007D0462"/>
    <w:rsid w:val="007D0F85"/>
    <w:rsid w:val="007D0FA7"/>
    <w:rsid w:val="007D11D0"/>
    <w:rsid w:val="007D1CB3"/>
    <w:rsid w:val="007D1FD6"/>
    <w:rsid w:val="007D2CFC"/>
    <w:rsid w:val="007D30A9"/>
    <w:rsid w:val="007D37DD"/>
    <w:rsid w:val="007D3EEC"/>
    <w:rsid w:val="007D3F72"/>
    <w:rsid w:val="007D4229"/>
    <w:rsid w:val="007D4CAD"/>
    <w:rsid w:val="007D5935"/>
    <w:rsid w:val="007D5ADA"/>
    <w:rsid w:val="007D6863"/>
    <w:rsid w:val="007D6BA9"/>
    <w:rsid w:val="007D79E1"/>
    <w:rsid w:val="007E0F05"/>
    <w:rsid w:val="007E10BE"/>
    <w:rsid w:val="007E193D"/>
    <w:rsid w:val="007E1D63"/>
    <w:rsid w:val="007E2463"/>
    <w:rsid w:val="007E313B"/>
    <w:rsid w:val="007E3AEF"/>
    <w:rsid w:val="007E3D3C"/>
    <w:rsid w:val="007E3D58"/>
    <w:rsid w:val="007E433F"/>
    <w:rsid w:val="007E5935"/>
    <w:rsid w:val="007E59C4"/>
    <w:rsid w:val="007E59D7"/>
    <w:rsid w:val="007E61F3"/>
    <w:rsid w:val="007E643B"/>
    <w:rsid w:val="007E6C72"/>
    <w:rsid w:val="007E7805"/>
    <w:rsid w:val="007E785A"/>
    <w:rsid w:val="007F0506"/>
    <w:rsid w:val="007F0A3C"/>
    <w:rsid w:val="007F2FC6"/>
    <w:rsid w:val="007F31E5"/>
    <w:rsid w:val="007F45FC"/>
    <w:rsid w:val="007F46F5"/>
    <w:rsid w:val="007F5FB6"/>
    <w:rsid w:val="007F6AEC"/>
    <w:rsid w:val="007F6B96"/>
    <w:rsid w:val="00800AC0"/>
    <w:rsid w:val="00801366"/>
    <w:rsid w:val="0080175B"/>
    <w:rsid w:val="008028F1"/>
    <w:rsid w:val="0080356F"/>
    <w:rsid w:val="00804A01"/>
    <w:rsid w:val="00804AFE"/>
    <w:rsid w:val="00804BD9"/>
    <w:rsid w:val="00804F0B"/>
    <w:rsid w:val="008053B7"/>
    <w:rsid w:val="0080601A"/>
    <w:rsid w:val="008063EC"/>
    <w:rsid w:val="00806834"/>
    <w:rsid w:val="00806AB1"/>
    <w:rsid w:val="0080761E"/>
    <w:rsid w:val="0080773D"/>
    <w:rsid w:val="00807921"/>
    <w:rsid w:val="0080797F"/>
    <w:rsid w:val="00810C2E"/>
    <w:rsid w:val="008113DD"/>
    <w:rsid w:val="00811659"/>
    <w:rsid w:val="008117C5"/>
    <w:rsid w:val="008119BF"/>
    <w:rsid w:val="00811E64"/>
    <w:rsid w:val="00811F9C"/>
    <w:rsid w:val="008121E8"/>
    <w:rsid w:val="008122F7"/>
    <w:rsid w:val="008124EC"/>
    <w:rsid w:val="00812A3E"/>
    <w:rsid w:val="00812D0E"/>
    <w:rsid w:val="00812E4D"/>
    <w:rsid w:val="00812FFE"/>
    <w:rsid w:val="008130BC"/>
    <w:rsid w:val="00813F27"/>
    <w:rsid w:val="00814990"/>
    <w:rsid w:val="0081625D"/>
    <w:rsid w:val="00817CDF"/>
    <w:rsid w:val="008202CE"/>
    <w:rsid w:val="0082083C"/>
    <w:rsid w:val="00822C6E"/>
    <w:rsid w:val="00823641"/>
    <w:rsid w:val="00823E8D"/>
    <w:rsid w:val="00824196"/>
    <w:rsid w:val="0082552A"/>
    <w:rsid w:val="00825EBD"/>
    <w:rsid w:val="0082659B"/>
    <w:rsid w:val="00826AB8"/>
    <w:rsid w:val="008273B5"/>
    <w:rsid w:val="00827728"/>
    <w:rsid w:val="00827AD3"/>
    <w:rsid w:val="008301D9"/>
    <w:rsid w:val="00830F77"/>
    <w:rsid w:val="00831DFE"/>
    <w:rsid w:val="00832508"/>
    <w:rsid w:val="00832DD3"/>
    <w:rsid w:val="00833157"/>
    <w:rsid w:val="008334C9"/>
    <w:rsid w:val="00833501"/>
    <w:rsid w:val="008335E0"/>
    <w:rsid w:val="008353A4"/>
    <w:rsid w:val="00835F25"/>
    <w:rsid w:val="0083669E"/>
    <w:rsid w:val="008366CA"/>
    <w:rsid w:val="00836D3A"/>
    <w:rsid w:val="00836F73"/>
    <w:rsid w:val="00837818"/>
    <w:rsid w:val="00837BE9"/>
    <w:rsid w:val="008400B1"/>
    <w:rsid w:val="00840E95"/>
    <w:rsid w:val="0084108A"/>
    <w:rsid w:val="00841326"/>
    <w:rsid w:val="00841A45"/>
    <w:rsid w:val="008420A5"/>
    <w:rsid w:val="00842DA0"/>
    <w:rsid w:val="0084355B"/>
    <w:rsid w:val="00843663"/>
    <w:rsid w:val="008439DE"/>
    <w:rsid w:val="00844795"/>
    <w:rsid w:val="00844DEC"/>
    <w:rsid w:val="008458B1"/>
    <w:rsid w:val="00845B43"/>
    <w:rsid w:val="00846B08"/>
    <w:rsid w:val="008471D1"/>
    <w:rsid w:val="008476B7"/>
    <w:rsid w:val="00847BF2"/>
    <w:rsid w:val="00851215"/>
    <w:rsid w:val="008512DA"/>
    <w:rsid w:val="008513DC"/>
    <w:rsid w:val="0085199B"/>
    <w:rsid w:val="00851AE2"/>
    <w:rsid w:val="00851F6C"/>
    <w:rsid w:val="008528B8"/>
    <w:rsid w:val="00854CA0"/>
    <w:rsid w:val="00855E05"/>
    <w:rsid w:val="00857522"/>
    <w:rsid w:val="00862190"/>
    <w:rsid w:val="00862770"/>
    <w:rsid w:val="00862B2E"/>
    <w:rsid w:val="00863BB4"/>
    <w:rsid w:val="00863C3E"/>
    <w:rsid w:val="008643BB"/>
    <w:rsid w:val="00867DA6"/>
    <w:rsid w:val="00870317"/>
    <w:rsid w:val="0087087F"/>
    <w:rsid w:val="0087174B"/>
    <w:rsid w:val="00871BC9"/>
    <w:rsid w:val="0087218B"/>
    <w:rsid w:val="00872F84"/>
    <w:rsid w:val="00874AD0"/>
    <w:rsid w:val="00875AF3"/>
    <w:rsid w:val="008767EB"/>
    <w:rsid w:val="00876ABF"/>
    <w:rsid w:val="0087739B"/>
    <w:rsid w:val="00877E2A"/>
    <w:rsid w:val="0088021B"/>
    <w:rsid w:val="008806F2"/>
    <w:rsid w:val="00880A1F"/>
    <w:rsid w:val="00881800"/>
    <w:rsid w:val="00881D47"/>
    <w:rsid w:val="0088238A"/>
    <w:rsid w:val="00882500"/>
    <w:rsid w:val="0088270A"/>
    <w:rsid w:val="00882A3F"/>
    <w:rsid w:val="00882E29"/>
    <w:rsid w:val="00883446"/>
    <w:rsid w:val="008844D6"/>
    <w:rsid w:val="0088544A"/>
    <w:rsid w:val="00885884"/>
    <w:rsid w:val="00887709"/>
    <w:rsid w:val="00887C65"/>
    <w:rsid w:val="00890083"/>
    <w:rsid w:val="00890569"/>
    <w:rsid w:val="00890D9D"/>
    <w:rsid w:val="00890DD8"/>
    <w:rsid w:val="00890F92"/>
    <w:rsid w:val="00891F50"/>
    <w:rsid w:val="00893354"/>
    <w:rsid w:val="00894448"/>
    <w:rsid w:val="008947D6"/>
    <w:rsid w:val="00894C84"/>
    <w:rsid w:val="00895378"/>
    <w:rsid w:val="00895BA6"/>
    <w:rsid w:val="008961F5"/>
    <w:rsid w:val="008972EE"/>
    <w:rsid w:val="00897430"/>
    <w:rsid w:val="00897FE1"/>
    <w:rsid w:val="008A00A8"/>
    <w:rsid w:val="008A081F"/>
    <w:rsid w:val="008A1412"/>
    <w:rsid w:val="008A1E66"/>
    <w:rsid w:val="008A35D8"/>
    <w:rsid w:val="008A44D3"/>
    <w:rsid w:val="008A4D16"/>
    <w:rsid w:val="008A4FF1"/>
    <w:rsid w:val="008A7047"/>
    <w:rsid w:val="008A77C6"/>
    <w:rsid w:val="008A7E8E"/>
    <w:rsid w:val="008B0F7A"/>
    <w:rsid w:val="008B1A28"/>
    <w:rsid w:val="008B1E12"/>
    <w:rsid w:val="008B1E87"/>
    <w:rsid w:val="008B2297"/>
    <w:rsid w:val="008B2CC7"/>
    <w:rsid w:val="008B333A"/>
    <w:rsid w:val="008B3E6F"/>
    <w:rsid w:val="008B452E"/>
    <w:rsid w:val="008B4882"/>
    <w:rsid w:val="008B4E33"/>
    <w:rsid w:val="008B53C8"/>
    <w:rsid w:val="008B5657"/>
    <w:rsid w:val="008B57C9"/>
    <w:rsid w:val="008B5D0F"/>
    <w:rsid w:val="008B67C7"/>
    <w:rsid w:val="008B7E2A"/>
    <w:rsid w:val="008C040A"/>
    <w:rsid w:val="008C0601"/>
    <w:rsid w:val="008C0BC1"/>
    <w:rsid w:val="008C278B"/>
    <w:rsid w:val="008C7AB1"/>
    <w:rsid w:val="008C7B6B"/>
    <w:rsid w:val="008D0321"/>
    <w:rsid w:val="008D0654"/>
    <w:rsid w:val="008D0711"/>
    <w:rsid w:val="008D0CF9"/>
    <w:rsid w:val="008D1567"/>
    <w:rsid w:val="008D23C2"/>
    <w:rsid w:val="008D256A"/>
    <w:rsid w:val="008D2A36"/>
    <w:rsid w:val="008D2BDF"/>
    <w:rsid w:val="008D3384"/>
    <w:rsid w:val="008D36D5"/>
    <w:rsid w:val="008D39F4"/>
    <w:rsid w:val="008D467F"/>
    <w:rsid w:val="008D55FC"/>
    <w:rsid w:val="008D662D"/>
    <w:rsid w:val="008D6A79"/>
    <w:rsid w:val="008E001E"/>
    <w:rsid w:val="008E056F"/>
    <w:rsid w:val="008E179B"/>
    <w:rsid w:val="008E1E54"/>
    <w:rsid w:val="008E2151"/>
    <w:rsid w:val="008E21D7"/>
    <w:rsid w:val="008E28C9"/>
    <w:rsid w:val="008E31F0"/>
    <w:rsid w:val="008E3DA0"/>
    <w:rsid w:val="008E3FDD"/>
    <w:rsid w:val="008E3FF4"/>
    <w:rsid w:val="008E4AFA"/>
    <w:rsid w:val="008E5E5B"/>
    <w:rsid w:val="008E6DE0"/>
    <w:rsid w:val="008E70B2"/>
    <w:rsid w:val="008E7420"/>
    <w:rsid w:val="008E749D"/>
    <w:rsid w:val="008E7643"/>
    <w:rsid w:val="008E7F87"/>
    <w:rsid w:val="008F142F"/>
    <w:rsid w:val="008F1855"/>
    <w:rsid w:val="008F24A9"/>
    <w:rsid w:val="008F2537"/>
    <w:rsid w:val="008F32BC"/>
    <w:rsid w:val="008F39F1"/>
    <w:rsid w:val="008F42E0"/>
    <w:rsid w:val="008F4B88"/>
    <w:rsid w:val="008F5A41"/>
    <w:rsid w:val="008F639B"/>
    <w:rsid w:val="008F666F"/>
    <w:rsid w:val="008F6707"/>
    <w:rsid w:val="008F69EE"/>
    <w:rsid w:val="008F7451"/>
    <w:rsid w:val="008F746A"/>
    <w:rsid w:val="009006C7"/>
    <w:rsid w:val="00900D4D"/>
    <w:rsid w:val="00900E33"/>
    <w:rsid w:val="009010B4"/>
    <w:rsid w:val="009011A0"/>
    <w:rsid w:val="009012DA"/>
    <w:rsid w:val="00901799"/>
    <w:rsid w:val="009021BD"/>
    <w:rsid w:val="00902228"/>
    <w:rsid w:val="0090291B"/>
    <w:rsid w:val="0090546D"/>
    <w:rsid w:val="00905612"/>
    <w:rsid w:val="00905C53"/>
    <w:rsid w:val="009078D9"/>
    <w:rsid w:val="00912C90"/>
    <w:rsid w:val="00914DBE"/>
    <w:rsid w:val="009153D6"/>
    <w:rsid w:val="00916B01"/>
    <w:rsid w:val="00917528"/>
    <w:rsid w:val="00917B8B"/>
    <w:rsid w:val="009218FB"/>
    <w:rsid w:val="009229E4"/>
    <w:rsid w:val="0092362B"/>
    <w:rsid w:val="009244BA"/>
    <w:rsid w:val="00924674"/>
    <w:rsid w:val="00925A20"/>
    <w:rsid w:val="00926094"/>
    <w:rsid w:val="009263B0"/>
    <w:rsid w:val="009266F3"/>
    <w:rsid w:val="00926FB7"/>
    <w:rsid w:val="009302B4"/>
    <w:rsid w:val="00931290"/>
    <w:rsid w:val="00931330"/>
    <w:rsid w:val="00931E4F"/>
    <w:rsid w:val="00933C2D"/>
    <w:rsid w:val="009353C3"/>
    <w:rsid w:val="00935B08"/>
    <w:rsid w:val="00936912"/>
    <w:rsid w:val="009378A5"/>
    <w:rsid w:val="00937AE5"/>
    <w:rsid w:val="00937E6E"/>
    <w:rsid w:val="0094108B"/>
    <w:rsid w:val="0094286B"/>
    <w:rsid w:val="009431E4"/>
    <w:rsid w:val="009439EE"/>
    <w:rsid w:val="00944106"/>
    <w:rsid w:val="009443C8"/>
    <w:rsid w:val="00945507"/>
    <w:rsid w:val="009458B4"/>
    <w:rsid w:val="00945CAF"/>
    <w:rsid w:val="0094604E"/>
    <w:rsid w:val="009467FE"/>
    <w:rsid w:val="009469F6"/>
    <w:rsid w:val="00950396"/>
    <w:rsid w:val="009506F8"/>
    <w:rsid w:val="00951A1B"/>
    <w:rsid w:val="00951AF2"/>
    <w:rsid w:val="0095270C"/>
    <w:rsid w:val="00953782"/>
    <w:rsid w:val="00953A29"/>
    <w:rsid w:val="0095518A"/>
    <w:rsid w:val="0095633E"/>
    <w:rsid w:val="00956387"/>
    <w:rsid w:val="00957E4C"/>
    <w:rsid w:val="009606DD"/>
    <w:rsid w:val="00960DBA"/>
    <w:rsid w:val="00961290"/>
    <w:rsid w:val="0096138A"/>
    <w:rsid w:val="009617B6"/>
    <w:rsid w:val="00962892"/>
    <w:rsid w:val="00963863"/>
    <w:rsid w:val="00963D5B"/>
    <w:rsid w:val="0096509F"/>
    <w:rsid w:val="00965E40"/>
    <w:rsid w:val="00966FF6"/>
    <w:rsid w:val="00967B17"/>
    <w:rsid w:val="00967B97"/>
    <w:rsid w:val="00967DFC"/>
    <w:rsid w:val="00970641"/>
    <w:rsid w:val="00970D91"/>
    <w:rsid w:val="00971138"/>
    <w:rsid w:val="009719F2"/>
    <w:rsid w:val="00971B4B"/>
    <w:rsid w:val="00974261"/>
    <w:rsid w:val="00974737"/>
    <w:rsid w:val="0097550C"/>
    <w:rsid w:val="009769E0"/>
    <w:rsid w:val="00976F43"/>
    <w:rsid w:val="009771C7"/>
    <w:rsid w:val="009800C6"/>
    <w:rsid w:val="0098017C"/>
    <w:rsid w:val="009806CD"/>
    <w:rsid w:val="00980872"/>
    <w:rsid w:val="00980D25"/>
    <w:rsid w:val="00980FA2"/>
    <w:rsid w:val="009812BA"/>
    <w:rsid w:val="00981593"/>
    <w:rsid w:val="00981B41"/>
    <w:rsid w:val="009825D8"/>
    <w:rsid w:val="00982D70"/>
    <w:rsid w:val="009830F3"/>
    <w:rsid w:val="009833D4"/>
    <w:rsid w:val="009837A4"/>
    <w:rsid w:val="009837E7"/>
    <w:rsid w:val="00983D95"/>
    <w:rsid w:val="00983F1C"/>
    <w:rsid w:val="00985B6E"/>
    <w:rsid w:val="00985DCA"/>
    <w:rsid w:val="00986B69"/>
    <w:rsid w:val="00987AA3"/>
    <w:rsid w:val="009901FD"/>
    <w:rsid w:val="009909EF"/>
    <w:rsid w:val="009909F4"/>
    <w:rsid w:val="00991444"/>
    <w:rsid w:val="009915D1"/>
    <w:rsid w:val="009916F1"/>
    <w:rsid w:val="009918B8"/>
    <w:rsid w:val="00991C07"/>
    <w:rsid w:val="00991CD6"/>
    <w:rsid w:val="009931EB"/>
    <w:rsid w:val="00993D5A"/>
    <w:rsid w:val="009943BC"/>
    <w:rsid w:val="009945A9"/>
    <w:rsid w:val="009946B0"/>
    <w:rsid w:val="00994BEB"/>
    <w:rsid w:val="00995595"/>
    <w:rsid w:val="00996C68"/>
    <w:rsid w:val="00996D09"/>
    <w:rsid w:val="00997719"/>
    <w:rsid w:val="00997906"/>
    <w:rsid w:val="009A064B"/>
    <w:rsid w:val="009A1E13"/>
    <w:rsid w:val="009A2CD8"/>
    <w:rsid w:val="009A341F"/>
    <w:rsid w:val="009A3DF2"/>
    <w:rsid w:val="009A3E90"/>
    <w:rsid w:val="009A4C29"/>
    <w:rsid w:val="009A5079"/>
    <w:rsid w:val="009A5A62"/>
    <w:rsid w:val="009A633E"/>
    <w:rsid w:val="009A699E"/>
    <w:rsid w:val="009A6B43"/>
    <w:rsid w:val="009A6E3E"/>
    <w:rsid w:val="009A7CD0"/>
    <w:rsid w:val="009B0448"/>
    <w:rsid w:val="009B055D"/>
    <w:rsid w:val="009B10F4"/>
    <w:rsid w:val="009B204B"/>
    <w:rsid w:val="009B2196"/>
    <w:rsid w:val="009B24FD"/>
    <w:rsid w:val="009B2A7B"/>
    <w:rsid w:val="009B4643"/>
    <w:rsid w:val="009B4647"/>
    <w:rsid w:val="009B46BE"/>
    <w:rsid w:val="009B4758"/>
    <w:rsid w:val="009B58B7"/>
    <w:rsid w:val="009B5E1E"/>
    <w:rsid w:val="009B60E5"/>
    <w:rsid w:val="009B7838"/>
    <w:rsid w:val="009B790D"/>
    <w:rsid w:val="009B7B46"/>
    <w:rsid w:val="009B7E24"/>
    <w:rsid w:val="009C0262"/>
    <w:rsid w:val="009C02F3"/>
    <w:rsid w:val="009C1957"/>
    <w:rsid w:val="009C1A1B"/>
    <w:rsid w:val="009C1B53"/>
    <w:rsid w:val="009C1CB8"/>
    <w:rsid w:val="009C1E27"/>
    <w:rsid w:val="009C2B3A"/>
    <w:rsid w:val="009C3076"/>
    <w:rsid w:val="009C4790"/>
    <w:rsid w:val="009C4DB0"/>
    <w:rsid w:val="009C6326"/>
    <w:rsid w:val="009D033A"/>
    <w:rsid w:val="009D187D"/>
    <w:rsid w:val="009D1DA6"/>
    <w:rsid w:val="009D2237"/>
    <w:rsid w:val="009D42E0"/>
    <w:rsid w:val="009D5354"/>
    <w:rsid w:val="009D5654"/>
    <w:rsid w:val="009D667F"/>
    <w:rsid w:val="009D7012"/>
    <w:rsid w:val="009D7ECE"/>
    <w:rsid w:val="009E021A"/>
    <w:rsid w:val="009E02DD"/>
    <w:rsid w:val="009E0306"/>
    <w:rsid w:val="009E0B3A"/>
    <w:rsid w:val="009E261E"/>
    <w:rsid w:val="009E33C8"/>
    <w:rsid w:val="009E3520"/>
    <w:rsid w:val="009E4DBF"/>
    <w:rsid w:val="009E4E61"/>
    <w:rsid w:val="009E4EE7"/>
    <w:rsid w:val="009E5B97"/>
    <w:rsid w:val="009E5FAD"/>
    <w:rsid w:val="009E65AB"/>
    <w:rsid w:val="009E679E"/>
    <w:rsid w:val="009F00EB"/>
    <w:rsid w:val="009F06DE"/>
    <w:rsid w:val="009F0AB6"/>
    <w:rsid w:val="009F0FDF"/>
    <w:rsid w:val="009F2234"/>
    <w:rsid w:val="009F2A98"/>
    <w:rsid w:val="009F2AB4"/>
    <w:rsid w:val="009F2FB5"/>
    <w:rsid w:val="009F3707"/>
    <w:rsid w:val="009F42F0"/>
    <w:rsid w:val="009F455E"/>
    <w:rsid w:val="009F51B5"/>
    <w:rsid w:val="009F5494"/>
    <w:rsid w:val="009F6339"/>
    <w:rsid w:val="009F7A75"/>
    <w:rsid w:val="00A00346"/>
    <w:rsid w:val="00A00E87"/>
    <w:rsid w:val="00A00F9A"/>
    <w:rsid w:val="00A02380"/>
    <w:rsid w:val="00A02418"/>
    <w:rsid w:val="00A0246F"/>
    <w:rsid w:val="00A02A7F"/>
    <w:rsid w:val="00A03736"/>
    <w:rsid w:val="00A03986"/>
    <w:rsid w:val="00A04108"/>
    <w:rsid w:val="00A04554"/>
    <w:rsid w:val="00A056E6"/>
    <w:rsid w:val="00A060EE"/>
    <w:rsid w:val="00A06740"/>
    <w:rsid w:val="00A06B6D"/>
    <w:rsid w:val="00A07C25"/>
    <w:rsid w:val="00A07C2B"/>
    <w:rsid w:val="00A117AE"/>
    <w:rsid w:val="00A118B0"/>
    <w:rsid w:val="00A11A5B"/>
    <w:rsid w:val="00A120E4"/>
    <w:rsid w:val="00A12532"/>
    <w:rsid w:val="00A12C5C"/>
    <w:rsid w:val="00A13262"/>
    <w:rsid w:val="00A13708"/>
    <w:rsid w:val="00A13DE4"/>
    <w:rsid w:val="00A14142"/>
    <w:rsid w:val="00A15019"/>
    <w:rsid w:val="00A150BF"/>
    <w:rsid w:val="00A153F9"/>
    <w:rsid w:val="00A155D3"/>
    <w:rsid w:val="00A15A47"/>
    <w:rsid w:val="00A168D7"/>
    <w:rsid w:val="00A1783E"/>
    <w:rsid w:val="00A208C5"/>
    <w:rsid w:val="00A21141"/>
    <w:rsid w:val="00A215D5"/>
    <w:rsid w:val="00A21AAD"/>
    <w:rsid w:val="00A23B84"/>
    <w:rsid w:val="00A25378"/>
    <w:rsid w:val="00A259B4"/>
    <w:rsid w:val="00A268BF"/>
    <w:rsid w:val="00A26DD6"/>
    <w:rsid w:val="00A27840"/>
    <w:rsid w:val="00A30E69"/>
    <w:rsid w:val="00A31903"/>
    <w:rsid w:val="00A31975"/>
    <w:rsid w:val="00A31A36"/>
    <w:rsid w:val="00A3275D"/>
    <w:rsid w:val="00A32DD2"/>
    <w:rsid w:val="00A34907"/>
    <w:rsid w:val="00A34A66"/>
    <w:rsid w:val="00A34E79"/>
    <w:rsid w:val="00A35868"/>
    <w:rsid w:val="00A36D29"/>
    <w:rsid w:val="00A409AF"/>
    <w:rsid w:val="00A40BB0"/>
    <w:rsid w:val="00A4192C"/>
    <w:rsid w:val="00A41AEE"/>
    <w:rsid w:val="00A4307E"/>
    <w:rsid w:val="00A44176"/>
    <w:rsid w:val="00A451A0"/>
    <w:rsid w:val="00A45262"/>
    <w:rsid w:val="00A45523"/>
    <w:rsid w:val="00A45D51"/>
    <w:rsid w:val="00A46C38"/>
    <w:rsid w:val="00A47B6F"/>
    <w:rsid w:val="00A52588"/>
    <w:rsid w:val="00A525A3"/>
    <w:rsid w:val="00A52896"/>
    <w:rsid w:val="00A52DAA"/>
    <w:rsid w:val="00A5342A"/>
    <w:rsid w:val="00A5369C"/>
    <w:rsid w:val="00A5459F"/>
    <w:rsid w:val="00A54E60"/>
    <w:rsid w:val="00A55464"/>
    <w:rsid w:val="00A55FAC"/>
    <w:rsid w:val="00A560FB"/>
    <w:rsid w:val="00A565BE"/>
    <w:rsid w:val="00A56A0C"/>
    <w:rsid w:val="00A573D8"/>
    <w:rsid w:val="00A6010E"/>
    <w:rsid w:val="00A603EF"/>
    <w:rsid w:val="00A60DF0"/>
    <w:rsid w:val="00A622F4"/>
    <w:rsid w:val="00A6231D"/>
    <w:rsid w:val="00A624EE"/>
    <w:rsid w:val="00A62D24"/>
    <w:rsid w:val="00A62DD5"/>
    <w:rsid w:val="00A63107"/>
    <w:rsid w:val="00A64237"/>
    <w:rsid w:val="00A646AD"/>
    <w:rsid w:val="00A64726"/>
    <w:rsid w:val="00A6677B"/>
    <w:rsid w:val="00A66F2B"/>
    <w:rsid w:val="00A67215"/>
    <w:rsid w:val="00A6738C"/>
    <w:rsid w:val="00A70668"/>
    <w:rsid w:val="00A7117D"/>
    <w:rsid w:val="00A71A8E"/>
    <w:rsid w:val="00A7306A"/>
    <w:rsid w:val="00A73258"/>
    <w:rsid w:val="00A732D0"/>
    <w:rsid w:val="00A73D3E"/>
    <w:rsid w:val="00A75D5A"/>
    <w:rsid w:val="00A762AC"/>
    <w:rsid w:val="00A76A89"/>
    <w:rsid w:val="00A81B76"/>
    <w:rsid w:val="00A81DCA"/>
    <w:rsid w:val="00A824BF"/>
    <w:rsid w:val="00A8324B"/>
    <w:rsid w:val="00A834F2"/>
    <w:rsid w:val="00A83793"/>
    <w:rsid w:val="00A83903"/>
    <w:rsid w:val="00A83C04"/>
    <w:rsid w:val="00A83E83"/>
    <w:rsid w:val="00A84A7B"/>
    <w:rsid w:val="00A8578B"/>
    <w:rsid w:val="00A86B15"/>
    <w:rsid w:val="00A86D73"/>
    <w:rsid w:val="00A87216"/>
    <w:rsid w:val="00A90303"/>
    <w:rsid w:val="00A91899"/>
    <w:rsid w:val="00A91C4C"/>
    <w:rsid w:val="00A93D37"/>
    <w:rsid w:val="00A93ED0"/>
    <w:rsid w:val="00A93F0B"/>
    <w:rsid w:val="00A948AE"/>
    <w:rsid w:val="00A94A35"/>
    <w:rsid w:val="00A95983"/>
    <w:rsid w:val="00A95F3C"/>
    <w:rsid w:val="00A96225"/>
    <w:rsid w:val="00A97B12"/>
    <w:rsid w:val="00AA07DF"/>
    <w:rsid w:val="00AA092D"/>
    <w:rsid w:val="00AA119D"/>
    <w:rsid w:val="00AA1534"/>
    <w:rsid w:val="00AA261E"/>
    <w:rsid w:val="00AA285E"/>
    <w:rsid w:val="00AA291F"/>
    <w:rsid w:val="00AA3D4F"/>
    <w:rsid w:val="00AA443B"/>
    <w:rsid w:val="00AA4D2C"/>
    <w:rsid w:val="00AA635B"/>
    <w:rsid w:val="00AA6921"/>
    <w:rsid w:val="00AA738E"/>
    <w:rsid w:val="00AA7852"/>
    <w:rsid w:val="00AB010E"/>
    <w:rsid w:val="00AB06D1"/>
    <w:rsid w:val="00AB07E0"/>
    <w:rsid w:val="00AB113E"/>
    <w:rsid w:val="00AB23FF"/>
    <w:rsid w:val="00AB322D"/>
    <w:rsid w:val="00AB372A"/>
    <w:rsid w:val="00AB3CE2"/>
    <w:rsid w:val="00AB588D"/>
    <w:rsid w:val="00AC1142"/>
    <w:rsid w:val="00AC1D05"/>
    <w:rsid w:val="00AC1E34"/>
    <w:rsid w:val="00AC233B"/>
    <w:rsid w:val="00AC2F7D"/>
    <w:rsid w:val="00AC34DF"/>
    <w:rsid w:val="00AC5661"/>
    <w:rsid w:val="00AC5C00"/>
    <w:rsid w:val="00AC7032"/>
    <w:rsid w:val="00AC7937"/>
    <w:rsid w:val="00AD06EB"/>
    <w:rsid w:val="00AD0AA0"/>
    <w:rsid w:val="00AD0DB3"/>
    <w:rsid w:val="00AD0F96"/>
    <w:rsid w:val="00AD1018"/>
    <w:rsid w:val="00AD16A1"/>
    <w:rsid w:val="00AD2C60"/>
    <w:rsid w:val="00AD2E07"/>
    <w:rsid w:val="00AD31D9"/>
    <w:rsid w:val="00AD3400"/>
    <w:rsid w:val="00AD35C8"/>
    <w:rsid w:val="00AD37B8"/>
    <w:rsid w:val="00AD4C49"/>
    <w:rsid w:val="00AD52F7"/>
    <w:rsid w:val="00AD5DE9"/>
    <w:rsid w:val="00AD5F13"/>
    <w:rsid w:val="00AD61D4"/>
    <w:rsid w:val="00AD6B92"/>
    <w:rsid w:val="00AD6CF4"/>
    <w:rsid w:val="00AD748B"/>
    <w:rsid w:val="00AE0B98"/>
    <w:rsid w:val="00AE1313"/>
    <w:rsid w:val="00AE1F63"/>
    <w:rsid w:val="00AE2470"/>
    <w:rsid w:val="00AE3902"/>
    <w:rsid w:val="00AE3D46"/>
    <w:rsid w:val="00AE42B6"/>
    <w:rsid w:val="00AE5B77"/>
    <w:rsid w:val="00AE5BF4"/>
    <w:rsid w:val="00AE5C99"/>
    <w:rsid w:val="00AE658C"/>
    <w:rsid w:val="00AE6C02"/>
    <w:rsid w:val="00AF082F"/>
    <w:rsid w:val="00AF15C4"/>
    <w:rsid w:val="00AF17B9"/>
    <w:rsid w:val="00AF18C7"/>
    <w:rsid w:val="00AF343D"/>
    <w:rsid w:val="00AF3D8C"/>
    <w:rsid w:val="00AF40DC"/>
    <w:rsid w:val="00AF4336"/>
    <w:rsid w:val="00AF44E9"/>
    <w:rsid w:val="00AF46CE"/>
    <w:rsid w:val="00AF55A9"/>
    <w:rsid w:val="00AF58F4"/>
    <w:rsid w:val="00AF69CE"/>
    <w:rsid w:val="00AF78B2"/>
    <w:rsid w:val="00AF7D8D"/>
    <w:rsid w:val="00B003DF"/>
    <w:rsid w:val="00B01D13"/>
    <w:rsid w:val="00B03D56"/>
    <w:rsid w:val="00B040D7"/>
    <w:rsid w:val="00B048AD"/>
    <w:rsid w:val="00B048BD"/>
    <w:rsid w:val="00B051D4"/>
    <w:rsid w:val="00B05513"/>
    <w:rsid w:val="00B05D26"/>
    <w:rsid w:val="00B05EB3"/>
    <w:rsid w:val="00B05F9E"/>
    <w:rsid w:val="00B06111"/>
    <w:rsid w:val="00B062EA"/>
    <w:rsid w:val="00B06FC7"/>
    <w:rsid w:val="00B077C6"/>
    <w:rsid w:val="00B07E2E"/>
    <w:rsid w:val="00B10A8D"/>
    <w:rsid w:val="00B10B2D"/>
    <w:rsid w:val="00B10BA9"/>
    <w:rsid w:val="00B10F98"/>
    <w:rsid w:val="00B11099"/>
    <w:rsid w:val="00B115E2"/>
    <w:rsid w:val="00B125E1"/>
    <w:rsid w:val="00B13154"/>
    <w:rsid w:val="00B141AB"/>
    <w:rsid w:val="00B15520"/>
    <w:rsid w:val="00B15940"/>
    <w:rsid w:val="00B162AD"/>
    <w:rsid w:val="00B16E33"/>
    <w:rsid w:val="00B17879"/>
    <w:rsid w:val="00B17C0D"/>
    <w:rsid w:val="00B17D05"/>
    <w:rsid w:val="00B2008C"/>
    <w:rsid w:val="00B206EB"/>
    <w:rsid w:val="00B208D0"/>
    <w:rsid w:val="00B22023"/>
    <w:rsid w:val="00B22352"/>
    <w:rsid w:val="00B2479B"/>
    <w:rsid w:val="00B247C5"/>
    <w:rsid w:val="00B258CD"/>
    <w:rsid w:val="00B264C0"/>
    <w:rsid w:val="00B271D2"/>
    <w:rsid w:val="00B27495"/>
    <w:rsid w:val="00B27CB2"/>
    <w:rsid w:val="00B30E4F"/>
    <w:rsid w:val="00B311BD"/>
    <w:rsid w:val="00B314A6"/>
    <w:rsid w:val="00B322F8"/>
    <w:rsid w:val="00B3271B"/>
    <w:rsid w:val="00B330CF"/>
    <w:rsid w:val="00B33864"/>
    <w:rsid w:val="00B33A9C"/>
    <w:rsid w:val="00B34C9A"/>
    <w:rsid w:val="00B34D51"/>
    <w:rsid w:val="00B34E08"/>
    <w:rsid w:val="00B36083"/>
    <w:rsid w:val="00B36423"/>
    <w:rsid w:val="00B365AE"/>
    <w:rsid w:val="00B367A8"/>
    <w:rsid w:val="00B374E6"/>
    <w:rsid w:val="00B37766"/>
    <w:rsid w:val="00B377EE"/>
    <w:rsid w:val="00B3786E"/>
    <w:rsid w:val="00B37D8C"/>
    <w:rsid w:val="00B40054"/>
    <w:rsid w:val="00B40400"/>
    <w:rsid w:val="00B41EA2"/>
    <w:rsid w:val="00B44573"/>
    <w:rsid w:val="00B44DB9"/>
    <w:rsid w:val="00B451C5"/>
    <w:rsid w:val="00B4595E"/>
    <w:rsid w:val="00B47A67"/>
    <w:rsid w:val="00B50886"/>
    <w:rsid w:val="00B53188"/>
    <w:rsid w:val="00B53256"/>
    <w:rsid w:val="00B53AFF"/>
    <w:rsid w:val="00B54538"/>
    <w:rsid w:val="00B54A24"/>
    <w:rsid w:val="00B54CA7"/>
    <w:rsid w:val="00B553A1"/>
    <w:rsid w:val="00B5546A"/>
    <w:rsid w:val="00B5694F"/>
    <w:rsid w:val="00B572AD"/>
    <w:rsid w:val="00B57D49"/>
    <w:rsid w:val="00B60966"/>
    <w:rsid w:val="00B614F9"/>
    <w:rsid w:val="00B617CE"/>
    <w:rsid w:val="00B62C61"/>
    <w:rsid w:val="00B63C1C"/>
    <w:rsid w:val="00B63C35"/>
    <w:rsid w:val="00B65639"/>
    <w:rsid w:val="00B65952"/>
    <w:rsid w:val="00B65D15"/>
    <w:rsid w:val="00B65DC9"/>
    <w:rsid w:val="00B65E6A"/>
    <w:rsid w:val="00B674AF"/>
    <w:rsid w:val="00B67929"/>
    <w:rsid w:val="00B70B4F"/>
    <w:rsid w:val="00B70CD7"/>
    <w:rsid w:val="00B71A87"/>
    <w:rsid w:val="00B71B17"/>
    <w:rsid w:val="00B72477"/>
    <w:rsid w:val="00B73D94"/>
    <w:rsid w:val="00B7403F"/>
    <w:rsid w:val="00B74A47"/>
    <w:rsid w:val="00B75BD2"/>
    <w:rsid w:val="00B76C7D"/>
    <w:rsid w:val="00B7704E"/>
    <w:rsid w:val="00B80D93"/>
    <w:rsid w:val="00B81D7F"/>
    <w:rsid w:val="00B824CB"/>
    <w:rsid w:val="00B825F6"/>
    <w:rsid w:val="00B83451"/>
    <w:rsid w:val="00B8368C"/>
    <w:rsid w:val="00B83FA4"/>
    <w:rsid w:val="00B84046"/>
    <w:rsid w:val="00B84790"/>
    <w:rsid w:val="00B848B1"/>
    <w:rsid w:val="00B84CBA"/>
    <w:rsid w:val="00B84E45"/>
    <w:rsid w:val="00B853B1"/>
    <w:rsid w:val="00B85958"/>
    <w:rsid w:val="00B85EFD"/>
    <w:rsid w:val="00B87B0A"/>
    <w:rsid w:val="00B902B1"/>
    <w:rsid w:val="00B9332A"/>
    <w:rsid w:val="00B94025"/>
    <w:rsid w:val="00B94B1C"/>
    <w:rsid w:val="00B953A9"/>
    <w:rsid w:val="00B95A1B"/>
    <w:rsid w:val="00B95A37"/>
    <w:rsid w:val="00B96311"/>
    <w:rsid w:val="00B9645E"/>
    <w:rsid w:val="00B97849"/>
    <w:rsid w:val="00B97E5D"/>
    <w:rsid w:val="00BA061D"/>
    <w:rsid w:val="00BA1542"/>
    <w:rsid w:val="00BA17BA"/>
    <w:rsid w:val="00BA17C1"/>
    <w:rsid w:val="00BA2452"/>
    <w:rsid w:val="00BA295A"/>
    <w:rsid w:val="00BA2EFF"/>
    <w:rsid w:val="00BA46E4"/>
    <w:rsid w:val="00BA4B63"/>
    <w:rsid w:val="00BA60BA"/>
    <w:rsid w:val="00BA6710"/>
    <w:rsid w:val="00BA6BB5"/>
    <w:rsid w:val="00BA74F6"/>
    <w:rsid w:val="00BA7686"/>
    <w:rsid w:val="00BA7A78"/>
    <w:rsid w:val="00BB0FFA"/>
    <w:rsid w:val="00BB1872"/>
    <w:rsid w:val="00BB206C"/>
    <w:rsid w:val="00BB226D"/>
    <w:rsid w:val="00BB2338"/>
    <w:rsid w:val="00BB2E75"/>
    <w:rsid w:val="00BB32DB"/>
    <w:rsid w:val="00BB48AE"/>
    <w:rsid w:val="00BB4A4F"/>
    <w:rsid w:val="00BB6073"/>
    <w:rsid w:val="00BB77A6"/>
    <w:rsid w:val="00BC2534"/>
    <w:rsid w:val="00BC29DE"/>
    <w:rsid w:val="00BC2ED5"/>
    <w:rsid w:val="00BC3033"/>
    <w:rsid w:val="00BC3196"/>
    <w:rsid w:val="00BC3771"/>
    <w:rsid w:val="00BC3F12"/>
    <w:rsid w:val="00BC453D"/>
    <w:rsid w:val="00BC4A63"/>
    <w:rsid w:val="00BC50E5"/>
    <w:rsid w:val="00BC5817"/>
    <w:rsid w:val="00BC5E98"/>
    <w:rsid w:val="00BD0A49"/>
    <w:rsid w:val="00BD0D83"/>
    <w:rsid w:val="00BD11C4"/>
    <w:rsid w:val="00BD2804"/>
    <w:rsid w:val="00BD3A39"/>
    <w:rsid w:val="00BD3FC9"/>
    <w:rsid w:val="00BD4F23"/>
    <w:rsid w:val="00BD5312"/>
    <w:rsid w:val="00BD6AF9"/>
    <w:rsid w:val="00BD6B74"/>
    <w:rsid w:val="00BD72DB"/>
    <w:rsid w:val="00BD7B8C"/>
    <w:rsid w:val="00BE000C"/>
    <w:rsid w:val="00BE0217"/>
    <w:rsid w:val="00BE02DE"/>
    <w:rsid w:val="00BE077B"/>
    <w:rsid w:val="00BE0942"/>
    <w:rsid w:val="00BE134D"/>
    <w:rsid w:val="00BE3186"/>
    <w:rsid w:val="00BE37B4"/>
    <w:rsid w:val="00BE3A48"/>
    <w:rsid w:val="00BE3CF8"/>
    <w:rsid w:val="00BE4909"/>
    <w:rsid w:val="00BE4AFE"/>
    <w:rsid w:val="00BE542F"/>
    <w:rsid w:val="00BE54BA"/>
    <w:rsid w:val="00BE6265"/>
    <w:rsid w:val="00BE6493"/>
    <w:rsid w:val="00BE6E63"/>
    <w:rsid w:val="00BE6E88"/>
    <w:rsid w:val="00BE6F48"/>
    <w:rsid w:val="00BE6FE7"/>
    <w:rsid w:val="00BE7268"/>
    <w:rsid w:val="00BE76D8"/>
    <w:rsid w:val="00BE7BA9"/>
    <w:rsid w:val="00BE7BC7"/>
    <w:rsid w:val="00BE7D40"/>
    <w:rsid w:val="00BF096E"/>
    <w:rsid w:val="00BF3264"/>
    <w:rsid w:val="00BF36C3"/>
    <w:rsid w:val="00BF3822"/>
    <w:rsid w:val="00BF533E"/>
    <w:rsid w:val="00BF54FD"/>
    <w:rsid w:val="00BF590E"/>
    <w:rsid w:val="00BF5A92"/>
    <w:rsid w:val="00BF629C"/>
    <w:rsid w:val="00BF6DE7"/>
    <w:rsid w:val="00BF7C98"/>
    <w:rsid w:val="00C006D3"/>
    <w:rsid w:val="00C00747"/>
    <w:rsid w:val="00C00F02"/>
    <w:rsid w:val="00C012EB"/>
    <w:rsid w:val="00C01470"/>
    <w:rsid w:val="00C032CE"/>
    <w:rsid w:val="00C03D14"/>
    <w:rsid w:val="00C053E4"/>
    <w:rsid w:val="00C05460"/>
    <w:rsid w:val="00C060A0"/>
    <w:rsid w:val="00C06AF2"/>
    <w:rsid w:val="00C07923"/>
    <w:rsid w:val="00C07D77"/>
    <w:rsid w:val="00C10043"/>
    <w:rsid w:val="00C10DBC"/>
    <w:rsid w:val="00C11145"/>
    <w:rsid w:val="00C11191"/>
    <w:rsid w:val="00C1166D"/>
    <w:rsid w:val="00C11D42"/>
    <w:rsid w:val="00C12029"/>
    <w:rsid w:val="00C12A2B"/>
    <w:rsid w:val="00C13364"/>
    <w:rsid w:val="00C13BE8"/>
    <w:rsid w:val="00C1449A"/>
    <w:rsid w:val="00C148AF"/>
    <w:rsid w:val="00C14E55"/>
    <w:rsid w:val="00C15976"/>
    <w:rsid w:val="00C15D20"/>
    <w:rsid w:val="00C1696D"/>
    <w:rsid w:val="00C16C5F"/>
    <w:rsid w:val="00C171BC"/>
    <w:rsid w:val="00C1752C"/>
    <w:rsid w:val="00C175A7"/>
    <w:rsid w:val="00C17B3C"/>
    <w:rsid w:val="00C205B6"/>
    <w:rsid w:val="00C21902"/>
    <w:rsid w:val="00C22108"/>
    <w:rsid w:val="00C23B1F"/>
    <w:rsid w:val="00C24E90"/>
    <w:rsid w:val="00C24F32"/>
    <w:rsid w:val="00C25269"/>
    <w:rsid w:val="00C2527D"/>
    <w:rsid w:val="00C256D0"/>
    <w:rsid w:val="00C25998"/>
    <w:rsid w:val="00C25AEC"/>
    <w:rsid w:val="00C277C7"/>
    <w:rsid w:val="00C305A1"/>
    <w:rsid w:val="00C31880"/>
    <w:rsid w:val="00C323DF"/>
    <w:rsid w:val="00C33071"/>
    <w:rsid w:val="00C33590"/>
    <w:rsid w:val="00C33A39"/>
    <w:rsid w:val="00C34135"/>
    <w:rsid w:val="00C341FA"/>
    <w:rsid w:val="00C34653"/>
    <w:rsid w:val="00C34BC8"/>
    <w:rsid w:val="00C35DF0"/>
    <w:rsid w:val="00C36464"/>
    <w:rsid w:val="00C41E8D"/>
    <w:rsid w:val="00C4269C"/>
    <w:rsid w:val="00C4311F"/>
    <w:rsid w:val="00C43533"/>
    <w:rsid w:val="00C43AC8"/>
    <w:rsid w:val="00C43ED4"/>
    <w:rsid w:val="00C43F01"/>
    <w:rsid w:val="00C44D6E"/>
    <w:rsid w:val="00C46425"/>
    <w:rsid w:val="00C466A9"/>
    <w:rsid w:val="00C46714"/>
    <w:rsid w:val="00C5012A"/>
    <w:rsid w:val="00C5015D"/>
    <w:rsid w:val="00C5023E"/>
    <w:rsid w:val="00C5210E"/>
    <w:rsid w:val="00C53D2D"/>
    <w:rsid w:val="00C54772"/>
    <w:rsid w:val="00C5612A"/>
    <w:rsid w:val="00C56974"/>
    <w:rsid w:val="00C56AB3"/>
    <w:rsid w:val="00C56C5B"/>
    <w:rsid w:val="00C572EF"/>
    <w:rsid w:val="00C578FA"/>
    <w:rsid w:val="00C61219"/>
    <w:rsid w:val="00C6379F"/>
    <w:rsid w:val="00C64E2E"/>
    <w:rsid w:val="00C664EE"/>
    <w:rsid w:val="00C673D5"/>
    <w:rsid w:val="00C6753A"/>
    <w:rsid w:val="00C677AD"/>
    <w:rsid w:val="00C70458"/>
    <w:rsid w:val="00C712BA"/>
    <w:rsid w:val="00C71A58"/>
    <w:rsid w:val="00C71CDA"/>
    <w:rsid w:val="00C71D59"/>
    <w:rsid w:val="00C725FA"/>
    <w:rsid w:val="00C72817"/>
    <w:rsid w:val="00C72A73"/>
    <w:rsid w:val="00C7314C"/>
    <w:rsid w:val="00C73655"/>
    <w:rsid w:val="00C7398D"/>
    <w:rsid w:val="00C739CB"/>
    <w:rsid w:val="00C75526"/>
    <w:rsid w:val="00C756DD"/>
    <w:rsid w:val="00C76447"/>
    <w:rsid w:val="00C76FF7"/>
    <w:rsid w:val="00C77A4E"/>
    <w:rsid w:val="00C77F7C"/>
    <w:rsid w:val="00C77FAF"/>
    <w:rsid w:val="00C80A98"/>
    <w:rsid w:val="00C80B77"/>
    <w:rsid w:val="00C81FE2"/>
    <w:rsid w:val="00C82667"/>
    <w:rsid w:val="00C83764"/>
    <w:rsid w:val="00C83877"/>
    <w:rsid w:val="00C839E6"/>
    <w:rsid w:val="00C83F71"/>
    <w:rsid w:val="00C842EE"/>
    <w:rsid w:val="00C859FC"/>
    <w:rsid w:val="00C85C69"/>
    <w:rsid w:val="00C864E0"/>
    <w:rsid w:val="00C86FF7"/>
    <w:rsid w:val="00C871E1"/>
    <w:rsid w:val="00C8755B"/>
    <w:rsid w:val="00C87CAB"/>
    <w:rsid w:val="00C917D3"/>
    <w:rsid w:val="00C925C9"/>
    <w:rsid w:val="00C9294B"/>
    <w:rsid w:val="00C93A83"/>
    <w:rsid w:val="00C93BFD"/>
    <w:rsid w:val="00C944DD"/>
    <w:rsid w:val="00C94934"/>
    <w:rsid w:val="00C94970"/>
    <w:rsid w:val="00C94D4D"/>
    <w:rsid w:val="00C94EA1"/>
    <w:rsid w:val="00C9647A"/>
    <w:rsid w:val="00C96A98"/>
    <w:rsid w:val="00C96C54"/>
    <w:rsid w:val="00C97893"/>
    <w:rsid w:val="00C97CB8"/>
    <w:rsid w:val="00CA0243"/>
    <w:rsid w:val="00CA0BE6"/>
    <w:rsid w:val="00CA0E2D"/>
    <w:rsid w:val="00CA0E3E"/>
    <w:rsid w:val="00CA15CE"/>
    <w:rsid w:val="00CA1A6D"/>
    <w:rsid w:val="00CA225D"/>
    <w:rsid w:val="00CA277F"/>
    <w:rsid w:val="00CA3B46"/>
    <w:rsid w:val="00CA42EB"/>
    <w:rsid w:val="00CA4334"/>
    <w:rsid w:val="00CA45C4"/>
    <w:rsid w:val="00CA5C9F"/>
    <w:rsid w:val="00CA5DAA"/>
    <w:rsid w:val="00CA5F2A"/>
    <w:rsid w:val="00CA6785"/>
    <w:rsid w:val="00CA6BA6"/>
    <w:rsid w:val="00CA6C9F"/>
    <w:rsid w:val="00CB3589"/>
    <w:rsid w:val="00CB3C81"/>
    <w:rsid w:val="00CB3E50"/>
    <w:rsid w:val="00CB3F46"/>
    <w:rsid w:val="00CB40B7"/>
    <w:rsid w:val="00CB444B"/>
    <w:rsid w:val="00CB4D82"/>
    <w:rsid w:val="00CB4FD9"/>
    <w:rsid w:val="00CB5615"/>
    <w:rsid w:val="00CB5ED5"/>
    <w:rsid w:val="00CB6453"/>
    <w:rsid w:val="00CC01FC"/>
    <w:rsid w:val="00CC0467"/>
    <w:rsid w:val="00CC0A60"/>
    <w:rsid w:val="00CC14CB"/>
    <w:rsid w:val="00CC2F43"/>
    <w:rsid w:val="00CC3AE2"/>
    <w:rsid w:val="00CC3D8E"/>
    <w:rsid w:val="00CC52CC"/>
    <w:rsid w:val="00CC53A9"/>
    <w:rsid w:val="00CC6E2E"/>
    <w:rsid w:val="00CC7330"/>
    <w:rsid w:val="00CC78E0"/>
    <w:rsid w:val="00CD0274"/>
    <w:rsid w:val="00CD02F7"/>
    <w:rsid w:val="00CD0C22"/>
    <w:rsid w:val="00CD185B"/>
    <w:rsid w:val="00CD1B63"/>
    <w:rsid w:val="00CD24E4"/>
    <w:rsid w:val="00CD35A8"/>
    <w:rsid w:val="00CD3715"/>
    <w:rsid w:val="00CD4683"/>
    <w:rsid w:val="00CD4776"/>
    <w:rsid w:val="00CD499A"/>
    <w:rsid w:val="00CD4A09"/>
    <w:rsid w:val="00CD4BF8"/>
    <w:rsid w:val="00CD541D"/>
    <w:rsid w:val="00CD5D2F"/>
    <w:rsid w:val="00CD5F50"/>
    <w:rsid w:val="00CD73D5"/>
    <w:rsid w:val="00CD7A3E"/>
    <w:rsid w:val="00CD7B0F"/>
    <w:rsid w:val="00CE2415"/>
    <w:rsid w:val="00CE2996"/>
    <w:rsid w:val="00CE2AFC"/>
    <w:rsid w:val="00CE2C5C"/>
    <w:rsid w:val="00CE4E97"/>
    <w:rsid w:val="00CE5379"/>
    <w:rsid w:val="00CE57DB"/>
    <w:rsid w:val="00CE59B3"/>
    <w:rsid w:val="00CE60FF"/>
    <w:rsid w:val="00CE620C"/>
    <w:rsid w:val="00CE6310"/>
    <w:rsid w:val="00CE6943"/>
    <w:rsid w:val="00CE7176"/>
    <w:rsid w:val="00CE76F5"/>
    <w:rsid w:val="00CE7F43"/>
    <w:rsid w:val="00CF00F9"/>
    <w:rsid w:val="00CF0634"/>
    <w:rsid w:val="00CF15C3"/>
    <w:rsid w:val="00CF1FFF"/>
    <w:rsid w:val="00CF3608"/>
    <w:rsid w:val="00CF45EB"/>
    <w:rsid w:val="00CF4C07"/>
    <w:rsid w:val="00CF5926"/>
    <w:rsid w:val="00CF6F25"/>
    <w:rsid w:val="00CF6FF9"/>
    <w:rsid w:val="00CF7126"/>
    <w:rsid w:val="00CF7625"/>
    <w:rsid w:val="00D00390"/>
    <w:rsid w:val="00D007CE"/>
    <w:rsid w:val="00D02544"/>
    <w:rsid w:val="00D03F50"/>
    <w:rsid w:val="00D044DB"/>
    <w:rsid w:val="00D05130"/>
    <w:rsid w:val="00D05B26"/>
    <w:rsid w:val="00D05E3C"/>
    <w:rsid w:val="00D06825"/>
    <w:rsid w:val="00D07662"/>
    <w:rsid w:val="00D07C36"/>
    <w:rsid w:val="00D10A57"/>
    <w:rsid w:val="00D10AB8"/>
    <w:rsid w:val="00D1287F"/>
    <w:rsid w:val="00D12AB2"/>
    <w:rsid w:val="00D13251"/>
    <w:rsid w:val="00D139C4"/>
    <w:rsid w:val="00D13D46"/>
    <w:rsid w:val="00D14531"/>
    <w:rsid w:val="00D14A73"/>
    <w:rsid w:val="00D15552"/>
    <w:rsid w:val="00D155A3"/>
    <w:rsid w:val="00D15F11"/>
    <w:rsid w:val="00D16120"/>
    <w:rsid w:val="00D1618D"/>
    <w:rsid w:val="00D16199"/>
    <w:rsid w:val="00D179B9"/>
    <w:rsid w:val="00D17B56"/>
    <w:rsid w:val="00D2096D"/>
    <w:rsid w:val="00D211F3"/>
    <w:rsid w:val="00D21BD9"/>
    <w:rsid w:val="00D22185"/>
    <w:rsid w:val="00D22BD3"/>
    <w:rsid w:val="00D2396F"/>
    <w:rsid w:val="00D26427"/>
    <w:rsid w:val="00D26C4A"/>
    <w:rsid w:val="00D27D85"/>
    <w:rsid w:val="00D30A24"/>
    <w:rsid w:val="00D30AA8"/>
    <w:rsid w:val="00D31F56"/>
    <w:rsid w:val="00D33168"/>
    <w:rsid w:val="00D33CB6"/>
    <w:rsid w:val="00D343EE"/>
    <w:rsid w:val="00D34BCE"/>
    <w:rsid w:val="00D34FBC"/>
    <w:rsid w:val="00D35013"/>
    <w:rsid w:val="00D35C93"/>
    <w:rsid w:val="00D36AEC"/>
    <w:rsid w:val="00D36C5B"/>
    <w:rsid w:val="00D374A8"/>
    <w:rsid w:val="00D401A2"/>
    <w:rsid w:val="00D40214"/>
    <w:rsid w:val="00D4031C"/>
    <w:rsid w:val="00D40571"/>
    <w:rsid w:val="00D41C0E"/>
    <w:rsid w:val="00D43750"/>
    <w:rsid w:val="00D43A91"/>
    <w:rsid w:val="00D44E7E"/>
    <w:rsid w:val="00D452E1"/>
    <w:rsid w:val="00D45C16"/>
    <w:rsid w:val="00D45C21"/>
    <w:rsid w:val="00D463F7"/>
    <w:rsid w:val="00D46CEC"/>
    <w:rsid w:val="00D476F1"/>
    <w:rsid w:val="00D47A3C"/>
    <w:rsid w:val="00D47B60"/>
    <w:rsid w:val="00D51096"/>
    <w:rsid w:val="00D51186"/>
    <w:rsid w:val="00D512E1"/>
    <w:rsid w:val="00D5161A"/>
    <w:rsid w:val="00D518E3"/>
    <w:rsid w:val="00D51ED4"/>
    <w:rsid w:val="00D52ADC"/>
    <w:rsid w:val="00D535C5"/>
    <w:rsid w:val="00D537A9"/>
    <w:rsid w:val="00D537FC"/>
    <w:rsid w:val="00D54384"/>
    <w:rsid w:val="00D550D5"/>
    <w:rsid w:val="00D55868"/>
    <w:rsid w:val="00D55C6D"/>
    <w:rsid w:val="00D578FB"/>
    <w:rsid w:val="00D600C7"/>
    <w:rsid w:val="00D606E9"/>
    <w:rsid w:val="00D61207"/>
    <w:rsid w:val="00D61989"/>
    <w:rsid w:val="00D61E5C"/>
    <w:rsid w:val="00D61E5E"/>
    <w:rsid w:val="00D62167"/>
    <w:rsid w:val="00D624E8"/>
    <w:rsid w:val="00D64412"/>
    <w:rsid w:val="00D64BC0"/>
    <w:rsid w:val="00D64F43"/>
    <w:rsid w:val="00D658D6"/>
    <w:rsid w:val="00D65A2F"/>
    <w:rsid w:val="00D66B9C"/>
    <w:rsid w:val="00D67E90"/>
    <w:rsid w:val="00D67FD3"/>
    <w:rsid w:val="00D700F1"/>
    <w:rsid w:val="00D70523"/>
    <w:rsid w:val="00D70996"/>
    <w:rsid w:val="00D726D2"/>
    <w:rsid w:val="00D727C1"/>
    <w:rsid w:val="00D72BD0"/>
    <w:rsid w:val="00D73179"/>
    <w:rsid w:val="00D73329"/>
    <w:rsid w:val="00D75490"/>
    <w:rsid w:val="00D75B17"/>
    <w:rsid w:val="00D75BA5"/>
    <w:rsid w:val="00D75FF3"/>
    <w:rsid w:val="00D7606C"/>
    <w:rsid w:val="00D7778F"/>
    <w:rsid w:val="00D778F0"/>
    <w:rsid w:val="00D77E0F"/>
    <w:rsid w:val="00D812D7"/>
    <w:rsid w:val="00D81924"/>
    <w:rsid w:val="00D820EC"/>
    <w:rsid w:val="00D82B31"/>
    <w:rsid w:val="00D82FEC"/>
    <w:rsid w:val="00D842E8"/>
    <w:rsid w:val="00D84557"/>
    <w:rsid w:val="00D84EC9"/>
    <w:rsid w:val="00D86BD3"/>
    <w:rsid w:val="00D87DEA"/>
    <w:rsid w:val="00D908DC"/>
    <w:rsid w:val="00D90C10"/>
    <w:rsid w:val="00D90E29"/>
    <w:rsid w:val="00D91401"/>
    <w:rsid w:val="00D91AD3"/>
    <w:rsid w:val="00D91E00"/>
    <w:rsid w:val="00D91F9C"/>
    <w:rsid w:val="00D924AB"/>
    <w:rsid w:val="00D92AAD"/>
    <w:rsid w:val="00D93266"/>
    <w:rsid w:val="00D937E8"/>
    <w:rsid w:val="00D942B0"/>
    <w:rsid w:val="00D948C9"/>
    <w:rsid w:val="00D94AD2"/>
    <w:rsid w:val="00D94AE1"/>
    <w:rsid w:val="00D95E51"/>
    <w:rsid w:val="00D95F00"/>
    <w:rsid w:val="00D95FD0"/>
    <w:rsid w:val="00D9636F"/>
    <w:rsid w:val="00D97726"/>
    <w:rsid w:val="00DA0047"/>
    <w:rsid w:val="00DA0E98"/>
    <w:rsid w:val="00DA271B"/>
    <w:rsid w:val="00DA289D"/>
    <w:rsid w:val="00DA2927"/>
    <w:rsid w:val="00DA36B9"/>
    <w:rsid w:val="00DA428C"/>
    <w:rsid w:val="00DA4965"/>
    <w:rsid w:val="00DA57CF"/>
    <w:rsid w:val="00DA60A3"/>
    <w:rsid w:val="00DA6415"/>
    <w:rsid w:val="00DA6DEF"/>
    <w:rsid w:val="00DA6F24"/>
    <w:rsid w:val="00DA79A3"/>
    <w:rsid w:val="00DB0C8C"/>
    <w:rsid w:val="00DB0D3A"/>
    <w:rsid w:val="00DB0E86"/>
    <w:rsid w:val="00DB1167"/>
    <w:rsid w:val="00DB15C7"/>
    <w:rsid w:val="00DB17FA"/>
    <w:rsid w:val="00DB1EBC"/>
    <w:rsid w:val="00DB2154"/>
    <w:rsid w:val="00DB2283"/>
    <w:rsid w:val="00DB236F"/>
    <w:rsid w:val="00DB282F"/>
    <w:rsid w:val="00DB2EE8"/>
    <w:rsid w:val="00DB2F5F"/>
    <w:rsid w:val="00DB38FB"/>
    <w:rsid w:val="00DB3F3D"/>
    <w:rsid w:val="00DB508B"/>
    <w:rsid w:val="00DB5216"/>
    <w:rsid w:val="00DB58D8"/>
    <w:rsid w:val="00DB5CD6"/>
    <w:rsid w:val="00DC0D45"/>
    <w:rsid w:val="00DC107F"/>
    <w:rsid w:val="00DC1D54"/>
    <w:rsid w:val="00DC222A"/>
    <w:rsid w:val="00DC259A"/>
    <w:rsid w:val="00DC2A47"/>
    <w:rsid w:val="00DC32AB"/>
    <w:rsid w:val="00DC3EAB"/>
    <w:rsid w:val="00DC4D89"/>
    <w:rsid w:val="00DC5B58"/>
    <w:rsid w:val="00DC631A"/>
    <w:rsid w:val="00DC64B7"/>
    <w:rsid w:val="00DC7978"/>
    <w:rsid w:val="00DD0CA2"/>
    <w:rsid w:val="00DD12B0"/>
    <w:rsid w:val="00DD18D7"/>
    <w:rsid w:val="00DD1ADE"/>
    <w:rsid w:val="00DD1F8C"/>
    <w:rsid w:val="00DD341E"/>
    <w:rsid w:val="00DD3603"/>
    <w:rsid w:val="00DD543A"/>
    <w:rsid w:val="00DD567B"/>
    <w:rsid w:val="00DD56FA"/>
    <w:rsid w:val="00DE0AA0"/>
    <w:rsid w:val="00DE125A"/>
    <w:rsid w:val="00DE1593"/>
    <w:rsid w:val="00DE17DE"/>
    <w:rsid w:val="00DE22AE"/>
    <w:rsid w:val="00DE2A65"/>
    <w:rsid w:val="00DE3130"/>
    <w:rsid w:val="00DE45AC"/>
    <w:rsid w:val="00DE46DB"/>
    <w:rsid w:val="00DE499A"/>
    <w:rsid w:val="00DE4BAE"/>
    <w:rsid w:val="00DE4D4E"/>
    <w:rsid w:val="00DE58BC"/>
    <w:rsid w:val="00DE7410"/>
    <w:rsid w:val="00DF03C4"/>
    <w:rsid w:val="00DF0719"/>
    <w:rsid w:val="00DF0A14"/>
    <w:rsid w:val="00DF341C"/>
    <w:rsid w:val="00DF54FC"/>
    <w:rsid w:val="00DF58E2"/>
    <w:rsid w:val="00DF63C6"/>
    <w:rsid w:val="00DF75E4"/>
    <w:rsid w:val="00DF7BA7"/>
    <w:rsid w:val="00DF7C53"/>
    <w:rsid w:val="00DF7C93"/>
    <w:rsid w:val="00E0009D"/>
    <w:rsid w:val="00E0053B"/>
    <w:rsid w:val="00E0227F"/>
    <w:rsid w:val="00E0306B"/>
    <w:rsid w:val="00E0397B"/>
    <w:rsid w:val="00E054A4"/>
    <w:rsid w:val="00E06345"/>
    <w:rsid w:val="00E06E1C"/>
    <w:rsid w:val="00E0748B"/>
    <w:rsid w:val="00E07EAC"/>
    <w:rsid w:val="00E12231"/>
    <w:rsid w:val="00E13A8C"/>
    <w:rsid w:val="00E14B92"/>
    <w:rsid w:val="00E152F5"/>
    <w:rsid w:val="00E157E2"/>
    <w:rsid w:val="00E15884"/>
    <w:rsid w:val="00E1599C"/>
    <w:rsid w:val="00E15AF1"/>
    <w:rsid w:val="00E16DB0"/>
    <w:rsid w:val="00E20083"/>
    <w:rsid w:val="00E20402"/>
    <w:rsid w:val="00E20FC7"/>
    <w:rsid w:val="00E22406"/>
    <w:rsid w:val="00E23092"/>
    <w:rsid w:val="00E233DE"/>
    <w:rsid w:val="00E23401"/>
    <w:rsid w:val="00E23463"/>
    <w:rsid w:val="00E2369C"/>
    <w:rsid w:val="00E245F7"/>
    <w:rsid w:val="00E2484E"/>
    <w:rsid w:val="00E255A8"/>
    <w:rsid w:val="00E25608"/>
    <w:rsid w:val="00E2597F"/>
    <w:rsid w:val="00E25F23"/>
    <w:rsid w:val="00E2623B"/>
    <w:rsid w:val="00E2779F"/>
    <w:rsid w:val="00E3036A"/>
    <w:rsid w:val="00E305B7"/>
    <w:rsid w:val="00E30734"/>
    <w:rsid w:val="00E30ABE"/>
    <w:rsid w:val="00E30AF6"/>
    <w:rsid w:val="00E3109F"/>
    <w:rsid w:val="00E33051"/>
    <w:rsid w:val="00E335C6"/>
    <w:rsid w:val="00E3379E"/>
    <w:rsid w:val="00E339AD"/>
    <w:rsid w:val="00E346EA"/>
    <w:rsid w:val="00E34D1B"/>
    <w:rsid w:val="00E35A79"/>
    <w:rsid w:val="00E36D06"/>
    <w:rsid w:val="00E370C6"/>
    <w:rsid w:val="00E373D0"/>
    <w:rsid w:val="00E400F2"/>
    <w:rsid w:val="00E40807"/>
    <w:rsid w:val="00E412C0"/>
    <w:rsid w:val="00E41F69"/>
    <w:rsid w:val="00E43353"/>
    <w:rsid w:val="00E4606A"/>
    <w:rsid w:val="00E46A27"/>
    <w:rsid w:val="00E46BCE"/>
    <w:rsid w:val="00E46DAF"/>
    <w:rsid w:val="00E4723E"/>
    <w:rsid w:val="00E5009B"/>
    <w:rsid w:val="00E502DA"/>
    <w:rsid w:val="00E52033"/>
    <w:rsid w:val="00E53E41"/>
    <w:rsid w:val="00E54859"/>
    <w:rsid w:val="00E54A48"/>
    <w:rsid w:val="00E54BA6"/>
    <w:rsid w:val="00E54BBF"/>
    <w:rsid w:val="00E56262"/>
    <w:rsid w:val="00E56973"/>
    <w:rsid w:val="00E600B3"/>
    <w:rsid w:val="00E60E35"/>
    <w:rsid w:val="00E61217"/>
    <w:rsid w:val="00E62511"/>
    <w:rsid w:val="00E628F6"/>
    <w:rsid w:val="00E63A77"/>
    <w:rsid w:val="00E6480E"/>
    <w:rsid w:val="00E6497F"/>
    <w:rsid w:val="00E64AF0"/>
    <w:rsid w:val="00E64AF9"/>
    <w:rsid w:val="00E65D2F"/>
    <w:rsid w:val="00E67087"/>
    <w:rsid w:val="00E673BB"/>
    <w:rsid w:val="00E70AE8"/>
    <w:rsid w:val="00E71738"/>
    <w:rsid w:val="00E725ED"/>
    <w:rsid w:val="00E72C25"/>
    <w:rsid w:val="00E73775"/>
    <w:rsid w:val="00E73DB9"/>
    <w:rsid w:val="00E73EB0"/>
    <w:rsid w:val="00E74A6B"/>
    <w:rsid w:val="00E75059"/>
    <w:rsid w:val="00E7649E"/>
    <w:rsid w:val="00E7705F"/>
    <w:rsid w:val="00E777E8"/>
    <w:rsid w:val="00E801D0"/>
    <w:rsid w:val="00E80544"/>
    <w:rsid w:val="00E810E3"/>
    <w:rsid w:val="00E812CD"/>
    <w:rsid w:val="00E81498"/>
    <w:rsid w:val="00E8211F"/>
    <w:rsid w:val="00E8236E"/>
    <w:rsid w:val="00E82A7A"/>
    <w:rsid w:val="00E83097"/>
    <w:rsid w:val="00E8699B"/>
    <w:rsid w:val="00E87434"/>
    <w:rsid w:val="00E87B1E"/>
    <w:rsid w:val="00E903B1"/>
    <w:rsid w:val="00E905CF"/>
    <w:rsid w:val="00E90BDA"/>
    <w:rsid w:val="00E91495"/>
    <w:rsid w:val="00E91921"/>
    <w:rsid w:val="00E922F3"/>
    <w:rsid w:val="00E928DE"/>
    <w:rsid w:val="00E929D9"/>
    <w:rsid w:val="00E92BE8"/>
    <w:rsid w:val="00E92E0D"/>
    <w:rsid w:val="00E932FF"/>
    <w:rsid w:val="00E937B9"/>
    <w:rsid w:val="00E93DD9"/>
    <w:rsid w:val="00E94314"/>
    <w:rsid w:val="00E94DBB"/>
    <w:rsid w:val="00E94DE1"/>
    <w:rsid w:val="00E95DF6"/>
    <w:rsid w:val="00E967B2"/>
    <w:rsid w:val="00E97A4D"/>
    <w:rsid w:val="00EA0AD2"/>
    <w:rsid w:val="00EA0BA4"/>
    <w:rsid w:val="00EA122E"/>
    <w:rsid w:val="00EA1769"/>
    <w:rsid w:val="00EA1BE0"/>
    <w:rsid w:val="00EA1E96"/>
    <w:rsid w:val="00EA242B"/>
    <w:rsid w:val="00EA2FE8"/>
    <w:rsid w:val="00EA38E8"/>
    <w:rsid w:val="00EA5654"/>
    <w:rsid w:val="00EA6B3F"/>
    <w:rsid w:val="00EA6F53"/>
    <w:rsid w:val="00EA7265"/>
    <w:rsid w:val="00EA762D"/>
    <w:rsid w:val="00EB152E"/>
    <w:rsid w:val="00EB2501"/>
    <w:rsid w:val="00EB385A"/>
    <w:rsid w:val="00EB39BF"/>
    <w:rsid w:val="00EB41E3"/>
    <w:rsid w:val="00EB4614"/>
    <w:rsid w:val="00EB5398"/>
    <w:rsid w:val="00EB5C8D"/>
    <w:rsid w:val="00EB6187"/>
    <w:rsid w:val="00EB6F5E"/>
    <w:rsid w:val="00EB7351"/>
    <w:rsid w:val="00EB77CD"/>
    <w:rsid w:val="00EC05D6"/>
    <w:rsid w:val="00EC178E"/>
    <w:rsid w:val="00EC1E24"/>
    <w:rsid w:val="00EC2697"/>
    <w:rsid w:val="00EC2C20"/>
    <w:rsid w:val="00EC2FA7"/>
    <w:rsid w:val="00EC3CCC"/>
    <w:rsid w:val="00EC3D34"/>
    <w:rsid w:val="00EC4134"/>
    <w:rsid w:val="00EC445D"/>
    <w:rsid w:val="00EC4727"/>
    <w:rsid w:val="00EC4945"/>
    <w:rsid w:val="00EC50E6"/>
    <w:rsid w:val="00EC5D6C"/>
    <w:rsid w:val="00EC6E04"/>
    <w:rsid w:val="00ED331B"/>
    <w:rsid w:val="00ED3578"/>
    <w:rsid w:val="00ED37E0"/>
    <w:rsid w:val="00ED3890"/>
    <w:rsid w:val="00ED4511"/>
    <w:rsid w:val="00ED7B02"/>
    <w:rsid w:val="00ED7F9E"/>
    <w:rsid w:val="00EE040C"/>
    <w:rsid w:val="00EE062B"/>
    <w:rsid w:val="00EE0973"/>
    <w:rsid w:val="00EE0BB1"/>
    <w:rsid w:val="00EE26FA"/>
    <w:rsid w:val="00EE31CB"/>
    <w:rsid w:val="00EE3913"/>
    <w:rsid w:val="00EE3E11"/>
    <w:rsid w:val="00EE429A"/>
    <w:rsid w:val="00EE49DA"/>
    <w:rsid w:val="00EE4A78"/>
    <w:rsid w:val="00EE52E5"/>
    <w:rsid w:val="00EE5813"/>
    <w:rsid w:val="00EE5A21"/>
    <w:rsid w:val="00EE5B93"/>
    <w:rsid w:val="00EE5FE8"/>
    <w:rsid w:val="00EE6405"/>
    <w:rsid w:val="00EE694D"/>
    <w:rsid w:val="00EE796A"/>
    <w:rsid w:val="00EF0900"/>
    <w:rsid w:val="00EF1E61"/>
    <w:rsid w:val="00EF2662"/>
    <w:rsid w:val="00EF2837"/>
    <w:rsid w:val="00EF4941"/>
    <w:rsid w:val="00EF4B16"/>
    <w:rsid w:val="00EF56B0"/>
    <w:rsid w:val="00EF5EE7"/>
    <w:rsid w:val="00EF61CD"/>
    <w:rsid w:val="00EF75DA"/>
    <w:rsid w:val="00F007B7"/>
    <w:rsid w:val="00F00C68"/>
    <w:rsid w:val="00F00D08"/>
    <w:rsid w:val="00F0204C"/>
    <w:rsid w:val="00F02566"/>
    <w:rsid w:val="00F02D28"/>
    <w:rsid w:val="00F02F1F"/>
    <w:rsid w:val="00F031A3"/>
    <w:rsid w:val="00F04395"/>
    <w:rsid w:val="00F06324"/>
    <w:rsid w:val="00F07407"/>
    <w:rsid w:val="00F076F0"/>
    <w:rsid w:val="00F079BA"/>
    <w:rsid w:val="00F11468"/>
    <w:rsid w:val="00F12151"/>
    <w:rsid w:val="00F12BF9"/>
    <w:rsid w:val="00F13609"/>
    <w:rsid w:val="00F14605"/>
    <w:rsid w:val="00F15980"/>
    <w:rsid w:val="00F15B18"/>
    <w:rsid w:val="00F16344"/>
    <w:rsid w:val="00F16562"/>
    <w:rsid w:val="00F17B64"/>
    <w:rsid w:val="00F17D23"/>
    <w:rsid w:val="00F20121"/>
    <w:rsid w:val="00F20420"/>
    <w:rsid w:val="00F20DC8"/>
    <w:rsid w:val="00F21878"/>
    <w:rsid w:val="00F226E9"/>
    <w:rsid w:val="00F22CB2"/>
    <w:rsid w:val="00F236B0"/>
    <w:rsid w:val="00F239EA"/>
    <w:rsid w:val="00F24543"/>
    <w:rsid w:val="00F25563"/>
    <w:rsid w:val="00F26603"/>
    <w:rsid w:val="00F26EBC"/>
    <w:rsid w:val="00F30802"/>
    <w:rsid w:val="00F30B3B"/>
    <w:rsid w:val="00F31170"/>
    <w:rsid w:val="00F319B3"/>
    <w:rsid w:val="00F32E20"/>
    <w:rsid w:val="00F330B2"/>
    <w:rsid w:val="00F3422A"/>
    <w:rsid w:val="00F34DA8"/>
    <w:rsid w:val="00F351EE"/>
    <w:rsid w:val="00F35BF6"/>
    <w:rsid w:val="00F35CE6"/>
    <w:rsid w:val="00F35D08"/>
    <w:rsid w:val="00F36B1F"/>
    <w:rsid w:val="00F37439"/>
    <w:rsid w:val="00F37A47"/>
    <w:rsid w:val="00F37CA9"/>
    <w:rsid w:val="00F4188A"/>
    <w:rsid w:val="00F42303"/>
    <w:rsid w:val="00F42552"/>
    <w:rsid w:val="00F4259B"/>
    <w:rsid w:val="00F4353C"/>
    <w:rsid w:val="00F43C9D"/>
    <w:rsid w:val="00F44B55"/>
    <w:rsid w:val="00F45943"/>
    <w:rsid w:val="00F46215"/>
    <w:rsid w:val="00F469B5"/>
    <w:rsid w:val="00F46F1B"/>
    <w:rsid w:val="00F470B3"/>
    <w:rsid w:val="00F508DD"/>
    <w:rsid w:val="00F50E18"/>
    <w:rsid w:val="00F50ED6"/>
    <w:rsid w:val="00F50F00"/>
    <w:rsid w:val="00F50F47"/>
    <w:rsid w:val="00F523CF"/>
    <w:rsid w:val="00F53646"/>
    <w:rsid w:val="00F5614B"/>
    <w:rsid w:val="00F56F27"/>
    <w:rsid w:val="00F577AC"/>
    <w:rsid w:val="00F609AF"/>
    <w:rsid w:val="00F61271"/>
    <w:rsid w:val="00F6133C"/>
    <w:rsid w:val="00F624AC"/>
    <w:rsid w:val="00F63966"/>
    <w:rsid w:val="00F63D14"/>
    <w:rsid w:val="00F651CE"/>
    <w:rsid w:val="00F65AC2"/>
    <w:rsid w:val="00F65BE8"/>
    <w:rsid w:val="00F65E04"/>
    <w:rsid w:val="00F662C4"/>
    <w:rsid w:val="00F66B81"/>
    <w:rsid w:val="00F67404"/>
    <w:rsid w:val="00F674C2"/>
    <w:rsid w:val="00F67C34"/>
    <w:rsid w:val="00F70217"/>
    <w:rsid w:val="00F70682"/>
    <w:rsid w:val="00F70BB3"/>
    <w:rsid w:val="00F71F9C"/>
    <w:rsid w:val="00F71FF7"/>
    <w:rsid w:val="00F7218F"/>
    <w:rsid w:val="00F735B6"/>
    <w:rsid w:val="00F7367E"/>
    <w:rsid w:val="00F73718"/>
    <w:rsid w:val="00F73E7C"/>
    <w:rsid w:val="00F74691"/>
    <w:rsid w:val="00F7550A"/>
    <w:rsid w:val="00F76366"/>
    <w:rsid w:val="00F76776"/>
    <w:rsid w:val="00F76794"/>
    <w:rsid w:val="00F80A71"/>
    <w:rsid w:val="00F80B7F"/>
    <w:rsid w:val="00F810FE"/>
    <w:rsid w:val="00F818D0"/>
    <w:rsid w:val="00F8236B"/>
    <w:rsid w:val="00F828F5"/>
    <w:rsid w:val="00F83103"/>
    <w:rsid w:val="00F83EE0"/>
    <w:rsid w:val="00F84AF0"/>
    <w:rsid w:val="00F84EAA"/>
    <w:rsid w:val="00F84F48"/>
    <w:rsid w:val="00F856DE"/>
    <w:rsid w:val="00F85CC3"/>
    <w:rsid w:val="00F86121"/>
    <w:rsid w:val="00F86A83"/>
    <w:rsid w:val="00F87131"/>
    <w:rsid w:val="00F87566"/>
    <w:rsid w:val="00F8758C"/>
    <w:rsid w:val="00F904B2"/>
    <w:rsid w:val="00F9126D"/>
    <w:rsid w:val="00F91610"/>
    <w:rsid w:val="00F92429"/>
    <w:rsid w:val="00F92B93"/>
    <w:rsid w:val="00F936F9"/>
    <w:rsid w:val="00F93E93"/>
    <w:rsid w:val="00F940D3"/>
    <w:rsid w:val="00F94932"/>
    <w:rsid w:val="00F949AF"/>
    <w:rsid w:val="00F95714"/>
    <w:rsid w:val="00F95B5C"/>
    <w:rsid w:val="00F95D27"/>
    <w:rsid w:val="00FA3101"/>
    <w:rsid w:val="00FA33D5"/>
    <w:rsid w:val="00FA3687"/>
    <w:rsid w:val="00FA43B9"/>
    <w:rsid w:val="00FA4A0D"/>
    <w:rsid w:val="00FA5021"/>
    <w:rsid w:val="00FA50A9"/>
    <w:rsid w:val="00FA51B7"/>
    <w:rsid w:val="00FA5CC9"/>
    <w:rsid w:val="00FA5FB8"/>
    <w:rsid w:val="00FA6795"/>
    <w:rsid w:val="00FA7084"/>
    <w:rsid w:val="00FA777D"/>
    <w:rsid w:val="00FA7B29"/>
    <w:rsid w:val="00FB0377"/>
    <w:rsid w:val="00FB1A3E"/>
    <w:rsid w:val="00FB1CA5"/>
    <w:rsid w:val="00FB29E5"/>
    <w:rsid w:val="00FB2A2B"/>
    <w:rsid w:val="00FB2F8C"/>
    <w:rsid w:val="00FB4B60"/>
    <w:rsid w:val="00FB7380"/>
    <w:rsid w:val="00FB776B"/>
    <w:rsid w:val="00FB7873"/>
    <w:rsid w:val="00FC0D12"/>
    <w:rsid w:val="00FC0EAB"/>
    <w:rsid w:val="00FC2AAE"/>
    <w:rsid w:val="00FC2CD3"/>
    <w:rsid w:val="00FC2CF6"/>
    <w:rsid w:val="00FC3399"/>
    <w:rsid w:val="00FC3A54"/>
    <w:rsid w:val="00FC4848"/>
    <w:rsid w:val="00FC4F2D"/>
    <w:rsid w:val="00FC5617"/>
    <w:rsid w:val="00FC61A1"/>
    <w:rsid w:val="00FC67C5"/>
    <w:rsid w:val="00FC6A17"/>
    <w:rsid w:val="00FC7937"/>
    <w:rsid w:val="00FD0830"/>
    <w:rsid w:val="00FD09BE"/>
    <w:rsid w:val="00FD3DA7"/>
    <w:rsid w:val="00FD4ABB"/>
    <w:rsid w:val="00FD4B79"/>
    <w:rsid w:val="00FD4E43"/>
    <w:rsid w:val="00FD6292"/>
    <w:rsid w:val="00FD64CC"/>
    <w:rsid w:val="00FD6917"/>
    <w:rsid w:val="00FD6AA9"/>
    <w:rsid w:val="00FD6C53"/>
    <w:rsid w:val="00FD6EFB"/>
    <w:rsid w:val="00FD717A"/>
    <w:rsid w:val="00FD73E2"/>
    <w:rsid w:val="00FD7653"/>
    <w:rsid w:val="00FD7866"/>
    <w:rsid w:val="00FE1813"/>
    <w:rsid w:val="00FE1EFF"/>
    <w:rsid w:val="00FE257A"/>
    <w:rsid w:val="00FE3C56"/>
    <w:rsid w:val="00FE4183"/>
    <w:rsid w:val="00FE4522"/>
    <w:rsid w:val="00FE4F52"/>
    <w:rsid w:val="00FE50FC"/>
    <w:rsid w:val="00FE6E81"/>
    <w:rsid w:val="00FE760E"/>
    <w:rsid w:val="00FE7AEA"/>
    <w:rsid w:val="00FF23CF"/>
    <w:rsid w:val="00FF29D6"/>
    <w:rsid w:val="00FF2A44"/>
    <w:rsid w:val="00FF49C3"/>
    <w:rsid w:val="00FF49C4"/>
    <w:rsid w:val="00FF4E86"/>
    <w:rsid w:val="00FF5308"/>
    <w:rsid w:val="00FF549B"/>
    <w:rsid w:val="00FF6D2D"/>
    <w:rsid w:val="00FF7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1A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BC"/>
    <w:pPr>
      <w:widowControl w:val="0"/>
    </w:pPr>
    <w:rPr>
      <w:kern w:val="2"/>
      <w:sz w:val="24"/>
      <w:szCs w:val="24"/>
      <w:lang w:eastAsia="zh-TW" w:bidi="ar-SA"/>
    </w:rPr>
  </w:style>
  <w:style w:type="paragraph" w:styleId="Heading1">
    <w:name w:val="heading 1"/>
    <w:basedOn w:val="Normal"/>
    <w:next w:val="Normal"/>
    <w:qFormat/>
    <w:rsid w:val="00693980"/>
    <w:pPr>
      <w:keepNext/>
      <w:spacing w:line="360" w:lineRule="auto"/>
      <w:outlineLvl w:val="0"/>
    </w:pPr>
    <w:rPr>
      <w:i/>
      <w:iCs/>
    </w:rPr>
  </w:style>
  <w:style w:type="paragraph" w:styleId="Heading2">
    <w:name w:val="heading 2"/>
    <w:basedOn w:val="Normal"/>
    <w:next w:val="Normal"/>
    <w:qFormat/>
    <w:rsid w:val="00693980"/>
    <w:pPr>
      <w:keepNext/>
      <w:outlineLvl w:val="1"/>
    </w:pPr>
    <w:rPr>
      <w:u w:val="single"/>
    </w:rPr>
  </w:style>
  <w:style w:type="paragraph" w:styleId="Heading3">
    <w:name w:val="heading 3"/>
    <w:basedOn w:val="Normal"/>
    <w:next w:val="Normal"/>
    <w:qFormat/>
    <w:rsid w:val="00693980"/>
    <w:pPr>
      <w:keepNext/>
      <w:jc w:val="both"/>
      <w:outlineLvl w:val="2"/>
    </w:pPr>
    <w:rPr>
      <w:u w:val="single"/>
    </w:rPr>
  </w:style>
  <w:style w:type="paragraph" w:styleId="Heading4">
    <w:name w:val="heading 4"/>
    <w:basedOn w:val="Normal"/>
    <w:next w:val="Normal"/>
    <w:qFormat/>
    <w:rsid w:val="00693980"/>
    <w:pPr>
      <w:keepNext/>
      <w:jc w:val="both"/>
      <w:outlineLvl w:val="3"/>
    </w:pPr>
    <w:rPr>
      <w:i/>
      <w:iCs/>
    </w:rPr>
  </w:style>
  <w:style w:type="paragraph" w:styleId="Heading5">
    <w:name w:val="heading 5"/>
    <w:basedOn w:val="Normal"/>
    <w:next w:val="Normal"/>
    <w:qFormat/>
    <w:rsid w:val="00693980"/>
    <w:pPr>
      <w:keepNext/>
      <w:jc w:val="both"/>
      <w:outlineLvl w:val="4"/>
    </w:pPr>
    <w:rPr>
      <w:b/>
      <w:u w:val="single"/>
    </w:rPr>
  </w:style>
  <w:style w:type="paragraph" w:styleId="Heading6">
    <w:name w:val="heading 6"/>
    <w:basedOn w:val="Normal"/>
    <w:next w:val="Normal"/>
    <w:qFormat/>
    <w:rsid w:val="00693980"/>
    <w:pPr>
      <w:keepNext/>
      <w:jc w:val="both"/>
      <w:outlineLvl w:val="5"/>
    </w:pPr>
    <w:rPr>
      <w:b/>
      <w:bCs/>
    </w:rPr>
  </w:style>
  <w:style w:type="paragraph" w:styleId="Heading7">
    <w:name w:val="heading 7"/>
    <w:basedOn w:val="Normal"/>
    <w:next w:val="Normal"/>
    <w:qFormat/>
    <w:rsid w:val="00693980"/>
    <w:pPr>
      <w:keepNext/>
      <w:ind w:left="240" w:hangingChars="100" w:hanging="240"/>
      <w:outlineLvl w:val="6"/>
    </w:pPr>
    <w:rPr>
      <w:i/>
      <w:iCs/>
    </w:rPr>
  </w:style>
  <w:style w:type="paragraph" w:styleId="Heading8">
    <w:name w:val="heading 8"/>
    <w:basedOn w:val="Normal"/>
    <w:next w:val="Normal"/>
    <w:qFormat/>
    <w:rsid w:val="00693980"/>
    <w:pPr>
      <w:keepNext/>
      <w:spacing w:line="36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93980"/>
    <w:pPr>
      <w:spacing w:line="360" w:lineRule="auto"/>
      <w:ind w:firstLine="480"/>
      <w:jc w:val="both"/>
    </w:pPr>
  </w:style>
  <w:style w:type="character" w:styleId="PageNumber">
    <w:name w:val="page number"/>
    <w:basedOn w:val="DefaultParagraphFont"/>
    <w:semiHidden/>
    <w:rsid w:val="00693980"/>
  </w:style>
  <w:style w:type="paragraph" w:styleId="Header">
    <w:name w:val="header"/>
    <w:basedOn w:val="Normal"/>
    <w:semiHidden/>
    <w:rsid w:val="00693980"/>
    <w:pPr>
      <w:tabs>
        <w:tab w:val="center" w:pos="4153"/>
        <w:tab w:val="right" w:pos="8306"/>
      </w:tabs>
      <w:snapToGrid w:val="0"/>
    </w:pPr>
    <w:rPr>
      <w:sz w:val="20"/>
      <w:szCs w:val="20"/>
    </w:rPr>
  </w:style>
  <w:style w:type="paragraph" w:styleId="Footer">
    <w:name w:val="footer"/>
    <w:basedOn w:val="Normal"/>
    <w:semiHidden/>
    <w:rsid w:val="00693980"/>
    <w:pPr>
      <w:tabs>
        <w:tab w:val="center" w:pos="4153"/>
        <w:tab w:val="right" w:pos="8306"/>
      </w:tabs>
      <w:snapToGrid w:val="0"/>
    </w:pPr>
    <w:rPr>
      <w:sz w:val="20"/>
      <w:szCs w:val="20"/>
    </w:rPr>
  </w:style>
  <w:style w:type="paragraph" w:styleId="BodyText">
    <w:name w:val="Body Text"/>
    <w:basedOn w:val="Normal"/>
    <w:link w:val="BodyTextChar1"/>
    <w:rsid w:val="00693980"/>
    <w:rPr>
      <w:i/>
      <w:iCs/>
    </w:rPr>
  </w:style>
  <w:style w:type="paragraph" w:styleId="BodyText2">
    <w:name w:val="Body Text 2"/>
    <w:basedOn w:val="Normal"/>
    <w:semiHidden/>
    <w:rsid w:val="00693980"/>
    <w:rPr>
      <w:b/>
    </w:rPr>
  </w:style>
  <w:style w:type="paragraph" w:styleId="BodyTextIndent2">
    <w:name w:val="Body Text Indent 2"/>
    <w:basedOn w:val="Normal"/>
    <w:semiHidden/>
    <w:rsid w:val="00693980"/>
    <w:pPr>
      <w:ind w:leftChars="150" w:left="360"/>
    </w:pPr>
  </w:style>
  <w:style w:type="paragraph" w:styleId="Date">
    <w:name w:val="Date"/>
    <w:basedOn w:val="Normal"/>
    <w:next w:val="Normal"/>
    <w:semiHidden/>
    <w:rsid w:val="00693980"/>
    <w:pPr>
      <w:jc w:val="right"/>
    </w:pPr>
  </w:style>
  <w:style w:type="paragraph" w:styleId="BodyText3">
    <w:name w:val="Body Text 3"/>
    <w:basedOn w:val="Normal"/>
    <w:semiHidden/>
    <w:rsid w:val="00693980"/>
    <w:pPr>
      <w:spacing w:line="360" w:lineRule="auto"/>
      <w:jc w:val="both"/>
    </w:pPr>
  </w:style>
  <w:style w:type="paragraph" w:customStyle="1" w:styleId="BalloonText1">
    <w:name w:val="Balloon Text1"/>
    <w:basedOn w:val="Normal"/>
    <w:semiHidden/>
    <w:rsid w:val="00693980"/>
    <w:rPr>
      <w:rFonts w:ascii="Arial" w:hAnsi="Arial"/>
      <w:sz w:val="18"/>
      <w:szCs w:val="18"/>
    </w:rPr>
  </w:style>
  <w:style w:type="character" w:styleId="CommentReference">
    <w:name w:val="annotation reference"/>
    <w:uiPriority w:val="99"/>
    <w:semiHidden/>
    <w:rsid w:val="00693980"/>
    <w:rPr>
      <w:sz w:val="18"/>
      <w:szCs w:val="18"/>
    </w:rPr>
  </w:style>
  <w:style w:type="paragraph" w:styleId="CommentText">
    <w:name w:val="annotation text"/>
    <w:basedOn w:val="Normal"/>
    <w:link w:val="CommentTextChar1"/>
    <w:uiPriority w:val="99"/>
    <w:semiHidden/>
    <w:rsid w:val="00693980"/>
  </w:style>
  <w:style w:type="paragraph" w:customStyle="1" w:styleId="CommentSubject1">
    <w:name w:val="Comment Subject1"/>
    <w:basedOn w:val="CommentText"/>
    <w:next w:val="CommentText"/>
    <w:semiHidden/>
    <w:rsid w:val="00693980"/>
    <w:rPr>
      <w:b/>
      <w:bCs/>
    </w:rPr>
  </w:style>
  <w:style w:type="character" w:styleId="Hyperlink">
    <w:name w:val="Hyperlink"/>
    <w:semiHidden/>
    <w:rsid w:val="00693980"/>
    <w:rPr>
      <w:color w:val="0000FF"/>
      <w:u w:val="single"/>
    </w:rPr>
  </w:style>
  <w:style w:type="paragraph" w:customStyle="1" w:styleId="BalloonText2">
    <w:name w:val="Balloon Text2"/>
    <w:basedOn w:val="Normal"/>
    <w:rsid w:val="00693980"/>
    <w:rPr>
      <w:rFonts w:ascii="Arial" w:hAnsi="Arial"/>
      <w:sz w:val="18"/>
      <w:szCs w:val="18"/>
    </w:rPr>
  </w:style>
  <w:style w:type="character" w:styleId="Emphasis">
    <w:name w:val="Emphasis"/>
    <w:qFormat/>
    <w:rsid w:val="00693980"/>
    <w:rPr>
      <w:i/>
      <w:iCs/>
    </w:rPr>
  </w:style>
  <w:style w:type="paragraph" w:customStyle="1" w:styleId="CommentSubject2">
    <w:name w:val="Comment Subject2"/>
    <w:basedOn w:val="CommentText"/>
    <w:next w:val="CommentText"/>
    <w:semiHidden/>
    <w:rsid w:val="00693980"/>
    <w:rPr>
      <w:b/>
      <w:bCs/>
    </w:rPr>
  </w:style>
  <w:style w:type="character" w:styleId="Strong">
    <w:name w:val="Strong"/>
    <w:qFormat/>
    <w:rsid w:val="00693980"/>
    <w:rPr>
      <w:b/>
      <w:bCs/>
    </w:rPr>
  </w:style>
  <w:style w:type="character" w:styleId="FollowedHyperlink">
    <w:name w:val="FollowedHyperlink"/>
    <w:semiHidden/>
    <w:rsid w:val="00693980"/>
    <w:rPr>
      <w:color w:val="800080"/>
      <w:u w:val="single"/>
    </w:rPr>
  </w:style>
  <w:style w:type="character" w:customStyle="1" w:styleId="BodyTextChar">
    <w:name w:val="Body Text Char"/>
    <w:rsid w:val="00693980"/>
    <w:rPr>
      <w:i/>
      <w:iCs/>
      <w:kern w:val="2"/>
      <w:sz w:val="24"/>
      <w:szCs w:val="24"/>
    </w:rPr>
  </w:style>
  <w:style w:type="character" w:customStyle="1" w:styleId="BodyText3Char">
    <w:name w:val="Body Text 3 Char"/>
    <w:rsid w:val="00693980"/>
    <w:rPr>
      <w:kern w:val="2"/>
      <w:sz w:val="24"/>
      <w:szCs w:val="24"/>
    </w:rPr>
  </w:style>
  <w:style w:type="character" w:customStyle="1" w:styleId="HeaderChar">
    <w:name w:val="Header Char"/>
    <w:rsid w:val="00693980"/>
    <w:rPr>
      <w:kern w:val="2"/>
    </w:rPr>
  </w:style>
  <w:style w:type="paragraph" w:customStyle="1" w:styleId="body-paragraph">
    <w:name w:val="body-paragraph"/>
    <w:basedOn w:val="Normal"/>
    <w:rsid w:val="00693980"/>
    <w:pPr>
      <w:widowControl/>
      <w:spacing w:before="100" w:beforeAutospacing="1" w:after="100" w:afterAutospacing="1"/>
    </w:pPr>
    <w:rPr>
      <w:rFonts w:ascii="PMingLiU" w:hAnsi="PMingLiU" w:cs="PMingLiU"/>
      <w:kern w:val="0"/>
    </w:rPr>
  </w:style>
  <w:style w:type="character" w:customStyle="1" w:styleId="Heading2Char">
    <w:name w:val="Heading 2 Char"/>
    <w:rsid w:val="00693980"/>
    <w:rPr>
      <w:kern w:val="2"/>
      <w:sz w:val="24"/>
      <w:szCs w:val="24"/>
      <w:u w:val="single"/>
    </w:rPr>
  </w:style>
  <w:style w:type="character" w:customStyle="1" w:styleId="st">
    <w:name w:val="st"/>
    <w:rsid w:val="00693980"/>
  </w:style>
  <w:style w:type="paragraph" w:styleId="BalloonText">
    <w:name w:val="Balloon Text"/>
    <w:basedOn w:val="Normal"/>
    <w:link w:val="BalloonTextChar"/>
    <w:uiPriority w:val="99"/>
    <w:semiHidden/>
    <w:unhideWhenUsed/>
    <w:rsid w:val="006768D8"/>
    <w:rPr>
      <w:rFonts w:ascii="Cambria" w:hAnsi="Cambria"/>
      <w:sz w:val="18"/>
      <w:szCs w:val="18"/>
    </w:rPr>
  </w:style>
  <w:style w:type="character" w:customStyle="1" w:styleId="CommentTextChar">
    <w:name w:val="Comment Text Char"/>
    <w:uiPriority w:val="99"/>
    <w:rsid w:val="00693980"/>
    <w:rPr>
      <w:kern w:val="2"/>
      <w:sz w:val="24"/>
      <w:szCs w:val="24"/>
    </w:rPr>
  </w:style>
  <w:style w:type="character" w:customStyle="1" w:styleId="CommentSubjectChar">
    <w:name w:val="Comment Subject Char"/>
    <w:semiHidden/>
    <w:rsid w:val="00693980"/>
    <w:rPr>
      <w:b/>
      <w:bCs/>
      <w:kern w:val="2"/>
      <w:sz w:val="24"/>
      <w:szCs w:val="24"/>
    </w:rPr>
  </w:style>
  <w:style w:type="paragraph" w:styleId="Caption">
    <w:name w:val="caption"/>
    <w:basedOn w:val="Normal"/>
    <w:next w:val="Normal"/>
    <w:qFormat/>
    <w:rsid w:val="00693980"/>
    <w:rPr>
      <w:sz w:val="20"/>
      <w:szCs w:val="20"/>
    </w:rPr>
  </w:style>
  <w:style w:type="character" w:customStyle="1" w:styleId="BalloonTextChar">
    <w:name w:val="Balloon Text Char"/>
    <w:link w:val="BalloonText"/>
    <w:uiPriority w:val="99"/>
    <w:semiHidden/>
    <w:rsid w:val="006768D8"/>
    <w:rPr>
      <w:rFonts w:ascii="Cambria" w:eastAsia="PMingLiU" w:hAnsi="Cambria" w:cs="Times New Roman"/>
      <w:kern w:val="2"/>
      <w:sz w:val="18"/>
      <w:szCs w:val="18"/>
    </w:rPr>
  </w:style>
  <w:style w:type="paragraph" w:styleId="NormalWeb">
    <w:name w:val="Normal (Web)"/>
    <w:basedOn w:val="Normal"/>
    <w:uiPriority w:val="99"/>
    <w:semiHidden/>
    <w:unhideWhenUsed/>
    <w:rsid w:val="00AD61D4"/>
    <w:pPr>
      <w:widowControl/>
      <w:spacing w:before="100" w:beforeAutospacing="1" w:after="100" w:afterAutospacing="1"/>
    </w:pPr>
    <w:rPr>
      <w:kern w:val="0"/>
    </w:rPr>
  </w:style>
  <w:style w:type="paragraph" w:styleId="CommentSubject">
    <w:name w:val="annotation subject"/>
    <w:basedOn w:val="CommentText"/>
    <w:next w:val="CommentText"/>
    <w:link w:val="CommentSubjectChar1"/>
    <w:uiPriority w:val="99"/>
    <w:semiHidden/>
    <w:unhideWhenUsed/>
    <w:rsid w:val="00496F23"/>
    <w:rPr>
      <w:b/>
      <w:bCs/>
    </w:rPr>
  </w:style>
  <w:style w:type="character" w:customStyle="1" w:styleId="CommentTextChar1">
    <w:name w:val="Comment Text Char1"/>
    <w:link w:val="CommentText"/>
    <w:semiHidden/>
    <w:rsid w:val="00496F23"/>
    <w:rPr>
      <w:kern w:val="2"/>
      <w:sz w:val="24"/>
      <w:szCs w:val="24"/>
    </w:rPr>
  </w:style>
  <w:style w:type="character" w:customStyle="1" w:styleId="CommentSubjectChar1">
    <w:name w:val="Comment Subject Char1"/>
    <w:link w:val="CommentSubject"/>
    <w:uiPriority w:val="99"/>
    <w:semiHidden/>
    <w:rsid w:val="00496F23"/>
    <w:rPr>
      <w:b/>
      <w:bCs/>
      <w:kern w:val="2"/>
      <w:sz w:val="24"/>
      <w:szCs w:val="24"/>
    </w:rPr>
  </w:style>
  <w:style w:type="paragraph" w:styleId="FootnoteText">
    <w:name w:val="footnote text"/>
    <w:basedOn w:val="Normal"/>
    <w:link w:val="FootnoteTextChar"/>
    <w:uiPriority w:val="99"/>
    <w:semiHidden/>
    <w:unhideWhenUsed/>
    <w:rsid w:val="00D22185"/>
    <w:pPr>
      <w:snapToGrid w:val="0"/>
    </w:pPr>
    <w:rPr>
      <w:sz w:val="20"/>
      <w:szCs w:val="20"/>
    </w:rPr>
  </w:style>
  <w:style w:type="character" w:customStyle="1" w:styleId="FootnoteTextChar">
    <w:name w:val="Footnote Text Char"/>
    <w:link w:val="FootnoteText"/>
    <w:uiPriority w:val="99"/>
    <w:semiHidden/>
    <w:rsid w:val="00D22185"/>
    <w:rPr>
      <w:kern w:val="2"/>
    </w:rPr>
  </w:style>
  <w:style w:type="character" w:styleId="FootnoteReference">
    <w:name w:val="footnote reference"/>
    <w:uiPriority w:val="99"/>
    <w:semiHidden/>
    <w:unhideWhenUsed/>
    <w:rsid w:val="00D22185"/>
    <w:rPr>
      <w:vertAlign w:val="superscript"/>
    </w:rPr>
  </w:style>
  <w:style w:type="character" w:customStyle="1" w:styleId="im">
    <w:name w:val="im"/>
    <w:rsid w:val="0078312D"/>
  </w:style>
  <w:style w:type="character" w:customStyle="1" w:styleId="BodyTextChar1">
    <w:name w:val="Body Text Char1"/>
    <w:link w:val="BodyText"/>
    <w:rsid w:val="00B05F9E"/>
    <w:rPr>
      <w:i/>
      <w:iCs/>
      <w:kern w:val="2"/>
      <w:sz w:val="24"/>
      <w:szCs w:val="24"/>
    </w:rPr>
  </w:style>
  <w:style w:type="paragraph" w:styleId="ListParagraph">
    <w:name w:val="List Paragraph"/>
    <w:basedOn w:val="Normal"/>
    <w:uiPriority w:val="34"/>
    <w:qFormat/>
    <w:rsid w:val="00EA6B3F"/>
    <w:pPr>
      <w:ind w:left="720"/>
      <w:contextualSpacing/>
    </w:pPr>
  </w:style>
  <w:style w:type="table" w:styleId="TableGrid">
    <w:name w:val="Table Grid"/>
    <w:basedOn w:val="TableNormal"/>
    <w:uiPriority w:val="59"/>
    <w:rsid w:val="00AF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25DF"/>
    <w:rPr>
      <w:kern w:val="2"/>
      <w:sz w:val="24"/>
      <w:szCs w:val="24"/>
      <w:lang w:eastAsia="zh-TW" w:bidi="ar-SA"/>
    </w:rPr>
  </w:style>
  <w:style w:type="character" w:customStyle="1" w:styleId="UnresolvedMention1">
    <w:name w:val="Unresolved Mention1"/>
    <w:basedOn w:val="DefaultParagraphFont"/>
    <w:uiPriority w:val="99"/>
    <w:semiHidden/>
    <w:unhideWhenUsed/>
    <w:rsid w:val="00C5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699">
      <w:bodyDiv w:val="1"/>
      <w:marLeft w:val="0"/>
      <w:marRight w:val="0"/>
      <w:marTop w:val="0"/>
      <w:marBottom w:val="0"/>
      <w:divBdr>
        <w:top w:val="none" w:sz="0" w:space="0" w:color="auto"/>
        <w:left w:val="none" w:sz="0" w:space="0" w:color="auto"/>
        <w:bottom w:val="none" w:sz="0" w:space="0" w:color="auto"/>
        <w:right w:val="none" w:sz="0" w:space="0" w:color="auto"/>
      </w:divBdr>
    </w:div>
    <w:div w:id="138546638">
      <w:bodyDiv w:val="1"/>
      <w:marLeft w:val="0"/>
      <w:marRight w:val="0"/>
      <w:marTop w:val="0"/>
      <w:marBottom w:val="0"/>
      <w:divBdr>
        <w:top w:val="none" w:sz="0" w:space="0" w:color="auto"/>
        <w:left w:val="none" w:sz="0" w:space="0" w:color="auto"/>
        <w:bottom w:val="none" w:sz="0" w:space="0" w:color="auto"/>
        <w:right w:val="none" w:sz="0" w:space="0" w:color="auto"/>
      </w:divBdr>
    </w:div>
    <w:div w:id="929001276">
      <w:bodyDiv w:val="1"/>
      <w:marLeft w:val="0"/>
      <w:marRight w:val="0"/>
      <w:marTop w:val="0"/>
      <w:marBottom w:val="0"/>
      <w:divBdr>
        <w:top w:val="none" w:sz="0" w:space="0" w:color="auto"/>
        <w:left w:val="none" w:sz="0" w:space="0" w:color="auto"/>
        <w:bottom w:val="none" w:sz="0" w:space="0" w:color="auto"/>
        <w:right w:val="none" w:sz="0" w:space="0" w:color="auto"/>
      </w:divBdr>
    </w:div>
    <w:div w:id="1306474971">
      <w:bodyDiv w:val="1"/>
      <w:marLeft w:val="0"/>
      <w:marRight w:val="0"/>
      <w:marTop w:val="0"/>
      <w:marBottom w:val="0"/>
      <w:divBdr>
        <w:top w:val="none" w:sz="0" w:space="0" w:color="auto"/>
        <w:left w:val="none" w:sz="0" w:space="0" w:color="auto"/>
        <w:bottom w:val="none" w:sz="0" w:space="0" w:color="auto"/>
        <w:right w:val="none" w:sz="0" w:space="0" w:color="auto"/>
      </w:divBdr>
    </w:div>
    <w:div w:id="1311446858">
      <w:bodyDiv w:val="1"/>
      <w:marLeft w:val="0"/>
      <w:marRight w:val="0"/>
      <w:marTop w:val="0"/>
      <w:marBottom w:val="0"/>
      <w:divBdr>
        <w:top w:val="none" w:sz="0" w:space="0" w:color="auto"/>
        <w:left w:val="none" w:sz="0" w:space="0" w:color="auto"/>
        <w:bottom w:val="none" w:sz="0" w:space="0" w:color="auto"/>
        <w:right w:val="none" w:sz="0" w:space="0" w:color="auto"/>
      </w:divBdr>
    </w:div>
    <w:div w:id="1874268605">
      <w:bodyDiv w:val="1"/>
      <w:marLeft w:val="0"/>
      <w:marRight w:val="0"/>
      <w:marTop w:val="0"/>
      <w:marBottom w:val="0"/>
      <w:divBdr>
        <w:top w:val="none" w:sz="0" w:space="0" w:color="auto"/>
        <w:left w:val="none" w:sz="0" w:space="0" w:color="auto"/>
        <w:bottom w:val="none" w:sz="0" w:space="0" w:color="auto"/>
        <w:right w:val="none" w:sz="0" w:space="0" w:color="auto"/>
      </w:divBdr>
    </w:div>
    <w:div w:id="1939479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A09F3-FEF2-2942-85DC-76FBD1EC0A9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491080-58E8-46DB-9DFA-21387E56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6667</Words>
  <Characters>38007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Effects of Social Goals on Student Achievement Motivation:</vt:lpstr>
    </vt:vector>
  </TitlesOfParts>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Social Goals on Student Achievement Motivation:</dc:title>
  <dc:subject/>
  <dc:creator/>
  <cp:keywords/>
  <cp:lastModifiedBy/>
  <cp:revision>1</cp:revision>
  <cp:lastPrinted>2005-06-21T00:41:00Z</cp:lastPrinted>
  <dcterms:created xsi:type="dcterms:W3CDTF">2022-07-22T12:23:00Z</dcterms:created>
  <dcterms:modified xsi:type="dcterms:W3CDTF">2022-07-22T13:02:00Z</dcterms:modified>
</cp:coreProperties>
</file>