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08E84" w14:textId="7AD4FFB6" w:rsidR="00067F93" w:rsidRPr="00067F93" w:rsidRDefault="00067F93" w:rsidP="00067F93">
      <w:pPr>
        <w:autoSpaceDE w:val="0"/>
        <w:autoSpaceDN w:val="0"/>
        <w:adjustRightInd w:val="0"/>
        <w:rPr>
          <w:rFonts w:ascii="Calibri" w:hAnsi="Calibri" w:cs="Calibri"/>
          <w:b/>
          <w:bCs/>
          <w:sz w:val="24"/>
          <w:szCs w:val="24"/>
        </w:rPr>
      </w:pPr>
      <w:r w:rsidRPr="00067F93">
        <w:rPr>
          <w:b/>
          <w:sz w:val="24"/>
          <w:szCs w:val="24"/>
        </w:rPr>
        <w:t>Welfare conditionality, ethics and social care for older people in the UK: From civic rights to abandonment?</w:t>
      </w:r>
    </w:p>
    <w:p w14:paraId="7F084114" w14:textId="77777777" w:rsidR="00067F93" w:rsidRDefault="00067F93" w:rsidP="00067F93">
      <w:pPr>
        <w:autoSpaceDE w:val="0"/>
        <w:autoSpaceDN w:val="0"/>
        <w:adjustRightInd w:val="0"/>
        <w:rPr>
          <w:rFonts w:ascii="Calibri" w:hAnsi="Calibri" w:cs="Calibri"/>
          <w:b/>
          <w:bCs/>
          <w:sz w:val="24"/>
          <w:szCs w:val="24"/>
        </w:rPr>
      </w:pPr>
    </w:p>
    <w:p w14:paraId="7AB5A861" w14:textId="77777777" w:rsidR="00067F93" w:rsidRDefault="00067F93" w:rsidP="00067F93">
      <w:pPr>
        <w:autoSpaceDE w:val="0"/>
        <w:autoSpaceDN w:val="0"/>
        <w:adjustRightInd w:val="0"/>
        <w:rPr>
          <w:rFonts w:ascii="Calibri" w:hAnsi="Calibri" w:cs="Calibri"/>
          <w:b/>
          <w:bCs/>
          <w:sz w:val="24"/>
          <w:szCs w:val="24"/>
        </w:rPr>
      </w:pPr>
      <w:r w:rsidRPr="00D57A0C">
        <w:rPr>
          <w:rFonts w:ascii="Calibri" w:hAnsi="Calibri" w:cs="Calibri"/>
          <w:bCs/>
          <w:sz w:val="24"/>
          <w:szCs w:val="24"/>
          <w:u w:val="single"/>
        </w:rPr>
        <w:t>Malcolm Carey</w:t>
      </w:r>
      <w:r>
        <w:rPr>
          <w:rFonts w:ascii="Calibri" w:hAnsi="Calibri" w:cs="Calibri"/>
          <w:b/>
          <w:bCs/>
          <w:sz w:val="24"/>
          <w:szCs w:val="24"/>
        </w:rPr>
        <w:t xml:space="preserve"> (</w:t>
      </w:r>
      <w:hyperlink r:id="rId7" w:history="1">
        <w:r w:rsidRPr="001643E2">
          <w:rPr>
            <w:rStyle w:val="Hyperlink"/>
            <w:rFonts w:ascii="Calibri" w:hAnsi="Calibri" w:cs="Calibri"/>
            <w:b/>
            <w:bCs/>
            <w:sz w:val="24"/>
            <w:szCs w:val="24"/>
          </w:rPr>
          <w:t>careym1@hope.ac.uk</w:t>
        </w:r>
      </w:hyperlink>
      <w:r>
        <w:rPr>
          <w:rFonts w:ascii="Calibri" w:hAnsi="Calibri" w:cs="Calibri"/>
          <w:b/>
          <w:bCs/>
          <w:sz w:val="24"/>
          <w:szCs w:val="24"/>
        </w:rPr>
        <w:t>)</w:t>
      </w:r>
    </w:p>
    <w:p w14:paraId="260984DB" w14:textId="77777777" w:rsidR="00067F93" w:rsidRDefault="00067F93" w:rsidP="00067F93">
      <w:pPr>
        <w:autoSpaceDE w:val="0"/>
        <w:autoSpaceDN w:val="0"/>
        <w:adjustRightInd w:val="0"/>
        <w:rPr>
          <w:rFonts w:ascii="Calibri" w:hAnsi="Calibri" w:cs="Calibri"/>
          <w:b/>
          <w:bCs/>
          <w:sz w:val="24"/>
          <w:szCs w:val="24"/>
        </w:rPr>
      </w:pPr>
    </w:p>
    <w:p w14:paraId="563A8386" w14:textId="77777777" w:rsidR="00067F93" w:rsidRDefault="00067F93" w:rsidP="00067F93">
      <w:pPr>
        <w:autoSpaceDE w:val="0"/>
        <w:autoSpaceDN w:val="0"/>
        <w:adjustRightInd w:val="0"/>
        <w:rPr>
          <w:rFonts w:ascii="Calibri" w:hAnsi="Calibri" w:cs="Calibri"/>
          <w:b/>
          <w:bCs/>
          <w:sz w:val="24"/>
          <w:szCs w:val="24"/>
        </w:rPr>
      </w:pPr>
      <w:r>
        <w:rPr>
          <w:rFonts w:ascii="Calibri" w:hAnsi="Calibri" w:cs="Calibri"/>
          <w:b/>
          <w:bCs/>
          <w:sz w:val="24"/>
          <w:szCs w:val="24"/>
        </w:rPr>
        <w:t>Liverpool Hope University</w:t>
      </w:r>
    </w:p>
    <w:p w14:paraId="1DD48DD7" w14:textId="77777777" w:rsidR="00067F93" w:rsidRDefault="00067F93" w:rsidP="00067F93">
      <w:pPr>
        <w:autoSpaceDE w:val="0"/>
        <w:autoSpaceDN w:val="0"/>
        <w:adjustRightInd w:val="0"/>
        <w:rPr>
          <w:rFonts w:ascii="Calibri" w:hAnsi="Calibri" w:cs="Calibri"/>
          <w:b/>
          <w:bCs/>
          <w:sz w:val="24"/>
          <w:szCs w:val="24"/>
        </w:rPr>
      </w:pPr>
    </w:p>
    <w:p w14:paraId="1D058F5A" w14:textId="287417DC" w:rsidR="00583F12" w:rsidRDefault="00583F12" w:rsidP="00583F12">
      <w:pPr>
        <w:pStyle w:val="PlainText"/>
      </w:pPr>
    </w:p>
    <w:p w14:paraId="7078492C" w14:textId="77777777" w:rsidR="00583F12" w:rsidRDefault="00583F12" w:rsidP="00583F12">
      <w:pPr>
        <w:pStyle w:val="PlainText"/>
      </w:pPr>
    </w:p>
    <w:p w14:paraId="6C8E9264" w14:textId="77777777" w:rsidR="00583F12" w:rsidRDefault="00583F12" w:rsidP="00583F12">
      <w:pPr>
        <w:pStyle w:val="PlainText"/>
      </w:pPr>
    </w:p>
    <w:p w14:paraId="038EADD9" w14:textId="77777777" w:rsidR="00583F12" w:rsidRDefault="00583F12" w:rsidP="00583F12">
      <w:pPr>
        <w:pStyle w:val="PlainText"/>
      </w:pPr>
    </w:p>
    <w:p w14:paraId="66F35A15" w14:textId="77777777" w:rsidR="00583F12" w:rsidRDefault="00583F12" w:rsidP="00583F12">
      <w:pPr>
        <w:pStyle w:val="PlainText"/>
      </w:pPr>
    </w:p>
    <w:p w14:paraId="762664ED" w14:textId="77777777" w:rsidR="00583F12" w:rsidRDefault="00583F12" w:rsidP="00583F12">
      <w:pPr>
        <w:pStyle w:val="PlainText"/>
      </w:pPr>
    </w:p>
    <w:p w14:paraId="630D248C" w14:textId="77777777" w:rsidR="00583F12" w:rsidRDefault="00583F12" w:rsidP="00583F12">
      <w:pPr>
        <w:pStyle w:val="PlainText"/>
      </w:pPr>
    </w:p>
    <w:p w14:paraId="3C4A392D" w14:textId="4EA97B76" w:rsidR="00583F12" w:rsidRDefault="00583F12" w:rsidP="00583F12">
      <w:pPr>
        <w:pStyle w:val="PlainText"/>
      </w:pPr>
    </w:p>
    <w:p w14:paraId="06805907" w14:textId="77777777" w:rsidR="00583F12" w:rsidRDefault="00583F12" w:rsidP="00583F12">
      <w:pPr>
        <w:pStyle w:val="PlainText"/>
      </w:pPr>
    </w:p>
    <w:p w14:paraId="15B16FA7" w14:textId="77777777" w:rsidR="00583F12" w:rsidRDefault="00583F12" w:rsidP="00540249">
      <w:pPr>
        <w:rPr>
          <w:b/>
          <w:sz w:val="24"/>
          <w:szCs w:val="24"/>
        </w:rPr>
      </w:pPr>
    </w:p>
    <w:p w14:paraId="6DB9872A" w14:textId="77777777" w:rsidR="00583F12" w:rsidRDefault="00583F12" w:rsidP="00540249">
      <w:pPr>
        <w:rPr>
          <w:b/>
          <w:sz w:val="24"/>
          <w:szCs w:val="24"/>
        </w:rPr>
      </w:pPr>
    </w:p>
    <w:p w14:paraId="26901EEE" w14:textId="77777777" w:rsidR="00583F12" w:rsidRDefault="00583F12" w:rsidP="00540249">
      <w:pPr>
        <w:rPr>
          <w:b/>
          <w:sz w:val="24"/>
          <w:szCs w:val="24"/>
        </w:rPr>
      </w:pPr>
    </w:p>
    <w:p w14:paraId="3AA736CC" w14:textId="77777777" w:rsidR="00583F12" w:rsidRDefault="00583F12" w:rsidP="00540249">
      <w:pPr>
        <w:rPr>
          <w:b/>
          <w:sz w:val="24"/>
          <w:szCs w:val="24"/>
        </w:rPr>
      </w:pPr>
    </w:p>
    <w:p w14:paraId="37AB74B6" w14:textId="77777777" w:rsidR="00583F12" w:rsidRDefault="00583F12" w:rsidP="00540249">
      <w:pPr>
        <w:rPr>
          <w:b/>
          <w:sz w:val="24"/>
          <w:szCs w:val="24"/>
        </w:rPr>
      </w:pPr>
    </w:p>
    <w:p w14:paraId="41F492F2" w14:textId="77777777" w:rsidR="00583F12" w:rsidRDefault="00583F12" w:rsidP="00540249">
      <w:pPr>
        <w:rPr>
          <w:b/>
          <w:sz w:val="24"/>
          <w:szCs w:val="24"/>
        </w:rPr>
      </w:pPr>
    </w:p>
    <w:p w14:paraId="0D17492D" w14:textId="77777777" w:rsidR="00583F12" w:rsidRDefault="00583F12" w:rsidP="00540249">
      <w:pPr>
        <w:rPr>
          <w:b/>
          <w:sz w:val="24"/>
          <w:szCs w:val="24"/>
        </w:rPr>
      </w:pPr>
    </w:p>
    <w:p w14:paraId="44F8D9C3" w14:textId="77777777" w:rsidR="00583F12" w:rsidRDefault="00583F12" w:rsidP="00540249">
      <w:pPr>
        <w:rPr>
          <w:b/>
          <w:sz w:val="24"/>
          <w:szCs w:val="24"/>
        </w:rPr>
      </w:pPr>
    </w:p>
    <w:p w14:paraId="7E2BB5F5" w14:textId="77777777" w:rsidR="00583F12" w:rsidRDefault="00583F12" w:rsidP="00540249">
      <w:pPr>
        <w:rPr>
          <w:b/>
          <w:sz w:val="24"/>
          <w:szCs w:val="24"/>
        </w:rPr>
      </w:pPr>
    </w:p>
    <w:p w14:paraId="3D76F89E" w14:textId="77777777" w:rsidR="00583F12" w:rsidRDefault="00583F12" w:rsidP="00540249">
      <w:pPr>
        <w:rPr>
          <w:b/>
          <w:sz w:val="24"/>
          <w:szCs w:val="24"/>
        </w:rPr>
      </w:pPr>
    </w:p>
    <w:p w14:paraId="04B1A425" w14:textId="77777777" w:rsidR="00583F12" w:rsidRDefault="00583F12" w:rsidP="00540249">
      <w:pPr>
        <w:rPr>
          <w:b/>
          <w:sz w:val="24"/>
          <w:szCs w:val="24"/>
        </w:rPr>
      </w:pPr>
    </w:p>
    <w:p w14:paraId="566D203C" w14:textId="77777777" w:rsidR="00583F12" w:rsidRDefault="00583F12" w:rsidP="00540249">
      <w:pPr>
        <w:rPr>
          <w:b/>
          <w:sz w:val="24"/>
          <w:szCs w:val="24"/>
        </w:rPr>
      </w:pPr>
    </w:p>
    <w:p w14:paraId="50633CF0" w14:textId="77777777" w:rsidR="0009520B" w:rsidRDefault="0009520B" w:rsidP="00540249">
      <w:pPr>
        <w:rPr>
          <w:b/>
          <w:sz w:val="24"/>
          <w:szCs w:val="24"/>
        </w:rPr>
      </w:pPr>
    </w:p>
    <w:p w14:paraId="61A99455" w14:textId="77777777" w:rsidR="0009520B" w:rsidRDefault="0009520B" w:rsidP="00540249">
      <w:pPr>
        <w:rPr>
          <w:b/>
          <w:sz w:val="24"/>
          <w:szCs w:val="24"/>
        </w:rPr>
      </w:pPr>
    </w:p>
    <w:p w14:paraId="0DE18258" w14:textId="77777777" w:rsidR="0009520B" w:rsidRDefault="0009520B" w:rsidP="00540249">
      <w:pPr>
        <w:rPr>
          <w:b/>
          <w:sz w:val="24"/>
          <w:szCs w:val="24"/>
        </w:rPr>
      </w:pPr>
    </w:p>
    <w:p w14:paraId="2D93A0D4" w14:textId="77777777" w:rsidR="0009520B" w:rsidRDefault="0009520B" w:rsidP="00540249">
      <w:pPr>
        <w:rPr>
          <w:b/>
          <w:sz w:val="24"/>
          <w:szCs w:val="24"/>
        </w:rPr>
      </w:pPr>
    </w:p>
    <w:p w14:paraId="3BEBD6C1" w14:textId="77777777" w:rsidR="0009520B" w:rsidRDefault="0009520B" w:rsidP="00540249">
      <w:pPr>
        <w:rPr>
          <w:b/>
          <w:sz w:val="24"/>
          <w:szCs w:val="24"/>
        </w:rPr>
      </w:pPr>
    </w:p>
    <w:p w14:paraId="7E9FC680" w14:textId="77777777" w:rsidR="0009520B" w:rsidRDefault="0009520B" w:rsidP="00540249">
      <w:pPr>
        <w:rPr>
          <w:b/>
          <w:sz w:val="24"/>
          <w:szCs w:val="24"/>
        </w:rPr>
      </w:pPr>
    </w:p>
    <w:p w14:paraId="7385543C" w14:textId="619A7C4F" w:rsidR="00540249" w:rsidRPr="003664A3" w:rsidRDefault="00540249" w:rsidP="00540249">
      <w:pPr>
        <w:rPr>
          <w:b/>
          <w:sz w:val="24"/>
          <w:szCs w:val="24"/>
        </w:rPr>
      </w:pPr>
      <w:r w:rsidRPr="003664A3">
        <w:rPr>
          <w:b/>
          <w:sz w:val="24"/>
          <w:szCs w:val="24"/>
        </w:rPr>
        <w:t xml:space="preserve">Welfare conditionality, ethics and social care for older </w:t>
      </w:r>
      <w:r w:rsidR="00122254">
        <w:rPr>
          <w:b/>
          <w:sz w:val="24"/>
          <w:szCs w:val="24"/>
        </w:rPr>
        <w:t>people</w:t>
      </w:r>
      <w:r w:rsidRPr="003664A3">
        <w:rPr>
          <w:b/>
          <w:sz w:val="24"/>
          <w:szCs w:val="24"/>
        </w:rPr>
        <w:t xml:space="preserve"> in the UK: From civic rights to abandonment? </w:t>
      </w:r>
    </w:p>
    <w:p w14:paraId="0F5CF000" w14:textId="77777777" w:rsidR="005F1461" w:rsidRDefault="005F1461" w:rsidP="005F1461">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Malcolm Carey</w:t>
      </w:r>
    </w:p>
    <w:p w14:paraId="7B6FF6F4" w14:textId="77777777" w:rsidR="005F1461" w:rsidRDefault="005F1461" w:rsidP="005F1461">
      <w:pPr>
        <w:spacing w:after="0" w:line="240" w:lineRule="auto"/>
        <w:rPr>
          <w:rFonts w:ascii="Calibri" w:eastAsia="Times New Roman" w:hAnsi="Calibri" w:cs="Times New Roman"/>
          <w:color w:val="000000"/>
          <w:sz w:val="24"/>
          <w:szCs w:val="24"/>
        </w:rPr>
      </w:pPr>
    </w:p>
    <w:p w14:paraId="1161EF5F" w14:textId="77777777" w:rsidR="005F1461" w:rsidRDefault="005F1461" w:rsidP="005F1461">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School of Social Sciences</w:t>
      </w:r>
    </w:p>
    <w:p w14:paraId="7528C562" w14:textId="77777777" w:rsidR="005F1461" w:rsidRDefault="005F1461" w:rsidP="005F1461">
      <w:pPr>
        <w:spacing w:after="0" w:line="240" w:lineRule="auto"/>
        <w:rPr>
          <w:rFonts w:ascii="Calibri" w:eastAsia="Times New Roman" w:hAnsi="Calibri" w:cs="Times New Roman"/>
          <w:color w:val="000000"/>
          <w:sz w:val="24"/>
          <w:szCs w:val="24"/>
        </w:rPr>
      </w:pPr>
    </w:p>
    <w:p w14:paraId="38293172" w14:textId="77777777" w:rsidR="005F1461" w:rsidRDefault="005F1461" w:rsidP="005F1461">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Liverpool Hope University</w:t>
      </w:r>
    </w:p>
    <w:p w14:paraId="1F5AAB2C" w14:textId="77777777" w:rsidR="005F1461" w:rsidRDefault="005F1461" w:rsidP="005F1461">
      <w:pPr>
        <w:spacing w:after="0" w:line="240" w:lineRule="auto"/>
        <w:rPr>
          <w:rFonts w:ascii="Calibri" w:eastAsia="Times New Roman" w:hAnsi="Calibri" w:cs="Times New Roman"/>
          <w:color w:val="000000"/>
          <w:sz w:val="24"/>
          <w:szCs w:val="24"/>
        </w:rPr>
      </w:pPr>
    </w:p>
    <w:p w14:paraId="746578C5" w14:textId="77777777" w:rsidR="005F1461" w:rsidRPr="00D82A0F" w:rsidRDefault="005F1461" w:rsidP="005F1461">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careym1@hope.ac.uk</w:t>
      </w:r>
    </w:p>
    <w:p w14:paraId="5CFD7D21" w14:textId="77777777" w:rsidR="00540249" w:rsidRDefault="00540249">
      <w:pPr>
        <w:rPr>
          <w:b/>
          <w:sz w:val="24"/>
          <w:szCs w:val="24"/>
        </w:rPr>
      </w:pPr>
    </w:p>
    <w:p w14:paraId="03B6343B" w14:textId="77777777" w:rsidR="00540249" w:rsidRPr="00540249" w:rsidRDefault="00540249">
      <w:pPr>
        <w:rPr>
          <w:b/>
          <w:sz w:val="24"/>
          <w:szCs w:val="24"/>
        </w:rPr>
      </w:pPr>
      <w:r>
        <w:rPr>
          <w:b/>
          <w:sz w:val="24"/>
          <w:szCs w:val="24"/>
        </w:rPr>
        <w:t>Abstract</w:t>
      </w:r>
    </w:p>
    <w:p w14:paraId="3E095FBA" w14:textId="77777777" w:rsidR="000A4C08" w:rsidRDefault="000A4C08" w:rsidP="00540249">
      <w:pPr>
        <w:spacing w:line="480" w:lineRule="auto"/>
        <w:rPr>
          <w:sz w:val="24"/>
          <w:szCs w:val="24"/>
        </w:rPr>
      </w:pPr>
    </w:p>
    <w:p w14:paraId="7FFE7BB8" w14:textId="080BF6B1" w:rsidR="00DA3DE5" w:rsidRDefault="00DA3DE5" w:rsidP="00540249">
      <w:pPr>
        <w:spacing w:line="480" w:lineRule="auto"/>
        <w:rPr>
          <w:b/>
          <w:sz w:val="24"/>
          <w:szCs w:val="24"/>
        </w:rPr>
      </w:pPr>
      <w:r>
        <w:rPr>
          <w:sz w:val="24"/>
          <w:szCs w:val="24"/>
        </w:rPr>
        <w:t>W</w:t>
      </w:r>
      <w:r w:rsidRPr="003664A3">
        <w:rPr>
          <w:sz w:val="24"/>
          <w:szCs w:val="24"/>
        </w:rPr>
        <w:t>elfare systems</w:t>
      </w:r>
      <w:r>
        <w:rPr>
          <w:sz w:val="24"/>
          <w:szCs w:val="24"/>
        </w:rPr>
        <w:t xml:space="preserve"> are </w:t>
      </w:r>
      <w:r w:rsidRPr="003664A3">
        <w:rPr>
          <w:sz w:val="24"/>
          <w:szCs w:val="24"/>
        </w:rPr>
        <w:t>becom</w:t>
      </w:r>
      <w:r>
        <w:rPr>
          <w:sz w:val="24"/>
          <w:szCs w:val="24"/>
        </w:rPr>
        <w:t xml:space="preserve">ing </w:t>
      </w:r>
      <w:r w:rsidR="00F75C45">
        <w:rPr>
          <w:sz w:val="24"/>
          <w:szCs w:val="24"/>
        </w:rPr>
        <w:t xml:space="preserve">ever </w:t>
      </w:r>
      <w:r>
        <w:rPr>
          <w:sz w:val="24"/>
          <w:szCs w:val="24"/>
        </w:rPr>
        <w:t>more</w:t>
      </w:r>
      <w:r w:rsidRPr="003664A3">
        <w:rPr>
          <w:sz w:val="24"/>
          <w:szCs w:val="24"/>
        </w:rPr>
        <w:t xml:space="preserve"> conditional</w:t>
      </w:r>
      <w:r>
        <w:rPr>
          <w:sz w:val="24"/>
          <w:szCs w:val="24"/>
        </w:rPr>
        <w:t>,</w:t>
      </w:r>
      <w:r w:rsidRPr="003664A3">
        <w:rPr>
          <w:sz w:val="24"/>
          <w:szCs w:val="24"/>
        </w:rPr>
        <w:t xml:space="preserve"> </w:t>
      </w:r>
      <w:r>
        <w:rPr>
          <w:sz w:val="24"/>
          <w:szCs w:val="24"/>
        </w:rPr>
        <w:t xml:space="preserve">with </w:t>
      </w:r>
      <w:r w:rsidRPr="003664A3">
        <w:rPr>
          <w:sz w:val="24"/>
          <w:szCs w:val="24"/>
        </w:rPr>
        <w:t xml:space="preserve">access to state support </w:t>
      </w:r>
      <w:r w:rsidR="00E57E92">
        <w:rPr>
          <w:sz w:val="24"/>
          <w:szCs w:val="24"/>
        </w:rPr>
        <w:t xml:space="preserve">increasingly </w:t>
      </w:r>
      <w:r w:rsidR="00B8115F">
        <w:rPr>
          <w:sz w:val="24"/>
          <w:szCs w:val="24"/>
        </w:rPr>
        <w:t>rationed</w:t>
      </w:r>
      <w:r>
        <w:rPr>
          <w:sz w:val="24"/>
          <w:szCs w:val="24"/>
        </w:rPr>
        <w:t xml:space="preserve"> </w:t>
      </w:r>
      <w:r w:rsidR="00F75C45">
        <w:rPr>
          <w:sz w:val="24"/>
          <w:szCs w:val="24"/>
        </w:rPr>
        <w:t>via</w:t>
      </w:r>
      <w:r w:rsidR="00F045D6">
        <w:rPr>
          <w:sz w:val="24"/>
          <w:szCs w:val="24"/>
        </w:rPr>
        <w:t xml:space="preserve"> a legion of</w:t>
      </w:r>
      <w:r w:rsidR="00B8115F">
        <w:rPr>
          <w:sz w:val="24"/>
          <w:szCs w:val="24"/>
        </w:rPr>
        <w:t xml:space="preserve"> </w:t>
      </w:r>
      <w:r>
        <w:rPr>
          <w:sz w:val="24"/>
          <w:szCs w:val="24"/>
        </w:rPr>
        <w:t>legally</w:t>
      </w:r>
      <w:r w:rsidR="00D66A27">
        <w:rPr>
          <w:sz w:val="24"/>
          <w:szCs w:val="24"/>
        </w:rPr>
        <w:t>-</w:t>
      </w:r>
      <w:r w:rsidRPr="003664A3">
        <w:rPr>
          <w:sz w:val="24"/>
          <w:szCs w:val="24"/>
        </w:rPr>
        <w:t>defined</w:t>
      </w:r>
      <w:r w:rsidR="00030269">
        <w:rPr>
          <w:sz w:val="24"/>
          <w:szCs w:val="24"/>
        </w:rPr>
        <w:t xml:space="preserve"> </w:t>
      </w:r>
      <w:r w:rsidR="009616BF">
        <w:rPr>
          <w:sz w:val="24"/>
          <w:szCs w:val="24"/>
        </w:rPr>
        <w:t xml:space="preserve">and </w:t>
      </w:r>
      <w:r w:rsidR="00163958">
        <w:rPr>
          <w:sz w:val="24"/>
          <w:szCs w:val="24"/>
        </w:rPr>
        <w:t>financially</w:t>
      </w:r>
      <w:r w:rsidR="00F045D6">
        <w:rPr>
          <w:sz w:val="24"/>
          <w:szCs w:val="24"/>
        </w:rPr>
        <w:t>-</w:t>
      </w:r>
      <w:r w:rsidR="00163958">
        <w:rPr>
          <w:sz w:val="24"/>
          <w:szCs w:val="24"/>
        </w:rPr>
        <w:t>driven</w:t>
      </w:r>
      <w:r w:rsidRPr="003664A3">
        <w:rPr>
          <w:sz w:val="24"/>
          <w:szCs w:val="24"/>
        </w:rPr>
        <w:t xml:space="preserve"> </w:t>
      </w:r>
      <w:r w:rsidR="00635B02">
        <w:rPr>
          <w:sz w:val="24"/>
          <w:szCs w:val="24"/>
        </w:rPr>
        <w:t xml:space="preserve">restrictions and </w:t>
      </w:r>
      <w:r w:rsidRPr="003664A3">
        <w:rPr>
          <w:sz w:val="24"/>
          <w:szCs w:val="24"/>
        </w:rPr>
        <w:t>rules</w:t>
      </w:r>
      <w:r>
        <w:rPr>
          <w:sz w:val="24"/>
          <w:szCs w:val="24"/>
        </w:rPr>
        <w:t xml:space="preserve">. </w:t>
      </w:r>
      <w:r w:rsidR="00163958">
        <w:rPr>
          <w:sz w:val="24"/>
          <w:szCs w:val="24"/>
        </w:rPr>
        <w:t>C</w:t>
      </w:r>
      <w:r w:rsidR="009F25F9" w:rsidRPr="003664A3">
        <w:rPr>
          <w:sz w:val="24"/>
          <w:szCs w:val="24"/>
        </w:rPr>
        <w:t>ivic protection</w:t>
      </w:r>
      <w:r w:rsidR="009F25F9">
        <w:rPr>
          <w:sz w:val="24"/>
          <w:szCs w:val="24"/>
        </w:rPr>
        <w:t xml:space="preserve"> and </w:t>
      </w:r>
      <w:r w:rsidR="007F7132">
        <w:rPr>
          <w:sz w:val="24"/>
          <w:szCs w:val="24"/>
        </w:rPr>
        <w:t xml:space="preserve">economic </w:t>
      </w:r>
      <w:r w:rsidR="009F25F9">
        <w:rPr>
          <w:sz w:val="24"/>
          <w:szCs w:val="24"/>
        </w:rPr>
        <w:t>rights</w:t>
      </w:r>
      <w:r w:rsidR="009F25F9" w:rsidRPr="003664A3">
        <w:rPr>
          <w:sz w:val="24"/>
          <w:szCs w:val="24"/>
        </w:rPr>
        <w:t xml:space="preserve"> for </w:t>
      </w:r>
      <w:r w:rsidR="009F25F9">
        <w:rPr>
          <w:sz w:val="24"/>
          <w:szCs w:val="24"/>
        </w:rPr>
        <w:t xml:space="preserve">older </w:t>
      </w:r>
      <w:r w:rsidR="009F25F9" w:rsidRPr="003664A3">
        <w:rPr>
          <w:sz w:val="24"/>
          <w:szCs w:val="24"/>
        </w:rPr>
        <w:t>citizens</w:t>
      </w:r>
      <w:r w:rsidR="00C558EA">
        <w:rPr>
          <w:sz w:val="24"/>
          <w:szCs w:val="24"/>
        </w:rPr>
        <w:t xml:space="preserve"> </w:t>
      </w:r>
      <w:r w:rsidR="009F25F9" w:rsidRPr="003664A3">
        <w:rPr>
          <w:sz w:val="24"/>
          <w:szCs w:val="24"/>
        </w:rPr>
        <w:t>within Western policy systems</w:t>
      </w:r>
      <w:r w:rsidR="00B8115F">
        <w:rPr>
          <w:sz w:val="24"/>
          <w:szCs w:val="24"/>
        </w:rPr>
        <w:t xml:space="preserve"> are </w:t>
      </w:r>
      <w:r w:rsidR="004F10BE">
        <w:rPr>
          <w:sz w:val="24"/>
          <w:szCs w:val="24"/>
        </w:rPr>
        <w:t xml:space="preserve">subsequently </w:t>
      </w:r>
      <w:r w:rsidR="00B8115F">
        <w:rPr>
          <w:sz w:val="24"/>
          <w:szCs w:val="24"/>
        </w:rPr>
        <w:t>diminishing and</w:t>
      </w:r>
      <w:r w:rsidR="009F25F9" w:rsidRPr="003664A3">
        <w:rPr>
          <w:sz w:val="24"/>
          <w:szCs w:val="24"/>
        </w:rPr>
        <w:t xml:space="preserve"> </w:t>
      </w:r>
      <w:r w:rsidR="007F7132">
        <w:rPr>
          <w:sz w:val="24"/>
          <w:szCs w:val="24"/>
        </w:rPr>
        <w:t xml:space="preserve">continue to </w:t>
      </w:r>
      <w:r w:rsidR="009F25F9" w:rsidRPr="003664A3">
        <w:rPr>
          <w:sz w:val="24"/>
          <w:szCs w:val="24"/>
        </w:rPr>
        <w:t>giv</w:t>
      </w:r>
      <w:r w:rsidR="007F7132">
        <w:rPr>
          <w:sz w:val="24"/>
          <w:szCs w:val="24"/>
        </w:rPr>
        <w:t>e</w:t>
      </w:r>
      <w:r w:rsidR="009F25F9" w:rsidRPr="003664A3">
        <w:rPr>
          <w:sz w:val="24"/>
          <w:szCs w:val="24"/>
        </w:rPr>
        <w:t xml:space="preserve"> way to neoliberal </w:t>
      </w:r>
      <w:r w:rsidR="00D66A27">
        <w:rPr>
          <w:sz w:val="24"/>
          <w:szCs w:val="24"/>
        </w:rPr>
        <w:t>discursive</w:t>
      </w:r>
      <w:r w:rsidR="009F25F9" w:rsidRPr="003664A3">
        <w:rPr>
          <w:sz w:val="24"/>
          <w:szCs w:val="24"/>
        </w:rPr>
        <w:t xml:space="preserve"> </w:t>
      </w:r>
      <w:r w:rsidR="009F25F9">
        <w:rPr>
          <w:sz w:val="24"/>
          <w:szCs w:val="24"/>
        </w:rPr>
        <w:t xml:space="preserve">practices </w:t>
      </w:r>
      <w:r w:rsidR="009F25F9" w:rsidRPr="003664A3">
        <w:rPr>
          <w:sz w:val="24"/>
          <w:szCs w:val="24"/>
        </w:rPr>
        <w:t>which pr</w:t>
      </w:r>
      <w:r w:rsidR="009F25F9">
        <w:rPr>
          <w:sz w:val="24"/>
          <w:szCs w:val="24"/>
        </w:rPr>
        <w:t>ioritise</w:t>
      </w:r>
      <w:r w:rsidR="009F25F9" w:rsidRPr="003664A3">
        <w:rPr>
          <w:sz w:val="24"/>
          <w:szCs w:val="24"/>
        </w:rPr>
        <w:t xml:space="preserve"> </w:t>
      </w:r>
      <w:r w:rsidR="009F25F9">
        <w:rPr>
          <w:sz w:val="24"/>
          <w:szCs w:val="24"/>
        </w:rPr>
        <w:t xml:space="preserve">welfare activation, </w:t>
      </w:r>
      <w:r w:rsidR="00D66A27">
        <w:rPr>
          <w:sz w:val="24"/>
          <w:szCs w:val="24"/>
        </w:rPr>
        <w:t>autonomy</w:t>
      </w:r>
      <w:r w:rsidR="00F045D6">
        <w:rPr>
          <w:sz w:val="24"/>
          <w:szCs w:val="24"/>
        </w:rPr>
        <w:t xml:space="preserve">, </w:t>
      </w:r>
      <w:r w:rsidR="00EC1E48">
        <w:rPr>
          <w:sz w:val="24"/>
          <w:szCs w:val="24"/>
        </w:rPr>
        <w:t xml:space="preserve">participation, </w:t>
      </w:r>
      <w:r w:rsidR="00C558EA">
        <w:rPr>
          <w:sz w:val="24"/>
          <w:szCs w:val="24"/>
        </w:rPr>
        <w:t>asset-based</w:t>
      </w:r>
      <w:r w:rsidR="007C04B1">
        <w:rPr>
          <w:sz w:val="24"/>
          <w:szCs w:val="24"/>
        </w:rPr>
        <w:t xml:space="preserve"> yet precarious</w:t>
      </w:r>
      <w:r w:rsidR="00C558EA">
        <w:rPr>
          <w:sz w:val="24"/>
          <w:szCs w:val="24"/>
        </w:rPr>
        <w:t xml:space="preserve"> self-care, </w:t>
      </w:r>
      <w:r w:rsidR="00EC1E48">
        <w:rPr>
          <w:sz w:val="24"/>
          <w:szCs w:val="24"/>
        </w:rPr>
        <w:t xml:space="preserve">the aversion of </w:t>
      </w:r>
      <w:r w:rsidR="007F7132">
        <w:rPr>
          <w:sz w:val="24"/>
          <w:szCs w:val="24"/>
        </w:rPr>
        <w:t xml:space="preserve">health-centred </w:t>
      </w:r>
      <w:r w:rsidR="00EC1E48">
        <w:rPr>
          <w:sz w:val="24"/>
          <w:szCs w:val="24"/>
        </w:rPr>
        <w:t>risk</w:t>
      </w:r>
      <w:r w:rsidR="00BF344F">
        <w:rPr>
          <w:sz w:val="24"/>
          <w:szCs w:val="24"/>
        </w:rPr>
        <w:t>s</w:t>
      </w:r>
      <w:r w:rsidR="000A4C08">
        <w:rPr>
          <w:sz w:val="24"/>
          <w:szCs w:val="24"/>
        </w:rPr>
        <w:t xml:space="preserve"> and</w:t>
      </w:r>
      <w:r w:rsidR="009F25F9">
        <w:rPr>
          <w:sz w:val="24"/>
          <w:szCs w:val="24"/>
        </w:rPr>
        <w:t xml:space="preserve"> </w:t>
      </w:r>
      <w:r w:rsidR="00930A76">
        <w:rPr>
          <w:sz w:val="24"/>
          <w:szCs w:val="24"/>
        </w:rPr>
        <w:t xml:space="preserve">much </w:t>
      </w:r>
      <w:r w:rsidR="00B8115F">
        <w:rPr>
          <w:sz w:val="24"/>
          <w:szCs w:val="24"/>
        </w:rPr>
        <w:t>higher levels of</w:t>
      </w:r>
      <w:r w:rsidR="009F25F9" w:rsidRPr="003664A3">
        <w:rPr>
          <w:sz w:val="24"/>
          <w:szCs w:val="24"/>
        </w:rPr>
        <w:t xml:space="preserve"> eligibility</w:t>
      </w:r>
      <w:r w:rsidR="009F25F9">
        <w:rPr>
          <w:sz w:val="24"/>
          <w:szCs w:val="24"/>
        </w:rPr>
        <w:t xml:space="preserve"> for support</w:t>
      </w:r>
      <w:r w:rsidR="009F25F9" w:rsidRPr="003664A3">
        <w:rPr>
          <w:sz w:val="24"/>
          <w:szCs w:val="24"/>
        </w:rPr>
        <w:t>.</w:t>
      </w:r>
      <w:r w:rsidR="001433CD" w:rsidRPr="001433CD">
        <w:rPr>
          <w:sz w:val="24"/>
          <w:szCs w:val="24"/>
        </w:rPr>
        <w:t xml:space="preserve"> </w:t>
      </w:r>
      <w:r w:rsidR="001433CD">
        <w:rPr>
          <w:sz w:val="24"/>
          <w:szCs w:val="24"/>
        </w:rPr>
        <w:t>This article looks at welfare conditionality and its relationship to older people, ethics and governance within social care</w:t>
      </w:r>
      <w:r w:rsidR="001433CD" w:rsidRPr="003664A3">
        <w:rPr>
          <w:sz w:val="24"/>
          <w:szCs w:val="24"/>
        </w:rPr>
        <w:t>.</w:t>
      </w:r>
      <w:r w:rsidR="009F25F9" w:rsidRPr="003664A3">
        <w:rPr>
          <w:sz w:val="24"/>
          <w:szCs w:val="24"/>
        </w:rPr>
        <w:t xml:space="preserve"> </w:t>
      </w:r>
      <w:r w:rsidR="00D66A27" w:rsidRPr="00EC1E48">
        <w:rPr>
          <w:sz w:val="24"/>
          <w:szCs w:val="24"/>
        </w:rPr>
        <w:t>By using three examples</w:t>
      </w:r>
      <w:r w:rsidR="007F7132" w:rsidRPr="007F7132">
        <w:rPr>
          <w:rFonts w:cs="Tahoma"/>
          <w:color w:val="141414"/>
          <w:sz w:val="24"/>
          <w:szCs w:val="24"/>
          <w:shd w:val="clear" w:color="auto" w:fill="FFFFFF"/>
        </w:rPr>
        <w:t xml:space="preserve"> </w:t>
      </w:r>
      <w:r w:rsidR="007F7132">
        <w:rPr>
          <w:rFonts w:cs="Tahoma"/>
          <w:color w:val="141414"/>
          <w:sz w:val="24"/>
          <w:szCs w:val="24"/>
          <w:shd w:val="clear" w:color="auto" w:fill="FFFFFF"/>
        </w:rPr>
        <w:t xml:space="preserve">of </w:t>
      </w:r>
      <w:r w:rsidR="007F7132" w:rsidRPr="00EC1E48">
        <w:rPr>
          <w:rFonts w:cs="Tahoma"/>
          <w:color w:val="141414"/>
          <w:sz w:val="24"/>
          <w:szCs w:val="24"/>
          <w:shd w:val="clear" w:color="auto" w:fill="FFFFFF"/>
        </w:rPr>
        <w:t>welfare conditional reforms</w:t>
      </w:r>
      <w:r w:rsidR="00D66A27" w:rsidRPr="00EC1E48">
        <w:rPr>
          <w:sz w:val="24"/>
          <w:szCs w:val="24"/>
        </w:rPr>
        <w:t xml:space="preserve"> from the UK</w:t>
      </w:r>
      <w:r w:rsidR="007F7132">
        <w:rPr>
          <w:sz w:val="24"/>
          <w:szCs w:val="24"/>
        </w:rPr>
        <w:t>,</w:t>
      </w:r>
      <w:r w:rsidR="00D66A27" w:rsidRPr="00EC1E48">
        <w:rPr>
          <w:sz w:val="24"/>
          <w:szCs w:val="24"/>
        </w:rPr>
        <w:t xml:space="preserve"> it is </w:t>
      </w:r>
      <w:r w:rsidR="00D61531" w:rsidRPr="00EC1E48">
        <w:rPr>
          <w:sz w:val="24"/>
          <w:szCs w:val="24"/>
        </w:rPr>
        <w:t>highlighted</w:t>
      </w:r>
      <w:r w:rsidR="00D66A27" w:rsidRPr="00EC1E48">
        <w:rPr>
          <w:sz w:val="24"/>
          <w:szCs w:val="24"/>
        </w:rPr>
        <w:t xml:space="preserve"> that </w:t>
      </w:r>
      <w:r w:rsidR="00D61531" w:rsidRPr="00EC1E48">
        <w:rPr>
          <w:sz w:val="24"/>
          <w:szCs w:val="24"/>
        </w:rPr>
        <w:t>strains</w:t>
      </w:r>
      <w:r w:rsidR="00D61531" w:rsidRPr="00EC1E48">
        <w:rPr>
          <w:rFonts w:cs="Tahoma"/>
          <w:color w:val="141414"/>
          <w:sz w:val="24"/>
          <w:szCs w:val="24"/>
          <w:shd w:val="clear" w:color="auto" w:fill="FFFFFF"/>
        </w:rPr>
        <w:t xml:space="preserve"> </w:t>
      </w:r>
      <w:r w:rsidR="00F14FEB" w:rsidRPr="00EC1E48">
        <w:rPr>
          <w:rFonts w:cs="Tahoma"/>
          <w:color w:val="141414"/>
          <w:sz w:val="24"/>
          <w:szCs w:val="24"/>
          <w:shd w:val="clear" w:color="auto" w:fill="FFFFFF"/>
        </w:rPr>
        <w:t>typically</w:t>
      </w:r>
      <w:r w:rsidR="00D61531" w:rsidRPr="00EC1E48">
        <w:rPr>
          <w:rFonts w:cs="Tahoma"/>
          <w:color w:val="141414"/>
          <w:sz w:val="24"/>
          <w:szCs w:val="24"/>
          <w:shd w:val="clear" w:color="auto" w:fill="FFFFFF"/>
        </w:rPr>
        <w:t xml:space="preserve"> persist between the altruistic components of some ethical frameworks and the everyday experiences of many older </w:t>
      </w:r>
      <w:r w:rsidR="00F82252">
        <w:rPr>
          <w:rFonts w:cs="Tahoma"/>
          <w:color w:val="141414"/>
          <w:sz w:val="24"/>
          <w:szCs w:val="24"/>
          <w:shd w:val="clear" w:color="auto" w:fill="FFFFFF"/>
        </w:rPr>
        <w:t>people</w:t>
      </w:r>
      <w:r w:rsidR="00D66A27" w:rsidRPr="00EC1E48">
        <w:rPr>
          <w:sz w:val="24"/>
          <w:szCs w:val="24"/>
        </w:rPr>
        <w:t xml:space="preserve">. </w:t>
      </w:r>
      <w:r w:rsidR="00D61531" w:rsidRPr="00EC1E48">
        <w:rPr>
          <w:sz w:val="24"/>
          <w:szCs w:val="24"/>
        </w:rPr>
        <w:t xml:space="preserve">The </w:t>
      </w:r>
      <w:r w:rsidR="00F045D6" w:rsidRPr="00EC1E48">
        <w:rPr>
          <w:sz w:val="24"/>
          <w:szCs w:val="24"/>
        </w:rPr>
        <w:t xml:space="preserve">relative </w:t>
      </w:r>
      <w:r w:rsidR="00D61531" w:rsidRPr="00EC1E48">
        <w:rPr>
          <w:sz w:val="24"/>
          <w:szCs w:val="24"/>
        </w:rPr>
        <w:t xml:space="preserve">gatekeeping </w:t>
      </w:r>
      <w:r w:rsidR="00D66A27" w:rsidRPr="00EC1E48">
        <w:rPr>
          <w:sz w:val="24"/>
          <w:szCs w:val="24"/>
        </w:rPr>
        <w:t>power</w:t>
      </w:r>
      <w:r w:rsidR="00D61531" w:rsidRPr="00EC1E48">
        <w:rPr>
          <w:sz w:val="24"/>
          <w:szCs w:val="24"/>
        </w:rPr>
        <w:t>s</w:t>
      </w:r>
      <w:r w:rsidR="00D66A27" w:rsidRPr="00EC1E48">
        <w:rPr>
          <w:sz w:val="24"/>
          <w:szCs w:val="24"/>
        </w:rPr>
        <w:t xml:space="preserve"> of welfare professionals</w:t>
      </w:r>
      <w:r w:rsidR="00FC2FFB" w:rsidRPr="00EC1E48">
        <w:rPr>
          <w:sz w:val="24"/>
          <w:szCs w:val="24"/>
        </w:rPr>
        <w:t xml:space="preserve"> </w:t>
      </w:r>
      <w:r w:rsidR="00540249" w:rsidRPr="00EC1E48">
        <w:rPr>
          <w:sz w:val="24"/>
          <w:szCs w:val="24"/>
        </w:rPr>
        <w:t xml:space="preserve">and expectations placed on family members and carers </w:t>
      </w:r>
      <w:r w:rsidR="00D66A27" w:rsidRPr="00EC1E48">
        <w:rPr>
          <w:sz w:val="24"/>
          <w:szCs w:val="24"/>
        </w:rPr>
        <w:t>ha</w:t>
      </w:r>
      <w:r w:rsidR="00540249" w:rsidRPr="00EC1E48">
        <w:rPr>
          <w:sz w:val="24"/>
          <w:szCs w:val="24"/>
        </w:rPr>
        <w:t>ve</w:t>
      </w:r>
      <w:r w:rsidR="00D66A27" w:rsidRPr="00EC1E48">
        <w:rPr>
          <w:sz w:val="24"/>
          <w:szCs w:val="24"/>
        </w:rPr>
        <w:t xml:space="preserve"> </w:t>
      </w:r>
      <w:r w:rsidR="00163958" w:rsidRPr="00EC1E48">
        <w:rPr>
          <w:sz w:val="24"/>
          <w:szCs w:val="24"/>
        </w:rPr>
        <w:t>also</w:t>
      </w:r>
      <w:r w:rsidR="00D66A27" w:rsidRPr="00EC1E48">
        <w:rPr>
          <w:sz w:val="24"/>
          <w:szCs w:val="24"/>
        </w:rPr>
        <w:t xml:space="preserve"> increase</w:t>
      </w:r>
      <w:r w:rsidR="001433CD" w:rsidRPr="00EC1E48">
        <w:rPr>
          <w:sz w:val="24"/>
          <w:szCs w:val="24"/>
        </w:rPr>
        <w:t>d</w:t>
      </w:r>
      <w:r w:rsidR="00503C98" w:rsidRPr="00EC1E48">
        <w:rPr>
          <w:sz w:val="24"/>
          <w:szCs w:val="24"/>
        </w:rPr>
        <w:t xml:space="preserve">, </w:t>
      </w:r>
      <w:r w:rsidR="00862B5D" w:rsidRPr="00EC1E48">
        <w:rPr>
          <w:sz w:val="24"/>
          <w:szCs w:val="24"/>
        </w:rPr>
        <w:t xml:space="preserve">especially upon older people with higher needs and who </w:t>
      </w:r>
      <w:r w:rsidR="00BF344F">
        <w:rPr>
          <w:sz w:val="24"/>
          <w:szCs w:val="24"/>
        </w:rPr>
        <w:t xml:space="preserve">may </w:t>
      </w:r>
      <w:r w:rsidR="00862B5D" w:rsidRPr="00EC1E48">
        <w:rPr>
          <w:sz w:val="24"/>
          <w:szCs w:val="24"/>
        </w:rPr>
        <w:t xml:space="preserve">lack economic </w:t>
      </w:r>
      <w:r w:rsidR="00F045D6" w:rsidRPr="00EC1E48">
        <w:rPr>
          <w:sz w:val="24"/>
          <w:szCs w:val="24"/>
        </w:rPr>
        <w:t xml:space="preserve">and </w:t>
      </w:r>
      <w:r w:rsidR="00862B5D" w:rsidRPr="00EC1E48">
        <w:rPr>
          <w:sz w:val="24"/>
          <w:szCs w:val="24"/>
        </w:rPr>
        <w:t xml:space="preserve">cultural capital. This is </w:t>
      </w:r>
      <w:r w:rsidR="00D66A27" w:rsidRPr="00EC1E48">
        <w:rPr>
          <w:sz w:val="24"/>
          <w:szCs w:val="24"/>
        </w:rPr>
        <w:t xml:space="preserve">despite rhetorical </w:t>
      </w:r>
      <w:r w:rsidR="00F75C45" w:rsidRPr="00EC1E48">
        <w:rPr>
          <w:sz w:val="24"/>
          <w:szCs w:val="24"/>
        </w:rPr>
        <w:t xml:space="preserve">policy-led </w:t>
      </w:r>
      <w:r w:rsidR="00D66A27" w:rsidRPr="00EC1E48">
        <w:rPr>
          <w:sz w:val="24"/>
          <w:szCs w:val="24"/>
        </w:rPr>
        <w:t>claims of increasing choice</w:t>
      </w:r>
      <w:r w:rsidR="00635B02" w:rsidRPr="00EC1E48">
        <w:rPr>
          <w:sz w:val="24"/>
          <w:szCs w:val="24"/>
        </w:rPr>
        <w:t xml:space="preserve"> and control</w:t>
      </w:r>
      <w:r w:rsidR="007F7132">
        <w:rPr>
          <w:sz w:val="24"/>
          <w:szCs w:val="24"/>
        </w:rPr>
        <w:t xml:space="preserve">, </w:t>
      </w:r>
      <w:r w:rsidR="00472F52" w:rsidRPr="00EC1E48">
        <w:rPr>
          <w:sz w:val="24"/>
          <w:szCs w:val="24"/>
        </w:rPr>
        <w:t>and</w:t>
      </w:r>
      <w:r w:rsidR="00236ED2" w:rsidRPr="00EC1E48">
        <w:rPr>
          <w:sz w:val="24"/>
          <w:szCs w:val="24"/>
        </w:rPr>
        <w:t xml:space="preserve"> </w:t>
      </w:r>
      <w:r w:rsidR="00472F52" w:rsidRPr="00EC1E48">
        <w:rPr>
          <w:sz w:val="24"/>
          <w:szCs w:val="24"/>
        </w:rPr>
        <w:t>allowing</w:t>
      </w:r>
      <w:r w:rsidR="00236ED2" w:rsidRPr="00EC1E48">
        <w:rPr>
          <w:sz w:val="24"/>
          <w:szCs w:val="24"/>
        </w:rPr>
        <w:t xml:space="preserve"> support</w:t>
      </w:r>
      <w:r w:rsidR="00472F52" w:rsidRPr="00EC1E48">
        <w:rPr>
          <w:sz w:val="24"/>
          <w:szCs w:val="24"/>
        </w:rPr>
        <w:t xml:space="preserve"> to be</w:t>
      </w:r>
      <w:r w:rsidR="00236ED2" w:rsidRPr="00EC1E48">
        <w:rPr>
          <w:sz w:val="24"/>
          <w:szCs w:val="24"/>
        </w:rPr>
        <w:t xml:space="preserve"> more </w:t>
      </w:r>
      <w:r w:rsidR="00EC1E48">
        <w:rPr>
          <w:sz w:val="24"/>
          <w:szCs w:val="24"/>
        </w:rPr>
        <w:t xml:space="preserve">asset-based and </w:t>
      </w:r>
      <w:r w:rsidR="00236ED2" w:rsidRPr="00EC1E48">
        <w:rPr>
          <w:sz w:val="24"/>
          <w:szCs w:val="24"/>
        </w:rPr>
        <w:t>personalised</w:t>
      </w:r>
      <w:r w:rsidR="00D66A27" w:rsidRPr="00EC1E48">
        <w:rPr>
          <w:sz w:val="24"/>
          <w:szCs w:val="24"/>
        </w:rPr>
        <w:t>.</w:t>
      </w:r>
      <w:r w:rsidR="00A33B0B" w:rsidRPr="00D61531">
        <w:rPr>
          <w:b/>
          <w:sz w:val="24"/>
          <w:szCs w:val="24"/>
        </w:rPr>
        <w:t xml:space="preserve"> </w:t>
      </w:r>
      <w:r w:rsidR="00D66A27" w:rsidRPr="00D61531">
        <w:rPr>
          <w:b/>
          <w:sz w:val="24"/>
          <w:szCs w:val="24"/>
        </w:rPr>
        <w:t xml:space="preserve"> </w:t>
      </w:r>
    </w:p>
    <w:p w14:paraId="23A39FB3" w14:textId="57324947" w:rsidR="00583F12" w:rsidRDefault="00583F12" w:rsidP="00540249">
      <w:pPr>
        <w:spacing w:line="480" w:lineRule="auto"/>
        <w:rPr>
          <w:b/>
          <w:sz w:val="24"/>
          <w:szCs w:val="24"/>
        </w:rPr>
      </w:pPr>
    </w:p>
    <w:p w14:paraId="3F320BEC" w14:textId="77591A7D" w:rsidR="00583F12" w:rsidRPr="00583F12" w:rsidRDefault="00583F12" w:rsidP="00540249">
      <w:pPr>
        <w:spacing w:line="480" w:lineRule="auto"/>
        <w:rPr>
          <w:sz w:val="24"/>
          <w:szCs w:val="24"/>
        </w:rPr>
      </w:pPr>
      <w:r>
        <w:rPr>
          <w:b/>
          <w:sz w:val="24"/>
          <w:szCs w:val="24"/>
        </w:rPr>
        <w:t xml:space="preserve">Keywords: </w:t>
      </w:r>
      <w:r>
        <w:rPr>
          <w:sz w:val="24"/>
          <w:szCs w:val="24"/>
        </w:rPr>
        <w:t xml:space="preserve">welfare conditionality; older people; ethics; personalisation; asset-based care. </w:t>
      </w:r>
    </w:p>
    <w:p w14:paraId="3E28430F" w14:textId="77777777" w:rsidR="00084E05" w:rsidRDefault="00084E05" w:rsidP="0070073A">
      <w:pPr>
        <w:spacing w:line="480" w:lineRule="auto"/>
        <w:rPr>
          <w:b/>
          <w:sz w:val="24"/>
          <w:szCs w:val="24"/>
        </w:rPr>
      </w:pPr>
    </w:p>
    <w:p w14:paraId="68FF6EB3" w14:textId="0B119FB3" w:rsidR="00F55DBA" w:rsidRPr="003664A3" w:rsidRDefault="00F55DBA" w:rsidP="0070073A">
      <w:pPr>
        <w:spacing w:line="480" w:lineRule="auto"/>
        <w:rPr>
          <w:b/>
          <w:sz w:val="24"/>
          <w:szCs w:val="24"/>
        </w:rPr>
      </w:pPr>
      <w:r w:rsidRPr="003664A3">
        <w:rPr>
          <w:b/>
          <w:sz w:val="24"/>
          <w:szCs w:val="24"/>
        </w:rPr>
        <w:t>Welfare conditionality, ethics and social care for older adults</w:t>
      </w:r>
      <w:r w:rsidR="007E6D69" w:rsidRPr="003664A3">
        <w:rPr>
          <w:b/>
          <w:sz w:val="24"/>
          <w:szCs w:val="24"/>
        </w:rPr>
        <w:t xml:space="preserve"> in the UK</w:t>
      </w:r>
      <w:r w:rsidR="00B26758" w:rsidRPr="003664A3">
        <w:rPr>
          <w:b/>
          <w:sz w:val="24"/>
          <w:szCs w:val="24"/>
        </w:rPr>
        <w:t xml:space="preserve">: From </w:t>
      </w:r>
      <w:r w:rsidR="00E57870" w:rsidRPr="003664A3">
        <w:rPr>
          <w:b/>
          <w:sz w:val="24"/>
          <w:szCs w:val="24"/>
        </w:rPr>
        <w:t xml:space="preserve">civic </w:t>
      </w:r>
      <w:r w:rsidR="00B26758" w:rsidRPr="003664A3">
        <w:rPr>
          <w:b/>
          <w:sz w:val="24"/>
          <w:szCs w:val="24"/>
        </w:rPr>
        <w:t>rights to abandonment?</w:t>
      </w:r>
      <w:r w:rsidRPr="003664A3">
        <w:rPr>
          <w:b/>
          <w:sz w:val="24"/>
          <w:szCs w:val="24"/>
        </w:rPr>
        <w:t xml:space="preserve"> </w:t>
      </w:r>
    </w:p>
    <w:p w14:paraId="2A46B41A" w14:textId="37705070" w:rsidR="003135BE" w:rsidRPr="003664A3" w:rsidRDefault="00FF276D" w:rsidP="0070073A">
      <w:pPr>
        <w:spacing w:line="480" w:lineRule="auto"/>
        <w:rPr>
          <w:sz w:val="24"/>
          <w:szCs w:val="24"/>
        </w:rPr>
      </w:pPr>
      <w:r>
        <w:rPr>
          <w:sz w:val="24"/>
          <w:szCs w:val="24"/>
        </w:rPr>
        <w:t>W</w:t>
      </w:r>
      <w:r w:rsidR="00223B60" w:rsidRPr="003664A3">
        <w:rPr>
          <w:sz w:val="24"/>
          <w:szCs w:val="24"/>
        </w:rPr>
        <w:t xml:space="preserve">elfare systems </w:t>
      </w:r>
      <w:r w:rsidR="00D92A47">
        <w:rPr>
          <w:sz w:val="24"/>
          <w:szCs w:val="24"/>
        </w:rPr>
        <w:t xml:space="preserve">are </w:t>
      </w:r>
      <w:r w:rsidR="00AB66D2" w:rsidRPr="003664A3">
        <w:rPr>
          <w:sz w:val="24"/>
          <w:szCs w:val="24"/>
        </w:rPr>
        <w:t>becom</w:t>
      </w:r>
      <w:r w:rsidR="00D92A47">
        <w:rPr>
          <w:sz w:val="24"/>
          <w:szCs w:val="24"/>
        </w:rPr>
        <w:t>ing ever more</w:t>
      </w:r>
      <w:r w:rsidR="00AB66D2" w:rsidRPr="003664A3">
        <w:rPr>
          <w:sz w:val="24"/>
          <w:szCs w:val="24"/>
        </w:rPr>
        <w:t xml:space="preserve"> </w:t>
      </w:r>
      <w:r w:rsidR="00223B60" w:rsidRPr="003664A3">
        <w:rPr>
          <w:sz w:val="24"/>
          <w:szCs w:val="24"/>
        </w:rPr>
        <w:t xml:space="preserve">conditional with access to </w:t>
      </w:r>
      <w:r w:rsidR="00A23407" w:rsidRPr="003664A3">
        <w:rPr>
          <w:sz w:val="24"/>
          <w:szCs w:val="24"/>
        </w:rPr>
        <w:t xml:space="preserve">state-funded </w:t>
      </w:r>
      <w:r w:rsidR="00223B60" w:rsidRPr="003664A3">
        <w:rPr>
          <w:sz w:val="24"/>
          <w:szCs w:val="24"/>
        </w:rPr>
        <w:t xml:space="preserve">support </w:t>
      </w:r>
      <w:r w:rsidR="00944A12">
        <w:rPr>
          <w:sz w:val="24"/>
          <w:szCs w:val="24"/>
        </w:rPr>
        <w:t>and</w:t>
      </w:r>
      <w:r w:rsidR="00223B60" w:rsidRPr="003664A3">
        <w:rPr>
          <w:sz w:val="24"/>
          <w:szCs w:val="24"/>
        </w:rPr>
        <w:t xml:space="preserve"> benefits </w:t>
      </w:r>
      <w:r w:rsidR="00D92A47">
        <w:rPr>
          <w:sz w:val="24"/>
          <w:szCs w:val="24"/>
        </w:rPr>
        <w:t>increasingly</w:t>
      </w:r>
      <w:r w:rsidR="00E004AA" w:rsidRPr="003664A3">
        <w:rPr>
          <w:sz w:val="24"/>
          <w:szCs w:val="24"/>
        </w:rPr>
        <w:t xml:space="preserve"> </w:t>
      </w:r>
      <w:r w:rsidR="00D1036E">
        <w:rPr>
          <w:sz w:val="24"/>
          <w:szCs w:val="24"/>
        </w:rPr>
        <w:t xml:space="preserve">questioned and </w:t>
      </w:r>
      <w:r w:rsidR="00223B60" w:rsidRPr="003664A3">
        <w:rPr>
          <w:sz w:val="24"/>
          <w:szCs w:val="24"/>
        </w:rPr>
        <w:t>framed around administrative</w:t>
      </w:r>
      <w:r w:rsidR="003C71FE">
        <w:rPr>
          <w:sz w:val="24"/>
          <w:szCs w:val="24"/>
        </w:rPr>
        <w:t>, political</w:t>
      </w:r>
      <w:r w:rsidR="00D92A47">
        <w:rPr>
          <w:sz w:val="24"/>
          <w:szCs w:val="24"/>
        </w:rPr>
        <w:t xml:space="preserve"> </w:t>
      </w:r>
      <w:r w:rsidR="00D332F3">
        <w:rPr>
          <w:sz w:val="24"/>
          <w:szCs w:val="24"/>
        </w:rPr>
        <w:t>and</w:t>
      </w:r>
      <w:r w:rsidR="00D92A47">
        <w:rPr>
          <w:sz w:val="24"/>
          <w:szCs w:val="24"/>
        </w:rPr>
        <w:t xml:space="preserve"> legally </w:t>
      </w:r>
      <w:r w:rsidR="00223B60" w:rsidRPr="003664A3">
        <w:rPr>
          <w:sz w:val="24"/>
          <w:szCs w:val="24"/>
        </w:rPr>
        <w:t>defined rules</w:t>
      </w:r>
      <w:r w:rsidR="009377B3" w:rsidRPr="003664A3">
        <w:rPr>
          <w:sz w:val="24"/>
          <w:szCs w:val="24"/>
        </w:rPr>
        <w:t>,</w:t>
      </w:r>
      <w:r w:rsidR="00223B60" w:rsidRPr="003664A3">
        <w:rPr>
          <w:sz w:val="24"/>
          <w:szCs w:val="24"/>
        </w:rPr>
        <w:t xml:space="preserve"> restrictions</w:t>
      </w:r>
      <w:r w:rsidR="003135BE" w:rsidRPr="003664A3">
        <w:rPr>
          <w:sz w:val="24"/>
          <w:szCs w:val="24"/>
        </w:rPr>
        <w:t>, expectations</w:t>
      </w:r>
      <w:r w:rsidR="009377B3" w:rsidRPr="003664A3">
        <w:rPr>
          <w:sz w:val="24"/>
          <w:szCs w:val="24"/>
        </w:rPr>
        <w:t xml:space="preserve"> and incentives</w:t>
      </w:r>
      <w:r w:rsidR="00D92A47">
        <w:rPr>
          <w:sz w:val="24"/>
          <w:szCs w:val="24"/>
        </w:rPr>
        <w:t xml:space="preserve"> for recipients </w:t>
      </w:r>
      <w:r w:rsidR="00944A12">
        <w:rPr>
          <w:sz w:val="24"/>
          <w:szCs w:val="24"/>
        </w:rPr>
        <w:t>or</w:t>
      </w:r>
      <w:r w:rsidR="00D92A47">
        <w:rPr>
          <w:sz w:val="24"/>
          <w:szCs w:val="24"/>
        </w:rPr>
        <w:t xml:space="preserve"> ‘service users’</w:t>
      </w:r>
      <w:r w:rsidR="00D1036E">
        <w:rPr>
          <w:sz w:val="24"/>
          <w:szCs w:val="24"/>
        </w:rPr>
        <w:t xml:space="preserve"> </w:t>
      </w:r>
      <w:r w:rsidR="00D1036E">
        <w:rPr>
          <w:rFonts w:cstheme="minorHAnsi"/>
          <w:sz w:val="24"/>
          <w:szCs w:val="24"/>
        </w:rPr>
        <w:t>(</w:t>
      </w:r>
      <w:proofErr w:type="spellStart"/>
      <w:r w:rsidR="009A7767" w:rsidRPr="00EC1E48">
        <w:rPr>
          <w:rFonts w:cstheme="minorHAnsi"/>
          <w:sz w:val="24"/>
          <w:szCs w:val="24"/>
        </w:rPr>
        <w:t>Ogg</w:t>
      </w:r>
      <w:proofErr w:type="spellEnd"/>
      <w:r w:rsidR="009A7767" w:rsidRPr="00EC1E48">
        <w:rPr>
          <w:rFonts w:cstheme="minorHAnsi"/>
          <w:sz w:val="24"/>
          <w:szCs w:val="24"/>
        </w:rPr>
        <w:t>, 2005</w:t>
      </w:r>
      <w:r w:rsidR="009A7767">
        <w:rPr>
          <w:rFonts w:cstheme="minorHAnsi"/>
          <w:sz w:val="24"/>
          <w:szCs w:val="24"/>
        </w:rPr>
        <w:t xml:space="preserve">; </w:t>
      </w:r>
      <w:r w:rsidR="00D332F3" w:rsidRPr="00100CE0">
        <w:rPr>
          <w:sz w:val="24"/>
          <w:szCs w:val="24"/>
        </w:rPr>
        <w:t>Jordan and Drakeford, 2012</w:t>
      </w:r>
      <w:r w:rsidR="00D332F3">
        <w:rPr>
          <w:sz w:val="24"/>
          <w:szCs w:val="24"/>
        </w:rPr>
        <w:t>;</w:t>
      </w:r>
      <w:r w:rsidR="00D1036E" w:rsidRPr="00D1036E">
        <w:rPr>
          <w:rFonts w:cstheme="minorHAnsi"/>
          <w:sz w:val="24"/>
          <w:szCs w:val="24"/>
        </w:rPr>
        <w:t xml:space="preserve"> </w:t>
      </w:r>
      <w:r w:rsidR="00D1036E" w:rsidRPr="003664A3">
        <w:rPr>
          <w:rFonts w:cstheme="minorHAnsi"/>
          <w:sz w:val="24"/>
          <w:szCs w:val="24"/>
        </w:rPr>
        <w:t xml:space="preserve">Watts </w:t>
      </w:r>
      <w:r w:rsidR="00D1036E" w:rsidRPr="003664A3">
        <w:rPr>
          <w:rFonts w:cstheme="minorHAnsi"/>
          <w:i/>
          <w:iCs/>
          <w:sz w:val="24"/>
          <w:szCs w:val="24"/>
        </w:rPr>
        <w:t>et al</w:t>
      </w:r>
      <w:r w:rsidR="00D1036E" w:rsidRPr="003664A3">
        <w:rPr>
          <w:rFonts w:cstheme="minorHAnsi"/>
          <w:sz w:val="24"/>
          <w:szCs w:val="24"/>
        </w:rPr>
        <w:t>., 2014</w:t>
      </w:r>
      <w:r w:rsidR="008217A6">
        <w:rPr>
          <w:rFonts w:cstheme="minorHAnsi"/>
          <w:sz w:val="24"/>
          <w:szCs w:val="24"/>
        </w:rPr>
        <w:t>; Dwyer, 2019</w:t>
      </w:r>
      <w:r w:rsidR="00D1036E">
        <w:rPr>
          <w:rFonts w:cstheme="minorHAnsi"/>
          <w:sz w:val="24"/>
          <w:szCs w:val="24"/>
        </w:rPr>
        <w:t>)</w:t>
      </w:r>
      <w:r w:rsidR="00223B60" w:rsidRPr="003664A3">
        <w:rPr>
          <w:sz w:val="24"/>
          <w:szCs w:val="24"/>
        </w:rPr>
        <w:t xml:space="preserve">. </w:t>
      </w:r>
      <w:r w:rsidR="00280109">
        <w:rPr>
          <w:sz w:val="24"/>
          <w:szCs w:val="24"/>
        </w:rPr>
        <w:t>Moderate</w:t>
      </w:r>
      <w:r w:rsidR="00223B60" w:rsidRPr="003664A3">
        <w:rPr>
          <w:sz w:val="24"/>
          <w:szCs w:val="24"/>
        </w:rPr>
        <w:t xml:space="preserve"> notions of civic protection</w:t>
      </w:r>
      <w:r w:rsidR="00D92A47">
        <w:rPr>
          <w:sz w:val="24"/>
          <w:szCs w:val="24"/>
        </w:rPr>
        <w:t xml:space="preserve"> and rights</w:t>
      </w:r>
      <w:r w:rsidR="00B00BE9" w:rsidRPr="003664A3">
        <w:rPr>
          <w:sz w:val="24"/>
          <w:szCs w:val="24"/>
        </w:rPr>
        <w:t xml:space="preserve"> for </w:t>
      </w:r>
      <w:r w:rsidR="00346090">
        <w:rPr>
          <w:sz w:val="24"/>
          <w:szCs w:val="24"/>
        </w:rPr>
        <w:t xml:space="preserve">older </w:t>
      </w:r>
      <w:r w:rsidR="00647901">
        <w:rPr>
          <w:sz w:val="24"/>
          <w:szCs w:val="24"/>
        </w:rPr>
        <w:t>people</w:t>
      </w:r>
      <w:r w:rsidR="00A23407" w:rsidRPr="003664A3">
        <w:rPr>
          <w:sz w:val="24"/>
          <w:szCs w:val="24"/>
        </w:rPr>
        <w:t xml:space="preserve"> within Western </w:t>
      </w:r>
      <w:r w:rsidR="003D63F0" w:rsidRPr="003664A3">
        <w:rPr>
          <w:sz w:val="24"/>
          <w:szCs w:val="24"/>
        </w:rPr>
        <w:t xml:space="preserve">policy </w:t>
      </w:r>
      <w:r w:rsidR="00A23407" w:rsidRPr="003664A3">
        <w:rPr>
          <w:sz w:val="24"/>
          <w:szCs w:val="24"/>
        </w:rPr>
        <w:t xml:space="preserve">systems </w:t>
      </w:r>
      <w:r w:rsidR="00280109">
        <w:rPr>
          <w:sz w:val="24"/>
          <w:szCs w:val="24"/>
        </w:rPr>
        <w:t>are</w:t>
      </w:r>
      <w:r w:rsidR="00A23407" w:rsidRPr="003664A3">
        <w:rPr>
          <w:sz w:val="24"/>
          <w:szCs w:val="24"/>
        </w:rPr>
        <w:t xml:space="preserve"> giv</w:t>
      </w:r>
      <w:r w:rsidR="00280109">
        <w:rPr>
          <w:sz w:val="24"/>
          <w:szCs w:val="24"/>
        </w:rPr>
        <w:t>ing</w:t>
      </w:r>
      <w:r w:rsidR="00A23407" w:rsidRPr="003664A3">
        <w:rPr>
          <w:sz w:val="24"/>
          <w:szCs w:val="24"/>
        </w:rPr>
        <w:t xml:space="preserve"> way to </w:t>
      </w:r>
      <w:r w:rsidR="00AB66D2" w:rsidRPr="003664A3">
        <w:rPr>
          <w:sz w:val="24"/>
          <w:szCs w:val="24"/>
        </w:rPr>
        <w:t xml:space="preserve">neoliberal </w:t>
      </w:r>
      <w:r w:rsidR="00A23407" w:rsidRPr="003664A3">
        <w:rPr>
          <w:sz w:val="24"/>
          <w:szCs w:val="24"/>
        </w:rPr>
        <w:t xml:space="preserve">governance </w:t>
      </w:r>
      <w:r w:rsidR="00A467E1">
        <w:rPr>
          <w:sz w:val="24"/>
          <w:szCs w:val="24"/>
        </w:rPr>
        <w:t>practices</w:t>
      </w:r>
      <w:r w:rsidR="00B832E8">
        <w:rPr>
          <w:sz w:val="24"/>
          <w:szCs w:val="24"/>
        </w:rPr>
        <w:t xml:space="preserve"> </w:t>
      </w:r>
      <w:r w:rsidR="00A23407" w:rsidRPr="003664A3">
        <w:rPr>
          <w:sz w:val="24"/>
          <w:szCs w:val="24"/>
        </w:rPr>
        <w:t>which pr</w:t>
      </w:r>
      <w:r>
        <w:rPr>
          <w:sz w:val="24"/>
          <w:szCs w:val="24"/>
        </w:rPr>
        <w:t>ioritise</w:t>
      </w:r>
      <w:r w:rsidR="00A23407" w:rsidRPr="003664A3">
        <w:rPr>
          <w:sz w:val="24"/>
          <w:szCs w:val="24"/>
        </w:rPr>
        <w:t xml:space="preserve"> </w:t>
      </w:r>
      <w:r w:rsidR="00354098">
        <w:rPr>
          <w:sz w:val="24"/>
          <w:szCs w:val="24"/>
        </w:rPr>
        <w:t xml:space="preserve">welfare </w:t>
      </w:r>
      <w:r w:rsidR="0008353A">
        <w:rPr>
          <w:sz w:val="24"/>
          <w:szCs w:val="24"/>
        </w:rPr>
        <w:t>activation</w:t>
      </w:r>
      <w:r w:rsidR="001B485E">
        <w:rPr>
          <w:sz w:val="24"/>
          <w:szCs w:val="24"/>
        </w:rPr>
        <w:t>,</w:t>
      </w:r>
      <w:r w:rsidR="00863951">
        <w:rPr>
          <w:sz w:val="24"/>
          <w:szCs w:val="24"/>
        </w:rPr>
        <w:t xml:space="preserve"> </w:t>
      </w:r>
      <w:r w:rsidR="003D63F0" w:rsidRPr="003664A3">
        <w:rPr>
          <w:sz w:val="24"/>
          <w:szCs w:val="24"/>
        </w:rPr>
        <w:t xml:space="preserve">tightening </w:t>
      </w:r>
      <w:r w:rsidR="00A23407" w:rsidRPr="003664A3">
        <w:rPr>
          <w:sz w:val="24"/>
          <w:szCs w:val="24"/>
        </w:rPr>
        <w:t>eligibility</w:t>
      </w:r>
      <w:r>
        <w:rPr>
          <w:sz w:val="24"/>
          <w:szCs w:val="24"/>
        </w:rPr>
        <w:t xml:space="preserve"> for suppor</w:t>
      </w:r>
      <w:r w:rsidR="00D1036E">
        <w:rPr>
          <w:sz w:val="24"/>
          <w:szCs w:val="24"/>
        </w:rPr>
        <w:t>t</w:t>
      </w:r>
      <w:r w:rsidR="00AC2B2C">
        <w:rPr>
          <w:sz w:val="24"/>
          <w:szCs w:val="24"/>
        </w:rPr>
        <w:t xml:space="preserve"> and</w:t>
      </w:r>
      <w:r w:rsidR="00AC2B2C" w:rsidRPr="00AC2B2C">
        <w:rPr>
          <w:sz w:val="24"/>
          <w:szCs w:val="24"/>
        </w:rPr>
        <w:t xml:space="preserve"> </w:t>
      </w:r>
      <w:r w:rsidR="00AC2B2C">
        <w:rPr>
          <w:sz w:val="24"/>
          <w:szCs w:val="24"/>
        </w:rPr>
        <w:t>self-care</w:t>
      </w:r>
      <w:r w:rsidR="00A23407" w:rsidRPr="003664A3">
        <w:rPr>
          <w:sz w:val="24"/>
          <w:szCs w:val="24"/>
        </w:rPr>
        <w:t xml:space="preserve">. Initially </w:t>
      </w:r>
      <w:r w:rsidR="00D332F3">
        <w:rPr>
          <w:sz w:val="24"/>
          <w:szCs w:val="24"/>
        </w:rPr>
        <w:t>expanding</w:t>
      </w:r>
      <w:r w:rsidR="00A23407" w:rsidRPr="003664A3">
        <w:rPr>
          <w:sz w:val="24"/>
          <w:szCs w:val="24"/>
        </w:rPr>
        <w:t xml:space="preserve"> in the Global </w:t>
      </w:r>
      <w:r>
        <w:rPr>
          <w:sz w:val="24"/>
          <w:szCs w:val="24"/>
        </w:rPr>
        <w:t>S</w:t>
      </w:r>
      <w:r w:rsidR="00A23407" w:rsidRPr="003664A3">
        <w:rPr>
          <w:sz w:val="24"/>
          <w:szCs w:val="24"/>
        </w:rPr>
        <w:t xml:space="preserve">outh </w:t>
      </w:r>
      <w:r>
        <w:rPr>
          <w:sz w:val="24"/>
          <w:szCs w:val="24"/>
        </w:rPr>
        <w:t>throughout</w:t>
      </w:r>
      <w:r w:rsidR="00A23407" w:rsidRPr="003664A3">
        <w:rPr>
          <w:sz w:val="24"/>
          <w:szCs w:val="24"/>
        </w:rPr>
        <w:t xml:space="preserve"> the 1990s in countries </w:t>
      </w:r>
      <w:r w:rsidR="003D63F0" w:rsidRPr="003664A3">
        <w:rPr>
          <w:sz w:val="24"/>
          <w:szCs w:val="24"/>
        </w:rPr>
        <w:t xml:space="preserve">such as Mexico and Brazil </w:t>
      </w:r>
      <w:r w:rsidR="00B6708E" w:rsidRPr="003664A3">
        <w:rPr>
          <w:sz w:val="24"/>
          <w:szCs w:val="24"/>
        </w:rPr>
        <w:t>as part of ‘human development’ projects</w:t>
      </w:r>
      <w:r w:rsidR="00A23407" w:rsidRPr="003664A3">
        <w:rPr>
          <w:sz w:val="24"/>
          <w:szCs w:val="24"/>
        </w:rPr>
        <w:t xml:space="preserve">, </w:t>
      </w:r>
      <w:r w:rsidR="001B485E">
        <w:rPr>
          <w:sz w:val="24"/>
          <w:szCs w:val="24"/>
        </w:rPr>
        <w:t>a ‘conditionality turn’</w:t>
      </w:r>
      <w:r w:rsidR="00A23407" w:rsidRPr="003664A3">
        <w:rPr>
          <w:sz w:val="24"/>
          <w:szCs w:val="24"/>
        </w:rPr>
        <w:t xml:space="preserve"> is </w:t>
      </w:r>
      <w:r w:rsidR="00280109">
        <w:rPr>
          <w:sz w:val="24"/>
          <w:szCs w:val="24"/>
        </w:rPr>
        <w:t xml:space="preserve">increasingly </w:t>
      </w:r>
      <w:r>
        <w:rPr>
          <w:sz w:val="24"/>
          <w:szCs w:val="24"/>
        </w:rPr>
        <w:t>established as</w:t>
      </w:r>
      <w:r w:rsidR="00354098">
        <w:rPr>
          <w:sz w:val="24"/>
          <w:szCs w:val="24"/>
        </w:rPr>
        <w:t xml:space="preserve"> welfare</w:t>
      </w:r>
      <w:r>
        <w:rPr>
          <w:sz w:val="24"/>
          <w:szCs w:val="24"/>
        </w:rPr>
        <w:t xml:space="preserve"> governance norm</w:t>
      </w:r>
      <w:r w:rsidR="00A23407" w:rsidRPr="003664A3">
        <w:rPr>
          <w:sz w:val="24"/>
          <w:szCs w:val="24"/>
        </w:rPr>
        <w:t xml:space="preserve"> in </w:t>
      </w:r>
      <w:r w:rsidR="00E20C19" w:rsidRPr="003664A3">
        <w:rPr>
          <w:sz w:val="24"/>
          <w:szCs w:val="24"/>
        </w:rPr>
        <w:t xml:space="preserve">North America, </w:t>
      </w:r>
      <w:r w:rsidR="00A23407" w:rsidRPr="003664A3">
        <w:rPr>
          <w:sz w:val="24"/>
          <w:szCs w:val="24"/>
        </w:rPr>
        <w:t xml:space="preserve">Europe, </w:t>
      </w:r>
      <w:r w:rsidR="00E20C19" w:rsidRPr="003664A3">
        <w:rPr>
          <w:sz w:val="24"/>
          <w:szCs w:val="24"/>
        </w:rPr>
        <w:t>Australia and New Zealand</w:t>
      </w:r>
      <w:r w:rsidR="00AB66D2" w:rsidRPr="003664A3">
        <w:rPr>
          <w:sz w:val="24"/>
          <w:szCs w:val="24"/>
        </w:rPr>
        <w:t xml:space="preserve"> </w:t>
      </w:r>
      <w:r w:rsidR="00AB66D2" w:rsidRPr="003664A3">
        <w:rPr>
          <w:rFonts w:cstheme="minorHAnsi"/>
          <w:sz w:val="24"/>
          <w:szCs w:val="24"/>
        </w:rPr>
        <w:t>(</w:t>
      </w:r>
      <w:r w:rsidR="00B75AFC" w:rsidRPr="003664A3">
        <w:rPr>
          <w:rFonts w:cstheme="minorHAnsi"/>
          <w:sz w:val="24"/>
          <w:szCs w:val="24"/>
        </w:rPr>
        <w:t>Watts and Fitzpatrick, 2018</w:t>
      </w:r>
      <w:r w:rsidR="008217A6">
        <w:rPr>
          <w:rFonts w:cstheme="minorHAnsi"/>
          <w:sz w:val="24"/>
          <w:szCs w:val="24"/>
        </w:rPr>
        <w:t>; Dwyer, 2019</w:t>
      </w:r>
      <w:r w:rsidR="00AB66D2" w:rsidRPr="003664A3">
        <w:rPr>
          <w:rFonts w:cstheme="minorHAnsi"/>
          <w:sz w:val="24"/>
          <w:szCs w:val="24"/>
        </w:rPr>
        <w:t>)</w:t>
      </w:r>
      <w:r w:rsidR="00E20C19" w:rsidRPr="003664A3">
        <w:rPr>
          <w:sz w:val="24"/>
          <w:szCs w:val="24"/>
        </w:rPr>
        <w:t xml:space="preserve">. </w:t>
      </w:r>
    </w:p>
    <w:p w14:paraId="75781293" w14:textId="6150A9FB" w:rsidR="00BA6100" w:rsidRPr="003664A3" w:rsidRDefault="00BA6100" w:rsidP="0070073A">
      <w:pPr>
        <w:spacing w:line="480" w:lineRule="auto"/>
        <w:rPr>
          <w:sz w:val="24"/>
          <w:szCs w:val="24"/>
        </w:rPr>
      </w:pPr>
      <w:r w:rsidRPr="003664A3">
        <w:rPr>
          <w:sz w:val="24"/>
          <w:szCs w:val="24"/>
        </w:rPr>
        <w:t>As an ideologically driven set of governance rationales, conditionality-based welfare integrate</w:t>
      </w:r>
      <w:r w:rsidR="008744E5" w:rsidRPr="003664A3">
        <w:rPr>
          <w:sz w:val="24"/>
          <w:szCs w:val="24"/>
        </w:rPr>
        <w:t>s</w:t>
      </w:r>
      <w:r w:rsidRPr="003664A3">
        <w:rPr>
          <w:sz w:val="24"/>
          <w:szCs w:val="24"/>
        </w:rPr>
        <w:t xml:space="preserve"> revised </w:t>
      </w:r>
      <w:r w:rsidR="00FF276D">
        <w:rPr>
          <w:sz w:val="24"/>
          <w:szCs w:val="24"/>
        </w:rPr>
        <w:t>hegemonic</w:t>
      </w:r>
      <w:r w:rsidR="00B00BE9" w:rsidRPr="003664A3">
        <w:rPr>
          <w:sz w:val="24"/>
          <w:szCs w:val="24"/>
        </w:rPr>
        <w:t xml:space="preserve"> </w:t>
      </w:r>
      <w:r w:rsidRPr="003664A3">
        <w:rPr>
          <w:sz w:val="24"/>
          <w:szCs w:val="24"/>
        </w:rPr>
        <w:t>assumptions about welfare recipients</w:t>
      </w:r>
      <w:r w:rsidR="00354098">
        <w:rPr>
          <w:sz w:val="24"/>
          <w:szCs w:val="24"/>
        </w:rPr>
        <w:t xml:space="preserve">, </w:t>
      </w:r>
      <w:r w:rsidRPr="003664A3">
        <w:rPr>
          <w:sz w:val="24"/>
          <w:szCs w:val="24"/>
        </w:rPr>
        <w:t>includ</w:t>
      </w:r>
      <w:r w:rsidR="00354098">
        <w:rPr>
          <w:sz w:val="24"/>
          <w:szCs w:val="24"/>
        </w:rPr>
        <w:t>ing</w:t>
      </w:r>
      <w:r w:rsidR="00A467E1">
        <w:rPr>
          <w:sz w:val="24"/>
          <w:szCs w:val="24"/>
        </w:rPr>
        <w:t xml:space="preserve"> the </w:t>
      </w:r>
      <w:r w:rsidR="00362589">
        <w:rPr>
          <w:sz w:val="24"/>
          <w:szCs w:val="24"/>
        </w:rPr>
        <w:t>elevated</w:t>
      </w:r>
      <w:r w:rsidR="00A467E1">
        <w:rPr>
          <w:sz w:val="24"/>
          <w:szCs w:val="24"/>
        </w:rPr>
        <w:t xml:space="preserve"> use</w:t>
      </w:r>
      <w:r w:rsidRPr="003664A3">
        <w:rPr>
          <w:sz w:val="24"/>
          <w:szCs w:val="24"/>
        </w:rPr>
        <w:t xml:space="preserve"> </w:t>
      </w:r>
      <w:r w:rsidR="00A467E1">
        <w:rPr>
          <w:sz w:val="24"/>
          <w:szCs w:val="24"/>
        </w:rPr>
        <w:t xml:space="preserve">of </w:t>
      </w:r>
      <w:r w:rsidRPr="003664A3">
        <w:rPr>
          <w:sz w:val="24"/>
          <w:szCs w:val="24"/>
        </w:rPr>
        <w:t xml:space="preserve">paternalistic incentives </w:t>
      </w:r>
      <w:r w:rsidR="008744E5" w:rsidRPr="003664A3">
        <w:rPr>
          <w:sz w:val="24"/>
          <w:szCs w:val="24"/>
        </w:rPr>
        <w:t>intended</w:t>
      </w:r>
      <w:r w:rsidRPr="003664A3">
        <w:rPr>
          <w:sz w:val="24"/>
          <w:szCs w:val="24"/>
        </w:rPr>
        <w:t xml:space="preserve"> </w:t>
      </w:r>
      <w:r w:rsidR="00B75AFC" w:rsidRPr="003664A3">
        <w:rPr>
          <w:sz w:val="24"/>
          <w:szCs w:val="24"/>
        </w:rPr>
        <w:t>to</w:t>
      </w:r>
      <w:r w:rsidR="008744E5" w:rsidRPr="003664A3">
        <w:rPr>
          <w:sz w:val="24"/>
          <w:szCs w:val="24"/>
        </w:rPr>
        <w:t xml:space="preserve"> </w:t>
      </w:r>
      <w:r w:rsidRPr="003664A3">
        <w:rPr>
          <w:sz w:val="24"/>
          <w:szCs w:val="24"/>
        </w:rPr>
        <w:t>reduc</w:t>
      </w:r>
      <w:r w:rsidR="00B75AFC" w:rsidRPr="003664A3">
        <w:rPr>
          <w:sz w:val="24"/>
          <w:szCs w:val="24"/>
        </w:rPr>
        <w:t>e</w:t>
      </w:r>
      <w:r w:rsidRPr="003664A3">
        <w:rPr>
          <w:sz w:val="24"/>
          <w:szCs w:val="24"/>
        </w:rPr>
        <w:t xml:space="preserve"> </w:t>
      </w:r>
      <w:r w:rsidR="008744E5" w:rsidRPr="003664A3">
        <w:rPr>
          <w:sz w:val="24"/>
          <w:szCs w:val="24"/>
        </w:rPr>
        <w:t xml:space="preserve">over </w:t>
      </w:r>
      <w:r w:rsidRPr="003664A3">
        <w:rPr>
          <w:sz w:val="24"/>
          <w:szCs w:val="24"/>
        </w:rPr>
        <w:t xml:space="preserve">dependence for citizen-subjects. </w:t>
      </w:r>
      <w:r w:rsidR="00B75AFC" w:rsidRPr="003664A3">
        <w:rPr>
          <w:sz w:val="24"/>
          <w:szCs w:val="24"/>
        </w:rPr>
        <w:t>In the United Kingdom</w:t>
      </w:r>
      <w:r w:rsidR="00354098">
        <w:rPr>
          <w:sz w:val="24"/>
          <w:szCs w:val="24"/>
        </w:rPr>
        <w:t xml:space="preserve"> (UK), </w:t>
      </w:r>
      <w:r w:rsidR="003135BE" w:rsidRPr="003664A3">
        <w:rPr>
          <w:sz w:val="24"/>
          <w:szCs w:val="24"/>
        </w:rPr>
        <w:t xml:space="preserve">enacted </w:t>
      </w:r>
      <w:r w:rsidR="008744E5" w:rsidRPr="003664A3">
        <w:rPr>
          <w:sz w:val="24"/>
          <w:szCs w:val="24"/>
        </w:rPr>
        <w:t xml:space="preserve">conditionality </w:t>
      </w:r>
      <w:r w:rsidR="003135BE" w:rsidRPr="003664A3">
        <w:rPr>
          <w:sz w:val="24"/>
          <w:szCs w:val="24"/>
        </w:rPr>
        <w:t xml:space="preserve">through legislation such as the </w:t>
      </w:r>
      <w:r w:rsidR="003135BE" w:rsidRPr="001B485E">
        <w:rPr>
          <w:rFonts w:cstheme="minorHAnsi"/>
          <w:i/>
          <w:sz w:val="24"/>
          <w:szCs w:val="24"/>
        </w:rPr>
        <w:t>Welfare Reform Act</w:t>
      </w:r>
      <w:r w:rsidR="001B485E">
        <w:rPr>
          <w:rFonts w:cstheme="minorHAnsi"/>
          <w:sz w:val="24"/>
          <w:szCs w:val="24"/>
        </w:rPr>
        <w:t>,</w:t>
      </w:r>
      <w:r w:rsidR="003135BE" w:rsidRPr="003664A3">
        <w:rPr>
          <w:rFonts w:cstheme="minorHAnsi"/>
          <w:sz w:val="24"/>
          <w:szCs w:val="24"/>
        </w:rPr>
        <w:t xml:space="preserve"> 2012, </w:t>
      </w:r>
      <w:r w:rsidR="00A06D17">
        <w:rPr>
          <w:rFonts w:cstheme="minorHAnsi"/>
          <w:sz w:val="24"/>
          <w:szCs w:val="24"/>
        </w:rPr>
        <w:t xml:space="preserve">and the adoption </w:t>
      </w:r>
      <w:r w:rsidR="00A06D17" w:rsidRPr="003664A3">
        <w:rPr>
          <w:sz w:val="24"/>
          <w:szCs w:val="24"/>
        </w:rPr>
        <w:t xml:space="preserve">of policies in the UK such as </w:t>
      </w:r>
      <w:r w:rsidR="00A06D17" w:rsidRPr="00E6507E">
        <w:rPr>
          <w:i/>
          <w:sz w:val="24"/>
          <w:szCs w:val="24"/>
        </w:rPr>
        <w:t>Universal Credit</w:t>
      </w:r>
      <w:r w:rsidR="00A06D17" w:rsidRPr="003664A3">
        <w:rPr>
          <w:sz w:val="24"/>
          <w:szCs w:val="24"/>
        </w:rPr>
        <w:t xml:space="preserve"> and </w:t>
      </w:r>
      <w:r w:rsidR="00A06D17" w:rsidRPr="00E6507E">
        <w:rPr>
          <w:i/>
          <w:sz w:val="24"/>
          <w:szCs w:val="24"/>
        </w:rPr>
        <w:t>Workfare</w:t>
      </w:r>
      <w:r w:rsidR="00A06D17" w:rsidRPr="00E6507E">
        <w:rPr>
          <w:rFonts w:cstheme="minorHAnsi"/>
          <w:i/>
          <w:sz w:val="24"/>
          <w:szCs w:val="24"/>
        </w:rPr>
        <w:t xml:space="preserve"> </w:t>
      </w:r>
      <w:r w:rsidR="00A06D17" w:rsidRPr="003664A3">
        <w:rPr>
          <w:rFonts w:cstheme="minorHAnsi"/>
          <w:sz w:val="24"/>
          <w:szCs w:val="24"/>
        </w:rPr>
        <w:t>(Dean, 2012; Fletcher and Flint, 2018)</w:t>
      </w:r>
      <w:r w:rsidR="00A06D17">
        <w:rPr>
          <w:rFonts w:cstheme="minorHAnsi"/>
          <w:sz w:val="24"/>
          <w:szCs w:val="24"/>
        </w:rPr>
        <w:t xml:space="preserve">, </w:t>
      </w:r>
      <w:r w:rsidR="008744E5" w:rsidRPr="003664A3">
        <w:rPr>
          <w:sz w:val="24"/>
          <w:szCs w:val="24"/>
        </w:rPr>
        <w:t>ha</w:t>
      </w:r>
      <w:r w:rsidR="003135BE" w:rsidRPr="003664A3">
        <w:rPr>
          <w:sz w:val="24"/>
          <w:szCs w:val="24"/>
        </w:rPr>
        <w:t xml:space="preserve">ve </w:t>
      </w:r>
      <w:r w:rsidR="00354098">
        <w:rPr>
          <w:sz w:val="24"/>
          <w:szCs w:val="24"/>
        </w:rPr>
        <w:t xml:space="preserve">nevertheless </w:t>
      </w:r>
      <w:r w:rsidR="003135BE" w:rsidRPr="003664A3">
        <w:rPr>
          <w:sz w:val="24"/>
          <w:szCs w:val="24"/>
        </w:rPr>
        <w:t>provoked</w:t>
      </w:r>
      <w:r w:rsidR="008744E5" w:rsidRPr="003664A3">
        <w:rPr>
          <w:sz w:val="24"/>
          <w:szCs w:val="24"/>
        </w:rPr>
        <w:t xml:space="preserve"> ethical questions about the</w:t>
      </w:r>
      <w:r w:rsidR="006F597F">
        <w:rPr>
          <w:sz w:val="24"/>
          <w:szCs w:val="24"/>
        </w:rPr>
        <w:t xml:space="preserve"> </w:t>
      </w:r>
      <w:r w:rsidR="008744E5" w:rsidRPr="003664A3">
        <w:rPr>
          <w:sz w:val="24"/>
          <w:szCs w:val="24"/>
        </w:rPr>
        <w:t xml:space="preserve">rise of </w:t>
      </w:r>
      <w:r w:rsidR="00B75AFC" w:rsidRPr="003664A3">
        <w:rPr>
          <w:sz w:val="24"/>
          <w:szCs w:val="24"/>
        </w:rPr>
        <w:t xml:space="preserve">poverty, </w:t>
      </w:r>
      <w:r w:rsidR="008744E5" w:rsidRPr="003664A3">
        <w:rPr>
          <w:sz w:val="24"/>
          <w:szCs w:val="24"/>
        </w:rPr>
        <w:t>foodbanks</w:t>
      </w:r>
      <w:r w:rsidR="00AC2B2C">
        <w:rPr>
          <w:sz w:val="24"/>
          <w:szCs w:val="24"/>
        </w:rPr>
        <w:t>,</w:t>
      </w:r>
      <w:r w:rsidR="008744E5" w:rsidRPr="003664A3">
        <w:rPr>
          <w:sz w:val="24"/>
          <w:szCs w:val="24"/>
        </w:rPr>
        <w:t xml:space="preserve"> and destitution among marginalised </w:t>
      </w:r>
      <w:r w:rsidR="00894AA9">
        <w:rPr>
          <w:sz w:val="24"/>
          <w:szCs w:val="24"/>
        </w:rPr>
        <w:lastRenderedPageBreak/>
        <w:t>populations</w:t>
      </w:r>
      <w:r w:rsidR="00A06D17">
        <w:rPr>
          <w:sz w:val="24"/>
          <w:szCs w:val="24"/>
        </w:rPr>
        <w:t>.</w:t>
      </w:r>
      <w:r w:rsidR="008744E5" w:rsidRPr="003664A3">
        <w:rPr>
          <w:sz w:val="24"/>
          <w:szCs w:val="24"/>
        </w:rPr>
        <w:t xml:space="preserve"> </w:t>
      </w:r>
      <w:r w:rsidR="00A06D17">
        <w:rPr>
          <w:sz w:val="24"/>
          <w:szCs w:val="24"/>
        </w:rPr>
        <w:t>B</w:t>
      </w:r>
      <w:r w:rsidR="00A467E1">
        <w:rPr>
          <w:sz w:val="24"/>
          <w:szCs w:val="24"/>
        </w:rPr>
        <w:t xml:space="preserve">roader </w:t>
      </w:r>
      <w:r w:rsidR="005E040B">
        <w:rPr>
          <w:sz w:val="24"/>
          <w:szCs w:val="24"/>
        </w:rPr>
        <w:t xml:space="preserve">ethical </w:t>
      </w:r>
      <w:r w:rsidR="00A06D17">
        <w:rPr>
          <w:sz w:val="24"/>
          <w:szCs w:val="24"/>
        </w:rPr>
        <w:t>questions</w:t>
      </w:r>
      <w:r w:rsidR="008744E5" w:rsidRPr="003664A3">
        <w:rPr>
          <w:sz w:val="24"/>
          <w:szCs w:val="24"/>
        </w:rPr>
        <w:t xml:space="preserve"> </w:t>
      </w:r>
      <w:r w:rsidR="005E040B">
        <w:rPr>
          <w:sz w:val="24"/>
          <w:szCs w:val="24"/>
        </w:rPr>
        <w:t xml:space="preserve">also </w:t>
      </w:r>
      <w:r w:rsidR="00A06D17">
        <w:rPr>
          <w:sz w:val="24"/>
          <w:szCs w:val="24"/>
        </w:rPr>
        <w:t xml:space="preserve">remain </w:t>
      </w:r>
      <w:r w:rsidR="008744E5" w:rsidRPr="003664A3">
        <w:rPr>
          <w:sz w:val="24"/>
          <w:szCs w:val="24"/>
        </w:rPr>
        <w:t xml:space="preserve">that </w:t>
      </w:r>
      <w:r w:rsidR="00B00BE9" w:rsidRPr="003664A3">
        <w:rPr>
          <w:sz w:val="24"/>
          <w:szCs w:val="24"/>
        </w:rPr>
        <w:t xml:space="preserve">apparent </w:t>
      </w:r>
      <w:r w:rsidR="008744E5" w:rsidRPr="003664A3">
        <w:rPr>
          <w:sz w:val="24"/>
          <w:szCs w:val="24"/>
        </w:rPr>
        <w:t xml:space="preserve">vulnerable groups including </w:t>
      </w:r>
      <w:r w:rsidR="00D67DDA">
        <w:rPr>
          <w:sz w:val="24"/>
          <w:szCs w:val="24"/>
        </w:rPr>
        <w:t xml:space="preserve">many </w:t>
      </w:r>
      <w:r w:rsidR="008744E5" w:rsidRPr="003664A3">
        <w:rPr>
          <w:sz w:val="24"/>
          <w:szCs w:val="24"/>
        </w:rPr>
        <w:t xml:space="preserve">older adults are </w:t>
      </w:r>
      <w:r w:rsidR="003135BE" w:rsidRPr="003664A3">
        <w:rPr>
          <w:sz w:val="24"/>
          <w:szCs w:val="24"/>
        </w:rPr>
        <w:t xml:space="preserve">increasingly </w:t>
      </w:r>
      <w:r w:rsidR="008744E5" w:rsidRPr="003664A3">
        <w:rPr>
          <w:sz w:val="24"/>
          <w:szCs w:val="24"/>
        </w:rPr>
        <w:t>being abandoned</w:t>
      </w:r>
      <w:r w:rsidR="00B00BE9" w:rsidRPr="003664A3">
        <w:rPr>
          <w:sz w:val="24"/>
          <w:szCs w:val="24"/>
        </w:rPr>
        <w:t xml:space="preserve"> by </w:t>
      </w:r>
      <w:r w:rsidR="00503C98">
        <w:rPr>
          <w:sz w:val="24"/>
          <w:szCs w:val="24"/>
        </w:rPr>
        <w:t>a</w:t>
      </w:r>
      <w:r w:rsidR="00B00BE9" w:rsidRPr="003664A3">
        <w:rPr>
          <w:sz w:val="24"/>
          <w:szCs w:val="24"/>
        </w:rPr>
        <w:t xml:space="preserve"> </w:t>
      </w:r>
      <w:r w:rsidR="006F597F">
        <w:rPr>
          <w:sz w:val="24"/>
          <w:szCs w:val="24"/>
        </w:rPr>
        <w:t xml:space="preserve">market-led </w:t>
      </w:r>
      <w:r w:rsidR="005E040B">
        <w:rPr>
          <w:sz w:val="24"/>
          <w:szCs w:val="24"/>
        </w:rPr>
        <w:t xml:space="preserve">‘post-welfare’ </w:t>
      </w:r>
      <w:r w:rsidR="00B00BE9" w:rsidRPr="003664A3">
        <w:rPr>
          <w:sz w:val="24"/>
          <w:szCs w:val="24"/>
        </w:rPr>
        <w:t>state</w:t>
      </w:r>
      <w:r w:rsidR="008744E5" w:rsidRPr="003664A3">
        <w:rPr>
          <w:sz w:val="24"/>
          <w:szCs w:val="24"/>
        </w:rPr>
        <w:t xml:space="preserve"> (Jones and Novak, 1999; </w:t>
      </w:r>
      <w:r w:rsidR="00472F52" w:rsidRPr="003664A3">
        <w:rPr>
          <w:rFonts w:cstheme="minorHAnsi"/>
          <w:color w:val="000000"/>
          <w:sz w:val="24"/>
          <w:szCs w:val="24"/>
        </w:rPr>
        <w:t>Dean</w:t>
      </w:r>
      <w:r w:rsidR="00472F52">
        <w:rPr>
          <w:rFonts w:cstheme="minorHAnsi"/>
          <w:color w:val="000000"/>
          <w:sz w:val="24"/>
          <w:szCs w:val="24"/>
        </w:rPr>
        <w:t xml:space="preserve">, </w:t>
      </w:r>
      <w:r w:rsidR="00472F52" w:rsidRPr="003664A3">
        <w:rPr>
          <w:rFonts w:cstheme="minorHAnsi"/>
          <w:color w:val="000000"/>
          <w:sz w:val="24"/>
          <w:szCs w:val="24"/>
        </w:rPr>
        <w:t>2010</w:t>
      </w:r>
      <w:r w:rsidR="00472F52">
        <w:rPr>
          <w:rFonts w:cstheme="minorHAnsi"/>
          <w:color w:val="000000"/>
          <w:sz w:val="24"/>
          <w:szCs w:val="24"/>
        </w:rPr>
        <w:t xml:space="preserve">; </w:t>
      </w:r>
      <w:r w:rsidR="00B00BE9" w:rsidRPr="003664A3">
        <w:rPr>
          <w:rFonts w:cstheme="minorHAnsi"/>
          <w:sz w:val="24"/>
          <w:szCs w:val="24"/>
        </w:rPr>
        <w:t>Fletcher and Flint, 2018</w:t>
      </w:r>
      <w:r w:rsidR="00B00BE9" w:rsidRPr="003664A3">
        <w:rPr>
          <w:sz w:val="24"/>
          <w:szCs w:val="24"/>
        </w:rPr>
        <w:t>).</w:t>
      </w:r>
    </w:p>
    <w:p w14:paraId="1A6D7609" w14:textId="3AE25AEC" w:rsidR="006F597F" w:rsidRDefault="004F7EBA" w:rsidP="0070073A">
      <w:pPr>
        <w:spacing w:line="480" w:lineRule="auto"/>
        <w:rPr>
          <w:sz w:val="24"/>
          <w:szCs w:val="24"/>
        </w:rPr>
      </w:pPr>
      <w:r>
        <w:rPr>
          <w:sz w:val="24"/>
          <w:szCs w:val="24"/>
        </w:rPr>
        <w:t>Despite recognition that retirement now represents a</w:t>
      </w:r>
      <w:r w:rsidR="00374151">
        <w:rPr>
          <w:sz w:val="24"/>
          <w:szCs w:val="24"/>
        </w:rPr>
        <w:t>n</w:t>
      </w:r>
      <w:r>
        <w:rPr>
          <w:sz w:val="24"/>
          <w:szCs w:val="24"/>
        </w:rPr>
        <w:t xml:space="preserve"> ambiguous</w:t>
      </w:r>
      <w:r w:rsidR="00374151">
        <w:rPr>
          <w:sz w:val="24"/>
          <w:szCs w:val="24"/>
        </w:rPr>
        <w:t>, diverse</w:t>
      </w:r>
      <w:r>
        <w:rPr>
          <w:sz w:val="24"/>
          <w:szCs w:val="24"/>
        </w:rPr>
        <w:t xml:space="preserve"> </w:t>
      </w:r>
      <w:r w:rsidR="00503C98">
        <w:rPr>
          <w:sz w:val="24"/>
          <w:szCs w:val="24"/>
        </w:rPr>
        <w:t xml:space="preserve">yet </w:t>
      </w:r>
      <w:r w:rsidR="00E6507E">
        <w:rPr>
          <w:sz w:val="24"/>
          <w:szCs w:val="24"/>
        </w:rPr>
        <w:t xml:space="preserve">increasingly </w:t>
      </w:r>
      <w:r>
        <w:rPr>
          <w:sz w:val="24"/>
          <w:szCs w:val="24"/>
        </w:rPr>
        <w:t>individual</w:t>
      </w:r>
      <w:r w:rsidR="00374151">
        <w:rPr>
          <w:sz w:val="24"/>
          <w:szCs w:val="24"/>
        </w:rPr>
        <w:t>ised</w:t>
      </w:r>
      <w:r w:rsidR="00E6507E">
        <w:rPr>
          <w:sz w:val="24"/>
          <w:szCs w:val="24"/>
        </w:rPr>
        <w:t xml:space="preserve"> and consumer-driven</w:t>
      </w:r>
      <w:r>
        <w:rPr>
          <w:sz w:val="24"/>
          <w:szCs w:val="24"/>
        </w:rPr>
        <w:t xml:space="preserve"> process, </w:t>
      </w:r>
      <w:r w:rsidR="00894AA9">
        <w:rPr>
          <w:sz w:val="24"/>
          <w:szCs w:val="24"/>
        </w:rPr>
        <w:t xml:space="preserve">explicit </w:t>
      </w:r>
      <w:r>
        <w:rPr>
          <w:sz w:val="24"/>
          <w:szCs w:val="24"/>
        </w:rPr>
        <w:t>d</w:t>
      </w:r>
      <w:r w:rsidR="00B00BE9" w:rsidRPr="003664A3">
        <w:rPr>
          <w:sz w:val="24"/>
          <w:szCs w:val="24"/>
        </w:rPr>
        <w:t xml:space="preserve">ebates and research around welfare conditionality have tended to </w:t>
      </w:r>
      <w:r w:rsidR="00944A12">
        <w:rPr>
          <w:sz w:val="24"/>
          <w:szCs w:val="24"/>
        </w:rPr>
        <w:t>limit discussion of</w:t>
      </w:r>
      <w:r>
        <w:rPr>
          <w:sz w:val="24"/>
          <w:szCs w:val="24"/>
        </w:rPr>
        <w:t xml:space="preserve"> the experiences of</w:t>
      </w:r>
      <w:r w:rsidR="00B00BE9" w:rsidRPr="003664A3">
        <w:rPr>
          <w:sz w:val="24"/>
          <w:szCs w:val="24"/>
        </w:rPr>
        <w:t xml:space="preserve"> older </w:t>
      </w:r>
      <w:r w:rsidR="005A4946">
        <w:rPr>
          <w:sz w:val="24"/>
          <w:szCs w:val="24"/>
        </w:rPr>
        <w:t>people</w:t>
      </w:r>
      <w:r w:rsidR="0008353A" w:rsidRPr="0008353A">
        <w:rPr>
          <w:sz w:val="24"/>
          <w:szCs w:val="24"/>
        </w:rPr>
        <w:t xml:space="preserve"> </w:t>
      </w:r>
      <w:r w:rsidR="0008353A">
        <w:rPr>
          <w:sz w:val="24"/>
          <w:szCs w:val="24"/>
        </w:rPr>
        <w:t>(Milton et al, 2015)</w:t>
      </w:r>
      <w:r w:rsidR="00B00BE9" w:rsidRPr="003664A3">
        <w:rPr>
          <w:sz w:val="24"/>
          <w:szCs w:val="24"/>
        </w:rPr>
        <w:t>.</w:t>
      </w:r>
      <w:r w:rsidR="00D1036E">
        <w:rPr>
          <w:sz w:val="24"/>
          <w:szCs w:val="24"/>
        </w:rPr>
        <w:t xml:space="preserve"> </w:t>
      </w:r>
      <w:r w:rsidR="005E040B">
        <w:rPr>
          <w:sz w:val="24"/>
          <w:szCs w:val="24"/>
        </w:rPr>
        <w:t>Nevertheless, i</w:t>
      </w:r>
      <w:r w:rsidR="00D1036E">
        <w:rPr>
          <w:sz w:val="24"/>
          <w:szCs w:val="24"/>
        </w:rPr>
        <w:t>n the context of factors such as welfare austerity</w:t>
      </w:r>
      <w:r w:rsidR="00863951">
        <w:rPr>
          <w:sz w:val="24"/>
          <w:szCs w:val="24"/>
        </w:rPr>
        <w:t xml:space="preserve">, the </w:t>
      </w:r>
      <w:r w:rsidR="00647901">
        <w:rPr>
          <w:sz w:val="24"/>
          <w:szCs w:val="24"/>
        </w:rPr>
        <w:t>covid</w:t>
      </w:r>
      <w:r w:rsidR="00863951">
        <w:rPr>
          <w:sz w:val="24"/>
          <w:szCs w:val="24"/>
        </w:rPr>
        <w:t>-19 pandemic</w:t>
      </w:r>
      <w:r w:rsidR="00D1036E">
        <w:rPr>
          <w:sz w:val="24"/>
          <w:szCs w:val="24"/>
        </w:rPr>
        <w:t xml:space="preserve"> and an ageing population</w:t>
      </w:r>
      <w:r w:rsidR="0008353A">
        <w:rPr>
          <w:sz w:val="24"/>
          <w:szCs w:val="24"/>
        </w:rPr>
        <w:t xml:space="preserve">, </w:t>
      </w:r>
      <w:r w:rsidR="00D1036E">
        <w:rPr>
          <w:sz w:val="24"/>
          <w:szCs w:val="24"/>
        </w:rPr>
        <w:t xml:space="preserve">older people </w:t>
      </w:r>
      <w:r w:rsidR="001B485E">
        <w:rPr>
          <w:sz w:val="24"/>
          <w:szCs w:val="24"/>
        </w:rPr>
        <w:t>continue to be</w:t>
      </w:r>
      <w:r w:rsidR="00D1036E">
        <w:rPr>
          <w:sz w:val="24"/>
          <w:szCs w:val="24"/>
        </w:rPr>
        <w:t xml:space="preserve"> targeted for attention </w:t>
      </w:r>
      <w:r w:rsidR="00944A12">
        <w:rPr>
          <w:sz w:val="24"/>
          <w:szCs w:val="24"/>
        </w:rPr>
        <w:t>in relation to</w:t>
      </w:r>
      <w:r w:rsidR="00D1036E">
        <w:rPr>
          <w:sz w:val="24"/>
          <w:szCs w:val="24"/>
        </w:rPr>
        <w:t xml:space="preserve"> the relative financial cost to the state and taxpayers of </w:t>
      </w:r>
      <w:r w:rsidR="00944A12">
        <w:rPr>
          <w:sz w:val="24"/>
          <w:szCs w:val="24"/>
        </w:rPr>
        <w:t>any</w:t>
      </w:r>
      <w:r w:rsidR="00D1036E">
        <w:rPr>
          <w:sz w:val="24"/>
          <w:szCs w:val="24"/>
        </w:rPr>
        <w:t xml:space="preserve"> support</w:t>
      </w:r>
      <w:r w:rsidR="00354098">
        <w:rPr>
          <w:sz w:val="24"/>
          <w:szCs w:val="24"/>
        </w:rPr>
        <w:t>. These dynamics stand</w:t>
      </w:r>
      <w:r w:rsidR="0008353A">
        <w:rPr>
          <w:sz w:val="24"/>
          <w:szCs w:val="24"/>
        </w:rPr>
        <w:t xml:space="preserve"> along</w:t>
      </w:r>
      <w:r w:rsidR="00354098">
        <w:rPr>
          <w:sz w:val="24"/>
          <w:szCs w:val="24"/>
        </w:rPr>
        <w:t>side</w:t>
      </w:r>
      <w:r w:rsidR="0008353A">
        <w:rPr>
          <w:sz w:val="24"/>
          <w:szCs w:val="24"/>
        </w:rPr>
        <w:t xml:space="preserve"> </w:t>
      </w:r>
      <w:r w:rsidR="001B485E">
        <w:rPr>
          <w:sz w:val="24"/>
          <w:szCs w:val="24"/>
        </w:rPr>
        <w:t xml:space="preserve">apparent </w:t>
      </w:r>
      <w:r w:rsidR="0008353A">
        <w:rPr>
          <w:sz w:val="24"/>
          <w:szCs w:val="24"/>
        </w:rPr>
        <w:t xml:space="preserve">generational resentment </w:t>
      </w:r>
      <w:r w:rsidR="006F597F">
        <w:rPr>
          <w:sz w:val="24"/>
          <w:szCs w:val="24"/>
        </w:rPr>
        <w:t xml:space="preserve">and stigma </w:t>
      </w:r>
      <w:r w:rsidR="0008353A">
        <w:rPr>
          <w:sz w:val="24"/>
          <w:szCs w:val="24"/>
        </w:rPr>
        <w:t xml:space="preserve">about </w:t>
      </w:r>
      <w:r w:rsidR="00BB6216">
        <w:rPr>
          <w:sz w:val="24"/>
          <w:szCs w:val="24"/>
        </w:rPr>
        <w:t>p</w:t>
      </w:r>
      <w:r w:rsidR="006F597F">
        <w:rPr>
          <w:sz w:val="24"/>
          <w:szCs w:val="24"/>
        </w:rPr>
        <w:t>revious</w:t>
      </w:r>
      <w:r w:rsidR="00BB6216">
        <w:rPr>
          <w:sz w:val="24"/>
          <w:szCs w:val="24"/>
        </w:rPr>
        <w:t xml:space="preserve"> </w:t>
      </w:r>
      <w:r w:rsidR="0008353A">
        <w:rPr>
          <w:sz w:val="24"/>
          <w:szCs w:val="24"/>
        </w:rPr>
        <w:t>welfare access</w:t>
      </w:r>
      <w:r w:rsidR="00354098">
        <w:rPr>
          <w:sz w:val="24"/>
          <w:szCs w:val="24"/>
        </w:rPr>
        <w:t xml:space="preserve"> and economic opportunities</w:t>
      </w:r>
      <w:r w:rsidR="0008353A">
        <w:rPr>
          <w:sz w:val="24"/>
          <w:szCs w:val="24"/>
        </w:rPr>
        <w:t>,</w:t>
      </w:r>
      <w:r w:rsidR="00354098">
        <w:rPr>
          <w:sz w:val="24"/>
          <w:szCs w:val="24"/>
        </w:rPr>
        <w:t xml:space="preserve"> which </w:t>
      </w:r>
      <w:r w:rsidR="00E6507E">
        <w:rPr>
          <w:sz w:val="24"/>
          <w:szCs w:val="24"/>
        </w:rPr>
        <w:t xml:space="preserve">for some commentators </w:t>
      </w:r>
      <w:r w:rsidR="00A80118">
        <w:rPr>
          <w:sz w:val="24"/>
          <w:szCs w:val="24"/>
        </w:rPr>
        <w:t>represent part of a ‘new ageism’</w:t>
      </w:r>
      <w:r w:rsidR="00D1036E">
        <w:rPr>
          <w:sz w:val="24"/>
          <w:szCs w:val="24"/>
        </w:rPr>
        <w:t xml:space="preserve"> (Walker, 2012; Milton et al, 2015</w:t>
      </w:r>
      <w:r w:rsidR="00863951">
        <w:rPr>
          <w:sz w:val="24"/>
          <w:szCs w:val="24"/>
        </w:rPr>
        <w:t>; Anand et al, 2021</w:t>
      </w:r>
      <w:r w:rsidR="00D1036E">
        <w:rPr>
          <w:sz w:val="24"/>
          <w:szCs w:val="24"/>
        </w:rPr>
        <w:t xml:space="preserve">). </w:t>
      </w:r>
      <w:r w:rsidR="00B20E2F" w:rsidRPr="003664A3">
        <w:rPr>
          <w:sz w:val="24"/>
          <w:szCs w:val="24"/>
        </w:rPr>
        <w:t xml:space="preserve"> </w:t>
      </w:r>
    </w:p>
    <w:p w14:paraId="08F6225A" w14:textId="5792515B" w:rsidR="008F6657" w:rsidRDefault="0097588C" w:rsidP="0070073A">
      <w:pPr>
        <w:spacing w:line="480" w:lineRule="auto"/>
        <w:rPr>
          <w:b/>
          <w:sz w:val="24"/>
          <w:szCs w:val="24"/>
        </w:rPr>
      </w:pPr>
      <w:bookmarkStart w:id="0" w:name="_Hlk81827466"/>
      <w:bookmarkStart w:id="1" w:name="_Hlk81730324"/>
      <w:r w:rsidRPr="00D67DDA">
        <w:rPr>
          <w:sz w:val="24"/>
          <w:szCs w:val="24"/>
        </w:rPr>
        <w:t>T</w:t>
      </w:r>
      <w:r w:rsidR="001E033E" w:rsidRPr="00D67DDA">
        <w:rPr>
          <w:sz w:val="24"/>
          <w:szCs w:val="24"/>
        </w:rPr>
        <w:t>h</w:t>
      </w:r>
      <w:r w:rsidRPr="00D67DDA">
        <w:rPr>
          <w:sz w:val="24"/>
          <w:szCs w:val="24"/>
        </w:rPr>
        <w:t>is</w:t>
      </w:r>
      <w:r w:rsidR="001E033E" w:rsidRPr="00D67DDA">
        <w:rPr>
          <w:sz w:val="24"/>
          <w:szCs w:val="24"/>
        </w:rPr>
        <w:t xml:space="preserve"> artic</w:t>
      </w:r>
      <w:r w:rsidR="001B4C02" w:rsidRPr="00D67DDA">
        <w:rPr>
          <w:sz w:val="24"/>
          <w:szCs w:val="24"/>
        </w:rPr>
        <w:t xml:space="preserve">le </w:t>
      </w:r>
      <w:r w:rsidR="001E033E" w:rsidRPr="00D67DDA">
        <w:rPr>
          <w:sz w:val="24"/>
          <w:szCs w:val="24"/>
        </w:rPr>
        <w:t>look</w:t>
      </w:r>
      <w:r w:rsidR="001B4C02" w:rsidRPr="00D67DDA">
        <w:rPr>
          <w:sz w:val="24"/>
          <w:szCs w:val="24"/>
        </w:rPr>
        <w:t>s</w:t>
      </w:r>
      <w:r w:rsidR="001E033E" w:rsidRPr="00D67DDA">
        <w:rPr>
          <w:sz w:val="24"/>
          <w:szCs w:val="24"/>
        </w:rPr>
        <w:t xml:space="preserve"> at the relationship between conditionality policies</w:t>
      </w:r>
      <w:r w:rsidRPr="00D67DDA">
        <w:rPr>
          <w:sz w:val="24"/>
          <w:szCs w:val="24"/>
        </w:rPr>
        <w:t xml:space="preserve">, </w:t>
      </w:r>
      <w:r w:rsidR="006F597F" w:rsidRPr="00D67DDA">
        <w:rPr>
          <w:sz w:val="24"/>
          <w:szCs w:val="24"/>
        </w:rPr>
        <w:t xml:space="preserve">ethics and </w:t>
      </w:r>
      <w:r w:rsidR="009B4C11" w:rsidRPr="00D67DDA">
        <w:rPr>
          <w:sz w:val="24"/>
          <w:szCs w:val="24"/>
        </w:rPr>
        <w:t>the care of older people:</w:t>
      </w:r>
      <w:r w:rsidR="001E033E" w:rsidRPr="00D67DDA">
        <w:rPr>
          <w:sz w:val="24"/>
          <w:szCs w:val="24"/>
        </w:rPr>
        <w:t xml:space="preserve"> including the </w:t>
      </w:r>
      <w:r w:rsidR="0089176D" w:rsidRPr="00D67DDA">
        <w:rPr>
          <w:sz w:val="24"/>
          <w:szCs w:val="24"/>
        </w:rPr>
        <w:t xml:space="preserve">gradual </w:t>
      </w:r>
      <w:r w:rsidR="001E033E" w:rsidRPr="00D67DDA">
        <w:rPr>
          <w:sz w:val="24"/>
          <w:szCs w:val="24"/>
        </w:rPr>
        <w:t xml:space="preserve">move from </w:t>
      </w:r>
      <w:r w:rsidR="0089176D" w:rsidRPr="00D67DDA">
        <w:rPr>
          <w:sz w:val="24"/>
          <w:szCs w:val="24"/>
        </w:rPr>
        <w:t xml:space="preserve">favouring </w:t>
      </w:r>
      <w:r w:rsidR="001E033E" w:rsidRPr="00D67DDA">
        <w:rPr>
          <w:sz w:val="24"/>
          <w:szCs w:val="24"/>
        </w:rPr>
        <w:t>rights</w:t>
      </w:r>
      <w:r w:rsidRPr="00D67DDA">
        <w:rPr>
          <w:sz w:val="24"/>
          <w:szCs w:val="24"/>
        </w:rPr>
        <w:t xml:space="preserve"> for older </w:t>
      </w:r>
      <w:r w:rsidR="00647901">
        <w:rPr>
          <w:sz w:val="24"/>
          <w:szCs w:val="24"/>
        </w:rPr>
        <w:t>people</w:t>
      </w:r>
      <w:r w:rsidR="001E033E" w:rsidRPr="00D67DDA">
        <w:rPr>
          <w:sz w:val="24"/>
          <w:szCs w:val="24"/>
        </w:rPr>
        <w:t xml:space="preserve"> to</w:t>
      </w:r>
      <w:r w:rsidR="0089176D" w:rsidRPr="00D67DDA">
        <w:rPr>
          <w:sz w:val="24"/>
          <w:szCs w:val="24"/>
        </w:rPr>
        <w:t>wards</w:t>
      </w:r>
      <w:r w:rsidR="001E033E" w:rsidRPr="00D67DDA">
        <w:rPr>
          <w:sz w:val="24"/>
          <w:szCs w:val="24"/>
        </w:rPr>
        <w:t xml:space="preserve"> </w:t>
      </w:r>
      <w:r w:rsidR="006F597F" w:rsidRPr="00D67DDA">
        <w:rPr>
          <w:sz w:val="24"/>
          <w:szCs w:val="24"/>
        </w:rPr>
        <w:t xml:space="preserve">much </w:t>
      </w:r>
      <w:r w:rsidR="00944A12" w:rsidRPr="00D67DDA">
        <w:rPr>
          <w:sz w:val="24"/>
          <w:szCs w:val="24"/>
        </w:rPr>
        <w:t xml:space="preserve">stronger </w:t>
      </w:r>
      <w:r w:rsidR="005E040B" w:rsidRPr="00D67DDA">
        <w:rPr>
          <w:sz w:val="24"/>
          <w:szCs w:val="24"/>
        </w:rPr>
        <w:t>precedence</w:t>
      </w:r>
      <w:r w:rsidR="00944A12" w:rsidRPr="00D67DDA">
        <w:rPr>
          <w:sz w:val="24"/>
          <w:szCs w:val="24"/>
        </w:rPr>
        <w:t xml:space="preserve"> given </w:t>
      </w:r>
      <w:r w:rsidR="00A80118" w:rsidRPr="00D67DDA">
        <w:rPr>
          <w:sz w:val="24"/>
          <w:szCs w:val="24"/>
        </w:rPr>
        <w:t>to</w:t>
      </w:r>
      <w:r w:rsidR="00926DAB" w:rsidRPr="00D67DDA">
        <w:rPr>
          <w:sz w:val="24"/>
          <w:szCs w:val="24"/>
        </w:rPr>
        <w:t xml:space="preserve"> </w:t>
      </w:r>
      <w:r w:rsidR="00C3353C" w:rsidRPr="00D67DDA">
        <w:rPr>
          <w:sz w:val="24"/>
          <w:szCs w:val="24"/>
        </w:rPr>
        <w:t>autonom</w:t>
      </w:r>
      <w:r w:rsidR="00AC2B2C">
        <w:rPr>
          <w:sz w:val="24"/>
          <w:szCs w:val="24"/>
        </w:rPr>
        <w:t>ous well-being</w:t>
      </w:r>
      <w:r w:rsidR="00C3353C" w:rsidRPr="00D67DDA">
        <w:rPr>
          <w:sz w:val="24"/>
          <w:szCs w:val="24"/>
        </w:rPr>
        <w:t xml:space="preserve">, </w:t>
      </w:r>
      <w:r w:rsidR="00AC2B2C">
        <w:rPr>
          <w:sz w:val="24"/>
          <w:szCs w:val="24"/>
        </w:rPr>
        <w:t xml:space="preserve">rational choices within </w:t>
      </w:r>
      <w:r w:rsidR="00006F19" w:rsidRPr="00D67DDA">
        <w:rPr>
          <w:sz w:val="24"/>
          <w:szCs w:val="24"/>
        </w:rPr>
        <w:t>markets</w:t>
      </w:r>
      <w:r w:rsidR="00503C98" w:rsidRPr="00D67DDA">
        <w:rPr>
          <w:sz w:val="24"/>
          <w:szCs w:val="24"/>
        </w:rPr>
        <w:t>,</w:t>
      </w:r>
      <w:r w:rsidR="00006F19" w:rsidRPr="00D67DDA">
        <w:rPr>
          <w:sz w:val="24"/>
          <w:szCs w:val="24"/>
        </w:rPr>
        <w:t xml:space="preserve"> </w:t>
      </w:r>
      <w:r w:rsidR="00AC4295" w:rsidRPr="00D67DDA">
        <w:rPr>
          <w:sz w:val="24"/>
          <w:szCs w:val="24"/>
        </w:rPr>
        <w:t>risk</w:t>
      </w:r>
      <w:r w:rsidR="00503C98" w:rsidRPr="00D67DDA">
        <w:rPr>
          <w:sz w:val="24"/>
          <w:szCs w:val="24"/>
        </w:rPr>
        <w:t xml:space="preserve"> </w:t>
      </w:r>
      <w:r w:rsidR="00D67DDA">
        <w:rPr>
          <w:sz w:val="24"/>
          <w:szCs w:val="24"/>
        </w:rPr>
        <w:t xml:space="preserve">aversion </w:t>
      </w:r>
      <w:r w:rsidR="00503C98" w:rsidRPr="00D67DDA">
        <w:rPr>
          <w:sz w:val="24"/>
          <w:szCs w:val="24"/>
        </w:rPr>
        <w:t xml:space="preserve">and the </w:t>
      </w:r>
      <w:r w:rsidR="00AC2B2C">
        <w:rPr>
          <w:sz w:val="24"/>
          <w:szCs w:val="24"/>
        </w:rPr>
        <w:t xml:space="preserve">co-produced </w:t>
      </w:r>
      <w:r w:rsidR="00503C98" w:rsidRPr="00D67DDA">
        <w:rPr>
          <w:sz w:val="24"/>
          <w:szCs w:val="24"/>
        </w:rPr>
        <w:t>pathologizing of needs</w:t>
      </w:r>
      <w:r w:rsidR="00A80118" w:rsidRPr="00D67DDA">
        <w:rPr>
          <w:sz w:val="24"/>
          <w:szCs w:val="24"/>
        </w:rPr>
        <w:t xml:space="preserve"> in determining policy and welfare professional praxis</w:t>
      </w:r>
      <w:r w:rsidR="00F12080" w:rsidRPr="00D67DDA">
        <w:rPr>
          <w:sz w:val="24"/>
          <w:szCs w:val="24"/>
        </w:rPr>
        <w:t>.</w:t>
      </w:r>
      <w:bookmarkEnd w:id="0"/>
      <w:r w:rsidR="00F12080" w:rsidRPr="00D67DDA">
        <w:rPr>
          <w:sz w:val="24"/>
          <w:szCs w:val="24"/>
        </w:rPr>
        <w:t xml:space="preserve"> </w:t>
      </w:r>
      <w:bookmarkEnd w:id="1"/>
      <w:r w:rsidR="00F63E76" w:rsidRPr="00AC2B2C">
        <w:rPr>
          <w:sz w:val="24"/>
          <w:szCs w:val="24"/>
        </w:rPr>
        <w:t>The research</w:t>
      </w:r>
      <w:r w:rsidR="007A10E0" w:rsidRPr="00AC2B2C">
        <w:rPr>
          <w:sz w:val="24"/>
          <w:szCs w:val="24"/>
        </w:rPr>
        <w:t xml:space="preserve"> </w:t>
      </w:r>
      <w:r w:rsidR="0093154C" w:rsidRPr="00AC2B2C">
        <w:rPr>
          <w:sz w:val="24"/>
          <w:szCs w:val="24"/>
        </w:rPr>
        <w:t>dr</w:t>
      </w:r>
      <w:r w:rsidR="00234D44" w:rsidRPr="00AC2B2C">
        <w:rPr>
          <w:sz w:val="24"/>
          <w:szCs w:val="24"/>
        </w:rPr>
        <w:t>ew</w:t>
      </w:r>
      <w:r w:rsidR="007A10E0" w:rsidRPr="00AC2B2C">
        <w:rPr>
          <w:sz w:val="24"/>
          <w:szCs w:val="24"/>
        </w:rPr>
        <w:t xml:space="preserve"> from</w:t>
      </w:r>
      <w:r w:rsidR="0093154C" w:rsidRPr="00AC2B2C">
        <w:rPr>
          <w:sz w:val="24"/>
          <w:szCs w:val="24"/>
        </w:rPr>
        <w:t xml:space="preserve"> </w:t>
      </w:r>
      <w:r w:rsidR="007A10E0" w:rsidRPr="00AC2B2C">
        <w:rPr>
          <w:sz w:val="24"/>
          <w:szCs w:val="24"/>
        </w:rPr>
        <w:t>evidence where possible to support any claims as part of the analysis. It also sought to</w:t>
      </w:r>
      <w:r w:rsidR="00F63E76" w:rsidRPr="00AC2B2C">
        <w:rPr>
          <w:sz w:val="24"/>
          <w:szCs w:val="24"/>
        </w:rPr>
        <w:t xml:space="preserve"> </w:t>
      </w:r>
      <w:r w:rsidR="00974E3E" w:rsidRPr="00AC2B2C">
        <w:rPr>
          <w:sz w:val="24"/>
          <w:szCs w:val="24"/>
        </w:rPr>
        <w:t>identif</w:t>
      </w:r>
      <w:r w:rsidR="007A10E0" w:rsidRPr="00AC2B2C">
        <w:rPr>
          <w:sz w:val="24"/>
          <w:szCs w:val="24"/>
        </w:rPr>
        <w:t>y</w:t>
      </w:r>
      <w:r w:rsidR="00974E3E" w:rsidRPr="00AC2B2C">
        <w:rPr>
          <w:sz w:val="24"/>
          <w:szCs w:val="24"/>
        </w:rPr>
        <w:t xml:space="preserve"> and </w:t>
      </w:r>
      <w:r w:rsidR="00F63E76" w:rsidRPr="00AC2B2C">
        <w:rPr>
          <w:sz w:val="24"/>
          <w:szCs w:val="24"/>
        </w:rPr>
        <w:t>apprais</w:t>
      </w:r>
      <w:r w:rsidR="00974E3E" w:rsidRPr="00AC2B2C">
        <w:rPr>
          <w:sz w:val="24"/>
          <w:szCs w:val="24"/>
        </w:rPr>
        <w:t>e</w:t>
      </w:r>
      <w:r w:rsidR="0093154C" w:rsidRPr="00AC2B2C">
        <w:rPr>
          <w:sz w:val="24"/>
          <w:szCs w:val="24"/>
        </w:rPr>
        <w:t xml:space="preserve"> </w:t>
      </w:r>
      <w:r w:rsidR="00234D44" w:rsidRPr="00AC2B2C">
        <w:rPr>
          <w:sz w:val="24"/>
          <w:szCs w:val="24"/>
        </w:rPr>
        <w:t>relevant</w:t>
      </w:r>
      <w:r w:rsidR="00F63E76" w:rsidRPr="00AC2B2C">
        <w:rPr>
          <w:sz w:val="24"/>
          <w:szCs w:val="24"/>
        </w:rPr>
        <w:t xml:space="preserve"> articles</w:t>
      </w:r>
      <w:r w:rsidR="00974E3E" w:rsidRPr="00AC2B2C">
        <w:rPr>
          <w:sz w:val="24"/>
          <w:szCs w:val="24"/>
        </w:rPr>
        <w:t xml:space="preserve"> and </w:t>
      </w:r>
      <w:r w:rsidR="00983830" w:rsidRPr="00AC2B2C">
        <w:rPr>
          <w:sz w:val="24"/>
          <w:szCs w:val="24"/>
        </w:rPr>
        <w:t xml:space="preserve">associate </w:t>
      </w:r>
      <w:r w:rsidR="00974E3E" w:rsidRPr="00AC2B2C">
        <w:rPr>
          <w:sz w:val="24"/>
          <w:szCs w:val="24"/>
        </w:rPr>
        <w:t>source material</w:t>
      </w:r>
      <w:r w:rsidR="00F63E76" w:rsidRPr="00AC2B2C">
        <w:rPr>
          <w:sz w:val="24"/>
          <w:szCs w:val="24"/>
        </w:rPr>
        <w:t xml:space="preserve"> according to their relevance</w:t>
      </w:r>
      <w:r w:rsidR="00F52E14" w:rsidRPr="00AC2B2C">
        <w:rPr>
          <w:sz w:val="24"/>
          <w:szCs w:val="24"/>
        </w:rPr>
        <w:t xml:space="preserve"> to the study</w:t>
      </w:r>
      <w:r w:rsidR="00BB43A4" w:rsidRPr="00AC2B2C">
        <w:rPr>
          <w:sz w:val="24"/>
          <w:szCs w:val="24"/>
        </w:rPr>
        <w:t>. A</w:t>
      </w:r>
      <w:r w:rsidR="00472F52" w:rsidRPr="00AC2B2C">
        <w:rPr>
          <w:sz w:val="24"/>
          <w:szCs w:val="24"/>
        </w:rPr>
        <w:t>s well as</w:t>
      </w:r>
      <w:r w:rsidR="00BB43A4" w:rsidRPr="00AC2B2C">
        <w:rPr>
          <w:sz w:val="24"/>
          <w:szCs w:val="24"/>
        </w:rPr>
        <w:t xml:space="preserve"> judge</w:t>
      </w:r>
      <w:r w:rsidR="00472F52" w:rsidRPr="00AC2B2C">
        <w:rPr>
          <w:sz w:val="24"/>
          <w:szCs w:val="24"/>
        </w:rPr>
        <w:t xml:space="preserve"> the </w:t>
      </w:r>
      <w:r w:rsidR="00F63E76" w:rsidRPr="00AC2B2C">
        <w:rPr>
          <w:sz w:val="24"/>
          <w:szCs w:val="24"/>
        </w:rPr>
        <w:t>rigour</w:t>
      </w:r>
      <w:r w:rsidR="009B4C11" w:rsidRPr="00AC2B2C">
        <w:rPr>
          <w:sz w:val="24"/>
          <w:szCs w:val="24"/>
        </w:rPr>
        <w:t xml:space="preserve"> </w:t>
      </w:r>
      <w:r w:rsidR="00974E3E" w:rsidRPr="00AC2B2C">
        <w:rPr>
          <w:sz w:val="24"/>
          <w:szCs w:val="24"/>
        </w:rPr>
        <w:t xml:space="preserve">and </w:t>
      </w:r>
      <w:r w:rsidR="009B4C11" w:rsidRPr="00AC2B2C">
        <w:rPr>
          <w:sz w:val="24"/>
          <w:szCs w:val="24"/>
        </w:rPr>
        <w:t xml:space="preserve">reliability of </w:t>
      </w:r>
      <w:r w:rsidR="00472F52" w:rsidRPr="00AC2B2C">
        <w:rPr>
          <w:sz w:val="24"/>
          <w:szCs w:val="24"/>
        </w:rPr>
        <w:t xml:space="preserve">any </w:t>
      </w:r>
      <w:r w:rsidR="00974E3E" w:rsidRPr="00AC2B2C">
        <w:rPr>
          <w:sz w:val="24"/>
          <w:szCs w:val="24"/>
        </w:rPr>
        <w:t xml:space="preserve">significant </w:t>
      </w:r>
      <w:r w:rsidR="009B4C11" w:rsidRPr="00AC2B2C">
        <w:rPr>
          <w:sz w:val="24"/>
          <w:szCs w:val="24"/>
        </w:rPr>
        <w:t>empirical studies</w:t>
      </w:r>
      <w:r w:rsidR="00BB43A4" w:rsidRPr="00AC2B2C">
        <w:rPr>
          <w:sz w:val="24"/>
          <w:szCs w:val="24"/>
        </w:rPr>
        <w:t>,</w:t>
      </w:r>
      <w:r w:rsidR="00F63E76" w:rsidRPr="00AC2B2C">
        <w:rPr>
          <w:sz w:val="24"/>
          <w:szCs w:val="24"/>
        </w:rPr>
        <w:t xml:space="preserve"> </w:t>
      </w:r>
      <w:r w:rsidR="00BB43A4" w:rsidRPr="00AC2B2C">
        <w:rPr>
          <w:sz w:val="24"/>
          <w:szCs w:val="24"/>
        </w:rPr>
        <w:t>w</w:t>
      </w:r>
      <w:r w:rsidR="008F6657" w:rsidRPr="00AC2B2C">
        <w:rPr>
          <w:sz w:val="24"/>
          <w:szCs w:val="24"/>
        </w:rPr>
        <w:t>here possible priority was</w:t>
      </w:r>
      <w:r w:rsidR="0093154C" w:rsidRPr="00AC2B2C">
        <w:rPr>
          <w:sz w:val="24"/>
          <w:szCs w:val="24"/>
        </w:rPr>
        <w:t xml:space="preserve"> </w:t>
      </w:r>
      <w:r w:rsidR="008F6657" w:rsidRPr="00AC2B2C">
        <w:rPr>
          <w:sz w:val="24"/>
          <w:szCs w:val="24"/>
        </w:rPr>
        <w:t xml:space="preserve">given to peer-reviewed journals or grey literature, and </w:t>
      </w:r>
      <w:r w:rsidR="007A10E0" w:rsidRPr="00AC2B2C">
        <w:rPr>
          <w:sz w:val="24"/>
          <w:szCs w:val="24"/>
        </w:rPr>
        <w:t xml:space="preserve">such </w:t>
      </w:r>
      <w:r w:rsidR="008F6657" w:rsidRPr="00AC2B2C">
        <w:rPr>
          <w:sz w:val="24"/>
          <w:szCs w:val="24"/>
        </w:rPr>
        <w:t>studies were judged according to factors such as their sampl</w:t>
      </w:r>
      <w:r w:rsidR="00BB43A4" w:rsidRPr="00AC2B2C">
        <w:rPr>
          <w:sz w:val="24"/>
          <w:szCs w:val="24"/>
        </w:rPr>
        <w:t xml:space="preserve">e </w:t>
      </w:r>
      <w:r w:rsidR="008F6657" w:rsidRPr="00AC2B2C">
        <w:rPr>
          <w:sz w:val="24"/>
          <w:szCs w:val="24"/>
        </w:rPr>
        <w:t>size, trustworthiness, value and relevance</w:t>
      </w:r>
      <w:r w:rsidR="00B06B0A" w:rsidRPr="00AC2B2C">
        <w:rPr>
          <w:sz w:val="24"/>
          <w:szCs w:val="24"/>
        </w:rPr>
        <w:t xml:space="preserve">.  </w:t>
      </w:r>
      <w:r w:rsidR="00BB43A4" w:rsidRPr="00AC2B2C">
        <w:rPr>
          <w:sz w:val="24"/>
          <w:szCs w:val="24"/>
        </w:rPr>
        <w:t>Most</w:t>
      </w:r>
      <w:r w:rsidR="00B06B0A" w:rsidRPr="00AC2B2C">
        <w:rPr>
          <w:sz w:val="24"/>
          <w:szCs w:val="24"/>
        </w:rPr>
        <w:t xml:space="preserve"> studies were qualitative and small-scale. </w:t>
      </w:r>
    </w:p>
    <w:p w14:paraId="7455E8A5" w14:textId="697DE814" w:rsidR="00B00BE9" w:rsidRPr="003664A3" w:rsidRDefault="00155747" w:rsidP="0070073A">
      <w:pPr>
        <w:spacing w:line="480" w:lineRule="auto"/>
        <w:rPr>
          <w:sz w:val="24"/>
          <w:szCs w:val="24"/>
        </w:rPr>
      </w:pPr>
      <w:r w:rsidRPr="00AC2B2C">
        <w:rPr>
          <w:sz w:val="24"/>
          <w:szCs w:val="24"/>
        </w:rPr>
        <w:lastRenderedPageBreak/>
        <w:t xml:space="preserve">Three key </w:t>
      </w:r>
      <w:r w:rsidR="00647901" w:rsidRPr="00AC2B2C">
        <w:rPr>
          <w:sz w:val="24"/>
          <w:szCs w:val="24"/>
        </w:rPr>
        <w:t xml:space="preserve">UK-based </w:t>
      </w:r>
      <w:r w:rsidR="00497D0F" w:rsidRPr="00AC2B2C">
        <w:rPr>
          <w:sz w:val="24"/>
          <w:szCs w:val="24"/>
        </w:rPr>
        <w:t xml:space="preserve">conditionality-centred </w:t>
      </w:r>
      <w:r w:rsidRPr="00AC2B2C">
        <w:rPr>
          <w:sz w:val="24"/>
          <w:szCs w:val="24"/>
        </w:rPr>
        <w:t xml:space="preserve">policy initiatives within adult social care </w:t>
      </w:r>
      <w:r w:rsidR="002C5191" w:rsidRPr="00AC2B2C">
        <w:rPr>
          <w:sz w:val="24"/>
          <w:szCs w:val="24"/>
        </w:rPr>
        <w:t>were i</w:t>
      </w:r>
      <w:r w:rsidR="00884437" w:rsidRPr="00AC2B2C">
        <w:rPr>
          <w:sz w:val="24"/>
          <w:szCs w:val="24"/>
        </w:rPr>
        <w:t>solated due to their</w:t>
      </w:r>
      <w:r w:rsidR="002C5191" w:rsidRPr="00AC2B2C">
        <w:rPr>
          <w:sz w:val="24"/>
          <w:szCs w:val="24"/>
        </w:rPr>
        <w:t xml:space="preserve"> relevance and each </w:t>
      </w:r>
      <w:r w:rsidRPr="00AC2B2C">
        <w:rPr>
          <w:sz w:val="24"/>
          <w:szCs w:val="24"/>
        </w:rPr>
        <w:t xml:space="preserve">are </w:t>
      </w:r>
      <w:r w:rsidR="002367F8" w:rsidRPr="00AC2B2C">
        <w:rPr>
          <w:sz w:val="24"/>
          <w:szCs w:val="24"/>
        </w:rPr>
        <w:t>discussed</w:t>
      </w:r>
      <w:r w:rsidR="00647901" w:rsidRPr="00AC2B2C">
        <w:rPr>
          <w:sz w:val="24"/>
          <w:szCs w:val="24"/>
        </w:rPr>
        <w:t>. This is</w:t>
      </w:r>
      <w:r w:rsidRPr="00AC2B2C">
        <w:rPr>
          <w:sz w:val="24"/>
          <w:szCs w:val="24"/>
        </w:rPr>
        <w:t xml:space="preserve"> </w:t>
      </w:r>
      <w:r w:rsidR="002367F8" w:rsidRPr="00AC2B2C">
        <w:rPr>
          <w:sz w:val="24"/>
          <w:szCs w:val="24"/>
        </w:rPr>
        <w:t xml:space="preserve">principally </w:t>
      </w:r>
      <w:r w:rsidR="00497D0F" w:rsidRPr="00AC2B2C">
        <w:rPr>
          <w:sz w:val="24"/>
          <w:szCs w:val="24"/>
        </w:rPr>
        <w:t>as</w:t>
      </w:r>
      <w:r w:rsidRPr="00AC2B2C">
        <w:rPr>
          <w:sz w:val="24"/>
          <w:szCs w:val="24"/>
        </w:rPr>
        <w:t xml:space="preserve"> they embody the ethical </w:t>
      </w:r>
      <w:r w:rsidR="00497D0F" w:rsidRPr="00AC2B2C">
        <w:rPr>
          <w:sz w:val="24"/>
          <w:szCs w:val="24"/>
        </w:rPr>
        <w:t>challenges</w:t>
      </w:r>
      <w:r w:rsidRPr="00AC2B2C">
        <w:rPr>
          <w:sz w:val="24"/>
          <w:szCs w:val="24"/>
        </w:rPr>
        <w:t xml:space="preserve"> apparent </w:t>
      </w:r>
      <w:r w:rsidR="00497D0F" w:rsidRPr="00AC2B2C">
        <w:rPr>
          <w:sz w:val="24"/>
          <w:szCs w:val="24"/>
        </w:rPr>
        <w:t>with</w:t>
      </w:r>
      <w:r w:rsidRPr="00AC2B2C">
        <w:rPr>
          <w:sz w:val="24"/>
          <w:szCs w:val="24"/>
        </w:rPr>
        <w:t xml:space="preserve"> </w:t>
      </w:r>
      <w:r w:rsidR="00497D0F" w:rsidRPr="00AC2B2C">
        <w:rPr>
          <w:sz w:val="24"/>
          <w:szCs w:val="24"/>
        </w:rPr>
        <w:t xml:space="preserve">ever </w:t>
      </w:r>
      <w:r w:rsidRPr="00AC2B2C">
        <w:rPr>
          <w:sz w:val="24"/>
          <w:szCs w:val="24"/>
        </w:rPr>
        <w:t>increas</w:t>
      </w:r>
      <w:r w:rsidR="00497D0F" w:rsidRPr="00AC2B2C">
        <w:rPr>
          <w:sz w:val="24"/>
          <w:szCs w:val="24"/>
        </w:rPr>
        <w:t>ing</w:t>
      </w:r>
      <w:r w:rsidRPr="00AC2B2C">
        <w:rPr>
          <w:sz w:val="24"/>
          <w:szCs w:val="24"/>
        </w:rPr>
        <w:t xml:space="preserve"> expectations placed upon many older adults </w:t>
      </w:r>
      <w:r w:rsidR="00497D0F" w:rsidRPr="00AC2B2C">
        <w:rPr>
          <w:sz w:val="24"/>
          <w:szCs w:val="24"/>
        </w:rPr>
        <w:t xml:space="preserve">in tandem with </w:t>
      </w:r>
      <w:r w:rsidRPr="00AC2B2C">
        <w:rPr>
          <w:sz w:val="24"/>
          <w:szCs w:val="24"/>
        </w:rPr>
        <w:t xml:space="preserve">the </w:t>
      </w:r>
      <w:r w:rsidR="00497D0F" w:rsidRPr="00AC2B2C">
        <w:rPr>
          <w:sz w:val="24"/>
          <w:szCs w:val="24"/>
        </w:rPr>
        <w:t xml:space="preserve">further </w:t>
      </w:r>
      <w:r w:rsidRPr="00AC2B2C">
        <w:rPr>
          <w:sz w:val="24"/>
          <w:szCs w:val="24"/>
        </w:rPr>
        <w:t>privileging of markets</w:t>
      </w:r>
      <w:r w:rsidR="002818C5" w:rsidRPr="00AC2B2C">
        <w:rPr>
          <w:sz w:val="24"/>
          <w:szCs w:val="24"/>
        </w:rPr>
        <w:t xml:space="preserve"> and the</w:t>
      </w:r>
      <w:r w:rsidRPr="00AC2B2C">
        <w:rPr>
          <w:sz w:val="24"/>
          <w:szCs w:val="24"/>
        </w:rPr>
        <w:t xml:space="preserve"> rescinding of meaningful </w:t>
      </w:r>
      <w:r w:rsidR="00497D0F" w:rsidRPr="00AC2B2C">
        <w:rPr>
          <w:sz w:val="24"/>
          <w:szCs w:val="24"/>
        </w:rPr>
        <w:t xml:space="preserve">state </w:t>
      </w:r>
      <w:r w:rsidRPr="00AC2B2C">
        <w:rPr>
          <w:sz w:val="24"/>
          <w:szCs w:val="24"/>
        </w:rPr>
        <w:t xml:space="preserve">support.  The </w:t>
      </w:r>
      <w:r w:rsidR="001B4C02" w:rsidRPr="00AC2B2C">
        <w:rPr>
          <w:sz w:val="24"/>
          <w:szCs w:val="24"/>
        </w:rPr>
        <w:t xml:space="preserve">examples </w:t>
      </w:r>
      <w:r w:rsidRPr="00AC2B2C">
        <w:rPr>
          <w:sz w:val="24"/>
          <w:szCs w:val="24"/>
        </w:rPr>
        <w:t xml:space="preserve">include </w:t>
      </w:r>
      <w:r w:rsidR="001B4C02" w:rsidRPr="00AC2B2C">
        <w:rPr>
          <w:sz w:val="24"/>
          <w:szCs w:val="24"/>
        </w:rPr>
        <w:t>eligibility and assessment</w:t>
      </w:r>
      <w:r w:rsidR="006F597F" w:rsidRPr="00AC2B2C">
        <w:rPr>
          <w:sz w:val="24"/>
          <w:szCs w:val="24"/>
        </w:rPr>
        <w:t>s</w:t>
      </w:r>
      <w:r w:rsidR="00926DAB" w:rsidRPr="00AC2B2C">
        <w:rPr>
          <w:sz w:val="24"/>
          <w:szCs w:val="24"/>
        </w:rPr>
        <w:t xml:space="preserve"> of need</w:t>
      </w:r>
      <w:r w:rsidR="001B4C02" w:rsidRPr="00AC2B2C">
        <w:rPr>
          <w:sz w:val="24"/>
          <w:szCs w:val="24"/>
        </w:rPr>
        <w:t xml:space="preserve"> for receipt of social care support, </w:t>
      </w:r>
      <w:r w:rsidR="00497D0F" w:rsidRPr="00AC2B2C">
        <w:rPr>
          <w:sz w:val="24"/>
          <w:szCs w:val="24"/>
        </w:rPr>
        <w:t xml:space="preserve">followed by </w:t>
      </w:r>
      <w:r w:rsidR="00472F52" w:rsidRPr="00AC2B2C">
        <w:rPr>
          <w:sz w:val="24"/>
          <w:szCs w:val="24"/>
        </w:rPr>
        <w:t xml:space="preserve">an </w:t>
      </w:r>
      <w:r w:rsidR="001B4C02" w:rsidRPr="00AC2B2C">
        <w:rPr>
          <w:sz w:val="24"/>
          <w:szCs w:val="24"/>
        </w:rPr>
        <w:t>analysis of</w:t>
      </w:r>
      <w:r w:rsidR="00497D0F" w:rsidRPr="00AC2B2C">
        <w:rPr>
          <w:sz w:val="24"/>
          <w:szCs w:val="24"/>
        </w:rPr>
        <w:t xml:space="preserve"> the</w:t>
      </w:r>
      <w:r w:rsidR="001B4C02" w:rsidRPr="00AC2B2C">
        <w:rPr>
          <w:sz w:val="24"/>
          <w:szCs w:val="24"/>
        </w:rPr>
        <w:t xml:space="preserve"> </w:t>
      </w:r>
      <w:r w:rsidR="00497D0F" w:rsidRPr="00AC2B2C">
        <w:rPr>
          <w:sz w:val="24"/>
          <w:szCs w:val="24"/>
        </w:rPr>
        <w:t>related</w:t>
      </w:r>
      <w:r w:rsidR="001B4C02" w:rsidRPr="00AC2B2C">
        <w:rPr>
          <w:sz w:val="24"/>
          <w:szCs w:val="24"/>
        </w:rPr>
        <w:t xml:space="preserve"> policies of personalised</w:t>
      </w:r>
      <w:r w:rsidR="00926DAB" w:rsidRPr="00AC2B2C">
        <w:rPr>
          <w:sz w:val="24"/>
          <w:szCs w:val="24"/>
        </w:rPr>
        <w:t xml:space="preserve"> and asset-based</w:t>
      </w:r>
      <w:r w:rsidR="001B4C02" w:rsidRPr="00AC2B2C">
        <w:rPr>
          <w:sz w:val="24"/>
          <w:szCs w:val="24"/>
        </w:rPr>
        <w:t xml:space="preserve"> support.</w:t>
      </w:r>
      <w:r w:rsidR="00BF4FF3">
        <w:rPr>
          <w:sz w:val="24"/>
          <w:szCs w:val="24"/>
        </w:rPr>
        <w:t xml:space="preserve"> </w:t>
      </w:r>
      <w:r w:rsidR="004054F9">
        <w:rPr>
          <w:sz w:val="24"/>
          <w:szCs w:val="24"/>
        </w:rPr>
        <w:t>As part of the conclusion it is argued</w:t>
      </w:r>
      <w:r w:rsidR="00BF4FF3">
        <w:rPr>
          <w:sz w:val="24"/>
          <w:szCs w:val="24"/>
        </w:rPr>
        <w:t xml:space="preserve"> that welfare conditionality</w:t>
      </w:r>
      <w:r w:rsidR="00736B61">
        <w:rPr>
          <w:sz w:val="24"/>
          <w:szCs w:val="24"/>
        </w:rPr>
        <w:t xml:space="preserve"> for older </w:t>
      </w:r>
      <w:r w:rsidR="00647901">
        <w:rPr>
          <w:sz w:val="24"/>
          <w:szCs w:val="24"/>
        </w:rPr>
        <w:t>people</w:t>
      </w:r>
      <w:r w:rsidR="00BF4FF3">
        <w:rPr>
          <w:sz w:val="24"/>
          <w:szCs w:val="24"/>
        </w:rPr>
        <w:t xml:space="preserve"> </w:t>
      </w:r>
      <w:r w:rsidR="00736B61">
        <w:rPr>
          <w:sz w:val="24"/>
          <w:szCs w:val="24"/>
        </w:rPr>
        <w:t xml:space="preserve">can be viewed as representing important ideological </w:t>
      </w:r>
      <w:r w:rsidR="0097588C">
        <w:rPr>
          <w:sz w:val="24"/>
          <w:szCs w:val="24"/>
        </w:rPr>
        <w:t>form</w:t>
      </w:r>
      <w:r w:rsidR="00503C98">
        <w:rPr>
          <w:sz w:val="24"/>
          <w:szCs w:val="24"/>
        </w:rPr>
        <w:t>s</w:t>
      </w:r>
      <w:r w:rsidR="0097588C">
        <w:rPr>
          <w:sz w:val="24"/>
          <w:szCs w:val="24"/>
        </w:rPr>
        <w:t xml:space="preserve"> of governance</w:t>
      </w:r>
      <w:r w:rsidR="006F597F">
        <w:rPr>
          <w:sz w:val="24"/>
          <w:szCs w:val="24"/>
        </w:rPr>
        <w:t xml:space="preserve"> and control</w:t>
      </w:r>
      <w:r w:rsidR="00736B61">
        <w:rPr>
          <w:sz w:val="24"/>
          <w:szCs w:val="24"/>
        </w:rPr>
        <w:t xml:space="preserve"> </w:t>
      </w:r>
      <w:r w:rsidR="004054F9">
        <w:rPr>
          <w:sz w:val="24"/>
          <w:szCs w:val="24"/>
        </w:rPr>
        <w:t>which carr</w:t>
      </w:r>
      <w:r w:rsidR="00503C98">
        <w:rPr>
          <w:sz w:val="24"/>
          <w:szCs w:val="24"/>
        </w:rPr>
        <w:t>y</w:t>
      </w:r>
      <w:r w:rsidR="004054F9">
        <w:rPr>
          <w:sz w:val="24"/>
          <w:szCs w:val="24"/>
        </w:rPr>
        <w:t xml:space="preserve"> </w:t>
      </w:r>
      <w:r w:rsidR="00D04049">
        <w:rPr>
          <w:sz w:val="24"/>
          <w:szCs w:val="24"/>
        </w:rPr>
        <w:t>numerous</w:t>
      </w:r>
      <w:r w:rsidR="004054F9">
        <w:rPr>
          <w:sz w:val="24"/>
          <w:szCs w:val="24"/>
        </w:rPr>
        <w:t xml:space="preserve"> </w:t>
      </w:r>
      <w:r w:rsidR="00F12080">
        <w:rPr>
          <w:sz w:val="24"/>
          <w:szCs w:val="24"/>
        </w:rPr>
        <w:t xml:space="preserve">ethical and </w:t>
      </w:r>
      <w:r w:rsidR="004054F9">
        <w:rPr>
          <w:sz w:val="24"/>
          <w:szCs w:val="24"/>
        </w:rPr>
        <w:t>political consequences</w:t>
      </w:r>
      <w:r w:rsidR="00AC4295">
        <w:rPr>
          <w:sz w:val="24"/>
          <w:szCs w:val="24"/>
        </w:rPr>
        <w:t xml:space="preserve">. </w:t>
      </w:r>
      <w:r w:rsidR="009305AE">
        <w:rPr>
          <w:sz w:val="24"/>
          <w:szCs w:val="24"/>
        </w:rPr>
        <w:t xml:space="preserve">Some recommendations for future policy and practice are then briefly </w:t>
      </w:r>
      <w:r w:rsidR="00CD29E8">
        <w:rPr>
          <w:sz w:val="24"/>
          <w:szCs w:val="24"/>
        </w:rPr>
        <w:t>discussed</w:t>
      </w:r>
      <w:r w:rsidR="009305AE">
        <w:rPr>
          <w:sz w:val="24"/>
          <w:szCs w:val="24"/>
        </w:rPr>
        <w:t>.</w:t>
      </w:r>
    </w:p>
    <w:p w14:paraId="1ECAF6AF" w14:textId="77777777" w:rsidR="003B4ADA" w:rsidRPr="003664A3" w:rsidRDefault="00677F72" w:rsidP="0070073A">
      <w:pPr>
        <w:spacing w:line="480" w:lineRule="auto"/>
        <w:rPr>
          <w:b/>
          <w:sz w:val="24"/>
          <w:szCs w:val="24"/>
        </w:rPr>
      </w:pPr>
      <w:r>
        <w:rPr>
          <w:b/>
          <w:sz w:val="24"/>
          <w:szCs w:val="24"/>
        </w:rPr>
        <w:t>Welfare c</w:t>
      </w:r>
      <w:r w:rsidR="00123456" w:rsidRPr="003664A3">
        <w:rPr>
          <w:b/>
          <w:sz w:val="24"/>
          <w:szCs w:val="24"/>
        </w:rPr>
        <w:t xml:space="preserve">onditionality and </w:t>
      </w:r>
      <w:r w:rsidR="003B4ADA" w:rsidRPr="003664A3">
        <w:rPr>
          <w:b/>
          <w:sz w:val="24"/>
          <w:szCs w:val="24"/>
        </w:rPr>
        <w:t>ethic</w:t>
      </w:r>
      <w:r w:rsidR="0062129B">
        <w:rPr>
          <w:b/>
          <w:sz w:val="24"/>
          <w:szCs w:val="24"/>
        </w:rPr>
        <w:t>al paradigms</w:t>
      </w:r>
      <w:r w:rsidR="003B4ADA" w:rsidRPr="003664A3">
        <w:rPr>
          <w:b/>
          <w:sz w:val="24"/>
          <w:szCs w:val="24"/>
        </w:rPr>
        <w:t xml:space="preserve">  </w:t>
      </w:r>
    </w:p>
    <w:p w14:paraId="6B664B0C" w14:textId="2455A2CD" w:rsidR="005871D2" w:rsidRDefault="00AE1A1B" w:rsidP="0070073A">
      <w:pPr>
        <w:spacing w:line="480" w:lineRule="auto"/>
        <w:rPr>
          <w:rFonts w:cstheme="minorHAnsi"/>
          <w:color w:val="000000"/>
          <w:sz w:val="24"/>
          <w:szCs w:val="24"/>
        </w:rPr>
      </w:pPr>
      <w:r w:rsidRPr="003664A3">
        <w:rPr>
          <w:rFonts w:cstheme="minorHAnsi"/>
          <w:sz w:val="24"/>
          <w:szCs w:val="24"/>
        </w:rPr>
        <w:t xml:space="preserve">Although intensifying in recent years, </w:t>
      </w:r>
      <w:r w:rsidR="00D63302" w:rsidRPr="003664A3">
        <w:rPr>
          <w:rFonts w:cstheme="minorHAnsi"/>
          <w:sz w:val="24"/>
          <w:szCs w:val="24"/>
        </w:rPr>
        <w:t xml:space="preserve">for </w:t>
      </w:r>
      <w:r w:rsidR="00A72765" w:rsidRPr="003664A3">
        <w:rPr>
          <w:rFonts w:cstheme="minorHAnsi"/>
          <w:sz w:val="24"/>
          <w:szCs w:val="24"/>
        </w:rPr>
        <w:t xml:space="preserve">some </w:t>
      </w:r>
      <w:r w:rsidRPr="003664A3">
        <w:rPr>
          <w:rFonts w:cstheme="minorHAnsi"/>
          <w:sz w:val="24"/>
          <w:szCs w:val="24"/>
        </w:rPr>
        <w:t>the principles of conditionality tied to receipt of welfare and state support for citizen</w:t>
      </w:r>
      <w:r w:rsidR="00121546" w:rsidRPr="003664A3">
        <w:rPr>
          <w:rFonts w:cstheme="minorHAnsi"/>
          <w:sz w:val="24"/>
          <w:szCs w:val="24"/>
        </w:rPr>
        <w:t>-subjects</w:t>
      </w:r>
      <w:r w:rsidRPr="003664A3">
        <w:rPr>
          <w:rFonts w:cstheme="minorHAnsi"/>
          <w:sz w:val="24"/>
          <w:szCs w:val="24"/>
        </w:rPr>
        <w:t xml:space="preserve"> </w:t>
      </w:r>
      <w:r w:rsidR="005871D2" w:rsidRPr="003664A3">
        <w:rPr>
          <w:rFonts w:cstheme="minorHAnsi"/>
          <w:sz w:val="24"/>
          <w:szCs w:val="24"/>
        </w:rPr>
        <w:t>carries</w:t>
      </w:r>
      <w:r w:rsidRPr="003664A3">
        <w:rPr>
          <w:rFonts w:cstheme="minorHAnsi"/>
          <w:sz w:val="24"/>
          <w:szCs w:val="24"/>
        </w:rPr>
        <w:t xml:space="preserve"> a </w:t>
      </w:r>
      <w:r w:rsidR="00B63799">
        <w:rPr>
          <w:rFonts w:cstheme="minorHAnsi"/>
          <w:sz w:val="24"/>
          <w:szCs w:val="24"/>
        </w:rPr>
        <w:t xml:space="preserve">much </w:t>
      </w:r>
      <w:r w:rsidRPr="003664A3">
        <w:rPr>
          <w:rFonts w:cstheme="minorHAnsi"/>
          <w:sz w:val="24"/>
          <w:szCs w:val="24"/>
        </w:rPr>
        <w:t xml:space="preserve">longer history. </w:t>
      </w:r>
      <w:r w:rsidR="00D63302" w:rsidRPr="003664A3">
        <w:rPr>
          <w:rFonts w:cstheme="minorHAnsi"/>
          <w:sz w:val="24"/>
          <w:szCs w:val="24"/>
        </w:rPr>
        <w:t>Fletcher and Flint (2018), for example, argue that a</w:t>
      </w:r>
      <w:r w:rsidR="005871D2" w:rsidRPr="003664A3">
        <w:rPr>
          <w:rFonts w:cstheme="minorHAnsi"/>
          <w:sz w:val="24"/>
          <w:szCs w:val="24"/>
        </w:rPr>
        <w:t xml:space="preserve">ctivation and </w:t>
      </w:r>
      <w:r w:rsidRPr="003664A3">
        <w:rPr>
          <w:rFonts w:cstheme="minorHAnsi"/>
          <w:sz w:val="24"/>
          <w:szCs w:val="24"/>
        </w:rPr>
        <w:t xml:space="preserve">conditionality </w:t>
      </w:r>
      <w:r w:rsidR="005871D2" w:rsidRPr="003664A3">
        <w:rPr>
          <w:rFonts w:cstheme="minorHAnsi"/>
          <w:sz w:val="24"/>
          <w:szCs w:val="24"/>
        </w:rPr>
        <w:t>initiatives</w:t>
      </w:r>
      <w:r w:rsidR="0034773C">
        <w:rPr>
          <w:rFonts w:cstheme="minorHAnsi"/>
          <w:sz w:val="24"/>
          <w:szCs w:val="24"/>
        </w:rPr>
        <w:t xml:space="preserve"> for citizens</w:t>
      </w:r>
      <w:r w:rsidR="005871D2" w:rsidRPr="003664A3">
        <w:rPr>
          <w:rFonts w:cstheme="minorHAnsi"/>
          <w:sz w:val="24"/>
          <w:szCs w:val="24"/>
        </w:rPr>
        <w:t xml:space="preserve"> first emerged during</w:t>
      </w:r>
      <w:r w:rsidRPr="003664A3">
        <w:rPr>
          <w:rFonts w:cstheme="minorHAnsi"/>
          <w:sz w:val="24"/>
          <w:szCs w:val="24"/>
        </w:rPr>
        <w:t xml:space="preserve"> the early nineteenth century </w:t>
      </w:r>
      <w:r w:rsidR="005871D2" w:rsidRPr="003664A3">
        <w:rPr>
          <w:rFonts w:cstheme="minorHAnsi"/>
          <w:sz w:val="24"/>
          <w:szCs w:val="24"/>
        </w:rPr>
        <w:t xml:space="preserve">as a </w:t>
      </w:r>
      <w:r w:rsidR="005131BA" w:rsidRPr="003664A3">
        <w:rPr>
          <w:rFonts w:cstheme="minorHAnsi"/>
          <w:sz w:val="24"/>
          <w:szCs w:val="24"/>
        </w:rPr>
        <w:t>key</w:t>
      </w:r>
      <w:r w:rsidR="005871D2" w:rsidRPr="003664A3">
        <w:rPr>
          <w:rFonts w:cstheme="minorHAnsi"/>
          <w:sz w:val="24"/>
          <w:szCs w:val="24"/>
        </w:rPr>
        <w:t xml:space="preserve"> discursive trait of </w:t>
      </w:r>
      <w:r w:rsidRPr="003664A3">
        <w:rPr>
          <w:rFonts w:cstheme="minorHAnsi"/>
          <w:sz w:val="24"/>
          <w:szCs w:val="24"/>
        </w:rPr>
        <w:t xml:space="preserve">the modern ‘tutelary’ </w:t>
      </w:r>
      <w:r w:rsidR="005871D2" w:rsidRPr="003664A3">
        <w:rPr>
          <w:rFonts w:cstheme="minorHAnsi"/>
          <w:sz w:val="24"/>
          <w:szCs w:val="24"/>
        </w:rPr>
        <w:t>or</w:t>
      </w:r>
      <w:r w:rsidRPr="003664A3">
        <w:rPr>
          <w:rFonts w:cstheme="minorHAnsi"/>
          <w:sz w:val="24"/>
          <w:szCs w:val="24"/>
        </w:rPr>
        <w:t xml:space="preserve"> ‘therapeutic state’. De Tocqueville (2003 [1835]) </w:t>
      </w:r>
      <w:r w:rsidR="00C456EA">
        <w:rPr>
          <w:rFonts w:cstheme="minorHAnsi"/>
          <w:sz w:val="24"/>
          <w:szCs w:val="24"/>
        </w:rPr>
        <w:t xml:space="preserve">had </w:t>
      </w:r>
      <w:r w:rsidRPr="003664A3">
        <w:rPr>
          <w:rFonts w:cstheme="minorHAnsi"/>
          <w:sz w:val="24"/>
          <w:szCs w:val="24"/>
        </w:rPr>
        <w:t xml:space="preserve">identified the tutelary state as </w:t>
      </w:r>
      <w:r w:rsidR="005871D2" w:rsidRPr="003664A3">
        <w:rPr>
          <w:rFonts w:cstheme="minorHAnsi"/>
          <w:sz w:val="24"/>
          <w:szCs w:val="24"/>
        </w:rPr>
        <w:t xml:space="preserve">an ideological facilitator which held the </w:t>
      </w:r>
      <w:r w:rsidR="00E61EB4" w:rsidRPr="003664A3">
        <w:rPr>
          <w:rFonts w:cstheme="minorHAnsi"/>
          <w:sz w:val="24"/>
          <w:szCs w:val="24"/>
        </w:rPr>
        <w:t xml:space="preserve">capacity </w:t>
      </w:r>
      <w:r w:rsidR="00D63302" w:rsidRPr="003664A3">
        <w:rPr>
          <w:rFonts w:cstheme="minorHAnsi"/>
          <w:sz w:val="24"/>
          <w:szCs w:val="24"/>
        </w:rPr>
        <w:t xml:space="preserve">to promote ‘impersonal domination’ </w:t>
      </w:r>
      <w:r w:rsidR="00A53294" w:rsidRPr="003664A3">
        <w:rPr>
          <w:rFonts w:cstheme="minorHAnsi"/>
          <w:sz w:val="24"/>
          <w:szCs w:val="24"/>
        </w:rPr>
        <w:t xml:space="preserve">for subjects </w:t>
      </w:r>
      <w:r w:rsidR="00D63302" w:rsidRPr="003664A3">
        <w:rPr>
          <w:rFonts w:cstheme="minorHAnsi"/>
          <w:sz w:val="24"/>
          <w:szCs w:val="24"/>
        </w:rPr>
        <w:t>through</w:t>
      </w:r>
      <w:r w:rsidR="00E61EB4" w:rsidRPr="003664A3">
        <w:rPr>
          <w:rFonts w:cstheme="minorHAnsi"/>
          <w:sz w:val="24"/>
          <w:szCs w:val="24"/>
        </w:rPr>
        <w:t xml:space="preserve"> numerous </w:t>
      </w:r>
      <w:r w:rsidR="00D63302" w:rsidRPr="003664A3">
        <w:rPr>
          <w:rFonts w:cstheme="minorHAnsi"/>
          <w:sz w:val="24"/>
          <w:szCs w:val="24"/>
        </w:rPr>
        <w:t>‘</w:t>
      </w:r>
      <w:r w:rsidR="00E61EB4" w:rsidRPr="003664A3">
        <w:rPr>
          <w:rFonts w:cstheme="minorHAnsi"/>
          <w:sz w:val="24"/>
          <w:szCs w:val="24"/>
        </w:rPr>
        <w:t>administrative, regulatory and protective governance’ powers</w:t>
      </w:r>
      <w:r w:rsidR="00CC5B28" w:rsidRPr="003664A3">
        <w:rPr>
          <w:rFonts w:cstheme="minorHAnsi"/>
          <w:sz w:val="24"/>
          <w:szCs w:val="24"/>
        </w:rPr>
        <w:t>. These</w:t>
      </w:r>
      <w:r w:rsidR="00E61EB4" w:rsidRPr="003664A3">
        <w:rPr>
          <w:rFonts w:cstheme="minorHAnsi"/>
          <w:sz w:val="24"/>
          <w:szCs w:val="24"/>
        </w:rPr>
        <w:t xml:space="preserve"> enhance</w:t>
      </w:r>
      <w:r w:rsidR="00CC5B28" w:rsidRPr="003664A3">
        <w:rPr>
          <w:rFonts w:cstheme="minorHAnsi"/>
          <w:sz w:val="24"/>
          <w:szCs w:val="24"/>
        </w:rPr>
        <w:t>d</w:t>
      </w:r>
      <w:r w:rsidR="005871D2" w:rsidRPr="003664A3">
        <w:rPr>
          <w:rFonts w:cstheme="minorHAnsi"/>
          <w:sz w:val="24"/>
          <w:szCs w:val="24"/>
        </w:rPr>
        <w:t xml:space="preserve"> </w:t>
      </w:r>
      <w:r w:rsidR="00A53294" w:rsidRPr="003664A3">
        <w:rPr>
          <w:rFonts w:cstheme="minorHAnsi"/>
          <w:sz w:val="24"/>
          <w:szCs w:val="24"/>
        </w:rPr>
        <w:t xml:space="preserve">the principles of </w:t>
      </w:r>
      <w:r w:rsidR="005871D2" w:rsidRPr="003664A3">
        <w:rPr>
          <w:rFonts w:cstheme="minorHAnsi"/>
          <w:sz w:val="24"/>
          <w:szCs w:val="24"/>
        </w:rPr>
        <w:t xml:space="preserve">liberal </w:t>
      </w:r>
      <w:r w:rsidR="00E61EB4" w:rsidRPr="003664A3">
        <w:rPr>
          <w:rFonts w:cstheme="minorHAnsi"/>
          <w:sz w:val="24"/>
          <w:szCs w:val="24"/>
        </w:rPr>
        <w:t xml:space="preserve">equality </w:t>
      </w:r>
      <w:r w:rsidR="00D63302" w:rsidRPr="003664A3">
        <w:rPr>
          <w:rFonts w:cstheme="minorHAnsi"/>
          <w:sz w:val="24"/>
          <w:szCs w:val="24"/>
        </w:rPr>
        <w:t>by limiting</w:t>
      </w:r>
      <w:r w:rsidR="00F31731" w:rsidRPr="003664A3">
        <w:rPr>
          <w:rFonts w:cstheme="minorHAnsi"/>
          <w:sz w:val="24"/>
          <w:szCs w:val="24"/>
        </w:rPr>
        <w:t xml:space="preserve"> support in the form of</w:t>
      </w:r>
      <w:r w:rsidR="00D63302" w:rsidRPr="003664A3">
        <w:rPr>
          <w:rFonts w:cstheme="minorHAnsi"/>
          <w:sz w:val="24"/>
          <w:szCs w:val="24"/>
        </w:rPr>
        <w:t xml:space="preserve"> ‘social guarantees’ and</w:t>
      </w:r>
      <w:r w:rsidR="00E61EB4" w:rsidRPr="003664A3">
        <w:rPr>
          <w:rFonts w:cstheme="minorHAnsi"/>
          <w:sz w:val="24"/>
          <w:szCs w:val="24"/>
        </w:rPr>
        <w:t xml:space="preserve"> discourag</w:t>
      </w:r>
      <w:r w:rsidR="00D63302" w:rsidRPr="003664A3">
        <w:rPr>
          <w:rFonts w:cstheme="minorHAnsi"/>
          <w:sz w:val="24"/>
          <w:szCs w:val="24"/>
        </w:rPr>
        <w:t>ing</w:t>
      </w:r>
      <w:r w:rsidR="00E61EB4" w:rsidRPr="003664A3">
        <w:rPr>
          <w:rFonts w:cstheme="minorHAnsi"/>
          <w:sz w:val="24"/>
          <w:szCs w:val="24"/>
        </w:rPr>
        <w:t xml:space="preserve"> over dependency </w:t>
      </w:r>
      <w:r w:rsidR="00D63302" w:rsidRPr="003664A3">
        <w:rPr>
          <w:rFonts w:cstheme="minorHAnsi"/>
          <w:sz w:val="24"/>
          <w:szCs w:val="24"/>
        </w:rPr>
        <w:t>among populations</w:t>
      </w:r>
      <w:r w:rsidR="0057072A" w:rsidRPr="0057072A">
        <w:rPr>
          <w:rFonts w:cstheme="minorHAnsi"/>
          <w:sz w:val="24"/>
          <w:szCs w:val="24"/>
        </w:rPr>
        <w:t xml:space="preserve"> </w:t>
      </w:r>
      <w:r w:rsidR="0057072A">
        <w:rPr>
          <w:rFonts w:cstheme="minorHAnsi"/>
          <w:sz w:val="24"/>
          <w:szCs w:val="24"/>
        </w:rPr>
        <w:t>(</w:t>
      </w:r>
      <w:r w:rsidR="0057072A" w:rsidRPr="003664A3">
        <w:rPr>
          <w:rFonts w:cstheme="minorHAnsi"/>
          <w:sz w:val="24"/>
          <w:szCs w:val="24"/>
        </w:rPr>
        <w:t>Fletcher and Flint</w:t>
      </w:r>
      <w:r w:rsidR="0057072A">
        <w:rPr>
          <w:rFonts w:cstheme="minorHAnsi"/>
          <w:sz w:val="24"/>
          <w:szCs w:val="24"/>
        </w:rPr>
        <w:t xml:space="preserve">, </w:t>
      </w:r>
      <w:r w:rsidR="0057072A" w:rsidRPr="003664A3">
        <w:rPr>
          <w:rFonts w:cstheme="minorHAnsi"/>
          <w:sz w:val="24"/>
          <w:szCs w:val="24"/>
        </w:rPr>
        <w:t>2018: 772-774)</w:t>
      </w:r>
      <w:r w:rsidR="00E61EB4" w:rsidRPr="003664A3">
        <w:rPr>
          <w:rFonts w:cstheme="minorHAnsi"/>
          <w:sz w:val="24"/>
          <w:szCs w:val="24"/>
        </w:rPr>
        <w:t xml:space="preserve">. </w:t>
      </w:r>
      <w:r w:rsidR="00A85038" w:rsidRPr="003664A3">
        <w:rPr>
          <w:rFonts w:cstheme="minorHAnsi"/>
          <w:sz w:val="24"/>
          <w:szCs w:val="24"/>
        </w:rPr>
        <w:t xml:space="preserve">Relatedly, </w:t>
      </w:r>
      <w:r w:rsidR="00FE4714" w:rsidRPr="003664A3">
        <w:rPr>
          <w:rFonts w:cstheme="minorHAnsi"/>
          <w:color w:val="000000"/>
          <w:sz w:val="24"/>
          <w:szCs w:val="24"/>
        </w:rPr>
        <w:t>Foucault’s understanding of governance</w:t>
      </w:r>
      <w:r w:rsidR="006D282E">
        <w:rPr>
          <w:rFonts w:cstheme="minorHAnsi"/>
          <w:color w:val="000000"/>
          <w:sz w:val="24"/>
          <w:szCs w:val="24"/>
        </w:rPr>
        <w:t xml:space="preserve"> </w:t>
      </w:r>
      <w:r w:rsidR="007F1628">
        <w:rPr>
          <w:rFonts w:cstheme="minorHAnsi"/>
          <w:color w:val="000000"/>
          <w:sz w:val="24"/>
          <w:szCs w:val="24"/>
        </w:rPr>
        <w:t>has been</w:t>
      </w:r>
      <w:r w:rsidR="0057072A">
        <w:rPr>
          <w:rFonts w:cstheme="minorHAnsi"/>
          <w:color w:val="000000"/>
          <w:sz w:val="24"/>
          <w:szCs w:val="24"/>
        </w:rPr>
        <w:t xml:space="preserve"> utilis</w:t>
      </w:r>
      <w:r w:rsidR="007F1628">
        <w:rPr>
          <w:rFonts w:cstheme="minorHAnsi"/>
          <w:color w:val="000000"/>
          <w:sz w:val="24"/>
          <w:szCs w:val="24"/>
        </w:rPr>
        <w:t>ed to stress how</w:t>
      </w:r>
      <w:r w:rsidR="0057072A">
        <w:rPr>
          <w:rFonts w:cstheme="minorHAnsi"/>
          <w:color w:val="000000"/>
          <w:sz w:val="24"/>
          <w:szCs w:val="24"/>
        </w:rPr>
        <w:t xml:space="preserve"> welfare professionals</w:t>
      </w:r>
      <w:r w:rsidR="005D61EC">
        <w:rPr>
          <w:rFonts w:cstheme="minorHAnsi"/>
          <w:color w:val="000000"/>
          <w:sz w:val="24"/>
          <w:szCs w:val="24"/>
        </w:rPr>
        <w:t xml:space="preserve"> and </w:t>
      </w:r>
      <w:r w:rsidR="000B6DC6">
        <w:rPr>
          <w:rFonts w:cstheme="minorHAnsi"/>
          <w:color w:val="000000"/>
          <w:sz w:val="24"/>
          <w:szCs w:val="24"/>
        </w:rPr>
        <w:t>other</w:t>
      </w:r>
      <w:r w:rsidR="005D61EC">
        <w:rPr>
          <w:rFonts w:cstheme="minorHAnsi"/>
          <w:color w:val="000000"/>
          <w:sz w:val="24"/>
          <w:szCs w:val="24"/>
        </w:rPr>
        <w:t xml:space="preserve"> staff</w:t>
      </w:r>
      <w:r w:rsidR="0057072A">
        <w:rPr>
          <w:rFonts w:cstheme="minorHAnsi"/>
          <w:color w:val="000000"/>
          <w:sz w:val="24"/>
          <w:szCs w:val="24"/>
        </w:rPr>
        <w:t xml:space="preserve"> monitor and activate citizens,</w:t>
      </w:r>
      <w:r w:rsidR="00FE4714" w:rsidRPr="003664A3">
        <w:rPr>
          <w:rFonts w:cstheme="minorHAnsi"/>
          <w:color w:val="000000"/>
          <w:sz w:val="24"/>
          <w:szCs w:val="24"/>
        </w:rPr>
        <w:t xml:space="preserve"> </w:t>
      </w:r>
      <w:r w:rsidR="00A13070">
        <w:rPr>
          <w:rFonts w:cstheme="minorHAnsi"/>
          <w:color w:val="000000"/>
          <w:sz w:val="24"/>
          <w:szCs w:val="24"/>
        </w:rPr>
        <w:t xml:space="preserve">and how this supports </w:t>
      </w:r>
      <w:r w:rsidR="00FE4714" w:rsidRPr="003664A3">
        <w:rPr>
          <w:rFonts w:cstheme="minorHAnsi"/>
          <w:color w:val="000000"/>
          <w:sz w:val="24"/>
          <w:szCs w:val="24"/>
        </w:rPr>
        <w:t>liberal states</w:t>
      </w:r>
      <w:r w:rsidR="0057072A">
        <w:rPr>
          <w:rFonts w:cstheme="minorHAnsi"/>
          <w:color w:val="000000"/>
          <w:sz w:val="24"/>
          <w:szCs w:val="24"/>
        </w:rPr>
        <w:t xml:space="preserve"> </w:t>
      </w:r>
      <w:r w:rsidR="00A13070">
        <w:rPr>
          <w:rFonts w:cstheme="minorHAnsi"/>
          <w:color w:val="000000"/>
          <w:sz w:val="24"/>
          <w:szCs w:val="24"/>
        </w:rPr>
        <w:t xml:space="preserve">endeavours </w:t>
      </w:r>
      <w:r w:rsidR="00FE4714" w:rsidRPr="003664A3">
        <w:rPr>
          <w:rFonts w:cstheme="minorHAnsi"/>
          <w:color w:val="000000"/>
          <w:sz w:val="24"/>
          <w:szCs w:val="24"/>
        </w:rPr>
        <w:t>to</w:t>
      </w:r>
      <w:r w:rsidR="005072DA">
        <w:rPr>
          <w:rFonts w:cstheme="minorHAnsi"/>
          <w:color w:val="000000"/>
          <w:sz w:val="24"/>
          <w:szCs w:val="24"/>
        </w:rPr>
        <w:t xml:space="preserve"> </w:t>
      </w:r>
      <w:r w:rsidR="00FE4714" w:rsidRPr="003664A3">
        <w:rPr>
          <w:rFonts w:cstheme="minorHAnsi"/>
          <w:color w:val="000000"/>
          <w:sz w:val="24"/>
          <w:szCs w:val="24"/>
        </w:rPr>
        <w:t xml:space="preserve">yield </w:t>
      </w:r>
      <w:r w:rsidR="00684FA5">
        <w:rPr>
          <w:rFonts w:cstheme="minorHAnsi"/>
          <w:color w:val="000000"/>
          <w:sz w:val="24"/>
          <w:szCs w:val="24"/>
        </w:rPr>
        <w:t>reflexive</w:t>
      </w:r>
      <w:r w:rsidR="0057072A">
        <w:rPr>
          <w:rFonts w:cstheme="minorHAnsi"/>
          <w:color w:val="000000"/>
          <w:sz w:val="24"/>
          <w:szCs w:val="24"/>
        </w:rPr>
        <w:t xml:space="preserve">, </w:t>
      </w:r>
      <w:r w:rsidR="005D61EC">
        <w:rPr>
          <w:rFonts w:cstheme="minorHAnsi"/>
          <w:color w:val="000000"/>
          <w:sz w:val="24"/>
          <w:szCs w:val="24"/>
        </w:rPr>
        <w:t>ethical</w:t>
      </w:r>
      <w:r w:rsidR="006D282E">
        <w:rPr>
          <w:rFonts w:cstheme="minorHAnsi"/>
          <w:color w:val="000000"/>
          <w:sz w:val="24"/>
          <w:szCs w:val="24"/>
        </w:rPr>
        <w:t>,</w:t>
      </w:r>
      <w:r w:rsidR="00FE4714" w:rsidRPr="003664A3">
        <w:rPr>
          <w:rFonts w:cstheme="minorHAnsi"/>
          <w:color w:val="000000"/>
          <w:sz w:val="24"/>
          <w:szCs w:val="24"/>
        </w:rPr>
        <w:t xml:space="preserve"> </w:t>
      </w:r>
      <w:r w:rsidR="006D282E">
        <w:rPr>
          <w:rFonts w:cstheme="minorHAnsi"/>
          <w:color w:val="000000"/>
          <w:sz w:val="24"/>
          <w:szCs w:val="24"/>
        </w:rPr>
        <w:t xml:space="preserve">and </w:t>
      </w:r>
      <w:r w:rsidR="00FE4714" w:rsidRPr="003664A3">
        <w:rPr>
          <w:rFonts w:cstheme="minorHAnsi"/>
          <w:color w:val="000000"/>
          <w:sz w:val="24"/>
          <w:szCs w:val="24"/>
        </w:rPr>
        <w:lastRenderedPageBreak/>
        <w:t>empowered citizens capable of governing themselves</w:t>
      </w:r>
      <w:r w:rsidR="00A85038" w:rsidRPr="003664A3">
        <w:rPr>
          <w:rFonts w:cstheme="minorHAnsi"/>
          <w:color w:val="000000"/>
          <w:sz w:val="24"/>
          <w:szCs w:val="24"/>
        </w:rPr>
        <w:t xml:space="preserve"> whilst</w:t>
      </w:r>
      <w:r w:rsidR="00FE4714" w:rsidRPr="003664A3">
        <w:rPr>
          <w:rFonts w:cstheme="minorHAnsi"/>
          <w:color w:val="000000"/>
          <w:sz w:val="24"/>
          <w:szCs w:val="24"/>
        </w:rPr>
        <w:t xml:space="preserve"> relying </w:t>
      </w:r>
      <w:r w:rsidR="00B63799">
        <w:rPr>
          <w:rFonts w:cstheme="minorHAnsi"/>
          <w:color w:val="000000"/>
          <w:sz w:val="24"/>
          <w:szCs w:val="24"/>
        </w:rPr>
        <w:t xml:space="preserve">much </w:t>
      </w:r>
      <w:r w:rsidR="00FE4714" w:rsidRPr="003664A3">
        <w:rPr>
          <w:rFonts w:cstheme="minorHAnsi"/>
          <w:color w:val="000000"/>
          <w:sz w:val="24"/>
          <w:szCs w:val="24"/>
        </w:rPr>
        <w:t>less upon state</w:t>
      </w:r>
      <w:r w:rsidR="00A85038" w:rsidRPr="003664A3">
        <w:rPr>
          <w:rFonts w:cstheme="minorHAnsi"/>
          <w:color w:val="000000"/>
          <w:sz w:val="24"/>
          <w:szCs w:val="24"/>
        </w:rPr>
        <w:t xml:space="preserve"> support</w:t>
      </w:r>
      <w:r w:rsidR="007F1628" w:rsidRPr="007F1628">
        <w:rPr>
          <w:rFonts w:cstheme="minorHAnsi"/>
          <w:color w:val="000000"/>
          <w:sz w:val="24"/>
          <w:szCs w:val="24"/>
        </w:rPr>
        <w:t xml:space="preserve"> </w:t>
      </w:r>
      <w:r w:rsidR="007F1628">
        <w:rPr>
          <w:rFonts w:cstheme="minorHAnsi"/>
          <w:color w:val="000000"/>
          <w:sz w:val="24"/>
          <w:szCs w:val="24"/>
        </w:rPr>
        <w:t>(</w:t>
      </w:r>
      <w:r w:rsidR="007F1628" w:rsidRPr="003664A3">
        <w:rPr>
          <w:rFonts w:cstheme="minorHAnsi"/>
          <w:color w:val="000000"/>
          <w:sz w:val="24"/>
          <w:szCs w:val="24"/>
        </w:rPr>
        <w:t>Cruickshank</w:t>
      </w:r>
      <w:r w:rsidR="007F1628">
        <w:rPr>
          <w:rFonts w:cstheme="minorHAnsi"/>
          <w:color w:val="000000"/>
          <w:sz w:val="24"/>
          <w:szCs w:val="24"/>
        </w:rPr>
        <w:t xml:space="preserve">, </w:t>
      </w:r>
      <w:r w:rsidR="007F1628" w:rsidRPr="003664A3">
        <w:rPr>
          <w:rFonts w:cstheme="minorHAnsi"/>
          <w:color w:val="000000"/>
          <w:sz w:val="24"/>
          <w:szCs w:val="24"/>
        </w:rPr>
        <w:t>1999</w:t>
      </w:r>
      <w:r w:rsidR="007F1628">
        <w:rPr>
          <w:rFonts w:cstheme="minorHAnsi"/>
          <w:color w:val="000000"/>
          <w:sz w:val="24"/>
          <w:szCs w:val="24"/>
        </w:rPr>
        <w:t>;</w:t>
      </w:r>
      <w:r w:rsidR="007F1628" w:rsidRPr="003664A3">
        <w:rPr>
          <w:rFonts w:cstheme="minorHAnsi"/>
          <w:color w:val="000000"/>
          <w:sz w:val="24"/>
          <w:szCs w:val="24"/>
        </w:rPr>
        <w:t xml:space="preserve"> Dean</w:t>
      </w:r>
      <w:r w:rsidR="007F1628">
        <w:rPr>
          <w:rFonts w:cstheme="minorHAnsi"/>
          <w:color w:val="000000"/>
          <w:sz w:val="24"/>
          <w:szCs w:val="24"/>
        </w:rPr>
        <w:t xml:space="preserve">, </w:t>
      </w:r>
      <w:r w:rsidR="007F1628" w:rsidRPr="003664A3">
        <w:rPr>
          <w:rFonts w:cstheme="minorHAnsi"/>
          <w:color w:val="000000"/>
          <w:sz w:val="24"/>
          <w:szCs w:val="24"/>
        </w:rPr>
        <w:t>2010)</w:t>
      </w:r>
      <w:r w:rsidR="00FE4714" w:rsidRPr="003664A3">
        <w:rPr>
          <w:rFonts w:cstheme="minorHAnsi"/>
          <w:color w:val="000000"/>
          <w:sz w:val="24"/>
          <w:szCs w:val="24"/>
        </w:rPr>
        <w:t>.</w:t>
      </w:r>
    </w:p>
    <w:p w14:paraId="4E5A0365" w14:textId="4E466BF3" w:rsidR="00BE6863" w:rsidRPr="00BE6863" w:rsidRDefault="00BE6863" w:rsidP="0070073A">
      <w:pPr>
        <w:spacing w:before="240" w:line="480" w:lineRule="auto"/>
        <w:rPr>
          <w:sz w:val="24"/>
          <w:szCs w:val="24"/>
        </w:rPr>
      </w:pPr>
      <w:r>
        <w:rPr>
          <w:sz w:val="24"/>
          <w:szCs w:val="24"/>
        </w:rPr>
        <w:t xml:space="preserve">A notable advocate of </w:t>
      </w:r>
      <w:r w:rsidR="00C456EA">
        <w:rPr>
          <w:sz w:val="24"/>
          <w:szCs w:val="24"/>
        </w:rPr>
        <w:t xml:space="preserve">welfare </w:t>
      </w:r>
      <w:r>
        <w:rPr>
          <w:sz w:val="24"/>
          <w:szCs w:val="24"/>
        </w:rPr>
        <w:t>conditionality remain</w:t>
      </w:r>
      <w:r w:rsidR="00C3637A">
        <w:rPr>
          <w:sz w:val="24"/>
          <w:szCs w:val="24"/>
        </w:rPr>
        <w:t>s</w:t>
      </w:r>
      <w:r>
        <w:rPr>
          <w:sz w:val="24"/>
          <w:szCs w:val="24"/>
        </w:rPr>
        <w:t xml:space="preserve"> White (2000) who maintains that in order to receive support from the state individual citizens should be expected to fulfil ‘various responsibilities’ which the ‘state may legitimately enforce’</w:t>
      </w:r>
      <w:r w:rsidRPr="00CC30EF">
        <w:rPr>
          <w:sz w:val="24"/>
          <w:szCs w:val="24"/>
        </w:rPr>
        <w:t xml:space="preserve"> </w:t>
      </w:r>
      <w:r>
        <w:rPr>
          <w:sz w:val="24"/>
          <w:szCs w:val="24"/>
        </w:rPr>
        <w:t xml:space="preserve">(White, 2000: 507). White’s understanding of ‘welfare </w:t>
      </w:r>
      <w:proofErr w:type="spellStart"/>
      <w:r>
        <w:rPr>
          <w:sz w:val="24"/>
          <w:szCs w:val="24"/>
        </w:rPr>
        <w:t>contractualism</w:t>
      </w:r>
      <w:proofErr w:type="spellEnd"/>
      <w:r>
        <w:rPr>
          <w:sz w:val="24"/>
          <w:szCs w:val="24"/>
        </w:rPr>
        <w:t>’ is nevertheless built upon a strong notion of</w:t>
      </w:r>
      <w:r w:rsidR="00BA41E0">
        <w:rPr>
          <w:sz w:val="24"/>
          <w:szCs w:val="24"/>
        </w:rPr>
        <w:t xml:space="preserve"> (multi-cultural)</w:t>
      </w:r>
      <w:r>
        <w:rPr>
          <w:sz w:val="24"/>
          <w:szCs w:val="24"/>
        </w:rPr>
        <w:t xml:space="preserve"> ‘distributive justice’ which is embodied throughout his ‘reciprocity principle’</w:t>
      </w:r>
      <w:r w:rsidR="00677F72">
        <w:rPr>
          <w:sz w:val="24"/>
          <w:szCs w:val="24"/>
        </w:rPr>
        <w:t xml:space="preserve"> </w:t>
      </w:r>
      <w:r w:rsidR="00042C06">
        <w:rPr>
          <w:sz w:val="24"/>
          <w:szCs w:val="24"/>
        </w:rPr>
        <w:t>(White, 2000: 507-509)</w:t>
      </w:r>
      <w:r>
        <w:rPr>
          <w:sz w:val="24"/>
          <w:szCs w:val="24"/>
        </w:rPr>
        <w:t xml:space="preserve">. Conditions of fair reciprocity are only validated once governments and policy makers fulfil a number of egalitarian obligations. </w:t>
      </w:r>
      <w:r w:rsidR="00717C3D">
        <w:rPr>
          <w:sz w:val="24"/>
          <w:szCs w:val="24"/>
        </w:rPr>
        <w:t>A</w:t>
      </w:r>
      <w:r>
        <w:rPr>
          <w:sz w:val="24"/>
          <w:szCs w:val="24"/>
        </w:rPr>
        <w:t>lthough engagement in paid employment plays a relatively significant part of White’s vision, he also recognises the important role of care giving and other activities such as volunteering as representing productive participation</w:t>
      </w:r>
      <w:r w:rsidRPr="009223A1">
        <w:rPr>
          <w:sz w:val="24"/>
          <w:szCs w:val="24"/>
        </w:rPr>
        <w:t xml:space="preserve"> </w:t>
      </w:r>
      <w:r>
        <w:rPr>
          <w:sz w:val="24"/>
          <w:szCs w:val="24"/>
        </w:rPr>
        <w:t>(White, 2000</w:t>
      </w:r>
      <w:r>
        <w:rPr>
          <w:rFonts w:cstheme="minorHAnsi"/>
          <w:sz w:val="24"/>
          <w:szCs w:val="24"/>
        </w:rPr>
        <w:t xml:space="preserve">; </w:t>
      </w:r>
      <w:r w:rsidRPr="003664A3">
        <w:rPr>
          <w:rFonts w:cstheme="minorHAnsi"/>
          <w:sz w:val="24"/>
          <w:szCs w:val="24"/>
        </w:rPr>
        <w:t>Watts and Fitzpatrick, 2018</w:t>
      </w:r>
      <w:r>
        <w:rPr>
          <w:rFonts w:cstheme="minorHAnsi"/>
          <w:sz w:val="24"/>
          <w:szCs w:val="24"/>
        </w:rPr>
        <w:t>)</w:t>
      </w:r>
      <w:r>
        <w:rPr>
          <w:sz w:val="24"/>
          <w:szCs w:val="24"/>
        </w:rPr>
        <w:t xml:space="preserve">. </w:t>
      </w:r>
    </w:p>
    <w:p w14:paraId="6E41133A" w14:textId="71154CB9" w:rsidR="00D271FB" w:rsidRDefault="00A85038" w:rsidP="0070073A">
      <w:pPr>
        <w:spacing w:line="480" w:lineRule="auto"/>
        <w:rPr>
          <w:rFonts w:cstheme="minorHAnsi"/>
          <w:sz w:val="24"/>
          <w:szCs w:val="24"/>
        </w:rPr>
      </w:pPr>
      <w:r w:rsidRPr="003664A3">
        <w:rPr>
          <w:rFonts w:cstheme="minorHAnsi"/>
          <w:sz w:val="24"/>
          <w:szCs w:val="24"/>
        </w:rPr>
        <w:t>One of the mo</w:t>
      </w:r>
      <w:r w:rsidR="00CC5B28" w:rsidRPr="003664A3">
        <w:rPr>
          <w:rFonts w:cstheme="minorHAnsi"/>
          <w:sz w:val="24"/>
          <w:szCs w:val="24"/>
        </w:rPr>
        <w:t xml:space="preserve">re </w:t>
      </w:r>
      <w:r w:rsidRPr="003664A3">
        <w:rPr>
          <w:rFonts w:cstheme="minorHAnsi"/>
          <w:sz w:val="24"/>
          <w:szCs w:val="24"/>
        </w:rPr>
        <w:t>critical accounts of conditional</w:t>
      </w:r>
      <w:r w:rsidR="00F31731" w:rsidRPr="003664A3">
        <w:rPr>
          <w:rFonts w:cstheme="minorHAnsi"/>
          <w:sz w:val="24"/>
          <w:szCs w:val="24"/>
        </w:rPr>
        <w:t xml:space="preserve"> welfare</w:t>
      </w:r>
      <w:r w:rsidRPr="003664A3">
        <w:rPr>
          <w:rFonts w:cstheme="minorHAnsi"/>
          <w:sz w:val="24"/>
          <w:szCs w:val="24"/>
        </w:rPr>
        <w:t xml:space="preserve"> </w:t>
      </w:r>
      <w:r w:rsidR="00CC5B28" w:rsidRPr="003664A3">
        <w:rPr>
          <w:rFonts w:cstheme="minorHAnsi"/>
          <w:sz w:val="24"/>
          <w:szCs w:val="24"/>
        </w:rPr>
        <w:t>has been</w:t>
      </w:r>
      <w:r w:rsidRPr="003664A3">
        <w:rPr>
          <w:rFonts w:cstheme="minorHAnsi"/>
          <w:sz w:val="24"/>
          <w:szCs w:val="24"/>
        </w:rPr>
        <w:t xml:space="preserve"> provided by </w:t>
      </w:r>
      <w:r w:rsidR="006D282E">
        <w:rPr>
          <w:rFonts w:cstheme="minorHAnsi"/>
          <w:sz w:val="24"/>
          <w:szCs w:val="24"/>
        </w:rPr>
        <w:t xml:space="preserve">the diverse range of </w:t>
      </w:r>
      <w:r w:rsidRPr="003664A3">
        <w:rPr>
          <w:rFonts w:cstheme="minorHAnsi"/>
          <w:sz w:val="24"/>
          <w:szCs w:val="24"/>
        </w:rPr>
        <w:t>rights-based ethical frameworks. Th</w:t>
      </w:r>
      <w:r w:rsidR="00A35821" w:rsidRPr="003664A3">
        <w:rPr>
          <w:rFonts w:cstheme="minorHAnsi"/>
          <w:sz w:val="24"/>
          <w:szCs w:val="24"/>
        </w:rPr>
        <w:t>ese</w:t>
      </w:r>
      <w:r w:rsidRPr="003664A3">
        <w:rPr>
          <w:rFonts w:cstheme="minorHAnsi"/>
          <w:sz w:val="24"/>
          <w:szCs w:val="24"/>
        </w:rPr>
        <w:t xml:space="preserve"> </w:t>
      </w:r>
      <w:r w:rsidR="00CB0205" w:rsidRPr="003664A3">
        <w:rPr>
          <w:rFonts w:cstheme="minorHAnsi"/>
          <w:sz w:val="24"/>
          <w:szCs w:val="24"/>
        </w:rPr>
        <w:t xml:space="preserve">tend to </w:t>
      </w:r>
      <w:r w:rsidRPr="003664A3">
        <w:rPr>
          <w:rFonts w:cstheme="minorHAnsi"/>
          <w:sz w:val="24"/>
          <w:szCs w:val="24"/>
        </w:rPr>
        <w:t>privileg</w:t>
      </w:r>
      <w:r w:rsidR="00CC5B28" w:rsidRPr="003664A3">
        <w:rPr>
          <w:rFonts w:cstheme="minorHAnsi"/>
          <w:sz w:val="24"/>
          <w:szCs w:val="24"/>
        </w:rPr>
        <w:t>e</w:t>
      </w:r>
      <w:r w:rsidRPr="003664A3">
        <w:rPr>
          <w:rFonts w:cstheme="minorHAnsi"/>
          <w:sz w:val="24"/>
          <w:szCs w:val="24"/>
        </w:rPr>
        <w:t xml:space="preserve"> citizenship</w:t>
      </w:r>
      <w:r w:rsidR="00A53294" w:rsidRPr="003664A3">
        <w:rPr>
          <w:rFonts w:cstheme="minorHAnsi"/>
          <w:sz w:val="24"/>
          <w:szCs w:val="24"/>
        </w:rPr>
        <w:t>-based</w:t>
      </w:r>
      <w:r w:rsidR="005D61EC">
        <w:rPr>
          <w:rFonts w:cstheme="minorHAnsi"/>
          <w:sz w:val="24"/>
          <w:szCs w:val="24"/>
        </w:rPr>
        <w:t xml:space="preserve"> and human</w:t>
      </w:r>
      <w:r w:rsidR="00A53294" w:rsidRPr="003664A3">
        <w:rPr>
          <w:rFonts w:cstheme="minorHAnsi"/>
          <w:sz w:val="24"/>
          <w:szCs w:val="24"/>
        </w:rPr>
        <w:t xml:space="preserve"> rights</w:t>
      </w:r>
      <w:r w:rsidR="00CA7FBE" w:rsidRPr="003664A3">
        <w:rPr>
          <w:rFonts w:cstheme="minorHAnsi"/>
          <w:sz w:val="24"/>
          <w:szCs w:val="24"/>
        </w:rPr>
        <w:t xml:space="preserve"> above all else, and</w:t>
      </w:r>
      <w:r w:rsidR="005D61EC">
        <w:rPr>
          <w:rFonts w:cstheme="minorHAnsi"/>
          <w:sz w:val="24"/>
          <w:szCs w:val="24"/>
        </w:rPr>
        <w:t xml:space="preserve"> </w:t>
      </w:r>
      <w:r w:rsidR="00CA7FBE" w:rsidRPr="003664A3">
        <w:rPr>
          <w:rFonts w:cstheme="minorHAnsi"/>
          <w:sz w:val="24"/>
          <w:szCs w:val="24"/>
        </w:rPr>
        <w:t xml:space="preserve">their </w:t>
      </w:r>
      <w:r w:rsidR="007F0023">
        <w:rPr>
          <w:rFonts w:cstheme="minorHAnsi"/>
          <w:sz w:val="24"/>
          <w:szCs w:val="24"/>
        </w:rPr>
        <w:t xml:space="preserve">core </w:t>
      </w:r>
      <w:r w:rsidR="00CA7FBE" w:rsidRPr="003664A3">
        <w:rPr>
          <w:rFonts w:cstheme="minorHAnsi"/>
          <w:sz w:val="24"/>
          <w:szCs w:val="24"/>
        </w:rPr>
        <w:t xml:space="preserve">principles </w:t>
      </w:r>
      <w:r w:rsidR="006D282E">
        <w:rPr>
          <w:rFonts w:cstheme="minorHAnsi"/>
          <w:sz w:val="24"/>
          <w:szCs w:val="24"/>
        </w:rPr>
        <w:t>endure to varying degrees</w:t>
      </w:r>
      <w:r w:rsidR="007F0023">
        <w:rPr>
          <w:rFonts w:cstheme="minorHAnsi"/>
          <w:sz w:val="24"/>
          <w:szCs w:val="24"/>
        </w:rPr>
        <w:t xml:space="preserve"> </w:t>
      </w:r>
      <w:r w:rsidR="00CA7FBE" w:rsidRPr="003664A3">
        <w:rPr>
          <w:rFonts w:cstheme="minorHAnsi"/>
          <w:sz w:val="24"/>
          <w:szCs w:val="24"/>
        </w:rPr>
        <w:t>i</w:t>
      </w:r>
      <w:r w:rsidR="00CC5B28" w:rsidRPr="003664A3">
        <w:rPr>
          <w:rFonts w:cstheme="minorHAnsi"/>
          <w:sz w:val="24"/>
          <w:szCs w:val="24"/>
        </w:rPr>
        <w:t xml:space="preserve">n </w:t>
      </w:r>
      <w:r w:rsidR="00CA7FBE" w:rsidRPr="003664A3">
        <w:rPr>
          <w:rFonts w:cstheme="minorHAnsi"/>
          <w:sz w:val="24"/>
          <w:szCs w:val="24"/>
        </w:rPr>
        <w:t xml:space="preserve">various social models of ageing, </w:t>
      </w:r>
      <w:r w:rsidR="005D61EC">
        <w:rPr>
          <w:rFonts w:cstheme="minorHAnsi"/>
          <w:sz w:val="24"/>
          <w:szCs w:val="24"/>
        </w:rPr>
        <w:t xml:space="preserve">critical gerontology, </w:t>
      </w:r>
      <w:r w:rsidR="0052235D">
        <w:rPr>
          <w:rFonts w:cstheme="minorHAnsi"/>
          <w:sz w:val="24"/>
          <w:szCs w:val="24"/>
        </w:rPr>
        <w:t>and the ethics of care</w:t>
      </w:r>
      <w:r w:rsidR="00677F72">
        <w:rPr>
          <w:rFonts w:cstheme="minorHAnsi"/>
          <w:sz w:val="24"/>
          <w:szCs w:val="24"/>
        </w:rPr>
        <w:t>,</w:t>
      </w:r>
      <w:r w:rsidR="0052235D">
        <w:rPr>
          <w:rFonts w:cstheme="minorHAnsi"/>
          <w:sz w:val="24"/>
          <w:szCs w:val="24"/>
        </w:rPr>
        <w:t xml:space="preserve"> </w:t>
      </w:r>
      <w:r w:rsidR="00CA7FBE" w:rsidRPr="003664A3">
        <w:rPr>
          <w:rFonts w:cstheme="minorHAnsi"/>
          <w:sz w:val="24"/>
          <w:szCs w:val="24"/>
        </w:rPr>
        <w:t>alongside notions of personhood</w:t>
      </w:r>
      <w:r w:rsidR="002E60C0">
        <w:rPr>
          <w:rFonts w:cstheme="minorHAnsi"/>
          <w:sz w:val="24"/>
          <w:szCs w:val="24"/>
        </w:rPr>
        <w:t xml:space="preserve"> and</w:t>
      </w:r>
      <w:r w:rsidR="00A53294" w:rsidRPr="003664A3">
        <w:rPr>
          <w:rFonts w:cstheme="minorHAnsi"/>
          <w:sz w:val="24"/>
          <w:szCs w:val="24"/>
        </w:rPr>
        <w:t xml:space="preserve"> equity</w:t>
      </w:r>
      <w:r w:rsidR="00CA7FBE" w:rsidRPr="003664A3">
        <w:rPr>
          <w:rFonts w:cstheme="minorHAnsi"/>
          <w:sz w:val="24"/>
          <w:szCs w:val="24"/>
        </w:rPr>
        <w:t xml:space="preserve">. </w:t>
      </w:r>
      <w:r w:rsidRPr="003664A3">
        <w:rPr>
          <w:rFonts w:cstheme="minorHAnsi"/>
          <w:sz w:val="24"/>
          <w:szCs w:val="24"/>
        </w:rPr>
        <w:t xml:space="preserve"> </w:t>
      </w:r>
      <w:r w:rsidR="00F31731" w:rsidRPr="003664A3">
        <w:rPr>
          <w:rFonts w:cstheme="minorHAnsi"/>
          <w:sz w:val="24"/>
          <w:szCs w:val="24"/>
        </w:rPr>
        <w:t>P</w:t>
      </w:r>
      <w:r w:rsidR="00CA7FBE" w:rsidRPr="003664A3">
        <w:rPr>
          <w:rFonts w:cstheme="minorHAnsi"/>
          <w:sz w:val="24"/>
          <w:szCs w:val="24"/>
        </w:rPr>
        <w:t xml:space="preserve">riority remains with </w:t>
      </w:r>
      <w:r w:rsidR="00130964">
        <w:rPr>
          <w:rFonts w:cstheme="minorHAnsi"/>
          <w:sz w:val="24"/>
          <w:szCs w:val="24"/>
        </w:rPr>
        <w:t xml:space="preserve">advocacy, consciousness raising, </w:t>
      </w:r>
      <w:r w:rsidR="00AA3E9B" w:rsidRPr="003664A3">
        <w:rPr>
          <w:rFonts w:cstheme="minorHAnsi"/>
          <w:sz w:val="24"/>
          <w:szCs w:val="24"/>
        </w:rPr>
        <w:t>redistributing resources</w:t>
      </w:r>
      <w:r w:rsidR="00F31731" w:rsidRPr="003664A3">
        <w:rPr>
          <w:rFonts w:cstheme="minorHAnsi"/>
          <w:sz w:val="24"/>
          <w:szCs w:val="24"/>
        </w:rPr>
        <w:t xml:space="preserve"> to favour those in need</w:t>
      </w:r>
      <w:r w:rsidR="005D61EC">
        <w:rPr>
          <w:rFonts w:cstheme="minorHAnsi"/>
          <w:sz w:val="24"/>
          <w:szCs w:val="24"/>
        </w:rPr>
        <w:t>,</w:t>
      </w:r>
      <w:r w:rsidR="00CB0205" w:rsidRPr="003664A3">
        <w:rPr>
          <w:rFonts w:cstheme="minorHAnsi"/>
          <w:sz w:val="24"/>
          <w:szCs w:val="24"/>
        </w:rPr>
        <w:t xml:space="preserve"> </w:t>
      </w:r>
      <w:r w:rsidR="006D282E">
        <w:rPr>
          <w:rFonts w:cstheme="minorHAnsi"/>
          <w:sz w:val="24"/>
          <w:szCs w:val="24"/>
        </w:rPr>
        <w:t xml:space="preserve">acknowledging forms of </w:t>
      </w:r>
      <w:r w:rsidR="002E60C0">
        <w:rPr>
          <w:rFonts w:cstheme="minorHAnsi"/>
          <w:sz w:val="24"/>
          <w:szCs w:val="24"/>
        </w:rPr>
        <w:t xml:space="preserve">social </w:t>
      </w:r>
      <w:r w:rsidR="006D282E">
        <w:rPr>
          <w:rFonts w:cstheme="minorHAnsi"/>
          <w:sz w:val="24"/>
          <w:szCs w:val="24"/>
        </w:rPr>
        <w:t>exclusion</w:t>
      </w:r>
      <w:r w:rsidR="00677F72">
        <w:rPr>
          <w:rFonts w:cstheme="minorHAnsi"/>
          <w:sz w:val="24"/>
          <w:szCs w:val="24"/>
        </w:rPr>
        <w:t>,</w:t>
      </w:r>
      <w:r w:rsidR="006D282E">
        <w:rPr>
          <w:rFonts w:cstheme="minorHAnsi"/>
          <w:sz w:val="24"/>
          <w:szCs w:val="24"/>
        </w:rPr>
        <w:t xml:space="preserve"> and </w:t>
      </w:r>
      <w:r w:rsidR="00572B72">
        <w:rPr>
          <w:rFonts w:cstheme="minorHAnsi"/>
          <w:sz w:val="24"/>
          <w:szCs w:val="24"/>
        </w:rPr>
        <w:t xml:space="preserve">ideally </w:t>
      </w:r>
      <w:r w:rsidR="00CB0205" w:rsidRPr="003664A3">
        <w:rPr>
          <w:rFonts w:cstheme="minorHAnsi"/>
          <w:sz w:val="24"/>
          <w:szCs w:val="24"/>
        </w:rPr>
        <w:t xml:space="preserve">providing </w:t>
      </w:r>
      <w:r w:rsidR="00CA7FBE" w:rsidRPr="003664A3">
        <w:rPr>
          <w:rFonts w:cstheme="minorHAnsi"/>
          <w:sz w:val="24"/>
          <w:szCs w:val="24"/>
        </w:rPr>
        <w:t xml:space="preserve">adequate </w:t>
      </w:r>
      <w:r w:rsidR="00473683">
        <w:rPr>
          <w:rFonts w:cstheme="minorHAnsi"/>
          <w:sz w:val="24"/>
          <w:szCs w:val="24"/>
        </w:rPr>
        <w:t>health or social</w:t>
      </w:r>
      <w:r w:rsidR="00CA7FBE" w:rsidRPr="003664A3">
        <w:rPr>
          <w:rFonts w:cstheme="minorHAnsi"/>
          <w:sz w:val="24"/>
          <w:szCs w:val="24"/>
        </w:rPr>
        <w:t xml:space="preserve"> care</w:t>
      </w:r>
      <w:r w:rsidR="00DF7697" w:rsidRPr="003664A3">
        <w:rPr>
          <w:rFonts w:cstheme="minorHAnsi"/>
          <w:sz w:val="24"/>
          <w:szCs w:val="24"/>
        </w:rPr>
        <w:t xml:space="preserve"> a</w:t>
      </w:r>
      <w:r w:rsidR="00A53294" w:rsidRPr="003664A3">
        <w:rPr>
          <w:rFonts w:cstheme="minorHAnsi"/>
          <w:sz w:val="24"/>
          <w:szCs w:val="24"/>
        </w:rPr>
        <w:t>longside</w:t>
      </w:r>
      <w:r w:rsidR="00DF7697" w:rsidRPr="003664A3">
        <w:rPr>
          <w:rFonts w:cstheme="minorHAnsi"/>
          <w:sz w:val="24"/>
          <w:szCs w:val="24"/>
        </w:rPr>
        <w:t xml:space="preserve"> </w:t>
      </w:r>
      <w:r w:rsidR="00A53294" w:rsidRPr="003664A3">
        <w:rPr>
          <w:rFonts w:cstheme="minorHAnsi"/>
          <w:sz w:val="24"/>
          <w:szCs w:val="24"/>
        </w:rPr>
        <w:t>state fun</w:t>
      </w:r>
      <w:r w:rsidR="00406933">
        <w:rPr>
          <w:rFonts w:cstheme="minorHAnsi"/>
          <w:sz w:val="24"/>
          <w:szCs w:val="24"/>
        </w:rPr>
        <w:t xml:space="preserve">ded </w:t>
      </w:r>
      <w:r w:rsidR="00B63799">
        <w:rPr>
          <w:rFonts w:cstheme="minorHAnsi"/>
          <w:sz w:val="24"/>
          <w:szCs w:val="24"/>
        </w:rPr>
        <w:t>benefits</w:t>
      </w:r>
      <w:r w:rsidR="001F5C48" w:rsidRPr="003664A3">
        <w:rPr>
          <w:rFonts w:cstheme="minorHAnsi"/>
          <w:sz w:val="24"/>
          <w:szCs w:val="24"/>
        </w:rPr>
        <w:t>.</w:t>
      </w:r>
      <w:r w:rsidR="00DF7697" w:rsidRPr="003664A3">
        <w:rPr>
          <w:rFonts w:cstheme="minorHAnsi"/>
          <w:sz w:val="24"/>
          <w:szCs w:val="24"/>
        </w:rPr>
        <w:t xml:space="preserve"> </w:t>
      </w:r>
      <w:r w:rsidR="008F1D5B" w:rsidRPr="003664A3">
        <w:rPr>
          <w:rFonts w:cstheme="minorHAnsi"/>
          <w:sz w:val="24"/>
          <w:szCs w:val="24"/>
        </w:rPr>
        <w:t>Although popular with advocacy groups</w:t>
      </w:r>
      <w:r w:rsidR="000B6DC6">
        <w:rPr>
          <w:rFonts w:cstheme="minorHAnsi"/>
          <w:sz w:val="24"/>
          <w:szCs w:val="24"/>
        </w:rPr>
        <w:t xml:space="preserve"> and </w:t>
      </w:r>
      <w:r w:rsidR="00A13070">
        <w:rPr>
          <w:rFonts w:cstheme="minorHAnsi"/>
          <w:sz w:val="24"/>
          <w:szCs w:val="24"/>
        </w:rPr>
        <w:t xml:space="preserve">many </w:t>
      </w:r>
      <w:r w:rsidR="000B6DC6">
        <w:rPr>
          <w:rFonts w:cstheme="minorHAnsi"/>
          <w:sz w:val="24"/>
          <w:szCs w:val="24"/>
        </w:rPr>
        <w:t>pedagogues</w:t>
      </w:r>
      <w:r w:rsidR="008F1D5B" w:rsidRPr="003664A3">
        <w:rPr>
          <w:rFonts w:cstheme="minorHAnsi"/>
          <w:sz w:val="24"/>
          <w:szCs w:val="24"/>
        </w:rPr>
        <w:t xml:space="preserve">, </w:t>
      </w:r>
      <w:r w:rsidR="00677F72">
        <w:rPr>
          <w:rFonts w:cstheme="minorHAnsi"/>
          <w:sz w:val="24"/>
          <w:szCs w:val="24"/>
        </w:rPr>
        <w:t>r</w:t>
      </w:r>
      <w:r w:rsidR="008F1D5B" w:rsidRPr="003664A3">
        <w:rPr>
          <w:rFonts w:cstheme="minorHAnsi"/>
          <w:sz w:val="24"/>
          <w:szCs w:val="24"/>
        </w:rPr>
        <w:t xml:space="preserve">ights-based frameworks </w:t>
      </w:r>
      <w:r w:rsidR="00D06DCC" w:rsidRPr="003664A3">
        <w:rPr>
          <w:rFonts w:cstheme="minorHAnsi"/>
          <w:sz w:val="24"/>
          <w:szCs w:val="24"/>
        </w:rPr>
        <w:t>often</w:t>
      </w:r>
      <w:r w:rsidR="001F5C48" w:rsidRPr="003664A3">
        <w:rPr>
          <w:rFonts w:cstheme="minorHAnsi"/>
          <w:sz w:val="24"/>
          <w:szCs w:val="24"/>
        </w:rPr>
        <w:t xml:space="preserve"> </w:t>
      </w:r>
      <w:r w:rsidR="008F1D5B" w:rsidRPr="003664A3">
        <w:rPr>
          <w:rFonts w:cstheme="minorHAnsi"/>
          <w:sz w:val="24"/>
          <w:szCs w:val="24"/>
        </w:rPr>
        <w:t xml:space="preserve">lack </w:t>
      </w:r>
      <w:r w:rsidR="00B63799">
        <w:rPr>
          <w:rFonts w:cstheme="minorHAnsi"/>
          <w:sz w:val="24"/>
          <w:szCs w:val="24"/>
        </w:rPr>
        <w:t>substantive</w:t>
      </w:r>
      <w:r w:rsidR="00961404" w:rsidRPr="003664A3">
        <w:rPr>
          <w:rFonts w:cstheme="minorHAnsi"/>
          <w:sz w:val="24"/>
          <w:szCs w:val="24"/>
        </w:rPr>
        <w:t xml:space="preserve"> </w:t>
      </w:r>
      <w:r w:rsidR="008F1D5B" w:rsidRPr="003664A3">
        <w:rPr>
          <w:rFonts w:cstheme="minorHAnsi"/>
          <w:sz w:val="24"/>
          <w:szCs w:val="24"/>
        </w:rPr>
        <w:t>influence</w:t>
      </w:r>
      <w:r w:rsidR="00A8039C" w:rsidRPr="003664A3">
        <w:rPr>
          <w:rFonts w:cstheme="minorHAnsi"/>
          <w:sz w:val="24"/>
          <w:szCs w:val="24"/>
        </w:rPr>
        <w:t xml:space="preserve"> </w:t>
      </w:r>
      <w:r w:rsidR="008F1D5B" w:rsidRPr="003664A3">
        <w:rPr>
          <w:rFonts w:cstheme="minorHAnsi"/>
          <w:sz w:val="24"/>
          <w:szCs w:val="24"/>
        </w:rPr>
        <w:t>within government</w:t>
      </w:r>
      <w:r w:rsidR="00A13070">
        <w:rPr>
          <w:rFonts w:cstheme="minorHAnsi"/>
          <w:sz w:val="24"/>
          <w:szCs w:val="24"/>
        </w:rPr>
        <w:t>,</w:t>
      </w:r>
      <w:r w:rsidR="008F1D5B" w:rsidRPr="003664A3">
        <w:rPr>
          <w:rFonts w:cstheme="minorHAnsi"/>
          <w:sz w:val="24"/>
          <w:szCs w:val="24"/>
        </w:rPr>
        <w:t xml:space="preserve"> among policy make</w:t>
      </w:r>
      <w:r w:rsidR="00961404" w:rsidRPr="003664A3">
        <w:rPr>
          <w:rFonts w:cstheme="minorHAnsi"/>
          <w:sz w:val="24"/>
          <w:szCs w:val="24"/>
        </w:rPr>
        <w:t>r</w:t>
      </w:r>
      <w:r w:rsidR="008F1D5B" w:rsidRPr="003664A3">
        <w:rPr>
          <w:rFonts w:cstheme="minorHAnsi"/>
          <w:sz w:val="24"/>
          <w:szCs w:val="24"/>
        </w:rPr>
        <w:t>s</w:t>
      </w:r>
      <w:r w:rsidR="00A13070">
        <w:rPr>
          <w:rFonts w:cstheme="minorHAnsi"/>
          <w:sz w:val="24"/>
          <w:szCs w:val="24"/>
        </w:rPr>
        <w:t xml:space="preserve"> and can be challenging to consistently apply at street-level</w:t>
      </w:r>
      <w:r w:rsidR="008F1D5B" w:rsidRPr="003664A3">
        <w:rPr>
          <w:rFonts w:cstheme="minorHAnsi"/>
          <w:sz w:val="24"/>
          <w:szCs w:val="24"/>
        </w:rPr>
        <w:t xml:space="preserve">. </w:t>
      </w:r>
      <w:r w:rsidR="004045A3" w:rsidRPr="003664A3">
        <w:rPr>
          <w:rFonts w:cstheme="minorHAnsi"/>
          <w:sz w:val="24"/>
          <w:szCs w:val="24"/>
        </w:rPr>
        <w:t xml:space="preserve">They </w:t>
      </w:r>
      <w:r w:rsidR="00572B72">
        <w:rPr>
          <w:rFonts w:cstheme="minorHAnsi"/>
          <w:sz w:val="24"/>
          <w:szCs w:val="24"/>
        </w:rPr>
        <w:t xml:space="preserve">can </w:t>
      </w:r>
      <w:r w:rsidR="00A53294" w:rsidRPr="003664A3">
        <w:rPr>
          <w:rFonts w:cstheme="minorHAnsi"/>
          <w:sz w:val="24"/>
          <w:szCs w:val="24"/>
        </w:rPr>
        <w:t xml:space="preserve">offer a viable framework for collective resistance but </w:t>
      </w:r>
      <w:r w:rsidR="00130964">
        <w:rPr>
          <w:rFonts w:cstheme="minorHAnsi"/>
          <w:sz w:val="24"/>
          <w:szCs w:val="24"/>
        </w:rPr>
        <w:t xml:space="preserve">some frameworks </w:t>
      </w:r>
      <w:r w:rsidR="00A8039C" w:rsidRPr="003664A3">
        <w:rPr>
          <w:rFonts w:cstheme="minorHAnsi"/>
          <w:sz w:val="24"/>
          <w:szCs w:val="24"/>
        </w:rPr>
        <w:t>have been criti</w:t>
      </w:r>
      <w:r w:rsidR="003B4F62">
        <w:rPr>
          <w:rFonts w:cstheme="minorHAnsi"/>
          <w:sz w:val="24"/>
          <w:szCs w:val="24"/>
        </w:rPr>
        <w:t>cised</w:t>
      </w:r>
      <w:r w:rsidR="00ED729B">
        <w:rPr>
          <w:rFonts w:cstheme="minorHAnsi"/>
          <w:sz w:val="24"/>
          <w:szCs w:val="24"/>
        </w:rPr>
        <w:t xml:space="preserve"> as </w:t>
      </w:r>
      <w:r w:rsidR="00A8039C" w:rsidRPr="003664A3">
        <w:rPr>
          <w:rFonts w:cstheme="minorHAnsi"/>
          <w:sz w:val="24"/>
          <w:szCs w:val="24"/>
        </w:rPr>
        <w:t>being</w:t>
      </w:r>
      <w:r w:rsidR="00AA1CA4" w:rsidRPr="003664A3">
        <w:rPr>
          <w:rFonts w:cstheme="minorHAnsi"/>
          <w:sz w:val="24"/>
          <w:szCs w:val="24"/>
        </w:rPr>
        <w:t xml:space="preserve"> built </w:t>
      </w:r>
      <w:r w:rsidR="00087E77" w:rsidRPr="003664A3">
        <w:rPr>
          <w:rFonts w:cstheme="minorHAnsi"/>
          <w:sz w:val="24"/>
          <w:szCs w:val="24"/>
        </w:rPr>
        <w:t>upon</w:t>
      </w:r>
      <w:r w:rsidR="004045A3" w:rsidRPr="003664A3">
        <w:rPr>
          <w:rFonts w:cstheme="minorHAnsi"/>
          <w:sz w:val="24"/>
          <w:szCs w:val="24"/>
        </w:rPr>
        <w:t xml:space="preserve"> </w:t>
      </w:r>
      <w:r w:rsidR="00AA1CA4" w:rsidRPr="003664A3">
        <w:rPr>
          <w:rFonts w:cstheme="minorHAnsi"/>
          <w:sz w:val="24"/>
          <w:szCs w:val="24"/>
        </w:rPr>
        <w:t xml:space="preserve">rather </w:t>
      </w:r>
      <w:r w:rsidR="001F5C48" w:rsidRPr="003664A3">
        <w:rPr>
          <w:rFonts w:cstheme="minorHAnsi"/>
          <w:sz w:val="24"/>
          <w:szCs w:val="24"/>
        </w:rPr>
        <w:lastRenderedPageBreak/>
        <w:t xml:space="preserve">broad </w:t>
      </w:r>
      <w:r w:rsidR="00087E77" w:rsidRPr="003664A3">
        <w:rPr>
          <w:rFonts w:cstheme="minorHAnsi"/>
          <w:sz w:val="24"/>
          <w:szCs w:val="24"/>
        </w:rPr>
        <w:t xml:space="preserve">or even </w:t>
      </w:r>
      <w:r w:rsidR="00D06DCC" w:rsidRPr="003664A3">
        <w:rPr>
          <w:rFonts w:cstheme="minorHAnsi"/>
          <w:sz w:val="24"/>
          <w:szCs w:val="24"/>
        </w:rPr>
        <w:t>abstract</w:t>
      </w:r>
      <w:r w:rsidR="004045A3" w:rsidRPr="003664A3">
        <w:rPr>
          <w:rFonts w:cstheme="minorHAnsi"/>
          <w:sz w:val="24"/>
          <w:szCs w:val="24"/>
        </w:rPr>
        <w:t xml:space="preserve"> </w:t>
      </w:r>
      <w:r w:rsidR="001F5C48" w:rsidRPr="003664A3">
        <w:rPr>
          <w:rFonts w:cstheme="minorHAnsi"/>
          <w:sz w:val="24"/>
          <w:szCs w:val="24"/>
        </w:rPr>
        <w:t xml:space="preserve">notions of </w:t>
      </w:r>
      <w:r w:rsidR="00D06DCC" w:rsidRPr="003664A3">
        <w:rPr>
          <w:rFonts w:cstheme="minorHAnsi"/>
          <w:sz w:val="24"/>
          <w:szCs w:val="24"/>
        </w:rPr>
        <w:t xml:space="preserve">rights, </w:t>
      </w:r>
      <w:r w:rsidR="003B4F62">
        <w:rPr>
          <w:rFonts w:cstheme="minorHAnsi"/>
          <w:sz w:val="24"/>
          <w:szCs w:val="24"/>
        </w:rPr>
        <w:t>w</w:t>
      </w:r>
      <w:r w:rsidR="00130964">
        <w:rPr>
          <w:rFonts w:cstheme="minorHAnsi"/>
          <w:sz w:val="24"/>
          <w:szCs w:val="24"/>
        </w:rPr>
        <w:t>hile others may</w:t>
      </w:r>
      <w:r w:rsidR="00D06DCC" w:rsidRPr="003664A3">
        <w:rPr>
          <w:rFonts w:cstheme="minorHAnsi"/>
          <w:sz w:val="24"/>
          <w:szCs w:val="24"/>
        </w:rPr>
        <w:t xml:space="preserve"> understate</w:t>
      </w:r>
      <w:r w:rsidR="00406933">
        <w:rPr>
          <w:rFonts w:cstheme="minorHAnsi"/>
          <w:sz w:val="24"/>
          <w:szCs w:val="24"/>
        </w:rPr>
        <w:t xml:space="preserve"> the impact of</w:t>
      </w:r>
      <w:r w:rsidR="00130964">
        <w:rPr>
          <w:rFonts w:cstheme="minorHAnsi"/>
          <w:sz w:val="24"/>
          <w:szCs w:val="24"/>
        </w:rPr>
        <w:t xml:space="preserve"> social class,</w:t>
      </w:r>
      <w:r w:rsidR="00D06DCC" w:rsidRPr="003664A3">
        <w:rPr>
          <w:rFonts w:cstheme="minorHAnsi"/>
          <w:sz w:val="24"/>
          <w:szCs w:val="24"/>
        </w:rPr>
        <w:t xml:space="preserve"> diversity</w:t>
      </w:r>
      <w:r w:rsidR="00ED729B">
        <w:rPr>
          <w:rFonts w:cstheme="minorHAnsi"/>
          <w:sz w:val="24"/>
          <w:szCs w:val="24"/>
        </w:rPr>
        <w:t xml:space="preserve"> or conflict</w:t>
      </w:r>
      <w:r w:rsidR="00572B72">
        <w:rPr>
          <w:rFonts w:cstheme="minorHAnsi"/>
          <w:sz w:val="24"/>
          <w:szCs w:val="24"/>
        </w:rPr>
        <w:t xml:space="preserve"> </w:t>
      </w:r>
      <w:r w:rsidR="00C04ACB">
        <w:rPr>
          <w:rFonts w:cstheme="minorHAnsi"/>
          <w:sz w:val="24"/>
          <w:szCs w:val="24"/>
        </w:rPr>
        <w:t>between s</w:t>
      </w:r>
      <w:r w:rsidR="00B63799">
        <w:rPr>
          <w:rFonts w:cstheme="minorHAnsi"/>
          <w:sz w:val="24"/>
          <w:szCs w:val="24"/>
        </w:rPr>
        <w:t xml:space="preserve">ocial </w:t>
      </w:r>
      <w:r w:rsidR="00C04ACB">
        <w:rPr>
          <w:rFonts w:cstheme="minorHAnsi"/>
          <w:sz w:val="24"/>
          <w:szCs w:val="24"/>
        </w:rPr>
        <w:t>groups</w:t>
      </w:r>
      <w:r w:rsidR="00572B72">
        <w:rPr>
          <w:rFonts w:cstheme="minorHAnsi"/>
          <w:sz w:val="24"/>
          <w:szCs w:val="24"/>
        </w:rPr>
        <w:t xml:space="preserve"> </w:t>
      </w:r>
      <w:r w:rsidR="00ED729B">
        <w:rPr>
          <w:rFonts w:cstheme="minorHAnsi"/>
          <w:sz w:val="24"/>
          <w:szCs w:val="24"/>
        </w:rPr>
        <w:t>(</w:t>
      </w:r>
      <w:proofErr w:type="spellStart"/>
      <w:r w:rsidR="00ED729B">
        <w:rPr>
          <w:rFonts w:cstheme="minorHAnsi"/>
          <w:sz w:val="24"/>
          <w:szCs w:val="24"/>
        </w:rPr>
        <w:t>Gilleard</w:t>
      </w:r>
      <w:proofErr w:type="spellEnd"/>
      <w:r w:rsidR="00ED729B">
        <w:rPr>
          <w:rFonts w:cstheme="minorHAnsi"/>
          <w:sz w:val="24"/>
          <w:szCs w:val="24"/>
        </w:rPr>
        <w:t xml:space="preserve"> and Higgs, 2000; </w:t>
      </w:r>
      <w:r w:rsidR="00ED729B" w:rsidRPr="003664A3">
        <w:rPr>
          <w:rFonts w:cstheme="minorHAnsi"/>
          <w:sz w:val="24"/>
          <w:szCs w:val="24"/>
        </w:rPr>
        <w:t>Watts and Fitzpatrick, 2018</w:t>
      </w:r>
      <w:r w:rsidR="00ED729B">
        <w:rPr>
          <w:rFonts w:cstheme="minorHAnsi"/>
          <w:sz w:val="24"/>
          <w:szCs w:val="24"/>
        </w:rPr>
        <w:t>).</w:t>
      </w:r>
    </w:p>
    <w:p w14:paraId="518B9A98" w14:textId="6F92664F" w:rsidR="00C8103F" w:rsidRPr="003664A3" w:rsidRDefault="000B6DC6" w:rsidP="0070073A">
      <w:pPr>
        <w:spacing w:line="480" w:lineRule="auto"/>
        <w:rPr>
          <w:rFonts w:cstheme="minorHAnsi"/>
          <w:sz w:val="24"/>
          <w:szCs w:val="24"/>
        </w:rPr>
      </w:pPr>
      <w:r>
        <w:rPr>
          <w:rFonts w:cstheme="minorHAnsi"/>
          <w:sz w:val="24"/>
          <w:szCs w:val="24"/>
        </w:rPr>
        <w:t>Among other paradigms, t</w:t>
      </w:r>
      <w:r w:rsidR="008F1D5B" w:rsidRPr="003664A3">
        <w:rPr>
          <w:rFonts w:cstheme="minorHAnsi"/>
          <w:sz w:val="24"/>
          <w:szCs w:val="24"/>
        </w:rPr>
        <w:t xml:space="preserve">wo </w:t>
      </w:r>
      <w:r w:rsidR="001466F4">
        <w:rPr>
          <w:rFonts w:cstheme="minorHAnsi"/>
          <w:sz w:val="24"/>
          <w:szCs w:val="24"/>
        </w:rPr>
        <w:t xml:space="preserve">very </w:t>
      </w:r>
      <w:r w:rsidR="00DC3DF9" w:rsidRPr="003664A3">
        <w:rPr>
          <w:rFonts w:cstheme="minorHAnsi"/>
          <w:sz w:val="24"/>
          <w:szCs w:val="24"/>
        </w:rPr>
        <w:t xml:space="preserve">different </w:t>
      </w:r>
      <w:r w:rsidR="00D06DCC" w:rsidRPr="003664A3">
        <w:rPr>
          <w:rFonts w:cstheme="minorHAnsi"/>
          <w:sz w:val="24"/>
          <w:szCs w:val="24"/>
        </w:rPr>
        <w:t xml:space="preserve">ethical </w:t>
      </w:r>
      <w:r w:rsidR="008F1D5B" w:rsidRPr="003664A3">
        <w:rPr>
          <w:rFonts w:cstheme="minorHAnsi"/>
          <w:sz w:val="24"/>
          <w:szCs w:val="24"/>
        </w:rPr>
        <w:t>frameworks</w:t>
      </w:r>
      <w:r w:rsidR="00F420B2" w:rsidRPr="003664A3">
        <w:rPr>
          <w:rFonts w:cstheme="minorHAnsi"/>
          <w:sz w:val="24"/>
          <w:szCs w:val="24"/>
        </w:rPr>
        <w:t xml:space="preserve"> have tended to</w:t>
      </w:r>
      <w:r w:rsidR="00D06DCC" w:rsidRPr="003664A3">
        <w:rPr>
          <w:rFonts w:cstheme="minorHAnsi"/>
          <w:sz w:val="24"/>
          <w:szCs w:val="24"/>
        </w:rPr>
        <w:t xml:space="preserve"> </w:t>
      </w:r>
      <w:r w:rsidR="006F3E37">
        <w:rPr>
          <w:rFonts w:cstheme="minorHAnsi"/>
          <w:sz w:val="24"/>
          <w:szCs w:val="24"/>
        </w:rPr>
        <w:t xml:space="preserve">more explicitly </w:t>
      </w:r>
      <w:r w:rsidR="00C058D9">
        <w:rPr>
          <w:rFonts w:cstheme="minorHAnsi"/>
          <w:sz w:val="24"/>
          <w:szCs w:val="24"/>
        </w:rPr>
        <w:t xml:space="preserve">reflect or </w:t>
      </w:r>
      <w:r w:rsidR="00C3637A">
        <w:rPr>
          <w:rFonts w:cstheme="minorHAnsi"/>
          <w:sz w:val="24"/>
          <w:szCs w:val="24"/>
        </w:rPr>
        <w:t>re</w:t>
      </w:r>
      <w:r w:rsidR="00C058D9">
        <w:rPr>
          <w:rFonts w:cstheme="minorHAnsi"/>
          <w:sz w:val="24"/>
          <w:szCs w:val="24"/>
        </w:rPr>
        <w:t>inforce</w:t>
      </w:r>
      <w:r w:rsidR="00C3637A">
        <w:rPr>
          <w:rFonts w:cstheme="minorHAnsi"/>
          <w:sz w:val="24"/>
          <w:szCs w:val="24"/>
        </w:rPr>
        <w:t xml:space="preserve"> aspects of</w:t>
      </w:r>
      <w:r w:rsidR="00DB241B" w:rsidRPr="003664A3">
        <w:rPr>
          <w:rFonts w:cstheme="minorHAnsi"/>
          <w:sz w:val="24"/>
          <w:szCs w:val="24"/>
        </w:rPr>
        <w:t xml:space="preserve"> policy</w:t>
      </w:r>
      <w:r w:rsidR="008F1D5B" w:rsidRPr="003664A3">
        <w:rPr>
          <w:rFonts w:cstheme="minorHAnsi"/>
          <w:sz w:val="24"/>
          <w:szCs w:val="24"/>
        </w:rPr>
        <w:t xml:space="preserve">. First, </w:t>
      </w:r>
      <w:r w:rsidR="00804F8C" w:rsidRPr="003664A3">
        <w:rPr>
          <w:rFonts w:cstheme="minorHAnsi"/>
          <w:sz w:val="24"/>
          <w:szCs w:val="24"/>
        </w:rPr>
        <w:t>utilitarianism carries an egalitarian</w:t>
      </w:r>
      <w:r w:rsidR="007D5AF6">
        <w:rPr>
          <w:rFonts w:cstheme="minorHAnsi"/>
          <w:sz w:val="24"/>
          <w:szCs w:val="24"/>
        </w:rPr>
        <w:t xml:space="preserve"> and teleological</w:t>
      </w:r>
      <w:r w:rsidR="00804F8C" w:rsidRPr="003664A3">
        <w:rPr>
          <w:rFonts w:cstheme="minorHAnsi"/>
          <w:sz w:val="24"/>
          <w:szCs w:val="24"/>
        </w:rPr>
        <w:t xml:space="preserve"> dimension </w:t>
      </w:r>
      <w:r w:rsidR="005E1DB1" w:rsidRPr="003664A3">
        <w:rPr>
          <w:rFonts w:cstheme="minorHAnsi"/>
          <w:sz w:val="24"/>
          <w:szCs w:val="24"/>
        </w:rPr>
        <w:t>with</w:t>
      </w:r>
      <w:r w:rsidR="00DB241B" w:rsidRPr="003664A3">
        <w:rPr>
          <w:rFonts w:cstheme="minorHAnsi"/>
          <w:sz w:val="24"/>
          <w:szCs w:val="24"/>
        </w:rPr>
        <w:t xml:space="preserve"> its</w:t>
      </w:r>
      <w:r w:rsidR="00804F8C" w:rsidRPr="003664A3">
        <w:rPr>
          <w:rFonts w:cstheme="minorHAnsi"/>
          <w:sz w:val="24"/>
          <w:szCs w:val="24"/>
        </w:rPr>
        <w:t xml:space="preserve"> priorit</w:t>
      </w:r>
      <w:r w:rsidR="00DB241B" w:rsidRPr="003664A3">
        <w:rPr>
          <w:rFonts w:cstheme="minorHAnsi"/>
          <w:sz w:val="24"/>
          <w:szCs w:val="24"/>
        </w:rPr>
        <w:t>y given to</w:t>
      </w:r>
      <w:r w:rsidR="00804F8C" w:rsidRPr="003664A3">
        <w:rPr>
          <w:rFonts w:cstheme="minorHAnsi"/>
          <w:sz w:val="24"/>
          <w:szCs w:val="24"/>
        </w:rPr>
        <w:t xml:space="preserve"> </w:t>
      </w:r>
      <w:r w:rsidR="005E1DB1" w:rsidRPr="003664A3">
        <w:rPr>
          <w:rFonts w:cstheme="minorHAnsi"/>
          <w:sz w:val="24"/>
          <w:szCs w:val="24"/>
        </w:rPr>
        <w:t xml:space="preserve">positive outcomes, </w:t>
      </w:r>
      <w:r w:rsidR="00804F8C" w:rsidRPr="003664A3">
        <w:rPr>
          <w:rFonts w:cstheme="minorHAnsi"/>
          <w:sz w:val="24"/>
          <w:szCs w:val="24"/>
        </w:rPr>
        <w:t>wider social welfare</w:t>
      </w:r>
      <w:r w:rsidR="00D8788F">
        <w:rPr>
          <w:rFonts w:cstheme="minorHAnsi"/>
          <w:sz w:val="24"/>
          <w:szCs w:val="24"/>
        </w:rPr>
        <w:t>,</w:t>
      </w:r>
      <w:r w:rsidR="00BC224D" w:rsidRPr="003664A3">
        <w:rPr>
          <w:rFonts w:cstheme="minorHAnsi"/>
          <w:sz w:val="24"/>
          <w:szCs w:val="24"/>
        </w:rPr>
        <w:t xml:space="preserve"> </w:t>
      </w:r>
      <w:r w:rsidR="006F3E37">
        <w:rPr>
          <w:rFonts w:cstheme="minorHAnsi"/>
          <w:sz w:val="24"/>
          <w:szCs w:val="24"/>
        </w:rPr>
        <w:t xml:space="preserve">or </w:t>
      </w:r>
      <w:r w:rsidR="00804F8C" w:rsidRPr="003664A3">
        <w:rPr>
          <w:rFonts w:cstheme="minorHAnsi"/>
          <w:sz w:val="24"/>
          <w:szCs w:val="24"/>
        </w:rPr>
        <w:t>wellbeing for the many</w:t>
      </w:r>
      <w:r w:rsidR="00BC224D" w:rsidRPr="003664A3">
        <w:rPr>
          <w:rFonts w:cstheme="minorHAnsi"/>
          <w:sz w:val="24"/>
          <w:szCs w:val="24"/>
        </w:rPr>
        <w:t xml:space="preserve"> alongside utility and impartiality</w:t>
      </w:r>
      <w:r w:rsidR="004045A3" w:rsidRPr="003664A3">
        <w:rPr>
          <w:rFonts w:cstheme="minorHAnsi"/>
          <w:sz w:val="24"/>
          <w:szCs w:val="24"/>
        </w:rPr>
        <w:t xml:space="preserve"> (Singer, 1993)</w:t>
      </w:r>
      <w:r w:rsidR="00804F8C" w:rsidRPr="003664A3">
        <w:rPr>
          <w:rFonts w:cstheme="minorHAnsi"/>
          <w:sz w:val="24"/>
          <w:szCs w:val="24"/>
        </w:rPr>
        <w:t xml:space="preserve">. </w:t>
      </w:r>
      <w:r w:rsidR="00917B55" w:rsidRPr="003664A3">
        <w:rPr>
          <w:rFonts w:cstheme="minorHAnsi"/>
          <w:sz w:val="24"/>
          <w:szCs w:val="24"/>
        </w:rPr>
        <w:t>Welfare c</w:t>
      </w:r>
      <w:r w:rsidR="00804F8C" w:rsidRPr="003664A3">
        <w:rPr>
          <w:rFonts w:cstheme="minorHAnsi"/>
          <w:sz w:val="24"/>
          <w:szCs w:val="24"/>
        </w:rPr>
        <w:t xml:space="preserve">onditionality is </w:t>
      </w:r>
      <w:r w:rsidR="005E1DB1" w:rsidRPr="003664A3">
        <w:rPr>
          <w:rFonts w:cstheme="minorHAnsi"/>
          <w:sz w:val="24"/>
          <w:szCs w:val="24"/>
        </w:rPr>
        <w:t xml:space="preserve">chiefly </w:t>
      </w:r>
      <w:r w:rsidR="00804F8C" w:rsidRPr="003664A3">
        <w:rPr>
          <w:rFonts w:cstheme="minorHAnsi"/>
          <w:sz w:val="24"/>
          <w:szCs w:val="24"/>
        </w:rPr>
        <w:t xml:space="preserve">justified on </w:t>
      </w:r>
      <w:r w:rsidR="00BC224D" w:rsidRPr="003664A3">
        <w:rPr>
          <w:rFonts w:cstheme="minorHAnsi"/>
          <w:sz w:val="24"/>
          <w:szCs w:val="24"/>
        </w:rPr>
        <w:t xml:space="preserve">the </w:t>
      </w:r>
      <w:r w:rsidR="00804F8C" w:rsidRPr="003664A3">
        <w:rPr>
          <w:rFonts w:cstheme="minorHAnsi"/>
          <w:sz w:val="24"/>
          <w:szCs w:val="24"/>
        </w:rPr>
        <w:t xml:space="preserve">grounds of economic </w:t>
      </w:r>
      <w:r w:rsidR="00DB241B" w:rsidRPr="003664A3">
        <w:rPr>
          <w:rFonts w:cstheme="minorHAnsi"/>
          <w:sz w:val="24"/>
          <w:szCs w:val="24"/>
        </w:rPr>
        <w:t>reasoning, including that the cost of welfare and benefits may be too great</w:t>
      </w:r>
      <w:r w:rsidR="00D06DCC" w:rsidRPr="003664A3">
        <w:rPr>
          <w:rFonts w:cstheme="minorHAnsi"/>
          <w:sz w:val="24"/>
          <w:szCs w:val="24"/>
        </w:rPr>
        <w:t xml:space="preserve">, </w:t>
      </w:r>
      <w:r w:rsidR="00DB241B" w:rsidRPr="003664A3">
        <w:rPr>
          <w:rFonts w:cstheme="minorHAnsi"/>
          <w:sz w:val="24"/>
          <w:szCs w:val="24"/>
        </w:rPr>
        <w:t xml:space="preserve">and incentives to empower </w:t>
      </w:r>
      <w:r w:rsidR="00AC2285">
        <w:rPr>
          <w:rFonts w:cstheme="minorHAnsi"/>
          <w:sz w:val="24"/>
          <w:szCs w:val="24"/>
        </w:rPr>
        <w:t xml:space="preserve">citizens </w:t>
      </w:r>
      <w:r w:rsidR="00D06DCC" w:rsidRPr="003664A3">
        <w:rPr>
          <w:rFonts w:cstheme="minorHAnsi"/>
          <w:sz w:val="24"/>
          <w:szCs w:val="24"/>
        </w:rPr>
        <w:t>can</w:t>
      </w:r>
      <w:r w:rsidR="00DB241B" w:rsidRPr="003664A3">
        <w:rPr>
          <w:rFonts w:cstheme="minorHAnsi"/>
          <w:sz w:val="24"/>
          <w:szCs w:val="24"/>
        </w:rPr>
        <w:t xml:space="preserve"> improve the wellbeing of those receiving support</w:t>
      </w:r>
      <w:r w:rsidR="00D8788F" w:rsidRPr="00D8788F">
        <w:rPr>
          <w:rFonts w:cstheme="minorHAnsi"/>
          <w:sz w:val="24"/>
          <w:szCs w:val="24"/>
        </w:rPr>
        <w:t xml:space="preserve"> </w:t>
      </w:r>
      <w:r w:rsidR="00D8788F">
        <w:rPr>
          <w:rFonts w:cstheme="minorHAnsi"/>
          <w:sz w:val="24"/>
          <w:szCs w:val="24"/>
        </w:rPr>
        <w:t>(</w:t>
      </w:r>
      <w:r w:rsidR="00D8788F" w:rsidRPr="003664A3">
        <w:rPr>
          <w:rFonts w:cstheme="minorHAnsi"/>
          <w:sz w:val="24"/>
          <w:szCs w:val="24"/>
        </w:rPr>
        <w:t>Watts and Fitzpatrick, 2018</w:t>
      </w:r>
      <w:r w:rsidR="00D8788F">
        <w:rPr>
          <w:rFonts w:cstheme="minorHAnsi"/>
          <w:sz w:val="24"/>
          <w:szCs w:val="24"/>
        </w:rPr>
        <w:t>)</w:t>
      </w:r>
      <w:r w:rsidR="00DB241B" w:rsidRPr="003664A3">
        <w:rPr>
          <w:rFonts w:cstheme="minorHAnsi"/>
          <w:sz w:val="24"/>
          <w:szCs w:val="24"/>
        </w:rPr>
        <w:t xml:space="preserve">. The ‘Third Way’, communitarian or ‘tough love’ branch of neoliberalism included aspects of utilitarian thinking: including, for example, the rationale that community engagement, participation, </w:t>
      </w:r>
      <w:r w:rsidR="007B4916" w:rsidRPr="003664A3">
        <w:rPr>
          <w:rFonts w:cstheme="minorHAnsi"/>
          <w:sz w:val="24"/>
          <w:szCs w:val="24"/>
        </w:rPr>
        <w:t>active ageing</w:t>
      </w:r>
      <w:r w:rsidR="00F420B2" w:rsidRPr="003664A3">
        <w:rPr>
          <w:rFonts w:cstheme="minorHAnsi"/>
          <w:sz w:val="24"/>
          <w:szCs w:val="24"/>
        </w:rPr>
        <w:t xml:space="preserve">, </w:t>
      </w:r>
      <w:r w:rsidR="006F3E37">
        <w:rPr>
          <w:rFonts w:cstheme="minorHAnsi"/>
          <w:sz w:val="24"/>
          <w:szCs w:val="24"/>
        </w:rPr>
        <w:t xml:space="preserve">personalisation, </w:t>
      </w:r>
      <w:r w:rsidR="00F420B2" w:rsidRPr="003664A3">
        <w:rPr>
          <w:rFonts w:cstheme="minorHAnsi"/>
          <w:sz w:val="24"/>
          <w:szCs w:val="24"/>
        </w:rPr>
        <w:t xml:space="preserve">or even </w:t>
      </w:r>
      <w:r w:rsidR="004045A3" w:rsidRPr="003664A3">
        <w:rPr>
          <w:rFonts w:cstheme="minorHAnsi"/>
          <w:sz w:val="24"/>
          <w:szCs w:val="24"/>
        </w:rPr>
        <w:t xml:space="preserve">paid </w:t>
      </w:r>
      <w:r w:rsidR="00DB241B" w:rsidRPr="003664A3">
        <w:rPr>
          <w:rFonts w:cstheme="minorHAnsi"/>
          <w:sz w:val="24"/>
          <w:szCs w:val="24"/>
        </w:rPr>
        <w:t xml:space="preserve">employment </w:t>
      </w:r>
      <w:r w:rsidR="00F420B2" w:rsidRPr="003664A3">
        <w:rPr>
          <w:rFonts w:cstheme="minorHAnsi"/>
          <w:sz w:val="24"/>
          <w:szCs w:val="24"/>
        </w:rPr>
        <w:t>can be</w:t>
      </w:r>
      <w:r w:rsidR="004045A3" w:rsidRPr="003664A3">
        <w:rPr>
          <w:rFonts w:cstheme="minorHAnsi"/>
          <w:sz w:val="24"/>
          <w:szCs w:val="24"/>
        </w:rPr>
        <w:t xml:space="preserve"> good for older subject</w:t>
      </w:r>
      <w:r w:rsidR="00D06DCC" w:rsidRPr="003664A3">
        <w:rPr>
          <w:rFonts w:cstheme="minorHAnsi"/>
          <w:sz w:val="24"/>
          <w:szCs w:val="24"/>
        </w:rPr>
        <w:t>s’</w:t>
      </w:r>
      <w:r w:rsidR="004045A3" w:rsidRPr="003664A3">
        <w:rPr>
          <w:rFonts w:cstheme="minorHAnsi"/>
          <w:sz w:val="24"/>
          <w:szCs w:val="24"/>
        </w:rPr>
        <w:t xml:space="preserve"> health</w:t>
      </w:r>
      <w:r w:rsidR="005E1DB1" w:rsidRPr="003664A3">
        <w:rPr>
          <w:rFonts w:cstheme="minorHAnsi"/>
          <w:sz w:val="24"/>
          <w:szCs w:val="24"/>
        </w:rPr>
        <w:t xml:space="preserve"> </w:t>
      </w:r>
      <w:r w:rsidR="00D06DCC" w:rsidRPr="003664A3">
        <w:rPr>
          <w:rFonts w:cstheme="minorHAnsi"/>
          <w:sz w:val="24"/>
          <w:szCs w:val="24"/>
        </w:rPr>
        <w:t xml:space="preserve">and may help to alleviate </w:t>
      </w:r>
      <w:r w:rsidR="005E1DB1" w:rsidRPr="003664A3">
        <w:rPr>
          <w:rFonts w:cstheme="minorHAnsi"/>
          <w:sz w:val="24"/>
          <w:szCs w:val="24"/>
        </w:rPr>
        <w:t>loneliness,</w:t>
      </w:r>
      <w:r w:rsidR="00BC224D" w:rsidRPr="003664A3">
        <w:rPr>
          <w:rFonts w:cstheme="minorHAnsi"/>
          <w:sz w:val="24"/>
          <w:szCs w:val="24"/>
        </w:rPr>
        <w:t xml:space="preserve"> dependence</w:t>
      </w:r>
      <w:r w:rsidR="005E1DB1" w:rsidRPr="003664A3">
        <w:rPr>
          <w:rFonts w:cstheme="minorHAnsi"/>
          <w:sz w:val="24"/>
          <w:szCs w:val="24"/>
        </w:rPr>
        <w:t xml:space="preserve"> </w:t>
      </w:r>
      <w:r w:rsidR="00BC224D" w:rsidRPr="003664A3">
        <w:rPr>
          <w:rFonts w:cstheme="minorHAnsi"/>
          <w:sz w:val="24"/>
          <w:szCs w:val="24"/>
        </w:rPr>
        <w:t>and</w:t>
      </w:r>
      <w:r w:rsidR="005E1DB1" w:rsidRPr="003664A3">
        <w:rPr>
          <w:rFonts w:cstheme="minorHAnsi"/>
          <w:sz w:val="24"/>
          <w:szCs w:val="24"/>
        </w:rPr>
        <w:t xml:space="preserve"> </w:t>
      </w:r>
      <w:r w:rsidR="00D06DCC" w:rsidRPr="003664A3">
        <w:rPr>
          <w:rFonts w:cstheme="minorHAnsi"/>
          <w:sz w:val="24"/>
          <w:szCs w:val="24"/>
        </w:rPr>
        <w:t>poverty</w:t>
      </w:r>
      <w:r w:rsidR="004045A3" w:rsidRPr="003664A3">
        <w:rPr>
          <w:rFonts w:cstheme="minorHAnsi"/>
          <w:sz w:val="24"/>
          <w:szCs w:val="24"/>
        </w:rPr>
        <w:t xml:space="preserve"> </w:t>
      </w:r>
      <w:r w:rsidR="00DB241B" w:rsidRPr="003664A3">
        <w:rPr>
          <w:rFonts w:cstheme="minorHAnsi"/>
          <w:sz w:val="24"/>
          <w:szCs w:val="24"/>
        </w:rPr>
        <w:t>(see, for example, Jordan and Jordan, 2000; Ferguson, 200</w:t>
      </w:r>
      <w:r w:rsidR="00AD6D9D">
        <w:rPr>
          <w:rFonts w:cstheme="minorHAnsi"/>
          <w:sz w:val="24"/>
          <w:szCs w:val="24"/>
        </w:rPr>
        <w:t>7</w:t>
      </w:r>
      <w:r w:rsidR="00406933">
        <w:rPr>
          <w:rFonts w:cstheme="minorHAnsi"/>
          <w:sz w:val="24"/>
          <w:szCs w:val="24"/>
        </w:rPr>
        <w:t>; van Dyke, 2014</w:t>
      </w:r>
      <w:r w:rsidR="00DB241B" w:rsidRPr="003664A3">
        <w:rPr>
          <w:rFonts w:cstheme="minorHAnsi"/>
          <w:sz w:val="24"/>
          <w:szCs w:val="24"/>
        </w:rPr>
        <w:t>).</w:t>
      </w:r>
      <w:r w:rsidR="00406933">
        <w:rPr>
          <w:rFonts w:cstheme="minorHAnsi"/>
          <w:sz w:val="24"/>
          <w:szCs w:val="24"/>
        </w:rPr>
        <w:t xml:space="preserve"> A </w:t>
      </w:r>
      <w:r w:rsidR="00930853" w:rsidRPr="003664A3">
        <w:rPr>
          <w:rFonts w:cstheme="minorHAnsi"/>
          <w:sz w:val="24"/>
          <w:szCs w:val="24"/>
          <w:lang w:eastAsia="en-GB"/>
        </w:rPr>
        <w:t>tendency towards ‘economic reductionism’ within utilitarian thinking</w:t>
      </w:r>
      <w:r w:rsidR="00677F72">
        <w:rPr>
          <w:rFonts w:cstheme="minorHAnsi"/>
          <w:sz w:val="24"/>
          <w:szCs w:val="24"/>
          <w:lang w:eastAsia="en-GB"/>
        </w:rPr>
        <w:t xml:space="preserve"> has </w:t>
      </w:r>
      <w:r w:rsidR="00406933">
        <w:rPr>
          <w:rFonts w:cstheme="minorHAnsi"/>
          <w:sz w:val="24"/>
          <w:szCs w:val="24"/>
          <w:lang w:eastAsia="en-GB"/>
        </w:rPr>
        <w:t xml:space="preserve">nevertheless </w:t>
      </w:r>
      <w:r w:rsidR="00677F72">
        <w:rPr>
          <w:rFonts w:cstheme="minorHAnsi"/>
          <w:sz w:val="24"/>
          <w:szCs w:val="24"/>
          <w:lang w:eastAsia="en-GB"/>
        </w:rPr>
        <w:t xml:space="preserve">been </w:t>
      </w:r>
      <w:r w:rsidR="00406933">
        <w:rPr>
          <w:rFonts w:cstheme="minorHAnsi"/>
          <w:sz w:val="24"/>
          <w:szCs w:val="24"/>
          <w:lang w:eastAsia="en-GB"/>
        </w:rPr>
        <w:t>highlighted</w:t>
      </w:r>
      <w:r w:rsidR="00930853" w:rsidRPr="003664A3">
        <w:rPr>
          <w:rFonts w:cstheme="minorHAnsi"/>
          <w:sz w:val="24"/>
          <w:szCs w:val="24"/>
          <w:lang w:eastAsia="en-GB"/>
        </w:rPr>
        <w:t>, a</w:t>
      </w:r>
      <w:r w:rsidR="00677F72">
        <w:rPr>
          <w:rFonts w:cstheme="minorHAnsi"/>
          <w:sz w:val="24"/>
          <w:szCs w:val="24"/>
          <w:lang w:eastAsia="en-GB"/>
        </w:rPr>
        <w:t xml:space="preserve">longside </w:t>
      </w:r>
      <w:r w:rsidR="00406933">
        <w:rPr>
          <w:rFonts w:cstheme="minorHAnsi"/>
          <w:sz w:val="24"/>
          <w:szCs w:val="24"/>
          <w:lang w:eastAsia="en-GB"/>
        </w:rPr>
        <w:t>an</w:t>
      </w:r>
      <w:r w:rsidR="00BC224D" w:rsidRPr="003664A3">
        <w:rPr>
          <w:rFonts w:cstheme="minorHAnsi"/>
          <w:sz w:val="24"/>
          <w:szCs w:val="24"/>
        </w:rPr>
        <w:t xml:space="preserve"> </w:t>
      </w:r>
      <w:r w:rsidR="003F1B4E">
        <w:rPr>
          <w:rFonts w:cstheme="minorHAnsi"/>
          <w:sz w:val="24"/>
          <w:szCs w:val="24"/>
        </w:rPr>
        <w:t xml:space="preserve">over </w:t>
      </w:r>
      <w:r w:rsidR="00BC224D" w:rsidRPr="003664A3">
        <w:rPr>
          <w:rFonts w:cstheme="minorHAnsi"/>
          <w:sz w:val="24"/>
          <w:szCs w:val="24"/>
        </w:rPr>
        <w:t xml:space="preserve">emphasis </w:t>
      </w:r>
      <w:r w:rsidR="00677F72">
        <w:rPr>
          <w:rFonts w:cstheme="minorHAnsi"/>
          <w:sz w:val="24"/>
          <w:szCs w:val="24"/>
        </w:rPr>
        <w:t xml:space="preserve">placed </w:t>
      </w:r>
      <w:r w:rsidR="00BC224D" w:rsidRPr="003664A3">
        <w:rPr>
          <w:rFonts w:cstheme="minorHAnsi"/>
          <w:sz w:val="24"/>
          <w:szCs w:val="24"/>
        </w:rPr>
        <w:t>upon impartiality and scientific approaches to human welfare</w:t>
      </w:r>
      <w:r w:rsidR="00752B27">
        <w:rPr>
          <w:rFonts w:cstheme="minorHAnsi"/>
          <w:sz w:val="24"/>
          <w:szCs w:val="24"/>
        </w:rPr>
        <w:t xml:space="preserve">. This may sit alongside </w:t>
      </w:r>
      <w:r w:rsidR="00BF0BAE">
        <w:rPr>
          <w:rFonts w:cstheme="minorHAnsi"/>
          <w:sz w:val="24"/>
          <w:szCs w:val="24"/>
        </w:rPr>
        <w:t xml:space="preserve">traditional </w:t>
      </w:r>
      <w:r w:rsidR="00BE3234">
        <w:rPr>
          <w:rFonts w:cstheme="minorHAnsi"/>
          <w:sz w:val="24"/>
          <w:szCs w:val="24"/>
        </w:rPr>
        <w:t xml:space="preserve">normative or Kantian deontological </w:t>
      </w:r>
      <w:r w:rsidR="00BF0BAE">
        <w:rPr>
          <w:rFonts w:cstheme="minorHAnsi"/>
          <w:sz w:val="24"/>
          <w:szCs w:val="24"/>
        </w:rPr>
        <w:t xml:space="preserve">reasoning </w:t>
      </w:r>
      <w:r w:rsidR="00BE3234">
        <w:rPr>
          <w:rFonts w:cstheme="minorHAnsi"/>
          <w:sz w:val="24"/>
          <w:szCs w:val="24"/>
        </w:rPr>
        <w:t xml:space="preserve">advocated </w:t>
      </w:r>
      <w:r w:rsidR="00BF0BAE">
        <w:rPr>
          <w:rFonts w:cstheme="minorHAnsi"/>
          <w:sz w:val="24"/>
          <w:szCs w:val="24"/>
        </w:rPr>
        <w:t xml:space="preserve">by </w:t>
      </w:r>
      <w:r w:rsidR="00BE3234">
        <w:rPr>
          <w:rFonts w:cstheme="minorHAnsi"/>
          <w:sz w:val="24"/>
          <w:szCs w:val="24"/>
        </w:rPr>
        <w:t xml:space="preserve">many </w:t>
      </w:r>
      <w:r w:rsidR="00752B27">
        <w:rPr>
          <w:rFonts w:cstheme="minorHAnsi"/>
          <w:sz w:val="24"/>
          <w:szCs w:val="24"/>
        </w:rPr>
        <w:t>welfare professional</w:t>
      </w:r>
      <w:r w:rsidR="00BF0BAE">
        <w:rPr>
          <w:rFonts w:cstheme="minorHAnsi"/>
          <w:sz w:val="24"/>
          <w:szCs w:val="24"/>
        </w:rPr>
        <w:t>s</w:t>
      </w:r>
      <w:r w:rsidR="00280109">
        <w:rPr>
          <w:rFonts w:cstheme="minorHAnsi"/>
          <w:sz w:val="24"/>
          <w:szCs w:val="24"/>
        </w:rPr>
        <w:t xml:space="preserve">, which together may </w:t>
      </w:r>
      <w:r w:rsidR="00BF0BAE">
        <w:rPr>
          <w:rFonts w:cstheme="minorHAnsi"/>
          <w:sz w:val="24"/>
          <w:szCs w:val="24"/>
        </w:rPr>
        <w:t>further promote</w:t>
      </w:r>
      <w:r w:rsidR="00752B27">
        <w:rPr>
          <w:rFonts w:cstheme="minorHAnsi"/>
          <w:sz w:val="24"/>
          <w:szCs w:val="24"/>
        </w:rPr>
        <w:t xml:space="preserve"> </w:t>
      </w:r>
      <w:r w:rsidR="00BE3234">
        <w:rPr>
          <w:rFonts w:cstheme="minorHAnsi"/>
          <w:sz w:val="24"/>
          <w:szCs w:val="24"/>
        </w:rPr>
        <w:t xml:space="preserve">formal </w:t>
      </w:r>
      <w:r w:rsidR="00752B27">
        <w:rPr>
          <w:rFonts w:cstheme="minorHAnsi"/>
          <w:sz w:val="24"/>
          <w:szCs w:val="24"/>
        </w:rPr>
        <w:t>rule</w:t>
      </w:r>
      <w:r w:rsidR="00BF0BAE">
        <w:rPr>
          <w:rFonts w:cstheme="minorHAnsi"/>
          <w:sz w:val="24"/>
          <w:szCs w:val="24"/>
        </w:rPr>
        <w:t>-</w:t>
      </w:r>
      <w:r w:rsidR="00752B27">
        <w:rPr>
          <w:rFonts w:cstheme="minorHAnsi"/>
          <w:sz w:val="24"/>
          <w:szCs w:val="24"/>
        </w:rPr>
        <w:t xml:space="preserve">based </w:t>
      </w:r>
      <w:r w:rsidR="00BE3234">
        <w:rPr>
          <w:rFonts w:cstheme="minorHAnsi"/>
          <w:sz w:val="24"/>
          <w:szCs w:val="24"/>
        </w:rPr>
        <w:t xml:space="preserve">discursive </w:t>
      </w:r>
      <w:r w:rsidR="00BF0BAE">
        <w:rPr>
          <w:rFonts w:cstheme="minorHAnsi"/>
          <w:sz w:val="24"/>
          <w:szCs w:val="24"/>
        </w:rPr>
        <w:t>engagements</w:t>
      </w:r>
      <w:r w:rsidR="00BE3234">
        <w:rPr>
          <w:rFonts w:cstheme="minorHAnsi"/>
          <w:sz w:val="24"/>
          <w:szCs w:val="24"/>
        </w:rPr>
        <w:t xml:space="preserve"> </w:t>
      </w:r>
      <w:r w:rsidR="00BF0BAE">
        <w:rPr>
          <w:rFonts w:cstheme="minorHAnsi"/>
          <w:sz w:val="24"/>
          <w:szCs w:val="24"/>
        </w:rPr>
        <w:t xml:space="preserve">with service users </w:t>
      </w:r>
      <w:r w:rsidR="00BC224D" w:rsidRPr="003664A3">
        <w:rPr>
          <w:rFonts w:cstheme="minorHAnsi"/>
          <w:sz w:val="24"/>
          <w:szCs w:val="24"/>
        </w:rPr>
        <w:t>(Bauman, 1993</w:t>
      </w:r>
      <w:r w:rsidR="00677F72">
        <w:rPr>
          <w:rFonts w:cstheme="minorHAnsi"/>
          <w:sz w:val="24"/>
          <w:szCs w:val="24"/>
        </w:rPr>
        <w:t>;</w:t>
      </w:r>
      <w:r w:rsidR="00677F72" w:rsidRPr="00677F72">
        <w:rPr>
          <w:rFonts w:cstheme="minorHAnsi"/>
          <w:sz w:val="24"/>
          <w:szCs w:val="24"/>
          <w:lang w:eastAsia="en-GB"/>
        </w:rPr>
        <w:t xml:space="preserve"> </w:t>
      </w:r>
      <w:r w:rsidR="00406933">
        <w:rPr>
          <w:rFonts w:cstheme="minorHAnsi"/>
          <w:sz w:val="24"/>
          <w:szCs w:val="24"/>
          <w:lang w:eastAsia="en-GB"/>
        </w:rPr>
        <w:t xml:space="preserve">Singer, 1993; </w:t>
      </w:r>
      <w:proofErr w:type="spellStart"/>
      <w:r w:rsidR="00677F72" w:rsidRPr="003664A3">
        <w:rPr>
          <w:rFonts w:cstheme="minorHAnsi"/>
          <w:sz w:val="24"/>
          <w:szCs w:val="24"/>
          <w:lang w:eastAsia="en-GB"/>
        </w:rPr>
        <w:t>Kilner</w:t>
      </w:r>
      <w:proofErr w:type="spellEnd"/>
      <w:r w:rsidR="00677F72" w:rsidRPr="003664A3">
        <w:rPr>
          <w:rFonts w:cstheme="minorHAnsi"/>
          <w:sz w:val="24"/>
          <w:szCs w:val="24"/>
          <w:lang w:eastAsia="en-GB"/>
        </w:rPr>
        <w:t xml:space="preserve"> 1996: 125</w:t>
      </w:r>
      <w:r w:rsidR="00AC5023">
        <w:rPr>
          <w:rFonts w:ascii="Calibri" w:hAnsi="Calibri" w:cs="Calibri"/>
          <w:sz w:val="24"/>
          <w:szCs w:val="24"/>
        </w:rPr>
        <w:t xml:space="preserve">; </w:t>
      </w:r>
      <w:r w:rsidR="00AC5023" w:rsidRPr="00AC5023">
        <w:rPr>
          <w:rFonts w:ascii="Calibri" w:hAnsi="Calibri" w:cs="Calibri"/>
          <w:sz w:val="24"/>
          <w:szCs w:val="24"/>
        </w:rPr>
        <w:t>McDermott,</w:t>
      </w:r>
      <w:r w:rsidR="00AC5023">
        <w:rPr>
          <w:rFonts w:ascii="Calibri" w:hAnsi="Calibri" w:cs="Calibri"/>
          <w:sz w:val="24"/>
          <w:szCs w:val="24"/>
        </w:rPr>
        <w:t xml:space="preserve"> </w:t>
      </w:r>
      <w:r w:rsidR="00AC5023" w:rsidRPr="00AC5023">
        <w:rPr>
          <w:rFonts w:ascii="Calibri" w:hAnsi="Calibri" w:cs="Calibri"/>
          <w:sz w:val="24"/>
          <w:szCs w:val="24"/>
        </w:rPr>
        <w:t>2011</w:t>
      </w:r>
      <w:r w:rsidR="00BC224D" w:rsidRPr="003664A3">
        <w:rPr>
          <w:rFonts w:cstheme="minorHAnsi"/>
          <w:sz w:val="24"/>
          <w:szCs w:val="24"/>
        </w:rPr>
        <w:t xml:space="preserve">). </w:t>
      </w:r>
      <w:r w:rsidR="0092737F" w:rsidRPr="003664A3">
        <w:rPr>
          <w:rFonts w:cstheme="minorHAnsi"/>
          <w:sz w:val="24"/>
          <w:szCs w:val="24"/>
        </w:rPr>
        <w:t xml:space="preserve"> </w:t>
      </w:r>
    </w:p>
    <w:p w14:paraId="73B6A33D" w14:textId="63AC45C4" w:rsidR="00914664" w:rsidRDefault="00914664" w:rsidP="0070073A">
      <w:pPr>
        <w:spacing w:line="480" w:lineRule="auto"/>
        <w:rPr>
          <w:rFonts w:cstheme="minorHAnsi"/>
          <w:sz w:val="24"/>
          <w:szCs w:val="24"/>
          <w:lang w:val="en-US"/>
        </w:rPr>
      </w:pPr>
      <w:r>
        <w:rPr>
          <w:rFonts w:cstheme="minorHAnsi"/>
          <w:sz w:val="24"/>
          <w:szCs w:val="24"/>
        </w:rPr>
        <w:t>Second, s</w:t>
      </w:r>
      <w:r w:rsidR="00B344E4" w:rsidRPr="003664A3">
        <w:rPr>
          <w:rFonts w:cstheme="minorHAnsi"/>
          <w:sz w:val="24"/>
          <w:szCs w:val="24"/>
        </w:rPr>
        <w:t>ince the 19</w:t>
      </w:r>
      <w:r w:rsidR="0018755A" w:rsidRPr="003664A3">
        <w:rPr>
          <w:rFonts w:cstheme="minorHAnsi"/>
          <w:sz w:val="24"/>
          <w:szCs w:val="24"/>
        </w:rPr>
        <w:t>8</w:t>
      </w:r>
      <w:r w:rsidR="00B344E4" w:rsidRPr="003664A3">
        <w:rPr>
          <w:rFonts w:cstheme="minorHAnsi"/>
          <w:sz w:val="24"/>
          <w:szCs w:val="24"/>
        </w:rPr>
        <w:t>0s</w:t>
      </w:r>
      <w:r w:rsidR="00CD5338" w:rsidRPr="003664A3">
        <w:rPr>
          <w:rFonts w:cstheme="minorHAnsi"/>
          <w:sz w:val="24"/>
          <w:szCs w:val="24"/>
        </w:rPr>
        <w:t>,</w:t>
      </w:r>
      <w:r w:rsidR="00B344E4" w:rsidRPr="003664A3">
        <w:rPr>
          <w:rFonts w:cstheme="minorHAnsi"/>
          <w:sz w:val="24"/>
          <w:szCs w:val="24"/>
        </w:rPr>
        <w:t xml:space="preserve"> </w:t>
      </w:r>
      <w:r w:rsidR="0018755A" w:rsidRPr="003664A3">
        <w:rPr>
          <w:rFonts w:cstheme="minorHAnsi"/>
          <w:sz w:val="24"/>
          <w:szCs w:val="24"/>
        </w:rPr>
        <w:t xml:space="preserve">welfare </w:t>
      </w:r>
      <w:proofErr w:type="spellStart"/>
      <w:r w:rsidR="00B344E4" w:rsidRPr="003664A3">
        <w:rPr>
          <w:rFonts w:cstheme="minorHAnsi"/>
          <w:sz w:val="24"/>
          <w:szCs w:val="24"/>
        </w:rPr>
        <w:t>contractualism</w:t>
      </w:r>
      <w:proofErr w:type="spellEnd"/>
      <w:r w:rsidR="00B344E4" w:rsidRPr="003664A3">
        <w:rPr>
          <w:rFonts w:cstheme="minorHAnsi"/>
          <w:sz w:val="24"/>
          <w:szCs w:val="24"/>
        </w:rPr>
        <w:t xml:space="preserve"> has represented </w:t>
      </w:r>
      <w:r>
        <w:rPr>
          <w:rFonts w:cstheme="minorHAnsi"/>
          <w:sz w:val="24"/>
          <w:szCs w:val="24"/>
        </w:rPr>
        <w:t>an</w:t>
      </w:r>
      <w:r w:rsidR="00C058D9">
        <w:rPr>
          <w:rFonts w:cstheme="minorHAnsi"/>
          <w:sz w:val="24"/>
          <w:szCs w:val="24"/>
        </w:rPr>
        <w:t xml:space="preserve"> </w:t>
      </w:r>
      <w:r w:rsidR="00B344E4" w:rsidRPr="003664A3">
        <w:rPr>
          <w:rFonts w:cstheme="minorHAnsi"/>
          <w:sz w:val="24"/>
          <w:szCs w:val="24"/>
        </w:rPr>
        <w:t xml:space="preserve">ethical framework </w:t>
      </w:r>
      <w:r w:rsidR="00F838AA">
        <w:rPr>
          <w:rFonts w:cstheme="minorHAnsi"/>
          <w:sz w:val="24"/>
          <w:szCs w:val="24"/>
        </w:rPr>
        <w:t>which</w:t>
      </w:r>
      <w:r w:rsidR="0018755A" w:rsidRPr="003664A3">
        <w:rPr>
          <w:rFonts w:cstheme="minorHAnsi"/>
          <w:sz w:val="24"/>
          <w:szCs w:val="24"/>
        </w:rPr>
        <w:t xml:space="preserve"> </w:t>
      </w:r>
      <w:r w:rsidR="00C058D9">
        <w:rPr>
          <w:rFonts w:cstheme="minorHAnsi"/>
          <w:sz w:val="24"/>
          <w:szCs w:val="24"/>
        </w:rPr>
        <w:t>echoes aspects of</w:t>
      </w:r>
      <w:r w:rsidR="00B344E4" w:rsidRPr="003664A3">
        <w:rPr>
          <w:rFonts w:cstheme="minorHAnsi"/>
          <w:sz w:val="24"/>
          <w:szCs w:val="24"/>
        </w:rPr>
        <w:t xml:space="preserve"> government policy</w:t>
      </w:r>
      <w:r w:rsidR="0018755A" w:rsidRPr="003664A3">
        <w:rPr>
          <w:rFonts w:cstheme="minorHAnsi"/>
          <w:sz w:val="24"/>
          <w:szCs w:val="24"/>
        </w:rPr>
        <w:t xml:space="preserve"> and thinking</w:t>
      </w:r>
      <w:r w:rsidR="00B344E4" w:rsidRPr="003664A3">
        <w:rPr>
          <w:rFonts w:cstheme="minorHAnsi"/>
          <w:sz w:val="24"/>
          <w:szCs w:val="24"/>
        </w:rPr>
        <w:t xml:space="preserve">. </w:t>
      </w:r>
      <w:proofErr w:type="spellStart"/>
      <w:r w:rsidR="0018755A" w:rsidRPr="003664A3">
        <w:rPr>
          <w:rFonts w:cstheme="minorHAnsi"/>
          <w:sz w:val="24"/>
          <w:szCs w:val="24"/>
        </w:rPr>
        <w:t>Contractualist</w:t>
      </w:r>
      <w:proofErr w:type="spellEnd"/>
      <w:r w:rsidR="0018755A" w:rsidRPr="003664A3">
        <w:rPr>
          <w:rFonts w:cstheme="minorHAnsi"/>
          <w:sz w:val="24"/>
          <w:szCs w:val="24"/>
        </w:rPr>
        <w:t xml:space="preserve"> reasoning </w:t>
      </w:r>
      <w:r w:rsidR="00C8103F" w:rsidRPr="003664A3">
        <w:rPr>
          <w:rFonts w:cstheme="minorHAnsi"/>
          <w:sz w:val="24"/>
          <w:szCs w:val="24"/>
        </w:rPr>
        <w:t xml:space="preserve">pivots </w:t>
      </w:r>
      <w:r w:rsidR="0018755A" w:rsidRPr="003664A3">
        <w:rPr>
          <w:rFonts w:cstheme="minorHAnsi"/>
          <w:sz w:val="24"/>
          <w:szCs w:val="24"/>
        </w:rPr>
        <w:lastRenderedPageBreak/>
        <w:t>around the notion of reciprocity,</w:t>
      </w:r>
      <w:r w:rsidR="00B91D94" w:rsidRPr="003664A3">
        <w:rPr>
          <w:rFonts w:cstheme="minorHAnsi"/>
          <w:sz w:val="24"/>
          <w:szCs w:val="24"/>
        </w:rPr>
        <w:t xml:space="preserve"> </w:t>
      </w:r>
      <w:r w:rsidR="00C8103F" w:rsidRPr="003664A3">
        <w:rPr>
          <w:rFonts w:cstheme="minorHAnsi"/>
          <w:sz w:val="24"/>
          <w:szCs w:val="24"/>
        </w:rPr>
        <w:t xml:space="preserve">and </w:t>
      </w:r>
      <w:r w:rsidR="00B91D94" w:rsidRPr="003664A3">
        <w:rPr>
          <w:rFonts w:cstheme="minorHAnsi"/>
          <w:sz w:val="24"/>
          <w:szCs w:val="24"/>
        </w:rPr>
        <w:t>includ</w:t>
      </w:r>
      <w:r w:rsidR="00C8103F" w:rsidRPr="003664A3">
        <w:rPr>
          <w:rFonts w:cstheme="minorHAnsi"/>
          <w:sz w:val="24"/>
          <w:szCs w:val="24"/>
        </w:rPr>
        <w:t>es</w:t>
      </w:r>
      <w:r w:rsidR="00B91D94" w:rsidRPr="003664A3">
        <w:rPr>
          <w:rFonts w:cstheme="minorHAnsi"/>
          <w:sz w:val="24"/>
          <w:szCs w:val="24"/>
        </w:rPr>
        <w:t xml:space="preserve"> </w:t>
      </w:r>
      <w:r w:rsidR="00C26506" w:rsidRPr="003664A3">
        <w:rPr>
          <w:rFonts w:cstheme="minorHAnsi"/>
          <w:sz w:val="24"/>
          <w:szCs w:val="24"/>
        </w:rPr>
        <w:t>a</w:t>
      </w:r>
      <w:r w:rsidR="00F85201" w:rsidRPr="003664A3">
        <w:rPr>
          <w:rFonts w:cstheme="minorHAnsi"/>
          <w:sz w:val="24"/>
          <w:szCs w:val="24"/>
        </w:rPr>
        <w:t xml:space="preserve"> challenge to assured </w:t>
      </w:r>
      <w:r w:rsidR="00A50A74" w:rsidRPr="003664A3">
        <w:rPr>
          <w:rFonts w:cstheme="minorHAnsi"/>
          <w:sz w:val="24"/>
          <w:szCs w:val="24"/>
        </w:rPr>
        <w:t xml:space="preserve">social </w:t>
      </w:r>
      <w:r w:rsidR="00F85201" w:rsidRPr="003664A3">
        <w:rPr>
          <w:rFonts w:cstheme="minorHAnsi"/>
          <w:sz w:val="24"/>
          <w:szCs w:val="24"/>
        </w:rPr>
        <w:t xml:space="preserve">rights which are replaced by </w:t>
      </w:r>
      <w:r w:rsidR="00B91D94" w:rsidRPr="003664A3">
        <w:rPr>
          <w:rFonts w:cstheme="minorHAnsi"/>
          <w:sz w:val="24"/>
          <w:szCs w:val="24"/>
        </w:rPr>
        <w:t xml:space="preserve">mutual obligations </w:t>
      </w:r>
      <w:r w:rsidR="00581FE0" w:rsidRPr="003664A3">
        <w:rPr>
          <w:rFonts w:cstheme="minorHAnsi"/>
          <w:sz w:val="24"/>
          <w:szCs w:val="24"/>
        </w:rPr>
        <w:t>embod</w:t>
      </w:r>
      <w:r w:rsidR="00C8103F" w:rsidRPr="003664A3">
        <w:rPr>
          <w:rFonts w:cstheme="minorHAnsi"/>
          <w:sz w:val="24"/>
          <w:szCs w:val="24"/>
        </w:rPr>
        <w:t>ying</w:t>
      </w:r>
      <w:r w:rsidR="00581FE0" w:rsidRPr="003664A3">
        <w:rPr>
          <w:rFonts w:cstheme="minorHAnsi"/>
          <w:sz w:val="24"/>
          <w:szCs w:val="24"/>
        </w:rPr>
        <w:t xml:space="preserve"> </w:t>
      </w:r>
      <w:r w:rsidR="00B91D94" w:rsidRPr="003664A3">
        <w:rPr>
          <w:rFonts w:cstheme="minorHAnsi"/>
          <w:sz w:val="24"/>
          <w:szCs w:val="24"/>
        </w:rPr>
        <w:t>the spirit of a</w:t>
      </w:r>
      <w:r w:rsidR="00581FE0" w:rsidRPr="003664A3">
        <w:rPr>
          <w:rFonts w:cstheme="minorHAnsi"/>
          <w:sz w:val="24"/>
          <w:szCs w:val="24"/>
        </w:rPr>
        <w:t>n</w:t>
      </w:r>
      <w:r w:rsidR="00B02890" w:rsidRPr="003664A3">
        <w:rPr>
          <w:rFonts w:cstheme="minorHAnsi"/>
          <w:sz w:val="24"/>
          <w:szCs w:val="24"/>
        </w:rPr>
        <w:t xml:space="preserve"> agreement </w:t>
      </w:r>
      <w:r w:rsidR="00F46ADC">
        <w:rPr>
          <w:rFonts w:cstheme="minorHAnsi"/>
          <w:sz w:val="24"/>
          <w:szCs w:val="24"/>
        </w:rPr>
        <w:t>or</w:t>
      </w:r>
      <w:r w:rsidR="00581FE0" w:rsidRPr="003664A3">
        <w:rPr>
          <w:rFonts w:cstheme="minorHAnsi"/>
          <w:sz w:val="24"/>
          <w:szCs w:val="24"/>
        </w:rPr>
        <w:t xml:space="preserve"> unseen</w:t>
      </w:r>
      <w:r w:rsidR="00B91D94" w:rsidRPr="003664A3">
        <w:rPr>
          <w:rFonts w:cstheme="minorHAnsi"/>
          <w:sz w:val="24"/>
          <w:szCs w:val="24"/>
        </w:rPr>
        <w:t xml:space="preserve"> contract between citizens and</w:t>
      </w:r>
      <w:r w:rsidR="00CD5338" w:rsidRPr="003664A3">
        <w:rPr>
          <w:rFonts w:cstheme="minorHAnsi"/>
          <w:sz w:val="24"/>
          <w:szCs w:val="24"/>
        </w:rPr>
        <w:t xml:space="preserve"> the</w:t>
      </w:r>
      <w:r w:rsidR="00B91D94" w:rsidRPr="003664A3">
        <w:rPr>
          <w:rFonts w:cstheme="minorHAnsi"/>
          <w:sz w:val="24"/>
          <w:szCs w:val="24"/>
        </w:rPr>
        <w:t xml:space="preserve"> state </w:t>
      </w:r>
      <w:r w:rsidR="006A7376">
        <w:rPr>
          <w:rFonts w:cstheme="minorHAnsi"/>
          <w:sz w:val="24"/>
          <w:szCs w:val="24"/>
        </w:rPr>
        <w:t>in</w:t>
      </w:r>
      <w:r w:rsidR="00B91D94" w:rsidRPr="003664A3">
        <w:rPr>
          <w:rFonts w:cstheme="minorHAnsi"/>
          <w:sz w:val="24"/>
          <w:szCs w:val="24"/>
        </w:rPr>
        <w:t xml:space="preserve"> which </w:t>
      </w:r>
      <w:r w:rsidR="00CD5338" w:rsidRPr="003664A3">
        <w:rPr>
          <w:rFonts w:cstheme="minorHAnsi"/>
          <w:sz w:val="24"/>
          <w:szCs w:val="24"/>
        </w:rPr>
        <w:t xml:space="preserve">subjects are </w:t>
      </w:r>
      <w:r w:rsidR="00B91D94" w:rsidRPr="003664A3">
        <w:rPr>
          <w:rFonts w:cstheme="minorHAnsi"/>
          <w:sz w:val="24"/>
          <w:szCs w:val="24"/>
        </w:rPr>
        <w:t xml:space="preserve">expected to always be willing and able </w:t>
      </w:r>
      <w:r w:rsidR="00F85201" w:rsidRPr="003664A3">
        <w:rPr>
          <w:rFonts w:cstheme="minorHAnsi"/>
          <w:sz w:val="24"/>
          <w:szCs w:val="24"/>
        </w:rPr>
        <w:t>‘</w:t>
      </w:r>
      <w:r w:rsidR="00B91D94" w:rsidRPr="003664A3">
        <w:rPr>
          <w:rFonts w:cstheme="minorHAnsi"/>
          <w:sz w:val="24"/>
          <w:szCs w:val="24"/>
        </w:rPr>
        <w:t>to give something back</w:t>
      </w:r>
      <w:r w:rsidR="00F85201" w:rsidRPr="003664A3">
        <w:rPr>
          <w:rFonts w:cstheme="minorHAnsi"/>
          <w:sz w:val="24"/>
          <w:szCs w:val="24"/>
        </w:rPr>
        <w:t>’</w:t>
      </w:r>
      <w:r w:rsidR="006F3E37" w:rsidRPr="006F3E37">
        <w:rPr>
          <w:rFonts w:cstheme="minorHAnsi"/>
          <w:sz w:val="24"/>
          <w:szCs w:val="24"/>
        </w:rPr>
        <w:t xml:space="preserve"> </w:t>
      </w:r>
      <w:r w:rsidR="006F3E37">
        <w:rPr>
          <w:rFonts w:cstheme="minorHAnsi"/>
          <w:sz w:val="24"/>
          <w:szCs w:val="24"/>
        </w:rPr>
        <w:t>(</w:t>
      </w:r>
      <w:r w:rsidR="006F3E37" w:rsidRPr="003664A3">
        <w:rPr>
          <w:rFonts w:cstheme="minorHAnsi"/>
          <w:sz w:val="24"/>
          <w:szCs w:val="24"/>
        </w:rPr>
        <w:t>Watts and Fitzpatrick, 2018: 126-129</w:t>
      </w:r>
      <w:r w:rsidR="006F3E37">
        <w:rPr>
          <w:rFonts w:cstheme="minorHAnsi"/>
          <w:sz w:val="24"/>
          <w:szCs w:val="24"/>
        </w:rPr>
        <w:t>)</w:t>
      </w:r>
      <w:r w:rsidR="00B91D94" w:rsidRPr="003664A3">
        <w:rPr>
          <w:rFonts w:cstheme="minorHAnsi"/>
          <w:sz w:val="24"/>
          <w:szCs w:val="24"/>
        </w:rPr>
        <w:t xml:space="preserve">. </w:t>
      </w:r>
      <w:r w:rsidR="00C26506" w:rsidRPr="003664A3">
        <w:rPr>
          <w:rFonts w:cstheme="minorHAnsi"/>
          <w:sz w:val="24"/>
          <w:szCs w:val="24"/>
        </w:rPr>
        <w:t xml:space="preserve">Further </w:t>
      </w:r>
      <w:r w:rsidR="00CD5338" w:rsidRPr="003664A3">
        <w:rPr>
          <w:rFonts w:cstheme="minorHAnsi"/>
          <w:sz w:val="24"/>
          <w:szCs w:val="24"/>
        </w:rPr>
        <w:t>privileged</w:t>
      </w:r>
      <w:r w:rsidR="00B91D94" w:rsidRPr="003664A3">
        <w:rPr>
          <w:rFonts w:cstheme="minorHAnsi"/>
          <w:sz w:val="24"/>
          <w:szCs w:val="24"/>
        </w:rPr>
        <w:t xml:space="preserve"> traits</w:t>
      </w:r>
      <w:r w:rsidR="00C26506" w:rsidRPr="003664A3">
        <w:rPr>
          <w:rFonts w:cstheme="minorHAnsi"/>
          <w:sz w:val="24"/>
          <w:szCs w:val="24"/>
        </w:rPr>
        <w:t xml:space="preserve"> </w:t>
      </w:r>
      <w:r w:rsidR="0017083C">
        <w:rPr>
          <w:rFonts w:cstheme="minorHAnsi"/>
          <w:sz w:val="24"/>
          <w:szCs w:val="24"/>
        </w:rPr>
        <w:t xml:space="preserve">within </w:t>
      </w:r>
      <w:proofErr w:type="spellStart"/>
      <w:r w:rsidR="0017083C">
        <w:rPr>
          <w:rFonts w:cstheme="minorHAnsi"/>
          <w:sz w:val="24"/>
          <w:szCs w:val="24"/>
        </w:rPr>
        <w:t>contractualism</w:t>
      </w:r>
      <w:proofErr w:type="spellEnd"/>
      <w:r w:rsidR="0076328C">
        <w:rPr>
          <w:rFonts w:cstheme="minorHAnsi"/>
          <w:sz w:val="24"/>
          <w:szCs w:val="24"/>
        </w:rPr>
        <w:t xml:space="preserve"> </w:t>
      </w:r>
      <w:r w:rsidR="00B91D94" w:rsidRPr="003664A3">
        <w:rPr>
          <w:rFonts w:cstheme="minorHAnsi"/>
          <w:sz w:val="24"/>
          <w:szCs w:val="24"/>
        </w:rPr>
        <w:t>include those of autonomy</w:t>
      </w:r>
      <w:r w:rsidR="00F46ADC">
        <w:rPr>
          <w:rFonts w:cstheme="minorHAnsi"/>
          <w:sz w:val="24"/>
          <w:szCs w:val="24"/>
        </w:rPr>
        <w:t xml:space="preserve">, </w:t>
      </w:r>
      <w:r w:rsidR="00F838AA">
        <w:rPr>
          <w:rFonts w:cstheme="minorHAnsi"/>
          <w:sz w:val="24"/>
          <w:szCs w:val="24"/>
        </w:rPr>
        <w:t xml:space="preserve">economic independence, </w:t>
      </w:r>
      <w:r w:rsidR="00CD5338" w:rsidRPr="003664A3">
        <w:rPr>
          <w:rFonts w:cstheme="minorHAnsi"/>
          <w:sz w:val="24"/>
          <w:szCs w:val="24"/>
        </w:rPr>
        <w:t xml:space="preserve">adhering to </w:t>
      </w:r>
      <w:r w:rsidR="00F838AA">
        <w:rPr>
          <w:rFonts w:cstheme="minorHAnsi"/>
          <w:sz w:val="24"/>
          <w:szCs w:val="24"/>
        </w:rPr>
        <w:t xml:space="preserve">individual responsibility and </w:t>
      </w:r>
      <w:r w:rsidR="00F46ADC">
        <w:rPr>
          <w:rFonts w:cstheme="minorHAnsi"/>
          <w:sz w:val="24"/>
          <w:szCs w:val="24"/>
        </w:rPr>
        <w:t xml:space="preserve">a </w:t>
      </w:r>
      <w:r w:rsidR="00F838AA">
        <w:rPr>
          <w:rFonts w:cstheme="minorHAnsi"/>
          <w:sz w:val="24"/>
          <w:szCs w:val="24"/>
        </w:rPr>
        <w:t xml:space="preserve">performative </w:t>
      </w:r>
      <w:r w:rsidR="00F46ADC">
        <w:rPr>
          <w:rFonts w:cstheme="minorHAnsi"/>
          <w:sz w:val="24"/>
          <w:szCs w:val="24"/>
        </w:rPr>
        <w:t>capacity to</w:t>
      </w:r>
      <w:r w:rsidR="00A50A74" w:rsidRPr="003664A3">
        <w:rPr>
          <w:rFonts w:cstheme="minorHAnsi"/>
          <w:sz w:val="24"/>
          <w:szCs w:val="24"/>
        </w:rPr>
        <w:t xml:space="preserve"> engage with consumerism</w:t>
      </w:r>
      <w:r w:rsidR="00E60B1B">
        <w:rPr>
          <w:rFonts w:cstheme="minorHAnsi"/>
          <w:sz w:val="24"/>
          <w:szCs w:val="24"/>
        </w:rPr>
        <w:t>,</w:t>
      </w:r>
      <w:r w:rsidR="005F66F5">
        <w:rPr>
          <w:rFonts w:cstheme="minorHAnsi"/>
          <w:sz w:val="24"/>
          <w:szCs w:val="24"/>
        </w:rPr>
        <w:t xml:space="preserve"> such as being able to make </w:t>
      </w:r>
      <w:r w:rsidR="0076328C">
        <w:rPr>
          <w:rFonts w:cstheme="minorHAnsi"/>
          <w:sz w:val="24"/>
          <w:szCs w:val="24"/>
        </w:rPr>
        <w:t xml:space="preserve">informed </w:t>
      </w:r>
      <w:r w:rsidR="005F66F5">
        <w:rPr>
          <w:rFonts w:cstheme="minorHAnsi"/>
          <w:sz w:val="24"/>
          <w:szCs w:val="24"/>
        </w:rPr>
        <w:t>rational choices</w:t>
      </w:r>
      <w:r w:rsidR="00677F72">
        <w:rPr>
          <w:rFonts w:cstheme="minorHAnsi"/>
          <w:sz w:val="24"/>
          <w:szCs w:val="24"/>
        </w:rPr>
        <w:t xml:space="preserve"> </w:t>
      </w:r>
      <w:r w:rsidR="00677F72" w:rsidRPr="003664A3">
        <w:rPr>
          <w:rFonts w:cstheme="minorHAnsi"/>
          <w:sz w:val="24"/>
          <w:szCs w:val="24"/>
        </w:rPr>
        <w:t>(</w:t>
      </w:r>
      <w:r w:rsidR="00201047">
        <w:rPr>
          <w:rFonts w:cstheme="minorHAnsi"/>
          <w:sz w:val="24"/>
          <w:szCs w:val="24"/>
        </w:rPr>
        <w:t>Green, 2015</w:t>
      </w:r>
      <w:r w:rsidR="00677F72" w:rsidRPr="003664A3">
        <w:rPr>
          <w:rFonts w:cstheme="minorHAnsi"/>
          <w:sz w:val="24"/>
          <w:szCs w:val="24"/>
        </w:rPr>
        <w:t>)</w:t>
      </w:r>
      <w:r w:rsidR="00B91D94" w:rsidRPr="003664A3">
        <w:rPr>
          <w:rFonts w:cstheme="minorHAnsi"/>
          <w:sz w:val="24"/>
          <w:szCs w:val="24"/>
        </w:rPr>
        <w:t xml:space="preserve">. </w:t>
      </w:r>
      <w:r w:rsidR="006A7376">
        <w:rPr>
          <w:rFonts w:cstheme="minorHAnsi"/>
          <w:sz w:val="24"/>
          <w:szCs w:val="24"/>
        </w:rPr>
        <w:t>Such expectations fit with key policy narratives that promote active ageing and participation, yet a</w:t>
      </w:r>
      <w:r w:rsidR="005F66F5">
        <w:rPr>
          <w:rFonts w:cstheme="minorHAnsi"/>
          <w:sz w:val="24"/>
          <w:szCs w:val="24"/>
        </w:rPr>
        <w:t xml:space="preserve">s </w:t>
      </w:r>
      <w:r w:rsidR="006A7376">
        <w:rPr>
          <w:rFonts w:cstheme="minorHAnsi"/>
          <w:sz w:val="24"/>
          <w:szCs w:val="24"/>
        </w:rPr>
        <w:t xml:space="preserve">its </w:t>
      </w:r>
      <w:r w:rsidR="0086075A">
        <w:rPr>
          <w:rFonts w:cstheme="minorHAnsi"/>
          <w:sz w:val="24"/>
          <w:szCs w:val="24"/>
        </w:rPr>
        <w:t xml:space="preserve">usually </w:t>
      </w:r>
      <w:r w:rsidR="006A7376">
        <w:rPr>
          <w:rFonts w:cstheme="minorHAnsi"/>
          <w:sz w:val="24"/>
          <w:szCs w:val="24"/>
        </w:rPr>
        <w:t xml:space="preserve">built on </w:t>
      </w:r>
      <w:r w:rsidR="0017083C">
        <w:rPr>
          <w:rFonts w:cstheme="minorHAnsi"/>
          <w:sz w:val="24"/>
          <w:szCs w:val="24"/>
        </w:rPr>
        <w:t>an overtly</w:t>
      </w:r>
      <w:r w:rsidR="003F1B4E">
        <w:rPr>
          <w:rFonts w:cstheme="minorHAnsi"/>
          <w:sz w:val="24"/>
          <w:szCs w:val="24"/>
          <w:lang w:val="en-US"/>
        </w:rPr>
        <w:t xml:space="preserve"> </w:t>
      </w:r>
      <w:r w:rsidR="00E60B1B">
        <w:rPr>
          <w:rFonts w:cstheme="minorHAnsi"/>
          <w:sz w:val="24"/>
          <w:szCs w:val="24"/>
          <w:lang w:val="en-US"/>
        </w:rPr>
        <w:t>individualistic</w:t>
      </w:r>
      <w:r w:rsidR="0017083C">
        <w:rPr>
          <w:rFonts w:cstheme="minorHAnsi"/>
          <w:sz w:val="24"/>
          <w:szCs w:val="24"/>
          <w:lang w:val="en-US"/>
        </w:rPr>
        <w:t xml:space="preserve"> model,</w:t>
      </w:r>
      <w:r w:rsidR="00E60B1B">
        <w:rPr>
          <w:rFonts w:cstheme="minorHAnsi"/>
          <w:sz w:val="24"/>
          <w:szCs w:val="24"/>
          <w:lang w:val="en-US"/>
        </w:rPr>
        <w:t xml:space="preserve"> </w:t>
      </w:r>
      <w:proofErr w:type="spellStart"/>
      <w:r w:rsidR="0017083C">
        <w:rPr>
          <w:rFonts w:cstheme="minorHAnsi"/>
          <w:sz w:val="24"/>
          <w:szCs w:val="24"/>
          <w:lang w:val="en-US"/>
        </w:rPr>
        <w:t>contractualism</w:t>
      </w:r>
      <w:proofErr w:type="spellEnd"/>
      <w:r w:rsidR="00677CA4">
        <w:rPr>
          <w:rFonts w:cstheme="minorHAnsi"/>
          <w:sz w:val="24"/>
          <w:szCs w:val="24"/>
          <w:lang w:val="en-US"/>
        </w:rPr>
        <w:t xml:space="preserve"> </w:t>
      </w:r>
      <w:r w:rsidR="0086075A">
        <w:rPr>
          <w:rFonts w:cstheme="minorHAnsi"/>
          <w:sz w:val="24"/>
          <w:szCs w:val="24"/>
          <w:lang w:val="en-US"/>
        </w:rPr>
        <w:t>can</w:t>
      </w:r>
      <w:r w:rsidR="00C95BED">
        <w:rPr>
          <w:rFonts w:cstheme="minorHAnsi"/>
          <w:sz w:val="24"/>
          <w:szCs w:val="24"/>
          <w:lang w:val="en-US"/>
        </w:rPr>
        <w:t xml:space="preserve"> </w:t>
      </w:r>
      <w:r w:rsidR="00E60B1B">
        <w:rPr>
          <w:rFonts w:cstheme="minorHAnsi"/>
          <w:sz w:val="24"/>
          <w:szCs w:val="24"/>
          <w:lang w:val="en-US"/>
        </w:rPr>
        <w:t>neglect</w:t>
      </w:r>
      <w:r w:rsidR="003B532E" w:rsidRPr="003664A3">
        <w:rPr>
          <w:rFonts w:cstheme="minorHAnsi"/>
          <w:sz w:val="24"/>
          <w:szCs w:val="24"/>
          <w:lang w:val="en-US"/>
        </w:rPr>
        <w:t xml:space="preserve"> the negative</w:t>
      </w:r>
      <w:r w:rsidR="00C95BED">
        <w:rPr>
          <w:rFonts w:cstheme="minorHAnsi"/>
          <w:sz w:val="24"/>
          <w:szCs w:val="24"/>
          <w:lang w:val="en-US"/>
        </w:rPr>
        <w:t xml:space="preserve"> consequences</w:t>
      </w:r>
      <w:r w:rsidR="003B532E" w:rsidRPr="003664A3">
        <w:rPr>
          <w:rFonts w:cstheme="minorHAnsi"/>
          <w:sz w:val="24"/>
          <w:szCs w:val="24"/>
          <w:lang w:val="en-US"/>
        </w:rPr>
        <w:t xml:space="preserve"> of poverty and inequality </w:t>
      </w:r>
      <w:r w:rsidR="00C95BED">
        <w:rPr>
          <w:rFonts w:cstheme="minorHAnsi"/>
          <w:sz w:val="24"/>
          <w:szCs w:val="24"/>
          <w:lang w:val="en-US"/>
        </w:rPr>
        <w:t>among</w:t>
      </w:r>
      <w:r w:rsidR="003B532E" w:rsidRPr="003664A3">
        <w:rPr>
          <w:rFonts w:cstheme="minorHAnsi"/>
          <w:sz w:val="24"/>
          <w:szCs w:val="24"/>
          <w:lang w:val="en-US"/>
        </w:rPr>
        <w:t xml:space="preserve"> old</w:t>
      </w:r>
      <w:r w:rsidR="00C95BED">
        <w:rPr>
          <w:rFonts w:cstheme="minorHAnsi"/>
          <w:sz w:val="24"/>
          <w:szCs w:val="24"/>
          <w:lang w:val="en-US"/>
        </w:rPr>
        <w:t>er</w:t>
      </w:r>
      <w:r w:rsidR="003B532E" w:rsidRPr="003664A3">
        <w:rPr>
          <w:rFonts w:cstheme="minorHAnsi"/>
          <w:sz w:val="24"/>
          <w:szCs w:val="24"/>
          <w:lang w:val="en-US"/>
        </w:rPr>
        <w:t xml:space="preserve"> </w:t>
      </w:r>
      <w:r w:rsidR="00C95BED">
        <w:rPr>
          <w:rFonts w:cstheme="minorHAnsi"/>
          <w:sz w:val="24"/>
          <w:szCs w:val="24"/>
          <w:lang w:val="en-US"/>
        </w:rPr>
        <w:t>citizens</w:t>
      </w:r>
      <w:r w:rsidR="00677CA4">
        <w:rPr>
          <w:rFonts w:cstheme="minorHAnsi"/>
          <w:sz w:val="24"/>
          <w:szCs w:val="24"/>
          <w:lang w:val="en-US"/>
        </w:rPr>
        <w:t xml:space="preserve">, </w:t>
      </w:r>
      <w:r w:rsidR="00F838AA">
        <w:rPr>
          <w:rFonts w:cstheme="minorHAnsi"/>
          <w:sz w:val="24"/>
          <w:szCs w:val="24"/>
          <w:lang w:val="en-US"/>
        </w:rPr>
        <w:t>and</w:t>
      </w:r>
      <w:r w:rsidR="00677CA4">
        <w:rPr>
          <w:rFonts w:cstheme="minorHAnsi"/>
          <w:sz w:val="24"/>
          <w:szCs w:val="24"/>
          <w:lang w:val="en-US"/>
        </w:rPr>
        <w:t xml:space="preserve"> understate </w:t>
      </w:r>
      <w:r w:rsidR="0076328C">
        <w:rPr>
          <w:rFonts w:cstheme="minorHAnsi"/>
          <w:sz w:val="24"/>
          <w:szCs w:val="24"/>
          <w:lang w:val="en-US"/>
        </w:rPr>
        <w:t xml:space="preserve">other </w:t>
      </w:r>
      <w:r w:rsidR="00DD14B5" w:rsidRPr="003664A3">
        <w:rPr>
          <w:rFonts w:cstheme="minorHAnsi"/>
          <w:sz w:val="24"/>
          <w:szCs w:val="24"/>
          <w:lang w:val="en-US"/>
        </w:rPr>
        <w:t xml:space="preserve">crucial issues effecting older </w:t>
      </w:r>
      <w:r w:rsidR="008A5B52">
        <w:rPr>
          <w:rFonts w:cstheme="minorHAnsi"/>
          <w:sz w:val="24"/>
          <w:szCs w:val="24"/>
          <w:lang w:val="en-US"/>
        </w:rPr>
        <w:t>people</w:t>
      </w:r>
      <w:r w:rsidR="00DD14B5" w:rsidRPr="003664A3">
        <w:rPr>
          <w:rFonts w:cstheme="minorHAnsi"/>
          <w:sz w:val="24"/>
          <w:szCs w:val="24"/>
          <w:lang w:val="en-US"/>
        </w:rPr>
        <w:t xml:space="preserve"> outside </w:t>
      </w:r>
      <w:r w:rsidR="00E60B1B">
        <w:rPr>
          <w:rFonts w:cstheme="minorHAnsi"/>
          <w:sz w:val="24"/>
          <w:szCs w:val="24"/>
          <w:lang w:val="en-US"/>
        </w:rPr>
        <w:t>an</w:t>
      </w:r>
      <w:r w:rsidR="0017083C">
        <w:rPr>
          <w:rFonts w:cstheme="minorHAnsi"/>
          <w:sz w:val="24"/>
          <w:szCs w:val="24"/>
          <w:lang w:val="en-US"/>
        </w:rPr>
        <w:t>y</w:t>
      </w:r>
      <w:r w:rsidR="00DD14B5" w:rsidRPr="003664A3">
        <w:rPr>
          <w:rFonts w:cstheme="minorHAnsi"/>
          <w:sz w:val="24"/>
          <w:szCs w:val="24"/>
          <w:lang w:val="en-US"/>
        </w:rPr>
        <w:t xml:space="preserve"> ethical bubble</w:t>
      </w:r>
      <w:r w:rsidR="00F838AA">
        <w:rPr>
          <w:rFonts w:cstheme="minorHAnsi"/>
          <w:sz w:val="24"/>
          <w:szCs w:val="24"/>
          <w:lang w:val="en-US"/>
        </w:rPr>
        <w:t>. These</w:t>
      </w:r>
      <w:r w:rsidR="00DD14B5" w:rsidRPr="003664A3">
        <w:rPr>
          <w:rFonts w:cstheme="minorHAnsi"/>
          <w:sz w:val="24"/>
          <w:szCs w:val="24"/>
          <w:lang w:val="en-US"/>
        </w:rPr>
        <w:t xml:space="preserve"> </w:t>
      </w:r>
      <w:r w:rsidR="00E60B1B">
        <w:rPr>
          <w:rFonts w:cstheme="minorHAnsi"/>
          <w:sz w:val="24"/>
          <w:szCs w:val="24"/>
          <w:lang w:val="en-US"/>
        </w:rPr>
        <w:t>may</w:t>
      </w:r>
      <w:r w:rsidR="00F838AA">
        <w:rPr>
          <w:rFonts w:cstheme="minorHAnsi"/>
          <w:sz w:val="24"/>
          <w:szCs w:val="24"/>
          <w:lang w:val="en-US"/>
        </w:rPr>
        <w:t xml:space="preserve"> include</w:t>
      </w:r>
      <w:r w:rsidR="00DD14B5" w:rsidRPr="003664A3">
        <w:rPr>
          <w:rFonts w:cstheme="minorHAnsi"/>
          <w:sz w:val="24"/>
          <w:szCs w:val="24"/>
          <w:lang w:val="en-US"/>
        </w:rPr>
        <w:t xml:space="preserve"> the</w:t>
      </w:r>
      <w:r w:rsidR="00C26506" w:rsidRPr="003664A3">
        <w:rPr>
          <w:rFonts w:cstheme="minorHAnsi"/>
          <w:sz w:val="24"/>
          <w:szCs w:val="24"/>
          <w:lang w:val="en-US"/>
        </w:rPr>
        <w:t xml:space="preserve"> constraining</w:t>
      </w:r>
      <w:r w:rsidR="00E60B1B">
        <w:rPr>
          <w:rFonts w:cstheme="minorHAnsi"/>
          <w:sz w:val="24"/>
          <w:szCs w:val="24"/>
          <w:lang w:val="en-US"/>
        </w:rPr>
        <w:t xml:space="preserve"> impact of</w:t>
      </w:r>
      <w:r w:rsidR="00DD14B5" w:rsidRPr="003664A3">
        <w:rPr>
          <w:rFonts w:cstheme="minorHAnsi"/>
          <w:sz w:val="24"/>
          <w:szCs w:val="24"/>
          <w:lang w:val="en-US"/>
        </w:rPr>
        <w:t xml:space="preserve"> power</w:t>
      </w:r>
      <w:r w:rsidR="006A7376">
        <w:rPr>
          <w:rFonts w:cstheme="minorHAnsi"/>
          <w:sz w:val="24"/>
          <w:szCs w:val="24"/>
          <w:lang w:val="en-US"/>
        </w:rPr>
        <w:t>,</w:t>
      </w:r>
      <w:r w:rsidR="00DD14B5" w:rsidRPr="003664A3">
        <w:rPr>
          <w:rFonts w:cstheme="minorHAnsi"/>
          <w:sz w:val="24"/>
          <w:szCs w:val="24"/>
          <w:lang w:val="en-US"/>
        </w:rPr>
        <w:t xml:space="preserve"> </w:t>
      </w:r>
      <w:r w:rsidR="00E60B1B">
        <w:rPr>
          <w:rFonts w:cstheme="minorHAnsi"/>
          <w:sz w:val="24"/>
          <w:szCs w:val="24"/>
          <w:lang w:val="en-US"/>
        </w:rPr>
        <w:t>such as</w:t>
      </w:r>
      <w:r w:rsidR="00F838AA">
        <w:rPr>
          <w:rFonts w:cstheme="minorHAnsi"/>
          <w:sz w:val="24"/>
          <w:szCs w:val="24"/>
          <w:lang w:val="en-US"/>
        </w:rPr>
        <w:t xml:space="preserve"> </w:t>
      </w:r>
      <w:r w:rsidR="0017083C">
        <w:rPr>
          <w:rFonts w:cstheme="minorHAnsi"/>
          <w:sz w:val="24"/>
          <w:szCs w:val="24"/>
          <w:lang w:val="en-US"/>
        </w:rPr>
        <w:t>potential</w:t>
      </w:r>
      <w:r w:rsidR="00483517">
        <w:rPr>
          <w:rFonts w:cstheme="minorHAnsi"/>
          <w:sz w:val="24"/>
          <w:szCs w:val="24"/>
          <w:lang w:val="en-US"/>
        </w:rPr>
        <w:t xml:space="preserve"> </w:t>
      </w:r>
      <w:r w:rsidR="00F838AA">
        <w:rPr>
          <w:rFonts w:cstheme="minorHAnsi"/>
          <w:sz w:val="24"/>
          <w:szCs w:val="24"/>
          <w:lang w:val="en-US"/>
        </w:rPr>
        <w:t xml:space="preserve">dominance in decision making of welfare professionals, </w:t>
      </w:r>
      <w:r w:rsidR="00DD14B5" w:rsidRPr="003664A3">
        <w:rPr>
          <w:rFonts w:cstheme="minorHAnsi"/>
          <w:sz w:val="24"/>
          <w:szCs w:val="24"/>
          <w:lang w:val="en-US"/>
        </w:rPr>
        <w:t xml:space="preserve">alongside wider </w:t>
      </w:r>
      <w:r w:rsidR="00483517">
        <w:rPr>
          <w:rFonts w:cstheme="minorHAnsi"/>
          <w:sz w:val="24"/>
          <w:szCs w:val="24"/>
          <w:lang w:val="en-US"/>
        </w:rPr>
        <w:t>implications</w:t>
      </w:r>
      <w:r w:rsidR="00DD14B5" w:rsidRPr="003664A3">
        <w:rPr>
          <w:rFonts w:cstheme="minorHAnsi"/>
          <w:sz w:val="24"/>
          <w:szCs w:val="24"/>
          <w:lang w:val="en-US"/>
        </w:rPr>
        <w:t xml:space="preserve"> of policy</w:t>
      </w:r>
      <w:r w:rsidR="008A5B52">
        <w:rPr>
          <w:rFonts w:cstheme="minorHAnsi"/>
          <w:sz w:val="24"/>
          <w:szCs w:val="24"/>
          <w:lang w:val="en-US"/>
        </w:rPr>
        <w:t>,</w:t>
      </w:r>
      <w:r w:rsidR="00DD14B5" w:rsidRPr="003664A3">
        <w:rPr>
          <w:rFonts w:cstheme="minorHAnsi"/>
          <w:sz w:val="24"/>
          <w:szCs w:val="24"/>
          <w:lang w:val="en-US"/>
        </w:rPr>
        <w:t xml:space="preserve"> </w:t>
      </w:r>
      <w:r w:rsidR="00201047">
        <w:rPr>
          <w:rFonts w:cstheme="minorHAnsi"/>
          <w:sz w:val="24"/>
          <w:szCs w:val="24"/>
          <w:lang w:val="en-US"/>
        </w:rPr>
        <w:t>includi</w:t>
      </w:r>
      <w:r w:rsidR="00014341">
        <w:rPr>
          <w:rFonts w:cstheme="minorHAnsi"/>
          <w:sz w:val="24"/>
          <w:szCs w:val="24"/>
          <w:lang w:val="en-US"/>
        </w:rPr>
        <w:t>n</w:t>
      </w:r>
      <w:r w:rsidR="00201047">
        <w:rPr>
          <w:rFonts w:cstheme="minorHAnsi"/>
          <w:sz w:val="24"/>
          <w:szCs w:val="24"/>
          <w:lang w:val="en-US"/>
        </w:rPr>
        <w:t>g</w:t>
      </w:r>
      <w:r w:rsidR="00DD14B5" w:rsidRPr="003664A3">
        <w:rPr>
          <w:rFonts w:cstheme="minorHAnsi"/>
          <w:sz w:val="24"/>
          <w:szCs w:val="24"/>
          <w:lang w:val="en-US"/>
        </w:rPr>
        <w:t xml:space="preserve"> </w:t>
      </w:r>
      <w:r w:rsidR="00152B43">
        <w:rPr>
          <w:rFonts w:cstheme="minorHAnsi"/>
          <w:sz w:val="24"/>
          <w:szCs w:val="24"/>
          <w:lang w:val="en-US"/>
        </w:rPr>
        <w:t>structured dependenc</w:t>
      </w:r>
      <w:r w:rsidR="00E60B1B">
        <w:rPr>
          <w:rFonts w:cstheme="minorHAnsi"/>
          <w:sz w:val="24"/>
          <w:szCs w:val="24"/>
          <w:lang w:val="en-US"/>
        </w:rPr>
        <w:t>y</w:t>
      </w:r>
      <w:r w:rsidR="00677F72">
        <w:rPr>
          <w:rFonts w:cstheme="minorHAnsi"/>
          <w:sz w:val="24"/>
          <w:szCs w:val="24"/>
          <w:lang w:val="en-US"/>
        </w:rPr>
        <w:t xml:space="preserve"> and inequality</w:t>
      </w:r>
      <w:r w:rsidR="0086075A">
        <w:rPr>
          <w:rFonts w:cstheme="minorHAnsi"/>
          <w:sz w:val="24"/>
          <w:szCs w:val="24"/>
          <w:lang w:val="en-US"/>
        </w:rPr>
        <w:t xml:space="preserve"> for marginalized user or </w:t>
      </w:r>
      <w:proofErr w:type="spellStart"/>
      <w:r w:rsidR="0086075A">
        <w:rPr>
          <w:rFonts w:cstheme="minorHAnsi"/>
          <w:sz w:val="24"/>
          <w:szCs w:val="24"/>
          <w:lang w:val="en-US"/>
        </w:rPr>
        <w:t>carer</w:t>
      </w:r>
      <w:proofErr w:type="spellEnd"/>
      <w:r w:rsidR="0086075A">
        <w:rPr>
          <w:rFonts w:cstheme="minorHAnsi"/>
          <w:sz w:val="24"/>
          <w:szCs w:val="24"/>
          <w:lang w:val="en-US"/>
        </w:rPr>
        <w:t xml:space="preserve"> groups</w:t>
      </w:r>
      <w:r w:rsidR="006A7376">
        <w:rPr>
          <w:rFonts w:cstheme="minorHAnsi"/>
          <w:sz w:val="24"/>
          <w:szCs w:val="24"/>
          <w:lang w:val="en-US"/>
        </w:rPr>
        <w:t xml:space="preserve"> (</w:t>
      </w:r>
      <w:r w:rsidR="009F5CA0">
        <w:rPr>
          <w:rFonts w:cs="Calibri"/>
          <w:color w:val="000000"/>
          <w:sz w:val="24"/>
          <w:szCs w:val="24"/>
        </w:rPr>
        <w:t xml:space="preserve">Jones and Novak, 1999; </w:t>
      </w:r>
      <w:r w:rsidR="006A7376">
        <w:rPr>
          <w:rFonts w:cstheme="minorHAnsi"/>
          <w:sz w:val="24"/>
          <w:szCs w:val="24"/>
          <w:lang w:val="en-US"/>
        </w:rPr>
        <w:t>Estes et al, 2003)</w:t>
      </w:r>
      <w:r w:rsidR="00DD14B5" w:rsidRPr="003664A3">
        <w:rPr>
          <w:rFonts w:cstheme="minorHAnsi"/>
          <w:sz w:val="24"/>
          <w:szCs w:val="24"/>
          <w:lang w:val="en-US"/>
        </w:rPr>
        <w:t xml:space="preserve">. </w:t>
      </w:r>
    </w:p>
    <w:p w14:paraId="40A15C30" w14:textId="77777777" w:rsidR="00ED7B70" w:rsidRDefault="00B029B6" w:rsidP="0070073A">
      <w:pPr>
        <w:spacing w:line="480" w:lineRule="auto"/>
        <w:rPr>
          <w:b/>
          <w:sz w:val="24"/>
          <w:szCs w:val="24"/>
        </w:rPr>
      </w:pPr>
      <w:r w:rsidRPr="003664A3">
        <w:rPr>
          <w:b/>
          <w:sz w:val="24"/>
          <w:szCs w:val="24"/>
        </w:rPr>
        <w:t>Quasi-markets, e</w:t>
      </w:r>
      <w:r w:rsidR="00B26758" w:rsidRPr="003664A3">
        <w:rPr>
          <w:b/>
          <w:sz w:val="24"/>
          <w:szCs w:val="24"/>
        </w:rPr>
        <w:t>ligibility</w:t>
      </w:r>
      <w:r w:rsidR="00D46830">
        <w:rPr>
          <w:b/>
          <w:sz w:val="24"/>
          <w:szCs w:val="24"/>
        </w:rPr>
        <w:t>,</w:t>
      </w:r>
      <w:r w:rsidR="00B26758" w:rsidRPr="003664A3">
        <w:rPr>
          <w:b/>
          <w:sz w:val="24"/>
          <w:szCs w:val="24"/>
        </w:rPr>
        <w:t xml:space="preserve"> </w:t>
      </w:r>
      <w:r w:rsidRPr="003664A3">
        <w:rPr>
          <w:b/>
          <w:sz w:val="24"/>
          <w:szCs w:val="24"/>
        </w:rPr>
        <w:t xml:space="preserve">and </w:t>
      </w:r>
      <w:r w:rsidR="00165A25" w:rsidRPr="003664A3">
        <w:rPr>
          <w:b/>
          <w:sz w:val="24"/>
          <w:szCs w:val="24"/>
        </w:rPr>
        <w:t>risk</w:t>
      </w:r>
      <w:r w:rsidR="00F04846" w:rsidRPr="003664A3">
        <w:rPr>
          <w:b/>
          <w:sz w:val="24"/>
          <w:szCs w:val="24"/>
        </w:rPr>
        <w:t xml:space="preserve"> </w:t>
      </w:r>
    </w:p>
    <w:p w14:paraId="095A6F30" w14:textId="3D8CA7DD" w:rsidR="00ED7B70" w:rsidRDefault="00F1541B" w:rsidP="001F7124">
      <w:pPr>
        <w:spacing w:line="480" w:lineRule="auto"/>
        <w:rPr>
          <w:sz w:val="24"/>
          <w:szCs w:val="24"/>
        </w:rPr>
      </w:pPr>
      <w:r w:rsidRPr="00CC52F7">
        <w:rPr>
          <w:rFonts w:cs="Calibri"/>
          <w:sz w:val="24"/>
          <w:szCs w:val="24"/>
          <w:lang w:val="en"/>
        </w:rPr>
        <w:t>The</w:t>
      </w:r>
      <w:r w:rsidR="009F5CA0" w:rsidRPr="00CC52F7">
        <w:rPr>
          <w:rFonts w:cs="Calibri"/>
          <w:sz w:val="24"/>
          <w:szCs w:val="24"/>
          <w:lang w:val="en"/>
        </w:rPr>
        <w:t xml:space="preserve"> first policy related example</w:t>
      </w:r>
      <w:r w:rsidR="005A38FD">
        <w:rPr>
          <w:rFonts w:cs="Calibri"/>
          <w:sz w:val="24"/>
          <w:szCs w:val="24"/>
          <w:lang w:val="en"/>
        </w:rPr>
        <w:t xml:space="preserve"> of conditionality</w:t>
      </w:r>
      <w:r w:rsidR="009F5CA0" w:rsidRPr="00CC52F7">
        <w:rPr>
          <w:rFonts w:cs="Calibri"/>
          <w:sz w:val="24"/>
          <w:szCs w:val="24"/>
          <w:lang w:val="en"/>
        </w:rPr>
        <w:t xml:space="preserve"> focuses on the </w:t>
      </w:r>
      <w:r w:rsidR="003005DE" w:rsidRPr="00CC52F7">
        <w:rPr>
          <w:rFonts w:cs="Calibri"/>
          <w:sz w:val="24"/>
          <w:szCs w:val="24"/>
          <w:lang w:val="en"/>
        </w:rPr>
        <w:t xml:space="preserve">rapid </w:t>
      </w:r>
      <w:r w:rsidRPr="00CC52F7">
        <w:rPr>
          <w:rFonts w:cs="Calibri"/>
          <w:sz w:val="24"/>
          <w:szCs w:val="24"/>
          <w:lang w:val="en"/>
        </w:rPr>
        <w:t>expansion</w:t>
      </w:r>
      <w:r w:rsidR="004A57DB" w:rsidRPr="00CC52F7">
        <w:rPr>
          <w:rFonts w:cs="Calibri"/>
          <w:sz w:val="24"/>
          <w:szCs w:val="24"/>
          <w:lang w:val="en"/>
        </w:rPr>
        <w:t xml:space="preserve"> of quasi-markets</w:t>
      </w:r>
      <w:r w:rsidR="0015608E" w:rsidRPr="00CC52F7">
        <w:rPr>
          <w:rFonts w:cs="Calibri"/>
          <w:sz w:val="24"/>
          <w:szCs w:val="24"/>
          <w:lang w:val="en"/>
        </w:rPr>
        <w:t xml:space="preserve"> of care</w:t>
      </w:r>
      <w:r w:rsidR="004A57DB" w:rsidRPr="00CC52F7">
        <w:rPr>
          <w:rFonts w:cs="Calibri"/>
          <w:sz w:val="24"/>
          <w:szCs w:val="24"/>
          <w:lang w:val="en"/>
        </w:rPr>
        <w:t xml:space="preserve"> </w:t>
      </w:r>
      <w:r w:rsidR="00ED66FD" w:rsidRPr="00CC52F7">
        <w:rPr>
          <w:rFonts w:cs="Calibri"/>
          <w:sz w:val="24"/>
          <w:szCs w:val="24"/>
          <w:lang w:val="en"/>
        </w:rPr>
        <w:t>during</w:t>
      </w:r>
      <w:r w:rsidR="003005DE" w:rsidRPr="00CC52F7">
        <w:rPr>
          <w:rFonts w:cs="Calibri"/>
          <w:sz w:val="24"/>
          <w:szCs w:val="24"/>
          <w:lang w:val="en"/>
        </w:rPr>
        <w:t xml:space="preserve"> the 1990s and beyond</w:t>
      </w:r>
      <w:r w:rsidR="004A57DB" w:rsidRPr="00CC52F7">
        <w:rPr>
          <w:rFonts w:cs="Calibri"/>
          <w:sz w:val="24"/>
          <w:szCs w:val="24"/>
          <w:lang w:val="en"/>
        </w:rPr>
        <w:t xml:space="preserve"> </w:t>
      </w:r>
      <w:r w:rsidR="0015608E" w:rsidRPr="00CC52F7">
        <w:rPr>
          <w:rFonts w:cs="Calibri"/>
          <w:sz w:val="24"/>
          <w:szCs w:val="24"/>
          <w:lang w:val="en"/>
        </w:rPr>
        <w:t>in the UK</w:t>
      </w:r>
      <w:r w:rsidR="009F5CA0" w:rsidRPr="00CC52F7">
        <w:rPr>
          <w:rFonts w:cs="Calibri"/>
          <w:sz w:val="24"/>
          <w:szCs w:val="24"/>
          <w:lang w:val="en"/>
        </w:rPr>
        <w:t>, and which has</w:t>
      </w:r>
      <w:r w:rsidR="004A57DB" w:rsidRPr="00CC52F7">
        <w:rPr>
          <w:rFonts w:cs="Calibri"/>
          <w:sz w:val="24"/>
          <w:szCs w:val="24"/>
          <w:lang w:val="en"/>
        </w:rPr>
        <w:t xml:space="preserve"> </w:t>
      </w:r>
      <w:r w:rsidR="0015608E" w:rsidRPr="00CC52F7">
        <w:rPr>
          <w:rFonts w:cs="Calibri"/>
          <w:sz w:val="24"/>
          <w:szCs w:val="24"/>
          <w:lang w:val="en"/>
        </w:rPr>
        <w:t>led</w:t>
      </w:r>
      <w:r w:rsidR="001F7124" w:rsidRPr="00CC52F7">
        <w:rPr>
          <w:rFonts w:cs="Calibri"/>
          <w:sz w:val="24"/>
          <w:szCs w:val="24"/>
          <w:lang w:val="en"/>
        </w:rPr>
        <w:t xml:space="preserve"> </w:t>
      </w:r>
      <w:r w:rsidR="0015608E" w:rsidRPr="00CC52F7">
        <w:rPr>
          <w:rFonts w:cs="Calibri"/>
          <w:sz w:val="24"/>
          <w:szCs w:val="24"/>
          <w:lang w:val="en"/>
        </w:rPr>
        <w:t>to</w:t>
      </w:r>
      <w:r w:rsidR="003005DE" w:rsidRPr="00CC52F7">
        <w:rPr>
          <w:rFonts w:cs="Calibri"/>
          <w:sz w:val="24"/>
          <w:szCs w:val="24"/>
          <w:lang w:val="en"/>
        </w:rPr>
        <w:t xml:space="preserve"> </w:t>
      </w:r>
      <w:r w:rsidR="004A57DB" w:rsidRPr="00CC52F7">
        <w:rPr>
          <w:rFonts w:cs="Calibri"/>
          <w:sz w:val="24"/>
          <w:szCs w:val="24"/>
          <w:lang w:val="en"/>
        </w:rPr>
        <w:t xml:space="preserve">a </w:t>
      </w:r>
      <w:r w:rsidR="0015608E" w:rsidRPr="00CC52F7">
        <w:rPr>
          <w:rFonts w:cs="Calibri"/>
          <w:sz w:val="24"/>
          <w:szCs w:val="24"/>
          <w:lang w:val="en"/>
        </w:rPr>
        <w:t>significant</w:t>
      </w:r>
      <w:r w:rsidR="009F5CA0" w:rsidRPr="00CC52F7">
        <w:rPr>
          <w:rFonts w:cs="Calibri"/>
          <w:sz w:val="24"/>
          <w:szCs w:val="24"/>
          <w:lang w:val="en"/>
        </w:rPr>
        <w:t xml:space="preserve"> relative</w:t>
      </w:r>
      <w:r w:rsidR="0015608E" w:rsidRPr="00CC52F7">
        <w:rPr>
          <w:rFonts w:cs="Calibri"/>
          <w:sz w:val="24"/>
          <w:szCs w:val="24"/>
          <w:lang w:val="en"/>
        </w:rPr>
        <w:t xml:space="preserve"> </w:t>
      </w:r>
      <w:r w:rsidR="004A57DB" w:rsidRPr="00CC52F7">
        <w:rPr>
          <w:rFonts w:cs="Calibri"/>
          <w:sz w:val="24"/>
          <w:szCs w:val="24"/>
          <w:lang w:val="en"/>
        </w:rPr>
        <w:t>reduction of direct state</w:t>
      </w:r>
      <w:r w:rsidR="003005DE" w:rsidRPr="00CC52F7">
        <w:rPr>
          <w:rFonts w:cs="Calibri"/>
          <w:sz w:val="24"/>
          <w:szCs w:val="24"/>
          <w:lang w:val="en"/>
        </w:rPr>
        <w:t>-</w:t>
      </w:r>
      <w:r w:rsidR="00D93DEE" w:rsidRPr="00CC52F7">
        <w:rPr>
          <w:rFonts w:cs="Calibri"/>
          <w:sz w:val="24"/>
          <w:szCs w:val="24"/>
          <w:lang w:val="en"/>
        </w:rPr>
        <w:t>support</w:t>
      </w:r>
      <w:r w:rsidR="00A95D4E" w:rsidRPr="00CC52F7">
        <w:rPr>
          <w:rFonts w:cs="Calibri"/>
          <w:sz w:val="24"/>
          <w:szCs w:val="24"/>
          <w:lang w:val="en"/>
        </w:rPr>
        <w:t xml:space="preserve"> for older people</w:t>
      </w:r>
      <w:r w:rsidR="003005DE" w:rsidRPr="00CC52F7">
        <w:rPr>
          <w:rFonts w:cs="Calibri"/>
          <w:sz w:val="24"/>
          <w:szCs w:val="24"/>
          <w:lang w:val="en"/>
        </w:rPr>
        <w:t xml:space="preserve"> through services and</w:t>
      </w:r>
      <w:r w:rsidR="004A57DB" w:rsidRPr="00CC52F7">
        <w:rPr>
          <w:rFonts w:cs="Calibri"/>
          <w:sz w:val="24"/>
          <w:szCs w:val="24"/>
          <w:lang w:val="en"/>
        </w:rPr>
        <w:t xml:space="preserve"> </w:t>
      </w:r>
      <w:r w:rsidR="00D93DEE" w:rsidRPr="00CC52F7">
        <w:rPr>
          <w:rFonts w:cs="Calibri"/>
          <w:sz w:val="24"/>
          <w:szCs w:val="24"/>
          <w:lang w:val="en"/>
        </w:rPr>
        <w:t>care</w:t>
      </w:r>
      <w:r w:rsidR="00ED7B70" w:rsidRPr="00CC52F7">
        <w:rPr>
          <w:rFonts w:cs="Calibri"/>
          <w:sz w:val="24"/>
          <w:szCs w:val="24"/>
          <w:lang w:val="en"/>
        </w:rPr>
        <w:t xml:space="preserve"> (</w:t>
      </w:r>
      <w:r w:rsidRPr="00CC52F7">
        <w:rPr>
          <w:rFonts w:cs="Calibri"/>
          <w:sz w:val="24"/>
          <w:szCs w:val="24"/>
          <w:lang w:val="en"/>
        </w:rPr>
        <w:t xml:space="preserve">Harris, 2003; </w:t>
      </w:r>
      <w:r w:rsidR="00ED7B70" w:rsidRPr="00CC52F7">
        <w:rPr>
          <w:sz w:val="24"/>
          <w:szCs w:val="24"/>
        </w:rPr>
        <w:t>Jordan and Drakeford, 2012</w:t>
      </w:r>
      <w:r w:rsidR="00ED7B70" w:rsidRPr="00CC52F7">
        <w:rPr>
          <w:rFonts w:cs="Calibri"/>
          <w:sz w:val="24"/>
          <w:szCs w:val="24"/>
          <w:lang w:val="en"/>
        </w:rPr>
        <w:t>)</w:t>
      </w:r>
      <w:r w:rsidR="004A57DB" w:rsidRPr="00CC52F7">
        <w:rPr>
          <w:rFonts w:cs="Calibri"/>
          <w:sz w:val="24"/>
          <w:szCs w:val="24"/>
          <w:lang w:val="en"/>
        </w:rPr>
        <w:t xml:space="preserve">. </w:t>
      </w:r>
      <w:r w:rsidR="00A95D4E" w:rsidRPr="00100CE0">
        <w:rPr>
          <w:rFonts w:cs="Calibri"/>
          <w:sz w:val="24"/>
          <w:szCs w:val="24"/>
          <w:lang w:val="en"/>
        </w:rPr>
        <w:t xml:space="preserve">The transformation of </w:t>
      </w:r>
      <w:r w:rsidR="00034234" w:rsidRPr="00100CE0">
        <w:rPr>
          <w:rFonts w:cs="Calibri"/>
          <w:sz w:val="24"/>
          <w:szCs w:val="24"/>
          <w:lang w:val="en"/>
        </w:rPr>
        <w:t xml:space="preserve">welfare </w:t>
      </w:r>
      <w:r w:rsidR="00F04846" w:rsidRPr="00100CE0">
        <w:rPr>
          <w:rFonts w:cs="Calibri"/>
          <w:sz w:val="24"/>
          <w:szCs w:val="24"/>
          <w:lang w:val="en"/>
        </w:rPr>
        <w:t xml:space="preserve">professionals such as </w:t>
      </w:r>
      <w:r w:rsidR="00A95D4E" w:rsidRPr="00100CE0">
        <w:rPr>
          <w:rFonts w:cs="Calibri"/>
          <w:sz w:val="24"/>
          <w:szCs w:val="24"/>
          <w:lang w:val="en"/>
        </w:rPr>
        <w:t>social workers into ‘care managers’</w:t>
      </w:r>
      <w:r>
        <w:rPr>
          <w:rFonts w:cs="Calibri"/>
          <w:sz w:val="24"/>
          <w:szCs w:val="24"/>
          <w:lang w:val="en"/>
        </w:rPr>
        <w:t xml:space="preserve"> led to a</w:t>
      </w:r>
      <w:r w:rsidR="009F5CA0">
        <w:rPr>
          <w:rFonts w:cs="Calibri"/>
          <w:sz w:val="24"/>
          <w:szCs w:val="24"/>
          <w:lang w:val="en"/>
        </w:rPr>
        <w:t xml:space="preserve"> </w:t>
      </w:r>
      <w:r w:rsidR="00AF3978">
        <w:rPr>
          <w:rFonts w:cs="Calibri"/>
          <w:sz w:val="24"/>
          <w:szCs w:val="24"/>
          <w:lang w:val="en"/>
        </w:rPr>
        <w:t xml:space="preserve">move away from </w:t>
      </w:r>
      <w:r>
        <w:rPr>
          <w:rFonts w:cs="Calibri"/>
          <w:sz w:val="24"/>
          <w:szCs w:val="24"/>
          <w:lang w:val="en"/>
        </w:rPr>
        <w:t xml:space="preserve">direct </w:t>
      </w:r>
      <w:r w:rsidR="00AF3978">
        <w:rPr>
          <w:rFonts w:cs="Calibri"/>
          <w:sz w:val="24"/>
          <w:szCs w:val="24"/>
          <w:lang w:val="en"/>
        </w:rPr>
        <w:t xml:space="preserve">personal support to </w:t>
      </w:r>
      <w:r>
        <w:rPr>
          <w:rFonts w:cs="Calibri"/>
          <w:sz w:val="24"/>
          <w:szCs w:val="24"/>
          <w:lang w:val="en"/>
        </w:rPr>
        <w:t xml:space="preserve">a </w:t>
      </w:r>
      <w:r w:rsidR="009F5CA0">
        <w:rPr>
          <w:rFonts w:cs="Calibri"/>
          <w:sz w:val="24"/>
          <w:szCs w:val="24"/>
          <w:lang w:val="en"/>
        </w:rPr>
        <w:t xml:space="preserve">focus on </w:t>
      </w:r>
      <w:r w:rsidR="009F5CA0" w:rsidRPr="00100CE0">
        <w:rPr>
          <w:rFonts w:cs="Calibri"/>
          <w:sz w:val="24"/>
          <w:szCs w:val="24"/>
          <w:lang w:val="en"/>
        </w:rPr>
        <w:t>the commissioning and</w:t>
      </w:r>
      <w:r w:rsidR="009F5CA0">
        <w:rPr>
          <w:rFonts w:cs="Calibri"/>
          <w:sz w:val="24"/>
          <w:szCs w:val="24"/>
          <w:lang w:val="en"/>
        </w:rPr>
        <w:t xml:space="preserve"> </w:t>
      </w:r>
      <w:r w:rsidR="009F5CA0" w:rsidRPr="00100CE0">
        <w:rPr>
          <w:rFonts w:cs="Calibri"/>
          <w:sz w:val="24"/>
          <w:szCs w:val="24"/>
          <w:lang w:val="en"/>
        </w:rPr>
        <w:t xml:space="preserve">coordination of an increasingly fragmented network of </w:t>
      </w:r>
      <w:r w:rsidR="009F5CA0">
        <w:rPr>
          <w:rFonts w:cs="Calibri"/>
          <w:sz w:val="24"/>
          <w:szCs w:val="24"/>
          <w:lang w:val="en"/>
        </w:rPr>
        <w:t xml:space="preserve">chiefly </w:t>
      </w:r>
      <w:r w:rsidR="009F5CA0" w:rsidRPr="00100CE0">
        <w:rPr>
          <w:rFonts w:cs="Calibri"/>
          <w:sz w:val="24"/>
          <w:szCs w:val="24"/>
          <w:lang w:val="en"/>
        </w:rPr>
        <w:t>private sector run services</w:t>
      </w:r>
      <w:r w:rsidR="00AF3978">
        <w:rPr>
          <w:rFonts w:cs="Calibri"/>
          <w:sz w:val="24"/>
          <w:szCs w:val="24"/>
          <w:lang w:val="en"/>
        </w:rPr>
        <w:t xml:space="preserve"> </w:t>
      </w:r>
      <w:r w:rsidR="00ED66FD" w:rsidRPr="00100CE0">
        <w:rPr>
          <w:rFonts w:cs="Calibri"/>
          <w:sz w:val="24"/>
          <w:szCs w:val="24"/>
          <w:lang w:val="en"/>
        </w:rPr>
        <w:t>(Harris, 2003;</w:t>
      </w:r>
      <w:r w:rsidR="00ED66FD" w:rsidRPr="00100CE0">
        <w:rPr>
          <w:rFonts w:eastAsia="Times New Roman"/>
          <w:color w:val="000000"/>
          <w:sz w:val="24"/>
          <w:szCs w:val="24"/>
          <w:lang w:eastAsia="en-GB"/>
        </w:rPr>
        <w:t xml:space="preserve"> </w:t>
      </w:r>
      <w:proofErr w:type="spellStart"/>
      <w:r w:rsidRPr="00100CE0">
        <w:rPr>
          <w:rFonts w:cs="Calibri"/>
          <w:sz w:val="24"/>
          <w:szCs w:val="24"/>
          <w:lang w:val="en"/>
        </w:rPr>
        <w:t>Kemshall</w:t>
      </w:r>
      <w:proofErr w:type="spellEnd"/>
      <w:r>
        <w:rPr>
          <w:rFonts w:cs="Calibri"/>
          <w:sz w:val="24"/>
          <w:szCs w:val="24"/>
          <w:lang w:val="en"/>
        </w:rPr>
        <w:t xml:space="preserve">, 2010; </w:t>
      </w:r>
      <w:r w:rsidR="008035A6">
        <w:rPr>
          <w:rFonts w:eastAsia="Times New Roman"/>
          <w:color w:val="000000"/>
          <w:sz w:val="24"/>
          <w:szCs w:val="24"/>
          <w:lang w:eastAsia="en-GB"/>
        </w:rPr>
        <w:t>Ray, 2014</w:t>
      </w:r>
      <w:r w:rsidR="00ED66FD" w:rsidRPr="00100CE0">
        <w:rPr>
          <w:rFonts w:eastAsia="Times New Roman"/>
          <w:color w:val="000000"/>
          <w:sz w:val="24"/>
          <w:szCs w:val="24"/>
          <w:lang w:eastAsia="en-GB"/>
        </w:rPr>
        <w:t>)</w:t>
      </w:r>
      <w:r w:rsidR="00A95D4E" w:rsidRPr="00100CE0">
        <w:rPr>
          <w:rFonts w:cs="Calibri"/>
          <w:sz w:val="24"/>
          <w:szCs w:val="24"/>
          <w:lang w:val="en"/>
        </w:rPr>
        <w:t xml:space="preserve">. </w:t>
      </w:r>
      <w:r w:rsidR="00034234" w:rsidRPr="00100CE0">
        <w:rPr>
          <w:rFonts w:cs="Calibri"/>
          <w:sz w:val="24"/>
          <w:szCs w:val="24"/>
          <w:lang w:val="en"/>
        </w:rPr>
        <w:t xml:space="preserve">As in health care </w:t>
      </w:r>
      <w:r w:rsidR="00A906F3">
        <w:rPr>
          <w:rFonts w:cs="Calibri"/>
          <w:sz w:val="24"/>
          <w:szCs w:val="24"/>
          <w:lang w:val="en"/>
        </w:rPr>
        <w:t>with</w:t>
      </w:r>
      <w:r w:rsidR="00034234" w:rsidRPr="00100CE0">
        <w:rPr>
          <w:rFonts w:cs="Calibri"/>
          <w:sz w:val="24"/>
          <w:szCs w:val="24"/>
          <w:lang w:val="en"/>
        </w:rPr>
        <w:t xml:space="preserve"> the role of GPs and other medics in limiting interventions through gatekeeping</w:t>
      </w:r>
      <w:r w:rsidR="00100CE0" w:rsidRPr="00100CE0">
        <w:rPr>
          <w:rFonts w:cs="Calibri"/>
          <w:sz w:val="24"/>
          <w:szCs w:val="24"/>
          <w:lang w:val="en"/>
        </w:rPr>
        <w:t xml:space="preserve"> </w:t>
      </w:r>
      <w:r w:rsidR="00100CE0" w:rsidRPr="00100CE0">
        <w:rPr>
          <w:rFonts w:cs="Calibri"/>
          <w:sz w:val="24"/>
          <w:szCs w:val="24"/>
          <w:lang w:val="en"/>
        </w:rPr>
        <w:lastRenderedPageBreak/>
        <w:t>and</w:t>
      </w:r>
      <w:r w:rsidR="00034234" w:rsidRPr="00100CE0">
        <w:rPr>
          <w:rFonts w:cs="Calibri"/>
          <w:sz w:val="24"/>
          <w:szCs w:val="24"/>
          <w:lang w:val="en"/>
        </w:rPr>
        <w:t xml:space="preserve"> </w:t>
      </w:r>
      <w:r w:rsidR="0076328C">
        <w:rPr>
          <w:rFonts w:cs="Calibri"/>
          <w:sz w:val="24"/>
          <w:szCs w:val="24"/>
          <w:lang w:val="en"/>
        </w:rPr>
        <w:t xml:space="preserve">the </w:t>
      </w:r>
      <w:r w:rsidR="00034234" w:rsidRPr="00100CE0">
        <w:rPr>
          <w:rFonts w:cs="Calibri"/>
          <w:sz w:val="24"/>
          <w:szCs w:val="24"/>
          <w:lang w:val="en"/>
        </w:rPr>
        <w:t xml:space="preserve">rationing </w:t>
      </w:r>
      <w:r w:rsidR="00100CE0" w:rsidRPr="00100CE0">
        <w:rPr>
          <w:rFonts w:cs="Calibri"/>
          <w:sz w:val="24"/>
          <w:szCs w:val="24"/>
          <w:lang w:val="en"/>
        </w:rPr>
        <w:t xml:space="preserve">of treatments </w:t>
      </w:r>
      <w:r w:rsidR="00397A2F" w:rsidRPr="00100CE0">
        <w:rPr>
          <w:rFonts w:cs="Calibri"/>
          <w:sz w:val="24"/>
          <w:szCs w:val="24"/>
          <w:lang w:val="en"/>
        </w:rPr>
        <w:t>(Pollock, 2004</w:t>
      </w:r>
      <w:r w:rsidR="00397A2F" w:rsidRPr="00100CE0">
        <w:rPr>
          <w:sz w:val="24"/>
          <w:szCs w:val="24"/>
        </w:rPr>
        <w:t>)</w:t>
      </w:r>
      <w:r w:rsidR="00034234" w:rsidRPr="00100CE0">
        <w:rPr>
          <w:rFonts w:cs="Calibri"/>
          <w:sz w:val="24"/>
          <w:szCs w:val="24"/>
          <w:lang w:val="en"/>
        </w:rPr>
        <w:t>, t</w:t>
      </w:r>
      <w:r w:rsidR="00A95D4E" w:rsidRPr="00100CE0">
        <w:rPr>
          <w:rFonts w:cs="Calibri"/>
          <w:sz w:val="24"/>
          <w:szCs w:val="24"/>
          <w:lang w:val="en"/>
        </w:rPr>
        <w:t xml:space="preserve">he undertaking of assessments of needs by social workers </w:t>
      </w:r>
      <w:r>
        <w:rPr>
          <w:rFonts w:cs="Calibri"/>
          <w:sz w:val="24"/>
          <w:szCs w:val="24"/>
          <w:lang w:val="en"/>
        </w:rPr>
        <w:t>has since</w:t>
      </w:r>
      <w:r w:rsidR="00B63ECC">
        <w:rPr>
          <w:rFonts w:cs="Calibri"/>
          <w:sz w:val="24"/>
          <w:szCs w:val="24"/>
          <w:lang w:val="en"/>
        </w:rPr>
        <w:t xml:space="preserve"> </w:t>
      </w:r>
      <w:r>
        <w:rPr>
          <w:rFonts w:cs="Calibri"/>
          <w:sz w:val="24"/>
          <w:szCs w:val="24"/>
          <w:lang w:val="en"/>
        </w:rPr>
        <w:t>remained</w:t>
      </w:r>
      <w:r w:rsidR="00A95D4E" w:rsidRPr="00100CE0">
        <w:rPr>
          <w:rFonts w:cs="Calibri"/>
          <w:sz w:val="24"/>
          <w:szCs w:val="24"/>
          <w:lang w:val="en"/>
        </w:rPr>
        <w:t xml:space="preserve"> a bureaucratic gatekeeping mechanism</w:t>
      </w:r>
      <w:r w:rsidR="00F53869" w:rsidRPr="00100CE0">
        <w:rPr>
          <w:rFonts w:cs="Calibri"/>
          <w:sz w:val="24"/>
          <w:szCs w:val="24"/>
          <w:lang w:val="en"/>
        </w:rPr>
        <w:t xml:space="preserve">. </w:t>
      </w:r>
      <w:r w:rsidR="00A906F3">
        <w:rPr>
          <w:rFonts w:cs="Calibri"/>
          <w:sz w:val="24"/>
          <w:szCs w:val="24"/>
          <w:lang w:val="en"/>
        </w:rPr>
        <w:t>In</w:t>
      </w:r>
      <w:r>
        <w:rPr>
          <w:rFonts w:cs="Calibri"/>
          <w:sz w:val="24"/>
          <w:szCs w:val="24"/>
          <w:lang w:val="en"/>
        </w:rPr>
        <w:t xml:space="preserve"> particular</w:t>
      </w:r>
      <w:r w:rsidR="00A906F3">
        <w:rPr>
          <w:rFonts w:cs="Calibri"/>
          <w:sz w:val="24"/>
          <w:szCs w:val="24"/>
          <w:lang w:val="en"/>
        </w:rPr>
        <w:t>, t</w:t>
      </w:r>
      <w:r w:rsidR="00B05E9B" w:rsidRPr="00100CE0">
        <w:rPr>
          <w:rFonts w:cs="Calibri"/>
          <w:sz w:val="24"/>
          <w:szCs w:val="24"/>
          <w:lang w:val="en"/>
        </w:rPr>
        <w:t xml:space="preserve">he tool of </w:t>
      </w:r>
      <w:r w:rsidR="00F53869" w:rsidRPr="00100CE0">
        <w:rPr>
          <w:rFonts w:cs="Calibri"/>
          <w:sz w:val="24"/>
          <w:szCs w:val="24"/>
          <w:lang w:val="en"/>
        </w:rPr>
        <w:t xml:space="preserve">assessment </w:t>
      </w:r>
      <w:r>
        <w:rPr>
          <w:rFonts w:cs="Calibri"/>
          <w:sz w:val="24"/>
          <w:szCs w:val="24"/>
          <w:lang w:val="en"/>
        </w:rPr>
        <w:t>has ultimately been</w:t>
      </w:r>
      <w:r w:rsidR="00A95D4E" w:rsidRPr="00100CE0">
        <w:rPr>
          <w:rFonts w:cs="Calibri"/>
          <w:sz w:val="24"/>
          <w:szCs w:val="24"/>
          <w:lang w:val="en"/>
        </w:rPr>
        <w:t xml:space="preserve"> driven by </w:t>
      </w:r>
      <w:r w:rsidR="009B5187">
        <w:rPr>
          <w:rFonts w:cs="Calibri"/>
          <w:sz w:val="24"/>
          <w:szCs w:val="24"/>
          <w:lang w:val="en"/>
        </w:rPr>
        <w:t xml:space="preserve">a need to </w:t>
      </w:r>
      <w:r w:rsidR="00A95D4E" w:rsidRPr="00100CE0">
        <w:rPr>
          <w:rFonts w:cs="Calibri"/>
          <w:sz w:val="24"/>
          <w:szCs w:val="24"/>
          <w:lang w:val="en"/>
        </w:rPr>
        <w:t xml:space="preserve">ration resources and </w:t>
      </w:r>
      <w:r w:rsidR="009B5187">
        <w:rPr>
          <w:rFonts w:cs="Calibri"/>
          <w:sz w:val="24"/>
          <w:szCs w:val="24"/>
          <w:lang w:val="en"/>
        </w:rPr>
        <w:t xml:space="preserve">manage </w:t>
      </w:r>
      <w:r w:rsidR="00A95D4E" w:rsidRPr="00100CE0">
        <w:rPr>
          <w:rFonts w:cs="Calibri"/>
          <w:sz w:val="24"/>
          <w:szCs w:val="24"/>
          <w:lang w:val="en"/>
        </w:rPr>
        <w:t>eligibility, rather than</w:t>
      </w:r>
      <w:r w:rsidR="009B5187">
        <w:rPr>
          <w:rFonts w:cs="Calibri"/>
          <w:sz w:val="24"/>
          <w:szCs w:val="24"/>
          <w:lang w:val="en"/>
        </w:rPr>
        <w:t xml:space="preserve"> promote</w:t>
      </w:r>
      <w:r w:rsidR="00A95D4E" w:rsidRPr="00100CE0">
        <w:rPr>
          <w:rFonts w:cs="Calibri"/>
          <w:sz w:val="24"/>
          <w:szCs w:val="24"/>
          <w:lang w:val="en"/>
        </w:rPr>
        <w:t xml:space="preserve"> user choice</w:t>
      </w:r>
      <w:r w:rsidR="005A38FD">
        <w:rPr>
          <w:rFonts w:cs="Calibri"/>
          <w:sz w:val="24"/>
          <w:szCs w:val="24"/>
          <w:lang w:val="en"/>
        </w:rPr>
        <w:t xml:space="preserve"> or control</w:t>
      </w:r>
      <w:r w:rsidR="00A906F3" w:rsidRPr="00A906F3">
        <w:rPr>
          <w:rFonts w:cs="Calibri"/>
          <w:sz w:val="24"/>
          <w:szCs w:val="24"/>
          <w:lang w:val="en"/>
        </w:rPr>
        <w:t xml:space="preserve"> </w:t>
      </w:r>
      <w:r w:rsidR="00A906F3">
        <w:rPr>
          <w:rFonts w:cs="Calibri"/>
          <w:sz w:val="24"/>
          <w:szCs w:val="24"/>
          <w:lang w:val="en"/>
        </w:rPr>
        <w:t>(</w:t>
      </w:r>
      <w:proofErr w:type="spellStart"/>
      <w:r w:rsidR="00A906F3" w:rsidRPr="00100CE0">
        <w:rPr>
          <w:rFonts w:cs="Calibri"/>
          <w:sz w:val="24"/>
          <w:szCs w:val="24"/>
          <w:lang w:val="en"/>
        </w:rPr>
        <w:t>Kemshall</w:t>
      </w:r>
      <w:proofErr w:type="spellEnd"/>
      <w:r w:rsidR="00A906F3">
        <w:rPr>
          <w:rFonts w:cs="Calibri"/>
          <w:sz w:val="24"/>
          <w:szCs w:val="24"/>
          <w:lang w:val="en"/>
        </w:rPr>
        <w:t>, 2010</w:t>
      </w:r>
      <w:r w:rsidR="00A906F3" w:rsidRPr="00100CE0">
        <w:rPr>
          <w:rFonts w:cs="Calibri"/>
          <w:sz w:val="24"/>
          <w:szCs w:val="24"/>
          <w:lang w:val="en"/>
        </w:rPr>
        <w:t>)</w:t>
      </w:r>
      <w:r w:rsidR="00A95D4E" w:rsidRPr="00100CE0">
        <w:rPr>
          <w:rFonts w:cs="Calibri"/>
          <w:sz w:val="24"/>
          <w:szCs w:val="24"/>
          <w:lang w:val="en"/>
        </w:rPr>
        <w:t xml:space="preserve">. </w:t>
      </w:r>
      <w:r w:rsidR="00100CE0" w:rsidRPr="00100CE0">
        <w:rPr>
          <w:rFonts w:cs="Calibri"/>
          <w:sz w:val="24"/>
          <w:szCs w:val="24"/>
          <w:lang w:val="en"/>
        </w:rPr>
        <w:t>The r</w:t>
      </w:r>
      <w:r w:rsidR="0015608E" w:rsidRPr="00100CE0">
        <w:rPr>
          <w:rFonts w:cs="Calibri"/>
          <w:sz w:val="24"/>
          <w:szCs w:val="24"/>
          <w:lang w:val="en"/>
        </w:rPr>
        <w:t>ationing of car</w:t>
      </w:r>
      <w:r w:rsidR="00100CE0" w:rsidRPr="00100CE0">
        <w:rPr>
          <w:rFonts w:cs="Calibri"/>
          <w:sz w:val="24"/>
          <w:szCs w:val="24"/>
          <w:lang w:val="en"/>
        </w:rPr>
        <w:t>e</w:t>
      </w:r>
      <w:r w:rsidR="0015608E" w:rsidRPr="00100CE0">
        <w:rPr>
          <w:sz w:val="24"/>
          <w:szCs w:val="24"/>
        </w:rPr>
        <w:t xml:space="preserve"> for ‘service users’ </w:t>
      </w:r>
      <w:r w:rsidR="00B05E9B" w:rsidRPr="00100CE0">
        <w:rPr>
          <w:sz w:val="24"/>
          <w:szCs w:val="24"/>
        </w:rPr>
        <w:t>later intensified further with austerity measures linked to the financial crisis in 2008</w:t>
      </w:r>
      <w:r w:rsidR="0015608E" w:rsidRPr="00100CE0">
        <w:rPr>
          <w:sz w:val="24"/>
          <w:szCs w:val="24"/>
        </w:rPr>
        <w:t>.</w:t>
      </w:r>
      <w:r w:rsidR="00F53869" w:rsidRPr="00100CE0">
        <w:rPr>
          <w:sz w:val="24"/>
          <w:szCs w:val="24"/>
        </w:rPr>
        <w:t xml:space="preserve"> For example,</w:t>
      </w:r>
      <w:r w:rsidR="0013740C" w:rsidRPr="00100CE0">
        <w:rPr>
          <w:sz w:val="24"/>
          <w:szCs w:val="24"/>
        </w:rPr>
        <w:t xml:space="preserve"> almost half of councils provided care for </w:t>
      </w:r>
      <w:r w:rsidR="00A906F3">
        <w:rPr>
          <w:sz w:val="24"/>
          <w:szCs w:val="24"/>
        </w:rPr>
        <w:t xml:space="preserve">older </w:t>
      </w:r>
      <w:r w:rsidR="0013740C" w:rsidRPr="00100CE0">
        <w:rPr>
          <w:sz w:val="24"/>
          <w:szCs w:val="24"/>
        </w:rPr>
        <w:t>people with ‘moderate’ needs in 2005/6 in England</w:t>
      </w:r>
      <w:r w:rsidR="00ED7B70">
        <w:rPr>
          <w:sz w:val="24"/>
          <w:szCs w:val="24"/>
        </w:rPr>
        <w:t>, but</w:t>
      </w:r>
      <w:r w:rsidR="00F53869" w:rsidRPr="00100CE0">
        <w:rPr>
          <w:sz w:val="24"/>
          <w:szCs w:val="24"/>
        </w:rPr>
        <w:t xml:space="preserve"> </w:t>
      </w:r>
      <w:r w:rsidR="00ED7B70">
        <w:rPr>
          <w:sz w:val="24"/>
          <w:szCs w:val="24"/>
        </w:rPr>
        <w:t>from b</w:t>
      </w:r>
      <w:r w:rsidR="00F53869" w:rsidRPr="00100CE0">
        <w:rPr>
          <w:sz w:val="24"/>
          <w:szCs w:val="24"/>
        </w:rPr>
        <w:t>etween 2005 and 2014</w:t>
      </w:r>
      <w:r w:rsidR="00782C7C" w:rsidRPr="00100CE0">
        <w:rPr>
          <w:sz w:val="24"/>
          <w:szCs w:val="24"/>
        </w:rPr>
        <w:t xml:space="preserve"> </w:t>
      </w:r>
      <w:r w:rsidR="00ED66FD" w:rsidRPr="00100CE0">
        <w:rPr>
          <w:sz w:val="24"/>
          <w:szCs w:val="24"/>
        </w:rPr>
        <w:t xml:space="preserve">this </w:t>
      </w:r>
      <w:r w:rsidR="00ED7B70">
        <w:rPr>
          <w:sz w:val="24"/>
          <w:szCs w:val="24"/>
        </w:rPr>
        <w:t xml:space="preserve">had </w:t>
      </w:r>
      <w:r w:rsidR="00ED66FD" w:rsidRPr="00100CE0">
        <w:rPr>
          <w:sz w:val="24"/>
          <w:szCs w:val="24"/>
        </w:rPr>
        <w:t>dropped to</w:t>
      </w:r>
      <w:r w:rsidR="00782C7C" w:rsidRPr="00100CE0">
        <w:rPr>
          <w:sz w:val="24"/>
          <w:szCs w:val="24"/>
        </w:rPr>
        <w:t xml:space="preserve"> 13 per cent of councils in England </w:t>
      </w:r>
      <w:r w:rsidR="00ED66FD" w:rsidRPr="00100CE0">
        <w:rPr>
          <w:sz w:val="24"/>
          <w:szCs w:val="24"/>
        </w:rPr>
        <w:t xml:space="preserve">providing </w:t>
      </w:r>
      <w:r w:rsidR="00ED7B70">
        <w:rPr>
          <w:sz w:val="24"/>
          <w:szCs w:val="24"/>
        </w:rPr>
        <w:t>such support</w:t>
      </w:r>
      <w:r w:rsidR="00782C7C" w:rsidRPr="00100CE0">
        <w:rPr>
          <w:sz w:val="24"/>
          <w:szCs w:val="24"/>
        </w:rPr>
        <w:t xml:space="preserve">. </w:t>
      </w:r>
      <w:r w:rsidR="00467025" w:rsidRPr="00100CE0">
        <w:rPr>
          <w:sz w:val="24"/>
          <w:szCs w:val="24"/>
        </w:rPr>
        <w:t>B</w:t>
      </w:r>
      <w:r w:rsidR="00AE4777">
        <w:rPr>
          <w:sz w:val="24"/>
          <w:szCs w:val="24"/>
        </w:rPr>
        <w:t xml:space="preserve">etween 2019 and 2020, local authorities in Britain received over 30,000 requests from family members for social care support </w:t>
      </w:r>
      <w:r w:rsidR="00A906F3">
        <w:rPr>
          <w:sz w:val="24"/>
          <w:szCs w:val="24"/>
        </w:rPr>
        <w:t xml:space="preserve">for older relatives </w:t>
      </w:r>
      <w:r w:rsidR="00AE4777">
        <w:rPr>
          <w:sz w:val="24"/>
          <w:szCs w:val="24"/>
        </w:rPr>
        <w:t>which did not lead to any services being provided</w:t>
      </w:r>
      <w:r w:rsidR="00861032">
        <w:rPr>
          <w:sz w:val="24"/>
          <w:szCs w:val="24"/>
        </w:rPr>
        <w:t xml:space="preserve"> </w:t>
      </w:r>
      <w:r w:rsidR="00A906F3" w:rsidRPr="00100CE0">
        <w:rPr>
          <w:sz w:val="24"/>
          <w:szCs w:val="24"/>
        </w:rPr>
        <w:t xml:space="preserve">(Kings </w:t>
      </w:r>
      <w:r w:rsidR="00A906F3">
        <w:rPr>
          <w:sz w:val="24"/>
          <w:szCs w:val="24"/>
        </w:rPr>
        <w:t>F</w:t>
      </w:r>
      <w:r w:rsidR="00A906F3" w:rsidRPr="00100CE0">
        <w:rPr>
          <w:sz w:val="24"/>
          <w:szCs w:val="24"/>
        </w:rPr>
        <w:t>und, 2021</w:t>
      </w:r>
      <w:r w:rsidR="00436F7F">
        <w:rPr>
          <w:sz w:val="24"/>
          <w:szCs w:val="24"/>
        </w:rPr>
        <w:t>a</w:t>
      </w:r>
      <w:r w:rsidR="00A906F3" w:rsidRPr="00100CE0">
        <w:rPr>
          <w:sz w:val="24"/>
          <w:szCs w:val="24"/>
        </w:rPr>
        <w:t>)</w:t>
      </w:r>
      <w:r w:rsidR="00AE4777">
        <w:rPr>
          <w:sz w:val="24"/>
          <w:szCs w:val="24"/>
        </w:rPr>
        <w:t xml:space="preserve">. </w:t>
      </w:r>
      <w:r w:rsidR="0013740C" w:rsidRPr="00100CE0">
        <w:rPr>
          <w:sz w:val="24"/>
          <w:szCs w:val="24"/>
        </w:rPr>
        <w:t xml:space="preserve"> Alongside the needs of an ageing population, evidence suggests that adults</w:t>
      </w:r>
      <w:r w:rsidR="00B05E9B" w:rsidRPr="00100CE0">
        <w:rPr>
          <w:sz w:val="24"/>
          <w:szCs w:val="24"/>
        </w:rPr>
        <w:t xml:space="preserve"> including those in employm</w:t>
      </w:r>
      <w:r w:rsidR="00EC4587" w:rsidRPr="00100CE0">
        <w:rPr>
          <w:sz w:val="24"/>
          <w:szCs w:val="24"/>
        </w:rPr>
        <w:t>ent</w:t>
      </w:r>
      <w:r w:rsidR="0013740C" w:rsidRPr="00100CE0">
        <w:rPr>
          <w:sz w:val="24"/>
          <w:szCs w:val="24"/>
        </w:rPr>
        <w:t xml:space="preserve"> </w:t>
      </w:r>
      <w:r w:rsidR="0013740C" w:rsidRPr="005A38FD">
        <w:rPr>
          <w:i/>
          <w:sz w:val="24"/>
          <w:szCs w:val="24"/>
        </w:rPr>
        <w:t>under</w:t>
      </w:r>
      <w:r w:rsidR="0013740C" w:rsidRPr="00100CE0">
        <w:rPr>
          <w:sz w:val="24"/>
          <w:szCs w:val="24"/>
        </w:rPr>
        <w:t xml:space="preserve"> 65 are </w:t>
      </w:r>
      <w:r w:rsidR="00100CE0" w:rsidRPr="00100CE0">
        <w:rPr>
          <w:sz w:val="24"/>
          <w:szCs w:val="24"/>
        </w:rPr>
        <w:t xml:space="preserve">increasingly </w:t>
      </w:r>
      <w:r w:rsidR="0013740C" w:rsidRPr="00100CE0">
        <w:rPr>
          <w:sz w:val="24"/>
          <w:szCs w:val="24"/>
        </w:rPr>
        <w:t xml:space="preserve">requiring more </w:t>
      </w:r>
      <w:r w:rsidR="00EC4587" w:rsidRPr="00100CE0">
        <w:rPr>
          <w:sz w:val="24"/>
          <w:szCs w:val="24"/>
        </w:rPr>
        <w:t xml:space="preserve">social care </w:t>
      </w:r>
      <w:r w:rsidR="0013740C" w:rsidRPr="00100CE0">
        <w:rPr>
          <w:sz w:val="24"/>
          <w:szCs w:val="24"/>
        </w:rPr>
        <w:t>support, and a</w:t>
      </w:r>
      <w:r w:rsidR="00ED7B70">
        <w:rPr>
          <w:sz w:val="24"/>
          <w:szCs w:val="24"/>
        </w:rPr>
        <w:t xml:space="preserve"> </w:t>
      </w:r>
      <w:r w:rsidR="00935E03">
        <w:rPr>
          <w:sz w:val="24"/>
          <w:szCs w:val="24"/>
        </w:rPr>
        <w:t>growing</w:t>
      </w:r>
      <w:r w:rsidR="00100CE0" w:rsidRPr="00100CE0">
        <w:rPr>
          <w:sz w:val="24"/>
          <w:szCs w:val="24"/>
        </w:rPr>
        <w:t xml:space="preserve"> </w:t>
      </w:r>
      <w:r w:rsidR="00EC4587" w:rsidRPr="00100CE0">
        <w:rPr>
          <w:sz w:val="24"/>
          <w:szCs w:val="24"/>
        </w:rPr>
        <w:t>proportion of</w:t>
      </w:r>
      <w:r w:rsidR="0013740C" w:rsidRPr="00100CE0">
        <w:rPr>
          <w:sz w:val="24"/>
          <w:szCs w:val="24"/>
        </w:rPr>
        <w:t xml:space="preserve"> local authorities</w:t>
      </w:r>
      <w:r w:rsidR="00861032">
        <w:rPr>
          <w:sz w:val="24"/>
          <w:szCs w:val="24"/>
        </w:rPr>
        <w:t xml:space="preserve"> in the UK</w:t>
      </w:r>
      <w:r w:rsidR="0013740C" w:rsidRPr="00100CE0">
        <w:rPr>
          <w:sz w:val="24"/>
          <w:szCs w:val="24"/>
        </w:rPr>
        <w:t xml:space="preserve"> </w:t>
      </w:r>
      <w:r w:rsidR="00ED66FD" w:rsidRPr="00100CE0">
        <w:rPr>
          <w:sz w:val="24"/>
          <w:szCs w:val="24"/>
        </w:rPr>
        <w:t xml:space="preserve">now </w:t>
      </w:r>
      <w:r w:rsidR="0013740C" w:rsidRPr="00100CE0">
        <w:rPr>
          <w:sz w:val="24"/>
          <w:szCs w:val="24"/>
        </w:rPr>
        <w:t>prioritise younger adult groups for funded support</w:t>
      </w:r>
      <w:r w:rsidR="00436F7F">
        <w:rPr>
          <w:sz w:val="24"/>
          <w:szCs w:val="24"/>
        </w:rPr>
        <w:t xml:space="preserve"> </w:t>
      </w:r>
      <w:r w:rsidR="00467025" w:rsidRPr="00100CE0">
        <w:rPr>
          <w:sz w:val="24"/>
          <w:szCs w:val="24"/>
        </w:rPr>
        <w:t xml:space="preserve">(Kings </w:t>
      </w:r>
      <w:r w:rsidR="00715ABE">
        <w:rPr>
          <w:sz w:val="24"/>
          <w:szCs w:val="24"/>
        </w:rPr>
        <w:t>F</w:t>
      </w:r>
      <w:r w:rsidR="00467025" w:rsidRPr="00100CE0">
        <w:rPr>
          <w:sz w:val="24"/>
          <w:szCs w:val="24"/>
        </w:rPr>
        <w:t>und, 2021</w:t>
      </w:r>
      <w:r w:rsidR="00436F7F">
        <w:rPr>
          <w:sz w:val="24"/>
          <w:szCs w:val="24"/>
        </w:rPr>
        <w:t>a; Kings Fund, 2021b</w:t>
      </w:r>
      <w:r w:rsidR="00467025" w:rsidRPr="00100CE0">
        <w:rPr>
          <w:sz w:val="24"/>
          <w:szCs w:val="24"/>
        </w:rPr>
        <w:t>).</w:t>
      </w:r>
    </w:p>
    <w:p w14:paraId="6D683E6E" w14:textId="5969E737" w:rsidR="00EB418F" w:rsidRPr="001E2197" w:rsidRDefault="00BA5863" w:rsidP="0070073A">
      <w:pPr>
        <w:spacing w:line="480" w:lineRule="auto"/>
        <w:rPr>
          <w:sz w:val="24"/>
          <w:szCs w:val="24"/>
        </w:rPr>
      </w:pPr>
      <w:r w:rsidRPr="003664A3">
        <w:rPr>
          <w:rFonts w:cs="Calibri"/>
          <w:sz w:val="24"/>
          <w:szCs w:val="24"/>
          <w:lang w:val="en"/>
        </w:rPr>
        <w:t xml:space="preserve">Although </w:t>
      </w:r>
      <w:r w:rsidR="00F93C03" w:rsidRPr="003664A3">
        <w:rPr>
          <w:rFonts w:cs="Calibri"/>
          <w:sz w:val="24"/>
          <w:szCs w:val="24"/>
          <w:lang w:val="en"/>
        </w:rPr>
        <w:t>a</w:t>
      </w:r>
      <w:r w:rsidR="00C55B10" w:rsidRPr="003664A3">
        <w:rPr>
          <w:rFonts w:cs="Calibri"/>
          <w:sz w:val="24"/>
          <w:szCs w:val="24"/>
          <w:lang w:val="en"/>
        </w:rPr>
        <w:t>t</w:t>
      </w:r>
      <w:r w:rsidR="00F93C03" w:rsidRPr="003664A3">
        <w:rPr>
          <w:rFonts w:cs="Calibri"/>
          <w:sz w:val="24"/>
          <w:szCs w:val="24"/>
          <w:lang w:val="en"/>
        </w:rPr>
        <w:t xml:space="preserve"> first glance </w:t>
      </w:r>
      <w:r w:rsidR="00C55B10" w:rsidRPr="003664A3">
        <w:rPr>
          <w:rFonts w:cs="Calibri"/>
          <w:sz w:val="24"/>
          <w:szCs w:val="24"/>
          <w:lang w:val="en"/>
        </w:rPr>
        <w:t>market-based</w:t>
      </w:r>
      <w:r w:rsidRPr="003664A3">
        <w:rPr>
          <w:rFonts w:cs="Calibri"/>
          <w:sz w:val="24"/>
          <w:szCs w:val="24"/>
          <w:lang w:val="en"/>
        </w:rPr>
        <w:t xml:space="preserve"> policies within social care concur with </w:t>
      </w:r>
      <w:r w:rsidR="00F93C03" w:rsidRPr="003664A3">
        <w:rPr>
          <w:rFonts w:cs="Calibri"/>
          <w:sz w:val="24"/>
          <w:szCs w:val="24"/>
          <w:lang w:val="en"/>
        </w:rPr>
        <w:t>some</w:t>
      </w:r>
      <w:r w:rsidRPr="003664A3">
        <w:rPr>
          <w:rFonts w:cs="Calibri"/>
          <w:sz w:val="24"/>
          <w:szCs w:val="24"/>
          <w:lang w:val="en"/>
        </w:rPr>
        <w:t xml:space="preserve"> of the principles of </w:t>
      </w:r>
      <w:r w:rsidRPr="003664A3">
        <w:rPr>
          <w:sz w:val="24"/>
          <w:szCs w:val="24"/>
        </w:rPr>
        <w:t>contractual</w:t>
      </w:r>
      <w:r w:rsidR="00935E03">
        <w:rPr>
          <w:sz w:val="24"/>
          <w:szCs w:val="24"/>
        </w:rPr>
        <w:t xml:space="preserve"> ethics</w:t>
      </w:r>
      <w:r w:rsidRPr="003664A3">
        <w:rPr>
          <w:sz w:val="24"/>
          <w:szCs w:val="24"/>
        </w:rPr>
        <w:t xml:space="preserve">, </w:t>
      </w:r>
      <w:r w:rsidR="00F93C03" w:rsidRPr="003664A3">
        <w:rPr>
          <w:sz w:val="24"/>
          <w:szCs w:val="24"/>
        </w:rPr>
        <w:t xml:space="preserve">closer examination suggests that </w:t>
      </w:r>
      <w:r w:rsidRPr="003664A3">
        <w:rPr>
          <w:sz w:val="24"/>
          <w:szCs w:val="24"/>
        </w:rPr>
        <w:t xml:space="preserve">many reforms contradict vital aspects of their intended remit as part of a business discourse. </w:t>
      </w:r>
      <w:proofErr w:type="spellStart"/>
      <w:r w:rsidR="00053575">
        <w:rPr>
          <w:sz w:val="24"/>
          <w:szCs w:val="24"/>
        </w:rPr>
        <w:t>Heugens</w:t>
      </w:r>
      <w:proofErr w:type="spellEnd"/>
      <w:r w:rsidRPr="003664A3">
        <w:rPr>
          <w:sz w:val="24"/>
          <w:szCs w:val="24"/>
        </w:rPr>
        <w:t xml:space="preserve"> et al (2006), for example, argue that </w:t>
      </w:r>
      <w:proofErr w:type="spellStart"/>
      <w:r w:rsidRPr="003664A3">
        <w:rPr>
          <w:sz w:val="24"/>
          <w:szCs w:val="24"/>
        </w:rPr>
        <w:t>contractualism</w:t>
      </w:r>
      <w:proofErr w:type="spellEnd"/>
      <w:r w:rsidRPr="003664A3">
        <w:rPr>
          <w:sz w:val="24"/>
          <w:szCs w:val="24"/>
        </w:rPr>
        <w:t xml:space="preserve"> has a rich history dating back to Ancient Greece, and is traditionally built on </w:t>
      </w:r>
      <w:r w:rsidR="00764691">
        <w:rPr>
          <w:sz w:val="24"/>
          <w:szCs w:val="24"/>
        </w:rPr>
        <w:t>the</w:t>
      </w:r>
      <w:r w:rsidRPr="003664A3">
        <w:rPr>
          <w:sz w:val="24"/>
          <w:szCs w:val="24"/>
        </w:rPr>
        <w:t xml:space="preserve"> ‘intuitively appealing idea’ that economic engagements and association</w:t>
      </w:r>
      <w:r w:rsidR="00F93C03" w:rsidRPr="003664A3">
        <w:rPr>
          <w:sz w:val="24"/>
          <w:szCs w:val="24"/>
        </w:rPr>
        <w:t>s</w:t>
      </w:r>
      <w:r w:rsidRPr="003664A3">
        <w:rPr>
          <w:sz w:val="24"/>
          <w:szCs w:val="24"/>
        </w:rPr>
        <w:t xml:space="preserve"> should be ‘guided and constrained only by those norms and institutions that freely consenting agents could, and possibly would, agree to if they had the choice’</w:t>
      </w:r>
      <w:r w:rsidR="00935E03" w:rsidRPr="00935E03">
        <w:rPr>
          <w:sz w:val="24"/>
          <w:szCs w:val="24"/>
        </w:rPr>
        <w:t xml:space="preserve"> </w:t>
      </w:r>
      <w:r w:rsidR="00935E03">
        <w:rPr>
          <w:sz w:val="24"/>
          <w:szCs w:val="24"/>
        </w:rPr>
        <w:t>(</w:t>
      </w:r>
      <w:proofErr w:type="spellStart"/>
      <w:r w:rsidR="00053575">
        <w:rPr>
          <w:sz w:val="24"/>
          <w:szCs w:val="24"/>
        </w:rPr>
        <w:t>Heugens</w:t>
      </w:r>
      <w:proofErr w:type="spellEnd"/>
      <w:r w:rsidR="00935E03" w:rsidRPr="003664A3">
        <w:rPr>
          <w:sz w:val="24"/>
          <w:szCs w:val="24"/>
        </w:rPr>
        <w:t xml:space="preserve"> et al</w:t>
      </w:r>
      <w:r w:rsidR="00935E03">
        <w:rPr>
          <w:sz w:val="24"/>
          <w:szCs w:val="24"/>
        </w:rPr>
        <w:t xml:space="preserve">, </w:t>
      </w:r>
      <w:r w:rsidR="00935E03" w:rsidRPr="003664A3">
        <w:rPr>
          <w:sz w:val="24"/>
          <w:szCs w:val="24"/>
        </w:rPr>
        <w:t>2006: 393)</w:t>
      </w:r>
      <w:r w:rsidRPr="003664A3">
        <w:rPr>
          <w:sz w:val="24"/>
          <w:szCs w:val="24"/>
        </w:rPr>
        <w:t xml:space="preserve">. </w:t>
      </w:r>
      <w:r w:rsidR="00EB418F" w:rsidRPr="003664A3">
        <w:rPr>
          <w:sz w:val="24"/>
          <w:szCs w:val="24"/>
        </w:rPr>
        <w:t xml:space="preserve">Other </w:t>
      </w:r>
      <w:r w:rsidR="00B55757">
        <w:rPr>
          <w:sz w:val="24"/>
          <w:szCs w:val="24"/>
        </w:rPr>
        <w:t xml:space="preserve">altruistic </w:t>
      </w:r>
      <w:r w:rsidR="00EB418F" w:rsidRPr="003664A3">
        <w:rPr>
          <w:sz w:val="24"/>
          <w:szCs w:val="24"/>
        </w:rPr>
        <w:t xml:space="preserve">traits attached to </w:t>
      </w:r>
      <w:proofErr w:type="spellStart"/>
      <w:r w:rsidR="00EB418F" w:rsidRPr="003664A3">
        <w:rPr>
          <w:sz w:val="24"/>
          <w:szCs w:val="24"/>
        </w:rPr>
        <w:t>contractualism</w:t>
      </w:r>
      <w:proofErr w:type="spellEnd"/>
      <w:r w:rsidR="00EB418F" w:rsidRPr="003664A3">
        <w:rPr>
          <w:sz w:val="24"/>
          <w:szCs w:val="24"/>
        </w:rPr>
        <w:t xml:space="preserve"> include those of </w:t>
      </w:r>
      <w:r w:rsidR="00764691">
        <w:rPr>
          <w:sz w:val="24"/>
          <w:szCs w:val="24"/>
        </w:rPr>
        <w:t xml:space="preserve">openly </w:t>
      </w:r>
      <w:r w:rsidR="00EB418F" w:rsidRPr="003664A3">
        <w:rPr>
          <w:sz w:val="24"/>
          <w:szCs w:val="24"/>
        </w:rPr>
        <w:t>sharing</w:t>
      </w:r>
      <w:r w:rsidR="00F93C03" w:rsidRPr="003664A3">
        <w:rPr>
          <w:sz w:val="24"/>
          <w:szCs w:val="24"/>
        </w:rPr>
        <w:t xml:space="preserve"> information</w:t>
      </w:r>
      <w:r w:rsidR="00EB418F" w:rsidRPr="003664A3">
        <w:rPr>
          <w:sz w:val="24"/>
          <w:szCs w:val="24"/>
        </w:rPr>
        <w:t>,</w:t>
      </w:r>
      <w:r w:rsidR="00764691">
        <w:rPr>
          <w:sz w:val="24"/>
          <w:szCs w:val="24"/>
        </w:rPr>
        <w:t xml:space="preserve"> maintaining</w:t>
      </w:r>
      <w:r w:rsidR="00EB418F" w:rsidRPr="003664A3">
        <w:rPr>
          <w:sz w:val="24"/>
          <w:szCs w:val="24"/>
        </w:rPr>
        <w:t xml:space="preserve"> good faith, reliability and establishing a reputational-bond</w:t>
      </w:r>
      <w:r w:rsidR="00C55B10" w:rsidRPr="003664A3">
        <w:rPr>
          <w:sz w:val="24"/>
          <w:szCs w:val="24"/>
        </w:rPr>
        <w:t xml:space="preserve"> between </w:t>
      </w:r>
      <w:r w:rsidR="00E676A4">
        <w:rPr>
          <w:sz w:val="24"/>
          <w:szCs w:val="24"/>
        </w:rPr>
        <w:t xml:space="preserve">service </w:t>
      </w:r>
      <w:r w:rsidR="00C55B10" w:rsidRPr="003664A3">
        <w:rPr>
          <w:sz w:val="24"/>
          <w:szCs w:val="24"/>
        </w:rPr>
        <w:t>providers and consumers in the market place</w:t>
      </w:r>
      <w:r w:rsidR="00EB418F" w:rsidRPr="003664A3">
        <w:rPr>
          <w:sz w:val="24"/>
          <w:szCs w:val="24"/>
        </w:rPr>
        <w:t xml:space="preserve"> (Bernstein, </w:t>
      </w:r>
      <w:r w:rsidR="00EB418F" w:rsidRPr="003664A3">
        <w:rPr>
          <w:sz w:val="24"/>
          <w:szCs w:val="24"/>
        </w:rPr>
        <w:lastRenderedPageBreak/>
        <w:t xml:space="preserve">1992; </w:t>
      </w:r>
      <w:proofErr w:type="spellStart"/>
      <w:r w:rsidR="00053575">
        <w:rPr>
          <w:sz w:val="24"/>
          <w:szCs w:val="24"/>
        </w:rPr>
        <w:t>Heugens</w:t>
      </w:r>
      <w:proofErr w:type="spellEnd"/>
      <w:r w:rsidR="00EB418F" w:rsidRPr="003664A3">
        <w:rPr>
          <w:sz w:val="24"/>
          <w:szCs w:val="24"/>
        </w:rPr>
        <w:t xml:space="preserve"> et al, 2006).</w:t>
      </w:r>
      <w:r w:rsidR="00EB418F" w:rsidRPr="003664A3">
        <w:rPr>
          <w:rFonts w:cs="Calibri"/>
          <w:sz w:val="24"/>
          <w:szCs w:val="24"/>
          <w:lang w:val="en"/>
        </w:rPr>
        <w:t xml:space="preserve"> </w:t>
      </w:r>
      <w:r w:rsidR="00DB63A7">
        <w:rPr>
          <w:sz w:val="24"/>
          <w:szCs w:val="24"/>
        </w:rPr>
        <w:t>D</w:t>
      </w:r>
      <w:r w:rsidR="00EB418F" w:rsidRPr="003664A3">
        <w:rPr>
          <w:sz w:val="24"/>
          <w:szCs w:val="24"/>
        </w:rPr>
        <w:t xml:space="preserve">ue to limited resources local authorities </w:t>
      </w:r>
      <w:r w:rsidR="00640B45" w:rsidRPr="003664A3">
        <w:rPr>
          <w:sz w:val="24"/>
          <w:szCs w:val="24"/>
        </w:rPr>
        <w:t>have been</w:t>
      </w:r>
      <w:r w:rsidR="00EB418F" w:rsidRPr="003664A3">
        <w:rPr>
          <w:sz w:val="24"/>
          <w:szCs w:val="24"/>
        </w:rPr>
        <w:t xml:space="preserve"> forced to</w:t>
      </w:r>
      <w:r w:rsidR="00F93C03" w:rsidRPr="003664A3">
        <w:rPr>
          <w:sz w:val="24"/>
          <w:szCs w:val="24"/>
        </w:rPr>
        <w:t xml:space="preserve"> engage in activities such as </w:t>
      </w:r>
      <w:r w:rsidR="00EB418F" w:rsidRPr="003664A3">
        <w:rPr>
          <w:sz w:val="24"/>
          <w:szCs w:val="24"/>
        </w:rPr>
        <w:t>purchas</w:t>
      </w:r>
      <w:r w:rsidR="00F93C03" w:rsidRPr="003664A3">
        <w:rPr>
          <w:sz w:val="24"/>
          <w:szCs w:val="24"/>
        </w:rPr>
        <w:t>ing</w:t>
      </w:r>
      <w:r w:rsidR="00EB418F" w:rsidRPr="003664A3">
        <w:rPr>
          <w:sz w:val="24"/>
          <w:szCs w:val="24"/>
        </w:rPr>
        <w:t xml:space="preserve"> ‘block contracts’ from </w:t>
      </w:r>
      <w:r w:rsidR="00EC4587" w:rsidRPr="003664A3">
        <w:rPr>
          <w:sz w:val="24"/>
          <w:szCs w:val="24"/>
        </w:rPr>
        <w:t xml:space="preserve">a diminishing number of </w:t>
      </w:r>
      <w:r w:rsidR="00EB418F" w:rsidRPr="003664A3">
        <w:rPr>
          <w:sz w:val="24"/>
          <w:szCs w:val="24"/>
        </w:rPr>
        <w:t>suppliers to save money</w:t>
      </w:r>
      <w:r w:rsidR="00640B45" w:rsidRPr="003664A3">
        <w:rPr>
          <w:sz w:val="24"/>
          <w:szCs w:val="24"/>
        </w:rPr>
        <w:t xml:space="preserve"> </w:t>
      </w:r>
      <w:r w:rsidR="00640B45" w:rsidRPr="003664A3">
        <w:rPr>
          <w:rFonts w:cs="Calibri"/>
          <w:sz w:val="24"/>
          <w:szCs w:val="24"/>
          <w:lang w:val="en"/>
        </w:rPr>
        <w:t xml:space="preserve">(Harris, 2003; </w:t>
      </w:r>
      <w:r w:rsidR="006C2976">
        <w:rPr>
          <w:rFonts w:cs="Calibri"/>
          <w:sz w:val="24"/>
          <w:szCs w:val="24"/>
          <w:lang w:val="en"/>
        </w:rPr>
        <w:t xml:space="preserve">Scourfield, 2007; </w:t>
      </w:r>
      <w:proofErr w:type="spellStart"/>
      <w:r w:rsidR="008035A6">
        <w:rPr>
          <w:rFonts w:eastAsia="Times New Roman"/>
          <w:color w:val="000000"/>
          <w:sz w:val="24"/>
          <w:szCs w:val="24"/>
          <w:lang w:eastAsia="en-GB"/>
        </w:rPr>
        <w:t>Lymbery</w:t>
      </w:r>
      <w:proofErr w:type="spellEnd"/>
      <w:r w:rsidR="008035A6">
        <w:rPr>
          <w:rFonts w:eastAsia="Times New Roman"/>
          <w:color w:val="000000"/>
          <w:sz w:val="24"/>
          <w:szCs w:val="24"/>
          <w:lang w:eastAsia="en-GB"/>
        </w:rPr>
        <w:t>, 2012</w:t>
      </w:r>
      <w:r w:rsidR="00640B45" w:rsidRPr="003664A3">
        <w:rPr>
          <w:rFonts w:eastAsia="Times New Roman"/>
          <w:color w:val="000000"/>
          <w:sz w:val="24"/>
          <w:szCs w:val="24"/>
          <w:lang w:eastAsia="en-GB"/>
        </w:rPr>
        <w:t>)</w:t>
      </w:r>
      <w:r w:rsidR="00EB418F" w:rsidRPr="003664A3">
        <w:rPr>
          <w:sz w:val="24"/>
          <w:szCs w:val="24"/>
        </w:rPr>
        <w:t xml:space="preserve">. </w:t>
      </w:r>
      <w:r w:rsidR="00640B45" w:rsidRPr="003664A3">
        <w:rPr>
          <w:sz w:val="24"/>
          <w:szCs w:val="24"/>
        </w:rPr>
        <w:t>Subsequently</w:t>
      </w:r>
      <w:r w:rsidR="00F93C03" w:rsidRPr="003664A3">
        <w:rPr>
          <w:sz w:val="24"/>
          <w:szCs w:val="24"/>
        </w:rPr>
        <w:t xml:space="preserve">, </w:t>
      </w:r>
      <w:r w:rsidR="00640B45" w:rsidRPr="003664A3">
        <w:rPr>
          <w:sz w:val="24"/>
          <w:szCs w:val="24"/>
        </w:rPr>
        <w:t xml:space="preserve">user choice </w:t>
      </w:r>
      <w:r w:rsidR="00B921E0">
        <w:rPr>
          <w:sz w:val="24"/>
          <w:szCs w:val="24"/>
        </w:rPr>
        <w:t>held within</w:t>
      </w:r>
      <w:r w:rsidR="0046187D">
        <w:rPr>
          <w:sz w:val="24"/>
          <w:szCs w:val="24"/>
        </w:rPr>
        <w:t xml:space="preserve"> </w:t>
      </w:r>
      <w:r w:rsidR="00B921E0">
        <w:rPr>
          <w:sz w:val="24"/>
          <w:szCs w:val="24"/>
        </w:rPr>
        <w:t xml:space="preserve">a </w:t>
      </w:r>
      <w:r w:rsidR="0046187D">
        <w:rPr>
          <w:sz w:val="24"/>
          <w:szCs w:val="24"/>
        </w:rPr>
        <w:t xml:space="preserve">market </w:t>
      </w:r>
      <w:r w:rsidR="00B921E0">
        <w:rPr>
          <w:sz w:val="24"/>
          <w:szCs w:val="24"/>
        </w:rPr>
        <w:t>state</w:t>
      </w:r>
      <w:r w:rsidR="000F7156">
        <w:rPr>
          <w:sz w:val="24"/>
          <w:szCs w:val="24"/>
        </w:rPr>
        <w:t xml:space="preserve"> or ‘post-welfare’</w:t>
      </w:r>
      <w:r w:rsidR="00B921E0">
        <w:rPr>
          <w:sz w:val="24"/>
          <w:szCs w:val="24"/>
        </w:rPr>
        <w:t xml:space="preserve"> discourse</w:t>
      </w:r>
      <w:r w:rsidR="0046187D">
        <w:rPr>
          <w:sz w:val="24"/>
          <w:szCs w:val="24"/>
        </w:rPr>
        <w:t xml:space="preserve"> </w:t>
      </w:r>
      <w:r w:rsidR="00640B45" w:rsidRPr="003664A3">
        <w:rPr>
          <w:sz w:val="24"/>
          <w:szCs w:val="24"/>
        </w:rPr>
        <w:t xml:space="preserve">has </w:t>
      </w:r>
      <w:r w:rsidR="005A38FD">
        <w:rPr>
          <w:sz w:val="24"/>
          <w:szCs w:val="24"/>
        </w:rPr>
        <w:t>become</w:t>
      </w:r>
      <w:r w:rsidR="00640B45" w:rsidRPr="003664A3">
        <w:rPr>
          <w:sz w:val="24"/>
          <w:szCs w:val="24"/>
        </w:rPr>
        <w:t xml:space="preserve"> </w:t>
      </w:r>
      <w:r w:rsidR="005A38FD">
        <w:rPr>
          <w:sz w:val="24"/>
          <w:szCs w:val="24"/>
        </w:rPr>
        <w:t>extremely</w:t>
      </w:r>
      <w:r w:rsidR="00640B45" w:rsidRPr="003664A3">
        <w:rPr>
          <w:sz w:val="24"/>
          <w:szCs w:val="24"/>
        </w:rPr>
        <w:t xml:space="preserve"> limited</w:t>
      </w:r>
      <w:r w:rsidR="00234F97" w:rsidRPr="003664A3">
        <w:rPr>
          <w:sz w:val="24"/>
          <w:szCs w:val="24"/>
        </w:rPr>
        <w:t xml:space="preserve"> for </w:t>
      </w:r>
      <w:r w:rsidR="00D57AC6">
        <w:rPr>
          <w:sz w:val="24"/>
          <w:szCs w:val="24"/>
        </w:rPr>
        <w:t xml:space="preserve">many </w:t>
      </w:r>
      <w:r w:rsidR="00234F97" w:rsidRPr="003664A3">
        <w:rPr>
          <w:sz w:val="24"/>
          <w:szCs w:val="24"/>
        </w:rPr>
        <w:t>older people</w:t>
      </w:r>
      <w:r w:rsidR="00640B45" w:rsidRPr="003664A3">
        <w:rPr>
          <w:sz w:val="24"/>
          <w:szCs w:val="24"/>
        </w:rPr>
        <w:t xml:space="preserve">, </w:t>
      </w:r>
      <w:r w:rsidR="008610AE" w:rsidRPr="003664A3">
        <w:rPr>
          <w:sz w:val="24"/>
          <w:szCs w:val="24"/>
        </w:rPr>
        <w:t>alongside</w:t>
      </w:r>
      <w:r w:rsidR="00DB63A7">
        <w:rPr>
          <w:sz w:val="24"/>
          <w:szCs w:val="24"/>
        </w:rPr>
        <w:t xml:space="preserve"> </w:t>
      </w:r>
      <w:r w:rsidR="005A38FD">
        <w:rPr>
          <w:sz w:val="24"/>
          <w:szCs w:val="24"/>
        </w:rPr>
        <w:t>a lack of</w:t>
      </w:r>
      <w:r w:rsidR="00DB63A7">
        <w:rPr>
          <w:sz w:val="24"/>
          <w:szCs w:val="24"/>
        </w:rPr>
        <w:t xml:space="preserve"> availability of</w:t>
      </w:r>
      <w:r w:rsidR="008610AE" w:rsidRPr="003664A3">
        <w:rPr>
          <w:sz w:val="24"/>
          <w:szCs w:val="24"/>
        </w:rPr>
        <w:t xml:space="preserve"> </w:t>
      </w:r>
      <w:r w:rsidR="00935E03">
        <w:rPr>
          <w:sz w:val="24"/>
          <w:szCs w:val="24"/>
        </w:rPr>
        <w:t>information and advice</w:t>
      </w:r>
      <w:r w:rsidR="007F2B84">
        <w:rPr>
          <w:sz w:val="24"/>
          <w:szCs w:val="24"/>
        </w:rPr>
        <w:t>.</w:t>
      </w:r>
      <w:r w:rsidR="00EC4587" w:rsidRPr="003664A3">
        <w:rPr>
          <w:sz w:val="24"/>
          <w:szCs w:val="24"/>
        </w:rPr>
        <w:t xml:space="preserve"> </w:t>
      </w:r>
      <w:r w:rsidR="007F2B84">
        <w:rPr>
          <w:sz w:val="24"/>
          <w:szCs w:val="24"/>
        </w:rPr>
        <w:t>A</w:t>
      </w:r>
      <w:r w:rsidR="00EC4587" w:rsidRPr="003664A3">
        <w:rPr>
          <w:sz w:val="24"/>
          <w:szCs w:val="24"/>
        </w:rPr>
        <w:t xml:space="preserve"> sense of reliability and trust</w:t>
      </w:r>
      <w:r w:rsidR="00640B45" w:rsidRPr="003664A3">
        <w:rPr>
          <w:sz w:val="24"/>
          <w:szCs w:val="24"/>
        </w:rPr>
        <w:t xml:space="preserve"> between </w:t>
      </w:r>
      <w:r w:rsidR="000F7156">
        <w:rPr>
          <w:sz w:val="24"/>
          <w:szCs w:val="24"/>
        </w:rPr>
        <w:t xml:space="preserve">ever more risk averse </w:t>
      </w:r>
      <w:r w:rsidR="00640B45" w:rsidRPr="003664A3">
        <w:rPr>
          <w:sz w:val="24"/>
          <w:szCs w:val="24"/>
        </w:rPr>
        <w:t xml:space="preserve">care managers and </w:t>
      </w:r>
      <w:r w:rsidR="008610AE" w:rsidRPr="003664A3">
        <w:rPr>
          <w:sz w:val="24"/>
          <w:szCs w:val="24"/>
        </w:rPr>
        <w:t xml:space="preserve">service </w:t>
      </w:r>
      <w:r w:rsidR="00640B45" w:rsidRPr="003664A3">
        <w:rPr>
          <w:sz w:val="24"/>
          <w:szCs w:val="24"/>
        </w:rPr>
        <w:t>users</w:t>
      </w:r>
      <w:r w:rsidR="000F7156">
        <w:rPr>
          <w:sz w:val="24"/>
          <w:szCs w:val="24"/>
        </w:rPr>
        <w:t xml:space="preserve"> with higher</w:t>
      </w:r>
      <w:r w:rsidR="003C4740">
        <w:rPr>
          <w:sz w:val="24"/>
          <w:szCs w:val="24"/>
        </w:rPr>
        <w:t>-</w:t>
      </w:r>
      <w:r w:rsidR="000F7156">
        <w:rPr>
          <w:sz w:val="24"/>
          <w:szCs w:val="24"/>
        </w:rPr>
        <w:t>level needs</w:t>
      </w:r>
      <w:r w:rsidR="00DB63A7">
        <w:rPr>
          <w:sz w:val="24"/>
          <w:szCs w:val="24"/>
        </w:rPr>
        <w:t xml:space="preserve"> </w:t>
      </w:r>
      <w:r w:rsidR="000F7156">
        <w:rPr>
          <w:sz w:val="24"/>
          <w:szCs w:val="24"/>
        </w:rPr>
        <w:t>is</w:t>
      </w:r>
      <w:r w:rsidR="00DB63A7">
        <w:rPr>
          <w:sz w:val="24"/>
          <w:szCs w:val="24"/>
        </w:rPr>
        <w:t xml:space="preserve"> often</w:t>
      </w:r>
      <w:r w:rsidR="00755AB9">
        <w:rPr>
          <w:sz w:val="24"/>
          <w:szCs w:val="24"/>
        </w:rPr>
        <w:t xml:space="preserve"> </w:t>
      </w:r>
      <w:r w:rsidR="007F2B84">
        <w:rPr>
          <w:sz w:val="24"/>
          <w:szCs w:val="24"/>
        </w:rPr>
        <w:t>also</w:t>
      </w:r>
      <w:r w:rsidR="000F7156">
        <w:rPr>
          <w:sz w:val="24"/>
          <w:szCs w:val="24"/>
        </w:rPr>
        <w:t xml:space="preserve"> severely</w:t>
      </w:r>
      <w:r w:rsidR="00DB63A7">
        <w:rPr>
          <w:sz w:val="24"/>
          <w:szCs w:val="24"/>
        </w:rPr>
        <w:t xml:space="preserve"> compromised</w:t>
      </w:r>
      <w:r w:rsidR="007F2B84">
        <w:rPr>
          <w:sz w:val="24"/>
          <w:szCs w:val="24"/>
        </w:rPr>
        <w:t xml:space="preserve"> by the </w:t>
      </w:r>
      <w:r w:rsidR="003C4740">
        <w:rPr>
          <w:sz w:val="24"/>
          <w:szCs w:val="24"/>
        </w:rPr>
        <w:t>prevalence</w:t>
      </w:r>
      <w:r w:rsidR="007F2B84">
        <w:rPr>
          <w:sz w:val="24"/>
          <w:szCs w:val="24"/>
        </w:rPr>
        <w:t xml:space="preserve"> of </w:t>
      </w:r>
      <w:r w:rsidR="001F200E">
        <w:rPr>
          <w:sz w:val="24"/>
          <w:szCs w:val="24"/>
        </w:rPr>
        <w:t xml:space="preserve">utilitarian and </w:t>
      </w:r>
      <w:r w:rsidR="007F2B84">
        <w:rPr>
          <w:sz w:val="24"/>
          <w:szCs w:val="24"/>
        </w:rPr>
        <w:t>bureaucratic procedures</w:t>
      </w:r>
      <w:r w:rsidR="00EC4587" w:rsidRPr="003664A3">
        <w:rPr>
          <w:sz w:val="24"/>
          <w:szCs w:val="24"/>
        </w:rPr>
        <w:t xml:space="preserve"> </w:t>
      </w:r>
      <w:r w:rsidR="007F2B84">
        <w:rPr>
          <w:sz w:val="24"/>
          <w:szCs w:val="24"/>
        </w:rPr>
        <w:t xml:space="preserve">during any </w:t>
      </w:r>
      <w:r w:rsidR="000F7156">
        <w:rPr>
          <w:sz w:val="24"/>
          <w:szCs w:val="24"/>
        </w:rPr>
        <w:t xml:space="preserve">brief and formal </w:t>
      </w:r>
      <w:r w:rsidR="007F2B84">
        <w:rPr>
          <w:sz w:val="24"/>
          <w:szCs w:val="24"/>
        </w:rPr>
        <w:t xml:space="preserve">engagements </w:t>
      </w:r>
      <w:r w:rsidR="00EC4587" w:rsidRPr="003664A3">
        <w:rPr>
          <w:sz w:val="24"/>
          <w:szCs w:val="24"/>
        </w:rPr>
        <w:t>(</w:t>
      </w:r>
      <w:r w:rsidR="007F2B84" w:rsidRPr="003664A3">
        <w:rPr>
          <w:rFonts w:cs="Calibri"/>
          <w:sz w:val="24"/>
          <w:szCs w:val="24"/>
          <w:lang w:val="en"/>
        </w:rPr>
        <w:t>Harris, 2003</w:t>
      </w:r>
      <w:r w:rsidR="007F2B84">
        <w:rPr>
          <w:rFonts w:cs="Calibri"/>
          <w:sz w:val="24"/>
          <w:szCs w:val="24"/>
          <w:lang w:val="en"/>
        </w:rPr>
        <w:t xml:space="preserve">; </w:t>
      </w:r>
      <w:r w:rsidR="00234F97" w:rsidRPr="003664A3">
        <w:rPr>
          <w:rFonts w:cs="Times New Roman"/>
          <w:sz w:val="24"/>
          <w:szCs w:val="24"/>
        </w:rPr>
        <w:t>Hall and Scragg, 201</w:t>
      </w:r>
      <w:r w:rsidR="001E2197">
        <w:rPr>
          <w:rFonts w:cs="Times New Roman"/>
          <w:sz w:val="24"/>
          <w:szCs w:val="24"/>
        </w:rPr>
        <w:t>2</w:t>
      </w:r>
      <w:r w:rsidR="00660C34">
        <w:rPr>
          <w:rFonts w:cs="Times New Roman"/>
          <w:sz w:val="24"/>
          <w:szCs w:val="24"/>
        </w:rPr>
        <w:t>; Ray, 2014</w:t>
      </w:r>
      <w:r w:rsidR="00234F97" w:rsidRPr="003664A3">
        <w:rPr>
          <w:rFonts w:cs="Times New Roman"/>
          <w:sz w:val="24"/>
          <w:szCs w:val="24"/>
        </w:rPr>
        <w:t>)</w:t>
      </w:r>
      <w:r w:rsidR="00640B45" w:rsidRPr="003664A3">
        <w:rPr>
          <w:sz w:val="24"/>
          <w:szCs w:val="24"/>
        </w:rPr>
        <w:t>.</w:t>
      </w:r>
      <w:r w:rsidR="00F93C03" w:rsidRPr="003664A3">
        <w:rPr>
          <w:sz w:val="24"/>
          <w:szCs w:val="24"/>
        </w:rPr>
        <w:t xml:space="preserve">  </w:t>
      </w:r>
    </w:p>
    <w:p w14:paraId="532FF26D" w14:textId="25286FBE" w:rsidR="00970C8A" w:rsidRPr="003664A3" w:rsidRDefault="00AF00A0" w:rsidP="0070073A">
      <w:pPr>
        <w:shd w:val="clear" w:color="auto" w:fill="FFFFFF"/>
        <w:spacing w:before="100" w:after="100" w:line="480" w:lineRule="auto"/>
        <w:rPr>
          <w:rFonts w:cs="Calibri"/>
          <w:sz w:val="24"/>
          <w:szCs w:val="24"/>
          <w:lang w:val="en"/>
        </w:rPr>
      </w:pPr>
      <w:r w:rsidRPr="003664A3">
        <w:rPr>
          <w:sz w:val="24"/>
          <w:szCs w:val="24"/>
        </w:rPr>
        <w:t xml:space="preserve">Ethical tensions have escalated in </w:t>
      </w:r>
      <w:r w:rsidR="00935E03">
        <w:rPr>
          <w:sz w:val="24"/>
          <w:szCs w:val="24"/>
        </w:rPr>
        <w:t xml:space="preserve">other </w:t>
      </w:r>
      <w:r w:rsidRPr="003664A3">
        <w:rPr>
          <w:sz w:val="24"/>
          <w:szCs w:val="24"/>
        </w:rPr>
        <w:t xml:space="preserve">areas. </w:t>
      </w:r>
      <w:r w:rsidR="00935E03">
        <w:rPr>
          <w:sz w:val="24"/>
          <w:szCs w:val="24"/>
        </w:rPr>
        <w:t>T</w:t>
      </w:r>
      <w:r w:rsidR="00970C8A" w:rsidRPr="003664A3">
        <w:rPr>
          <w:rFonts w:cs="Calibri"/>
          <w:sz w:val="24"/>
          <w:szCs w:val="24"/>
          <w:lang w:val="en"/>
        </w:rPr>
        <w:t>he growth of a business of social care</w:t>
      </w:r>
      <w:r w:rsidR="00F93C03" w:rsidRPr="003664A3">
        <w:rPr>
          <w:rFonts w:cs="Calibri"/>
          <w:sz w:val="24"/>
          <w:szCs w:val="24"/>
          <w:lang w:val="en"/>
        </w:rPr>
        <w:t>, for example,</w:t>
      </w:r>
      <w:r w:rsidR="00970C8A" w:rsidRPr="003664A3">
        <w:rPr>
          <w:rFonts w:cs="Calibri"/>
          <w:sz w:val="24"/>
          <w:szCs w:val="24"/>
          <w:lang w:val="en"/>
        </w:rPr>
        <w:t xml:space="preserve"> </w:t>
      </w:r>
      <w:r w:rsidR="000636B8" w:rsidRPr="003664A3">
        <w:rPr>
          <w:rFonts w:cs="Calibri"/>
          <w:sz w:val="24"/>
          <w:szCs w:val="24"/>
          <w:lang w:val="en"/>
        </w:rPr>
        <w:t xml:space="preserve">has </w:t>
      </w:r>
      <w:r w:rsidR="00970C8A" w:rsidRPr="003664A3">
        <w:rPr>
          <w:rFonts w:cs="Calibri"/>
          <w:sz w:val="24"/>
          <w:szCs w:val="24"/>
          <w:lang w:val="en"/>
        </w:rPr>
        <w:t xml:space="preserve">meant that crucial areas of support for older people such as residential and nursing care </w:t>
      </w:r>
      <w:r w:rsidR="00935E03">
        <w:rPr>
          <w:rFonts w:cs="Calibri"/>
          <w:sz w:val="24"/>
          <w:szCs w:val="24"/>
          <w:lang w:val="en"/>
        </w:rPr>
        <w:t>have become</w:t>
      </w:r>
      <w:r w:rsidR="00970C8A" w:rsidRPr="003664A3">
        <w:rPr>
          <w:rFonts w:cs="Calibri"/>
          <w:sz w:val="24"/>
          <w:szCs w:val="24"/>
          <w:lang w:val="en"/>
        </w:rPr>
        <w:t xml:space="preserve"> prime sites for investment by international venture capitalists.  </w:t>
      </w:r>
      <w:r w:rsidR="00970C8A" w:rsidRPr="003664A3">
        <w:rPr>
          <w:sz w:val="24"/>
          <w:szCs w:val="24"/>
        </w:rPr>
        <w:t>Jordan and Drakeford (2012: 89)</w:t>
      </w:r>
      <w:r w:rsidR="003C4740">
        <w:rPr>
          <w:sz w:val="24"/>
          <w:szCs w:val="24"/>
        </w:rPr>
        <w:t xml:space="preserve">, for example, </w:t>
      </w:r>
      <w:r w:rsidR="00970C8A" w:rsidRPr="003664A3">
        <w:rPr>
          <w:sz w:val="24"/>
          <w:szCs w:val="24"/>
        </w:rPr>
        <w:t xml:space="preserve">highlight the appeal of publicly subsidised ventures </w:t>
      </w:r>
      <w:r w:rsidR="00755AB9">
        <w:rPr>
          <w:sz w:val="24"/>
          <w:szCs w:val="24"/>
        </w:rPr>
        <w:t>in</w:t>
      </w:r>
      <w:r w:rsidR="00935E03">
        <w:rPr>
          <w:sz w:val="24"/>
          <w:szCs w:val="24"/>
        </w:rPr>
        <w:t xml:space="preserve"> offering</w:t>
      </w:r>
      <w:r w:rsidR="00F621E3" w:rsidRPr="003664A3">
        <w:rPr>
          <w:sz w:val="24"/>
          <w:szCs w:val="24"/>
        </w:rPr>
        <w:t xml:space="preserve"> </w:t>
      </w:r>
      <w:r w:rsidR="008610AE" w:rsidRPr="003664A3">
        <w:rPr>
          <w:sz w:val="24"/>
          <w:szCs w:val="24"/>
        </w:rPr>
        <w:t xml:space="preserve">a rich and accessible source of </w:t>
      </w:r>
      <w:r w:rsidR="00F621E3" w:rsidRPr="003664A3">
        <w:rPr>
          <w:sz w:val="24"/>
          <w:szCs w:val="24"/>
        </w:rPr>
        <w:t xml:space="preserve">equity </w:t>
      </w:r>
      <w:r w:rsidR="00970C8A" w:rsidRPr="003664A3">
        <w:rPr>
          <w:sz w:val="24"/>
          <w:szCs w:val="24"/>
        </w:rPr>
        <w:t>to companies such as Blackstone which had previously shown no interest in the care of older adults:</w:t>
      </w:r>
    </w:p>
    <w:p w14:paraId="71743229" w14:textId="77777777" w:rsidR="00970C8A" w:rsidRPr="003664A3" w:rsidRDefault="00970C8A" w:rsidP="0070073A">
      <w:pPr>
        <w:spacing w:line="480" w:lineRule="auto"/>
        <w:ind w:left="720"/>
        <w:rPr>
          <w:sz w:val="24"/>
          <w:szCs w:val="24"/>
        </w:rPr>
      </w:pPr>
      <w:r w:rsidRPr="003664A3">
        <w:rPr>
          <w:sz w:val="24"/>
          <w:szCs w:val="24"/>
        </w:rPr>
        <w:t xml:space="preserve">It is important to be clear that such equity buyouts are motivated by one thing only – the prospect of rapid and rising profits. Blackstone was not an organisation driven by an interest in social welfare. Later in the same week that it acquired [Surry-based] NHP [for £564 million], it also bought a French cinema group, a German chemicals company and the Dutch telephone directory supplier VNU. Residential care was simply another commodity from which profit might be extracted, only this time with the added advantage that such profits were being supplied by the public purse.  </w:t>
      </w:r>
    </w:p>
    <w:p w14:paraId="11B544AF" w14:textId="0953D6E9" w:rsidR="00593205" w:rsidRDefault="00122937" w:rsidP="0070073A">
      <w:pPr>
        <w:spacing w:line="480" w:lineRule="auto"/>
        <w:rPr>
          <w:rFonts w:cs="Calibri"/>
          <w:sz w:val="24"/>
          <w:szCs w:val="24"/>
          <w:lang w:val="en"/>
        </w:rPr>
      </w:pPr>
      <w:r w:rsidRPr="003664A3">
        <w:rPr>
          <w:sz w:val="24"/>
          <w:szCs w:val="24"/>
        </w:rPr>
        <w:lastRenderedPageBreak/>
        <w:t>Alongside escalating charges and costs imposed by</w:t>
      </w:r>
      <w:r w:rsidR="008610AE" w:rsidRPr="003664A3">
        <w:rPr>
          <w:sz w:val="24"/>
          <w:szCs w:val="24"/>
        </w:rPr>
        <w:t xml:space="preserve"> </w:t>
      </w:r>
      <w:r w:rsidRPr="003664A3">
        <w:rPr>
          <w:sz w:val="24"/>
          <w:szCs w:val="24"/>
        </w:rPr>
        <w:t>companies</w:t>
      </w:r>
      <w:r w:rsidR="00662428">
        <w:rPr>
          <w:sz w:val="24"/>
          <w:szCs w:val="24"/>
        </w:rPr>
        <w:t xml:space="preserve"> such as Blackstone</w:t>
      </w:r>
      <w:r w:rsidRPr="003664A3">
        <w:rPr>
          <w:sz w:val="24"/>
          <w:szCs w:val="24"/>
        </w:rPr>
        <w:t>, r</w:t>
      </w:r>
      <w:r w:rsidR="00970C8A" w:rsidRPr="003664A3">
        <w:rPr>
          <w:sz w:val="24"/>
          <w:szCs w:val="24"/>
        </w:rPr>
        <w:t xml:space="preserve">egular changes in the ownership and control of care homes and other </w:t>
      </w:r>
      <w:r w:rsidR="003146CB" w:rsidRPr="003664A3">
        <w:rPr>
          <w:sz w:val="24"/>
          <w:szCs w:val="24"/>
        </w:rPr>
        <w:t xml:space="preserve">support </w:t>
      </w:r>
      <w:r w:rsidR="00970C8A" w:rsidRPr="003664A3">
        <w:rPr>
          <w:sz w:val="24"/>
          <w:szCs w:val="24"/>
        </w:rPr>
        <w:t xml:space="preserve">services </w:t>
      </w:r>
      <w:r w:rsidR="00B55757">
        <w:rPr>
          <w:sz w:val="24"/>
          <w:szCs w:val="24"/>
        </w:rPr>
        <w:t xml:space="preserve">has often </w:t>
      </w:r>
      <w:r w:rsidR="00970C8A" w:rsidRPr="003664A3">
        <w:rPr>
          <w:sz w:val="24"/>
          <w:szCs w:val="24"/>
        </w:rPr>
        <w:t xml:space="preserve">caused considerable uncertainty and stress for </w:t>
      </w:r>
      <w:r w:rsidR="0039301A">
        <w:rPr>
          <w:sz w:val="24"/>
          <w:szCs w:val="24"/>
        </w:rPr>
        <w:t xml:space="preserve">many </w:t>
      </w:r>
      <w:r w:rsidR="00970C8A" w:rsidRPr="003664A3">
        <w:rPr>
          <w:sz w:val="24"/>
          <w:szCs w:val="24"/>
        </w:rPr>
        <w:t>older residents and their families</w:t>
      </w:r>
      <w:r w:rsidRPr="003664A3">
        <w:rPr>
          <w:sz w:val="24"/>
          <w:szCs w:val="24"/>
        </w:rPr>
        <w:t xml:space="preserve"> (Scourfield, 2007)</w:t>
      </w:r>
      <w:r w:rsidR="00970C8A" w:rsidRPr="003664A3">
        <w:rPr>
          <w:sz w:val="24"/>
          <w:szCs w:val="24"/>
        </w:rPr>
        <w:t xml:space="preserve">. </w:t>
      </w:r>
      <w:r w:rsidR="00970C8A" w:rsidRPr="003664A3">
        <w:rPr>
          <w:rFonts w:cs="Calibri"/>
          <w:sz w:val="24"/>
          <w:szCs w:val="24"/>
          <w:lang w:val="en"/>
        </w:rPr>
        <w:t xml:space="preserve">The </w:t>
      </w:r>
      <w:r w:rsidR="00970C8A" w:rsidRPr="00F64576">
        <w:rPr>
          <w:rFonts w:cs="Calibri"/>
          <w:i/>
          <w:sz w:val="24"/>
          <w:szCs w:val="24"/>
          <w:lang w:val="en"/>
        </w:rPr>
        <w:t>Health and Social Care Act</w:t>
      </w:r>
      <w:r w:rsidR="00970C8A" w:rsidRPr="003664A3">
        <w:rPr>
          <w:rFonts w:cs="Calibri"/>
          <w:sz w:val="24"/>
          <w:szCs w:val="24"/>
          <w:lang w:val="en"/>
        </w:rPr>
        <w:t>, 2012</w:t>
      </w:r>
      <w:r w:rsidR="0039301A">
        <w:rPr>
          <w:rFonts w:cs="Calibri"/>
          <w:sz w:val="24"/>
          <w:szCs w:val="24"/>
          <w:lang w:val="en"/>
        </w:rPr>
        <w:t>,</w:t>
      </w:r>
      <w:r w:rsidR="00970C8A" w:rsidRPr="003664A3">
        <w:rPr>
          <w:rFonts w:cs="Calibri"/>
          <w:sz w:val="24"/>
          <w:szCs w:val="24"/>
          <w:lang w:val="en"/>
        </w:rPr>
        <w:t xml:space="preserve"> and the </w:t>
      </w:r>
      <w:r w:rsidR="00970C8A" w:rsidRPr="00F64576">
        <w:rPr>
          <w:rFonts w:cs="Calibri"/>
          <w:i/>
          <w:sz w:val="24"/>
          <w:szCs w:val="24"/>
          <w:lang w:val="en"/>
        </w:rPr>
        <w:t>Care Act</w:t>
      </w:r>
      <w:r w:rsidR="00970C8A" w:rsidRPr="003664A3">
        <w:rPr>
          <w:rFonts w:cs="Calibri"/>
          <w:sz w:val="24"/>
          <w:szCs w:val="24"/>
          <w:lang w:val="en"/>
        </w:rPr>
        <w:t xml:space="preserve">, 2014, </w:t>
      </w:r>
      <w:r w:rsidR="00593205">
        <w:rPr>
          <w:rFonts w:cs="Calibri"/>
          <w:sz w:val="24"/>
          <w:szCs w:val="24"/>
          <w:lang w:val="en"/>
        </w:rPr>
        <w:t>ha</w:t>
      </w:r>
      <w:r w:rsidR="003C4740">
        <w:rPr>
          <w:rFonts w:cs="Calibri"/>
          <w:sz w:val="24"/>
          <w:szCs w:val="24"/>
          <w:lang w:val="en"/>
        </w:rPr>
        <w:t>ve</w:t>
      </w:r>
      <w:r w:rsidR="00593205">
        <w:rPr>
          <w:rFonts w:cs="Calibri"/>
          <w:sz w:val="24"/>
          <w:szCs w:val="24"/>
          <w:lang w:val="en"/>
        </w:rPr>
        <w:t xml:space="preserve"> </w:t>
      </w:r>
      <w:r w:rsidR="00970C8A" w:rsidRPr="003664A3">
        <w:rPr>
          <w:rFonts w:cs="Calibri"/>
          <w:sz w:val="24"/>
          <w:szCs w:val="24"/>
          <w:lang w:val="en"/>
        </w:rPr>
        <w:t>further extend</w:t>
      </w:r>
      <w:r w:rsidR="00F93C03" w:rsidRPr="003664A3">
        <w:rPr>
          <w:rFonts w:cs="Calibri"/>
          <w:sz w:val="24"/>
          <w:szCs w:val="24"/>
          <w:lang w:val="en"/>
        </w:rPr>
        <w:t>ed</w:t>
      </w:r>
      <w:r w:rsidR="00970C8A" w:rsidRPr="003664A3">
        <w:rPr>
          <w:rFonts w:cs="Calibri"/>
          <w:sz w:val="24"/>
          <w:szCs w:val="24"/>
          <w:lang w:val="en"/>
        </w:rPr>
        <w:t xml:space="preserve"> competition and </w:t>
      </w:r>
      <w:proofErr w:type="spellStart"/>
      <w:r w:rsidR="00970C8A" w:rsidRPr="003664A3">
        <w:rPr>
          <w:rFonts w:cs="Calibri"/>
          <w:sz w:val="24"/>
          <w:szCs w:val="24"/>
          <w:lang w:val="en"/>
        </w:rPr>
        <w:t>privatisation</w:t>
      </w:r>
      <w:proofErr w:type="spellEnd"/>
      <w:r w:rsidR="00970C8A" w:rsidRPr="003664A3">
        <w:rPr>
          <w:rFonts w:cs="Calibri"/>
          <w:sz w:val="24"/>
          <w:szCs w:val="24"/>
          <w:lang w:val="en"/>
        </w:rPr>
        <w:t xml:space="preserve"> within social care (</w:t>
      </w:r>
      <w:proofErr w:type="spellStart"/>
      <w:r w:rsidR="00970C8A" w:rsidRPr="003664A3">
        <w:rPr>
          <w:rFonts w:cs="Calibri"/>
          <w:sz w:val="24"/>
          <w:szCs w:val="24"/>
          <w:lang w:val="en"/>
        </w:rPr>
        <w:t>Glynos</w:t>
      </w:r>
      <w:proofErr w:type="spellEnd"/>
      <w:r w:rsidR="00970C8A" w:rsidRPr="003664A3">
        <w:rPr>
          <w:rFonts w:cs="Calibri"/>
          <w:sz w:val="24"/>
          <w:szCs w:val="24"/>
          <w:lang w:val="en"/>
        </w:rPr>
        <w:t xml:space="preserve"> et al, 2015: 63-64). </w:t>
      </w:r>
      <w:r w:rsidR="00862617" w:rsidRPr="003664A3">
        <w:rPr>
          <w:rFonts w:cs="Calibri"/>
          <w:sz w:val="24"/>
          <w:szCs w:val="24"/>
          <w:lang w:val="en"/>
        </w:rPr>
        <w:t xml:space="preserve">An under resourced </w:t>
      </w:r>
      <w:r w:rsidR="004A57DB" w:rsidRPr="003664A3">
        <w:rPr>
          <w:rFonts w:cs="Calibri"/>
          <w:sz w:val="24"/>
          <w:szCs w:val="24"/>
          <w:lang w:val="en"/>
        </w:rPr>
        <w:t xml:space="preserve">and </w:t>
      </w:r>
      <w:r w:rsidR="00862617" w:rsidRPr="003664A3">
        <w:rPr>
          <w:rFonts w:cs="Calibri"/>
          <w:sz w:val="24"/>
          <w:szCs w:val="24"/>
          <w:lang w:val="en"/>
        </w:rPr>
        <w:t xml:space="preserve">deeply </w:t>
      </w:r>
      <w:r w:rsidR="004A57DB" w:rsidRPr="003664A3">
        <w:rPr>
          <w:rFonts w:cs="Calibri"/>
          <w:sz w:val="24"/>
          <w:szCs w:val="24"/>
          <w:lang w:val="en"/>
        </w:rPr>
        <w:t xml:space="preserve">fragmented ‘social work </w:t>
      </w:r>
      <w:proofErr w:type="gramStart"/>
      <w:r w:rsidR="004A57DB" w:rsidRPr="003664A3">
        <w:rPr>
          <w:rFonts w:cs="Calibri"/>
          <w:sz w:val="24"/>
          <w:szCs w:val="24"/>
          <w:lang w:val="en"/>
        </w:rPr>
        <w:t>business’</w:t>
      </w:r>
      <w:proofErr w:type="gramEnd"/>
      <w:r w:rsidR="00862617" w:rsidRPr="003664A3">
        <w:rPr>
          <w:rFonts w:cs="Calibri"/>
          <w:sz w:val="24"/>
          <w:szCs w:val="24"/>
          <w:lang w:val="en"/>
        </w:rPr>
        <w:t xml:space="preserve"> </w:t>
      </w:r>
      <w:r w:rsidR="003C4740">
        <w:rPr>
          <w:rFonts w:cs="Calibri"/>
          <w:sz w:val="24"/>
          <w:szCs w:val="24"/>
          <w:lang w:val="en"/>
        </w:rPr>
        <w:t xml:space="preserve">has </w:t>
      </w:r>
      <w:r w:rsidR="00162009" w:rsidRPr="003664A3">
        <w:rPr>
          <w:rFonts w:cs="Calibri"/>
          <w:sz w:val="24"/>
          <w:szCs w:val="24"/>
          <w:lang w:val="en"/>
        </w:rPr>
        <w:t>persevered</w:t>
      </w:r>
      <w:r w:rsidR="0039301A">
        <w:rPr>
          <w:rFonts w:cs="Calibri"/>
          <w:sz w:val="24"/>
          <w:szCs w:val="24"/>
          <w:lang w:val="en"/>
        </w:rPr>
        <w:t>,</w:t>
      </w:r>
      <w:r w:rsidR="004A57DB" w:rsidRPr="003664A3">
        <w:rPr>
          <w:rFonts w:cs="Calibri"/>
          <w:sz w:val="24"/>
          <w:szCs w:val="24"/>
          <w:lang w:val="en"/>
        </w:rPr>
        <w:t xml:space="preserve"> </w:t>
      </w:r>
      <w:r w:rsidR="00162009" w:rsidRPr="003664A3">
        <w:rPr>
          <w:rFonts w:cs="Calibri"/>
          <w:sz w:val="24"/>
          <w:szCs w:val="24"/>
          <w:lang w:val="en"/>
        </w:rPr>
        <w:t>with</w:t>
      </w:r>
      <w:r w:rsidR="00862617" w:rsidRPr="003664A3">
        <w:rPr>
          <w:rFonts w:cs="Calibri"/>
          <w:sz w:val="24"/>
          <w:szCs w:val="24"/>
          <w:lang w:val="en"/>
        </w:rPr>
        <w:t xml:space="preserve">in which </w:t>
      </w:r>
      <w:r w:rsidR="004A57DB" w:rsidRPr="003664A3">
        <w:rPr>
          <w:rFonts w:cs="Calibri"/>
          <w:sz w:val="24"/>
          <w:szCs w:val="24"/>
          <w:lang w:val="en"/>
        </w:rPr>
        <w:t>contact between</w:t>
      </w:r>
      <w:r w:rsidR="00862617" w:rsidRPr="003664A3">
        <w:rPr>
          <w:rFonts w:cs="Calibri"/>
          <w:sz w:val="24"/>
          <w:szCs w:val="24"/>
          <w:lang w:val="en"/>
        </w:rPr>
        <w:t xml:space="preserve"> care managers and</w:t>
      </w:r>
      <w:r w:rsidR="004A57DB" w:rsidRPr="003664A3">
        <w:rPr>
          <w:rFonts w:cs="Calibri"/>
          <w:sz w:val="24"/>
          <w:szCs w:val="24"/>
          <w:lang w:val="en"/>
        </w:rPr>
        <w:t xml:space="preserve"> older ‘service users’</w:t>
      </w:r>
      <w:r w:rsidR="00162009" w:rsidRPr="003664A3">
        <w:rPr>
          <w:rFonts w:cs="Calibri"/>
          <w:sz w:val="24"/>
          <w:szCs w:val="24"/>
          <w:lang w:val="en"/>
        </w:rPr>
        <w:t xml:space="preserve"> </w:t>
      </w:r>
      <w:r w:rsidR="003C4740">
        <w:rPr>
          <w:rFonts w:cs="Calibri"/>
          <w:sz w:val="24"/>
          <w:szCs w:val="24"/>
          <w:lang w:val="en"/>
        </w:rPr>
        <w:t>remains</w:t>
      </w:r>
      <w:r w:rsidR="004A57DB" w:rsidRPr="003664A3">
        <w:rPr>
          <w:rFonts w:cs="Calibri"/>
          <w:sz w:val="24"/>
          <w:szCs w:val="24"/>
          <w:lang w:val="en"/>
        </w:rPr>
        <w:t xml:space="preserve"> </w:t>
      </w:r>
      <w:r w:rsidR="00970C8A" w:rsidRPr="003664A3">
        <w:rPr>
          <w:rFonts w:cs="Calibri"/>
          <w:sz w:val="24"/>
          <w:szCs w:val="24"/>
          <w:lang w:val="en"/>
        </w:rPr>
        <w:t xml:space="preserve">ever more </w:t>
      </w:r>
      <w:r w:rsidR="004A57DB" w:rsidRPr="003664A3">
        <w:rPr>
          <w:rFonts w:cs="Calibri"/>
          <w:sz w:val="24"/>
          <w:szCs w:val="24"/>
          <w:lang w:val="en"/>
        </w:rPr>
        <w:t>formal</w:t>
      </w:r>
      <w:r w:rsidR="00162009" w:rsidRPr="003664A3">
        <w:rPr>
          <w:rFonts w:cs="Calibri"/>
          <w:sz w:val="24"/>
          <w:szCs w:val="24"/>
          <w:lang w:val="en"/>
        </w:rPr>
        <w:t>,</w:t>
      </w:r>
      <w:r w:rsidR="004A57DB" w:rsidRPr="003664A3">
        <w:rPr>
          <w:rFonts w:cs="Calibri"/>
          <w:sz w:val="24"/>
          <w:szCs w:val="24"/>
          <w:lang w:val="en"/>
        </w:rPr>
        <w:t xml:space="preserve"> brief </w:t>
      </w:r>
      <w:r w:rsidR="00162009" w:rsidRPr="003664A3">
        <w:rPr>
          <w:rFonts w:cs="Calibri"/>
          <w:sz w:val="24"/>
          <w:szCs w:val="24"/>
          <w:lang w:val="en"/>
        </w:rPr>
        <w:t>and detached</w:t>
      </w:r>
      <w:r w:rsidR="0039301A">
        <w:rPr>
          <w:rFonts w:cs="Calibri"/>
          <w:sz w:val="24"/>
          <w:szCs w:val="24"/>
          <w:lang w:val="en"/>
        </w:rPr>
        <w:t xml:space="preserve">. Consequentially, a fundamental condition of professional engagement within </w:t>
      </w:r>
      <w:r w:rsidR="003C4740">
        <w:rPr>
          <w:rFonts w:cs="Calibri"/>
          <w:sz w:val="24"/>
          <w:szCs w:val="24"/>
          <w:lang w:val="en"/>
        </w:rPr>
        <w:t xml:space="preserve">adult </w:t>
      </w:r>
      <w:r w:rsidR="0039301A">
        <w:rPr>
          <w:rFonts w:cs="Calibri"/>
          <w:sz w:val="24"/>
          <w:szCs w:val="24"/>
          <w:lang w:val="en"/>
        </w:rPr>
        <w:t xml:space="preserve">social care </w:t>
      </w:r>
      <w:r w:rsidR="00935E03">
        <w:rPr>
          <w:rFonts w:cs="Calibri"/>
          <w:sz w:val="24"/>
          <w:szCs w:val="24"/>
          <w:lang w:val="en"/>
        </w:rPr>
        <w:t xml:space="preserve">has </w:t>
      </w:r>
      <w:r w:rsidR="00314A9A">
        <w:rPr>
          <w:rFonts w:cs="Calibri"/>
          <w:sz w:val="24"/>
          <w:szCs w:val="24"/>
          <w:lang w:val="en"/>
        </w:rPr>
        <w:t>remained an assumption that older adults or their family members be resilient</w:t>
      </w:r>
      <w:r w:rsidR="00802988">
        <w:rPr>
          <w:rFonts w:cs="Calibri"/>
          <w:sz w:val="24"/>
          <w:szCs w:val="24"/>
          <w:lang w:val="en"/>
        </w:rPr>
        <w:t>, draw from their strengths,</w:t>
      </w:r>
      <w:r w:rsidR="00314A9A">
        <w:rPr>
          <w:rFonts w:cs="Calibri"/>
          <w:sz w:val="24"/>
          <w:szCs w:val="24"/>
          <w:lang w:val="en"/>
        </w:rPr>
        <w:t xml:space="preserve"> and </w:t>
      </w:r>
      <w:r w:rsidR="00802988">
        <w:rPr>
          <w:rFonts w:cs="Calibri"/>
          <w:sz w:val="24"/>
          <w:szCs w:val="24"/>
          <w:lang w:val="en"/>
        </w:rPr>
        <w:t xml:space="preserve">are </w:t>
      </w:r>
      <w:r w:rsidR="00314A9A">
        <w:rPr>
          <w:rFonts w:cs="Calibri"/>
          <w:sz w:val="24"/>
          <w:szCs w:val="24"/>
          <w:lang w:val="en"/>
        </w:rPr>
        <w:t>capable of coping with very limited</w:t>
      </w:r>
      <w:r w:rsidR="006B355F">
        <w:rPr>
          <w:rFonts w:cs="Calibri"/>
          <w:sz w:val="24"/>
          <w:szCs w:val="24"/>
          <w:lang w:val="en"/>
        </w:rPr>
        <w:t xml:space="preserve"> or no </w:t>
      </w:r>
      <w:r w:rsidR="00314A9A">
        <w:rPr>
          <w:rFonts w:cs="Calibri"/>
          <w:sz w:val="24"/>
          <w:szCs w:val="24"/>
          <w:lang w:val="en"/>
        </w:rPr>
        <w:t xml:space="preserve">support </w:t>
      </w:r>
      <w:r w:rsidR="004A57DB" w:rsidRPr="003664A3">
        <w:rPr>
          <w:rFonts w:cs="Calibri"/>
          <w:sz w:val="24"/>
          <w:szCs w:val="24"/>
          <w:lang w:val="en"/>
        </w:rPr>
        <w:t>(Harris, 2003</w:t>
      </w:r>
      <w:r w:rsidR="009A7767">
        <w:rPr>
          <w:rFonts w:cs="Calibri"/>
          <w:sz w:val="24"/>
          <w:szCs w:val="24"/>
          <w:lang w:val="en"/>
        </w:rPr>
        <w:t xml:space="preserve">; </w:t>
      </w:r>
      <w:r w:rsidR="004A57DB" w:rsidRPr="003664A3">
        <w:rPr>
          <w:rFonts w:cs="Calibri"/>
          <w:sz w:val="24"/>
          <w:szCs w:val="24"/>
          <w:lang w:val="en"/>
        </w:rPr>
        <w:t xml:space="preserve">Ferguson, 2007; </w:t>
      </w:r>
      <w:r w:rsidR="00660C34">
        <w:rPr>
          <w:rFonts w:cs="Calibri"/>
          <w:sz w:val="24"/>
          <w:szCs w:val="24"/>
          <w:lang w:val="en"/>
        </w:rPr>
        <w:t>Ray, 2014</w:t>
      </w:r>
      <w:r w:rsidR="004A57DB" w:rsidRPr="003664A3">
        <w:rPr>
          <w:rFonts w:cs="Calibri"/>
          <w:sz w:val="24"/>
          <w:szCs w:val="24"/>
          <w:lang w:val="en"/>
        </w:rPr>
        <w:t xml:space="preserve">). </w:t>
      </w:r>
    </w:p>
    <w:p w14:paraId="39009DB4" w14:textId="128DF31F" w:rsidR="00B84138" w:rsidRPr="006B355F" w:rsidRDefault="00B55757" w:rsidP="0070073A">
      <w:pPr>
        <w:spacing w:line="480" w:lineRule="auto"/>
        <w:rPr>
          <w:rFonts w:cs="Calibri"/>
          <w:sz w:val="24"/>
          <w:szCs w:val="24"/>
          <w:lang w:val="en"/>
        </w:rPr>
      </w:pPr>
      <w:r>
        <w:rPr>
          <w:rFonts w:cs="Calibri"/>
          <w:sz w:val="24"/>
          <w:szCs w:val="24"/>
          <w:lang w:val="en"/>
        </w:rPr>
        <w:t>A range of additional factors including</w:t>
      </w:r>
      <w:r w:rsidR="00C503C6">
        <w:rPr>
          <w:rFonts w:cs="Calibri"/>
          <w:sz w:val="24"/>
          <w:szCs w:val="24"/>
          <w:lang w:val="en"/>
        </w:rPr>
        <w:t xml:space="preserve"> demographic pressures and</w:t>
      </w:r>
      <w:r>
        <w:rPr>
          <w:rFonts w:cs="Calibri"/>
          <w:sz w:val="24"/>
          <w:szCs w:val="24"/>
          <w:lang w:val="en"/>
        </w:rPr>
        <w:t xml:space="preserve"> increasing conditions tied to receipt of welfare has </w:t>
      </w:r>
      <w:r w:rsidR="001C6EBD">
        <w:rPr>
          <w:rFonts w:cs="Calibri"/>
          <w:sz w:val="24"/>
          <w:szCs w:val="24"/>
          <w:lang w:val="en"/>
        </w:rPr>
        <w:t xml:space="preserve">also </w:t>
      </w:r>
      <w:r>
        <w:rPr>
          <w:rFonts w:cs="Calibri"/>
          <w:sz w:val="24"/>
          <w:szCs w:val="24"/>
          <w:lang w:val="en"/>
        </w:rPr>
        <w:t xml:space="preserve">meant that expectations placed upon family members and other </w:t>
      </w:r>
      <w:proofErr w:type="spellStart"/>
      <w:r>
        <w:rPr>
          <w:rFonts w:cs="Calibri"/>
          <w:sz w:val="24"/>
          <w:szCs w:val="24"/>
          <w:lang w:val="en"/>
        </w:rPr>
        <w:t>carers</w:t>
      </w:r>
      <w:proofErr w:type="spellEnd"/>
      <w:r>
        <w:rPr>
          <w:rFonts w:cs="Calibri"/>
          <w:sz w:val="24"/>
          <w:szCs w:val="24"/>
          <w:lang w:val="en"/>
        </w:rPr>
        <w:t xml:space="preserve"> to support older people have </w:t>
      </w:r>
      <w:r w:rsidR="00C503C6">
        <w:rPr>
          <w:rFonts w:cs="Calibri"/>
          <w:sz w:val="24"/>
          <w:szCs w:val="24"/>
          <w:lang w:val="en"/>
        </w:rPr>
        <w:t xml:space="preserve">subsequently </w:t>
      </w:r>
      <w:r>
        <w:rPr>
          <w:rFonts w:cs="Calibri"/>
          <w:sz w:val="24"/>
          <w:szCs w:val="24"/>
          <w:lang w:val="en"/>
        </w:rPr>
        <w:t>intensified</w:t>
      </w:r>
      <w:r w:rsidR="006B355F">
        <w:rPr>
          <w:rFonts w:cs="Calibri"/>
          <w:sz w:val="24"/>
          <w:szCs w:val="24"/>
          <w:lang w:val="en"/>
        </w:rPr>
        <w:t>, leading to predicted ‘devastating results for families and the health and social care system’</w:t>
      </w:r>
      <w:r w:rsidR="000F7156" w:rsidRPr="000F7156">
        <w:rPr>
          <w:rFonts w:cs="Calibri"/>
          <w:b/>
          <w:sz w:val="24"/>
          <w:szCs w:val="24"/>
          <w:lang w:val="en"/>
        </w:rPr>
        <w:t xml:space="preserve"> </w:t>
      </w:r>
      <w:r w:rsidR="000F7156" w:rsidRPr="003C4740">
        <w:rPr>
          <w:rFonts w:cs="Calibri"/>
          <w:sz w:val="24"/>
          <w:szCs w:val="24"/>
          <w:lang w:val="en"/>
        </w:rPr>
        <w:t>(</w:t>
      </w:r>
      <w:proofErr w:type="spellStart"/>
      <w:r w:rsidR="000F7156" w:rsidRPr="003C4740">
        <w:rPr>
          <w:rFonts w:cs="Calibri"/>
          <w:sz w:val="24"/>
          <w:szCs w:val="24"/>
          <w:lang w:val="en"/>
        </w:rPr>
        <w:t>Ogg</w:t>
      </w:r>
      <w:proofErr w:type="spellEnd"/>
      <w:r w:rsidR="000F7156" w:rsidRPr="003C4740">
        <w:rPr>
          <w:rFonts w:cs="Calibri"/>
          <w:sz w:val="24"/>
          <w:szCs w:val="24"/>
          <w:lang w:val="en"/>
        </w:rPr>
        <w:t>, 2005</w:t>
      </w:r>
      <w:r w:rsidR="000F7156">
        <w:rPr>
          <w:rFonts w:cs="Calibri"/>
          <w:sz w:val="24"/>
          <w:szCs w:val="24"/>
          <w:lang w:val="en"/>
        </w:rPr>
        <w:t>;</w:t>
      </w:r>
      <w:r w:rsidR="006B355F" w:rsidRPr="006B355F">
        <w:rPr>
          <w:rFonts w:cs="Calibri"/>
          <w:sz w:val="24"/>
          <w:szCs w:val="24"/>
          <w:lang w:val="en"/>
        </w:rPr>
        <w:t xml:space="preserve"> </w:t>
      </w:r>
      <w:r w:rsidR="006B355F">
        <w:rPr>
          <w:rFonts w:cs="Calibri"/>
          <w:sz w:val="24"/>
          <w:szCs w:val="24"/>
          <w:lang w:val="en"/>
        </w:rPr>
        <w:t xml:space="preserve">Buckner and </w:t>
      </w:r>
      <w:proofErr w:type="spellStart"/>
      <w:r w:rsidR="006B355F">
        <w:rPr>
          <w:rFonts w:cs="Calibri"/>
          <w:sz w:val="24"/>
          <w:szCs w:val="24"/>
          <w:lang w:val="en"/>
        </w:rPr>
        <w:t>Yeandle</w:t>
      </w:r>
      <w:proofErr w:type="spellEnd"/>
      <w:r w:rsidR="006B355F">
        <w:rPr>
          <w:rFonts w:cs="Calibri"/>
          <w:sz w:val="24"/>
          <w:szCs w:val="24"/>
          <w:lang w:val="en"/>
        </w:rPr>
        <w:t>, 2015: 6</w:t>
      </w:r>
      <w:r w:rsidR="000F7156">
        <w:rPr>
          <w:sz w:val="24"/>
          <w:szCs w:val="24"/>
        </w:rPr>
        <w:t>)</w:t>
      </w:r>
      <w:r w:rsidR="000F7156">
        <w:rPr>
          <w:rFonts w:cs="Calibri"/>
          <w:sz w:val="24"/>
          <w:szCs w:val="24"/>
          <w:lang w:val="en"/>
        </w:rPr>
        <w:t xml:space="preserve">. </w:t>
      </w:r>
      <w:r w:rsidR="004F2B26" w:rsidRPr="003664A3">
        <w:rPr>
          <w:rFonts w:cs="Times New Roman"/>
          <w:sz w:val="24"/>
          <w:szCs w:val="24"/>
        </w:rPr>
        <w:t xml:space="preserve">Other ideological dynamics have again impacted upon conditionality within adult care. </w:t>
      </w:r>
      <w:r w:rsidR="00265AAE">
        <w:rPr>
          <w:rFonts w:cs="Times New Roman"/>
          <w:sz w:val="24"/>
          <w:szCs w:val="24"/>
        </w:rPr>
        <w:t>A</w:t>
      </w:r>
      <w:r w:rsidR="004F2B26" w:rsidRPr="003664A3">
        <w:rPr>
          <w:rFonts w:cs="Times New Roman"/>
          <w:sz w:val="24"/>
          <w:szCs w:val="24"/>
        </w:rPr>
        <w:t xml:space="preserve">ttention has been drawn to the ways by which community care market-based reforms fit with a wider ‘risk discourse’ which </w:t>
      </w:r>
      <w:r w:rsidR="00B421AB">
        <w:rPr>
          <w:rFonts w:cs="Times New Roman"/>
          <w:sz w:val="24"/>
          <w:szCs w:val="24"/>
        </w:rPr>
        <w:t>extend</w:t>
      </w:r>
      <w:r w:rsidR="00265AAE">
        <w:rPr>
          <w:rFonts w:cs="Times New Roman"/>
          <w:sz w:val="24"/>
          <w:szCs w:val="24"/>
        </w:rPr>
        <w:t>s</w:t>
      </w:r>
      <w:r w:rsidR="004F2B26" w:rsidRPr="003664A3">
        <w:rPr>
          <w:rFonts w:cs="Times New Roman"/>
          <w:sz w:val="24"/>
          <w:szCs w:val="24"/>
        </w:rPr>
        <w:t xml:space="preserve"> the </w:t>
      </w:r>
      <w:r w:rsidR="001F200E">
        <w:rPr>
          <w:rFonts w:cs="Times New Roman"/>
          <w:sz w:val="24"/>
          <w:szCs w:val="24"/>
        </w:rPr>
        <w:t xml:space="preserve">deontological </w:t>
      </w:r>
      <w:r w:rsidR="004F2B26" w:rsidRPr="003664A3">
        <w:rPr>
          <w:rFonts w:cs="Times New Roman"/>
          <w:sz w:val="24"/>
          <w:szCs w:val="24"/>
        </w:rPr>
        <w:t xml:space="preserve">management of </w:t>
      </w:r>
      <w:r w:rsidR="001F200E">
        <w:rPr>
          <w:rFonts w:cs="Times New Roman"/>
          <w:sz w:val="24"/>
          <w:szCs w:val="24"/>
        </w:rPr>
        <w:t xml:space="preserve">rules in relation to </w:t>
      </w:r>
      <w:r w:rsidR="004F2B26" w:rsidRPr="003664A3">
        <w:rPr>
          <w:rFonts w:cs="Times New Roman"/>
          <w:sz w:val="24"/>
          <w:szCs w:val="24"/>
        </w:rPr>
        <w:t>finances and human risk whilst</w:t>
      </w:r>
      <w:r w:rsidR="001F200E">
        <w:rPr>
          <w:rFonts w:cs="Times New Roman"/>
          <w:sz w:val="24"/>
          <w:szCs w:val="24"/>
        </w:rPr>
        <w:t xml:space="preserve"> nevertheless</w:t>
      </w:r>
      <w:r w:rsidR="004F2B26" w:rsidRPr="003664A3">
        <w:rPr>
          <w:rFonts w:cs="Times New Roman"/>
          <w:sz w:val="24"/>
          <w:szCs w:val="24"/>
        </w:rPr>
        <w:t xml:space="preserve"> marginalising other priorities</w:t>
      </w:r>
      <w:r w:rsidR="002C0B6D" w:rsidRPr="003664A3">
        <w:rPr>
          <w:rFonts w:cs="Times New Roman"/>
          <w:sz w:val="24"/>
          <w:szCs w:val="24"/>
        </w:rPr>
        <w:t xml:space="preserve"> such as those which </w:t>
      </w:r>
      <w:r w:rsidR="00B421AB">
        <w:rPr>
          <w:rFonts w:cs="Times New Roman"/>
          <w:sz w:val="24"/>
          <w:szCs w:val="24"/>
        </w:rPr>
        <w:t>prioritise</w:t>
      </w:r>
      <w:r w:rsidR="002C0B6D" w:rsidRPr="003664A3">
        <w:rPr>
          <w:rFonts w:cs="Times New Roman"/>
          <w:sz w:val="24"/>
          <w:szCs w:val="24"/>
        </w:rPr>
        <w:t xml:space="preserve"> </w:t>
      </w:r>
      <w:r w:rsidR="008A6F7F" w:rsidRPr="003664A3">
        <w:rPr>
          <w:rFonts w:cs="Times New Roman"/>
          <w:sz w:val="24"/>
          <w:szCs w:val="24"/>
        </w:rPr>
        <w:t xml:space="preserve">the </w:t>
      </w:r>
      <w:r w:rsidR="001F200E">
        <w:rPr>
          <w:rFonts w:cs="Times New Roman"/>
          <w:sz w:val="24"/>
          <w:szCs w:val="24"/>
        </w:rPr>
        <w:t xml:space="preserve">substantive </w:t>
      </w:r>
      <w:r w:rsidR="002C0B6D" w:rsidRPr="003664A3">
        <w:rPr>
          <w:rFonts w:cs="Times New Roman"/>
          <w:sz w:val="24"/>
          <w:szCs w:val="24"/>
        </w:rPr>
        <w:t>rights</w:t>
      </w:r>
      <w:r w:rsidR="008A6F7F" w:rsidRPr="003664A3">
        <w:rPr>
          <w:rFonts w:cs="Times New Roman"/>
          <w:sz w:val="24"/>
          <w:szCs w:val="24"/>
        </w:rPr>
        <w:t xml:space="preserve"> </w:t>
      </w:r>
      <w:r w:rsidR="005169CF" w:rsidRPr="003664A3">
        <w:rPr>
          <w:rFonts w:cs="Times New Roman"/>
          <w:sz w:val="24"/>
          <w:szCs w:val="24"/>
        </w:rPr>
        <w:t xml:space="preserve">of </w:t>
      </w:r>
      <w:r w:rsidR="008A6F7F" w:rsidRPr="003664A3">
        <w:rPr>
          <w:rFonts w:cs="Times New Roman"/>
          <w:sz w:val="24"/>
          <w:szCs w:val="24"/>
        </w:rPr>
        <w:t>older people</w:t>
      </w:r>
      <w:r w:rsidR="003175F5" w:rsidRPr="003664A3">
        <w:rPr>
          <w:rFonts w:cs="Times New Roman"/>
          <w:sz w:val="24"/>
          <w:szCs w:val="24"/>
        </w:rPr>
        <w:t xml:space="preserve"> </w:t>
      </w:r>
      <w:r w:rsidR="004F2B26" w:rsidRPr="003664A3">
        <w:rPr>
          <w:rFonts w:cs="Times New Roman"/>
          <w:sz w:val="24"/>
          <w:szCs w:val="24"/>
        </w:rPr>
        <w:t>(</w:t>
      </w:r>
      <w:proofErr w:type="spellStart"/>
      <w:r w:rsidR="004F2B26" w:rsidRPr="003664A3">
        <w:rPr>
          <w:rFonts w:cs="Times New Roman"/>
          <w:sz w:val="24"/>
          <w:szCs w:val="24"/>
        </w:rPr>
        <w:t>Kemshall</w:t>
      </w:r>
      <w:proofErr w:type="spellEnd"/>
      <w:r w:rsidR="004F2B26" w:rsidRPr="003664A3">
        <w:rPr>
          <w:rFonts w:cs="Times New Roman"/>
          <w:sz w:val="24"/>
          <w:szCs w:val="24"/>
        </w:rPr>
        <w:t xml:space="preserve">, 2002; Webb, 2006). </w:t>
      </w:r>
      <w:r w:rsidR="006164DB">
        <w:rPr>
          <w:rFonts w:cs="Times New Roman"/>
          <w:sz w:val="24"/>
          <w:szCs w:val="24"/>
        </w:rPr>
        <w:t>B</w:t>
      </w:r>
      <w:r w:rsidR="005169CF" w:rsidRPr="003664A3">
        <w:rPr>
          <w:rFonts w:cs="Times New Roman"/>
          <w:sz w:val="24"/>
          <w:szCs w:val="24"/>
        </w:rPr>
        <w:t>ased on priority given to a narrow focus upon rationing resources</w:t>
      </w:r>
      <w:r w:rsidR="00265AAE">
        <w:rPr>
          <w:rFonts w:cs="Times New Roman"/>
          <w:sz w:val="24"/>
          <w:szCs w:val="24"/>
        </w:rPr>
        <w:t>,</w:t>
      </w:r>
      <w:r w:rsidR="005169CF" w:rsidRPr="003664A3">
        <w:rPr>
          <w:rFonts w:cs="Times New Roman"/>
          <w:sz w:val="24"/>
          <w:szCs w:val="24"/>
        </w:rPr>
        <w:t xml:space="preserve"> risk</w:t>
      </w:r>
      <w:r w:rsidR="00265AAE">
        <w:rPr>
          <w:rFonts w:cs="Times New Roman"/>
          <w:sz w:val="24"/>
          <w:szCs w:val="24"/>
        </w:rPr>
        <w:t xml:space="preserve"> </w:t>
      </w:r>
      <w:r w:rsidR="00802988">
        <w:rPr>
          <w:rFonts w:cs="Times New Roman"/>
          <w:sz w:val="24"/>
          <w:szCs w:val="24"/>
        </w:rPr>
        <w:t>and</w:t>
      </w:r>
      <w:r w:rsidR="00265AAE">
        <w:rPr>
          <w:rFonts w:cs="Times New Roman"/>
          <w:sz w:val="24"/>
          <w:szCs w:val="24"/>
        </w:rPr>
        <w:t xml:space="preserve"> medically</w:t>
      </w:r>
      <w:r w:rsidR="00A37F28">
        <w:rPr>
          <w:rFonts w:cs="Times New Roman"/>
          <w:sz w:val="24"/>
          <w:szCs w:val="24"/>
        </w:rPr>
        <w:t>-</w:t>
      </w:r>
      <w:r w:rsidR="00265AAE">
        <w:rPr>
          <w:rFonts w:cs="Times New Roman"/>
          <w:sz w:val="24"/>
          <w:szCs w:val="24"/>
        </w:rPr>
        <w:t>framed needs,</w:t>
      </w:r>
      <w:r w:rsidR="005169CF" w:rsidRPr="003664A3">
        <w:rPr>
          <w:rFonts w:cs="Times New Roman"/>
          <w:sz w:val="24"/>
          <w:szCs w:val="24"/>
        </w:rPr>
        <w:t xml:space="preserve"> </w:t>
      </w:r>
      <w:r w:rsidR="004F2B26" w:rsidRPr="003664A3">
        <w:rPr>
          <w:rFonts w:cs="Times New Roman"/>
          <w:sz w:val="24"/>
          <w:szCs w:val="24"/>
        </w:rPr>
        <w:t xml:space="preserve">many older people </w:t>
      </w:r>
      <w:r w:rsidR="002C0B6D" w:rsidRPr="003664A3">
        <w:rPr>
          <w:rFonts w:cs="Times New Roman"/>
          <w:sz w:val="24"/>
          <w:szCs w:val="24"/>
        </w:rPr>
        <w:t>can be</w:t>
      </w:r>
      <w:r w:rsidR="004F2B26" w:rsidRPr="003664A3">
        <w:rPr>
          <w:rFonts w:cs="Times New Roman"/>
          <w:sz w:val="24"/>
          <w:szCs w:val="24"/>
        </w:rPr>
        <w:t xml:space="preserve"> placed at </w:t>
      </w:r>
      <w:r w:rsidR="002C0B6D" w:rsidRPr="003664A3">
        <w:rPr>
          <w:rFonts w:cs="Times New Roman"/>
          <w:sz w:val="24"/>
          <w:szCs w:val="24"/>
        </w:rPr>
        <w:t xml:space="preserve">further </w:t>
      </w:r>
      <w:r w:rsidR="005169CF" w:rsidRPr="003664A3">
        <w:rPr>
          <w:rFonts w:cs="Times New Roman"/>
          <w:sz w:val="24"/>
          <w:szCs w:val="24"/>
        </w:rPr>
        <w:t xml:space="preserve">jeopardy </w:t>
      </w:r>
      <w:r w:rsidR="004F2B26" w:rsidRPr="003664A3">
        <w:rPr>
          <w:rFonts w:cs="Times New Roman"/>
          <w:sz w:val="24"/>
          <w:szCs w:val="24"/>
        </w:rPr>
        <w:t xml:space="preserve">due to </w:t>
      </w:r>
      <w:r w:rsidR="002C0B6D" w:rsidRPr="003664A3">
        <w:rPr>
          <w:rFonts w:cs="Times New Roman"/>
          <w:sz w:val="24"/>
          <w:szCs w:val="24"/>
        </w:rPr>
        <w:t>factor</w:t>
      </w:r>
      <w:r w:rsidR="00155B4E" w:rsidRPr="003664A3">
        <w:rPr>
          <w:rFonts w:cs="Times New Roman"/>
          <w:sz w:val="24"/>
          <w:szCs w:val="24"/>
        </w:rPr>
        <w:t>s</w:t>
      </w:r>
      <w:r w:rsidR="002C0B6D" w:rsidRPr="003664A3">
        <w:rPr>
          <w:rFonts w:cs="Times New Roman"/>
          <w:sz w:val="24"/>
          <w:szCs w:val="24"/>
        </w:rPr>
        <w:t xml:space="preserve"> such an </w:t>
      </w:r>
      <w:r w:rsidR="004F2B26" w:rsidRPr="003664A3">
        <w:rPr>
          <w:rFonts w:cs="Times New Roman"/>
          <w:sz w:val="24"/>
          <w:szCs w:val="24"/>
        </w:rPr>
        <w:t>expansion of low paid</w:t>
      </w:r>
      <w:r w:rsidR="002C0B6D" w:rsidRPr="003664A3">
        <w:rPr>
          <w:rFonts w:cs="Times New Roman"/>
          <w:sz w:val="24"/>
          <w:szCs w:val="24"/>
        </w:rPr>
        <w:t xml:space="preserve"> and</w:t>
      </w:r>
      <w:r w:rsidR="004F2B26" w:rsidRPr="003664A3">
        <w:rPr>
          <w:rFonts w:cs="Times New Roman"/>
          <w:sz w:val="24"/>
          <w:szCs w:val="24"/>
        </w:rPr>
        <w:t xml:space="preserve"> transient </w:t>
      </w:r>
      <w:r w:rsidR="00765782">
        <w:rPr>
          <w:rFonts w:cs="Times New Roman"/>
          <w:sz w:val="24"/>
          <w:szCs w:val="24"/>
        </w:rPr>
        <w:t xml:space="preserve">support </w:t>
      </w:r>
      <w:r w:rsidR="004F2B26" w:rsidRPr="003664A3">
        <w:rPr>
          <w:rFonts w:cs="Times New Roman"/>
          <w:sz w:val="24"/>
          <w:szCs w:val="24"/>
        </w:rPr>
        <w:t xml:space="preserve">staff </w:t>
      </w:r>
      <w:r w:rsidR="002C0B6D" w:rsidRPr="003664A3">
        <w:rPr>
          <w:rFonts w:cs="Times New Roman"/>
          <w:sz w:val="24"/>
          <w:szCs w:val="24"/>
        </w:rPr>
        <w:t>who</w:t>
      </w:r>
      <w:r w:rsidR="004F2B26" w:rsidRPr="003664A3">
        <w:rPr>
          <w:rFonts w:cs="Times New Roman"/>
          <w:sz w:val="24"/>
          <w:szCs w:val="24"/>
        </w:rPr>
        <w:t xml:space="preserve"> </w:t>
      </w:r>
      <w:r w:rsidR="002C0B6D" w:rsidRPr="003664A3">
        <w:rPr>
          <w:rFonts w:cs="Times New Roman"/>
          <w:sz w:val="24"/>
          <w:szCs w:val="24"/>
        </w:rPr>
        <w:t>not uncommonly</w:t>
      </w:r>
      <w:r w:rsidR="004F2B26" w:rsidRPr="003664A3">
        <w:rPr>
          <w:rFonts w:cs="Times New Roman"/>
          <w:sz w:val="24"/>
          <w:szCs w:val="24"/>
        </w:rPr>
        <w:t xml:space="preserve"> </w:t>
      </w:r>
      <w:r w:rsidR="002C0B6D" w:rsidRPr="003664A3">
        <w:rPr>
          <w:rFonts w:cs="Times New Roman"/>
          <w:sz w:val="24"/>
          <w:szCs w:val="24"/>
        </w:rPr>
        <w:t xml:space="preserve">receive limited training from their employers and </w:t>
      </w:r>
      <w:r w:rsidR="004F2B26" w:rsidRPr="003664A3">
        <w:rPr>
          <w:rFonts w:cs="Times New Roman"/>
          <w:sz w:val="24"/>
          <w:szCs w:val="24"/>
        </w:rPr>
        <w:t xml:space="preserve">spend </w:t>
      </w:r>
      <w:r w:rsidR="003175F5" w:rsidRPr="003664A3">
        <w:rPr>
          <w:rFonts w:cs="Times New Roman"/>
          <w:sz w:val="24"/>
          <w:szCs w:val="24"/>
        </w:rPr>
        <w:t xml:space="preserve">only </w:t>
      </w:r>
      <w:r w:rsidR="002C0B6D" w:rsidRPr="003664A3">
        <w:rPr>
          <w:rFonts w:cs="Times New Roman"/>
          <w:sz w:val="24"/>
          <w:szCs w:val="24"/>
        </w:rPr>
        <w:t xml:space="preserve">very </w:t>
      </w:r>
      <w:r w:rsidR="003175F5" w:rsidRPr="003664A3">
        <w:rPr>
          <w:rFonts w:cs="Times New Roman"/>
          <w:sz w:val="24"/>
          <w:szCs w:val="24"/>
        </w:rPr>
        <w:t>brief</w:t>
      </w:r>
      <w:r w:rsidR="004F2B26" w:rsidRPr="003664A3">
        <w:rPr>
          <w:rFonts w:cs="Times New Roman"/>
          <w:sz w:val="24"/>
          <w:szCs w:val="24"/>
        </w:rPr>
        <w:t xml:space="preserve"> periods of time with </w:t>
      </w:r>
      <w:r w:rsidR="004F2B26" w:rsidRPr="003664A3">
        <w:rPr>
          <w:rFonts w:cs="Times New Roman"/>
          <w:sz w:val="24"/>
          <w:szCs w:val="24"/>
        </w:rPr>
        <w:lastRenderedPageBreak/>
        <w:t>users in their home (</w:t>
      </w:r>
      <w:r w:rsidR="00601A49">
        <w:rPr>
          <w:rFonts w:cs="Times New Roman"/>
          <w:sz w:val="24"/>
          <w:szCs w:val="24"/>
        </w:rPr>
        <w:t xml:space="preserve">Dustin, 2007; </w:t>
      </w:r>
      <w:r w:rsidR="00765782">
        <w:rPr>
          <w:rFonts w:cs="Times New Roman"/>
          <w:sz w:val="24"/>
          <w:szCs w:val="24"/>
        </w:rPr>
        <w:t>Kings Fund, 2021</w:t>
      </w:r>
      <w:r w:rsidR="00436F7F">
        <w:rPr>
          <w:rFonts w:cs="Times New Roman"/>
          <w:sz w:val="24"/>
          <w:szCs w:val="24"/>
        </w:rPr>
        <w:t>a</w:t>
      </w:r>
      <w:r w:rsidR="004F2B26" w:rsidRPr="003664A3">
        <w:rPr>
          <w:rFonts w:cs="Times New Roman"/>
          <w:sz w:val="24"/>
          <w:szCs w:val="24"/>
        </w:rPr>
        <w:t xml:space="preserve">). </w:t>
      </w:r>
      <w:r w:rsidR="00B84138">
        <w:rPr>
          <w:rFonts w:cs="Times New Roman"/>
          <w:sz w:val="24"/>
          <w:szCs w:val="24"/>
        </w:rPr>
        <w:t xml:space="preserve">Recently the King’s Fund </w:t>
      </w:r>
      <w:r w:rsidR="00765782">
        <w:rPr>
          <w:rFonts w:cs="Times New Roman"/>
          <w:sz w:val="24"/>
          <w:szCs w:val="24"/>
        </w:rPr>
        <w:t xml:space="preserve">has </w:t>
      </w:r>
      <w:r w:rsidR="00B84138">
        <w:rPr>
          <w:rFonts w:cs="Times New Roman"/>
          <w:sz w:val="24"/>
          <w:szCs w:val="24"/>
        </w:rPr>
        <w:t xml:space="preserve">again expressed concerns about the </w:t>
      </w:r>
      <w:r w:rsidR="005F1797">
        <w:rPr>
          <w:rFonts w:cs="Times New Roman"/>
          <w:sz w:val="24"/>
          <w:szCs w:val="24"/>
        </w:rPr>
        <w:t xml:space="preserve">overall </w:t>
      </w:r>
      <w:r w:rsidR="00B84138">
        <w:rPr>
          <w:rFonts w:cs="Times New Roman"/>
          <w:sz w:val="24"/>
          <w:szCs w:val="24"/>
        </w:rPr>
        <w:t xml:space="preserve">lack of </w:t>
      </w:r>
      <w:r w:rsidR="005F1797">
        <w:rPr>
          <w:rFonts w:cs="Times New Roman"/>
          <w:sz w:val="24"/>
          <w:szCs w:val="24"/>
        </w:rPr>
        <w:t xml:space="preserve">adequate </w:t>
      </w:r>
      <w:r w:rsidR="00765782">
        <w:rPr>
          <w:rFonts w:cs="Times New Roman"/>
          <w:sz w:val="24"/>
          <w:szCs w:val="24"/>
        </w:rPr>
        <w:t xml:space="preserve">social </w:t>
      </w:r>
      <w:r w:rsidR="00B84138">
        <w:rPr>
          <w:rFonts w:cs="Times New Roman"/>
          <w:sz w:val="24"/>
          <w:szCs w:val="24"/>
        </w:rPr>
        <w:t>care</w:t>
      </w:r>
      <w:r w:rsidR="00765782">
        <w:rPr>
          <w:rFonts w:cs="Times New Roman"/>
          <w:sz w:val="24"/>
          <w:szCs w:val="24"/>
        </w:rPr>
        <w:t xml:space="preserve"> provision</w:t>
      </w:r>
      <w:r w:rsidR="00B84138">
        <w:rPr>
          <w:rFonts w:cs="Times New Roman"/>
          <w:sz w:val="24"/>
          <w:szCs w:val="24"/>
        </w:rPr>
        <w:t xml:space="preserve">, the quality of any </w:t>
      </w:r>
      <w:r w:rsidR="00765782">
        <w:rPr>
          <w:rFonts w:cs="Times New Roman"/>
          <w:sz w:val="24"/>
          <w:szCs w:val="24"/>
        </w:rPr>
        <w:t>formal care</w:t>
      </w:r>
      <w:r w:rsidR="00B84138">
        <w:rPr>
          <w:rFonts w:cs="Times New Roman"/>
          <w:sz w:val="24"/>
          <w:szCs w:val="24"/>
        </w:rPr>
        <w:t xml:space="preserve"> and the consequences this may carry: </w:t>
      </w:r>
    </w:p>
    <w:p w14:paraId="67AEC30D" w14:textId="77777777" w:rsidR="00B84138" w:rsidRDefault="00B84138" w:rsidP="0070073A">
      <w:pPr>
        <w:spacing w:line="480" w:lineRule="auto"/>
        <w:ind w:left="720"/>
        <w:rPr>
          <w:rFonts w:cs="Tahoma"/>
          <w:color w:val="141414"/>
          <w:sz w:val="24"/>
          <w:szCs w:val="24"/>
          <w:shd w:val="clear" w:color="auto" w:fill="FFFFFF"/>
        </w:rPr>
      </w:pPr>
      <w:r w:rsidRPr="0013740C">
        <w:rPr>
          <w:rFonts w:cs="Tahoma"/>
          <w:color w:val="141414"/>
          <w:sz w:val="24"/>
          <w:szCs w:val="24"/>
          <w:shd w:val="clear" w:color="auto" w:fill="FFFFFF"/>
        </w:rPr>
        <w:t>The social care system is not fit for purpose and is failing the people who rely on it, with </w:t>
      </w:r>
      <w:hyperlink r:id="rId8" w:history="1">
        <w:r w:rsidRPr="0013740C">
          <w:rPr>
            <w:rStyle w:val="Hyperlink"/>
            <w:rFonts w:cs="Tahoma"/>
            <w:color w:val="auto"/>
            <w:sz w:val="24"/>
            <w:szCs w:val="24"/>
            <w:u w:val="none"/>
            <w:shd w:val="clear" w:color="auto" w:fill="FFFFFF"/>
          </w:rPr>
          <w:t>high levels of unmet need and providers struggling to deliver the quality of care</w:t>
        </w:r>
      </w:hyperlink>
      <w:r w:rsidRPr="0013740C">
        <w:rPr>
          <w:rFonts w:cs="Tahoma"/>
          <w:color w:val="141414"/>
          <w:sz w:val="24"/>
          <w:szCs w:val="24"/>
          <w:shd w:val="clear" w:color="auto" w:fill="FFFFFF"/>
        </w:rPr>
        <w:t> that older and disabled people have a right to expect. These combine to place great pressures on families and carers.</w:t>
      </w:r>
      <w:r>
        <w:rPr>
          <w:rFonts w:cs="Tahoma"/>
          <w:color w:val="141414"/>
          <w:sz w:val="24"/>
          <w:szCs w:val="24"/>
          <w:shd w:val="clear" w:color="auto" w:fill="FFFFFF"/>
        </w:rPr>
        <w:t xml:space="preserve"> (Kings Fund, 2021</w:t>
      </w:r>
      <w:r w:rsidR="003D31CB">
        <w:rPr>
          <w:rFonts w:cs="Tahoma"/>
          <w:color w:val="141414"/>
          <w:sz w:val="24"/>
          <w:szCs w:val="24"/>
          <w:shd w:val="clear" w:color="auto" w:fill="FFFFFF"/>
        </w:rPr>
        <w:t>a</w:t>
      </w:r>
      <w:r>
        <w:rPr>
          <w:rFonts w:cs="Tahoma"/>
          <w:color w:val="141414"/>
          <w:sz w:val="24"/>
          <w:szCs w:val="24"/>
          <w:shd w:val="clear" w:color="auto" w:fill="FFFFFF"/>
        </w:rPr>
        <w:t>: 1)</w:t>
      </w:r>
    </w:p>
    <w:p w14:paraId="367DC08F" w14:textId="15866659" w:rsidR="00467248" w:rsidRDefault="00F41B38" w:rsidP="0070073A">
      <w:pPr>
        <w:spacing w:line="480" w:lineRule="auto"/>
        <w:rPr>
          <w:rFonts w:cs="Calibri"/>
          <w:sz w:val="24"/>
          <w:szCs w:val="24"/>
          <w:lang w:val="en"/>
        </w:rPr>
      </w:pPr>
      <w:r w:rsidRPr="003664A3">
        <w:rPr>
          <w:rFonts w:cs="Calibri"/>
          <w:sz w:val="24"/>
          <w:szCs w:val="24"/>
          <w:lang w:val="en"/>
        </w:rPr>
        <w:t>Limited</w:t>
      </w:r>
      <w:r w:rsidR="001836C8" w:rsidRPr="003664A3">
        <w:rPr>
          <w:rFonts w:cs="Calibri"/>
          <w:sz w:val="24"/>
          <w:szCs w:val="24"/>
          <w:lang w:val="en"/>
        </w:rPr>
        <w:t xml:space="preserve"> resources</w:t>
      </w:r>
      <w:r w:rsidRPr="003664A3">
        <w:rPr>
          <w:rFonts w:cs="Calibri"/>
          <w:sz w:val="24"/>
          <w:szCs w:val="24"/>
          <w:lang w:val="en"/>
        </w:rPr>
        <w:t xml:space="preserve"> ha</w:t>
      </w:r>
      <w:r w:rsidR="00765782">
        <w:rPr>
          <w:rFonts w:cs="Calibri"/>
          <w:sz w:val="24"/>
          <w:szCs w:val="24"/>
          <w:lang w:val="en"/>
        </w:rPr>
        <w:t>ve</w:t>
      </w:r>
      <w:r w:rsidRPr="003664A3">
        <w:rPr>
          <w:rFonts w:cs="Calibri"/>
          <w:sz w:val="24"/>
          <w:szCs w:val="24"/>
          <w:lang w:val="en"/>
        </w:rPr>
        <w:t xml:space="preserve"> </w:t>
      </w:r>
      <w:r w:rsidR="004F0EC3">
        <w:rPr>
          <w:rFonts w:cs="Calibri"/>
          <w:sz w:val="24"/>
          <w:szCs w:val="24"/>
          <w:lang w:val="en"/>
        </w:rPr>
        <w:t>subsequently</w:t>
      </w:r>
      <w:r w:rsidR="00265AAE">
        <w:rPr>
          <w:rFonts w:cs="Calibri"/>
          <w:sz w:val="24"/>
          <w:szCs w:val="24"/>
          <w:lang w:val="en"/>
        </w:rPr>
        <w:t xml:space="preserve"> </w:t>
      </w:r>
      <w:r w:rsidR="004F0EC3">
        <w:rPr>
          <w:rFonts w:cs="Calibri"/>
          <w:sz w:val="24"/>
          <w:szCs w:val="24"/>
          <w:lang w:val="en"/>
        </w:rPr>
        <w:t>led to</w:t>
      </w:r>
      <w:r w:rsidR="001836C8" w:rsidRPr="003664A3">
        <w:rPr>
          <w:rFonts w:cs="Calibri"/>
          <w:sz w:val="24"/>
          <w:szCs w:val="24"/>
          <w:lang w:val="en"/>
        </w:rPr>
        <w:t xml:space="preserve"> p</w:t>
      </w:r>
      <w:r w:rsidR="004A57DB" w:rsidRPr="003664A3">
        <w:rPr>
          <w:rFonts w:cs="Calibri"/>
          <w:sz w:val="24"/>
          <w:szCs w:val="24"/>
          <w:lang w:val="en"/>
        </w:rPr>
        <w:t>r</w:t>
      </w:r>
      <w:r w:rsidR="001836C8" w:rsidRPr="003664A3">
        <w:rPr>
          <w:rFonts w:cs="Calibri"/>
          <w:sz w:val="24"/>
          <w:szCs w:val="24"/>
          <w:lang w:val="en"/>
        </w:rPr>
        <w:t xml:space="preserve">iority </w:t>
      </w:r>
      <w:r w:rsidR="004F0EC3">
        <w:rPr>
          <w:rFonts w:cs="Calibri"/>
          <w:sz w:val="24"/>
          <w:szCs w:val="24"/>
          <w:lang w:val="en"/>
        </w:rPr>
        <w:t xml:space="preserve">often being placed on </w:t>
      </w:r>
      <w:r w:rsidR="00A32FC3">
        <w:rPr>
          <w:rFonts w:cs="Calibri"/>
          <w:sz w:val="24"/>
          <w:szCs w:val="24"/>
          <w:lang w:val="en"/>
        </w:rPr>
        <w:t xml:space="preserve">the </w:t>
      </w:r>
      <w:r w:rsidRPr="003664A3">
        <w:rPr>
          <w:rFonts w:cs="Calibri"/>
          <w:sz w:val="24"/>
          <w:szCs w:val="24"/>
          <w:lang w:val="en"/>
        </w:rPr>
        <w:t xml:space="preserve">provision of </w:t>
      </w:r>
      <w:r w:rsidR="00162009" w:rsidRPr="003664A3">
        <w:rPr>
          <w:rFonts w:cs="Calibri"/>
          <w:sz w:val="24"/>
          <w:szCs w:val="24"/>
          <w:lang w:val="en"/>
        </w:rPr>
        <w:t>a</w:t>
      </w:r>
      <w:r w:rsidR="001836C8" w:rsidRPr="003664A3">
        <w:rPr>
          <w:rFonts w:cs="Calibri"/>
          <w:sz w:val="24"/>
          <w:szCs w:val="24"/>
          <w:lang w:val="en"/>
        </w:rPr>
        <w:t xml:space="preserve"> minimum degree of physical care</w:t>
      </w:r>
      <w:r w:rsidR="00765782">
        <w:rPr>
          <w:rFonts w:cs="Calibri"/>
          <w:sz w:val="24"/>
          <w:szCs w:val="24"/>
          <w:lang w:val="en"/>
        </w:rPr>
        <w:t xml:space="preserve"> within </w:t>
      </w:r>
      <w:r w:rsidR="005F1797">
        <w:rPr>
          <w:rFonts w:cs="Calibri"/>
          <w:sz w:val="24"/>
          <w:szCs w:val="24"/>
          <w:lang w:val="en"/>
        </w:rPr>
        <w:t xml:space="preserve">fragmented </w:t>
      </w:r>
      <w:r w:rsidR="00765782">
        <w:rPr>
          <w:rFonts w:cs="Calibri"/>
          <w:sz w:val="24"/>
          <w:szCs w:val="24"/>
          <w:lang w:val="en"/>
        </w:rPr>
        <w:t>social care</w:t>
      </w:r>
      <w:r w:rsidR="005F1797">
        <w:rPr>
          <w:rFonts w:cs="Calibri"/>
          <w:sz w:val="24"/>
          <w:szCs w:val="24"/>
          <w:lang w:val="en"/>
        </w:rPr>
        <w:t xml:space="preserve"> sectors</w:t>
      </w:r>
      <w:r w:rsidR="001836C8" w:rsidRPr="003664A3">
        <w:rPr>
          <w:rFonts w:cs="Calibri"/>
          <w:sz w:val="24"/>
          <w:szCs w:val="24"/>
          <w:lang w:val="en"/>
        </w:rPr>
        <w:t xml:space="preserve">, </w:t>
      </w:r>
      <w:r w:rsidR="00765782">
        <w:rPr>
          <w:rFonts w:cs="Calibri"/>
          <w:sz w:val="24"/>
          <w:szCs w:val="24"/>
          <w:lang w:val="en"/>
        </w:rPr>
        <w:t xml:space="preserve">which often sits </w:t>
      </w:r>
      <w:r w:rsidR="001836C8" w:rsidRPr="003664A3">
        <w:rPr>
          <w:rFonts w:cs="Calibri"/>
          <w:sz w:val="24"/>
          <w:szCs w:val="24"/>
          <w:lang w:val="en"/>
        </w:rPr>
        <w:t xml:space="preserve">alongside </w:t>
      </w:r>
      <w:r w:rsidR="00765782">
        <w:rPr>
          <w:rFonts w:cs="Calibri"/>
          <w:sz w:val="24"/>
          <w:szCs w:val="24"/>
          <w:lang w:val="en"/>
        </w:rPr>
        <w:t xml:space="preserve">erratic levels of </w:t>
      </w:r>
      <w:r w:rsidRPr="003664A3">
        <w:rPr>
          <w:rFonts w:cs="Calibri"/>
          <w:sz w:val="24"/>
          <w:szCs w:val="24"/>
          <w:lang w:val="en"/>
        </w:rPr>
        <w:t>support</w:t>
      </w:r>
      <w:r w:rsidR="001836C8" w:rsidRPr="003664A3">
        <w:rPr>
          <w:rFonts w:cs="Calibri"/>
          <w:sz w:val="24"/>
          <w:szCs w:val="24"/>
          <w:lang w:val="en"/>
        </w:rPr>
        <w:t xml:space="preserve"> as part of </w:t>
      </w:r>
      <w:r w:rsidR="0096537F" w:rsidRPr="003664A3">
        <w:rPr>
          <w:rFonts w:cs="Calibri"/>
          <w:sz w:val="24"/>
          <w:szCs w:val="24"/>
          <w:lang w:val="en"/>
        </w:rPr>
        <w:t>‘</w:t>
      </w:r>
      <w:r w:rsidR="001836C8" w:rsidRPr="003664A3">
        <w:rPr>
          <w:rFonts w:cs="Calibri"/>
          <w:sz w:val="24"/>
          <w:szCs w:val="24"/>
          <w:lang w:val="en"/>
        </w:rPr>
        <w:t>safeguarding</w:t>
      </w:r>
      <w:r w:rsidR="0096537F" w:rsidRPr="003664A3">
        <w:rPr>
          <w:rFonts w:cs="Calibri"/>
          <w:sz w:val="24"/>
          <w:szCs w:val="24"/>
          <w:lang w:val="en"/>
        </w:rPr>
        <w:t>’</w:t>
      </w:r>
      <w:r w:rsidR="001836C8" w:rsidRPr="003664A3">
        <w:rPr>
          <w:rFonts w:cs="Calibri"/>
          <w:sz w:val="24"/>
          <w:szCs w:val="24"/>
          <w:lang w:val="en"/>
        </w:rPr>
        <w:t xml:space="preserve"> </w:t>
      </w:r>
      <w:r w:rsidR="004A57DB" w:rsidRPr="003664A3">
        <w:rPr>
          <w:rFonts w:cs="Calibri"/>
          <w:sz w:val="24"/>
          <w:szCs w:val="24"/>
          <w:lang w:val="en"/>
        </w:rPr>
        <w:t xml:space="preserve">among </w:t>
      </w:r>
      <w:r w:rsidRPr="003664A3">
        <w:rPr>
          <w:rFonts w:cs="Calibri"/>
          <w:sz w:val="24"/>
          <w:szCs w:val="24"/>
          <w:lang w:val="en"/>
        </w:rPr>
        <w:t>the oldest old</w:t>
      </w:r>
      <w:r w:rsidR="000736B4">
        <w:rPr>
          <w:rFonts w:cs="Calibri"/>
          <w:sz w:val="24"/>
          <w:szCs w:val="24"/>
          <w:lang w:val="en"/>
        </w:rPr>
        <w:t xml:space="preserve"> </w:t>
      </w:r>
      <w:r w:rsidR="001836C8" w:rsidRPr="003664A3">
        <w:rPr>
          <w:rFonts w:cs="Calibri"/>
          <w:sz w:val="24"/>
          <w:szCs w:val="24"/>
          <w:lang w:val="en"/>
        </w:rPr>
        <w:t>with higher</w:t>
      </w:r>
      <w:r w:rsidR="0096537F" w:rsidRPr="003664A3">
        <w:rPr>
          <w:rFonts w:cs="Calibri"/>
          <w:sz w:val="24"/>
          <w:szCs w:val="24"/>
          <w:lang w:val="en"/>
        </w:rPr>
        <w:t>-</w:t>
      </w:r>
      <w:r w:rsidR="001836C8" w:rsidRPr="003664A3">
        <w:rPr>
          <w:rFonts w:cs="Calibri"/>
          <w:sz w:val="24"/>
          <w:szCs w:val="24"/>
          <w:lang w:val="en"/>
        </w:rPr>
        <w:t>level needs</w:t>
      </w:r>
      <w:r w:rsidR="004A57DB" w:rsidRPr="003664A3">
        <w:rPr>
          <w:rFonts w:cs="Calibri"/>
          <w:sz w:val="24"/>
          <w:szCs w:val="24"/>
          <w:lang w:val="en"/>
        </w:rPr>
        <w:t xml:space="preserve"> (</w:t>
      </w:r>
      <w:r w:rsidR="004F5E6A" w:rsidRPr="003664A3">
        <w:rPr>
          <w:rFonts w:cs="Times New Roman"/>
          <w:sz w:val="24"/>
          <w:szCs w:val="24"/>
        </w:rPr>
        <w:t>Hall and Scragg, 2012</w:t>
      </w:r>
      <w:r w:rsidR="004F0EC3">
        <w:rPr>
          <w:rFonts w:cs="Times New Roman"/>
          <w:sz w:val="24"/>
          <w:szCs w:val="24"/>
        </w:rPr>
        <w:t>; Moore, 2020</w:t>
      </w:r>
      <w:r w:rsidR="005169CF" w:rsidRPr="003664A3">
        <w:rPr>
          <w:rFonts w:cs="Times New Roman"/>
          <w:sz w:val="24"/>
          <w:szCs w:val="24"/>
        </w:rPr>
        <w:t>)</w:t>
      </w:r>
      <w:r w:rsidR="004A57DB" w:rsidRPr="003664A3">
        <w:rPr>
          <w:rFonts w:cs="Calibri"/>
          <w:sz w:val="24"/>
          <w:szCs w:val="24"/>
          <w:lang w:val="en"/>
        </w:rPr>
        <w:t xml:space="preserve">. </w:t>
      </w:r>
      <w:r w:rsidR="00462F74">
        <w:rPr>
          <w:rFonts w:cs="Calibri"/>
          <w:sz w:val="24"/>
          <w:szCs w:val="24"/>
          <w:lang w:val="en"/>
        </w:rPr>
        <w:t>Some e</w:t>
      </w:r>
      <w:r w:rsidR="00A83EF5">
        <w:rPr>
          <w:rFonts w:cs="Calibri"/>
          <w:sz w:val="24"/>
          <w:szCs w:val="24"/>
          <w:lang w:val="en"/>
        </w:rPr>
        <w:t xml:space="preserve">vidence </w:t>
      </w:r>
      <w:r w:rsidR="00462F74">
        <w:rPr>
          <w:rFonts w:cs="Calibri"/>
          <w:sz w:val="24"/>
          <w:szCs w:val="24"/>
          <w:lang w:val="en"/>
        </w:rPr>
        <w:t xml:space="preserve">also </w:t>
      </w:r>
      <w:r w:rsidR="00A83EF5">
        <w:rPr>
          <w:rFonts w:cs="Calibri"/>
          <w:sz w:val="24"/>
          <w:szCs w:val="24"/>
          <w:lang w:val="en"/>
        </w:rPr>
        <w:t xml:space="preserve">suggests that the abuse of older people living in </w:t>
      </w:r>
      <w:r w:rsidR="008F72B6">
        <w:rPr>
          <w:rFonts w:cs="Calibri"/>
          <w:sz w:val="24"/>
          <w:szCs w:val="24"/>
          <w:lang w:val="en"/>
        </w:rPr>
        <w:t xml:space="preserve">UK </w:t>
      </w:r>
      <w:r w:rsidR="00A83EF5">
        <w:rPr>
          <w:rFonts w:cs="Calibri"/>
          <w:sz w:val="24"/>
          <w:szCs w:val="24"/>
          <w:lang w:val="en"/>
        </w:rPr>
        <w:t xml:space="preserve">care homes ‘remains both widespread and entrenched’, yet only a ‘fraction’ of any such abuse is reported to appropriate authorities (Moore, 2020: 35). </w:t>
      </w:r>
    </w:p>
    <w:p w14:paraId="11510AF0" w14:textId="2B84167C" w:rsidR="00EB415C" w:rsidRPr="00EF13A5" w:rsidRDefault="004F0EC3" w:rsidP="0070073A">
      <w:pPr>
        <w:spacing w:line="480" w:lineRule="auto"/>
        <w:rPr>
          <w:rFonts w:cs="Times New Roman"/>
          <w:sz w:val="24"/>
          <w:szCs w:val="24"/>
        </w:rPr>
      </w:pPr>
      <w:r>
        <w:rPr>
          <w:rFonts w:cs="Times New Roman"/>
          <w:sz w:val="24"/>
          <w:szCs w:val="24"/>
        </w:rPr>
        <w:t xml:space="preserve">Through a strong focus placed upon quantifying </w:t>
      </w:r>
      <w:r w:rsidR="00A83EF5">
        <w:rPr>
          <w:rFonts w:cs="Times New Roman"/>
          <w:sz w:val="24"/>
          <w:szCs w:val="24"/>
        </w:rPr>
        <w:t xml:space="preserve">rather than alleviating need or </w:t>
      </w:r>
      <w:r>
        <w:rPr>
          <w:rFonts w:cs="Times New Roman"/>
          <w:sz w:val="24"/>
          <w:szCs w:val="24"/>
        </w:rPr>
        <w:t>risk</w:t>
      </w:r>
      <w:r w:rsidR="00A83EF5">
        <w:rPr>
          <w:rFonts w:cs="Times New Roman"/>
          <w:sz w:val="24"/>
          <w:szCs w:val="24"/>
        </w:rPr>
        <w:t>s</w:t>
      </w:r>
      <w:r>
        <w:rPr>
          <w:rFonts w:cs="Times New Roman"/>
          <w:sz w:val="24"/>
          <w:szCs w:val="24"/>
        </w:rPr>
        <w:t>, welfare c</w:t>
      </w:r>
      <w:r w:rsidR="0017751F">
        <w:rPr>
          <w:rFonts w:cs="Times New Roman"/>
          <w:sz w:val="24"/>
          <w:szCs w:val="24"/>
        </w:rPr>
        <w:t xml:space="preserve">onditionality </w:t>
      </w:r>
      <w:r w:rsidR="00A37F28">
        <w:rPr>
          <w:rFonts w:cs="Times New Roman"/>
          <w:sz w:val="24"/>
          <w:szCs w:val="24"/>
        </w:rPr>
        <w:t>may not un</w:t>
      </w:r>
      <w:r>
        <w:rPr>
          <w:rFonts w:cs="Times New Roman"/>
          <w:sz w:val="24"/>
          <w:szCs w:val="24"/>
        </w:rPr>
        <w:t xml:space="preserve">typically </w:t>
      </w:r>
      <w:r w:rsidR="005113EC">
        <w:rPr>
          <w:rFonts w:cs="Times New Roman"/>
          <w:sz w:val="24"/>
          <w:szCs w:val="24"/>
        </w:rPr>
        <w:t>restrict and control the</w:t>
      </w:r>
      <w:r>
        <w:rPr>
          <w:rFonts w:cs="Times New Roman"/>
          <w:sz w:val="24"/>
          <w:szCs w:val="24"/>
        </w:rPr>
        <w:t xml:space="preserve"> possible</w:t>
      </w:r>
      <w:r w:rsidR="005113EC">
        <w:rPr>
          <w:rFonts w:cs="Times New Roman"/>
          <w:sz w:val="24"/>
          <w:szCs w:val="24"/>
        </w:rPr>
        <w:t xml:space="preserve"> </w:t>
      </w:r>
      <w:r w:rsidR="003B7D8A">
        <w:rPr>
          <w:rFonts w:cs="Times New Roman"/>
          <w:sz w:val="24"/>
          <w:szCs w:val="24"/>
        </w:rPr>
        <w:t>interventions available</w:t>
      </w:r>
      <w:r w:rsidR="0017751F">
        <w:rPr>
          <w:rFonts w:cs="Times New Roman"/>
          <w:sz w:val="24"/>
          <w:szCs w:val="24"/>
        </w:rPr>
        <w:t xml:space="preserve">, </w:t>
      </w:r>
      <w:r>
        <w:rPr>
          <w:rFonts w:cs="Times New Roman"/>
          <w:sz w:val="24"/>
          <w:szCs w:val="24"/>
        </w:rPr>
        <w:t>and subsequently alter discursively</w:t>
      </w:r>
      <w:r w:rsidR="00A83EF5">
        <w:rPr>
          <w:rFonts w:cs="Times New Roman"/>
          <w:sz w:val="24"/>
          <w:szCs w:val="24"/>
        </w:rPr>
        <w:t>-</w:t>
      </w:r>
      <w:r>
        <w:rPr>
          <w:rFonts w:cs="Times New Roman"/>
          <w:sz w:val="24"/>
          <w:szCs w:val="24"/>
        </w:rPr>
        <w:t>informed attitudes towards service users</w:t>
      </w:r>
      <w:r w:rsidR="0017751F">
        <w:rPr>
          <w:rFonts w:cs="Times New Roman"/>
          <w:sz w:val="24"/>
          <w:szCs w:val="24"/>
        </w:rPr>
        <w:t xml:space="preserve">. </w:t>
      </w:r>
      <w:proofErr w:type="spellStart"/>
      <w:r w:rsidR="00C53E4F" w:rsidRPr="003664A3">
        <w:rPr>
          <w:rFonts w:cs="Times New Roman"/>
          <w:sz w:val="24"/>
          <w:szCs w:val="24"/>
        </w:rPr>
        <w:t>Tom</w:t>
      </w:r>
      <w:r w:rsidR="00406FA5" w:rsidRPr="003664A3">
        <w:rPr>
          <w:rFonts w:cs="Times New Roman"/>
          <w:sz w:val="24"/>
          <w:szCs w:val="24"/>
        </w:rPr>
        <w:t>kow</w:t>
      </w:r>
      <w:proofErr w:type="spellEnd"/>
      <w:r w:rsidR="00406FA5" w:rsidRPr="003664A3">
        <w:rPr>
          <w:rFonts w:cs="Times New Roman"/>
          <w:sz w:val="24"/>
          <w:szCs w:val="24"/>
        </w:rPr>
        <w:t xml:space="preserve"> (2018</w:t>
      </w:r>
      <w:r w:rsidR="007E74AC" w:rsidRPr="003664A3">
        <w:rPr>
          <w:rFonts w:cs="Times New Roman"/>
          <w:sz w:val="24"/>
          <w:szCs w:val="24"/>
        </w:rPr>
        <w:t>; 2019</w:t>
      </w:r>
      <w:r w:rsidR="00406FA5" w:rsidRPr="003664A3">
        <w:rPr>
          <w:rFonts w:cs="Times New Roman"/>
          <w:sz w:val="24"/>
          <w:szCs w:val="24"/>
        </w:rPr>
        <w:t>)</w:t>
      </w:r>
      <w:r>
        <w:rPr>
          <w:rFonts w:cs="Times New Roman"/>
          <w:sz w:val="24"/>
          <w:szCs w:val="24"/>
        </w:rPr>
        <w:t>, for example,</w:t>
      </w:r>
      <w:r w:rsidR="00406FA5" w:rsidRPr="003664A3">
        <w:rPr>
          <w:rFonts w:cs="Times New Roman"/>
          <w:sz w:val="24"/>
          <w:szCs w:val="24"/>
        </w:rPr>
        <w:t xml:space="preserve"> </w:t>
      </w:r>
      <w:r>
        <w:rPr>
          <w:rFonts w:cs="Times New Roman"/>
          <w:sz w:val="24"/>
          <w:szCs w:val="24"/>
        </w:rPr>
        <w:t xml:space="preserve">has </w:t>
      </w:r>
      <w:r w:rsidR="00406FA5" w:rsidRPr="003664A3">
        <w:rPr>
          <w:rFonts w:cs="Times New Roman"/>
          <w:sz w:val="24"/>
          <w:szCs w:val="24"/>
        </w:rPr>
        <w:t>highlight</w:t>
      </w:r>
      <w:r>
        <w:rPr>
          <w:rFonts w:cs="Times New Roman"/>
          <w:sz w:val="24"/>
          <w:szCs w:val="24"/>
        </w:rPr>
        <w:t>ed</w:t>
      </w:r>
      <w:r w:rsidR="00406FA5" w:rsidRPr="003664A3">
        <w:rPr>
          <w:rFonts w:cs="Times New Roman"/>
          <w:sz w:val="24"/>
          <w:szCs w:val="24"/>
        </w:rPr>
        <w:t xml:space="preserve"> the role of a risk discourse in </w:t>
      </w:r>
      <w:r w:rsidR="00547A4F" w:rsidRPr="003664A3">
        <w:rPr>
          <w:rFonts w:cs="Times New Roman"/>
          <w:sz w:val="24"/>
          <w:szCs w:val="24"/>
        </w:rPr>
        <w:t>managing and displacing</w:t>
      </w:r>
      <w:r w:rsidR="00406FA5" w:rsidRPr="003664A3">
        <w:rPr>
          <w:rFonts w:cs="Times New Roman"/>
          <w:sz w:val="24"/>
          <w:szCs w:val="24"/>
        </w:rPr>
        <w:t xml:space="preserve"> the care of ‘fragile’ older people</w:t>
      </w:r>
      <w:r w:rsidR="007E74AC" w:rsidRPr="003664A3">
        <w:rPr>
          <w:rFonts w:cs="Times New Roman"/>
          <w:sz w:val="24"/>
          <w:szCs w:val="24"/>
        </w:rPr>
        <w:t>, including those who seek asylum</w:t>
      </w:r>
      <w:r w:rsidR="00A83EF5">
        <w:rPr>
          <w:rFonts w:cs="Times New Roman"/>
          <w:sz w:val="24"/>
          <w:szCs w:val="24"/>
        </w:rPr>
        <w:t>, which itself leads to n</w:t>
      </w:r>
      <w:r w:rsidR="00462F74">
        <w:rPr>
          <w:rFonts w:cs="Times New Roman"/>
          <w:sz w:val="24"/>
          <w:szCs w:val="24"/>
        </w:rPr>
        <w:t>ew</w:t>
      </w:r>
      <w:r w:rsidR="00A83EF5">
        <w:rPr>
          <w:rFonts w:cs="Times New Roman"/>
          <w:sz w:val="24"/>
          <w:szCs w:val="24"/>
        </w:rPr>
        <w:t xml:space="preserve"> forms of stigma for aged-othered patients</w:t>
      </w:r>
      <w:r w:rsidR="00406FA5" w:rsidRPr="003664A3">
        <w:rPr>
          <w:rFonts w:cs="Times New Roman"/>
          <w:sz w:val="24"/>
          <w:szCs w:val="24"/>
        </w:rPr>
        <w:t xml:space="preserve">. </w:t>
      </w:r>
      <w:r w:rsidR="00462F74">
        <w:rPr>
          <w:rFonts w:cs="Times New Roman"/>
          <w:sz w:val="24"/>
          <w:szCs w:val="24"/>
        </w:rPr>
        <w:t>W</w:t>
      </w:r>
      <w:r w:rsidR="00547A4F" w:rsidRPr="003664A3">
        <w:rPr>
          <w:rFonts w:cs="Times New Roman"/>
          <w:sz w:val="24"/>
          <w:szCs w:val="24"/>
        </w:rPr>
        <w:t xml:space="preserve">ithin the </w:t>
      </w:r>
      <w:r w:rsidR="00462F74">
        <w:rPr>
          <w:rFonts w:cs="Times New Roman"/>
          <w:sz w:val="24"/>
          <w:szCs w:val="24"/>
        </w:rPr>
        <w:t xml:space="preserve">generally </w:t>
      </w:r>
      <w:r w:rsidR="0017751F">
        <w:rPr>
          <w:rFonts w:cs="Times New Roman"/>
          <w:sz w:val="24"/>
          <w:szCs w:val="24"/>
        </w:rPr>
        <w:t xml:space="preserve">costlier </w:t>
      </w:r>
      <w:r w:rsidR="00547A4F" w:rsidRPr="003664A3">
        <w:rPr>
          <w:rFonts w:cs="Times New Roman"/>
          <w:sz w:val="24"/>
          <w:szCs w:val="24"/>
        </w:rPr>
        <w:t>domain of health care</w:t>
      </w:r>
      <w:r w:rsidR="007D2AC1">
        <w:rPr>
          <w:rFonts w:cs="Times New Roman"/>
          <w:sz w:val="24"/>
          <w:szCs w:val="24"/>
        </w:rPr>
        <w:t>,</w:t>
      </w:r>
      <w:r w:rsidR="007E74AC" w:rsidRPr="003664A3">
        <w:rPr>
          <w:rFonts w:cs="Times New Roman"/>
          <w:sz w:val="24"/>
          <w:szCs w:val="24"/>
        </w:rPr>
        <w:t xml:space="preserve"> </w:t>
      </w:r>
      <w:r w:rsidR="007D2AC1">
        <w:rPr>
          <w:rFonts w:cs="Times New Roman"/>
          <w:sz w:val="24"/>
          <w:szCs w:val="24"/>
        </w:rPr>
        <w:t xml:space="preserve">the </w:t>
      </w:r>
      <w:r w:rsidR="0070362D">
        <w:rPr>
          <w:rFonts w:cs="Times New Roman"/>
          <w:sz w:val="24"/>
          <w:szCs w:val="24"/>
        </w:rPr>
        <w:t>priority</w:t>
      </w:r>
      <w:r w:rsidR="007D2AC1">
        <w:rPr>
          <w:rFonts w:cs="Times New Roman"/>
          <w:sz w:val="24"/>
          <w:szCs w:val="24"/>
        </w:rPr>
        <w:t xml:space="preserve"> within welfare</w:t>
      </w:r>
      <w:r w:rsidR="00462F74">
        <w:rPr>
          <w:rFonts w:cs="Times New Roman"/>
          <w:sz w:val="24"/>
          <w:szCs w:val="24"/>
        </w:rPr>
        <w:t xml:space="preserve"> it seems</w:t>
      </w:r>
      <w:r w:rsidR="007D2AC1">
        <w:rPr>
          <w:rFonts w:cs="Times New Roman"/>
          <w:sz w:val="24"/>
          <w:szCs w:val="24"/>
        </w:rPr>
        <w:t xml:space="preserve"> is</w:t>
      </w:r>
      <w:r>
        <w:rPr>
          <w:rFonts w:cs="Times New Roman"/>
          <w:sz w:val="24"/>
          <w:szCs w:val="24"/>
        </w:rPr>
        <w:t xml:space="preserve"> </w:t>
      </w:r>
      <w:r w:rsidR="007E74AC" w:rsidRPr="003664A3">
        <w:rPr>
          <w:rFonts w:cs="Times New Roman"/>
          <w:sz w:val="24"/>
          <w:szCs w:val="24"/>
        </w:rPr>
        <w:t xml:space="preserve">to ‘identify and mitigate risk and disorder through medical </w:t>
      </w:r>
      <w:r w:rsidR="007E74AC" w:rsidRPr="004F0EC3">
        <w:rPr>
          <w:rFonts w:cs="Times New Roman"/>
          <w:sz w:val="24"/>
          <w:szCs w:val="24"/>
        </w:rPr>
        <w:t>prevention</w:t>
      </w:r>
      <w:r w:rsidR="007E74AC" w:rsidRPr="003664A3">
        <w:rPr>
          <w:rFonts w:cs="Times New Roman"/>
          <w:sz w:val="24"/>
          <w:szCs w:val="24"/>
        </w:rPr>
        <w:t xml:space="preserve"> strategies which [represent] forms of social control’</w:t>
      </w:r>
      <w:r w:rsidR="00651D19" w:rsidRPr="003664A3">
        <w:rPr>
          <w:rFonts w:cs="Times New Roman"/>
          <w:sz w:val="24"/>
          <w:szCs w:val="24"/>
        </w:rPr>
        <w:t xml:space="preserve"> (Tomkow, 2019: 66)</w:t>
      </w:r>
      <w:r w:rsidR="007E74AC" w:rsidRPr="003664A3">
        <w:rPr>
          <w:rFonts w:cs="Times New Roman"/>
          <w:sz w:val="24"/>
          <w:szCs w:val="24"/>
        </w:rPr>
        <w:t xml:space="preserve">. </w:t>
      </w:r>
      <w:r>
        <w:rPr>
          <w:rFonts w:cs="Times New Roman"/>
          <w:sz w:val="24"/>
          <w:szCs w:val="24"/>
        </w:rPr>
        <w:t>Here</w:t>
      </w:r>
      <w:r w:rsidR="00A22C6A">
        <w:rPr>
          <w:rFonts w:cs="Times New Roman"/>
          <w:sz w:val="24"/>
          <w:szCs w:val="24"/>
        </w:rPr>
        <w:t>,</w:t>
      </w:r>
      <w:r w:rsidR="00274467">
        <w:rPr>
          <w:rFonts w:cs="Times New Roman"/>
          <w:sz w:val="24"/>
          <w:szCs w:val="24"/>
        </w:rPr>
        <w:t xml:space="preserve"> </w:t>
      </w:r>
      <w:r w:rsidR="003B7D8A" w:rsidRPr="003664A3">
        <w:rPr>
          <w:rFonts w:cs="Calibri"/>
          <w:sz w:val="24"/>
          <w:szCs w:val="24"/>
          <w:lang w:val="en"/>
        </w:rPr>
        <w:t>bureaucratic</w:t>
      </w:r>
      <w:r w:rsidR="007E74AC" w:rsidRPr="003664A3">
        <w:rPr>
          <w:rFonts w:cs="Calibri"/>
          <w:sz w:val="24"/>
          <w:szCs w:val="24"/>
          <w:lang w:val="en"/>
        </w:rPr>
        <w:t xml:space="preserve"> classification systems</w:t>
      </w:r>
      <w:r>
        <w:rPr>
          <w:rFonts w:cs="Calibri"/>
          <w:sz w:val="24"/>
          <w:szCs w:val="24"/>
          <w:lang w:val="en"/>
        </w:rPr>
        <w:t xml:space="preserve"> -</w:t>
      </w:r>
      <w:r w:rsidR="00274467">
        <w:rPr>
          <w:rFonts w:cs="Calibri"/>
          <w:sz w:val="24"/>
          <w:szCs w:val="24"/>
          <w:lang w:val="en"/>
        </w:rPr>
        <w:t xml:space="preserve"> such as those</w:t>
      </w:r>
      <w:r w:rsidR="00E20C96">
        <w:rPr>
          <w:rFonts w:cs="Calibri"/>
          <w:sz w:val="24"/>
          <w:szCs w:val="24"/>
          <w:lang w:val="en"/>
        </w:rPr>
        <w:t xml:space="preserve"> </w:t>
      </w:r>
      <w:r w:rsidR="00651D19" w:rsidRPr="003664A3">
        <w:rPr>
          <w:rFonts w:cs="Calibri"/>
          <w:sz w:val="24"/>
          <w:szCs w:val="24"/>
          <w:lang w:val="en"/>
        </w:rPr>
        <w:lastRenderedPageBreak/>
        <w:t>embodied within</w:t>
      </w:r>
      <w:r w:rsidR="007E74AC" w:rsidRPr="003664A3">
        <w:rPr>
          <w:rFonts w:cs="Calibri"/>
          <w:sz w:val="24"/>
          <w:szCs w:val="24"/>
          <w:lang w:val="en"/>
        </w:rPr>
        <w:t xml:space="preserve"> a risk discourse</w:t>
      </w:r>
      <w:r w:rsidR="00462F74">
        <w:rPr>
          <w:rFonts w:cs="Calibri"/>
          <w:sz w:val="24"/>
          <w:szCs w:val="24"/>
          <w:lang w:val="en"/>
        </w:rPr>
        <w:t xml:space="preserve"> that is</w:t>
      </w:r>
      <w:r w:rsidR="00A83EF5">
        <w:rPr>
          <w:rFonts w:cs="Calibri"/>
          <w:sz w:val="24"/>
          <w:szCs w:val="24"/>
          <w:lang w:val="en"/>
        </w:rPr>
        <w:t xml:space="preserve"> </w:t>
      </w:r>
      <w:r w:rsidR="00F35A89">
        <w:rPr>
          <w:rFonts w:cs="Calibri"/>
          <w:sz w:val="24"/>
          <w:szCs w:val="24"/>
          <w:lang w:val="en"/>
        </w:rPr>
        <w:t>carefully controlled</w:t>
      </w:r>
      <w:r w:rsidR="005D146E">
        <w:rPr>
          <w:rFonts w:cs="Calibri"/>
          <w:sz w:val="24"/>
          <w:szCs w:val="24"/>
          <w:lang w:val="en"/>
        </w:rPr>
        <w:t xml:space="preserve"> by </w:t>
      </w:r>
      <w:r w:rsidR="00E55948">
        <w:rPr>
          <w:rFonts w:cs="Calibri"/>
          <w:sz w:val="24"/>
          <w:szCs w:val="24"/>
          <w:lang w:val="en"/>
        </w:rPr>
        <w:t>medical and health</w:t>
      </w:r>
      <w:r w:rsidR="00A83EF5">
        <w:rPr>
          <w:rFonts w:cs="Calibri"/>
          <w:sz w:val="24"/>
          <w:szCs w:val="24"/>
          <w:lang w:val="en"/>
        </w:rPr>
        <w:t xml:space="preserve"> care</w:t>
      </w:r>
      <w:r w:rsidR="005D146E">
        <w:rPr>
          <w:rFonts w:cs="Calibri"/>
          <w:sz w:val="24"/>
          <w:szCs w:val="24"/>
          <w:lang w:val="en"/>
        </w:rPr>
        <w:t xml:space="preserve"> professionals</w:t>
      </w:r>
      <w:r>
        <w:rPr>
          <w:rFonts w:cs="Calibri"/>
          <w:sz w:val="24"/>
          <w:szCs w:val="24"/>
          <w:lang w:val="en"/>
        </w:rPr>
        <w:t xml:space="preserve"> </w:t>
      </w:r>
      <w:r w:rsidR="00BC737E">
        <w:rPr>
          <w:rFonts w:cs="Calibri"/>
          <w:sz w:val="24"/>
          <w:szCs w:val="24"/>
          <w:lang w:val="en"/>
        </w:rPr>
        <w:t>–</w:t>
      </w:r>
      <w:r w:rsidR="007E74AC" w:rsidRPr="003664A3">
        <w:rPr>
          <w:rFonts w:cs="Times New Roman"/>
          <w:sz w:val="24"/>
          <w:szCs w:val="24"/>
        </w:rPr>
        <w:t xml:space="preserve"> </w:t>
      </w:r>
      <w:r w:rsidR="00EA6C3A">
        <w:rPr>
          <w:rFonts w:cs="Times New Roman"/>
          <w:sz w:val="24"/>
          <w:szCs w:val="24"/>
        </w:rPr>
        <w:t xml:space="preserve">can </w:t>
      </w:r>
      <w:r w:rsidR="00BC737E">
        <w:rPr>
          <w:rFonts w:cs="Times New Roman"/>
          <w:sz w:val="24"/>
          <w:szCs w:val="24"/>
        </w:rPr>
        <w:t xml:space="preserve">reconfigure </w:t>
      </w:r>
      <w:r w:rsidR="007E74AC" w:rsidRPr="003664A3">
        <w:rPr>
          <w:rFonts w:cs="Times New Roman"/>
          <w:sz w:val="24"/>
          <w:szCs w:val="24"/>
        </w:rPr>
        <w:t xml:space="preserve">‘fragility’ </w:t>
      </w:r>
      <w:r w:rsidR="00A83EF5">
        <w:rPr>
          <w:rFonts w:cs="Times New Roman"/>
          <w:sz w:val="24"/>
          <w:szCs w:val="24"/>
        </w:rPr>
        <w:t xml:space="preserve">within </w:t>
      </w:r>
      <w:r w:rsidR="007E74AC" w:rsidRPr="003664A3">
        <w:rPr>
          <w:rFonts w:cs="Times New Roman"/>
          <w:sz w:val="24"/>
          <w:szCs w:val="24"/>
        </w:rPr>
        <w:t xml:space="preserve">old age </w:t>
      </w:r>
      <w:r w:rsidR="00EA6C3A">
        <w:rPr>
          <w:rFonts w:cs="Times New Roman"/>
          <w:sz w:val="24"/>
          <w:szCs w:val="24"/>
        </w:rPr>
        <w:t xml:space="preserve">at the level of discursive consciousness </w:t>
      </w:r>
      <w:r w:rsidR="007E74AC" w:rsidRPr="003664A3">
        <w:rPr>
          <w:rFonts w:cs="Times New Roman"/>
          <w:sz w:val="24"/>
          <w:szCs w:val="24"/>
        </w:rPr>
        <w:t>as symbolising a</w:t>
      </w:r>
      <w:r w:rsidR="00BC737E">
        <w:rPr>
          <w:rFonts w:cs="Times New Roman"/>
          <w:sz w:val="24"/>
          <w:szCs w:val="24"/>
        </w:rPr>
        <w:t>n ontological</w:t>
      </w:r>
      <w:r w:rsidR="00A22C6A">
        <w:rPr>
          <w:rFonts w:cs="Times New Roman"/>
          <w:sz w:val="24"/>
          <w:szCs w:val="24"/>
        </w:rPr>
        <w:t xml:space="preserve"> </w:t>
      </w:r>
      <w:r w:rsidR="00BC737E">
        <w:rPr>
          <w:rFonts w:cs="Times New Roman"/>
          <w:sz w:val="24"/>
          <w:szCs w:val="24"/>
        </w:rPr>
        <w:t>hazard</w:t>
      </w:r>
      <w:r w:rsidR="00274467">
        <w:rPr>
          <w:rFonts w:cs="Times New Roman"/>
          <w:sz w:val="24"/>
          <w:szCs w:val="24"/>
        </w:rPr>
        <w:t>,</w:t>
      </w:r>
      <w:r w:rsidR="00BC737E">
        <w:rPr>
          <w:rFonts w:cs="Times New Roman"/>
          <w:sz w:val="24"/>
          <w:szCs w:val="24"/>
        </w:rPr>
        <w:t xml:space="preserve"> especially in terms of representing a</w:t>
      </w:r>
      <w:r w:rsidR="00274467">
        <w:rPr>
          <w:rFonts w:cs="Times New Roman"/>
          <w:sz w:val="24"/>
          <w:szCs w:val="24"/>
        </w:rPr>
        <w:t xml:space="preserve"> </w:t>
      </w:r>
      <w:r w:rsidR="0070362D">
        <w:rPr>
          <w:rFonts w:cs="Times New Roman"/>
          <w:sz w:val="24"/>
          <w:szCs w:val="24"/>
        </w:rPr>
        <w:t>potential</w:t>
      </w:r>
      <w:r w:rsidR="00BC737E">
        <w:rPr>
          <w:rFonts w:cs="Times New Roman"/>
          <w:sz w:val="24"/>
          <w:szCs w:val="24"/>
        </w:rPr>
        <w:t>ly significant</w:t>
      </w:r>
      <w:r w:rsidR="0070362D">
        <w:rPr>
          <w:rFonts w:cs="Times New Roman"/>
          <w:sz w:val="24"/>
          <w:szCs w:val="24"/>
        </w:rPr>
        <w:t xml:space="preserve"> </w:t>
      </w:r>
      <w:r w:rsidR="00462F74">
        <w:rPr>
          <w:rFonts w:cs="Times New Roman"/>
          <w:sz w:val="24"/>
          <w:szCs w:val="24"/>
        </w:rPr>
        <w:t xml:space="preserve">financial </w:t>
      </w:r>
      <w:r w:rsidR="007E74AC" w:rsidRPr="003664A3">
        <w:rPr>
          <w:rFonts w:cs="Times New Roman"/>
          <w:sz w:val="24"/>
          <w:szCs w:val="24"/>
        </w:rPr>
        <w:t>cost</w:t>
      </w:r>
      <w:r w:rsidR="00274467">
        <w:rPr>
          <w:rFonts w:cs="Times New Roman"/>
          <w:sz w:val="24"/>
          <w:szCs w:val="24"/>
        </w:rPr>
        <w:t>, thr</w:t>
      </w:r>
      <w:r w:rsidR="00BC737E">
        <w:rPr>
          <w:rFonts w:cs="Times New Roman"/>
          <w:sz w:val="24"/>
          <w:szCs w:val="24"/>
        </w:rPr>
        <w:t>eat,</w:t>
      </w:r>
      <w:r w:rsidR="00274467">
        <w:rPr>
          <w:rFonts w:cs="Times New Roman"/>
          <w:sz w:val="24"/>
          <w:szCs w:val="24"/>
        </w:rPr>
        <w:t xml:space="preserve"> </w:t>
      </w:r>
      <w:r w:rsidR="007E74AC" w:rsidRPr="003664A3">
        <w:rPr>
          <w:rFonts w:cs="Times New Roman"/>
          <w:sz w:val="24"/>
          <w:szCs w:val="24"/>
        </w:rPr>
        <w:t xml:space="preserve">or </w:t>
      </w:r>
      <w:r w:rsidR="00462F74">
        <w:rPr>
          <w:rFonts w:cs="Times New Roman"/>
          <w:sz w:val="24"/>
          <w:szCs w:val="24"/>
        </w:rPr>
        <w:t xml:space="preserve">relative </w:t>
      </w:r>
      <w:r w:rsidR="007E74AC" w:rsidRPr="003664A3">
        <w:rPr>
          <w:rFonts w:cs="Times New Roman"/>
          <w:sz w:val="24"/>
          <w:szCs w:val="24"/>
        </w:rPr>
        <w:t>burden</w:t>
      </w:r>
      <w:r w:rsidR="00274467">
        <w:rPr>
          <w:rFonts w:cs="Times New Roman"/>
          <w:sz w:val="24"/>
          <w:szCs w:val="24"/>
        </w:rPr>
        <w:t xml:space="preserve"> </w:t>
      </w:r>
      <w:r w:rsidR="0070362D">
        <w:rPr>
          <w:rFonts w:cs="Times New Roman"/>
          <w:sz w:val="24"/>
          <w:szCs w:val="24"/>
        </w:rPr>
        <w:t>to</w:t>
      </w:r>
      <w:r w:rsidR="00274467">
        <w:rPr>
          <w:rFonts w:cs="Times New Roman"/>
          <w:sz w:val="24"/>
          <w:szCs w:val="24"/>
        </w:rPr>
        <w:t xml:space="preserve"> wider society</w:t>
      </w:r>
      <w:r w:rsidR="001E7D5C">
        <w:rPr>
          <w:rFonts w:cs="Times New Roman"/>
          <w:sz w:val="24"/>
          <w:szCs w:val="24"/>
        </w:rPr>
        <w:t>.</w:t>
      </w:r>
      <w:r w:rsidR="00771C7E">
        <w:rPr>
          <w:rFonts w:cs="Times New Roman"/>
          <w:sz w:val="24"/>
          <w:szCs w:val="24"/>
        </w:rPr>
        <w:t xml:space="preserve"> </w:t>
      </w:r>
      <w:r w:rsidR="007E74AC" w:rsidRPr="003664A3">
        <w:rPr>
          <w:rFonts w:cs="Times New Roman"/>
          <w:sz w:val="24"/>
          <w:szCs w:val="24"/>
        </w:rPr>
        <w:t xml:space="preserve">  </w:t>
      </w:r>
      <w:r w:rsidR="00547A4F" w:rsidRPr="003664A3">
        <w:rPr>
          <w:rFonts w:cs="Times New Roman"/>
          <w:sz w:val="24"/>
          <w:szCs w:val="24"/>
        </w:rPr>
        <w:t xml:space="preserve"> </w:t>
      </w:r>
    </w:p>
    <w:p w14:paraId="6D1D5C9F" w14:textId="77777777" w:rsidR="00D71EE8" w:rsidRDefault="00D71EE8" w:rsidP="0070073A">
      <w:pPr>
        <w:spacing w:line="480" w:lineRule="auto"/>
        <w:rPr>
          <w:b/>
          <w:sz w:val="24"/>
          <w:szCs w:val="24"/>
        </w:rPr>
      </w:pPr>
      <w:r>
        <w:rPr>
          <w:b/>
          <w:sz w:val="24"/>
          <w:szCs w:val="24"/>
        </w:rPr>
        <w:t>Personalisation and self-directed care for older adults</w:t>
      </w:r>
    </w:p>
    <w:p w14:paraId="1A772BE3" w14:textId="266C02CD" w:rsidR="00E20C96" w:rsidRDefault="00D71EE8" w:rsidP="0070073A">
      <w:pPr>
        <w:spacing w:line="480" w:lineRule="auto"/>
        <w:rPr>
          <w:sz w:val="24"/>
          <w:szCs w:val="24"/>
        </w:rPr>
      </w:pPr>
      <w:r>
        <w:rPr>
          <w:sz w:val="24"/>
          <w:szCs w:val="24"/>
        </w:rPr>
        <w:t xml:space="preserve">Despite significant challenges relating to the marketisation of social care and other welfare sectors, the policy of personalisation initially appeared to </w:t>
      </w:r>
      <w:r w:rsidR="009A65DE">
        <w:rPr>
          <w:sz w:val="24"/>
          <w:szCs w:val="24"/>
        </w:rPr>
        <w:t>bolster</w:t>
      </w:r>
      <w:r>
        <w:rPr>
          <w:sz w:val="24"/>
          <w:szCs w:val="24"/>
        </w:rPr>
        <w:t xml:space="preserve"> </w:t>
      </w:r>
      <w:r w:rsidR="00D07A71">
        <w:rPr>
          <w:sz w:val="24"/>
          <w:szCs w:val="24"/>
        </w:rPr>
        <w:t>policy makers</w:t>
      </w:r>
      <w:r w:rsidR="009D770A">
        <w:rPr>
          <w:sz w:val="24"/>
          <w:szCs w:val="24"/>
        </w:rPr>
        <w:t>’</w:t>
      </w:r>
      <w:r>
        <w:rPr>
          <w:sz w:val="24"/>
          <w:szCs w:val="24"/>
        </w:rPr>
        <w:t xml:space="preserve"> promotion of </w:t>
      </w:r>
      <w:r w:rsidR="00AD29C7">
        <w:rPr>
          <w:sz w:val="24"/>
          <w:szCs w:val="24"/>
        </w:rPr>
        <w:t xml:space="preserve">older </w:t>
      </w:r>
      <w:r w:rsidR="00A0374D">
        <w:rPr>
          <w:sz w:val="24"/>
          <w:szCs w:val="24"/>
        </w:rPr>
        <w:t>peoples</w:t>
      </w:r>
      <w:r w:rsidR="00DD6BEB">
        <w:rPr>
          <w:sz w:val="24"/>
          <w:szCs w:val="24"/>
        </w:rPr>
        <w:t>’</w:t>
      </w:r>
      <w:r w:rsidR="00C60A81">
        <w:rPr>
          <w:sz w:val="24"/>
          <w:szCs w:val="24"/>
        </w:rPr>
        <w:t xml:space="preserve"> </w:t>
      </w:r>
      <w:r w:rsidR="009D770A">
        <w:rPr>
          <w:sz w:val="24"/>
          <w:szCs w:val="24"/>
        </w:rPr>
        <w:t>informed</w:t>
      </w:r>
      <w:r w:rsidR="00047FC1">
        <w:rPr>
          <w:sz w:val="24"/>
          <w:szCs w:val="24"/>
        </w:rPr>
        <w:t xml:space="preserve"> </w:t>
      </w:r>
      <w:r>
        <w:rPr>
          <w:sz w:val="24"/>
          <w:szCs w:val="24"/>
        </w:rPr>
        <w:t>rights</w:t>
      </w:r>
      <w:r w:rsidR="00E20C96">
        <w:rPr>
          <w:sz w:val="24"/>
          <w:szCs w:val="24"/>
        </w:rPr>
        <w:t xml:space="preserve">, control, </w:t>
      </w:r>
      <w:r w:rsidR="00C60A81">
        <w:rPr>
          <w:sz w:val="24"/>
          <w:szCs w:val="24"/>
        </w:rPr>
        <w:t xml:space="preserve">and </w:t>
      </w:r>
      <w:r w:rsidR="00E20C96">
        <w:rPr>
          <w:sz w:val="24"/>
          <w:szCs w:val="24"/>
        </w:rPr>
        <w:t>choice</w:t>
      </w:r>
      <w:r>
        <w:rPr>
          <w:sz w:val="24"/>
          <w:szCs w:val="24"/>
        </w:rPr>
        <w:t>.</w:t>
      </w:r>
      <w:r w:rsidR="00E20C96">
        <w:rPr>
          <w:sz w:val="24"/>
          <w:szCs w:val="24"/>
        </w:rPr>
        <w:t xml:space="preserve"> Rather than </w:t>
      </w:r>
      <w:r w:rsidR="0038351D">
        <w:rPr>
          <w:sz w:val="24"/>
          <w:szCs w:val="24"/>
        </w:rPr>
        <w:t xml:space="preserve">welfare </w:t>
      </w:r>
      <w:r w:rsidR="00EA498E">
        <w:rPr>
          <w:sz w:val="24"/>
          <w:szCs w:val="24"/>
        </w:rPr>
        <w:t xml:space="preserve">professionals </w:t>
      </w:r>
      <w:r w:rsidR="00E20C96">
        <w:rPr>
          <w:sz w:val="24"/>
          <w:szCs w:val="24"/>
        </w:rPr>
        <w:t>continuing to dominate decision</w:t>
      </w:r>
      <w:r w:rsidR="00963C4E">
        <w:rPr>
          <w:sz w:val="24"/>
          <w:szCs w:val="24"/>
        </w:rPr>
        <w:t>-</w:t>
      </w:r>
      <w:r w:rsidR="00E20C96">
        <w:rPr>
          <w:sz w:val="24"/>
          <w:szCs w:val="24"/>
        </w:rPr>
        <w:t xml:space="preserve">making </w:t>
      </w:r>
      <w:r w:rsidR="0038351D">
        <w:rPr>
          <w:sz w:val="24"/>
          <w:szCs w:val="24"/>
        </w:rPr>
        <w:t>for the management of formal care</w:t>
      </w:r>
      <w:r w:rsidR="00E20C96">
        <w:rPr>
          <w:sz w:val="24"/>
          <w:szCs w:val="24"/>
        </w:rPr>
        <w:t>, users</w:t>
      </w:r>
      <w:r w:rsidR="000204AF">
        <w:rPr>
          <w:sz w:val="24"/>
          <w:szCs w:val="24"/>
        </w:rPr>
        <w:t xml:space="preserve"> or their informal carers</w:t>
      </w:r>
      <w:r w:rsidR="00E20C96">
        <w:rPr>
          <w:sz w:val="24"/>
          <w:szCs w:val="24"/>
        </w:rPr>
        <w:t xml:space="preserve"> would be encouraged to </w:t>
      </w:r>
      <w:r w:rsidR="00963C4E">
        <w:rPr>
          <w:sz w:val="24"/>
          <w:szCs w:val="24"/>
        </w:rPr>
        <w:t>direct</w:t>
      </w:r>
      <w:r w:rsidR="0038351D">
        <w:rPr>
          <w:sz w:val="24"/>
          <w:szCs w:val="24"/>
        </w:rPr>
        <w:t>ly</w:t>
      </w:r>
      <w:r w:rsidR="00EA498E">
        <w:rPr>
          <w:sz w:val="24"/>
          <w:szCs w:val="24"/>
        </w:rPr>
        <w:t xml:space="preserve"> </w:t>
      </w:r>
      <w:r w:rsidR="000204AF">
        <w:rPr>
          <w:sz w:val="24"/>
          <w:szCs w:val="24"/>
        </w:rPr>
        <w:t>manag</w:t>
      </w:r>
      <w:r w:rsidR="0038351D">
        <w:rPr>
          <w:sz w:val="24"/>
          <w:szCs w:val="24"/>
        </w:rPr>
        <w:t xml:space="preserve">e and </w:t>
      </w:r>
      <w:r w:rsidR="00E61FD9">
        <w:rPr>
          <w:sz w:val="24"/>
          <w:szCs w:val="24"/>
        </w:rPr>
        <w:t xml:space="preserve">ideally </w:t>
      </w:r>
      <w:r w:rsidR="0038351D">
        <w:rPr>
          <w:sz w:val="24"/>
          <w:szCs w:val="24"/>
        </w:rPr>
        <w:t xml:space="preserve">arrange </w:t>
      </w:r>
      <w:r w:rsidR="00AD29C7">
        <w:rPr>
          <w:sz w:val="24"/>
          <w:szCs w:val="24"/>
        </w:rPr>
        <w:t xml:space="preserve">any funded </w:t>
      </w:r>
      <w:r w:rsidR="00E20C96">
        <w:rPr>
          <w:sz w:val="24"/>
          <w:szCs w:val="24"/>
        </w:rPr>
        <w:t>support</w:t>
      </w:r>
      <w:r w:rsidR="00AD29C7">
        <w:rPr>
          <w:sz w:val="24"/>
          <w:szCs w:val="24"/>
        </w:rPr>
        <w:t xml:space="preserve"> from a personal budget</w:t>
      </w:r>
      <w:r w:rsidR="00C60A81" w:rsidRPr="00732FB8">
        <w:rPr>
          <w:sz w:val="24"/>
          <w:szCs w:val="24"/>
        </w:rPr>
        <w:t xml:space="preserve"> (</w:t>
      </w:r>
      <w:r w:rsidR="00BC3661">
        <w:rPr>
          <w:sz w:val="24"/>
          <w:szCs w:val="24"/>
        </w:rPr>
        <w:t>Barnes et al, 2017</w:t>
      </w:r>
      <w:r w:rsidR="00C60A81" w:rsidRPr="00732FB8">
        <w:rPr>
          <w:sz w:val="24"/>
          <w:szCs w:val="24"/>
        </w:rPr>
        <w:t>)</w:t>
      </w:r>
      <w:r w:rsidR="00E20C96" w:rsidRPr="00732FB8">
        <w:rPr>
          <w:sz w:val="24"/>
          <w:szCs w:val="24"/>
        </w:rPr>
        <w:t xml:space="preserve">. </w:t>
      </w:r>
      <w:r w:rsidR="0038351D" w:rsidRPr="00732FB8">
        <w:rPr>
          <w:sz w:val="24"/>
          <w:szCs w:val="24"/>
        </w:rPr>
        <w:t>The</w:t>
      </w:r>
      <w:r w:rsidR="00963C4E" w:rsidRPr="00732FB8">
        <w:rPr>
          <w:sz w:val="24"/>
          <w:szCs w:val="24"/>
        </w:rPr>
        <w:t xml:space="preserve"> option </w:t>
      </w:r>
      <w:r w:rsidR="0038351D" w:rsidRPr="00732FB8">
        <w:rPr>
          <w:sz w:val="24"/>
          <w:szCs w:val="24"/>
        </w:rPr>
        <w:t>of older</w:t>
      </w:r>
      <w:r w:rsidR="00963C4E" w:rsidRPr="00732FB8">
        <w:rPr>
          <w:sz w:val="24"/>
          <w:szCs w:val="24"/>
        </w:rPr>
        <w:t xml:space="preserve"> </w:t>
      </w:r>
      <w:r w:rsidR="00802988">
        <w:rPr>
          <w:sz w:val="24"/>
          <w:szCs w:val="24"/>
        </w:rPr>
        <w:t xml:space="preserve">people </w:t>
      </w:r>
      <w:r w:rsidR="00EA498E" w:rsidRPr="00732FB8">
        <w:rPr>
          <w:sz w:val="24"/>
          <w:szCs w:val="24"/>
        </w:rPr>
        <w:t xml:space="preserve">undertaking </w:t>
      </w:r>
      <w:r w:rsidR="00E20C96" w:rsidRPr="00732FB8">
        <w:rPr>
          <w:sz w:val="24"/>
          <w:szCs w:val="24"/>
        </w:rPr>
        <w:t>self-as</w:t>
      </w:r>
      <w:r w:rsidR="00E20C96">
        <w:rPr>
          <w:sz w:val="24"/>
          <w:szCs w:val="24"/>
        </w:rPr>
        <w:t>sessments</w:t>
      </w:r>
      <w:r w:rsidR="00963C4E">
        <w:rPr>
          <w:sz w:val="24"/>
          <w:szCs w:val="24"/>
        </w:rPr>
        <w:t xml:space="preserve"> </w:t>
      </w:r>
      <w:r w:rsidR="00AD29C7">
        <w:rPr>
          <w:sz w:val="24"/>
          <w:szCs w:val="24"/>
        </w:rPr>
        <w:t xml:space="preserve">also </w:t>
      </w:r>
      <w:r w:rsidR="009D770A">
        <w:rPr>
          <w:sz w:val="24"/>
          <w:szCs w:val="24"/>
        </w:rPr>
        <w:t xml:space="preserve">stood out as a </w:t>
      </w:r>
      <w:r w:rsidR="00732FB8">
        <w:rPr>
          <w:sz w:val="24"/>
          <w:szCs w:val="24"/>
        </w:rPr>
        <w:t xml:space="preserve">relatively </w:t>
      </w:r>
      <w:r w:rsidR="009D770A">
        <w:rPr>
          <w:sz w:val="24"/>
          <w:szCs w:val="24"/>
        </w:rPr>
        <w:t>unique policy mandate</w:t>
      </w:r>
      <w:r w:rsidR="00963C4E">
        <w:rPr>
          <w:sz w:val="24"/>
          <w:szCs w:val="24"/>
        </w:rPr>
        <w:t>.</w:t>
      </w:r>
      <w:r w:rsidR="00EA498E">
        <w:rPr>
          <w:sz w:val="24"/>
          <w:szCs w:val="24"/>
        </w:rPr>
        <w:t xml:space="preserve"> </w:t>
      </w:r>
      <w:r w:rsidR="002D76AD">
        <w:rPr>
          <w:sz w:val="24"/>
          <w:szCs w:val="24"/>
        </w:rPr>
        <w:t>Initially it was assumed that f</w:t>
      </w:r>
      <w:r w:rsidR="00EA498E">
        <w:rPr>
          <w:sz w:val="24"/>
          <w:szCs w:val="24"/>
        </w:rPr>
        <w:t>amily</w:t>
      </w:r>
      <w:r w:rsidR="00963C4E">
        <w:rPr>
          <w:sz w:val="24"/>
          <w:szCs w:val="24"/>
        </w:rPr>
        <w:t xml:space="preserve"> members</w:t>
      </w:r>
      <w:r w:rsidR="00EA498E">
        <w:rPr>
          <w:sz w:val="24"/>
          <w:szCs w:val="24"/>
        </w:rPr>
        <w:t>, third-sector staff or welfare professionals</w:t>
      </w:r>
      <w:r w:rsidR="0038351D">
        <w:rPr>
          <w:sz w:val="24"/>
          <w:szCs w:val="24"/>
        </w:rPr>
        <w:t xml:space="preserve"> </w:t>
      </w:r>
      <w:r w:rsidR="002D76AD">
        <w:rPr>
          <w:sz w:val="24"/>
          <w:szCs w:val="24"/>
        </w:rPr>
        <w:t>could</w:t>
      </w:r>
      <w:r w:rsidR="009D770A">
        <w:rPr>
          <w:sz w:val="24"/>
          <w:szCs w:val="24"/>
        </w:rPr>
        <w:t xml:space="preserve"> </w:t>
      </w:r>
      <w:r w:rsidR="00963C4E">
        <w:rPr>
          <w:sz w:val="24"/>
          <w:szCs w:val="24"/>
        </w:rPr>
        <w:t>assist</w:t>
      </w:r>
      <w:r w:rsidR="00EA498E">
        <w:rPr>
          <w:sz w:val="24"/>
          <w:szCs w:val="24"/>
        </w:rPr>
        <w:t xml:space="preserve"> if </w:t>
      </w:r>
      <w:r w:rsidR="0038351D">
        <w:rPr>
          <w:sz w:val="24"/>
          <w:szCs w:val="24"/>
        </w:rPr>
        <w:t xml:space="preserve">this were </w:t>
      </w:r>
      <w:r w:rsidR="00E61FD9">
        <w:rPr>
          <w:sz w:val="24"/>
          <w:szCs w:val="24"/>
        </w:rPr>
        <w:t xml:space="preserve">necessary and </w:t>
      </w:r>
      <w:r w:rsidR="00963C4E">
        <w:rPr>
          <w:sz w:val="24"/>
          <w:szCs w:val="24"/>
        </w:rPr>
        <w:t>agreed with service users</w:t>
      </w:r>
      <w:r w:rsidR="002D76AD">
        <w:rPr>
          <w:sz w:val="24"/>
          <w:szCs w:val="24"/>
        </w:rPr>
        <w:t xml:space="preserve"> or their carers</w:t>
      </w:r>
      <w:r w:rsidR="00EA498E">
        <w:rPr>
          <w:sz w:val="24"/>
          <w:szCs w:val="24"/>
        </w:rPr>
        <w:t xml:space="preserve"> (Glendinning et al, 2008; </w:t>
      </w:r>
      <w:proofErr w:type="spellStart"/>
      <w:r w:rsidR="00EA498E">
        <w:rPr>
          <w:sz w:val="24"/>
          <w:szCs w:val="24"/>
        </w:rPr>
        <w:t>Lymbery</w:t>
      </w:r>
      <w:proofErr w:type="spellEnd"/>
      <w:r w:rsidR="00EA498E">
        <w:rPr>
          <w:sz w:val="24"/>
          <w:szCs w:val="24"/>
        </w:rPr>
        <w:t xml:space="preserve">, 2012). </w:t>
      </w:r>
      <w:r w:rsidR="00EA498E" w:rsidRPr="000204AF">
        <w:rPr>
          <w:sz w:val="24"/>
          <w:szCs w:val="24"/>
        </w:rPr>
        <w:t xml:space="preserve">The need to </w:t>
      </w:r>
      <w:r w:rsidR="002D76AD">
        <w:rPr>
          <w:sz w:val="24"/>
          <w:szCs w:val="24"/>
        </w:rPr>
        <w:t>‘</w:t>
      </w:r>
      <w:r w:rsidR="00EA498E" w:rsidRPr="000204AF">
        <w:rPr>
          <w:sz w:val="24"/>
          <w:szCs w:val="24"/>
        </w:rPr>
        <w:t>personalise</w:t>
      </w:r>
      <w:r w:rsidR="002D76AD">
        <w:rPr>
          <w:sz w:val="24"/>
          <w:szCs w:val="24"/>
        </w:rPr>
        <w:t>’</w:t>
      </w:r>
      <w:r w:rsidR="00EA498E" w:rsidRPr="000204AF">
        <w:rPr>
          <w:sz w:val="24"/>
          <w:szCs w:val="24"/>
        </w:rPr>
        <w:t xml:space="preserve"> services were justified by the Labour government throughout the 2000s </w:t>
      </w:r>
      <w:r w:rsidR="000204AF" w:rsidRPr="000204AF">
        <w:rPr>
          <w:sz w:val="24"/>
          <w:szCs w:val="24"/>
        </w:rPr>
        <w:t>(</w:t>
      </w:r>
      <w:r w:rsidR="00EA498E" w:rsidRPr="000204AF">
        <w:rPr>
          <w:sz w:val="24"/>
          <w:szCs w:val="24"/>
        </w:rPr>
        <w:t>and ever since</w:t>
      </w:r>
      <w:r w:rsidR="000204AF">
        <w:rPr>
          <w:sz w:val="24"/>
          <w:szCs w:val="24"/>
        </w:rPr>
        <w:t xml:space="preserve"> by Coalition and Conservative governments</w:t>
      </w:r>
      <w:r w:rsidR="000204AF" w:rsidRPr="000204AF">
        <w:rPr>
          <w:sz w:val="24"/>
          <w:szCs w:val="24"/>
        </w:rPr>
        <w:t>)</w:t>
      </w:r>
      <w:r w:rsidR="00EA498E" w:rsidRPr="000204AF">
        <w:rPr>
          <w:sz w:val="24"/>
          <w:szCs w:val="24"/>
        </w:rPr>
        <w:t xml:space="preserve"> to challenge</w:t>
      </w:r>
      <w:r w:rsidR="0038351D">
        <w:rPr>
          <w:sz w:val="24"/>
          <w:szCs w:val="24"/>
        </w:rPr>
        <w:t xml:space="preserve"> the monopoly of</w:t>
      </w:r>
      <w:r w:rsidR="00EA498E" w:rsidRPr="000204AF">
        <w:rPr>
          <w:sz w:val="24"/>
          <w:szCs w:val="24"/>
        </w:rPr>
        <w:t xml:space="preserve"> </w:t>
      </w:r>
      <w:r w:rsidR="009D770A">
        <w:rPr>
          <w:sz w:val="24"/>
          <w:szCs w:val="24"/>
        </w:rPr>
        <w:t xml:space="preserve">state-run </w:t>
      </w:r>
      <w:r w:rsidR="0038351D">
        <w:rPr>
          <w:sz w:val="24"/>
          <w:szCs w:val="24"/>
        </w:rPr>
        <w:t xml:space="preserve">health and </w:t>
      </w:r>
      <w:r w:rsidR="00EA498E" w:rsidRPr="000204AF">
        <w:rPr>
          <w:sz w:val="24"/>
          <w:szCs w:val="24"/>
        </w:rPr>
        <w:t>social care services</w:t>
      </w:r>
      <w:r w:rsidR="0038351D">
        <w:rPr>
          <w:sz w:val="24"/>
          <w:szCs w:val="24"/>
        </w:rPr>
        <w:t>,</w:t>
      </w:r>
      <w:r w:rsidR="00EA498E" w:rsidRPr="000204AF">
        <w:rPr>
          <w:sz w:val="24"/>
          <w:szCs w:val="24"/>
        </w:rPr>
        <w:t xml:space="preserve"> which </w:t>
      </w:r>
      <w:r w:rsidR="000204AF" w:rsidRPr="000204AF">
        <w:rPr>
          <w:sz w:val="24"/>
          <w:szCs w:val="24"/>
        </w:rPr>
        <w:t>were</w:t>
      </w:r>
      <w:r w:rsidR="00EA498E" w:rsidRPr="000204AF">
        <w:rPr>
          <w:sz w:val="24"/>
          <w:szCs w:val="24"/>
        </w:rPr>
        <w:t xml:space="preserve"> </w:t>
      </w:r>
      <w:r w:rsidR="0038351D">
        <w:rPr>
          <w:sz w:val="24"/>
          <w:szCs w:val="24"/>
        </w:rPr>
        <w:t>criticised</w:t>
      </w:r>
      <w:r w:rsidR="00EA498E" w:rsidRPr="000204AF">
        <w:rPr>
          <w:sz w:val="24"/>
          <w:szCs w:val="24"/>
        </w:rPr>
        <w:t xml:space="preserve"> </w:t>
      </w:r>
      <w:r w:rsidR="000204AF" w:rsidRPr="000204AF">
        <w:rPr>
          <w:sz w:val="24"/>
          <w:szCs w:val="24"/>
        </w:rPr>
        <w:t>as</w:t>
      </w:r>
      <w:r w:rsidR="00EA498E" w:rsidRPr="000204AF">
        <w:rPr>
          <w:sz w:val="24"/>
          <w:szCs w:val="24"/>
        </w:rPr>
        <w:t xml:space="preserve"> institutionalised</w:t>
      </w:r>
      <w:r w:rsidR="0038351D">
        <w:rPr>
          <w:sz w:val="24"/>
          <w:szCs w:val="24"/>
        </w:rPr>
        <w:t>, unreliable</w:t>
      </w:r>
      <w:r w:rsidR="00EA498E" w:rsidRPr="000204AF">
        <w:rPr>
          <w:sz w:val="24"/>
          <w:szCs w:val="24"/>
        </w:rPr>
        <w:t xml:space="preserve"> and </w:t>
      </w:r>
      <w:r w:rsidR="00963C4E">
        <w:rPr>
          <w:sz w:val="24"/>
          <w:szCs w:val="24"/>
        </w:rPr>
        <w:t>dominated</w:t>
      </w:r>
      <w:r w:rsidR="00EA498E" w:rsidRPr="000204AF">
        <w:rPr>
          <w:sz w:val="24"/>
          <w:szCs w:val="24"/>
        </w:rPr>
        <w:t xml:space="preserve"> by professional </w:t>
      </w:r>
      <w:r w:rsidR="00963C4E">
        <w:rPr>
          <w:sz w:val="24"/>
          <w:szCs w:val="24"/>
        </w:rPr>
        <w:t>or</w:t>
      </w:r>
      <w:r w:rsidR="00EA498E" w:rsidRPr="000204AF">
        <w:rPr>
          <w:sz w:val="24"/>
          <w:szCs w:val="24"/>
        </w:rPr>
        <w:t xml:space="preserve"> managerial agendas</w:t>
      </w:r>
      <w:r w:rsidR="0038351D">
        <w:rPr>
          <w:sz w:val="24"/>
          <w:szCs w:val="24"/>
        </w:rPr>
        <w:t xml:space="preserve"> (</w:t>
      </w:r>
      <w:r w:rsidR="00080370">
        <w:rPr>
          <w:sz w:val="24"/>
          <w:szCs w:val="24"/>
        </w:rPr>
        <w:t>Lloyd, 2010)</w:t>
      </w:r>
      <w:r w:rsidR="000204AF">
        <w:rPr>
          <w:sz w:val="24"/>
          <w:szCs w:val="24"/>
        </w:rPr>
        <w:t xml:space="preserve">. </w:t>
      </w:r>
    </w:p>
    <w:p w14:paraId="68DB5B22" w14:textId="0AE630F8" w:rsidR="00BD6835" w:rsidRDefault="00732FB8" w:rsidP="0070073A">
      <w:pPr>
        <w:spacing w:line="480" w:lineRule="auto"/>
        <w:rPr>
          <w:sz w:val="24"/>
          <w:szCs w:val="24"/>
        </w:rPr>
      </w:pPr>
      <w:r>
        <w:rPr>
          <w:sz w:val="24"/>
          <w:szCs w:val="24"/>
        </w:rPr>
        <w:t>Despite initial support from professional groups and some older adults, p</w:t>
      </w:r>
      <w:r w:rsidR="00BD6835">
        <w:rPr>
          <w:sz w:val="24"/>
          <w:szCs w:val="24"/>
        </w:rPr>
        <w:t>ersonalisation</w:t>
      </w:r>
      <w:r w:rsidR="00F41892">
        <w:rPr>
          <w:sz w:val="24"/>
          <w:szCs w:val="24"/>
        </w:rPr>
        <w:t xml:space="preserve"> and person-centred care</w:t>
      </w:r>
      <w:r w:rsidR="00BD6835">
        <w:rPr>
          <w:sz w:val="24"/>
          <w:szCs w:val="24"/>
        </w:rPr>
        <w:t xml:space="preserve"> </w:t>
      </w:r>
      <w:r>
        <w:rPr>
          <w:sz w:val="24"/>
          <w:szCs w:val="24"/>
        </w:rPr>
        <w:t xml:space="preserve">have </w:t>
      </w:r>
      <w:r w:rsidR="00BD6835">
        <w:rPr>
          <w:sz w:val="24"/>
          <w:szCs w:val="24"/>
        </w:rPr>
        <w:t>allow</w:t>
      </w:r>
      <w:r w:rsidR="002D76AD">
        <w:rPr>
          <w:sz w:val="24"/>
          <w:szCs w:val="24"/>
        </w:rPr>
        <w:t>ed</w:t>
      </w:r>
      <w:r w:rsidR="00BD6835">
        <w:rPr>
          <w:sz w:val="24"/>
          <w:szCs w:val="24"/>
        </w:rPr>
        <w:t xml:space="preserve"> </w:t>
      </w:r>
      <w:r w:rsidR="00E9307D">
        <w:rPr>
          <w:sz w:val="24"/>
          <w:szCs w:val="24"/>
        </w:rPr>
        <w:t xml:space="preserve">the principle of </w:t>
      </w:r>
      <w:r w:rsidR="00A0374D">
        <w:rPr>
          <w:sz w:val="24"/>
          <w:szCs w:val="24"/>
        </w:rPr>
        <w:t xml:space="preserve">welfare </w:t>
      </w:r>
      <w:r w:rsidR="00BD6835">
        <w:rPr>
          <w:sz w:val="24"/>
          <w:szCs w:val="24"/>
        </w:rPr>
        <w:t>conditionality to</w:t>
      </w:r>
      <w:r w:rsidR="0038351D">
        <w:rPr>
          <w:sz w:val="24"/>
          <w:szCs w:val="24"/>
        </w:rPr>
        <w:t xml:space="preserve"> further</w:t>
      </w:r>
      <w:r>
        <w:rPr>
          <w:sz w:val="24"/>
          <w:szCs w:val="24"/>
        </w:rPr>
        <w:t xml:space="preserve"> intensify</w:t>
      </w:r>
      <w:r w:rsidR="00E9307D">
        <w:rPr>
          <w:sz w:val="24"/>
          <w:szCs w:val="24"/>
        </w:rPr>
        <w:t xml:space="preserve">. Alongside </w:t>
      </w:r>
      <w:r w:rsidR="0038351D">
        <w:rPr>
          <w:sz w:val="24"/>
          <w:szCs w:val="24"/>
        </w:rPr>
        <w:t>the</w:t>
      </w:r>
      <w:r w:rsidR="00E9307D">
        <w:rPr>
          <w:sz w:val="24"/>
          <w:szCs w:val="24"/>
        </w:rPr>
        <w:t xml:space="preserve"> </w:t>
      </w:r>
      <w:r w:rsidR="00FD33E7">
        <w:rPr>
          <w:sz w:val="24"/>
          <w:szCs w:val="24"/>
        </w:rPr>
        <w:t xml:space="preserve">continued </w:t>
      </w:r>
      <w:r w:rsidR="00C93D60">
        <w:rPr>
          <w:sz w:val="24"/>
          <w:szCs w:val="24"/>
        </w:rPr>
        <w:t>requirement</w:t>
      </w:r>
      <w:r w:rsidR="00E9307D">
        <w:rPr>
          <w:sz w:val="24"/>
          <w:szCs w:val="24"/>
        </w:rPr>
        <w:t xml:space="preserve"> </w:t>
      </w:r>
      <w:r w:rsidR="0038351D">
        <w:rPr>
          <w:sz w:val="24"/>
          <w:szCs w:val="24"/>
        </w:rPr>
        <w:t xml:space="preserve">for older </w:t>
      </w:r>
      <w:r w:rsidR="00676718">
        <w:rPr>
          <w:sz w:val="24"/>
          <w:szCs w:val="24"/>
        </w:rPr>
        <w:t>people</w:t>
      </w:r>
      <w:r w:rsidR="0038351D">
        <w:rPr>
          <w:sz w:val="24"/>
          <w:szCs w:val="24"/>
        </w:rPr>
        <w:t xml:space="preserve"> </w:t>
      </w:r>
      <w:r w:rsidR="00E9307D">
        <w:rPr>
          <w:sz w:val="24"/>
          <w:szCs w:val="24"/>
        </w:rPr>
        <w:t xml:space="preserve">to meet any eligibility for provision </w:t>
      </w:r>
      <w:r w:rsidR="00963C4E">
        <w:rPr>
          <w:sz w:val="24"/>
          <w:szCs w:val="24"/>
        </w:rPr>
        <w:t>relating</w:t>
      </w:r>
      <w:r w:rsidR="00E9307D">
        <w:rPr>
          <w:sz w:val="24"/>
          <w:szCs w:val="24"/>
        </w:rPr>
        <w:t xml:space="preserve"> to needs</w:t>
      </w:r>
      <w:r w:rsidR="00963C4E">
        <w:rPr>
          <w:sz w:val="24"/>
          <w:szCs w:val="24"/>
        </w:rPr>
        <w:t xml:space="preserve"> (and</w:t>
      </w:r>
      <w:r w:rsidR="00E9307D">
        <w:rPr>
          <w:sz w:val="24"/>
          <w:szCs w:val="24"/>
        </w:rPr>
        <w:t xml:space="preserve"> which would still be controlled by </w:t>
      </w:r>
      <w:r w:rsidR="002D76AD">
        <w:rPr>
          <w:sz w:val="24"/>
          <w:szCs w:val="24"/>
        </w:rPr>
        <w:t xml:space="preserve">welfare </w:t>
      </w:r>
      <w:r w:rsidR="00E9307D">
        <w:rPr>
          <w:sz w:val="24"/>
          <w:szCs w:val="24"/>
        </w:rPr>
        <w:t>professionals</w:t>
      </w:r>
      <w:r w:rsidR="00963C4E">
        <w:rPr>
          <w:sz w:val="24"/>
          <w:szCs w:val="24"/>
        </w:rPr>
        <w:t>)</w:t>
      </w:r>
      <w:r w:rsidR="00E9307D">
        <w:rPr>
          <w:sz w:val="24"/>
          <w:szCs w:val="24"/>
        </w:rPr>
        <w:t xml:space="preserve">, </w:t>
      </w:r>
      <w:r w:rsidR="009D770A">
        <w:rPr>
          <w:sz w:val="24"/>
          <w:szCs w:val="24"/>
        </w:rPr>
        <w:lastRenderedPageBreak/>
        <w:t xml:space="preserve">expectations placed upon service users and </w:t>
      </w:r>
      <w:r w:rsidR="00FD33E7">
        <w:rPr>
          <w:sz w:val="24"/>
          <w:szCs w:val="24"/>
        </w:rPr>
        <w:t>any carers</w:t>
      </w:r>
      <w:r w:rsidR="009D770A">
        <w:rPr>
          <w:sz w:val="24"/>
          <w:szCs w:val="24"/>
        </w:rPr>
        <w:t xml:space="preserve"> grew </w:t>
      </w:r>
      <w:r>
        <w:rPr>
          <w:sz w:val="24"/>
          <w:szCs w:val="24"/>
        </w:rPr>
        <w:t>despite</w:t>
      </w:r>
      <w:r w:rsidR="00507233">
        <w:rPr>
          <w:sz w:val="24"/>
          <w:szCs w:val="24"/>
        </w:rPr>
        <w:t xml:space="preserve"> </w:t>
      </w:r>
      <w:r w:rsidR="00C93D60">
        <w:rPr>
          <w:sz w:val="24"/>
          <w:szCs w:val="24"/>
        </w:rPr>
        <w:t xml:space="preserve">no </w:t>
      </w:r>
      <w:r w:rsidR="009D770A">
        <w:rPr>
          <w:sz w:val="24"/>
          <w:szCs w:val="24"/>
        </w:rPr>
        <w:t>additional</w:t>
      </w:r>
      <w:r w:rsidR="00C93D60">
        <w:rPr>
          <w:sz w:val="24"/>
          <w:szCs w:val="24"/>
        </w:rPr>
        <w:t xml:space="preserve"> resources </w:t>
      </w:r>
      <w:r>
        <w:rPr>
          <w:sz w:val="24"/>
          <w:szCs w:val="24"/>
        </w:rPr>
        <w:t>being</w:t>
      </w:r>
      <w:r w:rsidR="00C93D60">
        <w:rPr>
          <w:sz w:val="24"/>
          <w:szCs w:val="24"/>
        </w:rPr>
        <w:t xml:space="preserve"> provided to support the policy</w:t>
      </w:r>
      <w:r w:rsidR="00FD33E7" w:rsidRPr="00FD33E7">
        <w:rPr>
          <w:sz w:val="24"/>
          <w:szCs w:val="24"/>
        </w:rPr>
        <w:t xml:space="preserve"> </w:t>
      </w:r>
      <w:r w:rsidR="00FD33E7">
        <w:rPr>
          <w:sz w:val="24"/>
          <w:szCs w:val="24"/>
        </w:rPr>
        <w:t>(Lloyd, 2010;</w:t>
      </w:r>
      <w:r w:rsidR="00FD33E7" w:rsidRPr="00FD33E7">
        <w:rPr>
          <w:sz w:val="24"/>
          <w:szCs w:val="24"/>
        </w:rPr>
        <w:t xml:space="preserve"> </w:t>
      </w:r>
      <w:proofErr w:type="spellStart"/>
      <w:r w:rsidR="00FD33E7">
        <w:rPr>
          <w:sz w:val="24"/>
          <w:szCs w:val="24"/>
        </w:rPr>
        <w:t>Lymbery</w:t>
      </w:r>
      <w:proofErr w:type="spellEnd"/>
      <w:r w:rsidR="00FD33E7">
        <w:rPr>
          <w:sz w:val="24"/>
          <w:szCs w:val="24"/>
        </w:rPr>
        <w:t>, 2012</w:t>
      </w:r>
      <w:r w:rsidR="00BC3661">
        <w:rPr>
          <w:sz w:val="24"/>
          <w:szCs w:val="24"/>
        </w:rPr>
        <w:t>; Barnes et al, 2017</w:t>
      </w:r>
      <w:r w:rsidR="00FD33E7">
        <w:rPr>
          <w:sz w:val="24"/>
          <w:szCs w:val="24"/>
        </w:rPr>
        <w:t>)</w:t>
      </w:r>
      <w:r w:rsidR="00E9307D">
        <w:rPr>
          <w:sz w:val="24"/>
          <w:szCs w:val="24"/>
        </w:rPr>
        <w:t>. As early critic</w:t>
      </w:r>
      <w:r>
        <w:rPr>
          <w:sz w:val="24"/>
          <w:szCs w:val="24"/>
        </w:rPr>
        <w:t>s</w:t>
      </w:r>
      <w:r w:rsidR="00E9307D">
        <w:rPr>
          <w:sz w:val="24"/>
          <w:szCs w:val="24"/>
        </w:rPr>
        <w:t xml:space="preserve">, Ferguson (2007) </w:t>
      </w:r>
      <w:r>
        <w:rPr>
          <w:sz w:val="24"/>
          <w:szCs w:val="24"/>
        </w:rPr>
        <w:t xml:space="preserve">and Lloyd (2010) </w:t>
      </w:r>
      <w:r w:rsidR="00963C4E">
        <w:rPr>
          <w:sz w:val="24"/>
          <w:szCs w:val="24"/>
        </w:rPr>
        <w:t>argued</w:t>
      </w:r>
      <w:r w:rsidR="00E9307D">
        <w:rPr>
          <w:sz w:val="24"/>
          <w:szCs w:val="24"/>
        </w:rPr>
        <w:t xml:space="preserve"> that</w:t>
      </w:r>
      <w:r w:rsidR="00963C4E">
        <w:rPr>
          <w:sz w:val="24"/>
          <w:szCs w:val="24"/>
        </w:rPr>
        <w:t xml:space="preserve"> personalisation fulfil</w:t>
      </w:r>
      <w:r w:rsidR="00C93D60">
        <w:rPr>
          <w:sz w:val="24"/>
          <w:szCs w:val="24"/>
        </w:rPr>
        <w:t>led</w:t>
      </w:r>
      <w:r w:rsidR="00963C4E">
        <w:rPr>
          <w:sz w:val="24"/>
          <w:szCs w:val="24"/>
        </w:rPr>
        <w:t xml:space="preserve"> </w:t>
      </w:r>
      <w:r w:rsidR="00507233">
        <w:rPr>
          <w:sz w:val="24"/>
          <w:szCs w:val="24"/>
        </w:rPr>
        <w:t>ever more</w:t>
      </w:r>
      <w:r w:rsidR="00963C4E">
        <w:rPr>
          <w:sz w:val="24"/>
          <w:szCs w:val="24"/>
        </w:rPr>
        <w:t xml:space="preserve"> </w:t>
      </w:r>
      <w:r>
        <w:rPr>
          <w:sz w:val="24"/>
          <w:szCs w:val="24"/>
        </w:rPr>
        <w:t>ideological</w:t>
      </w:r>
      <w:r w:rsidR="00963C4E">
        <w:rPr>
          <w:sz w:val="24"/>
          <w:szCs w:val="24"/>
        </w:rPr>
        <w:t xml:space="preserve"> objectives. </w:t>
      </w:r>
      <w:r w:rsidR="00F41892">
        <w:rPr>
          <w:sz w:val="24"/>
          <w:szCs w:val="24"/>
        </w:rPr>
        <w:t>These included</w:t>
      </w:r>
      <w:r w:rsidR="00963C4E">
        <w:rPr>
          <w:sz w:val="24"/>
          <w:szCs w:val="24"/>
        </w:rPr>
        <w:t xml:space="preserve"> </w:t>
      </w:r>
      <w:r w:rsidR="009D770A">
        <w:rPr>
          <w:sz w:val="24"/>
          <w:szCs w:val="24"/>
        </w:rPr>
        <w:t>a wish to</w:t>
      </w:r>
      <w:r w:rsidR="00C93D60">
        <w:rPr>
          <w:sz w:val="24"/>
          <w:szCs w:val="24"/>
        </w:rPr>
        <w:t xml:space="preserve"> </w:t>
      </w:r>
      <w:r w:rsidR="00963C4E">
        <w:rPr>
          <w:sz w:val="24"/>
          <w:szCs w:val="24"/>
        </w:rPr>
        <w:t>further expan</w:t>
      </w:r>
      <w:r w:rsidR="009D770A">
        <w:rPr>
          <w:sz w:val="24"/>
          <w:szCs w:val="24"/>
        </w:rPr>
        <w:t>d</w:t>
      </w:r>
      <w:r w:rsidR="00963C4E">
        <w:rPr>
          <w:sz w:val="24"/>
          <w:szCs w:val="24"/>
        </w:rPr>
        <w:t xml:space="preserve"> private sector care service</w:t>
      </w:r>
      <w:r w:rsidR="00FD33E7">
        <w:rPr>
          <w:sz w:val="24"/>
          <w:szCs w:val="24"/>
        </w:rPr>
        <w:t>s</w:t>
      </w:r>
      <w:r w:rsidR="00963C4E">
        <w:rPr>
          <w:sz w:val="24"/>
          <w:szCs w:val="24"/>
        </w:rPr>
        <w:t>, alongside other businesses</w:t>
      </w:r>
      <w:r w:rsidR="004A05CF">
        <w:rPr>
          <w:sz w:val="24"/>
          <w:szCs w:val="24"/>
        </w:rPr>
        <w:t>, and increase the responsibilities of family members and users themselves</w:t>
      </w:r>
      <w:r w:rsidR="009D770A">
        <w:rPr>
          <w:sz w:val="24"/>
          <w:szCs w:val="24"/>
        </w:rPr>
        <w:t>. For example,</w:t>
      </w:r>
      <w:r w:rsidR="00963C4E">
        <w:rPr>
          <w:sz w:val="24"/>
          <w:szCs w:val="24"/>
        </w:rPr>
        <w:t xml:space="preserve"> </w:t>
      </w:r>
      <w:r w:rsidR="002D76AD">
        <w:rPr>
          <w:sz w:val="24"/>
          <w:szCs w:val="24"/>
        </w:rPr>
        <w:t xml:space="preserve">Ferguson notes that as part of personalisation the </w:t>
      </w:r>
      <w:r w:rsidR="00FD33E7">
        <w:rPr>
          <w:sz w:val="24"/>
          <w:szCs w:val="24"/>
        </w:rPr>
        <w:t>privatized holding company</w:t>
      </w:r>
      <w:r w:rsidR="002D76AD">
        <w:rPr>
          <w:sz w:val="24"/>
          <w:szCs w:val="24"/>
        </w:rPr>
        <w:t xml:space="preserve"> </w:t>
      </w:r>
      <w:r w:rsidR="00963C4E" w:rsidRPr="00DD6BEB">
        <w:rPr>
          <w:i/>
          <w:sz w:val="24"/>
          <w:szCs w:val="24"/>
        </w:rPr>
        <w:t>British Telecom</w:t>
      </w:r>
      <w:r w:rsidR="00C93D60" w:rsidRPr="00DD6BEB">
        <w:rPr>
          <w:i/>
          <w:sz w:val="24"/>
          <w:szCs w:val="24"/>
        </w:rPr>
        <w:t xml:space="preserve"> </w:t>
      </w:r>
      <w:r w:rsidR="00C93D60">
        <w:rPr>
          <w:sz w:val="24"/>
          <w:szCs w:val="24"/>
        </w:rPr>
        <w:t xml:space="preserve">became heavily </w:t>
      </w:r>
      <w:r w:rsidR="00963C4E">
        <w:rPr>
          <w:sz w:val="24"/>
          <w:szCs w:val="24"/>
        </w:rPr>
        <w:t>involved in</w:t>
      </w:r>
      <w:r w:rsidR="00C93D60">
        <w:rPr>
          <w:sz w:val="24"/>
          <w:szCs w:val="24"/>
        </w:rPr>
        <w:t xml:space="preserve"> </w:t>
      </w:r>
      <w:r w:rsidR="009D770A">
        <w:rPr>
          <w:sz w:val="24"/>
          <w:szCs w:val="24"/>
        </w:rPr>
        <w:t>an associated</w:t>
      </w:r>
      <w:r w:rsidR="00C93D60">
        <w:rPr>
          <w:sz w:val="24"/>
          <w:szCs w:val="24"/>
        </w:rPr>
        <w:t xml:space="preserve"> reliance upon </w:t>
      </w:r>
      <w:r w:rsidR="00963C4E">
        <w:rPr>
          <w:sz w:val="24"/>
          <w:szCs w:val="24"/>
        </w:rPr>
        <w:t>new technology</w:t>
      </w:r>
      <w:r w:rsidR="00C93D60">
        <w:rPr>
          <w:sz w:val="24"/>
          <w:szCs w:val="24"/>
        </w:rPr>
        <w:t xml:space="preserve"> to operate social work call centres</w:t>
      </w:r>
      <w:r w:rsidR="00963C4E">
        <w:rPr>
          <w:sz w:val="24"/>
          <w:szCs w:val="24"/>
        </w:rPr>
        <w:t xml:space="preserve">. </w:t>
      </w:r>
      <w:r w:rsidR="002206DD">
        <w:rPr>
          <w:sz w:val="24"/>
          <w:szCs w:val="24"/>
        </w:rPr>
        <w:t xml:space="preserve">Through such technology contact between social workers and service users </w:t>
      </w:r>
      <w:r w:rsidR="004A05CF">
        <w:rPr>
          <w:sz w:val="24"/>
          <w:szCs w:val="24"/>
        </w:rPr>
        <w:t>was</w:t>
      </w:r>
      <w:r w:rsidR="002206DD">
        <w:rPr>
          <w:sz w:val="24"/>
          <w:szCs w:val="24"/>
        </w:rPr>
        <w:t xml:space="preserve"> minimised</w:t>
      </w:r>
      <w:r w:rsidR="004A05CF">
        <w:rPr>
          <w:sz w:val="24"/>
          <w:szCs w:val="24"/>
        </w:rPr>
        <w:t>,</w:t>
      </w:r>
      <w:r w:rsidR="002206DD">
        <w:rPr>
          <w:sz w:val="24"/>
          <w:szCs w:val="24"/>
        </w:rPr>
        <w:t xml:space="preserve"> and eligibility </w:t>
      </w:r>
      <w:r w:rsidR="004A05CF">
        <w:rPr>
          <w:sz w:val="24"/>
          <w:szCs w:val="24"/>
        </w:rPr>
        <w:t xml:space="preserve">and access to market state support </w:t>
      </w:r>
      <w:r w:rsidR="002206DD">
        <w:rPr>
          <w:sz w:val="24"/>
          <w:szCs w:val="24"/>
        </w:rPr>
        <w:t xml:space="preserve">more rigorously controlled. </w:t>
      </w:r>
      <w:r w:rsidR="007E63C8">
        <w:rPr>
          <w:sz w:val="24"/>
          <w:szCs w:val="24"/>
        </w:rPr>
        <w:t>S</w:t>
      </w:r>
      <w:r w:rsidR="004A05CF">
        <w:rPr>
          <w:sz w:val="24"/>
          <w:szCs w:val="24"/>
        </w:rPr>
        <w:t xml:space="preserve">uch service provision also placed older </w:t>
      </w:r>
      <w:r w:rsidR="00A0374D">
        <w:rPr>
          <w:sz w:val="24"/>
          <w:szCs w:val="24"/>
        </w:rPr>
        <w:t>people</w:t>
      </w:r>
      <w:r w:rsidR="004A05CF">
        <w:rPr>
          <w:sz w:val="24"/>
          <w:szCs w:val="24"/>
        </w:rPr>
        <w:t xml:space="preserve"> with a learning disability, mental health need or communication impairment at a significant disadvantage</w:t>
      </w:r>
      <w:r w:rsidR="00373335">
        <w:rPr>
          <w:sz w:val="24"/>
          <w:szCs w:val="24"/>
        </w:rPr>
        <w:t xml:space="preserve"> in </w:t>
      </w:r>
      <w:r w:rsidR="00A0374D">
        <w:rPr>
          <w:sz w:val="24"/>
          <w:szCs w:val="24"/>
        </w:rPr>
        <w:t>narrating</w:t>
      </w:r>
      <w:r w:rsidR="00373335">
        <w:rPr>
          <w:sz w:val="24"/>
          <w:szCs w:val="24"/>
        </w:rPr>
        <w:t xml:space="preserve"> any conditions </w:t>
      </w:r>
      <w:r w:rsidR="00A0374D">
        <w:rPr>
          <w:sz w:val="24"/>
          <w:szCs w:val="24"/>
        </w:rPr>
        <w:t xml:space="preserve">or circumstantial evidence </w:t>
      </w:r>
      <w:r w:rsidR="00373335">
        <w:rPr>
          <w:sz w:val="24"/>
          <w:szCs w:val="24"/>
        </w:rPr>
        <w:t>to access care</w:t>
      </w:r>
      <w:r w:rsidR="004A05CF">
        <w:rPr>
          <w:sz w:val="24"/>
          <w:szCs w:val="24"/>
        </w:rPr>
        <w:t xml:space="preserve">. </w:t>
      </w:r>
      <w:r w:rsidR="00C93D60">
        <w:rPr>
          <w:sz w:val="24"/>
          <w:szCs w:val="24"/>
        </w:rPr>
        <w:t>A</w:t>
      </w:r>
      <w:r w:rsidR="00963C4E">
        <w:rPr>
          <w:sz w:val="24"/>
          <w:szCs w:val="24"/>
        </w:rPr>
        <w:t xml:space="preserve"> wider ideological </w:t>
      </w:r>
      <w:r w:rsidR="00507233">
        <w:rPr>
          <w:sz w:val="24"/>
          <w:szCs w:val="24"/>
        </w:rPr>
        <w:t>remit</w:t>
      </w:r>
      <w:r w:rsidR="00963C4E">
        <w:rPr>
          <w:sz w:val="24"/>
          <w:szCs w:val="24"/>
        </w:rPr>
        <w:t xml:space="preserve"> of disseminating risk and responsibility from the state to the </w:t>
      </w:r>
      <w:r w:rsidR="00FD33E7">
        <w:rPr>
          <w:sz w:val="24"/>
          <w:szCs w:val="24"/>
        </w:rPr>
        <w:t xml:space="preserve">older </w:t>
      </w:r>
      <w:r w:rsidR="00A0374D">
        <w:rPr>
          <w:sz w:val="24"/>
          <w:szCs w:val="24"/>
        </w:rPr>
        <w:t>person</w:t>
      </w:r>
      <w:r w:rsidR="00FD33E7">
        <w:rPr>
          <w:sz w:val="24"/>
          <w:szCs w:val="24"/>
        </w:rPr>
        <w:t xml:space="preserve"> as </w:t>
      </w:r>
      <w:r w:rsidR="00963C4E">
        <w:rPr>
          <w:sz w:val="24"/>
          <w:szCs w:val="24"/>
        </w:rPr>
        <w:t xml:space="preserve">user </w:t>
      </w:r>
      <w:r w:rsidR="002206DD">
        <w:rPr>
          <w:sz w:val="24"/>
          <w:szCs w:val="24"/>
        </w:rPr>
        <w:t>(</w:t>
      </w:r>
      <w:r w:rsidR="00FD33E7">
        <w:rPr>
          <w:sz w:val="24"/>
          <w:szCs w:val="24"/>
        </w:rPr>
        <w:t xml:space="preserve">alongside </w:t>
      </w:r>
      <w:r w:rsidR="00963C4E">
        <w:rPr>
          <w:sz w:val="24"/>
          <w:szCs w:val="24"/>
        </w:rPr>
        <w:t>family</w:t>
      </w:r>
      <w:r w:rsidR="009D770A">
        <w:rPr>
          <w:sz w:val="24"/>
          <w:szCs w:val="24"/>
        </w:rPr>
        <w:t xml:space="preserve"> members</w:t>
      </w:r>
      <w:r w:rsidR="002206DD">
        <w:rPr>
          <w:sz w:val="24"/>
          <w:szCs w:val="24"/>
        </w:rPr>
        <w:t xml:space="preserve"> and possibly friends and neighbours)</w:t>
      </w:r>
      <w:r w:rsidR="00963C4E">
        <w:rPr>
          <w:sz w:val="24"/>
          <w:szCs w:val="24"/>
        </w:rPr>
        <w:t xml:space="preserve"> </w:t>
      </w:r>
      <w:r w:rsidR="009D770A">
        <w:rPr>
          <w:sz w:val="24"/>
          <w:szCs w:val="24"/>
        </w:rPr>
        <w:t>were deemed</w:t>
      </w:r>
      <w:r w:rsidR="00C93D60">
        <w:rPr>
          <w:sz w:val="24"/>
          <w:szCs w:val="24"/>
        </w:rPr>
        <w:t xml:space="preserve"> further</w:t>
      </w:r>
      <w:r w:rsidR="00963C4E">
        <w:rPr>
          <w:sz w:val="24"/>
          <w:szCs w:val="24"/>
        </w:rPr>
        <w:t xml:space="preserve"> </w:t>
      </w:r>
      <w:r w:rsidR="00F41892">
        <w:rPr>
          <w:sz w:val="24"/>
          <w:szCs w:val="24"/>
        </w:rPr>
        <w:t>important objectives</w:t>
      </w:r>
      <w:r w:rsidR="00507233">
        <w:rPr>
          <w:sz w:val="24"/>
          <w:szCs w:val="24"/>
        </w:rPr>
        <w:t>: which together</w:t>
      </w:r>
      <w:r w:rsidR="00963C4E">
        <w:rPr>
          <w:sz w:val="24"/>
          <w:szCs w:val="24"/>
        </w:rPr>
        <w:t xml:space="preserve"> embodied the ‘privatisation of risk’ under the guise of </w:t>
      </w:r>
      <w:r w:rsidR="00F41892">
        <w:rPr>
          <w:sz w:val="24"/>
          <w:szCs w:val="24"/>
        </w:rPr>
        <w:t xml:space="preserve">endorsing </w:t>
      </w:r>
      <w:r w:rsidR="004C5CF2">
        <w:rPr>
          <w:sz w:val="24"/>
          <w:szCs w:val="24"/>
        </w:rPr>
        <w:t xml:space="preserve">altruistic traits such as </w:t>
      </w:r>
      <w:r w:rsidR="00963C4E">
        <w:rPr>
          <w:sz w:val="24"/>
          <w:szCs w:val="24"/>
        </w:rPr>
        <w:t>co-production</w:t>
      </w:r>
      <w:r w:rsidR="00F41892">
        <w:rPr>
          <w:sz w:val="24"/>
          <w:szCs w:val="24"/>
        </w:rPr>
        <w:t xml:space="preserve">, </w:t>
      </w:r>
      <w:r w:rsidR="00963C4E">
        <w:rPr>
          <w:sz w:val="24"/>
          <w:szCs w:val="24"/>
        </w:rPr>
        <w:t>choice</w:t>
      </w:r>
      <w:r w:rsidR="00F41892">
        <w:rPr>
          <w:sz w:val="24"/>
          <w:szCs w:val="24"/>
        </w:rPr>
        <w:t xml:space="preserve"> and independent living</w:t>
      </w:r>
      <w:r w:rsidR="00373335" w:rsidRPr="00373335">
        <w:rPr>
          <w:rFonts w:cs="Calibri"/>
          <w:sz w:val="24"/>
          <w:szCs w:val="24"/>
          <w:lang w:val="en"/>
        </w:rPr>
        <w:t xml:space="preserve"> </w:t>
      </w:r>
      <w:r w:rsidR="00373335">
        <w:rPr>
          <w:rFonts w:cs="Calibri"/>
          <w:sz w:val="24"/>
          <w:szCs w:val="24"/>
          <w:lang w:val="en"/>
        </w:rPr>
        <w:t>(Ferguson, 2007: 388-392)</w:t>
      </w:r>
      <w:r w:rsidR="00963C4E">
        <w:rPr>
          <w:sz w:val="24"/>
          <w:szCs w:val="24"/>
        </w:rPr>
        <w:t>. Moreover,</w:t>
      </w:r>
      <w:r w:rsidR="00C93D60">
        <w:rPr>
          <w:sz w:val="24"/>
          <w:szCs w:val="24"/>
        </w:rPr>
        <w:t xml:space="preserve"> the impact of</w:t>
      </w:r>
      <w:r w:rsidR="00963C4E">
        <w:rPr>
          <w:sz w:val="24"/>
          <w:szCs w:val="24"/>
        </w:rPr>
        <w:t xml:space="preserve"> poverty and inequality</w:t>
      </w:r>
      <w:r w:rsidR="004C5CF2">
        <w:rPr>
          <w:sz w:val="24"/>
          <w:szCs w:val="24"/>
        </w:rPr>
        <w:t xml:space="preserve"> upon older people or their family members</w:t>
      </w:r>
      <w:r w:rsidR="00963C4E">
        <w:rPr>
          <w:sz w:val="24"/>
          <w:szCs w:val="24"/>
        </w:rPr>
        <w:t xml:space="preserve"> were </w:t>
      </w:r>
      <w:r w:rsidR="00C93D60">
        <w:rPr>
          <w:sz w:val="24"/>
          <w:szCs w:val="24"/>
        </w:rPr>
        <w:t xml:space="preserve">largely </w:t>
      </w:r>
      <w:r w:rsidR="00963C4E">
        <w:rPr>
          <w:sz w:val="24"/>
          <w:szCs w:val="24"/>
        </w:rPr>
        <w:t>ignored</w:t>
      </w:r>
      <w:r w:rsidR="002D76AD">
        <w:rPr>
          <w:sz w:val="24"/>
          <w:szCs w:val="24"/>
        </w:rPr>
        <w:t xml:space="preserve"> by policy makers</w:t>
      </w:r>
      <w:r w:rsidR="00963C4E">
        <w:rPr>
          <w:sz w:val="24"/>
          <w:szCs w:val="24"/>
        </w:rPr>
        <w:t xml:space="preserve">, despite evidence that more educated users and families tended to </w:t>
      </w:r>
      <w:r w:rsidR="00507233">
        <w:rPr>
          <w:sz w:val="24"/>
          <w:szCs w:val="24"/>
        </w:rPr>
        <w:t xml:space="preserve">navigate </w:t>
      </w:r>
      <w:r w:rsidR="007A638B">
        <w:rPr>
          <w:sz w:val="24"/>
          <w:szCs w:val="24"/>
        </w:rPr>
        <w:t>any</w:t>
      </w:r>
      <w:r w:rsidR="00507233">
        <w:rPr>
          <w:sz w:val="24"/>
          <w:szCs w:val="24"/>
        </w:rPr>
        <w:t xml:space="preserve"> responsibilit</w:t>
      </w:r>
      <w:r w:rsidR="007A638B">
        <w:rPr>
          <w:sz w:val="24"/>
          <w:szCs w:val="24"/>
        </w:rPr>
        <w:t>ies</w:t>
      </w:r>
      <w:r w:rsidR="00373335">
        <w:rPr>
          <w:sz w:val="24"/>
          <w:szCs w:val="24"/>
        </w:rPr>
        <w:t xml:space="preserve"> or conditions to access support</w:t>
      </w:r>
      <w:r w:rsidR="00963C4E">
        <w:rPr>
          <w:sz w:val="24"/>
          <w:szCs w:val="24"/>
        </w:rPr>
        <w:t xml:space="preserve"> </w:t>
      </w:r>
      <w:r w:rsidR="00507233">
        <w:rPr>
          <w:sz w:val="24"/>
          <w:szCs w:val="24"/>
        </w:rPr>
        <w:t xml:space="preserve">better as part of </w:t>
      </w:r>
      <w:r w:rsidR="00963C4E">
        <w:rPr>
          <w:sz w:val="24"/>
          <w:szCs w:val="24"/>
        </w:rPr>
        <w:t>personalised care</w:t>
      </w:r>
      <w:r w:rsidR="00BB56D7">
        <w:rPr>
          <w:sz w:val="24"/>
          <w:szCs w:val="24"/>
        </w:rPr>
        <w:t xml:space="preserve"> </w:t>
      </w:r>
      <w:r w:rsidR="00963C4E">
        <w:rPr>
          <w:rFonts w:cs="Calibri"/>
          <w:sz w:val="24"/>
          <w:szCs w:val="24"/>
          <w:lang w:val="en"/>
        </w:rPr>
        <w:t>(Ferguson, 2007</w:t>
      </w:r>
      <w:r w:rsidR="00373335">
        <w:rPr>
          <w:rFonts w:cs="Calibri"/>
          <w:sz w:val="24"/>
          <w:szCs w:val="24"/>
          <w:lang w:val="en"/>
        </w:rPr>
        <w:t>;</w:t>
      </w:r>
      <w:r w:rsidR="00373335" w:rsidRPr="00373335">
        <w:rPr>
          <w:rFonts w:cs="Calibri"/>
          <w:sz w:val="24"/>
          <w:szCs w:val="24"/>
          <w:lang w:val="en"/>
        </w:rPr>
        <w:t xml:space="preserve"> </w:t>
      </w:r>
      <w:proofErr w:type="spellStart"/>
      <w:r w:rsidR="00373335">
        <w:rPr>
          <w:rFonts w:cs="Calibri"/>
          <w:sz w:val="24"/>
          <w:szCs w:val="24"/>
          <w:lang w:val="en"/>
        </w:rPr>
        <w:t>Feltoe</w:t>
      </w:r>
      <w:proofErr w:type="spellEnd"/>
      <w:r w:rsidR="00373335">
        <w:rPr>
          <w:rFonts w:cs="Calibri"/>
          <w:sz w:val="24"/>
          <w:szCs w:val="24"/>
          <w:lang w:val="en"/>
        </w:rPr>
        <w:t xml:space="preserve"> and Orellana, 2013</w:t>
      </w:r>
      <w:r w:rsidR="00963C4E">
        <w:rPr>
          <w:rFonts w:cs="Calibri"/>
          <w:sz w:val="24"/>
          <w:szCs w:val="24"/>
          <w:lang w:val="en"/>
        </w:rPr>
        <w:t>)</w:t>
      </w:r>
      <w:r w:rsidR="00963C4E">
        <w:rPr>
          <w:sz w:val="24"/>
          <w:szCs w:val="24"/>
        </w:rPr>
        <w:t xml:space="preserve">. </w:t>
      </w:r>
    </w:p>
    <w:p w14:paraId="424425FB" w14:textId="22AD32E1" w:rsidR="000D49E3" w:rsidRDefault="00F41892" w:rsidP="0070073A">
      <w:pPr>
        <w:spacing w:line="480" w:lineRule="auto"/>
        <w:rPr>
          <w:sz w:val="24"/>
          <w:szCs w:val="24"/>
        </w:rPr>
      </w:pPr>
      <w:r>
        <w:rPr>
          <w:sz w:val="24"/>
          <w:szCs w:val="24"/>
        </w:rPr>
        <w:t>A</w:t>
      </w:r>
      <w:r w:rsidR="009E2EFD" w:rsidRPr="009E2EFD">
        <w:rPr>
          <w:sz w:val="24"/>
          <w:szCs w:val="24"/>
        </w:rPr>
        <w:t xml:space="preserve">n in-depth evaluation of </w:t>
      </w:r>
      <w:r w:rsidR="00830EF9">
        <w:rPr>
          <w:sz w:val="24"/>
          <w:szCs w:val="24"/>
        </w:rPr>
        <w:t>thirteen separate</w:t>
      </w:r>
      <w:r w:rsidR="009E2EFD" w:rsidRPr="009E2EFD">
        <w:rPr>
          <w:sz w:val="24"/>
          <w:szCs w:val="24"/>
        </w:rPr>
        <w:t xml:space="preserve"> pilot schemes </w:t>
      </w:r>
      <w:r>
        <w:rPr>
          <w:sz w:val="24"/>
          <w:szCs w:val="24"/>
        </w:rPr>
        <w:t>was</w:t>
      </w:r>
      <w:r w:rsidR="009E2EFD" w:rsidRPr="009E2EFD">
        <w:rPr>
          <w:sz w:val="24"/>
          <w:szCs w:val="24"/>
        </w:rPr>
        <w:t xml:space="preserve"> undertaken in England by Glendinning and colleagues (2008). These sites were each to fulfil key requirements which included the management of individual budgets by service users alongside the facilitation of </w:t>
      </w:r>
      <w:r w:rsidR="009E2EFD" w:rsidRPr="009E2EFD">
        <w:rPr>
          <w:sz w:val="24"/>
          <w:szCs w:val="24"/>
        </w:rPr>
        <w:lastRenderedPageBreak/>
        <w:t>a means of empowering users ‘to play a greater role in the assessment of their needs’</w:t>
      </w:r>
      <w:r w:rsidR="00F62CFA" w:rsidRPr="00F62CFA">
        <w:rPr>
          <w:sz w:val="24"/>
          <w:szCs w:val="24"/>
        </w:rPr>
        <w:t xml:space="preserve"> </w:t>
      </w:r>
      <w:r w:rsidR="00F62CFA">
        <w:rPr>
          <w:sz w:val="24"/>
          <w:szCs w:val="24"/>
        </w:rPr>
        <w:t>(</w:t>
      </w:r>
      <w:r w:rsidR="00F62CFA" w:rsidRPr="009E2EFD">
        <w:rPr>
          <w:sz w:val="24"/>
          <w:szCs w:val="24"/>
        </w:rPr>
        <w:t xml:space="preserve">Glendinning </w:t>
      </w:r>
      <w:r w:rsidR="00EB46B3" w:rsidRPr="00EB46B3">
        <w:rPr>
          <w:i/>
          <w:sz w:val="24"/>
          <w:szCs w:val="24"/>
        </w:rPr>
        <w:t>et al</w:t>
      </w:r>
      <w:r w:rsidR="00F62CFA">
        <w:rPr>
          <w:sz w:val="24"/>
          <w:szCs w:val="24"/>
        </w:rPr>
        <w:t xml:space="preserve">, </w:t>
      </w:r>
      <w:r w:rsidR="00F62CFA" w:rsidRPr="009E2EFD">
        <w:rPr>
          <w:sz w:val="24"/>
          <w:szCs w:val="24"/>
        </w:rPr>
        <w:t>2008: 27)</w:t>
      </w:r>
      <w:r w:rsidR="009E2EFD" w:rsidRPr="009E2EFD">
        <w:rPr>
          <w:sz w:val="24"/>
          <w:szCs w:val="24"/>
        </w:rPr>
        <w:t xml:space="preserve">. However, predicting what would soon become an all too familiar trend </w:t>
      </w:r>
      <w:r w:rsidR="00C22B5C">
        <w:rPr>
          <w:sz w:val="24"/>
          <w:szCs w:val="24"/>
        </w:rPr>
        <w:t xml:space="preserve">which </w:t>
      </w:r>
      <w:r w:rsidR="00830EF9">
        <w:rPr>
          <w:sz w:val="24"/>
          <w:szCs w:val="24"/>
        </w:rPr>
        <w:t>reverberat</w:t>
      </w:r>
      <w:r w:rsidR="00C22B5C">
        <w:rPr>
          <w:sz w:val="24"/>
          <w:szCs w:val="24"/>
        </w:rPr>
        <w:t>ed</w:t>
      </w:r>
      <w:r w:rsidR="009E2EFD">
        <w:rPr>
          <w:sz w:val="24"/>
          <w:szCs w:val="24"/>
        </w:rPr>
        <w:t xml:space="preserve"> in numerous </w:t>
      </w:r>
      <w:r w:rsidR="002F3FED">
        <w:rPr>
          <w:sz w:val="24"/>
          <w:szCs w:val="24"/>
        </w:rPr>
        <w:t>later</w:t>
      </w:r>
      <w:r w:rsidR="009E2EFD">
        <w:rPr>
          <w:sz w:val="24"/>
          <w:szCs w:val="24"/>
        </w:rPr>
        <w:t xml:space="preserve"> evaluations</w:t>
      </w:r>
      <w:r>
        <w:rPr>
          <w:sz w:val="24"/>
          <w:szCs w:val="24"/>
        </w:rPr>
        <w:t>,</w:t>
      </w:r>
      <w:r w:rsidR="009E2EFD">
        <w:rPr>
          <w:sz w:val="24"/>
          <w:szCs w:val="24"/>
        </w:rPr>
        <w:t xml:space="preserve"> </w:t>
      </w:r>
      <w:r w:rsidR="009E2EFD" w:rsidRPr="009E2EFD">
        <w:rPr>
          <w:sz w:val="24"/>
          <w:szCs w:val="24"/>
        </w:rPr>
        <w:t xml:space="preserve">notable disparities </w:t>
      </w:r>
      <w:r w:rsidR="00830EF9">
        <w:rPr>
          <w:sz w:val="24"/>
          <w:szCs w:val="24"/>
        </w:rPr>
        <w:t xml:space="preserve">quickly </w:t>
      </w:r>
      <w:r w:rsidR="009E2EFD" w:rsidRPr="009E2EFD">
        <w:rPr>
          <w:sz w:val="24"/>
          <w:szCs w:val="24"/>
        </w:rPr>
        <w:t xml:space="preserve">emerged between the experiences of older </w:t>
      </w:r>
      <w:r w:rsidR="00A0374D">
        <w:rPr>
          <w:sz w:val="24"/>
          <w:szCs w:val="24"/>
        </w:rPr>
        <w:t>people</w:t>
      </w:r>
      <w:r w:rsidR="009E2EFD" w:rsidRPr="009E2EFD">
        <w:rPr>
          <w:sz w:val="24"/>
          <w:szCs w:val="24"/>
        </w:rPr>
        <w:t xml:space="preserve"> and </w:t>
      </w:r>
      <w:r w:rsidR="00802988">
        <w:rPr>
          <w:sz w:val="24"/>
          <w:szCs w:val="24"/>
        </w:rPr>
        <w:t xml:space="preserve">many </w:t>
      </w:r>
      <w:r w:rsidR="009E2EFD" w:rsidRPr="009E2EFD">
        <w:rPr>
          <w:sz w:val="24"/>
          <w:szCs w:val="24"/>
        </w:rPr>
        <w:t xml:space="preserve">other user groups. These included that service provider </w:t>
      </w:r>
      <w:r w:rsidR="00C22B5C">
        <w:rPr>
          <w:sz w:val="24"/>
          <w:szCs w:val="24"/>
        </w:rPr>
        <w:t xml:space="preserve">driven </w:t>
      </w:r>
      <w:r w:rsidR="009E2EFD" w:rsidRPr="009E2EFD">
        <w:rPr>
          <w:sz w:val="24"/>
          <w:szCs w:val="24"/>
        </w:rPr>
        <w:t xml:space="preserve">arrangements </w:t>
      </w:r>
      <w:r w:rsidR="00BB7E6E">
        <w:rPr>
          <w:sz w:val="24"/>
          <w:szCs w:val="24"/>
        </w:rPr>
        <w:t xml:space="preserve">from a relatively </w:t>
      </w:r>
      <w:r w:rsidR="000D49E3">
        <w:rPr>
          <w:sz w:val="24"/>
          <w:szCs w:val="24"/>
        </w:rPr>
        <w:t xml:space="preserve">limited array of companies involved in care often </w:t>
      </w:r>
      <w:r w:rsidR="009E2EFD" w:rsidRPr="009E2EFD">
        <w:rPr>
          <w:sz w:val="24"/>
          <w:szCs w:val="24"/>
        </w:rPr>
        <w:t>stifle</w:t>
      </w:r>
      <w:r w:rsidR="009E2EFD">
        <w:rPr>
          <w:sz w:val="24"/>
          <w:szCs w:val="24"/>
        </w:rPr>
        <w:t>d</w:t>
      </w:r>
      <w:r w:rsidR="009E2EFD" w:rsidRPr="009E2EFD">
        <w:rPr>
          <w:sz w:val="24"/>
          <w:szCs w:val="24"/>
        </w:rPr>
        <w:t xml:space="preserve"> flexibility and </w:t>
      </w:r>
      <w:r>
        <w:rPr>
          <w:sz w:val="24"/>
          <w:szCs w:val="24"/>
        </w:rPr>
        <w:t xml:space="preserve">any </w:t>
      </w:r>
      <w:r w:rsidR="009E2EFD" w:rsidRPr="009E2EFD">
        <w:rPr>
          <w:sz w:val="24"/>
          <w:szCs w:val="24"/>
        </w:rPr>
        <w:t xml:space="preserve">meaningful choice </w:t>
      </w:r>
      <w:r w:rsidR="009E2EFD">
        <w:rPr>
          <w:sz w:val="24"/>
          <w:szCs w:val="24"/>
        </w:rPr>
        <w:t>of provision</w:t>
      </w:r>
      <w:r w:rsidR="00830EF9">
        <w:rPr>
          <w:sz w:val="24"/>
          <w:szCs w:val="24"/>
        </w:rPr>
        <w:t xml:space="preserve"> for most older people</w:t>
      </w:r>
      <w:r w:rsidR="009E2EFD" w:rsidRPr="009E2EFD">
        <w:rPr>
          <w:sz w:val="24"/>
          <w:szCs w:val="24"/>
        </w:rPr>
        <w:t xml:space="preserve">. Moreover, </w:t>
      </w:r>
      <w:r w:rsidR="00DD6BEB">
        <w:rPr>
          <w:sz w:val="24"/>
          <w:szCs w:val="24"/>
        </w:rPr>
        <w:t>any</w:t>
      </w:r>
      <w:r w:rsidR="00830EF9">
        <w:rPr>
          <w:sz w:val="24"/>
          <w:szCs w:val="24"/>
        </w:rPr>
        <w:t xml:space="preserve"> </w:t>
      </w:r>
      <w:r w:rsidR="001B7364">
        <w:rPr>
          <w:sz w:val="24"/>
          <w:szCs w:val="24"/>
        </w:rPr>
        <w:t xml:space="preserve">conditional </w:t>
      </w:r>
      <w:r w:rsidR="009E2EFD" w:rsidRPr="009E2EFD">
        <w:rPr>
          <w:sz w:val="24"/>
          <w:szCs w:val="24"/>
        </w:rPr>
        <w:t xml:space="preserve">needs </w:t>
      </w:r>
      <w:r w:rsidR="00C22B5C">
        <w:rPr>
          <w:sz w:val="24"/>
          <w:szCs w:val="24"/>
        </w:rPr>
        <w:t>recognised through funding</w:t>
      </w:r>
      <w:r w:rsidR="009E2EFD">
        <w:rPr>
          <w:sz w:val="24"/>
          <w:szCs w:val="24"/>
        </w:rPr>
        <w:t xml:space="preserve"> </w:t>
      </w:r>
      <w:r w:rsidR="00C22B5C">
        <w:rPr>
          <w:sz w:val="24"/>
          <w:szCs w:val="24"/>
        </w:rPr>
        <w:t xml:space="preserve">following professional assessments </w:t>
      </w:r>
      <w:r w:rsidR="009E2EFD" w:rsidRPr="009E2EFD">
        <w:rPr>
          <w:sz w:val="24"/>
          <w:szCs w:val="24"/>
        </w:rPr>
        <w:t>for</w:t>
      </w:r>
      <w:r w:rsidR="00830EF9">
        <w:rPr>
          <w:sz w:val="24"/>
          <w:szCs w:val="24"/>
        </w:rPr>
        <w:t xml:space="preserve"> </w:t>
      </w:r>
      <w:r w:rsidR="009E2EFD" w:rsidRPr="009E2EFD">
        <w:rPr>
          <w:sz w:val="24"/>
          <w:szCs w:val="24"/>
        </w:rPr>
        <w:t xml:space="preserve">older </w:t>
      </w:r>
      <w:r w:rsidR="00830EF9">
        <w:rPr>
          <w:sz w:val="24"/>
          <w:szCs w:val="24"/>
        </w:rPr>
        <w:t>adults</w:t>
      </w:r>
      <w:r w:rsidR="009E2EFD" w:rsidRPr="009E2EFD">
        <w:rPr>
          <w:sz w:val="24"/>
          <w:szCs w:val="24"/>
        </w:rPr>
        <w:t xml:space="preserve"> </w:t>
      </w:r>
      <w:r w:rsidR="009E2EFD">
        <w:rPr>
          <w:sz w:val="24"/>
          <w:szCs w:val="24"/>
        </w:rPr>
        <w:t>tended to be</w:t>
      </w:r>
      <w:r w:rsidR="009E2EFD" w:rsidRPr="009E2EFD">
        <w:rPr>
          <w:sz w:val="24"/>
          <w:szCs w:val="24"/>
        </w:rPr>
        <w:t xml:space="preserve"> narrower</w:t>
      </w:r>
      <w:r w:rsidR="00C22B5C">
        <w:rPr>
          <w:sz w:val="24"/>
          <w:szCs w:val="24"/>
        </w:rPr>
        <w:t xml:space="preserve"> than </w:t>
      </w:r>
      <w:r w:rsidR="00802988">
        <w:rPr>
          <w:sz w:val="24"/>
          <w:szCs w:val="24"/>
        </w:rPr>
        <w:t xml:space="preserve">for most </w:t>
      </w:r>
      <w:r w:rsidR="00C22B5C">
        <w:rPr>
          <w:sz w:val="24"/>
          <w:szCs w:val="24"/>
        </w:rPr>
        <w:t>other demographic groups</w:t>
      </w:r>
      <w:r w:rsidR="002C0AE8">
        <w:rPr>
          <w:sz w:val="24"/>
          <w:szCs w:val="24"/>
        </w:rPr>
        <w:t>,</w:t>
      </w:r>
      <w:r w:rsidR="009E2EFD" w:rsidRPr="009E2EFD">
        <w:rPr>
          <w:sz w:val="24"/>
          <w:szCs w:val="24"/>
        </w:rPr>
        <w:t xml:space="preserve"> and less financial support</w:t>
      </w:r>
      <w:r w:rsidR="009E2EFD">
        <w:rPr>
          <w:sz w:val="24"/>
          <w:szCs w:val="24"/>
        </w:rPr>
        <w:t xml:space="preserve"> </w:t>
      </w:r>
      <w:r>
        <w:rPr>
          <w:sz w:val="24"/>
          <w:szCs w:val="24"/>
        </w:rPr>
        <w:t xml:space="preserve">was </w:t>
      </w:r>
      <w:r w:rsidR="000D49E3">
        <w:rPr>
          <w:sz w:val="24"/>
          <w:szCs w:val="24"/>
        </w:rPr>
        <w:t xml:space="preserve">typically </w:t>
      </w:r>
      <w:r>
        <w:rPr>
          <w:sz w:val="24"/>
          <w:szCs w:val="24"/>
        </w:rPr>
        <w:t>made available</w:t>
      </w:r>
      <w:r w:rsidR="001B7364">
        <w:rPr>
          <w:sz w:val="24"/>
          <w:szCs w:val="24"/>
        </w:rPr>
        <w:t xml:space="preserve"> by local authorities</w:t>
      </w:r>
      <w:r w:rsidR="009E2EFD" w:rsidRPr="009E2EFD">
        <w:rPr>
          <w:sz w:val="24"/>
          <w:szCs w:val="24"/>
        </w:rPr>
        <w:t xml:space="preserve">. </w:t>
      </w:r>
      <w:r w:rsidR="00C22B5C">
        <w:rPr>
          <w:sz w:val="24"/>
          <w:szCs w:val="24"/>
        </w:rPr>
        <w:t>In addition</w:t>
      </w:r>
      <w:r w:rsidR="009E2EFD" w:rsidRPr="009E2EFD">
        <w:rPr>
          <w:sz w:val="24"/>
          <w:szCs w:val="24"/>
        </w:rPr>
        <w:t xml:space="preserve">, </w:t>
      </w:r>
      <w:r w:rsidR="00830EF9">
        <w:rPr>
          <w:sz w:val="24"/>
          <w:szCs w:val="24"/>
        </w:rPr>
        <w:t xml:space="preserve">long </w:t>
      </w:r>
      <w:r>
        <w:rPr>
          <w:sz w:val="24"/>
          <w:szCs w:val="24"/>
        </w:rPr>
        <w:t>established findings</w:t>
      </w:r>
      <w:r w:rsidR="009E2EFD">
        <w:rPr>
          <w:sz w:val="24"/>
          <w:szCs w:val="24"/>
        </w:rPr>
        <w:t xml:space="preserve"> that</w:t>
      </w:r>
      <w:r w:rsidR="009E2EFD" w:rsidRPr="009E2EFD">
        <w:rPr>
          <w:sz w:val="24"/>
          <w:szCs w:val="24"/>
        </w:rPr>
        <w:t xml:space="preserve"> many older people turn</w:t>
      </w:r>
      <w:r w:rsidR="009E2EFD">
        <w:rPr>
          <w:sz w:val="24"/>
          <w:szCs w:val="24"/>
        </w:rPr>
        <w:t xml:space="preserve"> </w:t>
      </w:r>
      <w:r w:rsidR="009E2EFD" w:rsidRPr="009E2EFD">
        <w:rPr>
          <w:sz w:val="24"/>
          <w:szCs w:val="24"/>
        </w:rPr>
        <w:t xml:space="preserve">to social services </w:t>
      </w:r>
      <w:r w:rsidR="00830EF9">
        <w:rPr>
          <w:sz w:val="24"/>
          <w:szCs w:val="24"/>
        </w:rPr>
        <w:t>and social care</w:t>
      </w:r>
      <w:r w:rsidR="00C22B5C">
        <w:rPr>
          <w:sz w:val="24"/>
          <w:szCs w:val="24"/>
        </w:rPr>
        <w:t xml:space="preserve"> support</w:t>
      </w:r>
      <w:r w:rsidR="00830EF9">
        <w:rPr>
          <w:sz w:val="24"/>
          <w:szCs w:val="24"/>
        </w:rPr>
        <w:t xml:space="preserve"> </w:t>
      </w:r>
      <w:r w:rsidR="009E2EFD" w:rsidRPr="009E2EFD">
        <w:rPr>
          <w:sz w:val="24"/>
          <w:szCs w:val="24"/>
        </w:rPr>
        <w:t>as a last resort</w:t>
      </w:r>
      <w:r>
        <w:rPr>
          <w:sz w:val="24"/>
          <w:szCs w:val="24"/>
        </w:rPr>
        <w:t xml:space="preserve"> </w:t>
      </w:r>
      <w:r w:rsidR="00A0374D">
        <w:rPr>
          <w:sz w:val="24"/>
          <w:szCs w:val="24"/>
        </w:rPr>
        <w:t xml:space="preserve">(and often with deep apprehension) </w:t>
      </w:r>
      <w:r>
        <w:rPr>
          <w:sz w:val="24"/>
          <w:szCs w:val="24"/>
        </w:rPr>
        <w:t xml:space="preserve">were </w:t>
      </w:r>
      <w:r w:rsidR="00830EF9">
        <w:rPr>
          <w:sz w:val="24"/>
          <w:szCs w:val="24"/>
        </w:rPr>
        <w:t xml:space="preserve">again </w:t>
      </w:r>
      <w:r>
        <w:rPr>
          <w:sz w:val="24"/>
          <w:szCs w:val="24"/>
        </w:rPr>
        <w:t>confirmed</w:t>
      </w:r>
      <w:r w:rsidR="009E2EFD" w:rsidRPr="009E2EFD">
        <w:rPr>
          <w:sz w:val="24"/>
          <w:szCs w:val="24"/>
        </w:rPr>
        <w:t xml:space="preserve">. </w:t>
      </w:r>
      <w:r w:rsidR="008904DE">
        <w:rPr>
          <w:sz w:val="24"/>
          <w:szCs w:val="24"/>
        </w:rPr>
        <w:t>Under</w:t>
      </w:r>
      <w:r w:rsidR="009E2EFD" w:rsidRPr="009E2EFD">
        <w:rPr>
          <w:sz w:val="24"/>
          <w:szCs w:val="24"/>
        </w:rPr>
        <w:t xml:space="preserve"> such circumstance</w:t>
      </w:r>
      <w:r w:rsidR="008904DE">
        <w:rPr>
          <w:sz w:val="24"/>
          <w:szCs w:val="24"/>
        </w:rPr>
        <w:t>s</w:t>
      </w:r>
      <w:r w:rsidR="00502028">
        <w:rPr>
          <w:sz w:val="24"/>
          <w:szCs w:val="24"/>
        </w:rPr>
        <w:t xml:space="preserve">, </w:t>
      </w:r>
      <w:r w:rsidR="008904DE">
        <w:rPr>
          <w:sz w:val="24"/>
          <w:szCs w:val="24"/>
        </w:rPr>
        <w:t xml:space="preserve">the evidence suggested </w:t>
      </w:r>
      <w:r>
        <w:rPr>
          <w:sz w:val="24"/>
          <w:szCs w:val="24"/>
        </w:rPr>
        <w:t>that being placed under pressure</w:t>
      </w:r>
      <w:r w:rsidR="001B7364">
        <w:rPr>
          <w:sz w:val="24"/>
          <w:szCs w:val="24"/>
        </w:rPr>
        <w:t xml:space="preserve"> </w:t>
      </w:r>
      <w:r>
        <w:rPr>
          <w:sz w:val="24"/>
          <w:szCs w:val="24"/>
        </w:rPr>
        <w:t xml:space="preserve">to self-manage </w:t>
      </w:r>
      <w:r w:rsidR="00F64576">
        <w:rPr>
          <w:sz w:val="24"/>
          <w:szCs w:val="24"/>
        </w:rPr>
        <w:t>any support</w:t>
      </w:r>
      <w:r w:rsidR="001B7364">
        <w:rPr>
          <w:sz w:val="24"/>
          <w:szCs w:val="24"/>
        </w:rPr>
        <w:t xml:space="preserve"> </w:t>
      </w:r>
      <w:r w:rsidR="00F64576">
        <w:rPr>
          <w:sz w:val="24"/>
          <w:szCs w:val="24"/>
        </w:rPr>
        <w:t>was interpreted as</w:t>
      </w:r>
      <w:r w:rsidR="008904DE">
        <w:rPr>
          <w:sz w:val="24"/>
          <w:szCs w:val="24"/>
        </w:rPr>
        <w:t xml:space="preserve"> </w:t>
      </w:r>
      <w:r w:rsidR="009E2EFD" w:rsidRPr="009E2EFD">
        <w:rPr>
          <w:sz w:val="24"/>
          <w:szCs w:val="24"/>
        </w:rPr>
        <w:t>a ‘burden’</w:t>
      </w:r>
      <w:r>
        <w:rPr>
          <w:sz w:val="24"/>
          <w:szCs w:val="24"/>
        </w:rPr>
        <w:t xml:space="preserve"> </w:t>
      </w:r>
      <w:r w:rsidR="002F3FED">
        <w:rPr>
          <w:sz w:val="24"/>
          <w:szCs w:val="24"/>
        </w:rPr>
        <w:t>which was often</w:t>
      </w:r>
      <w:r w:rsidR="009E2EFD" w:rsidRPr="009E2EFD">
        <w:rPr>
          <w:sz w:val="24"/>
          <w:szCs w:val="24"/>
        </w:rPr>
        <w:t xml:space="preserve"> stressfu</w:t>
      </w:r>
      <w:r>
        <w:rPr>
          <w:sz w:val="24"/>
          <w:szCs w:val="24"/>
        </w:rPr>
        <w:t xml:space="preserve">l, and </w:t>
      </w:r>
      <w:r w:rsidR="002F3FED">
        <w:rPr>
          <w:sz w:val="24"/>
          <w:szCs w:val="24"/>
        </w:rPr>
        <w:t xml:space="preserve">not untypically </w:t>
      </w:r>
      <w:r w:rsidR="009E2EFD" w:rsidRPr="009E2EFD">
        <w:rPr>
          <w:sz w:val="24"/>
          <w:szCs w:val="24"/>
        </w:rPr>
        <w:t xml:space="preserve">led to </w:t>
      </w:r>
      <w:r>
        <w:rPr>
          <w:sz w:val="24"/>
          <w:szCs w:val="24"/>
        </w:rPr>
        <w:t xml:space="preserve">feelings of </w:t>
      </w:r>
      <w:r w:rsidR="008904DE">
        <w:rPr>
          <w:sz w:val="24"/>
          <w:szCs w:val="24"/>
        </w:rPr>
        <w:t xml:space="preserve">intense </w:t>
      </w:r>
      <w:r w:rsidR="009E2EFD" w:rsidRPr="009E2EFD">
        <w:rPr>
          <w:sz w:val="24"/>
          <w:szCs w:val="24"/>
        </w:rPr>
        <w:t>anxiety.</w:t>
      </w:r>
      <w:r w:rsidR="00B532B9">
        <w:rPr>
          <w:sz w:val="24"/>
          <w:szCs w:val="24"/>
        </w:rPr>
        <w:t xml:space="preserve"> </w:t>
      </w:r>
      <w:r w:rsidR="008904DE">
        <w:rPr>
          <w:sz w:val="24"/>
          <w:szCs w:val="24"/>
        </w:rPr>
        <w:t>Perhaps unsurprisingly</w:t>
      </w:r>
      <w:r w:rsidR="00B532B9">
        <w:rPr>
          <w:sz w:val="24"/>
          <w:szCs w:val="24"/>
        </w:rPr>
        <w:t xml:space="preserve"> the study also discovered that being in receipt of a personal budget led to lower levels of psychological wellbeing for </w:t>
      </w:r>
      <w:r w:rsidR="008904DE">
        <w:rPr>
          <w:sz w:val="24"/>
          <w:szCs w:val="24"/>
        </w:rPr>
        <w:t xml:space="preserve">most </w:t>
      </w:r>
      <w:r w:rsidR="00F64576">
        <w:rPr>
          <w:sz w:val="24"/>
          <w:szCs w:val="24"/>
        </w:rPr>
        <w:t xml:space="preserve">older </w:t>
      </w:r>
      <w:r w:rsidR="00502028">
        <w:rPr>
          <w:sz w:val="24"/>
          <w:szCs w:val="24"/>
        </w:rPr>
        <w:t>people</w:t>
      </w:r>
      <w:r w:rsidR="00F64576">
        <w:rPr>
          <w:sz w:val="24"/>
          <w:szCs w:val="24"/>
        </w:rPr>
        <w:t xml:space="preserve"> (</w:t>
      </w:r>
      <w:r w:rsidR="00F64576" w:rsidRPr="009E2EFD">
        <w:rPr>
          <w:sz w:val="24"/>
          <w:szCs w:val="24"/>
        </w:rPr>
        <w:t xml:space="preserve">Glendinning </w:t>
      </w:r>
      <w:r w:rsidR="00F64576" w:rsidRPr="00EB46B3">
        <w:rPr>
          <w:i/>
          <w:sz w:val="24"/>
          <w:szCs w:val="24"/>
        </w:rPr>
        <w:t>et al</w:t>
      </w:r>
      <w:r w:rsidR="00F64576">
        <w:rPr>
          <w:sz w:val="24"/>
          <w:szCs w:val="24"/>
        </w:rPr>
        <w:t xml:space="preserve">, </w:t>
      </w:r>
      <w:r w:rsidR="00F64576" w:rsidRPr="009E2EFD">
        <w:rPr>
          <w:sz w:val="24"/>
          <w:szCs w:val="24"/>
        </w:rPr>
        <w:t>2008: 2</w:t>
      </w:r>
      <w:r w:rsidR="00F64576">
        <w:rPr>
          <w:sz w:val="24"/>
          <w:szCs w:val="24"/>
        </w:rPr>
        <w:t>4-29</w:t>
      </w:r>
      <w:r w:rsidR="00F64576" w:rsidRPr="009E2EFD">
        <w:rPr>
          <w:sz w:val="24"/>
          <w:szCs w:val="24"/>
        </w:rPr>
        <w:t>)</w:t>
      </w:r>
      <w:r w:rsidR="00B532B9">
        <w:rPr>
          <w:sz w:val="24"/>
          <w:szCs w:val="24"/>
        </w:rPr>
        <w:t>.</w:t>
      </w:r>
      <w:r w:rsidR="009E2EFD" w:rsidRPr="009E2EFD">
        <w:rPr>
          <w:sz w:val="24"/>
          <w:szCs w:val="24"/>
        </w:rPr>
        <w:t xml:space="preserve"> </w:t>
      </w:r>
    </w:p>
    <w:p w14:paraId="4B71E6F9" w14:textId="5D5E6EDB" w:rsidR="000D49E3" w:rsidRPr="003A1CDF" w:rsidRDefault="0013309E" w:rsidP="0070073A">
      <w:pPr>
        <w:spacing w:line="480" w:lineRule="auto"/>
        <w:rPr>
          <w:sz w:val="24"/>
          <w:szCs w:val="24"/>
        </w:rPr>
      </w:pPr>
      <w:r>
        <w:rPr>
          <w:sz w:val="24"/>
          <w:szCs w:val="24"/>
        </w:rPr>
        <w:t xml:space="preserve">Later studies </w:t>
      </w:r>
      <w:r w:rsidR="009F6748">
        <w:rPr>
          <w:sz w:val="24"/>
          <w:szCs w:val="24"/>
        </w:rPr>
        <w:t xml:space="preserve">have </w:t>
      </w:r>
      <w:r>
        <w:rPr>
          <w:sz w:val="24"/>
          <w:szCs w:val="24"/>
        </w:rPr>
        <w:t xml:space="preserve">also </w:t>
      </w:r>
      <w:r w:rsidR="00F01232">
        <w:rPr>
          <w:sz w:val="24"/>
          <w:szCs w:val="24"/>
        </w:rPr>
        <w:t>noted</w:t>
      </w:r>
      <w:r>
        <w:rPr>
          <w:sz w:val="24"/>
          <w:szCs w:val="24"/>
        </w:rPr>
        <w:t xml:space="preserve"> that</w:t>
      </w:r>
      <w:r w:rsidR="008904DE">
        <w:rPr>
          <w:sz w:val="24"/>
          <w:szCs w:val="24"/>
        </w:rPr>
        <w:t xml:space="preserve"> </w:t>
      </w:r>
      <w:r w:rsidR="009E4946">
        <w:rPr>
          <w:sz w:val="24"/>
          <w:szCs w:val="24"/>
        </w:rPr>
        <w:t xml:space="preserve">a personal budget </w:t>
      </w:r>
      <w:r w:rsidR="00B532B9">
        <w:rPr>
          <w:sz w:val="24"/>
          <w:szCs w:val="24"/>
        </w:rPr>
        <w:t>often</w:t>
      </w:r>
      <w:r w:rsidR="009E4946">
        <w:rPr>
          <w:sz w:val="24"/>
          <w:szCs w:val="24"/>
        </w:rPr>
        <w:t xml:space="preserve"> increase</w:t>
      </w:r>
      <w:r w:rsidR="009F6748">
        <w:rPr>
          <w:sz w:val="24"/>
          <w:szCs w:val="24"/>
        </w:rPr>
        <w:t>s</w:t>
      </w:r>
      <w:r w:rsidR="009E4946">
        <w:rPr>
          <w:sz w:val="24"/>
          <w:szCs w:val="24"/>
        </w:rPr>
        <w:t xml:space="preserve"> older people’s </w:t>
      </w:r>
      <w:r w:rsidR="00B532B9">
        <w:rPr>
          <w:sz w:val="24"/>
          <w:szCs w:val="24"/>
        </w:rPr>
        <w:t>dependence</w:t>
      </w:r>
      <w:r w:rsidR="009E4946">
        <w:rPr>
          <w:sz w:val="24"/>
          <w:szCs w:val="24"/>
        </w:rPr>
        <w:t xml:space="preserve"> upon their carers or family</w:t>
      </w:r>
      <w:r w:rsidR="008904DE">
        <w:rPr>
          <w:sz w:val="24"/>
          <w:szCs w:val="24"/>
        </w:rPr>
        <w:t xml:space="preserve">, which </w:t>
      </w:r>
      <w:r w:rsidR="00D82029">
        <w:rPr>
          <w:sz w:val="24"/>
          <w:szCs w:val="24"/>
        </w:rPr>
        <w:t>c</w:t>
      </w:r>
      <w:r w:rsidR="009F6748">
        <w:rPr>
          <w:sz w:val="24"/>
          <w:szCs w:val="24"/>
        </w:rPr>
        <w:t>an</w:t>
      </w:r>
      <w:r w:rsidR="00D82029">
        <w:rPr>
          <w:sz w:val="24"/>
          <w:szCs w:val="24"/>
        </w:rPr>
        <w:t xml:space="preserve"> </w:t>
      </w:r>
      <w:r w:rsidR="008904DE">
        <w:rPr>
          <w:sz w:val="24"/>
          <w:szCs w:val="24"/>
        </w:rPr>
        <w:t>again le</w:t>
      </w:r>
      <w:r w:rsidR="00D82029">
        <w:rPr>
          <w:sz w:val="24"/>
          <w:szCs w:val="24"/>
        </w:rPr>
        <w:t>ad</w:t>
      </w:r>
      <w:r w:rsidR="008904DE">
        <w:rPr>
          <w:sz w:val="24"/>
          <w:szCs w:val="24"/>
        </w:rPr>
        <w:t xml:space="preserve"> to further </w:t>
      </w:r>
      <w:r w:rsidR="000D49E3">
        <w:rPr>
          <w:sz w:val="24"/>
          <w:szCs w:val="24"/>
        </w:rPr>
        <w:t>risks alongside</w:t>
      </w:r>
      <w:r w:rsidR="00DD6BEB">
        <w:rPr>
          <w:sz w:val="24"/>
          <w:szCs w:val="24"/>
        </w:rPr>
        <w:t xml:space="preserve"> feelings of</w:t>
      </w:r>
      <w:r w:rsidR="000D49E3">
        <w:rPr>
          <w:sz w:val="24"/>
          <w:szCs w:val="24"/>
        </w:rPr>
        <w:t xml:space="preserve"> </w:t>
      </w:r>
      <w:r w:rsidR="008904DE">
        <w:rPr>
          <w:sz w:val="24"/>
          <w:szCs w:val="24"/>
        </w:rPr>
        <w:t>anxiety or depression</w:t>
      </w:r>
      <w:r w:rsidR="009E4946">
        <w:rPr>
          <w:sz w:val="24"/>
          <w:szCs w:val="24"/>
        </w:rPr>
        <w:t xml:space="preserve"> </w:t>
      </w:r>
      <w:r w:rsidR="009E4946">
        <w:rPr>
          <w:rFonts w:cs="Calibri"/>
          <w:sz w:val="24"/>
          <w:szCs w:val="24"/>
          <w:lang w:val="en"/>
        </w:rPr>
        <w:t xml:space="preserve">(for example, </w:t>
      </w:r>
      <w:proofErr w:type="spellStart"/>
      <w:r w:rsidR="009E4946">
        <w:rPr>
          <w:rFonts w:cs="Calibri"/>
          <w:sz w:val="24"/>
          <w:szCs w:val="24"/>
          <w:lang w:val="en"/>
        </w:rPr>
        <w:t>Feltoe</w:t>
      </w:r>
      <w:proofErr w:type="spellEnd"/>
      <w:r w:rsidR="009E4946">
        <w:rPr>
          <w:rFonts w:cs="Calibri"/>
          <w:sz w:val="24"/>
          <w:szCs w:val="24"/>
          <w:lang w:val="en"/>
        </w:rPr>
        <w:t xml:space="preserve"> and Orellana, 2013).</w:t>
      </w:r>
      <w:r w:rsidR="009E4946">
        <w:rPr>
          <w:sz w:val="24"/>
          <w:szCs w:val="24"/>
        </w:rPr>
        <w:t xml:space="preserve"> </w:t>
      </w:r>
      <w:r w:rsidR="004F1CF9" w:rsidRPr="006576C6">
        <w:rPr>
          <w:rFonts w:cs="Calibri"/>
          <w:sz w:val="24"/>
          <w:szCs w:val="24"/>
          <w:lang w:val="en"/>
        </w:rPr>
        <w:t>Other critics</w:t>
      </w:r>
      <w:r w:rsidR="00D1724E">
        <w:rPr>
          <w:rFonts w:cs="Calibri"/>
          <w:sz w:val="24"/>
          <w:szCs w:val="24"/>
          <w:lang w:val="en"/>
        </w:rPr>
        <w:t xml:space="preserve"> </w:t>
      </w:r>
      <w:r w:rsidR="004F1CF9" w:rsidRPr="006576C6">
        <w:rPr>
          <w:rFonts w:cs="Calibri"/>
          <w:sz w:val="24"/>
          <w:szCs w:val="24"/>
          <w:lang w:val="en"/>
        </w:rPr>
        <w:t>highlighted that official documentation</w:t>
      </w:r>
      <w:r w:rsidR="009F6748">
        <w:rPr>
          <w:rFonts w:cs="Calibri"/>
          <w:sz w:val="24"/>
          <w:szCs w:val="24"/>
          <w:lang w:val="en"/>
        </w:rPr>
        <w:t xml:space="preserve"> has</w:t>
      </w:r>
      <w:r w:rsidR="00D1724E">
        <w:rPr>
          <w:rFonts w:cs="Calibri"/>
          <w:sz w:val="24"/>
          <w:szCs w:val="24"/>
          <w:lang w:val="en"/>
        </w:rPr>
        <w:t xml:space="preserve"> </w:t>
      </w:r>
      <w:r w:rsidR="00686D6B" w:rsidRPr="006576C6">
        <w:rPr>
          <w:rFonts w:cs="Calibri"/>
          <w:sz w:val="24"/>
          <w:szCs w:val="24"/>
          <w:lang w:val="en"/>
        </w:rPr>
        <w:t>reiterated</w:t>
      </w:r>
      <w:r w:rsidR="004F1CF9" w:rsidRPr="006576C6">
        <w:rPr>
          <w:rFonts w:cs="Calibri"/>
          <w:sz w:val="24"/>
          <w:szCs w:val="24"/>
          <w:lang w:val="en"/>
        </w:rPr>
        <w:t xml:space="preserve"> reference</w:t>
      </w:r>
      <w:r w:rsidR="00D1724E">
        <w:rPr>
          <w:rFonts w:cs="Calibri"/>
          <w:sz w:val="24"/>
          <w:szCs w:val="24"/>
          <w:lang w:val="en"/>
        </w:rPr>
        <w:t>s</w:t>
      </w:r>
      <w:r w:rsidR="004F1CF9" w:rsidRPr="006576C6">
        <w:rPr>
          <w:rFonts w:cs="Calibri"/>
          <w:sz w:val="24"/>
          <w:szCs w:val="24"/>
          <w:lang w:val="en"/>
        </w:rPr>
        <w:t xml:space="preserve"> to the growth of a dependent ageing population, as well as the </w:t>
      </w:r>
      <w:r w:rsidR="00D82029">
        <w:rPr>
          <w:rFonts w:cs="Calibri"/>
          <w:sz w:val="24"/>
          <w:szCs w:val="24"/>
          <w:lang w:val="en"/>
        </w:rPr>
        <w:t xml:space="preserve">seemingly </w:t>
      </w:r>
      <w:r w:rsidR="00B30701" w:rsidRPr="006576C6">
        <w:rPr>
          <w:rFonts w:cs="Calibri"/>
          <w:sz w:val="24"/>
          <w:szCs w:val="24"/>
          <w:lang w:val="en"/>
        </w:rPr>
        <w:t>enduring</w:t>
      </w:r>
      <w:r w:rsidR="002F3FED">
        <w:rPr>
          <w:rFonts w:cs="Calibri"/>
          <w:sz w:val="24"/>
          <w:szCs w:val="24"/>
          <w:lang w:val="en"/>
        </w:rPr>
        <w:t xml:space="preserve"> and escalating</w:t>
      </w:r>
      <w:r w:rsidR="004F1CF9" w:rsidRPr="006576C6">
        <w:rPr>
          <w:rFonts w:cs="Calibri"/>
          <w:sz w:val="24"/>
          <w:szCs w:val="24"/>
          <w:lang w:val="en"/>
        </w:rPr>
        <w:t xml:space="preserve"> financial cost of providing</w:t>
      </w:r>
      <w:r w:rsidR="002F3FED">
        <w:rPr>
          <w:rFonts w:cs="Calibri"/>
          <w:sz w:val="24"/>
          <w:szCs w:val="24"/>
          <w:lang w:val="en"/>
        </w:rPr>
        <w:t xml:space="preserve"> </w:t>
      </w:r>
      <w:r w:rsidR="004F1CF9" w:rsidRPr="006576C6">
        <w:rPr>
          <w:rFonts w:cs="Calibri"/>
          <w:sz w:val="24"/>
          <w:szCs w:val="24"/>
          <w:lang w:val="en"/>
        </w:rPr>
        <w:t>support</w:t>
      </w:r>
      <w:r w:rsidR="001D53F8" w:rsidRPr="006576C6">
        <w:rPr>
          <w:rFonts w:cs="Calibri"/>
          <w:sz w:val="24"/>
          <w:szCs w:val="24"/>
          <w:lang w:val="en"/>
        </w:rPr>
        <w:t xml:space="preserve"> (</w:t>
      </w:r>
      <w:proofErr w:type="spellStart"/>
      <w:r w:rsidR="001D53F8" w:rsidRPr="006576C6">
        <w:rPr>
          <w:rFonts w:cs="Calibri"/>
          <w:sz w:val="24"/>
          <w:szCs w:val="24"/>
          <w:lang w:val="en"/>
        </w:rPr>
        <w:t>Lymbery</w:t>
      </w:r>
      <w:proofErr w:type="spellEnd"/>
      <w:r w:rsidR="001D53F8" w:rsidRPr="006576C6">
        <w:rPr>
          <w:rFonts w:cs="Calibri"/>
          <w:sz w:val="24"/>
          <w:szCs w:val="24"/>
          <w:lang w:val="en"/>
        </w:rPr>
        <w:t>, 2012)</w:t>
      </w:r>
      <w:r w:rsidR="004F1CF9" w:rsidRPr="006576C6">
        <w:rPr>
          <w:rFonts w:cs="Calibri"/>
          <w:sz w:val="24"/>
          <w:szCs w:val="24"/>
          <w:lang w:val="en"/>
        </w:rPr>
        <w:t xml:space="preserve">. </w:t>
      </w:r>
      <w:r w:rsidR="001D53F8" w:rsidRPr="006576C6">
        <w:rPr>
          <w:rFonts w:cs="Calibri"/>
          <w:i/>
          <w:iCs/>
          <w:sz w:val="24"/>
          <w:szCs w:val="24"/>
          <w:lang w:val="en"/>
        </w:rPr>
        <w:t xml:space="preserve">Putting People First </w:t>
      </w:r>
      <w:r w:rsidR="001D53F8" w:rsidRPr="006576C6">
        <w:rPr>
          <w:rFonts w:cs="Calibri"/>
          <w:sz w:val="24"/>
          <w:szCs w:val="24"/>
          <w:lang w:val="en"/>
        </w:rPr>
        <w:t>(Department of Health, 2007),</w:t>
      </w:r>
      <w:r w:rsidR="00D818A4">
        <w:rPr>
          <w:rFonts w:cs="Calibri"/>
          <w:sz w:val="24"/>
          <w:szCs w:val="24"/>
          <w:lang w:val="en"/>
        </w:rPr>
        <w:t xml:space="preserve"> and the </w:t>
      </w:r>
      <w:r w:rsidR="00D818A4" w:rsidRPr="00D818A4">
        <w:rPr>
          <w:rFonts w:cs="Calibri"/>
          <w:i/>
          <w:sz w:val="24"/>
          <w:szCs w:val="24"/>
          <w:lang w:val="en"/>
        </w:rPr>
        <w:t>Care Act, 2014</w:t>
      </w:r>
      <w:r w:rsidR="00D818A4">
        <w:rPr>
          <w:rFonts w:cs="Calibri"/>
          <w:sz w:val="24"/>
          <w:szCs w:val="24"/>
          <w:lang w:val="en"/>
        </w:rPr>
        <w:t>,</w:t>
      </w:r>
      <w:r w:rsidR="001D53F8" w:rsidRPr="006576C6">
        <w:rPr>
          <w:rFonts w:cs="Calibri"/>
          <w:sz w:val="24"/>
          <w:szCs w:val="24"/>
          <w:lang w:val="en"/>
        </w:rPr>
        <w:t xml:space="preserve"> for example, conveyed the </w:t>
      </w:r>
      <w:r w:rsidR="002F2B51">
        <w:rPr>
          <w:rFonts w:cs="Calibri"/>
          <w:sz w:val="24"/>
          <w:szCs w:val="24"/>
          <w:lang w:val="en"/>
        </w:rPr>
        <w:t>appare</w:t>
      </w:r>
      <w:r w:rsidR="00872FD9">
        <w:rPr>
          <w:rFonts w:cs="Calibri"/>
          <w:sz w:val="24"/>
          <w:szCs w:val="24"/>
          <w:lang w:val="en"/>
        </w:rPr>
        <w:t xml:space="preserve">nt </w:t>
      </w:r>
      <w:r w:rsidR="001D53F8" w:rsidRPr="006576C6">
        <w:rPr>
          <w:rFonts w:cs="Calibri"/>
          <w:sz w:val="24"/>
          <w:szCs w:val="24"/>
          <w:lang w:val="en"/>
        </w:rPr>
        <w:t xml:space="preserve">strains of a rapidly ageing population, and maintained an urgent need to address options for the funding of </w:t>
      </w:r>
      <w:r w:rsidR="001D53F8" w:rsidRPr="006576C6">
        <w:rPr>
          <w:rFonts w:cs="Calibri"/>
          <w:sz w:val="24"/>
          <w:szCs w:val="24"/>
          <w:lang w:val="en"/>
        </w:rPr>
        <w:lastRenderedPageBreak/>
        <w:t>health and social care system</w:t>
      </w:r>
      <w:r w:rsidR="00872FD9">
        <w:rPr>
          <w:rFonts w:cs="Calibri"/>
          <w:sz w:val="24"/>
          <w:szCs w:val="24"/>
          <w:lang w:val="en"/>
        </w:rPr>
        <w:t>s</w:t>
      </w:r>
      <w:r w:rsidR="001D53F8" w:rsidRPr="006576C6">
        <w:rPr>
          <w:rFonts w:cs="Calibri"/>
          <w:sz w:val="24"/>
          <w:szCs w:val="24"/>
          <w:lang w:val="en"/>
        </w:rPr>
        <w:t>.</w:t>
      </w:r>
      <w:r w:rsidR="001D53F8" w:rsidRPr="006576C6">
        <w:rPr>
          <w:sz w:val="24"/>
          <w:szCs w:val="24"/>
        </w:rPr>
        <w:t xml:space="preserve"> </w:t>
      </w:r>
      <w:r w:rsidR="000D49E3" w:rsidRPr="003A1CDF">
        <w:rPr>
          <w:sz w:val="24"/>
          <w:szCs w:val="24"/>
        </w:rPr>
        <w:t xml:space="preserve">In 2010, the policy document </w:t>
      </w:r>
      <w:r w:rsidR="000D49E3" w:rsidRPr="003A1CDF">
        <w:rPr>
          <w:i/>
          <w:iCs/>
          <w:sz w:val="24"/>
          <w:szCs w:val="24"/>
        </w:rPr>
        <w:t>A Vision for Adult Social Care</w:t>
      </w:r>
      <w:r w:rsidR="000D49E3" w:rsidRPr="003A1CDF">
        <w:rPr>
          <w:sz w:val="24"/>
          <w:szCs w:val="24"/>
        </w:rPr>
        <w:t xml:space="preserve">, </w:t>
      </w:r>
      <w:r w:rsidR="003A1CDF">
        <w:rPr>
          <w:sz w:val="24"/>
          <w:szCs w:val="24"/>
        </w:rPr>
        <w:t>reiterated</w:t>
      </w:r>
      <w:r w:rsidR="000D49E3" w:rsidRPr="003A1CDF">
        <w:rPr>
          <w:sz w:val="24"/>
          <w:szCs w:val="24"/>
        </w:rPr>
        <w:t xml:space="preserve"> </w:t>
      </w:r>
      <w:r w:rsidR="006A6695">
        <w:rPr>
          <w:sz w:val="24"/>
          <w:szCs w:val="24"/>
        </w:rPr>
        <w:t xml:space="preserve">that personalisation </w:t>
      </w:r>
      <w:r w:rsidR="00C75BCD">
        <w:rPr>
          <w:sz w:val="24"/>
          <w:szCs w:val="24"/>
        </w:rPr>
        <w:t>was central to government</w:t>
      </w:r>
      <w:r w:rsidR="001B7364">
        <w:rPr>
          <w:sz w:val="24"/>
          <w:szCs w:val="24"/>
        </w:rPr>
        <w:t xml:space="preserve"> policy</w:t>
      </w:r>
      <w:r w:rsidR="00C75BCD">
        <w:rPr>
          <w:sz w:val="24"/>
          <w:szCs w:val="24"/>
        </w:rPr>
        <w:t xml:space="preserve"> yet added </w:t>
      </w:r>
      <w:r w:rsidR="000D49E3" w:rsidRPr="003A1CDF">
        <w:rPr>
          <w:sz w:val="24"/>
          <w:szCs w:val="24"/>
        </w:rPr>
        <w:t xml:space="preserve">that care </w:t>
      </w:r>
      <w:r w:rsidR="003A1CDF" w:rsidRPr="003A1CDF">
        <w:rPr>
          <w:sz w:val="24"/>
          <w:szCs w:val="24"/>
        </w:rPr>
        <w:t xml:space="preserve">for older adults </w:t>
      </w:r>
      <w:r w:rsidR="000D49E3" w:rsidRPr="003A1CDF">
        <w:rPr>
          <w:sz w:val="24"/>
          <w:szCs w:val="24"/>
        </w:rPr>
        <w:t xml:space="preserve">must be </w:t>
      </w:r>
      <w:r w:rsidR="003A1CDF" w:rsidRPr="003A1CDF">
        <w:rPr>
          <w:sz w:val="24"/>
          <w:szCs w:val="24"/>
        </w:rPr>
        <w:t>‘</w:t>
      </w:r>
      <w:r w:rsidR="000D49E3" w:rsidRPr="003A1CDF">
        <w:rPr>
          <w:sz w:val="24"/>
          <w:szCs w:val="24"/>
        </w:rPr>
        <w:t>about reinforcing personal and community resilience, reciprocity and responsibility, to prevent and postpone dependency and promote greater independence and choice</w:t>
      </w:r>
      <w:r w:rsidR="003A1CDF" w:rsidRPr="003A1CDF">
        <w:rPr>
          <w:sz w:val="24"/>
          <w:szCs w:val="24"/>
        </w:rPr>
        <w:t>’</w:t>
      </w:r>
      <w:r w:rsidR="000D49E3" w:rsidRPr="003A1CDF">
        <w:rPr>
          <w:sz w:val="24"/>
          <w:szCs w:val="24"/>
        </w:rPr>
        <w:t xml:space="preserve"> (Department of Health, 2010</w:t>
      </w:r>
      <w:r w:rsidR="003A1CDF" w:rsidRPr="003A1CDF">
        <w:rPr>
          <w:sz w:val="24"/>
          <w:szCs w:val="24"/>
        </w:rPr>
        <w:t>: 5</w:t>
      </w:r>
      <w:r w:rsidR="000D49E3" w:rsidRPr="003A1CDF">
        <w:rPr>
          <w:sz w:val="24"/>
          <w:szCs w:val="24"/>
        </w:rPr>
        <w:t>).</w:t>
      </w:r>
      <w:r w:rsidR="000D49E3">
        <w:rPr>
          <w:rFonts w:asciiTheme="minorBidi" w:hAnsiTheme="minorBidi"/>
        </w:rPr>
        <w:t xml:space="preserve"> </w:t>
      </w:r>
    </w:p>
    <w:p w14:paraId="6BB6C1A9" w14:textId="0B53827E" w:rsidR="00926857" w:rsidRDefault="00690C74" w:rsidP="0070073A">
      <w:pPr>
        <w:spacing w:line="480" w:lineRule="auto"/>
        <w:rPr>
          <w:sz w:val="24"/>
          <w:szCs w:val="24"/>
        </w:rPr>
      </w:pPr>
      <w:r w:rsidRPr="006576C6">
        <w:rPr>
          <w:rFonts w:cs="Calibri"/>
          <w:sz w:val="24"/>
          <w:szCs w:val="24"/>
          <w:lang w:val="en"/>
        </w:rPr>
        <w:t xml:space="preserve">While highlighting </w:t>
      </w:r>
      <w:r w:rsidR="004F06A9">
        <w:rPr>
          <w:rFonts w:cs="Calibri"/>
          <w:sz w:val="24"/>
          <w:szCs w:val="24"/>
          <w:lang w:val="en"/>
        </w:rPr>
        <w:t>some</w:t>
      </w:r>
      <w:r w:rsidRPr="006576C6">
        <w:rPr>
          <w:rFonts w:cs="Calibri"/>
          <w:sz w:val="24"/>
          <w:szCs w:val="24"/>
          <w:lang w:val="en"/>
        </w:rPr>
        <w:t xml:space="preserve"> of these points</w:t>
      </w:r>
      <w:r w:rsidR="009030B6" w:rsidRPr="006576C6">
        <w:rPr>
          <w:rFonts w:cs="Calibri"/>
          <w:sz w:val="24"/>
          <w:szCs w:val="24"/>
          <w:lang w:val="en"/>
        </w:rPr>
        <w:t xml:space="preserve"> and others</w:t>
      </w:r>
      <w:r w:rsidRPr="006576C6">
        <w:rPr>
          <w:rFonts w:cs="Calibri"/>
          <w:sz w:val="24"/>
          <w:szCs w:val="24"/>
          <w:lang w:val="en"/>
        </w:rPr>
        <w:t>, Lloyd (2010)</w:t>
      </w:r>
      <w:r w:rsidR="001D53F8" w:rsidRPr="006576C6">
        <w:rPr>
          <w:rFonts w:cs="Calibri"/>
          <w:sz w:val="24"/>
          <w:szCs w:val="24"/>
          <w:lang w:val="en"/>
        </w:rPr>
        <w:t xml:space="preserve"> </w:t>
      </w:r>
      <w:r w:rsidR="00872FD9">
        <w:rPr>
          <w:rFonts w:cs="Calibri"/>
          <w:sz w:val="24"/>
          <w:szCs w:val="24"/>
          <w:lang w:val="en"/>
        </w:rPr>
        <w:t>argues</w:t>
      </w:r>
      <w:r w:rsidR="001D53F8" w:rsidRPr="006576C6">
        <w:rPr>
          <w:rFonts w:cs="Calibri"/>
          <w:sz w:val="24"/>
          <w:szCs w:val="24"/>
          <w:lang w:val="en"/>
        </w:rPr>
        <w:t xml:space="preserve"> that the feminist and ‘justice turn’ inspired </w:t>
      </w:r>
      <w:r w:rsidR="00D82029">
        <w:rPr>
          <w:rFonts w:cs="Calibri"/>
          <w:sz w:val="24"/>
          <w:szCs w:val="24"/>
          <w:lang w:val="en"/>
        </w:rPr>
        <w:t>E</w:t>
      </w:r>
      <w:r w:rsidR="001D53F8" w:rsidRPr="006576C6">
        <w:rPr>
          <w:rFonts w:cs="Calibri"/>
          <w:sz w:val="24"/>
          <w:szCs w:val="24"/>
          <w:lang w:val="en"/>
        </w:rPr>
        <w:t xml:space="preserve">thics of </w:t>
      </w:r>
      <w:r w:rsidR="00D82029">
        <w:rPr>
          <w:rFonts w:cs="Calibri"/>
          <w:sz w:val="24"/>
          <w:szCs w:val="24"/>
          <w:lang w:val="en"/>
        </w:rPr>
        <w:t>C</w:t>
      </w:r>
      <w:r w:rsidR="001D53F8" w:rsidRPr="006576C6">
        <w:rPr>
          <w:rFonts w:cs="Calibri"/>
          <w:sz w:val="24"/>
          <w:szCs w:val="24"/>
          <w:lang w:val="en"/>
        </w:rPr>
        <w:t>are offers a</w:t>
      </w:r>
      <w:r w:rsidR="004F06A9">
        <w:rPr>
          <w:rFonts w:cs="Calibri"/>
          <w:sz w:val="24"/>
          <w:szCs w:val="24"/>
          <w:lang w:val="en"/>
        </w:rPr>
        <w:t>n ideal</w:t>
      </w:r>
      <w:r w:rsidR="009030B6" w:rsidRPr="006576C6">
        <w:rPr>
          <w:rFonts w:cs="Calibri"/>
          <w:sz w:val="24"/>
          <w:szCs w:val="24"/>
          <w:lang w:val="en"/>
        </w:rPr>
        <w:t xml:space="preserve"> holistic</w:t>
      </w:r>
      <w:r w:rsidR="001D53F8" w:rsidRPr="006576C6">
        <w:rPr>
          <w:rFonts w:cs="Calibri"/>
          <w:sz w:val="24"/>
          <w:szCs w:val="24"/>
          <w:lang w:val="en"/>
        </w:rPr>
        <w:t xml:space="preserve"> </w:t>
      </w:r>
      <w:r w:rsidR="009030B6" w:rsidRPr="006576C6">
        <w:rPr>
          <w:rFonts w:cs="Calibri"/>
          <w:sz w:val="24"/>
          <w:szCs w:val="24"/>
          <w:lang w:val="en"/>
        </w:rPr>
        <w:t>framework</w:t>
      </w:r>
      <w:r w:rsidR="001D53F8" w:rsidRPr="006576C6">
        <w:rPr>
          <w:rFonts w:cs="Calibri"/>
          <w:sz w:val="24"/>
          <w:szCs w:val="24"/>
          <w:lang w:val="en"/>
        </w:rPr>
        <w:t xml:space="preserve"> through which the nuances of the giving and receiving of </w:t>
      </w:r>
      <w:proofErr w:type="spellStart"/>
      <w:r w:rsidR="00872FD9">
        <w:rPr>
          <w:rFonts w:cs="Calibri"/>
          <w:sz w:val="24"/>
          <w:szCs w:val="24"/>
          <w:lang w:val="en"/>
        </w:rPr>
        <w:t>personalised</w:t>
      </w:r>
      <w:proofErr w:type="spellEnd"/>
      <w:r w:rsidR="00872FD9">
        <w:rPr>
          <w:rFonts w:cs="Calibri"/>
          <w:sz w:val="24"/>
          <w:szCs w:val="24"/>
          <w:lang w:val="en"/>
        </w:rPr>
        <w:t xml:space="preserve"> </w:t>
      </w:r>
      <w:r w:rsidR="001D53F8" w:rsidRPr="006576C6">
        <w:rPr>
          <w:rFonts w:cs="Calibri"/>
          <w:sz w:val="24"/>
          <w:szCs w:val="24"/>
          <w:lang w:val="en"/>
        </w:rPr>
        <w:t xml:space="preserve">care for older people can be </w:t>
      </w:r>
      <w:r w:rsidR="004F06A9">
        <w:rPr>
          <w:rFonts w:cs="Calibri"/>
          <w:sz w:val="24"/>
          <w:szCs w:val="24"/>
          <w:lang w:val="en"/>
        </w:rPr>
        <w:t xml:space="preserve">better </w:t>
      </w:r>
      <w:r w:rsidR="001D53F8" w:rsidRPr="006576C6">
        <w:rPr>
          <w:rFonts w:cs="Calibri"/>
          <w:sz w:val="24"/>
          <w:szCs w:val="24"/>
          <w:lang w:val="en"/>
        </w:rPr>
        <w:t>understood</w:t>
      </w:r>
      <w:r w:rsidR="00D818A4">
        <w:rPr>
          <w:rFonts w:cs="Calibri"/>
          <w:sz w:val="24"/>
          <w:szCs w:val="24"/>
          <w:lang w:val="en"/>
        </w:rPr>
        <w:t xml:space="preserve">. </w:t>
      </w:r>
      <w:r w:rsidR="00D818A4" w:rsidRPr="00E8048B">
        <w:rPr>
          <w:rFonts w:cs="Calibri"/>
          <w:sz w:val="24"/>
          <w:szCs w:val="24"/>
          <w:lang w:val="en"/>
        </w:rPr>
        <w:t>This includes its capacity to ‘</w:t>
      </w:r>
      <w:r w:rsidR="00D818A4" w:rsidRPr="00E8048B">
        <w:rPr>
          <w:sz w:val="24"/>
          <w:szCs w:val="24"/>
        </w:rPr>
        <w:t xml:space="preserve">place the perspectives of those who </w:t>
      </w:r>
      <w:proofErr w:type="gramStart"/>
      <w:r w:rsidR="00D818A4" w:rsidRPr="00E8048B">
        <w:rPr>
          <w:sz w:val="24"/>
          <w:szCs w:val="24"/>
        </w:rPr>
        <w:t>are in need of</w:t>
      </w:r>
      <w:proofErr w:type="gramEnd"/>
      <w:r w:rsidR="00D818A4" w:rsidRPr="00E8048B">
        <w:rPr>
          <w:sz w:val="24"/>
          <w:szCs w:val="24"/>
        </w:rPr>
        <w:t xml:space="preserve"> care centre-stage’, </w:t>
      </w:r>
      <w:r w:rsidR="00E8048B" w:rsidRPr="00E8048B">
        <w:rPr>
          <w:sz w:val="24"/>
          <w:szCs w:val="24"/>
        </w:rPr>
        <w:t>and</w:t>
      </w:r>
      <w:r w:rsidR="00D818A4" w:rsidRPr="00E8048B">
        <w:rPr>
          <w:sz w:val="24"/>
          <w:szCs w:val="24"/>
        </w:rPr>
        <w:t xml:space="preserve"> focus on</w:t>
      </w:r>
      <w:r w:rsidR="00D818A4" w:rsidRPr="00E8048B">
        <w:rPr>
          <w:rFonts w:cs="Calibri"/>
          <w:sz w:val="24"/>
          <w:szCs w:val="24"/>
          <w:lang w:val="en"/>
        </w:rPr>
        <w:t xml:space="preserve"> </w:t>
      </w:r>
      <w:r w:rsidR="00D82029">
        <w:rPr>
          <w:rFonts w:cs="Calibri"/>
          <w:sz w:val="24"/>
          <w:szCs w:val="24"/>
          <w:lang w:val="en"/>
        </w:rPr>
        <w:t>‘</w:t>
      </w:r>
      <w:r w:rsidR="009030B6" w:rsidRPr="00E8048B">
        <w:rPr>
          <w:rFonts w:cs="Calibri"/>
          <w:sz w:val="24"/>
          <w:szCs w:val="24"/>
          <w:lang w:val="en"/>
        </w:rPr>
        <w:t>the many ways in which dependency is experienced at this stage of the life course’</w:t>
      </w:r>
      <w:r w:rsidR="00F01232" w:rsidRPr="00F01232">
        <w:rPr>
          <w:rFonts w:cs="Calibri"/>
          <w:sz w:val="24"/>
          <w:szCs w:val="24"/>
          <w:lang w:val="en"/>
        </w:rPr>
        <w:t xml:space="preserve"> </w:t>
      </w:r>
      <w:r w:rsidR="00F01232">
        <w:rPr>
          <w:rFonts w:cs="Calibri"/>
          <w:sz w:val="24"/>
          <w:szCs w:val="24"/>
          <w:lang w:val="en"/>
        </w:rPr>
        <w:t>(</w:t>
      </w:r>
      <w:r w:rsidR="00F01232" w:rsidRPr="006576C6">
        <w:rPr>
          <w:rFonts w:cs="Calibri"/>
          <w:sz w:val="24"/>
          <w:szCs w:val="24"/>
          <w:lang w:val="en"/>
        </w:rPr>
        <w:t>Lloyd</w:t>
      </w:r>
      <w:r w:rsidR="00F01232">
        <w:rPr>
          <w:rFonts w:cs="Calibri"/>
          <w:sz w:val="24"/>
          <w:szCs w:val="24"/>
          <w:lang w:val="en"/>
        </w:rPr>
        <w:t xml:space="preserve">, </w:t>
      </w:r>
      <w:r w:rsidR="00F01232" w:rsidRPr="006576C6">
        <w:rPr>
          <w:rFonts w:cs="Calibri"/>
          <w:sz w:val="24"/>
          <w:szCs w:val="24"/>
          <w:lang w:val="en"/>
        </w:rPr>
        <w:t>2010: 198)</w:t>
      </w:r>
      <w:r w:rsidR="009030B6" w:rsidRPr="00E8048B">
        <w:rPr>
          <w:rFonts w:cs="Calibri"/>
          <w:sz w:val="24"/>
          <w:szCs w:val="24"/>
          <w:lang w:val="en"/>
        </w:rPr>
        <w:t xml:space="preserve">. </w:t>
      </w:r>
      <w:r w:rsidR="00D70EBA" w:rsidRPr="00E8048B">
        <w:rPr>
          <w:rFonts w:cs="Calibri"/>
          <w:sz w:val="24"/>
          <w:szCs w:val="24"/>
          <w:lang w:val="en"/>
        </w:rPr>
        <w:t xml:space="preserve">As Lloyd herself </w:t>
      </w:r>
      <w:r w:rsidR="00872FD9">
        <w:rPr>
          <w:rFonts w:cs="Calibri"/>
          <w:sz w:val="24"/>
          <w:szCs w:val="24"/>
          <w:lang w:val="en"/>
        </w:rPr>
        <w:t>acknowledges</w:t>
      </w:r>
      <w:r w:rsidR="00D70EBA" w:rsidRPr="00E8048B">
        <w:rPr>
          <w:rFonts w:cs="Calibri"/>
          <w:sz w:val="24"/>
          <w:szCs w:val="24"/>
          <w:lang w:val="en"/>
        </w:rPr>
        <w:t>, not everyone agrees</w:t>
      </w:r>
      <w:r w:rsidR="00DD6BEB">
        <w:rPr>
          <w:rFonts w:cs="Calibri"/>
          <w:sz w:val="24"/>
          <w:szCs w:val="24"/>
          <w:lang w:val="en"/>
        </w:rPr>
        <w:t xml:space="preserve"> however</w:t>
      </w:r>
      <w:r w:rsidR="00D70EBA" w:rsidRPr="00E8048B">
        <w:rPr>
          <w:rFonts w:cs="Calibri"/>
          <w:sz w:val="24"/>
          <w:szCs w:val="24"/>
          <w:lang w:val="en"/>
        </w:rPr>
        <w:t>.</w:t>
      </w:r>
      <w:r w:rsidR="00822134" w:rsidRPr="00E8048B">
        <w:rPr>
          <w:sz w:val="24"/>
          <w:szCs w:val="24"/>
        </w:rPr>
        <w:t xml:space="preserve"> </w:t>
      </w:r>
      <w:r w:rsidR="000A6A98" w:rsidRPr="00E8048B">
        <w:rPr>
          <w:rFonts w:cs="Arial"/>
          <w:sz w:val="24"/>
          <w:szCs w:val="24"/>
        </w:rPr>
        <w:t>In examining numerous</w:t>
      </w:r>
      <w:r w:rsidR="000A6A98" w:rsidRPr="006576C6">
        <w:rPr>
          <w:rFonts w:cs="Arial"/>
          <w:sz w:val="24"/>
          <w:szCs w:val="24"/>
        </w:rPr>
        <w:t xml:space="preserve"> debates </w:t>
      </w:r>
      <w:r w:rsidR="00872FD9">
        <w:rPr>
          <w:rFonts w:cs="Arial"/>
          <w:sz w:val="24"/>
          <w:szCs w:val="24"/>
        </w:rPr>
        <w:t>regarding</w:t>
      </w:r>
      <w:r w:rsidR="000A6A98" w:rsidRPr="006576C6">
        <w:rPr>
          <w:rFonts w:cs="Arial"/>
          <w:sz w:val="24"/>
          <w:szCs w:val="24"/>
        </w:rPr>
        <w:t xml:space="preserve"> the </w:t>
      </w:r>
      <w:r w:rsidR="008D5AFF">
        <w:rPr>
          <w:rFonts w:cs="Arial"/>
          <w:sz w:val="24"/>
          <w:szCs w:val="24"/>
        </w:rPr>
        <w:t>f</w:t>
      </w:r>
      <w:r w:rsidR="000A6A98" w:rsidRPr="006576C6">
        <w:rPr>
          <w:rFonts w:cs="Arial"/>
          <w:sz w:val="24"/>
          <w:szCs w:val="24"/>
        </w:rPr>
        <w:t xml:space="preserve">ourth </w:t>
      </w:r>
      <w:r w:rsidR="00860CAD">
        <w:rPr>
          <w:rFonts w:cs="Arial"/>
          <w:sz w:val="24"/>
          <w:szCs w:val="24"/>
        </w:rPr>
        <w:t>a</w:t>
      </w:r>
      <w:r w:rsidR="000A6A98" w:rsidRPr="006576C6">
        <w:rPr>
          <w:rFonts w:cs="Arial"/>
          <w:sz w:val="24"/>
          <w:szCs w:val="24"/>
        </w:rPr>
        <w:t xml:space="preserve">ge, Higgs and </w:t>
      </w:r>
      <w:proofErr w:type="spellStart"/>
      <w:r w:rsidR="000A6A98" w:rsidRPr="006576C6">
        <w:rPr>
          <w:rFonts w:cs="Arial"/>
          <w:sz w:val="24"/>
          <w:szCs w:val="24"/>
        </w:rPr>
        <w:t>Gilleard</w:t>
      </w:r>
      <w:proofErr w:type="spellEnd"/>
      <w:r w:rsidR="000A6A98" w:rsidRPr="006576C6">
        <w:rPr>
          <w:rFonts w:cs="Arial"/>
          <w:sz w:val="24"/>
          <w:szCs w:val="24"/>
        </w:rPr>
        <w:t xml:space="preserve"> (2015: 107-108) stress the </w:t>
      </w:r>
      <w:r w:rsidR="004F06A9">
        <w:rPr>
          <w:rFonts w:cs="Arial"/>
          <w:sz w:val="24"/>
          <w:szCs w:val="24"/>
        </w:rPr>
        <w:t>E</w:t>
      </w:r>
      <w:r w:rsidR="000A6A98" w:rsidRPr="006576C6">
        <w:rPr>
          <w:rFonts w:cs="Arial"/>
          <w:sz w:val="24"/>
          <w:szCs w:val="24"/>
        </w:rPr>
        <w:t xml:space="preserve">thics of </w:t>
      </w:r>
      <w:r w:rsidR="004F06A9">
        <w:rPr>
          <w:rFonts w:cs="Arial"/>
          <w:sz w:val="24"/>
          <w:szCs w:val="24"/>
        </w:rPr>
        <w:t>C</w:t>
      </w:r>
      <w:r w:rsidR="000A6A98" w:rsidRPr="006576C6">
        <w:rPr>
          <w:rFonts w:cs="Arial"/>
          <w:sz w:val="24"/>
          <w:szCs w:val="24"/>
        </w:rPr>
        <w:t>are’s inability to fully accommodate the nuances of care giving and</w:t>
      </w:r>
      <w:r w:rsidR="00E8048B">
        <w:rPr>
          <w:rFonts w:cs="Arial"/>
          <w:sz w:val="24"/>
          <w:szCs w:val="24"/>
        </w:rPr>
        <w:t>, in particular,</w:t>
      </w:r>
      <w:r w:rsidR="000A6A98" w:rsidRPr="006576C6">
        <w:rPr>
          <w:rFonts w:cs="Arial"/>
          <w:sz w:val="24"/>
          <w:szCs w:val="24"/>
        </w:rPr>
        <w:t xml:space="preserve"> </w:t>
      </w:r>
      <w:r w:rsidR="00D82029">
        <w:rPr>
          <w:rFonts w:cs="Arial"/>
          <w:sz w:val="24"/>
          <w:szCs w:val="24"/>
        </w:rPr>
        <w:t xml:space="preserve">the unequal </w:t>
      </w:r>
      <w:r w:rsidR="000A6A98" w:rsidRPr="006576C6">
        <w:rPr>
          <w:rFonts w:cs="Arial"/>
          <w:sz w:val="24"/>
          <w:szCs w:val="24"/>
        </w:rPr>
        <w:t>power relations</w:t>
      </w:r>
      <w:r w:rsidR="00872FD9">
        <w:rPr>
          <w:rFonts w:cs="Arial"/>
          <w:sz w:val="24"/>
          <w:szCs w:val="24"/>
        </w:rPr>
        <w:t xml:space="preserve"> </w:t>
      </w:r>
      <w:r w:rsidR="00564D70">
        <w:rPr>
          <w:rFonts w:cs="Arial"/>
          <w:sz w:val="24"/>
          <w:szCs w:val="24"/>
        </w:rPr>
        <w:t xml:space="preserve">which can </w:t>
      </w:r>
      <w:r w:rsidR="004F0E31">
        <w:rPr>
          <w:rFonts w:cs="Arial"/>
          <w:sz w:val="24"/>
          <w:szCs w:val="24"/>
        </w:rPr>
        <w:t xml:space="preserve">quickly </w:t>
      </w:r>
      <w:r w:rsidR="00564D70">
        <w:rPr>
          <w:rFonts w:cs="Arial"/>
          <w:sz w:val="24"/>
          <w:szCs w:val="24"/>
        </w:rPr>
        <w:t xml:space="preserve">form </w:t>
      </w:r>
      <w:r w:rsidR="00872FD9">
        <w:rPr>
          <w:rFonts w:cs="Arial"/>
          <w:sz w:val="24"/>
          <w:szCs w:val="24"/>
        </w:rPr>
        <w:t xml:space="preserve">between </w:t>
      </w:r>
      <w:r w:rsidR="004F06A9">
        <w:rPr>
          <w:rFonts w:cs="Arial"/>
          <w:sz w:val="24"/>
          <w:szCs w:val="24"/>
        </w:rPr>
        <w:t xml:space="preserve">numerous </w:t>
      </w:r>
      <w:r w:rsidR="00872FD9">
        <w:rPr>
          <w:rFonts w:cs="Arial"/>
          <w:sz w:val="24"/>
          <w:szCs w:val="24"/>
        </w:rPr>
        <w:t>fourth age</w:t>
      </w:r>
      <w:r w:rsidR="001B7364">
        <w:rPr>
          <w:rFonts w:cs="Arial"/>
          <w:sz w:val="24"/>
          <w:szCs w:val="24"/>
        </w:rPr>
        <w:t xml:space="preserve"> demographic groups</w:t>
      </w:r>
      <w:r w:rsidR="00872FD9">
        <w:rPr>
          <w:rFonts w:cs="Arial"/>
          <w:sz w:val="24"/>
          <w:szCs w:val="24"/>
        </w:rPr>
        <w:t xml:space="preserve"> and their care</w:t>
      </w:r>
      <w:r w:rsidR="004F06A9">
        <w:rPr>
          <w:rFonts w:cs="Arial"/>
          <w:sz w:val="24"/>
          <w:szCs w:val="24"/>
        </w:rPr>
        <w:t xml:space="preserve"> givers</w:t>
      </w:r>
      <w:r w:rsidR="000A6A98" w:rsidRPr="006576C6">
        <w:rPr>
          <w:rFonts w:cs="Arial"/>
          <w:sz w:val="24"/>
          <w:szCs w:val="24"/>
        </w:rPr>
        <w:t xml:space="preserve">. </w:t>
      </w:r>
      <w:r w:rsidR="00564D70">
        <w:rPr>
          <w:rFonts w:cs="Arial"/>
          <w:sz w:val="24"/>
          <w:szCs w:val="24"/>
        </w:rPr>
        <w:t>Relatedly, t</w:t>
      </w:r>
      <w:r w:rsidR="000A6A98" w:rsidRPr="006576C6">
        <w:rPr>
          <w:rFonts w:cs="Arial"/>
          <w:sz w:val="24"/>
          <w:szCs w:val="24"/>
        </w:rPr>
        <w:t xml:space="preserve">hey point to an </w:t>
      </w:r>
      <w:r w:rsidR="008A685E" w:rsidRPr="006576C6">
        <w:rPr>
          <w:rFonts w:cs="Arial"/>
          <w:sz w:val="24"/>
          <w:szCs w:val="24"/>
        </w:rPr>
        <w:t>often unavoidable</w:t>
      </w:r>
      <w:r w:rsidR="000A6A98" w:rsidRPr="006576C6">
        <w:rPr>
          <w:rFonts w:cs="Arial"/>
          <w:sz w:val="24"/>
          <w:szCs w:val="24"/>
        </w:rPr>
        <w:t xml:space="preserve"> ‘parent/child template’ </w:t>
      </w:r>
      <w:r w:rsidR="004F06A9">
        <w:rPr>
          <w:rFonts w:cs="Arial"/>
          <w:sz w:val="24"/>
          <w:szCs w:val="24"/>
        </w:rPr>
        <w:t xml:space="preserve">not uncommonly </w:t>
      </w:r>
      <w:r w:rsidR="000A6A98" w:rsidRPr="006576C6">
        <w:rPr>
          <w:rFonts w:cs="Arial"/>
          <w:sz w:val="24"/>
          <w:szCs w:val="24"/>
        </w:rPr>
        <w:t>embodied in much care for older people with high</w:t>
      </w:r>
      <w:r w:rsidR="008A685E" w:rsidRPr="006576C6">
        <w:rPr>
          <w:rFonts w:cs="Arial"/>
          <w:sz w:val="24"/>
          <w:szCs w:val="24"/>
        </w:rPr>
        <w:t xml:space="preserve"> level</w:t>
      </w:r>
      <w:r w:rsidR="000A6A98" w:rsidRPr="006576C6">
        <w:rPr>
          <w:rFonts w:cs="Arial"/>
          <w:sz w:val="24"/>
          <w:szCs w:val="24"/>
        </w:rPr>
        <w:t xml:space="preserve"> needs</w:t>
      </w:r>
      <w:r w:rsidR="004F06A9">
        <w:rPr>
          <w:rFonts w:cs="Arial"/>
          <w:sz w:val="24"/>
          <w:szCs w:val="24"/>
        </w:rPr>
        <w:t xml:space="preserve">, and </w:t>
      </w:r>
      <w:r w:rsidR="000A6A98" w:rsidRPr="006576C6">
        <w:rPr>
          <w:rFonts w:cs="Arial"/>
          <w:sz w:val="24"/>
          <w:szCs w:val="24"/>
        </w:rPr>
        <w:t xml:space="preserve">which may be further denied if we </w:t>
      </w:r>
      <w:r w:rsidR="00F01232">
        <w:rPr>
          <w:rFonts w:cs="Arial"/>
          <w:sz w:val="24"/>
          <w:szCs w:val="24"/>
        </w:rPr>
        <w:t xml:space="preserve">insist on </w:t>
      </w:r>
      <w:r w:rsidR="004F0E31">
        <w:rPr>
          <w:rFonts w:cs="Arial"/>
          <w:sz w:val="24"/>
          <w:szCs w:val="24"/>
        </w:rPr>
        <w:t xml:space="preserve">assuming and </w:t>
      </w:r>
      <w:r w:rsidR="000A6A98" w:rsidRPr="006576C6">
        <w:rPr>
          <w:rFonts w:cs="Arial"/>
          <w:sz w:val="24"/>
          <w:szCs w:val="24"/>
        </w:rPr>
        <w:t>universally privileg</w:t>
      </w:r>
      <w:r w:rsidR="00F01232">
        <w:rPr>
          <w:rFonts w:cs="Arial"/>
          <w:sz w:val="24"/>
          <w:szCs w:val="24"/>
        </w:rPr>
        <w:t>ing</w:t>
      </w:r>
      <w:r w:rsidR="000A6A98" w:rsidRPr="006576C6">
        <w:rPr>
          <w:rFonts w:cs="Arial"/>
          <w:sz w:val="24"/>
          <w:szCs w:val="24"/>
        </w:rPr>
        <w:t xml:space="preserve"> </w:t>
      </w:r>
      <w:r w:rsidR="004F0E31">
        <w:rPr>
          <w:rFonts w:cs="Arial"/>
          <w:sz w:val="24"/>
          <w:szCs w:val="24"/>
        </w:rPr>
        <w:t xml:space="preserve">idealised support and </w:t>
      </w:r>
      <w:r w:rsidR="000A6A98" w:rsidRPr="006576C6">
        <w:rPr>
          <w:rFonts w:cs="Arial"/>
          <w:sz w:val="24"/>
          <w:szCs w:val="24"/>
        </w:rPr>
        <w:t>compassionate care</w:t>
      </w:r>
      <w:r w:rsidR="00F01232">
        <w:rPr>
          <w:rFonts w:cs="Arial"/>
          <w:sz w:val="24"/>
          <w:szCs w:val="24"/>
        </w:rPr>
        <w:t xml:space="preserve"> </w:t>
      </w:r>
      <w:r w:rsidR="000A6A98" w:rsidRPr="006576C6">
        <w:rPr>
          <w:rFonts w:cs="Arial"/>
          <w:sz w:val="24"/>
          <w:szCs w:val="24"/>
        </w:rPr>
        <w:t xml:space="preserve">above other </w:t>
      </w:r>
      <w:r w:rsidR="00872FD9">
        <w:rPr>
          <w:rFonts w:cs="Arial"/>
          <w:sz w:val="24"/>
          <w:szCs w:val="24"/>
        </w:rPr>
        <w:t>types of response</w:t>
      </w:r>
      <w:r w:rsidR="000A6A98" w:rsidRPr="006576C6">
        <w:rPr>
          <w:rFonts w:cs="Arial"/>
          <w:sz w:val="24"/>
          <w:szCs w:val="24"/>
        </w:rPr>
        <w:t>.</w:t>
      </w:r>
      <w:r w:rsidR="00872FD9">
        <w:rPr>
          <w:rFonts w:cs="Arial"/>
          <w:sz w:val="24"/>
          <w:szCs w:val="24"/>
        </w:rPr>
        <w:t xml:space="preserve"> </w:t>
      </w:r>
      <w:r w:rsidR="008A685E" w:rsidRPr="006576C6">
        <w:rPr>
          <w:rFonts w:cs="Arial"/>
          <w:sz w:val="24"/>
          <w:szCs w:val="24"/>
        </w:rPr>
        <w:t>Taking a</w:t>
      </w:r>
      <w:r w:rsidR="00872FD9">
        <w:rPr>
          <w:rFonts w:cs="Arial"/>
          <w:sz w:val="24"/>
          <w:szCs w:val="24"/>
        </w:rPr>
        <w:t xml:space="preserve"> </w:t>
      </w:r>
      <w:r w:rsidR="008A685E" w:rsidRPr="006576C6">
        <w:rPr>
          <w:rFonts w:cs="Arial"/>
          <w:sz w:val="24"/>
          <w:szCs w:val="24"/>
        </w:rPr>
        <w:t xml:space="preserve">different stance, some disability rights campaigners </w:t>
      </w:r>
      <w:r w:rsidR="00872FD9">
        <w:rPr>
          <w:rFonts w:cs="Arial"/>
          <w:sz w:val="24"/>
          <w:szCs w:val="24"/>
        </w:rPr>
        <w:t xml:space="preserve">have </w:t>
      </w:r>
      <w:r w:rsidR="008A685E" w:rsidRPr="006576C6">
        <w:rPr>
          <w:rFonts w:cs="Arial"/>
          <w:sz w:val="24"/>
          <w:szCs w:val="24"/>
        </w:rPr>
        <w:t>argue</w:t>
      </w:r>
      <w:r w:rsidR="00872FD9">
        <w:rPr>
          <w:rFonts w:cs="Arial"/>
          <w:sz w:val="24"/>
          <w:szCs w:val="24"/>
        </w:rPr>
        <w:t>d</w:t>
      </w:r>
      <w:r w:rsidR="008A685E" w:rsidRPr="006576C6">
        <w:rPr>
          <w:rFonts w:cs="Arial"/>
          <w:sz w:val="24"/>
          <w:szCs w:val="24"/>
        </w:rPr>
        <w:t xml:space="preserve"> that the </w:t>
      </w:r>
      <w:r w:rsidR="004F06A9">
        <w:rPr>
          <w:rFonts w:cs="Arial"/>
          <w:sz w:val="24"/>
          <w:szCs w:val="24"/>
        </w:rPr>
        <w:t>E</w:t>
      </w:r>
      <w:r w:rsidR="008A685E" w:rsidRPr="006576C6">
        <w:rPr>
          <w:rFonts w:cs="Arial"/>
          <w:sz w:val="24"/>
          <w:szCs w:val="24"/>
        </w:rPr>
        <w:t xml:space="preserve">thics of </w:t>
      </w:r>
      <w:r w:rsidR="004F06A9">
        <w:rPr>
          <w:rFonts w:cs="Arial"/>
          <w:sz w:val="24"/>
          <w:szCs w:val="24"/>
        </w:rPr>
        <w:t>C</w:t>
      </w:r>
      <w:r w:rsidR="008A685E" w:rsidRPr="006576C6">
        <w:rPr>
          <w:rFonts w:cs="Arial"/>
          <w:sz w:val="24"/>
          <w:szCs w:val="24"/>
        </w:rPr>
        <w:t xml:space="preserve">are </w:t>
      </w:r>
      <w:r w:rsidR="00A2794C">
        <w:rPr>
          <w:rFonts w:cs="Arial"/>
          <w:sz w:val="24"/>
          <w:szCs w:val="24"/>
        </w:rPr>
        <w:t>can presume or overstate</w:t>
      </w:r>
      <w:r w:rsidR="008A685E" w:rsidRPr="006576C6">
        <w:rPr>
          <w:rFonts w:cs="Arial"/>
          <w:sz w:val="24"/>
          <w:szCs w:val="24"/>
        </w:rPr>
        <w:t xml:space="preserve"> dependency in its privileging of </w:t>
      </w:r>
      <w:r w:rsidR="00A2794C">
        <w:rPr>
          <w:rFonts w:cs="Arial"/>
          <w:sz w:val="24"/>
          <w:szCs w:val="24"/>
        </w:rPr>
        <w:t xml:space="preserve">the importance of </w:t>
      </w:r>
      <w:r w:rsidR="008A685E" w:rsidRPr="006576C6">
        <w:rPr>
          <w:rFonts w:cs="Arial"/>
          <w:sz w:val="24"/>
          <w:szCs w:val="24"/>
        </w:rPr>
        <w:t>female carers</w:t>
      </w:r>
      <w:r w:rsidR="00926857" w:rsidRPr="006576C6">
        <w:rPr>
          <w:rFonts w:cs="Arial"/>
          <w:sz w:val="24"/>
          <w:szCs w:val="24"/>
        </w:rPr>
        <w:t xml:space="preserve"> (Lloyd, 2010: 198)</w:t>
      </w:r>
      <w:r w:rsidR="008A685E" w:rsidRPr="006576C6">
        <w:rPr>
          <w:rFonts w:cs="Arial"/>
          <w:sz w:val="24"/>
          <w:szCs w:val="24"/>
        </w:rPr>
        <w:t>.</w:t>
      </w:r>
      <w:r w:rsidR="00926857" w:rsidRPr="006576C6">
        <w:rPr>
          <w:rFonts w:cs="Arial"/>
          <w:sz w:val="24"/>
          <w:szCs w:val="24"/>
        </w:rPr>
        <w:t xml:space="preserve"> </w:t>
      </w:r>
      <w:r w:rsidR="004D2EE1">
        <w:rPr>
          <w:sz w:val="24"/>
          <w:szCs w:val="24"/>
        </w:rPr>
        <w:t>C</w:t>
      </w:r>
      <w:r w:rsidR="00926857" w:rsidRPr="006576C6">
        <w:rPr>
          <w:sz w:val="24"/>
          <w:szCs w:val="24"/>
        </w:rPr>
        <w:t>oncerns</w:t>
      </w:r>
      <w:r w:rsidR="00695B2B">
        <w:rPr>
          <w:sz w:val="24"/>
          <w:szCs w:val="24"/>
        </w:rPr>
        <w:t xml:space="preserve"> have also been raised</w:t>
      </w:r>
      <w:r w:rsidR="00926857" w:rsidRPr="006576C6">
        <w:rPr>
          <w:sz w:val="24"/>
          <w:szCs w:val="24"/>
        </w:rPr>
        <w:t xml:space="preserve"> that </w:t>
      </w:r>
      <w:r w:rsidR="00E8048B">
        <w:rPr>
          <w:sz w:val="24"/>
          <w:szCs w:val="24"/>
        </w:rPr>
        <w:t>any</w:t>
      </w:r>
      <w:r w:rsidR="00926857" w:rsidRPr="006576C6">
        <w:rPr>
          <w:sz w:val="24"/>
          <w:szCs w:val="24"/>
        </w:rPr>
        <w:t xml:space="preserve"> associated humanist</w:t>
      </w:r>
      <w:r w:rsidR="00F01232">
        <w:rPr>
          <w:sz w:val="24"/>
          <w:szCs w:val="24"/>
        </w:rPr>
        <w:t>-inspired</w:t>
      </w:r>
      <w:r w:rsidR="00926857" w:rsidRPr="006576C6">
        <w:rPr>
          <w:sz w:val="24"/>
          <w:szCs w:val="24"/>
        </w:rPr>
        <w:t xml:space="preserve"> support of virtuous social </w:t>
      </w:r>
      <w:r w:rsidR="00860CAD">
        <w:rPr>
          <w:sz w:val="24"/>
          <w:szCs w:val="24"/>
        </w:rPr>
        <w:t>care</w:t>
      </w:r>
      <w:r w:rsidR="00E8048B">
        <w:rPr>
          <w:sz w:val="24"/>
          <w:szCs w:val="24"/>
        </w:rPr>
        <w:t xml:space="preserve"> embedded </w:t>
      </w:r>
      <w:r w:rsidR="00A2794C">
        <w:rPr>
          <w:sz w:val="24"/>
          <w:szCs w:val="24"/>
        </w:rPr>
        <w:t>with</w:t>
      </w:r>
      <w:r w:rsidR="00E8048B">
        <w:rPr>
          <w:sz w:val="24"/>
          <w:szCs w:val="24"/>
        </w:rPr>
        <w:t xml:space="preserve">in the </w:t>
      </w:r>
      <w:r w:rsidR="00882B01">
        <w:rPr>
          <w:sz w:val="24"/>
          <w:szCs w:val="24"/>
        </w:rPr>
        <w:t xml:space="preserve">rights-based </w:t>
      </w:r>
      <w:r w:rsidR="004F06A9">
        <w:rPr>
          <w:sz w:val="24"/>
          <w:szCs w:val="24"/>
        </w:rPr>
        <w:t>E</w:t>
      </w:r>
      <w:r w:rsidR="00E8048B">
        <w:rPr>
          <w:sz w:val="24"/>
          <w:szCs w:val="24"/>
        </w:rPr>
        <w:t xml:space="preserve">thics of </w:t>
      </w:r>
      <w:r w:rsidR="004F06A9">
        <w:rPr>
          <w:sz w:val="24"/>
          <w:szCs w:val="24"/>
        </w:rPr>
        <w:t>C</w:t>
      </w:r>
      <w:r w:rsidR="00E8048B">
        <w:rPr>
          <w:sz w:val="24"/>
          <w:szCs w:val="24"/>
        </w:rPr>
        <w:t>are</w:t>
      </w:r>
      <w:r w:rsidR="00926857" w:rsidRPr="006576C6">
        <w:rPr>
          <w:sz w:val="24"/>
          <w:szCs w:val="24"/>
        </w:rPr>
        <w:t xml:space="preserve"> </w:t>
      </w:r>
      <w:r w:rsidR="00E8048B">
        <w:rPr>
          <w:sz w:val="24"/>
          <w:szCs w:val="24"/>
        </w:rPr>
        <w:t xml:space="preserve">are </w:t>
      </w:r>
      <w:r w:rsidR="00695B2B">
        <w:rPr>
          <w:sz w:val="24"/>
          <w:szCs w:val="24"/>
        </w:rPr>
        <w:t xml:space="preserve">perhaps also </w:t>
      </w:r>
      <w:r w:rsidR="00926857" w:rsidRPr="006576C6">
        <w:rPr>
          <w:sz w:val="24"/>
          <w:szCs w:val="24"/>
        </w:rPr>
        <w:t>unlikely to maintain</w:t>
      </w:r>
      <w:r w:rsidR="00E8048B">
        <w:rPr>
          <w:sz w:val="24"/>
          <w:szCs w:val="24"/>
        </w:rPr>
        <w:t xml:space="preserve"> </w:t>
      </w:r>
      <w:r w:rsidR="00F01232">
        <w:rPr>
          <w:sz w:val="24"/>
          <w:szCs w:val="24"/>
        </w:rPr>
        <w:t xml:space="preserve">substantive </w:t>
      </w:r>
      <w:r w:rsidR="004F06A9">
        <w:rPr>
          <w:sz w:val="24"/>
          <w:szCs w:val="24"/>
        </w:rPr>
        <w:t xml:space="preserve">ethical and </w:t>
      </w:r>
      <w:r w:rsidR="004F06A9">
        <w:rPr>
          <w:sz w:val="24"/>
          <w:szCs w:val="24"/>
        </w:rPr>
        <w:lastRenderedPageBreak/>
        <w:t>moral</w:t>
      </w:r>
      <w:r w:rsidR="00926857" w:rsidRPr="006576C6">
        <w:rPr>
          <w:sz w:val="24"/>
          <w:szCs w:val="24"/>
        </w:rPr>
        <w:t xml:space="preserve"> traction within the resource-starved, </w:t>
      </w:r>
      <w:r w:rsidR="00E8048B">
        <w:rPr>
          <w:sz w:val="24"/>
          <w:szCs w:val="24"/>
        </w:rPr>
        <w:t xml:space="preserve">highly </w:t>
      </w:r>
      <w:r w:rsidR="00926857" w:rsidRPr="006576C6">
        <w:rPr>
          <w:sz w:val="24"/>
          <w:szCs w:val="24"/>
        </w:rPr>
        <w:t>rationalised and bureaucratic domains of crisis</w:t>
      </w:r>
      <w:r w:rsidR="00802988">
        <w:rPr>
          <w:sz w:val="24"/>
          <w:szCs w:val="24"/>
        </w:rPr>
        <w:t>-orientated</w:t>
      </w:r>
      <w:r w:rsidR="00926857" w:rsidRPr="006576C6">
        <w:rPr>
          <w:sz w:val="24"/>
          <w:szCs w:val="24"/>
        </w:rPr>
        <w:t xml:space="preserve"> and risk-focused social work</w:t>
      </w:r>
      <w:r w:rsidR="00B15574" w:rsidRPr="00B15574">
        <w:rPr>
          <w:sz w:val="24"/>
          <w:szCs w:val="24"/>
        </w:rPr>
        <w:t xml:space="preserve"> </w:t>
      </w:r>
      <w:r w:rsidR="00B15574">
        <w:rPr>
          <w:sz w:val="24"/>
          <w:szCs w:val="24"/>
        </w:rPr>
        <w:t>(</w:t>
      </w:r>
      <w:r w:rsidR="00B15574" w:rsidRPr="006576C6">
        <w:rPr>
          <w:sz w:val="24"/>
          <w:szCs w:val="24"/>
        </w:rPr>
        <w:t>Meagher and Parton</w:t>
      </w:r>
      <w:r w:rsidR="00B15574">
        <w:rPr>
          <w:sz w:val="24"/>
          <w:szCs w:val="24"/>
        </w:rPr>
        <w:t xml:space="preserve">, </w:t>
      </w:r>
      <w:r w:rsidR="00B15574" w:rsidRPr="006576C6">
        <w:rPr>
          <w:sz w:val="24"/>
          <w:szCs w:val="24"/>
        </w:rPr>
        <w:t>2004)</w:t>
      </w:r>
      <w:r w:rsidR="00926857" w:rsidRPr="006576C6">
        <w:rPr>
          <w:sz w:val="24"/>
          <w:szCs w:val="24"/>
        </w:rPr>
        <w:t>.</w:t>
      </w:r>
    </w:p>
    <w:p w14:paraId="5D305D1D" w14:textId="5DD8820D" w:rsidR="00DD6BEB" w:rsidRDefault="00BF0D41" w:rsidP="0070073A">
      <w:pPr>
        <w:autoSpaceDE w:val="0"/>
        <w:spacing w:after="200" w:line="480" w:lineRule="auto"/>
        <w:rPr>
          <w:rFonts w:cs="Calibri"/>
          <w:sz w:val="24"/>
          <w:szCs w:val="24"/>
          <w:lang w:val="en"/>
        </w:rPr>
      </w:pPr>
      <w:r>
        <w:rPr>
          <w:rFonts w:cs="Calibri"/>
          <w:sz w:val="24"/>
          <w:szCs w:val="24"/>
          <w:lang w:val="en"/>
        </w:rPr>
        <w:t xml:space="preserve">As part </w:t>
      </w:r>
      <w:r w:rsidR="00727488">
        <w:rPr>
          <w:rFonts w:cs="Calibri"/>
          <w:sz w:val="24"/>
          <w:szCs w:val="24"/>
          <w:lang w:val="en"/>
        </w:rPr>
        <w:t xml:space="preserve">of </w:t>
      </w:r>
      <w:r w:rsidR="00A86C40">
        <w:rPr>
          <w:rFonts w:cs="Calibri"/>
          <w:sz w:val="24"/>
          <w:szCs w:val="24"/>
          <w:lang w:val="en"/>
        </w:rPr>
        <w:t>a</w:t>
      </w:r>
      <w:r>
        <w:rPr>
          <w:rFonts w:cs="Calibri"/>
          <w:sz w:val="24"/>
          <w:szCs w:val="24"/>
          <w:lang w:val="en"/>
        </w:rPr>
        <w:t xml:space="preserve"> critical appraisal </w:t>
      </w:r>
      <w:r w:rsidR="00A86C40">
        <w:rPr>
          <w:rFonts w:cs="Calibri"/>
          <w:sz w:val="24"/>
          <w:szCs w:val="24"/>
          <w:lang w:val="en"/>
        </w:rPr>
        <w:t xml:space="preserve">for </w:t>
      </w:r>
      <w:r w:rsidR="00A86C40" w:rsidRPr="00A86C40">
        <w:rPr>
          <w:rFonts w:cs="Calibri"/>
          <w:i/>
          <w:sz w:val="24"/>
          <w:szCs w:val="24"/>
          <w:lang w:val="en"/>
        </w:rPr>
        <w:t>Age UK</w:t>
      </w:r>
      <w:r w:rsidR="00A86C40">
        <w:rPr>
          <w:rFonts w:cs="Calibri"/>
          <w:sz w:val="24"/>
          <w:szCs w:val="24"/>
          <w:lang w:val="en"/>
        </w:rPr>
        <w:t xml:space="preserve"> </w:t>
      </w:r>
      <w:r>
        <w:rPr>
          <w:rFonts w:cs="Calibri"/>
          <w:sz w:val="24"/>
          <w:szCs w:val="24"/>
          <w:lang w:val="en"/>
        </w:rPr>
        <w:t xml:space="preserve">of </w:t>
      </w:r>
      <w:r w:rsidR="00780955">
        <w:rPr>
          <w:rFonts w:cs="Calibri"/>
          <w:sz w:val="24"/>
          <w:szCs w:val="24"/>
          <w:lang w:val="en"/>
        </w:rPr>
        <w:t xml:space="preserve">numerous </w:t>
      </w:r>
      <w:r>
        <w:rPr>
          <w:rFonts w:cs="Calibri"/>
          <w:sz w:val="24"/>
          <w:szCs w:val="24"/>
          <w:lang w:val="en"/>
        </w:rPr>
        <w:t xml:space="preserve">empirical studies </w:t>
      </w:r>
      <w:r w:rsidR="00A86C40">
        <w:rPr>
          <w:rFonts w:cs="Calibri"/>
          <w:sz w:val="24"/>
          <w:szCs w:val="24"/>
          <w:lang w:val="en"/>
        </w:rPr>
        <w:t>concerning</w:t>
      </w:r>
      <w:r>
        <w:rPr>
          <w:rFonts w:cs="Calibri"/>
          <w:sz w:val="24"/>
          <w:szCs w:val="24"/>
          <w:lang w:val="en"/>
        </w:rPr>
        <w:t xml:space="preserve"> the impact of personal budgets</w:t>
      </w:r>
      <w:r w:rsidR="00B86A38">
        <w:rPr>
          <w:rFonts w:cs="Calibri"/>
          <w:sz w:val="24"/>
          <w:szCs w:val="24"/>
          <w:lang w:val="en"/>
        </w:rPr>
        <w:t xml:space="preserve"> relating to </w:t>
      </w:r>
      <w:proofErr w:type="spellStart"/>
      <w:r w:rsidR="00B86A38">
        <w:rPr>
          <w:rFonts w:cs="Calibri"/>
          <w:sz w:val="24"/>
          <w:szCs w:val="24"/>
          <w:lang w:val="en"/>
        </w:rPr>
        <w:t>personalisation</w:t>
      </w:r>
      <w:proofErr w:type="spellEnd"/>
      <w:r w:rsidR="00B86A38">
        <w:rPr>
          <w:rFonts w:cs="Calibri"/>
          <w:sz w:val="24"/>
          <w:szCs w:val="24"/>
          <w:lang w:val="en"/>
        </w:rPr>
        <w:t xml:space="preserve"> policies</w:t>
      </w:r>
      <w:r w:rsidR="00E45984">
        <w:rPr>
          <w:rFonts w:cs="Calibri"/>
          <w:sz w:val="24"/>
          <w:szCs w:val="24"/>
          <w:lang w:val="en"/>
        </w:rPr>
        <w:t xml:space="preserve"> </w:t>
      </w:r>
      <w:r w:rsidR="00A86C40">
        <w:rPr>
          <w:rFonts w:cs="Calibri"/>
          <w:sz w:val="24"/>
          <w:szCs w:val="24"/>
          <w:lang w:val="en"/>
        </w:rPr>
        <w:t>effecting</w:t>
      </w:r>
      <w:r w:rsidR="00E45984">
        <w:rPr>
          <w:rFonts w:cs="Calibri"/>
          <w:sz w:val="24"/>
          <w:szCs w:val="24"/>
          <w:lang w:val="en"/>
        </w:rPr>
        <w:t xml:space="preserve"> older people</w:t>
      </w:r>
      <w:r>
        <w:rPr>
          <w:rFonts w:cs="Calibri"/>
          <w:sz w:val="24"/>
          <w:szCs w:val="24"/>
          <w:lang w:val="en"/>
        </w:rPr>
        <w:t xml:space="preserve">, </w:t>
      </w:r>
      <w:proofErr w:type="spellStart"/>
      <w:r>
        <w:rPr>
          <w:rFonts w:cs="Calibri"/>
          <w:sz w:val="24"/>
          <w:szCs w:val="24"/>
          <w:lang w:val="en"/>
        </w:rPr>
        <w:t>Feltoe</w:t>
      </w:r>
      <w:proofErr w:type="spellEnd"/>
      <w:r>
        <w:rPr>
          <w:rFonts w:cs="Calibri"/>
          <w:sz w:val="24"/>
          <w:szCs w:val="24"/>
          <w:lang w:val="en"/>
        </w:rPr>
        <w:t xml:space="preserve"> and Orellana (2013) </w:t>
      </w:r>
      <w:r w:rsidR="00267205">
        <w:rPr>
          <w:rFonts w:cs="Calibri"/>
          <w:sz w:val="24"/>
          <w:szCs w:val="24"/>
          <w:lang w:val="en"/>
        </w:rPr>
        <w:t xml:space="preserve">again </w:t>
      </w:r>
      <w:r>
        <w:rPr>
          <w:rFonts w:cs="Calibri"/>
          <w:sz w:val="24"/>
          <w:szCs w:val="24"/>
          <w:lang w:val="en"/>
        </w:rPr>
        <w:t xml:space="preserve">highlight </w:t>
      </w:r>
      <w:r w:rsidR="00B86A38">
        <w:rPr>
          <w:rFonts w:cs="Calibri"/>
          <w:sz w:val="24"/>
          <w:szCs w:val="24"/>
          <w:lang w:val="en"/>
        </w:rPr>
        <w:t>the</w:t>
      </w:r>
      <w:r>
        <w:rPr>
          <w:rFonts w:cs="Calibri"/>
          <w:sz w:val="24"/>
          <w:szCs w:val="24"/>
          <w:lang w:val="en"/>
        </w:rPr>
        <w:t xml:space="preserve"> </w:t>
      </w:r>
      <w:r w:rsidR="00B86A38">
        <w:rPr>
          <w:rFonts w:cs="Calibri"/>
          <w:sz w:val="24"/>
          <w:szCs w:val="24"/>
          <w:lang w:val="en"/>
        </w:rPr>
        <w:t xml:space="preserve">significant </w:t>
      </w:r>
      <w:r>
        <w:rPr>
          <w:rFonts w:cs="Calibri"/>
          <w:sz w:val="24"/>
          <w:szCs w:val="24"/>
          <w:lang w:val="en"/>
        </w:rPr>
        <w:t>number of gaps and inconsistencies regarding the provision of social care services. These include differences in terms of the availability and choice to access a personal budget or not geographically across different regions and local authorities</w:t>
      </w:r>
      <w:r w:rsidR="00B86A38">
        <w:rPr>
          <w:rFonts w:cs="Calibri"/>
          <w:sz w:val="24"/>
          <w:szCs w:val="24"/>
          <w:lang w:val="en"/>
        </w:rPr>
        <w:t xml:space="preserve"> in England</w:t>
      </w:r>
      <w:r>
        <w:rPr>
          <w:rFonts w:cs="Calibri"/>
          <w:sz w:val="24"/>
          <w:szCs w:val="24"/>
          <w:lang w:val="en"/>
        </w:rPr>
        <w:t xml:space="preserve">. Older people tended to </w:t>
      </w:r>
      <w:r w:rsidR="00840FF7">
        <w:rPr>
          <w:rFonts w:cs="Calibri"/>
          <w:sz w:val="24"/>
          <w:szCs w:val="24"/>
          <w:lang w:val="en"/>
        </w:rPr>
        <w:t xml:space="preserve">again </w:t>
      </w:r>
      <w:r>
        <w:rPr>
          <w:rFonts w:cs="Calibri"/>
          <w:sz w:val="24"/>
          <w:szCs w:val="24"/>
          <w:lang w:val="en"/>
        </w:rPr>
        <w:t>be much less likely than other user groups such as younger disabled adults to be offered a personal budget</w:t>
      </w:r>
      <w:r w:rsidR="00840FF7">
        <w:rPr>
          <w:rFonts w:cs="Calibri"/>
          <w:sz w:val="24"/>
          <w:szCs w:val="24"/>
          <w:lang w:val="en"/>
        </w:rPr>
        <w:t xml:space="preserve">, and priority was almost exclusively given to the provision of essential physical care rather than support </w:t>
      </w:r>
      <w:r w:rsidR="00695B2B">
        <w:rPr>
          <w:rFonts w:cs="Calibri"/>
          <w:sz w:val="24"/>
          <w:szCs w:val="24"/>
          <w:lang w:val="en"/>
        </w:rPr>
        <w:t>to</w:t>
      </w:r>
      <w:r w:rsidR="00840FF7">
        <w:rPr>
          <w:rFonts w:cs="Calibri"/>
          <w:sz w:val="24"/>
          <w:szCs w:val="24"/>
          <w:lang w:val="en"/>
        </w:rPr>
        <w:t xml:space="preserve"> pursu</w:t>
      </w:r>
      <w:r w:rsidR="00695B2B">
        <w:rPr>
          <w:rFonts w:cs="Calibri"/>
          <w:sz w:val="24"/>
          <w:szCs w:val="24"/>
          <w:lang w:val="en"/>
        </w:rPr>
        <w:t>e</w:t>
      </w:r>
      <w:r w:rsidR="00840FF7">
        <w:rPr>
          <w:rFonts w:cs="Calibri"/>
          <w:sz w:val="24"/>
          <w:szCs w:val="24"/>
          <w:lang w:val="en"/>
        </w:rPr>
        <w:t xml:space="preserve"> personal or social interests</w:t>
      </w:r>
      <w:r>
        <w:rPr>
          <w:rFonts w:cs="Calibri"/>
          <w:sz w:val="24"/>
          <w:szCs w:val="24"/>
          <w:lang w:val="en"/>
        </w:rPr>
        <w:t xml:space="preserve">. </w:t>
      </w:r>
      <w:r w:rsidR="00695B2B">
        <w:rPr>
          <w:rFonts w:cs="Calibri"/>
          <w:sz w:val="24"/>
          <w:szCs w:val="24"/>
          <w:lang w:val="en"/>
        </w:rPr>
        <w:t xml:space="preserve">This is despite each of these </w:t>
      </w:r>
      <w:r w:rsidR="004F0E31">
        <w:rPr>
          <w:rFonts w:cs="Calibri"/>
          <w:sz w:val="24"/>
          <w:szCs w:val="24"/>
          <w:lang w:val="en"/>
        </w:rPr>
        <w:t xml:space="preserve">identity or emotionally related needs </w:t>
      </w:r>
      <w:r w:rsidR="00695B2B">
        <w:rPr>
          <w:rFonts w:cs="Calibri"/>
          <w:sz w:val="24"/>
          <w:szCs w:val="24"/>
          <w:lang w:val="en"/>
        </w:rPr>
        <w:t>being acknowledged as often crucial to the</w:t>
      </w:r>
      <w:r w:rsidR="008B5438">
        <w:rPr>
          <w:rFonts w:cs="Calibri"/>
          <w:sz w:val="24"/>
          <w:szCs w:val="24"/>
          <w:lang w:val="en"/>
        </w:rPr>
        <w:t xml:space="preserve"> </w:t>
      </w:r>
      <w:r w:rsidR="00695B2B">
        <w:rPr>
          <w:rFonts w:cs="Calibri"/>
          <w:sz w:val="24"/>
          <w:szCs w:val="24"/>
          <w:lang w:val="en"/>
        </w:rPr>
        <w:t>wellbeing of many</w:t>
      </w:r>
      <w:r w:rsidR="00E90A6E">
        <w:rPr>
          <w:rFonts w:cs="Calibri"/>
          <w:sz w:val="24"/>
          <w:szCs w:val="24"/>
          <w:lang w:val="en"/>
        </w:rPr>
        <w:t xml:space="preserve"> groups of</w:t>
      </w:r>
      <w:r w:rsidR="00695B2B">
        <w:rPr>
          <w:rFonts w:cs="Calibri"/>
          <w:sz w:val="24"/>
          <w:szCs w:val="24"/>
          <w:lang w:val="en"/>
        </w:rPr>
        <w:t xml:space="preserve"> older </w:t>
      </w:r>
      <w:r w:rsidR="00E90A6E">
        <w:rPr>
          <w:rFonts w:cs="Calibri"/>
          <w:sz w:val="24"/>
          <w:szCs w:val="24"/>
          <w:lang w:val="en"/>
        </w:rPr>
        <w:t xml:space="preserve">people </w:t>
      </w:r>
      <w:r w:rsidR="00695B2B">
        <w:rPr>
          <w:rFonts w:cs="Calibri"/>
          <w:sz w:val="24"/>
          <w:szCs w:val="24"/>
          <w:lang w:val="en"/>
        </w:rPr>
        <w:t>(</w:t>
      </w:r>
      <w:proofErr w:type="spellStart"/>
      <w:r w:rsidR="00695B2B">
        <w:rPr>
          <w:rFonts w:cs="Calibri"/>
          <w:sz w:val="24"/>
          <w:szCs w:val="24"/>
          <w:lang w:val="en"/>
        </w:rPr>
        <w:t>Gilleard</w:t>
      </w:r>
      <w:proofErr w:type="spellEnd"/>
      <w:r w:rsidR="00695B2B">
        <w:rPr>
          <w:rFonts w:cs="Calibri"/>
          <w:sz w:val="24"/>
          <w:szCs w:val="24"/>
          <w:lang w:val="en"/>
        </w:rPr>
        <w:t xml:space="preserve"> and Higgs, 2000; Green, 2015). </w:t>
      </w:r>
      <w:r w:rsidR="00CD37D3">
        <w:rPr>
          <w:rFonts w:cs="Calibri"/>
          <w:sz w:val="24"/>
          <w:szCs w:val="24"/>
          <w:lang w:val="en"/>
        </w:rPr>
        <w:t xml:space="preserve">Following </w:t>
      </w:r>
      <w:r w:rsidR="009436F7">
        <w:rPr>
          <w:rFonts w:cs="Calibri"/>
          <w:sz w:val="24"/>
          <w:szCs w:val="24"/>
          <w:lang w:val="en"/>
        </w:rPr>
        <w:t>interviews</w:t>
      </w:r>
      <w:r w:rsidR="003409D0">
        <w:rPr>
          <w:rFonts w:cs="Calibri"/>
          <w:sz w:val="24"/>
          <w:szCs w:val="24"/>
          <w:lang w:val="en"/>
        </w:rPr>
        <w:t xml:space="preserve"> and focus group meetings,</w:t>
      </w:r>
      <w:r w:rsidR="009436F7">
        <w:rPr>
          <w:rFonts w:cs="Calibri"/>
          <w:sz w:val="24"/>
          <w:szCs w:val="24"/>
          <w:lang w:val="en"/>
        </w:rPr>
        <w:t xml:space="preserve"> </w:t>
      </w:r>
      <w:r w:rsidR="00CD37D3">
        <w:rPr>
          <w:rFonts w:cs="Calibri"/>
          <w:sz w:val="24"/>
          <w:szCs w:val="24"/>
          <w:lang w:val="en"/>
        </w:rPr>
        <w:t xml:space="preserve">Irvine et al (2017) </w:t>
      </w:r>
      <w:r w:rsidR="009436F7">
        <w:rPr>
          <w:rFonts w:cs="Calibri"/>
          <w:sz w:val="24"/>
          <w:szCs w:val="24"/>
          <w:lang w:val="en"/>
        </w:rPr>
        <w:t xml:space="preserve">sought to analyze the impact of </w:t>
      </w:r>
      <w:proofErr w:type="spellStart"/>
      <w:r w:rsidR="009436F7">
        <w:rPr>
          <w:rFonts w:cs="Calibri"/>
          <w:sz w:val="24"/>
          <w:szCs w:val="24"/>
          <w:lang w:val="en"/>
        </w:rPr>
        <w:t>personalisation</w:t>
      </w:r>
      <w:proofErr w:type="spellEnd"/>
      <w:r w:rsidR="009436F7">
        <w:rPr>
          <w:rFonts w:cs="Calibri"/>
          <w:sz w:val="24"/>
          <w:szCs w:val="24"/>
          <w:lang w:val="en"/>
        </w:rPr>
        <w:t xml:space="preserve"> on</w:t>
      </w:r>
      <w:r w:rsidR="003409D0">
        <w:rPr>
          <w:rFonts w:cs="Calibri"/>
          <w:sz w:val="24"/>
          <w:szCs w:val="24"/>
          <w:lang w:val="en"/>
        </w:rPr>
        <w:t xml:space="preserve"> twenty-six</w:t>
      </w:r>
      <w:r w:rsidR="009436F7">
        <w:rPr>
          <w:rFonts w:cs="Calibri"/>
          <w:sz w:val="24"/>
          <w:szCs w:val="24"/>
          <w:lang w:val="en"/>
        </w:rPr>
        <w:t xml:space="preserve"> people</w:t>
      </w:r>
      <w:r w:rsidR="00CD37D3">
        <w:rPr>
          <w:rFonts w:cs="Calibri"/>
          <w:sz w:val="24"/>
          <w:szCs w:val="24"/>
          <w:lang w:val="en"/>
        </w:rPr>
        <w:t xml:space="preserve">, including </w:t>
      </w:r>
      <w:r w:rsidR="003409D0">
        <w:rPr>
          <w:rFonts w:cs="Calibri"/>
          <w:sz w:val="24"/>
          <w:szCs w:val="24"/>
          <w:lang w:val="en"/>
        </w:rPr>
        <w:t xml:space="preserve">thirteen </w:t>
      </w:r>
      <w:r w:rsidR="00CD37D3">
        <w:rPr>
          <w:rFonts w:cs="Calibri"/>
          <w:sz w:val="24"/>
          <w:szCs w:val="24"/>
          <w:lang w:val="en"/>
        </w:rPr>
        <w:t>older adults</w:t>
      </w:r>
      <w:r w:rsidR="003409D0">
        <w:rPr>
          <w:rFonts w:cs="Calibri"/>
          <w:sz w:val="24"/>
          <w:szCs w:val="24"/>
          <w:lang w:val="en"/>
        </w:rPr>
        <w:t xml:space="preserve"> (60 years or older)</w:t>
      </w:r>
      <w:r w:rsidR="00CD37D3">
        <w:rPr>
          <w:rFonts w:cs="Calibri"/>
          <w:sz w:val="24"/>
          <w:szCs w:val="24"/>
          <w:lang w:val="en"/>
        </w:rPr>
        <w:t>,</w:t>
      </w:r>
      <w:r w:rsidR="009436F7">
        <w:rPr>
          <w:rFonts w:cs="Calibri"/>
          <w:sz w:val="24"/>
          <w:szCs w:val="24"/>
          <w:lang w:val="en"/>
        </w:rPr>
        <w:t xml:space="preserve"> from Chinese backgrounds who lived in England</w:t>
      </w:r>
      <w:r w:rsidR="00CD37D3">
        <w:rPr>
          <w:rFonts w:cs="Calibri"/>
          <w:sz w:val="24"/>
          <w:szCs w:val="24"/>
          <w:lang w:val="en"/>
        </w:rPr>
        <w:t xml:space="preserve">. They </w:t>
      </w:r>
      <w:r w:rsidR="009436F7">
        <w:rPr>
          <w:rFonts w:cs="Calibri"/>
          <w:sz w:val="24"/>
          <w:szCs w:val="24"/>
          <w:lang w:val="en"/>
        </w:rPr>
        <w:t>discovered that due to a crucial lack of information</w:t>
      </w:r>
      <w:r w:rsidR="003409D0">
        <w:rPr>
          <w:rFonts w:cs="Calibri"/>
          <w:sz w:val="24"/>
          <w:szCs w:val="24"/>
          <w:lang w:val="en"/>
        </w:rPr>
        <w:t xml:space="preserve">, opportunities to </w:t>
      </w:r>
      <w:r w:rsidR="004F0E31">
        <w:rPr>
          <w:rFonts w:cs="Calibri"/>
          <w:sz w:val="24"/>
          <w:szCs w:val="24"/>
          <w:lang w:val="en"/>
        </w:rPr>
        <w:t xml:space="preserve">meaningfully </w:t>
      </w:r>
      <w:r w:rsidR="003409D0">
        <w:rPr>
          <w:rFonts w:cs="Calibri"/>
          <w:sz w:val="24"/>
          <w:szCs w:val="24"/>
          <w:lang w:val="en"/>
        </w:rPr>
        <w:t>engage or</w:t>
      </w:r>
      <w:r w:rsidR="009436F7">
        <w:rPr>
          <w:rFonts w:cs="Calibri"/>
          <w:sz w:val="24"/>
          <w:szCs w:val="24"/>
          <w:lang w:val="en"/>
        </w:rPr>
        <w:t xml:space="preserve"> appropriate culturally sensitive support</w:t>
      </w:r>
      <w:r w:rsidR="003409D0">
        <w:rPr>
          <w:rFonts w:cs="Calibri"/>
          <w:sz w:val="24"/>
          <w:szCs w:val="24"/>
          <w:lang w:val="en"/>
        </w:rPr>
        <w:t>,</w:t>
      </w:r>
      <w:r w:rsidR="00CD37D3">
        <w:rPr>
          <w:rFonts w:cs="Calibri"/>
          <w:sz w:val="24"/>
          <w:szCs w:val="24"/>
          <w:lang w:val="en"/>
        </w:rPr>
        <w:t xml:space="preserve"> </w:t>
      </w:r>
      <w:proofErr w:type="spellStart"/>
      <w:r w:rsidR="003409D0">
        <w:rPr>
          <w:rFonts w:cs="Calibri"/>
          <w:sz w:val="24"/>
          <w:szCs w:val="24"/>
          <w:lang w:val="en"/>
        </w:rPr>
        <w:t>personalisation</w:t>
      </w:r>
      <w:proofErr w:type="spellEnd"/>
      <w:r w:rsidR="00CD37D3">
        <w:rPr>
          <w:rFonts w:cs="Calibri"/>
          <w:sz w:val="24"/>
          <w:szCs w:val="24"/>
          <w:lang w:val="en"/>
        </w:rPr>
        <w:t xml:space="preserve"> polic</w:t>
      </w:r>
      <w:r w:rsidR="00E90A6E">
        <w:rPr>
          <w:rFonts w:cs="Calibri"/>
          <w:sz w:val="24"/>
          <w:szCs w:val="24"/>
          <w:lang w:val="en"/>
        </w:rPr>
        <w:t xml:space="preserve">ies regularly </w:t>
      </w:r>
      <w:r w:rsidR="009436F7">
        <w:rPr>
          <w:rFonts w:cs="Calibri"/>
          <w:sz w:val="24"/>
          <w:szCs w:val="24"/>
          <w:lang w:val="en"/>
        </w:rPr>
        <w:t>reinforced long established forms of exclusion for m</w:t>
      </w:r>
      <w:r w:rsidR="00535946">
        <w:rPr>
          <w:rFonts w:cs="Calibri"/>
          <w:sz w:val="24"/>
          <w:szCs w:val="24"/>
          <w:lang w:val="en"/>
        </w:rPr>
        <w:t xml:space="preserve">any </w:t>
      </w:r>
      <w:r w:rsidR="00CD37D3">
        <w:rPr>
          <w:rFonts w:cs="Calibri"/>
          <w:sz w:val="24"/>
          <w:szCs w:val="24"/>
          <w:lang w:val="en"/>
        </w:rPr>
        <w:t>of the</w:t>
      </w:r>
      <w:r w:rsidR="003409D0">
        <w:rPr>
          <w:rFonts w:cs="Calibri"/>
          <w:sz w:val="24"/>
          <w:szCs w:val="24"/>
          <w:lang w:val="en"/>
        </w:rPr>
        <w:t xml:space="preserve"> </w:t>
      </w:r>
      <w:r w:rsidR="00FA632D">
        <w:rPr>
          <w:rFonts w:cs="Calibri"/>
          <w:sz w:val="24"/>
          <w:szCs w:val="24"/>
          <w:lang w:val="en"/>
        </w:rPr>
        <w:t xml:space="preserve">minority ethnic </w:t>
      </w:r>
      <w:r w:rsidR="003409D0">
        <w:rPr>
          <w:rFonts w:cs="Calibri"/>
          <w:sz w:val="24"/>
          <w:szCs w:val="24"/>
          <w:lang w:val="en"/>
        </w:rPr>
        <w:t>participants</w:t>
      </w:r>
      <w:r w:rsidR="00CD37D3">
        <w:rPr>
          <w:rFonts w:cs="Calibri"/>
          <w:sz w:val="24"/>
          <w:szCs w:val="24"/>
          <w:lang w:val="en"/>
        </w:rPr>
        <w:t xml:space="preserve"> </w:t>
      </w:r>
      <w:r w:rsidR="009436F7">
        <w:rPr>
          <w:rFonts w:cs="Calibri"/>
          <w:sz w:val="24"/>
          <w:szCs w:val="24"/>
          <w:lang w:val="en"/>
        </w:rPr>
        <w:t>interviewed.</w:t>
      </w:r>
    </w:p>
    <w:p w14:paraId="237110F5" w14:textId="77777777" w:rsidR="00FE4056" w:rsidRDefault="00AF7D65" w:rsidP="0070073A">
      <w:pPr>
        <w:spacing w:line="480" w:lineRule="auto"/>
        <w:rPr>
          <w:b/>
          <w:sz w:val="24"/>
          <w:szCs w:val="24"/>
        </w:rPr>
      </w:pPr>
      <w:r w:rsidRPr="003C0C4C">
        <w:rPr>
          <w:b/>
          <w:sz w:val="24"/>
          <w:szCs w:val="24"/>
        </w:rPr>
        <w:t>Asset-based care</w:t>
      </w:r>
      <w:r w:rsidR="0058157A">
        <w:rPr>
          <w:b/>
          <w:sz w:val="24"/>
          <w:szCs w:val="24"/>
        </w:rPr>
        <w:t>,</w:t>
      </w:r>
      <w:r w:rsidR="005B6724">
        <w:rPr>
          <w:b/>
          <w:sz w:val="24"/>
          <w:szCs w:val="24"/>
        </w:rPr>
        <w:t xml:space="preserve"> ethics</w:t>
      </w:r>
      <w:r w:rsidR="0058157A">
        <w:rPr>
          <w:b/>
          <w:sz w:val="24"/>
          <w:szCs w:val="24"/>
        </w:rPr>
        <w:t xml:space="preserve"> and abandonment? </w:t>
      </w:r>
    </w:p>
    <w:p w14:paraId="43A43E4D" w14:textId="43CD90DB" w:rsidR="00C71C67" w:rsidRPr="00A104F5" w:rsidRDefault="0000188D" w:rsidP="0070073A">
      <w:pPr>
        <w:spacing w:line="480" w:lineRule="auto"/>
        <w:rPr>
          <w:rFonts w:cstheme="minorHAnsi"/>
          <w:sz w:val="24"/>
          <w:szCs w:val="24"/>
        </w:rPr>
      </w:pPr>
      <w:r w:rsidRPr="00A104F5">
        <w:rPr>
          <w:rFonts w:cstheme="minorHAnsi"/>
          <w:sz w:val="24"/>
          <w:szCs w:val="24"/>
        </w:rPr>
        <w:t xml:space="preserve">More recently </w:t>
      </w:r>
      <w:r w:rsidR="00FE4056" w:rsidRPr="00A104F5">
        <w:rPr>
          <w:rFonts w:cstheme="minorHAnsi"/>
          <w:sz w:val="24"/>
          <w:szCs w:val="24"/>
        </w:rPr>
        <w:t>policy makers</w:t>
      </w:r>
      <w:r w:rsidR="007F7FBC">
        <w:rPr>
          <w:rFonts w:cstheme="minorHAnsi"/>
          <w:sz w:val="24"/>
          <w:szCs w:val="24"/>
        </w:rPr>
        <w:t>, local authorities</w:t>
      </w:r>
      <w:r w:rsidR="00FE4056" w:rsidRPr="00A104F5">
        <w:rPr>
          <w:rFonts w:cstheme="minorHAnsi"/>
          <w:sz w:val="24"/>
          <w:szCs w:val="24"/>
        </w:rPr>
        <w:t xml:space="preserve"> and professional groups in the UK and other countries have been keen to promote asset-based care. This agenda aims to focus attention upon </w:t>
      </w:r>
      <w:r w:rsidR="00F377CC" w:rsidRPr="00A104F5">
        <w:rPr>
          <w:rFonts w:cstheme="minorHAnsi"/>
          <w:sz w:val="24"/>
          <w:szCs w:val="24"/>
        </w:rPr>
        <w:t xml:space="preserve">local </w:t>
      </w:r>
      <w:r w:rsidR="00FE4056" w:rsidRPr="00A104F5">
        <w:rPr>
          <w:rFonts w:cstheme="minorHAnsi"/>
          <w:sz w:val="24"/>
          <w:szCs w:val="24"/>
        </w:rPr>
        <w:t>peoples’ strengths, skills</w:t>
      </w:r>
      <w:r w:rsidR="0040426C" w:rsidRPr="00A104F5">
        <w:rPr>
          <w:rFonts w:cstheme="minorHAnsi"/>
          <w:sz w:val="24"/>
          <w:szCs w:val="24"/>
        </w:rPr>
        <w:t xml:space="preserve">, </w:t>
      </w:r>
      <w:r w:rsidR="00CC1FC3">
        <w:rPr>
          <w:rFonts w:cstheme="minorHAnsi"/>
          <w:sz w:val="24"/>
          <w:szCs w:val="24"/>
        </w:rPr>
        <w:t xml:space="preserve">knowledge, </w:t>
      </w:r>
      <w:r w:rsidR="00FE4056" w:rsidRPr="00A104F5">
        <w:rPr>
          <w:rFonts w:cstheme="minorHAnsi"/>
          <w:sz w:val="24"/>
          <w:szCs w:val="24"/>
        </w:rPr>
        <w:t>resilience</w:t>
      </w:r>
      <w:r w:rsidR="008D29C8">
        <w:rPr>
          <w:rFonts w:cstheme="minorHAnsi"/>
          <w:sz w:val="24"/>
          <w:szCs w:val="24"/>
        </w:rPr>
        <w:t xml:space="preserve"> and</w:t>
      </w:r>
      <w:r w:rsidR="00667EF1">
        <w:rPr>
          <w:rFonts w:cstheme="minorHAnsi"/>
          <w:sz w:val="24"/>
          <w:szCs w:val="24"/>
        </w:rPr>
        <w:t xml:space="preserve"> </w:t>
      </w:r>
      <w:r w:rsidR="0040426C" w:rsidRPr="00A104F5">
        <w:rPr>
          <w:rFonts w:cstheme="minorHAnsi"/>
          <w:sz w:val="24"/>
          <w:szCs w:val="24"/>
        </w:rPr>
        <w:t xml:space="preserve">social </w:t>
      </w:r>
      <w:r w:rsidR="00A31191">
        <w:rPr>
          <w:rFonts w:cstheme="minorHAnsi"/>
          <w:sz w:val="24"/>
          <w:szCs w:val="24"/>
        </w:rPr>
        <w:t>capital</w:t>
      </w:r>
      <w:r w:rsidR="00667EF1">
        <w:rPr>
          <w:rFonts w:cstheme="minorHAnsi"/>
          <w:sz w:val="24"/>
          <w:szCs w:val="24"/>
        </w:rPr>
        <w:t xml:space="preserve"> </w:t>
      </w:r>
      <w:r w:rsidR="00FE4056" w:rsidRPr="00A104F5">
        <w:rPr>
          <w:rFonts w:cstheme="minorHAnsi"/>
          <w:sz w:val="24"/>
          <w:szCs w:val="24"/>
        </w:rPr>
        <w:t xml:space="preserve">within and </w:t>
      </w:r>
      <w:r w:rsidR="00FE4056" w:rsidRPr="00A104F5">
        <w:rPr>
          <w:rFonts w:cstheme="minorHAnsi"/>
          <w:sz w:val="24"/>
          <w:szCs w:val="24"/>
        </w:rPr>
        <w:lastRenderedPageBreak/>
        <w:t>alongside communities</w:t>
      </w:r>
      <w:r w:rsidR="00F377CC" w:rsidRPr="00A104F5">
        <w:rPr>
          <w:rFonts w:cstheme="minorHAnsi"/>
          <w:sz w:val="24"/>
          <w:szCs w:val="24"/>
        </w:rPr>
        <w:t xml:space="preserve"> (Foot and Hopkins, 2010)</w:t>
      </w:r>
      <w:r w:rsidR="00FE4056" w:rsidRPr="00A104F5">
        <w:rPr>
          <w:rFonts w:cstheme="minorHAnsi"/>
          <w:sz w:val="24"/>
          <w:szCs w:val="24"/>
        </w:rPr>
        <w:t xml:space="preserve">. </w:t>
      </w:r>
      <w:r w:rsidR="001C7CF0" w:rsidRPr="00A104F5">
        <w:rPr>
          <w:rFonts w:cstheme="minorHAnsi"/>
          <w:sz w:val="24"/>
          <w:szCs w:val="24"/>
        </w:rPr>
        <w:t>Although asset</w:t>
      </w:r>
      <w:r w:rsidR="00D167A2">
        <w:rPr>
          <w:rFonts w:cstheme="minorHAnsi"/>
          <w:sz w:val="24"/>
          <w:szCs w:val="24"/>
        </w:rPr>
        <w:t>-</w:t>
      </w:r>
      <w:r w:rsidR="001C7CF0" w:rsidRPr="00A104F5">
        <w:rPr>
          <w:rFonts w:cstheme="minorHAnsi"/>
          <w:sz w:val="24"/>
          <w:szCs w:val="24"/>
        </w:rPr>
        <w:t xml:space="preserve">based </w:t>
      </w:r>
      <w:r w:rsidR="00A420E4">
        <w:rPr>
          <w:rFonts w:cstheme="minorHAnsi"/>
          <w:sz w:val="24"/>
          <w:szCs w:val="24"/>
        </w:rPr>
        <w:t>approaches</w:t>
      </w:r>
      <w:r w:rsidR="00FE4056" w:rsidRPr="00A104F5">
        <w:rPr>
          <w:rFonts w:cstheme="minorHAnsi"/>
          <w:sz w:val="24"/>
          <w:szCs w:val="24"/>
        </w:rPr>
        <w:t xml:space="preserve"> </w:t>
      </w:r>
      <w:r w:rsidR="00A420E4">
        <w:rPr>
          <w:rFonts w:cstheme="minorHAnsi"/>
          <w:sz w:val="24"/>
          <w:szCs w:val="24"/>
        </w:rPr>
        <w:t>initially emerged</w:t>
      </w:r>
      <w:r w:rsidR="00FE4056" w:rsidRPr="00A104F5">
        <w:rPr>
          <w:rFonts w:cstheme="minorHAnsi"/>
          <w:sz w:val="24"/>
          <w:szCs w:val="24"/>
        </w:rPr>
        <w:t xml:space="preserve"> in health care</w:t>
      </w:r>
      <w:r w:rsidR="0040426C" w:rsidRPr="00A104F5">
        <w:rPr>
          <w:rFonts w:cstheme="minorHAnsi"/>
          <w:sz w:val="24"/>
          <w:szCs w:val="24"/>
        </w:rPr>
        <w:t xml:space="preserve"> as part of </w:t>
      </w:r>
      <w:r w:rsidR="00667EF1">
        <w:rPr>
          <w:rFonts w:cstheme="minorHAnsi"/>
          <w:sz w:val="24"/>
          <w:szCs w:val="24"/>
        </w:rPr>
        <w:t xml:space="preserve">a </w:t>
      </w:r>
      <w:r w:rsidR="00CC1FC3">
        <w:rPr>
          <w:rFonts w:cstheme="minorHAnsi"/>
          <w:sz w:val="24"/>
          <w:szCs w:val="24"/>
        </w:rPr>
        <w:t xml:space="preserve">concerted </w:t>
      </w:r>
      <w:r w:rsidR="00D6365C">
        <w:rPr>
          <w:rFonts w:cstheme="minorHAnsi"/>
          <w:sz w:val="24"/>
          <w:szCs w:val="24"/>
        </w:rPr>
        <w:t>attempt by professionals</w:t>
      </w:r>
      <w:r w:rsidR="0040426C" w:rsidRPr="00A104F5">
        <w:rPr>
          <w:rFonts w:cstheme="minorHAnsi"/>
          <w:sz w:val="24"/>
          <w:szCs w:val="24"/>
        </w:rPr>
        <w:t xml:space="preserve"> to</w:t>
      </w:r>
      <w:r w:rsidR="00D6365C">
        <w:rPr>
          <w:rFonts w:cstheme="minorHAnsi"/>
          <w:sz w:val="24"/>
          <w:szCs w:val="24"/>
        </w:rPr>
        <w:t xml:space="preserve"> </w:t>
      </w:r>
      <w:r w:rsidR="00CC1FC3">
        <w:rPr>
          <w:rFonts w:cstheme="minorHAnsi"/>
          <w:sz w:val="24"/>
          <w:szCs w:val="24"/>
        </w:rPr>
        <w:t>stimulat</w:t>
      </w:r>
      <w:r w:rsidR="00D6365C">
        <w:rPr>
          <w:rFonts w:cstheme="minorHAnsi"/>
          <w:sz w:val="24"/>
          <w:szCs w:val="24"/>
        </w:rPr>
        <w:t>e</w:t>
      </w:r>
      <w:r w:rsidR="00CC1FC3">
        <w:rPr>
          <w:rFonts w:cstheme="minorHAnsi"/>
          <w:sz w:val="24"/>
          <w:szCs w:val="24"/>
        </w:rPr>
        <w:t xml:space="preserve"> </w:t>
      </w:r>
      <w:r w:rsidR="0040426C" w:rsidRPr="00A104F5">
        <w:rPr>
          <w:rFonts w:cstheme="minorHAnsi"/>
          <w:sz w:val="24"/>
          <w:szCs w:val="24"/>
        </w:rPr>
        <w:t xml:space="preserve">preventative </w:t>
      </w:r>
      <w:r w:rsidR="001C7CF0" w:rsidRPr="00A104F5">
        <w:rPr>
          <w:rFonts w:cstheme="minorHAnsi"/>
          <w:sz w:val="24"/>
          <w:szCs w:val="24"/>
        </w:rPr>
        <w:t>support</w:t>
      </w:r>
      <w:r w:rsidR="00D6365C">
        <w:rPr>
          <w:rFonts w:cstheme="minorHAnsi"/>
          <w:sz w:val="24"/>
          <w:szCs w:val="24"/>
        </w:rPr>
        <w:t xml:space="preserve"> on behalf of patients</w:t>
      </w:r>
      <w:r w:rsidR="00CC1FC3">
        <w:rPr>
          <w:rFonts w:cstheme="minorHAnsi"/>
          <w:sz w:val="24"/>
          <w:szCs w:val="24"/>
        </w:rPr>
        <w:t>,</w:t>
      </w:r>
      <w:r w:rsidR="00FE4056" w:rsidRPr="00A104F5">
        <w:rPr>
          <w:rFonts w:cstheme="minorHAnsi"/>
          <w:sz w:val="24"/>
          <w:szCs w:val="24"/>
        </w:rPr>
        <w:t xml:space="preserve"> </w:t>
      </w:r>
      <w:r w:rsidR="001C7CF0" w:rsidRPr="00A104F5">
        <w:rPr>
          <w:rFonts w:cstheme="minorHAnsi"/>
          <w:sz w:val="24"/>
          <w:szCs w:val="24"/>
        </w:rPr>
        <w:t>it</w:t>
      </w:r>
      <w:r w:rsidR="00FE4056" w:rsidRPr="00A104F5">
        <w:rPr>
          <w:rFonts w:cstheme="minorHAnsi"/>
          <w:sz w:val="24"/>
          <w:szCs w:val="24"/>
        </w:rPr>
        <w:t xml:space="preserve"> has since been</w:t>
      </w:r>
      <w:r w:rsidR="0040426C" w:rsidRPr="00A104F5">
        <w:rPr>
          <w:rFonts w:cstheme="minorHAnsi"/>
          <w:sz w:val="24"/>
          <w:szCs w:val="24"/>
        </w:rPr>
        <w:t xml:space="preserve"> extended and</w:t>
      </w:r>
      <w:r w:rsidR="00FE4056" w:rsidRPr="00A104F5">
        <w:rPr>
          <w:rFonts w:cstheme="minorHAnsi"/>
          <w:sz w:val="24"/>
          <w:szCs w:val="24"/>
        </w:rPr>
        <w:t xml:space="preserve"> promoted</w:t>
      </w:r>
      <w:r w:rsidR="0040426C" w:rsidRPr="00A104F5">
        <w:rPr>
          <w:rFonts w:cstheme="minorHAnsi"/>
          <w:sz w:val="24"/>
          <w:szCs w:val="24"/>
        </w:rPr>
        <w:t xml:space="preserve"> more widely</w:t>
      </w:r>
      <w:r w:rsidR="001C7CF0" w:rsidRPr="00A104F5">
        <w:rPr>
          <w:rFonts w:cstheme="minorHAnsi"/>
          <w:sz w:val="24"/>
          <w:szCs w:val="24"/>
        </w:rPr>
        <w:t xml:space="preserve"> </w:t>
      </w:r>
      <w:r w:rsidR="0040426C" w:rsidRPr="00A104F5">
        <w:rPr>
          <w:rFonts w:cstheme="minorHAnsi"/>
          <w:sz w:val="24"/>
          <w:szCs w:val="24"/>
        </w:rPr>
        <w:t>including</w:t>
      </w:r>
      <w:r w:rsidR="00FE4056" w:rsidRPr="00A104F5">
        <w:rPr>
          <w:rFonts w:cstheme="minorHAnsi"/>
          <w:sz w:val="24"/>
          <w:szCs w:val="24"/>
        </w:rPr>
        <w:t xml:space="preserve"> in social care a</w:t>
      </w:r>
      <w:r w:rsidR="00CC1FC3">
        <w:rPr>
          <w:rFonts w:cstheme="minorHAnsi"/>
          <w:sz w:val="24"/>
          <w:szCs w:val="24"/>
        </w:rPr>
        <w:t>nd other sectors such as housing</w:t>
      </w:r>
      <w:r w:rsidR="00A420E4">
        <w:rPr>
          <w:rFonts w:cstheme="minorHAnsi"/>
          <w:sz w:val="24"/>
          <w:szCs w:val="24"/>
        </w:rPr>
        <w:t xml:space="preserve"> welfare</w:t>
      </w:r>
      <w:r w:rsidR="00CC1FC3">
        <w:rPr>
          <w:rFonts w:cstheme="minorHAnsi"/>
          <w:sz w:val="24"/>
          <w:szCs w:val="24"/>
        </w:rPr>
        <w:t xml:space="preserve"> (</w:t>
      </w:r>
      <w:r w:rsidR="00D6365C" w:rsidRPr="00A104F5">
        <w:rPr>
          <w:rFonts w:cstheme="minorHAnsi"/>
          <w:sz w:val="24"/>
          <w:szCs w:val="24"/>
        </w:rPr>
        <w:t>Foot and Hopkins, 2010</w:t>
      </w:r>
      <w:r w:rsidR="00D6365C">
        <w:rPr>
          <w:rFonts w:cstheme="minorHAnsi"/>
          <w:sz w:val="24"/>
          <w:szCs w:val="24"/>
        </w:rPr>
        <w:t xml:space="preserve">; </w:t>
      </w:r>
      <w:r w:rsidR="00CC1FC3">
        <w:rPr>
          <w:rFonts w:cstheme="minorHAnsi"/>
          <w:sz w:val="24"/>
          <w:szCs w:val="24"/>
        </w:rPr>
        <w:t xml:space="preserve">Montgomerie and </w:t>
      </w:r>
      <w:proofErr w:type="spellStart"/>
      <w:r w:rsidR="00CC1FC3">
        <w:rPr>
          <w:rFonts w:cstheme="minorHAnsi"/>
          <w:sz w:val="24"/>
          <w:szCs w:val="24"/>
        </w:rPr>
        <w:t>Budenbender</w:t>
      </w:r>
      <w:proofErr w:type="spellEnd"/>
      <w:r w:rsidR="00CC1FC3">
        <w:rPr>
          <w:rFonts w:cstheme="minorHAnsi"/>
          <w:sz w:val="24"/>
          <w:szCs w:val="24"/>
        </w:rPr>
        <w:t>, 2015)</w:t>
      </w:r>
      <w:r w:rsidR="00FE4056" w:rsidRPr="00A104F5">
        <w:rPr>
          <w:rFonts w:cstheme="minorHAnsi"/>
          <w:sz w:val="24"/>
          <w:szCs w:val="24"/>
        </w:rPr>
        <w:t>. In a</w:t>
      </w:r>
      <w:r w:rsidR="0040426C" w:rsidRPr="00A104F5">
        <w:rPr>
          <w:rFonts w:cstheme="minorHAnsi"/>
          <w:sz w:val="24"/>
          <w:szCs w:val="24"/>
        </w:rPr>
        <w:t xml:space="preserve"> not too</w:t>
      </w:r>
      <w:r w:rsidR="00FE4056" w:rsidRPr="00A104F5">
        <w:rPr>
          <w:rFonts w:cstheme="minorHAnsi"/>
          <w:sz w:val="24"/>
          <w:szCs w:val="24"/>
        </w:rPr>
        <w:t xml:space="preserve"> </w:t>
      </w:r>
      <w:r w:rsidR="0040426C" w:rsidRPr="00A104F5">
        <w:rPr>
          <w:rFonts w:cstheme="minorHAnsi"/>
          <w:sz w:val="24"/>
          <w:szCs w:val="24"/>
        </w:rPr>
        <w:t>dis</w:t>
      </w:r>
      <w:r w:rsidR="00FE4056" w:rsidRPr="00A104F5">
        <w:rPr>
          <w:rFonts w:cstheme="minorHAnsi"/>
          <w:sz w:val="24"/>
          <w:szCs w:val="24"/>
        </w:rPr>
        <w:t xml:space="preserve">similar vein to personalisation </w:t>
      </w:r>
      <w:r w:rsidR="003820CF" w:rsidRPr="00A104F5">
        <w:rPr>
          <w:rFonts w:cstheme="minorHAnsi"/>
          <w:sz w:val="24"/>
          <w:szCs w:val="24"/>
        </w:rPr>
        <w:t>policy narratives</w:t>
      </w:r>
      <w:r w:rsidR="0040426C" w:rsidRPr="00A104F5">
        <w:rPr>
          <w:rFonts w:cstheme="minorHAnsi"/>
          <w:sz w:val="24"/>
          <w:szCs w:val="24"/>
        </w:rPr>
        <w:t xml:space="preserve">, special </w:t>
      </w:r>
      <w:r w:rsidR="00667EF1">
        <w:rPr>
          <w:rFonts w:cstheme="minorHAnsi"/>
          <w:sz w:val="24"/>
          <w:szCs w:val="24"/>
        </w:rPr>
        <w:t>interest</w:t>
      </w:r>
      <w:r w:rsidR="0040426C" w:rsidRPr="00A104F5">
        <w:rPr>
          <w:rFonts w:cstheme="minorHAnsi"/>
          <w:sz w:val="24"/>
          <w:szCs w:val="24"/>
        </w:rPr>
        <w:t xml:space="preserve"> </w:t>
      </w:r>
      <w:r w:rsidR="001C7CF0" w:rsidRPr="00A104F5">
        <w:rPr>
          <w:rFonts w:cstheme="minorHAnsi"/>
          <w:sz w:val="24"/>
          <w:szCs w:val="24"/>
        </w:rPr>
        <w:t>has been</w:t>
      </w:r>
      <w:r w:rsidR="0040426C" w:rsidRPr="00A104F5">
        <w:rPr>
          <w:rFonts w:cstheme="minorHAnsi"/>
          <w:sz w:val="24"/>
          <w:szCs w:val="24"/>
        </w:rPr>
        <w:t xml:space="preserve"> given to moving away from traditional deficit-based approaches</w:t>
      </w:r>
      <w:r w:rsidR="007F7FBC">
        <w:rPr>
          <w:rFonts w:cstheme="minorHAnsi"/>
          <w:sz w:val="24"/>
          <w:szCs w:val="24"/>
        </w:rPr>
        <w:t>, which</w:t>
      </w:r>
      <w:r w:rsidR="00DB183E" w:rsidRPr="00A104F5">
        <w:rPr>
          <w:rFonts w:cstheme="minorHAnsi"/>
          <w:sz w:val="24"/>
          <w:szCs w:val="24"/>
        </w:rPr>
        <w:t xml:space="preserve"> are criticised as concentrat</w:t>
      </w:r>
      <w:r w:rsidR="007F7FBC">
        <w:rPr>
          <w:rFonts w:cstheme="minorHAnsi"/>
          <w:sz w:val="24"/>
          <w:szCs w:val="24"/>
        </w:rPr>
        <w:t>ing</w:t>
      </w:r>
      <w:r w:rsidR="00DB183E" w:rsidRPr="00A104F5">
        <w:rPr>
          <w:rFonts w:cstheme="minorHAnsi"/>
          <w:sz w:val="24"/>
          <w:szCs w:val="24"/>
        </w:rPr>
        <w:t xml:space="preserve"> on</w:t>
      </w:r>
      <w:r w:rsidR="007F7FBC">
        <w:rPr>
          <w:rFonts w:cstheme="minorHAnsi"/>
          <w:sz w:val="24"/>
          <w:szCs w:val="24"/>
        </w:rPr>
        <w:t xml:space="preserve"> overtly negative traits and </w:t>
      </w:r>
      <w:r w:rsidR="00667EF1">
        <w:rPr>
          <w:rFonts w:cstheme="minorHAnsi"/>
          <w:sz w:val="24"/>
          <w:szCs w:val="24"/>
        </w:rPr>
        <w:t>characteristics</w:t>
      </w:r>
      <w:r w:rsidR="00A420E4">
        <w:rPr>
          <w:rFonts w:cstheme="minorHAnsi"/>
          <w:sz w:val="24"/>
          <w:szCs w:val="24"/>
        </w:rPr>
        <w:t xml:space="preserve"> for users, patients and community members</w:t>
      </w:r>
      <w:r w:rsidR="00E15B8A">
        <w:rPr>
          <w:rFonts w:cstheme="minorHAnsi"/>
          <w:sz w:val="24"/>
          <w:szCs w:val="24"/>
        </w:rPr>
        <w:t>.</w:t>
      </w:r>
      <w:r w:rsidR="007F7FBC">
        <w:rPr>
          <w:rFonts w:cstheme="minorHAnsi"/>
          <w:sz w:val="24"/>
          <w:szCs w:val="24"/>
        </w:rPr>
        <w:t xml:space="preserve"> </w:t>
      </w:r>
      <w:r w:rsidR="00E15B8A">
        <w:rPr>
          <w:rFonts w:cstheme="minorHAnsi"/>
          <w:sz w:val="24"/>
          <w:szCs w:val="24"/>
        </w:rPr>
        <w:t>This notably includes</w:t>
      </w:r>
      <w:r w:rsidR="00DB183E" w:rsidRPr="00A104F5">
        <w:rPr>
          <w:rFonts w:cstheme="minorHAnsi"/>
          <w:sz w:val="24"/>
          <w:szCs w:val="24"/>
        </w:rPr>
        <w:t xml:space="preserve"> </w:t>
      </w:r>
      <w:r w:rsidR="00C94904">
        <w:rPr>
          <w:rFonts w:cstheme="minorHAnsi"/>
          <w:sz w:val="24"/>
          <w:szCs w:val="24"/>
        </w:rPr>
        <w:t>a seemingly biased focus given to</w:t>
      </w:r>
      <w:r w:rsidR="008D29C8">
        <w:rPr>
          <w:rFonts w:cstheme="minorHAnsi"/>
          <w:sz w:val="24"/>
          <w:szCs w:val="24"/>
        </w:rPr>
        <w:t xml:space="preserve"> </w:t>
      </w:r>
      <w:r w:rsidR="00DB183E" w:rsidRPr="00A104F5">
        <w:rPr>
          <w:rFonts w:cstheme="minorHAnsi"/>
          <w:sz w:val="24"/>
          <w:szCs w:val="24"/>
        </w:rPr>
        <w:t xml:space="preserve">illness, deprivation, and </w:t>
      </w:r>
      <w:r w:rsidR="00667EF1">
        <w:rPr>
          <w:rFonts w:cstheme="minorHAnsi"/>
          <w:sz w:val="24"/>
          <w:szCs w:val="24"/>
        </w:rPr>
        <w:t xml:space="preserve">apparent </w:t>
      </w:r>
      <w:r w:rsidR="008D29C8">
        <w:rPr>
          <w:rFonts w:cstheme="minorHAnsi"/>
          <w:sz w:val="24"/>
          <w:szCs w:val="24"/>
        </w:rPr>
        <w:t>‘</w:t>
      </w:r>
      <w:r w:rsidR="001C7CF0" w:rsidRPr="00A104F5">
        <w:rPr>
          <w:rFonts w:cstheme="minorHAnsi"/>
          <w:sz w:val="24"/>
          <w:szCs w:val="24"/>
        </w:rPr>
        <w:t xml:space="preserve">social </w:t>
      </w:r>
      <w:r w:rsidR="00DB183E" w:rsidRPr="00A104F5">
        <w:rPr>
          <w:rFonts w:cstheme="minorHAnsi"/>
          <w:sz w:val="24"/>
          <w:szCs w:val="24"/>
        </w:rPr>
        <w:t>problems</w:t>
      </w:r>
      <w:r w:rsidR="008D29C8">
        <w:rPr>
          <w:rFonts w:cstheme="minorHAnsi"/>
          <w:sz w:val="24"/>
          <w:szCs w:val="24"/>
        </w:rPr>
        <w:t>’</w:t>
      </w:r>
      <w:r w:rsidR="00E15B8A">
        <w:rPr>
          <w:rFonts w:cstheme="minorHAnsi"/>
          <w:sz w:val="24"/>
          <w:szCs w:val="24"/>
        </w:rPr>
        <w:t xml:space="preserve"> in order to </w:t>
      </w:r>
      <w:r w:rsidR="003409D0">
        <w:rPr>
          <w:rFonts w:cstheme="minorHAnsi"/>
          <w:sz w:val="24"/>
          <w:szCs w:val="24"/>
        </w:rPr>
        <w:t>meet professionally determined ‘</w:t>
      </w:r>
      <w:proofErr w:type="gramStart"/>
      <w:r w:rsidR="003409D0">
        <w:rPr>
          <w:rFonts w:cstheme="minorHAnsi"/>
          <w:sz w:val="24"/>
          <w:szCs w:val="24"/>
        </w:rPr>
        <w:t>needs’</w:t>
      </w:r>
      <w:proofErr w:type="gramEnd"/>
      <w:r w:rsidR="007F7FBC">
        <w:rPr>
          <w:rFonts w:cstheme="minorHAnsi"/>
          <w:sz w:val="24"/>
          <w:szCs w:val="24"/>
        </w:rPr>
        <w:t>. This</w:t>
      </w:r>
      <w:r w:rsidR="00667EF1">
        <w:rPr>
          <w:rFonts w:cstheme="minorHAnsi"/>
          <w:sz w:val="24"/>
          <w:szCs w:val="24"/>
        </w:rPr>
        <w:t xml:space="preserve"> can</w:t>
      </w:r>
      <w:r w:rsidR="00F33260">
        <w:rPr>
          <w:rFonts w:cstheme="minorHAnsi"/>
          <w:sz w:val="24"/>
          <w:szCs w:val="24"/>
        </w:rPr>
        <w:t xml:space="preserve"> </w:t>
      </w:r>
      <w:r w:rsidR="00DB183E" w:rsidRPr="00A104F5">
        <w:rPr>
          <w:rFonts w:cstheme="minorHAnsi"/>
          <w:sz w:val="24"/>
          <w:szCs w:val="24"/>
        </w:rPr>
        <w:t>lead to communities</w:t>
      </w:r>
      <w:r w:rsidR="0037347D">
        <w:rPr>
          <w:rFonts w:cstheme="minorHAnsi"/>
          <w:sz w:val="24"/>
          <w:szCs w:val="24"/>
        </w:rPr>
        <w:t>’</w:t>
      </w:r>
      <w:r w:rsidR="00DB183E" w:rsidRPr="00A104F5">
        <w:rPr>
          <w:rFonts w:cstheme="minorHAnsi"/>
          <w:sz w:val="24"/>
          <w:szCs w:val="24"/>
        </w:rPr>
        <w:t xml:space="preserve"> feeling ‘disempowered and dependent’ </w:t>
      </w:r>
      <w:r w:rsidR="001C7CF0" w:rsidRPr="00A104F5">
        <w:rPr>
          <w:rFonts w:cstheme="minorHAnsi"/>
          <w:sz w:val="24"/>
          <w:szCs w:val="24"/>
        </w:rPr>
        <w:t>whilst</w:t>
      </w:r>
      <w:r w:rsidR="00DB183E" w:rsidRPr="00A104F5">
        <w:rPr>
          <w:rFonts w:cstheme="minorHAnsi"/>
          <w:sz w:val="24"/>
          <w:szCs w:val="24"/>
        </w:rPr>
        <w:t xml:space="preserve"> encouraging people to become ‘passive recipients of services rather than active agents in their own and their families’ lives’ (Foot and Hopkins, 2010: 7). </w:t>
      </w:r>
      <w:r w:rsidR="0040426C" w:rsidRPr="00A104F5">
        <w:rPr>
          <w:rFonts w:cstheme="minorHAnsi"/>
          <w:sz w:val="24"/>
          <w:szCs w:val="24"/>
        </w:rPr>
        <w:t xml:space="preserve">Rather than </w:t>
      </w:r>
      <w:r w:rsidR="00D167A2">
        <w:rPr>
          <w:rFonts w:cstheme="minorHAnsi"/>
          <w:sz w:val="24"/>
          <w:szCs w:val="24"/>
        </w:rPr>
        <w:t xml:space="preserve">instinctively </w:t>
      </w:r>
      <w:r w:rsidR="0040426C" w:rsidRPr="00A104F5">
        <w:rPr>
          <w:rFonts w:cstheme="minorHAnsi"/>
          <w:sz w:val="24"/>
          <w:szCs w:val="24"/>
        </w:rPr>
        <w:t xml:space="preserve">offer formal care or other </w:t>
      </w:r>
      <w:r w:rsidR="00F377CC" w:rsidRPr="00A104F5">
        <w:rPr>
          <w:rFonts w:cstheme="minorHAnsi"/>
          <w:sz w:val="24"/>
          <w:szCs w:val="24"/>
        </w:rPr>
        <w:t xml:space="preserve">direct </w:t>
      </w:r>
      <w:r w:rsidR="0040426C" w:rsidRPr="00A104F5">
        <w:rPr>
          <w:rFonts w:cstheme="minorHAnsi"/>
          <w:sz w:val="24"/>
          <w:szCs w:val="24"/>
        </w:rPr>
        <w:t>support</w:t>
      </w:r>
      <w:r w:rsidR="00F377CC" w:rsidRPr="00A104F5">
        <w:rPr>
          <w:rFonts w:cstheme="minorHAnsi"/>
          <w:sz w:val="24"/>
          <w:szCs w:val="24"/>
        </w:rPr>
        <w:t xml:space="preserve"> as part of </w:t>
      </w:r>
      <w:r w:rsidR="00E15B8A">
        <w:rPr>
          <w:rFonts w:cstheme="minorHAnsi"/>
          <w:sz w:val="24"/>
          <w:szCs w:val="24"/>
        </w:rPr>
        <w:t>such a</w:t>
      </w:r>
      <w:r w:rsidR="00F377CC" w:rsidRPr="00A104F5">
        <w:rPr>
          <w:rFonts w:cstheme="minorHAnsi"/>
          <w:sz w:val="24"/>
          <w:szCs w:val="24"/>
        </w:rPr>
        <w:t xml:space="preserve"> deficit model</w:t>
      </w:r>
      <w:r w:rsidR="00DB183E" w:rsidRPr="00A104F5">
        <w:rPr>
          <w:rFonts w:cstheme="minorHAnsi"/>
          <w:sz w:val="24"/>
          <w:szCs w:val="24"/>
        </w:rPr>
        <w:t>,</w:t>
      </w:r>
      <w:r w:rsidR="0040426C" w:rsidRPr="00A104F5">
        <w:rPr>
          <w:rFonts w:cstheme="minorHAnsi"/>
          <w:sz w:val="24"/>
          <w:szCs w:val="24"/>
        </w:rPr>
        <w:t xml:space="preserve"> </w:t>
      </w:r>
      <w:r w:rsidR="00DB183E" w:rsidRPr="00A104F5">
        <w:rPr>
          <w:rFonts w:cstheme="minorHAnsi"/>
          <w:sz w:val="24"/>
          <w:szCs w:val="24"/>
        </w:rPr>
        <w:t xml:space="preserve">welfare </w:t>
      </w:r>
      <w:r w:rsidR="0040426C" w:rsidRPr="00A104F5">
        <w:rPr>
          <w:rFonts w:cstheme="minorHAnsi"/>
          <w:sz w:val="24"/>
          <w:szCs w:val="24"/>
        </w:rPr>
        <w:t>agencies</w:t>
      </w:r>
      <w:r w:rsidR="00626D1E">
        <w:rPr>
          <w:rFonts w:cstheme="minorHAnsi"/>
          <w:sz w:val="24"/>
          <w:szCs w:val="24"/>
        </w:rPr>
        <w:t>,</w:t>
      </w:r>
      <w:r w:rsidR="0040426C" w:rsidRPr="00A104F5">
        <w:rPr>
          <w:rFonts w:cstheme="minorHAnsi"/>
          <w:sz w:val="24"/>
          <w:szCs w:val="24"/>
        </w:rPr>
        <w:t xml:space="preserve"> professionals</w:t>
      </w:r>
      <w:r w:rsidR="008D29C8">
        <w:rPr>
          <w:rFonts w:cstheme="minorHAnsi"/>
          <w:sz w:val="24"/>
          <w:szCs w:val="24"/>
        </w:rPr>
        <w:t>,</w:t>
      </w:r>
      <w:r w:rsidR="00626D1E">
        <w:rPr>
          <w:rFonts w:cstheme="minorHAnsi"/>
          <w:sz w:val="24"/>
          <w:szCs w:val="24"/>
        </w:rPr>
        <w:t xml:space="preserve"> support staff </w:t>
      </w:r>
      <w:r w:rsidR="008D29C8">
        <w:rPr>
          <w:rFonts w:cstheme="minorHAnsi"/>
          <w:sz w:val="24"/>
          <w:szCs w:val="24"/>
        </w:rPr>
        <w:t xml:space="preserve">and volunteers </w:t>
      </w:r>
      <w:r w:rsidR="0040426C" w:rsidRPr="00A104F5">
        <w:rPr>
          <w:rFonts w:cstheme="minorHAnsi"/>
          <w:sz w:val="24"/>
          <w:szCs w:val="24"/>
        </w:rPr>
        <w:t xml:space="preserve">should instead </w:t>
      </w:r>
      <w:r w:rsidR="00667EF1">
        <w:rPr>
          <w:rFonts w:cstheme="minorHAnsi"/>
          <w:sz w:val="24"/>
          <w:szCs w:val="24"/>
        </w:rPr>
        <w:t>utilise asset-based technologies</w:t>
      </w:r>
      <w:r w:rsidR="00E15B8A">
        <w:rPr>
          <w:rFonts w:cstheme="minorHAnsi"/>
          <w:sz w:val="24"/>
          <w:szCs w:val="24"/>
        </w:rPr>
        <w:t xml:space="preserve"> and instruments</w:t>
      </w:r>
      <w:r w:rsidR="0040426C" w:rsidRPr="00A104F5">
        <w:rPr>
          <w:rFonts w:cstheme="minorHAnsi"/>
          <w:sz w:val="24"/>
          <w:szCs w:val="24"/>
        </w:rPr>
        <w:t xml:space="preserve"> to map community</w:t>
      </w:r>
      <w:r w:rsidR="00D167A2">
        <w:rPr>
          <w:rFonts w:cstheme="minorHAnsi"/>
          <w:sz w:val="24"/>
          <w:szCs w:val="24"/>
        </w:rPr>
        <w:t>-based</w:t>
      </w:r>
      <w:r w:rsidR="0040426C" w:rsidRPr="00A104F5">
        <w:rPr>
          <w:rFonts w:cstheme="minorHAnsi"/>
          <w:sz w:val="24"/>
          <w:szCs w:val="24"/>
        </w:rPr>
        <w:t xml:space="preserve"> strengths</w:t>
      </w:r>
      <w:r w:rsidR="00F377CC" w:rsidRPr="00A104F5">
        <w:rPr>
          <w:rFonts w:cstheme="minorHAnsi"/>
          <w:sz w:val="24"/>
          <w:szCs w:val="24"/>
        </w:rPr>
        <w:t xml:space="preserve">, </w:t>
      </w:r>
      <w:r w:rsidR="00D167A2">
        <w:rPr>
          <w:rFonts w:cstheme="minorHAnsi"/>
          <w:sz w:val="24"/>
          <w:szCs w:val="24"/>
        </w:rPr>
        <w:t xml:space="preserve">and </w:t>
      </w:r>
      <w:r w:rsidR="0040426C" w:rsidRPr="00A104F5">
        <w:rPr>
          <w:rFonts w:cstheme="minorHAnsi"/>
          <w:sz w:val="24"/>
          <w:szCs w:val="24"/>
        </w:rPr>
        <w:t>empower older people</w:t>
      </w:r>
      <w:r w:rsidR="00A420E4">
        <w:rPr>
          <w:rFonts w:cstheme="minorHAnsi"/>
          <w:sz w:val="24"/>
          <w:szCs w:val="24"/>
        </w:rPr>
        <w:t xml:space="preserve"> and others</w:t>
      </w:r>
      <w:r w:rsidR="0040426C" w:rsidRPr="00A104F5">
        <w:rPr>
          <w:rFonts w:cstheme="minorHAnsi"/>
          <w:sz w:val="24"/>
          <w:szCs w:val="24"/>
        </w:rPr>
        <w:t xml:space="preserve"> to </w:t>
      </w:r>
      <w:r w:rsidR="00F377CC" w:rsidRPr="00A104F5">
        <w:rPr>
          <w:rFonts w:cstheme="minorHAnsi"/>
          <w:sz w:val="24"/>
          <w:szCs w:val="24"/>
        </w:rPr>
        <w:t xml:space="preserve">draw from their </w:t>
      </w:r>
      <w:r w:rsidR="00D167A2">
        <w:rPr>
          <w:rFonts w:cstheme="minorHAnsi"/>
          <w:sz w:val="24"/>
          <w:szCs w:val="24"/>
        </w:rPr>
        <w:t xml:space="preserve">many </w:t>
      </w:r>
      <w:r w:rsidR="007F7FBC">
        <w:rPr>
          <w:rFonts w:cstheme="minorHAnsi"/>
          <w:sz w:val="24"/>
          <w:szCs w:val="24"/>
        </w:rPr>
        <w:t>assets</w:t>
      </w:r>
      <w:r w:rsidR="00F377CC" w:rsidRPr="00A104F5">
        <w:rPr>
          <w:rFonts w:cstheme="minorHAnsi"/>
          <w:sz w:val="24"/>
          <w:szCs w:val="24"/>
        </w:rPr>
        <w:t xml:space="preserve"> to </w:t>
      </w:r>
      <w:r w:rsidR="007A1FC5">
        <w:rPr>
          <w:rFonts w:cstheme="minorHAnsi"/>
          <w:sz w:val="24"/>
          <w:szCs w:val="24"/>
        </w:rPr>
        <w:t xml:space="preserve">reshape the ageing self and </w:t>
      </w:r>
      <w:r w:rsidR="00F377CC" w:rsidRPr="00A104F5">
        <w:rPr>
          <w:rFonts w:cstheme="minorHAnsi"/>
          <w:sz w:val="24"/>
          <w:szCs w:val="24"/>
        </w:rPr>
        <w:t>support</w:t>
      </w:r>
      <w:r w:rsidR="007A1FC5">
        <w:rPr>
          <w:rFonts w:cstheme="minorHAnsi"/>
          <w:sz w:val="24"/>
          <w:szCs w:val="24"/>
        </w:rPr>
        <w:t xml:space="preserve"> </w:t>
      </w:r>
      <w:r w:rsidR="00F377CC" w:rsidRPr="00A104F5">
        <w:rPr>
          <w:rFonts w:cstheme="minorHAnsi"/>
          <w:sz w:val="24"/>
          <w:szCs w:val="24"/>
        </w:rPr>
        <w:t xml:space="preserve">one another. </w:t>
      </w:r>
    </w:p>
    <w:p w14:paraId="0EF6EBC3" w14:textId="516875AD" w:rsidR="00FC57DF" w:rsidRDefault="00FC57DF" w:rsidP="0070073A">
      <w:pPr>
        <w:spacing w:line="480" w:lineRule="auto"/>
        <w:rPr>
          <w:rFonts w:cstheme="minorHAnsi"/>
          <w:sz w:val="24"/>
          <w:szCs w:val="24"/>
        </w:rPr>
      </w:pPr>
      <w:r w:rsidRPr="00A104F5">
        <w:rPr>
          <w:rFonts w:cstheme="minorHAnsi"/>
          <w:sz w:val="24"/>
          <w:szCs w:val="24"/>
        </w:rPr>
        <w:t xml:space="preserve">In </w:t>
      </w:r>
      <w:r w:rsidR="007A1FC5">
        <w:rPr>
          <w:rFonts w:cstheme="minorHAnsi"/>
          <w:sz w:val="24"/>
          <w:szCs w:val="24"/>
        </w:rPr>
        <w:t>reinforcing</w:t>
      </w:r>
      <w:r w:rsidRPr="00A104F5">
        <w:rPr>
          <w:rFonts w:cstheme="minorHAnsi"/>
          <w:sz w:val="24"/>
          <w:szCs w:val="24"/>
        </w:rPr>
        <w:t xml:space="preserve"> </w:t>
      </w:r>
      <w:proofErr w:type="gramStart"/>
      <w:r w:rsidR="003409D0">
        <w:rPr>
          <w:rFonts w:cstheme="minorHAnsi"/>
          <w:sz w:val="24"/>
          <w:szCs w:val="24"/>
        </w:rPr>
        <w:t>further</w:t>
      </w:r>
      <w:proofErr w:type="gramEnd"/>
      <w:r w:rsidR="007A1FC5">
        <w:rPr>
          <w:rFonts w:cstheme="minorHAnsi"/>
          <w:sz w:val="24"/>
          <w:szCs w:val="24"/>
        </w:rPr>
        <w:t xml:space="preserve"> </w:t>
      </w:r>
      <w:r w:rsidR="000526C5" w:rsidRPr="00A104F5">
        <w:rPr>
          <w:rFonts w:cstheme="minorHAnsi"/>
          <w:sz w:val="24"/>
          <w:szCs w:val="24"/>
        </w:rPr>
        <w:t xml:space="preserve">key </w:t>
      </w:r>
      <w:r w:rsidR="00C220D0">
        <w:rPr>
          <w:rFonts w:cstheme="minorHAnsi"/>
          <w:sz w:val="24"/>
          <w:szCs w:val="24"/>
        </w:rPr>
        <w:t>condition-centred</w:t>
      </w:r>
      <w:r w:rsidR="000526C5" w:rsidRPr="00A104F5">
        <w:rPr>
          <w:rFonts w:cstheme="minorHAnsi"/>
          <w:sz w:val="24"/>
          <w:szCs w:val="24"/>
        </w:rPr>
        <w:t xml:space="preserve"> driver</w:t>
      </w:r>
      <w:r w:rsidR="003409D0">
        <w:rPr>
          <w:rFonts w:cstheme="minorHAnsi"/>
          <w:sz w:val="24"/>
          <w:szCs w:val="24"/>
        </w:rPr>
        <w:t>s</w:t>
      </w:r>
      <w:r w:rsidR="000526C5" w:rsidRPr="00A104F5">
        <w:rPr>
          <w:rFonts w:cstheme="minorHAnsi"/>
          <w:sz w:val="24"/>
          <w:szCs w:val="24"/>
        </w:rPr>
        <w:t xml:space="preserve"> embroidered within </w:t>
      </w:r>
      <w:r w:rsidRPr="00A104F5">
        <w:rPr>
          <w:rFonts w:cstheme="minorHAnsi"/>
          <w:sz w:val="24"/>
          <w:szCs w:val="24"/>
        </w:rPr>
        <w:t>personalisation</w:t>
      </w:r>
      <w:r w:rsidR="000B2FC8">
        <w:rPr>
          <w:rFonts w:cstheme="minorHAnsi"/>
          <w:sz w:val="24"/>
          <w:szCs w:val="24"/>
        </w:rPr>
        <w:t xml:space="preserve"> </w:t>
      </w:r>
      <w:r w:rsidR="00C220D0">
        <w:rPr>
          <w:rFonts w:cstheme="minorHAnsi"/>
          <w:sz w:val="24"/>
          <w:szCs w:val="24"/>
        </w:rPr>
        <w:t xml:space="preserve">narratives </w:t>
      </w:r>
      <w:r w:rsidR="000B2FC8">
        <w:rPr>
          <w:rFonts w:cstheme="minorHAnsi"/>
          <w:sz w:val="24"/>
          <w:szCs w:val="24"/>
        </w:rPr>
        <w:t>and other initiatives</w:t>
      </w:r>
      <w:r w:rsidRPr="00A104F5">
        <w:rPr>
          <w:rFonts w:cstheme="minorHAnsi"/>
          <w:sz w:val="24"/>
          <w:szCs w:val="24"/>
        </w:rPr>
        <w:t xml:space="preserve">, a fundamental part of asset-based care </w:t>
      </w:r>
      <w:r w:rsidR="006E515B">
        <w:rPr>
          <w:rFonts w:cstheme="minorHAnsi"/>
          <w:sz w:val="24"/>
          <w:szCs w:val="24"/>
        </w:rPr>
        <w:t xml:space="preserve">has </w:t>
      </w:r>
      <w:r w:rsidRPr="00A104F5">
        <w:rPr>
          <w:rFonts w:cstheme="minorHAnsi"/>
          <w:sz w:val="24"/>
          <w:szCs w:val="24"/>
        </w:rPr>
        <w:t>remain</w:t>
      </w:r>
      <w:r w:rsidR="006E515B">
        <w:rPr>
          <w:rFonts w:cstheme="minorHAnsi"/>
          <w:sz w:val="24"/>
          <w:szCs w:val="24"/>
        </w:rPr>
        <w:t>ed</w:t>
      </w:r>
      <w:r w:rsidRPr="00A104F5">
        <w:rPr>
          <w:rFonts w:cstheme="minorHAnsi"/>
          <w:sz w:val="24"/>
          <w:szCs w:val="24"/>
        </w:rPr>
        <w:t xml:space="preserve"> co-production and</w:t>
      </w:r>
      <w:r w:rsidR="00CF1C8B" w:rsidRPr="00A104F5">
        <w:rPr>
          <w:rFonts w:cstheme="minorHAnsi"/>
          <w:sz w:val="24"/>
          <w:szCs w:val="24"/>
        </w:rPr>
        <w:t xml:space="preserve"> </w:t>
      </w:r>
      <w:r w:rsidR="00626D1E">
        <w:rPr>
          <w:rFonts w:cstheme="minorHAnsi"/>
          <w:sz w:val="24"/>
          <w:szCs w:val="24"/>
        </w:rPr>
        <w:t xml:space="preserve">service user </w:t>
      </w:r>
      <w:r w:rsidR="000B2FC8">
        <w:rPr>
          <w:rFonts w:cstheme="minorHAnsi"/>
          <w:sz w:val="24"/>
          <w:szCs w:val="24"/>
        </w:rPr>
        <w:t xml:space="preserve">or citizen-led </w:t>
      </w:r>
      <w:r w:rsidRPr="00A104F5">
        <w:rPr>
          <w:rFonts w:cstheme="minorHAnsi"/>
          <w:sz w:val="24"/>
          <w:szCs w:val="24"/>
        </w:rPr>
        <w:t xml:space="preserve">participation. </w:t>
      </w:r>
      <w:r w:rsidR="00CF1C8B" w:rsidRPr="00A104F5">
        <w:rPr>
          <w:rFonts w:cstheme="minorHAnsi"/>
          <w:sz w:val="24"/>
          <w:szCs w:val="24"/>
        </w:rPr>
        <w:t>A</w:t>
      </w:r>
      <w:r w:rsidRPr="00A104F5">
        <w:rPr>
          <w:rFonts w:cstheme="minorHAnsi"/>
          <w:sz w:val="24"/>
          <w:szCs w:val="24"/>
        </w:rPr>
        <w:t>s part of</w:t>
      </w:r>
      <w:r w:rsidR="00CF1C8B" w:rsidRPr="00A104F5">
        <w:rPr>
          <w:rFonts w:cstheme="minorHAnsi"/>
          <w:sz w:val="24"/>
          <w:szCs w:val="24"/>
        </w:rPr>
        <w:t xml:space="preserve"> a</w:t>
      </w:r>
      <w:r w:rsidR="000526C5" w:rsidRPr="00A104F5">
        <w:rPr>
          <w:rFonts w:cstheme="minorHAnsi"/>
          <w:sz w:val="24"/>
          <w:szCs w:val="24"/>
        </w:rPr>
        <w:t xml:space="preserve"> </w:t>
      </w:r>
      <w:r w:rsidR="00CF1C8B" w:rsidRPr="00A104F5">
        <w:rPr>
          <w:rFonts w:cstheme="minorHAnsi"/>
          <w:sz w:val="24"/>
          <w:szCs w:val="24"/>
        </w:rPr>
        <w:t xml:space="preserve">wider </w:t>
      </w:r>
      <w:r w:rsidRPr="00A104F5">
        <w:rPr>
          <w:rFonts w:cstheme="minorHAnsi"/>
          <w:sz w:val="24"/>
          <w:szCs w:val="24"/>
        </w:rPr>
        <w:t xml:space="preserve">agenda to </w:t>
      </w:r>
      <w:r w:rsidR="004B4A32">
        <w:rPr>
          <w:rFonts w:cstheme="minorHAnsi"/>
          <w:sz w:val="24"/>
          <w:szCs w:val="24"/>
        </w:rPr>
        <w:t>engage</w:t>
      </w:r>
      <w:r w:rsidRPr="00A104F5">
        <w:rPr>
          <w:rFonts w:cstheme="minorHAnsi"/>
          <w:sz w:val="24"/>
          <w:szCs w:val="24"/>
        </w:rPr>
        <w:t xml:space="preserve"> </w:t>
      </w:r>
      <w:r w:rsidR="00CF1C8B" w:rsidRPr="00A104F5">
        <w:rPr>
          <w:rFonts w:cstheme="minorHAnsi"/>
          <w:sz w:val="24"/>
          <w:szCs w:val="24"/>
        </w:rPr>
        <w:t>communities</w:t>
      </w:r>
      <w:r w:rsidR="00626D1E">
        <w:rPr>
          <w:rFonts w:cstheme="minorHAnsi"/>
          <w:sz w:val="24"/>
          <w:szCs w:val="24"/>
        </w:rPr>
        <w:t>,</w:t>
      </w:r>
      <w:r w:rsidRPr="00A104F5">
        <w:rPr>
          <w:rFonts w:cstheme="minorHAnsi"/>
          <w:sz w:val="24"/>
          <w:szCs w:val="24"/>
        </w:rPr>
        <w:t xml:space="preserve"> decision making</w:t>
      </w:r>
      <w:r w:rsidR="001B3ADB">
        <w:rPr>
          <w:rFonts w:cstheme="minorHAnsi"/>
          <w:sz w:val="24"/>
          <w:szCs w:val="24"/>
        </w:rPr>
        <w:t xml:space="preserve"> about how to effectively utilise community-based assets</w:t>
      </w:r>
      <w:r w:rsidRPr="00A104F5">
        <w:rPr>
          <w:rFonts w:cstheme="minorHAnsi"/>
          <w:sz w:val="24"/>
          <w:szCs w:val="24"/>
        </w:rPr>
        <w:t xml:space="preserve"> </w:t>
      </w:r>
      <w:r w:rsidR="00B154E8">
        <w:rPr>
          <w:rFonts w:cstheme="minorHAnsi"/>
          <w:sz w:val="24"/>
          <w:szCs w:val="24"/>
        </w:rPr>
        <w:t>is</w:t>
      </w:r>
      <w:r w:rsidR="00CF1C8B" w:rsidRPr="00A104F5">
        <w:rPr>
          <w:rFonts w:cstheme="minorHAnsi"/>
          <w:sz w:val="24"/>
          <w:szCs w:val="24"/>
        </w:rPr>
        <w:t xml:space="preserve"> </w:t>
      </w:r>
      <w:r w:rsidR="00382573">
        <w:rPr>
          <w:rFonts w:cstheme="minorHAnsi"/>
          <w:sz w:val="24"/>
          <w:szCs w:val="24"/>
        </w:rPr>
        <w:t xml:space="preserve">intended to be </w:t>
      </w:r>
      <w:r w:rsidRPr="00A104F5">
        <w:rPr>
          <w:rFonts w:cstheme="minorHAnsi"/>
          <w:sz w:val="24"/>
          <w:szCs w:val="24"/>
        </w:rPr>
        <w:t xml:space="preserve">shared </w:t>
      </w:r>
      <w:r w:rsidR="000526C5" w:rsidRPr="00A104F5">
        <w:rPr>
          <w:rFonts w:cstheme="minorHAnsi"/>
          <w:sz w:val="24"/>
          <w:szCs w:val="24"/>
        </w:rPr>
        <w:t xml:space="preserve">between </w:t>
      </w:r>
      <w:r w:rsidR="00662AE1">
        <w:rPr>
          <w:rFonts w:cstheme="minorHAnsi"/>
          <w:sz w:val="24"/>
          <w:szCs w:val="24"/>
        </w:rPr>
        <w:t xml:space="preserve">welfare </w:t>
      </w:r>
      <w:r w:rsidR="000526C5" w:rsidRPr="00A104F5">
        <w:rPr>
          <w:rFonts w:cstheme="minorHAnsi"/>
          <w:sz w:val="24"/>
          <w:szCs w:val="24"/>
        </w:rPr>
        <w:t>professionals</w:t>
      </w:r>
      <w:r w:rsidR="00E15B8A">
        <w:rPr>
          <w:rFonts w:cstheme="minorHAnsi"/>
          <w:sz w:val="24"/>
          <w:szCs w:val="24"/>
        </w:rPr>
        <w:t>, support workers</w:t>
      </w:r>
      <w:r w:rsidR="000526C5" w:rsidRPr="00A104F5">
        <w:rPr>
          <w:rFonts w:cstheme="minorHAnsi"/>
          <w:sz w:val="24"/>
          <w:szCs w:val="24"/>
        </w:rPr>
        <w:t xml:space="preserve"> and </w:t>
      </w:r>
      <w:r w:rsidR="00CF1C8B" w:rsidRPr="00A104F5">
        <w:rPr>
          <w:rFonts w:cstheme="minorHAnsi"/>
          <w:sz w:val="24"/>
          <w:szCs w:val="24"/>
        </w:rPr>
        <w:t xml:space="preserve">pro-active </w:t>
      </w:r>
      <w:r w:rsidR="001B3ADB">
        <w:rPr>
          <w:rFonts w:cstheme="minorHAnsi"/>
          <w:sz w:val="24"/>
          <w:szCs w:val="24"/>
        </w:rPr>
        <w:t>stakeholders</w:t>
      </w:r>
      <w:r w:rsidR="00B154E8">
        <w:rPr>
          <w:rFonts w:cstheme="minorHAnsi"/>
          <w:sz w:val="24"/>
          <w:szCs w:val="24"/>
        </w:rPr>
        <w:t>, which can</w:t>
      </w:r>
      <w:r w:rsidR="00CF1C8B" w:rsidRPr="00A104F5">
        <w:rPr>
          <w:rFonts w:cstheme="minorHAnsi"/>
          <w:sz w:val="24"/>
          <w:szCs w:val="24"/>
        </w:rPr>
        <w:t xml:space="preserve"> be utilised to meaningfully sustain health and well-being (</w:t>
      </w:r>
      <w:r w:rsidR="00534FD3" w:rsidRPr="00A104F5">
        <w:rPr>
          <w:rFonts w:cstheme="minorHAnsi"/>
          <w:sz w:val="24"/>
          <w:szCs w:val="24"/>
        </w:rPr>
        <w:t>Ziegler and Scharf, 2014</w:t>
      </w:r>
      <w:r w:rsidR="00CF1C8B" w:rsidRPr="00A104F5">
        <w:rPr>
          <w:rFonts w:cstheme="minorHAnsi"/>
          <w:sz w:val="24"/>
          <w:szCs w:val="24"/>
        </w:rPr>
        <w:t>)</w:t>
      </w:r>
      <w:r w:rsidR="009C7D24" w:rsidRPr="00A104F5">
        <w:rPr>
          <w:rFonts w:cstheme="minorHAnsi"/>
          <w:sz w:val="24"/>
          <w:szCs w:val="24"/>
        </w:rPr>
        <w:t xml:space="preserve">. </w:t>
      </w:r>
      <w:r w:rsidR="005542E3">
        <w:rPr>
          <w:rFonts w:cstheme="minorHAnsi"/>
          <w:sz w:val="24"/>
          <w:szCs w:val="24"/>
        </w:rPr>
        <w:t xml:space="preserve">Despite </w:t>
      </w:r>
      <w:r w:rsidR="00E90A6E">
        <w:rPr>
          <w:rFonts w:cstheme="minorHAnsi"/>
          <w:sz w:val="24"/>
          <w:szCs w:val="24"/>
        </w:rPr>
        <w:t xml:space="preserve">largely </w:t>
      </w:r>
      <w:r w:rsidR="00C220D0">
        <w:rPr>
          <w:rFonts w:cstheme="minorHAnsi"/>
          <w:sz w:val="24"/>
          <w:szCs w:val="24"/>
        </w:rPr>
        <w:t>achieving general</w:t>
      </w:r>
      <w:r w:rsidR="00534FD3">
        <w:rPr>
          <w:rFonts w:cstheme="minorHAnsi"/>
          <w:sz w:val="24"/>
          <w:szCs w:val="24"/>
        </w:rPr>
        <w:t xml:space="preserve"> </w:t>
      </w:r>
      <w:r w:rsidR="005542E3">
        <w:rPr>
          <w:rFonts w:cstheme="minorHAnsi"/>
          <w:sz w:val="24"/>
          <w:szCs w:val="24"/>
        </w:rPr>
        <w:t>popularity</w:t>
      </w:r>
      <w:r w:rsidR="00534FD3">
        <w:rPr>
          <w:rFonts w:cstheme="minorHAnsi"/>
          <w:sz w:val="24"/>
          <w:szCs w:val="24"/>
        </w:rPr>
        <w:t xml:space="preserve"> with professional groups and </w:t>
      </w:r>
      <w:r w:rsidR="00FA632D">
        <w:rPr>
          <w:rFonts w:cstheme="minorHAnsi"/>
          <w:sz w:val="24"/>
          <w:szCs w:val="24"/>
        </w:rPr>
        <w:lastRenderedPageBreak/>
        <w:t xml:space="preserve">many </w:t>
      </w:r>
      <w:r w:rsidR="00534FD3">
        <w:rPr>
          <w:rFonts w:cstheme="minorHAnsi"/>
          <w:sz w:val="24"/>
          <w:szCs w:val="24"/>
        </w:rPr>
        <w:t>pedagogues</w:t>
      </w:r>
      <w:r w:rsidR="00E15B8A">
        <w:rPr>
          <w:rFonts w:cstheme="minorHAnsi"/>
          <w:sz w:val="24"/>
          <w:szCs w:val="24"/>
        </w:rPr>
        <w:t xml:space="preserve"> alike</w:t>
      </w:r>
      <w:r w:rsidR="00534FD3">
        <w:rPr>
          <w:rFonts w:cstheme="minorHAnsi"/>
          <w:sz w:val="24"/>
          <w:szCs w:val="24"/>
        </w:rPr>
        <w:t xml:space="preserve"> - including</w:t>
      </w:r>
      <w:r w:rsidR="005542E3">
        <w:rPr>
          <w:rFonts w:cstheme="minorHAnsi"/>
          <w:sz w:val="24"/>
          <w:szCs w:val="24"/>
        </w:rPr>
        <w:t xml:space="preserve"> </w:t>
      </w:r>
      <w:r w:rsidR="00C220D0">
        <w:rPr>
          <w:rFonts w:cstheme="minorHAnsi"/>
          <w:sz w:val="24"/>
          <w:szCs w:val="24"/>
        </w:rPr>
        <w:t xml:space="preserve">due to </w:t>
      </w:r>
      <w:r w:rsidR="005542E3">
        <w:rPr>
          <w:rFonts w:cstheme="minorHAnsi"/>
          <w:sz w:val="24"/>
          <w:szCs w:val="24"/>
        </w:rPr>
        <w:t xml:space="preserve">the potential of participative </w:t>
      </w:r>
      <w:r w:rsidR="00C220D0">
        <w:rPr>
          <w:rFonts w:cstheme="minorHAnsi"/>
          <w:sz w:val="24"/>
          <w:szCs w:val="24"/>
        </w:rPr>
        <w:t>approaches</w:t>
      </w:r>
      <w:r w:rsidR="005542E3">
        <w:rPr>
          <w:rFonts w:cstheme="minorHAnsi"/>
          <w:sz w:val="24"/>
          <w:szCs w:val="24"/>
        </w:rPr>
        <w:t xml:space="preserve"> to extend the rights of service users</w:t>
      </w:r>
      <w:r w:rsidR="00534FD3">
        <w:rPr>
          <w:rFonts w:cstheme="minorHAnsi"/>
          <w:sz w:val="24"/>
          <w:szCs w:val="24"/>
        </w:rPr>
        <w:t xml:space="preserve"> -</w:t>
      </w:r>
      <w:r w:rsidR="005542E3">
        <w:rPr>
          <w:rFonts w:cstheme="minorHAnsi"/>
          <w:sz w:val="24"/>
          <w:szCs w:val="24"/>
        </w:rPr>
        <w:t xml:space="preserve"> s</w:t>
      </w:r>
      <w:r w:rsidR="009C7D24" w:rsidRPr="00A104F5">
        <w:rPr>
          <w:rFonts w:cstheme="minorHAnsi"/>
          <w:sz w:val="24"/>
          <w:szCs w:val="24"/>
        </w:rPr>
        <w:t>cepticism</w:t>
      </w:r>
      <w:r w:rsidR="006E515B">
        <w:rPr>
          <w:rFonts w:cstheme="minorHAnsi"/>
          <w:sz w:val="24"/>
          <w:szCs w:val="24"/>
        </w:rPr>
        <w:t xml:space="preserve"> and informed critique</w:t>
      </w:r>
      <w:r w:rsidR="009C7D24" w:rsidRPr="00A104F5">
        <w:rPr>
          <w:rFonts w:cstheme="minorHAnsi"/>
          <w:sz w:val="24"/>
          <w:szCs w:val="24"/>
        </w:rPr>
        <w:t xml:space="preserve"> </w:t>
      </w:r>
      <w:r w:rsidR="00C220D0">
        <w:rPr>
          <w:rFonts w:cstheme="minorHAnsi"/>
          <w:sz w:val="24"/>
          <w:szCs w:val="24"/>
        </w:rPr>
        <w:t xml:space="preserve">still </w:t>
      </w:r>
      <w:r w:rsidR="009C7D24" w:rsidRPr="00A104F5">
        <w:rPr>
          <w:rFonts w:cstheme="minorHAnsi"/>
          <w:sz w:val="24"/>
          <w:szCs w:val="24"/>
        </w:rPr>
        <w:t>persist</w:t>
      </w:r>
      <w:r w:rsidR="005542E3">
        <w:rPr>
          <w:rFonts w:cstheme="minorHAnsi"/>
          <w:sz w:val="24"/>
          <w:szCs w:val="24"/>
        </w:rPr>
        <w:t>. For example,</w:t>
      </w:r>
      <w:r w:rsidR="009C7D24" w:rsidRPr="00A104F5">
        <w:rPr>
          <w:rFonts w:cstheme="minorHAnsi"/>
          <w:sz w:val="24"/>
          <w:szCs w:val="24"/>
        </w:rPr>
        <w:t xml:space="preserve"> questions </w:t>
      </w:r>
      <w:r w:rsidR="005542E3">
        <w:rPr>
          <w:rFonts w:cstheme="minorHAnsi"/>
          <w:sz w:val="24"/>
          <w:szCs w:val="24"/>
        </w:rPr>
        <w:t xml:space="preserve">remain </w:t>
      </w:r>
      <w:r w:rsidR="009C7D24" w:rsidRPr="00A104F5">
        <w:rPr>
          <w:rFonts w:cstheme="minorHAnsi"/>
          <w:sz w:val="24"/>
          <w:szCs w:val="24"/>
        </w:rPr>
        <w:t>about</w:t>
      </w:r>
      <w:r w:rsidR="00584183">
        <w:rPr>
          <w:rFonts w:cstheme="minorHAnsi"/>
          <w:sz w:val="24"/>
          <w:szCs w:val="24"/>
        </w:rPr>
        <w:t xml:space="preserve"> a lack of clarity </w:t>
      </w:r>
      <w:r w:rsidR="00E90A6E">
        <w:rPr>
          <w:rFonts w:cstheme="minorHAnsi"/>
          <w:sz w:val="24"/>
          <w:szCs w:val="24"/>
        </w:rPr>
        <w:t>regarding</w:t>
      </w:r>
      <w:r w:rsidR="00584183">
        <w:rPr>
          <w:rFonts w:cstheme="minorHAnsi"/>
          <w:sz w:val="24"/>
          <w:szCs w:val="24"/>
        </w:rPr>
        <w:t xml:space="preserve"> what co-production</w:t>
      </w:r>
      <w:r w:rsidR="00626D1E">
        <w:rPr>
          <w:rFonts w:cstheme="minorHAnsi"/>
          <w:sz w:val="24"/>
          <w:szCs w:val="24"/>
        </w:rPr>
        <w:t xml:space="preserve"> or participation</w:t>
      </w:r>
      <w:r w:rsidR="00584183">
        <w:rPr>
          <w:rFonts w:cstheme="minorHAnsi"/>
          <w:sz w:val="24"/>
          <w:szCs w:val="24"/>
        </w:rPr>
        <w:t xml:space="preserve"> actually constitutes in practice, a</w:t>
      </w:r>
      <w:r w:rsidR="00C220D0">
        <w:rPr>
          <w:rFonts w:cstheme="minorHAnsi"/>
          <w:sz w:val="24"/>
          <w:szCs w:val="24"/>
        </w:rPr>
        <w:t>nd</w:t>
      </w:r>
      <w:r w:rsidR="009C7D24" w:rsidRPr="00A104F5">
        <w:rPr>
          <w:rFonts w:cstheme="minorHAnsi"/>
          <w:sz w:val="24"/>
          <w:szCs w:val="24"/>
        </w:rPr>
        <w:t xml:space="preserve"> </w:t>
      </w:r>
      <w:r w:rsidR="00626D1E">
        <w:rPr>
          <w:rFonts w:cstheme="minorHAnsi"/>
          <w:sz w:val="24"/>
          <w:szCs w:val="24"/>
        </w:rPr>
        <w:t xml:space="preserve">welfare and other </w:t>
      </w:r>
      <w:r w:rsidR="00A420E4">
        <w:rPr>
          <w:rFonts w:cstheme="minorHAnsi"/>
          <w:sz w:val="24"/>
          <w:szCs w:val="24"/>
        </w:rPr>
        <w:t>professionals</w:t>
      </w:r>
      <w:r w:rsidR="00D01BDD">
        <w:rPr>
          <w:rFonts w:cstheme="minorHAnsi"/>
          <w:sz w:val="24"/>
          <w:szCs w:val="24"/>
        </w:rPr>
        <w:t xml:space="preserve"> tend to still </w:t>
      </w:r>
      <w:r w:rsidR="00E90A6E">
        <w:rPr>
          <w:rFonts w:cstheme="minorHAnsi"/>
          <w:sz w:val="24"/>
          <w:szCs w:val="24"/>
        </w:rPr>
        <w:t xml:space="preserve">lead many initiatives and </w:t>
      </w:r>
      <w:r w:rsidR="00D01BDD">
        <w:rPr>
          <w:rFonts w:cstheme="minorHAnsi"/>
          <w:sz w:val="24"/>
          <w:szCs w:val="24"/>
        </w:rPr>
        <w:t>dominate</w:t>
      </w:r>
      <w:r w:rsidR="00944B95" w:rsidRPr="00944B95">
        <w:rPr>
          <w:rFonts w:cstheme="minorHAnsi"/>
          <w:sz w:val="24"/>
          <w:szCs w:val="24"/>
        </w:rPr>
        <w:t xml:space="preserve"> </w:t>
      </w:r>
      <w:r w:rsidR="00A420E4">
        <w:rPr>
          <w:rFonts w:cstheme="minorHAnsi"/>
          <w:sz w:val="24"/>
          <w:szCs w:val="24"/>
        </w:rPr>
        <w:t>key decision making</w:t>
      </w:r>
      <w:r w:rsidR="00E90A6E">
        <w:rPr>
          <w:rFonts w:cstheme="minorHAnsi"/>
          <w:sz w:val="24"/>
          <w:szCs w:val="24"/>
        </w:rPr>
        <w:t>. This</w:t>
      </w:r>
      <w:r w:rsidR="00D01BDD">
        <w:rPr>
          <w:rFonts w:cstheme="minorHAnsi"/>
          <w:sz w:val="24"/>
          <w:szCs w:val="24"/>
        </w:rPr>
        <w:t xml:space="preserve"> includ</w:t>
      </w:r>
      <w:r w:rsidR="00E90A6E">
        <w:rPr>
          <w:rFonts w:cstheme="minorHAnsi"/>
          <w:sz w:val="24"/>
          <w:szCs w:val="24"/>
        </w:rPr>
        <w:t>es</w:t>
      </w:r>
      <w:r w:rsidR="00D01BDD">
        <w:rPr>
          <w:rFonts w:cstheme="minorHAnsi"/>
          <w:sz w:val="24"/>
          <w:szCs w:val="24"/>
        </w:rPr>
        <w:t xml:space="preserve"> as part of participative projects</w:t>
      </w:r>
      <w:r w:rsidR="00A420E4">
        <w:rPr>
          <w:rFonts w:cstheme="minorHAnsi"/>
          <w:sz w:val="24"/>
          <w:szCs w:val="24"/>
        </w:rPr>
        <w:t xml:space="preserve"> within the NHS</w:t>
      </w:r>
      <w:r w:rsidR="006E515B">
        <w:rPr>
          <w:rFonts w:cstheme="minorHAnsi"/>
          <w:sz w:val="24"/>
          <w:szCs w:val="24"/>
        </w:rPr>
        <w:t>,</w:t>
      </w:r>
      <w:r w:rsidR="00A420E4">
        <w:rPr>
          <w:rFonts w:cstheme="minorHAnsi"/>
          <w:sz w:val="24"/>
          <w:szCs w:val="24"/>
        </w:rPr>
        <w:t xml:space="preserve"> local authorities</w:t>
      </w:r>
      <w:r w:rsidR="005542E3" w:rsidRPr="005542E3">
        <w:rPr>
          <w:rFonts w:cstheme="minorHAnsi"/>
          <w:sz w:val="24"/>
          <w:szCs w:val="24"/>
        </w:rPr>
        <w:t xml:space="preserve"> </w:t>
      </w:r>
      <w:r w:rsidR="006E515B">
        <w:rPr>
          <w:rFonts w:cstheme="minorHAnsi"/>
          <w:sz w:val="24"/>
          <w:szCs w:val="24"/>
        </w:rPr>
        <w:t xml:space="preserve">and voluntary organisations </w:t>
      </w:r>
      <w:r w:rsidR="005542E3">
        <w:rPr>
          <w:rFonts w:cstheme="minorHAnsi"/>
          <w:sz w:val="24"/>
          <w:szCs w:val="24"/>
        </w:rPr>
        <w:t>(</w:t>
      </w:r>
      <w:r w:rsidR="00D01BDD" w:rsidRPr="00A104F5">
        <w:rPr>
          <w:rFonts w:cstheme="minorHAnsi"/>
          <w:sz w:val="24"/>
          <w:szCs w:val="24"/>
          <w:lang w:val="en"/>
        </w:rPr>
        <w:t>Cowden and Singh, 2007</w:t>
      </w:r>
      <w:r w:rsidR="00D01BDD">
        <w:rPr>
          <w:rFonts w:cstheme="minorHAnsi"/>
          <w:sz w:val="24"/>
          <w:szCs w:val="24"/>
          <w:lang w:val="en"/>
        </w:rPr>
        <w:t xml:space="preserve">; </w:t>
      </w:r>
      <w:r w:rsidR="005542E3">
        <w:rPr>
          <w:rFonts w:cstheme="minorHAnsi"/>
          <w:sz w:val="24"/>
          <w:szCs w:val="24"/>
        </w:rPr>
        <w:t>Scourfield, 2015)</w:t>
      </w:r>
      <w:r w:rsidR="00A420E4">
        <w:rPr>
          <w:rFonts w:cstheme="minorHAnsi"/>
          <w:sz w:val="24"/>
          <w:szCs w:val="24"/>
        </w:rPr>
        <w:t>.</w:t>
      </w:r>
      <w:r w:rsidR="00944B95">
        <w:rPr>
          <w:rFonts w:cstheme="minorHAnsi"/>
          <w:sz w:val="24"/>
          <w:szCs w:val="24"/>
        </w:rPr>
        <w:t xml:space="preserve"> </w:t>
      </w:r>
      <w:r w:rsidR="00626D1E">
        <w:rPr>
          <w:rFonts w:cstheme="minorHAnsi"/>
          <w:sz w:val="24"/>
          <w:szCs w:val="24"/>
        </w:rPr>
        <w:t>Apprehension</w:t>
      </w:r>
      <w:r w:rsidR="00944B95">
        <w:rPr>
          <w:rFonts w:cstheme="minorHAnsi"/>
          <w:sz w:val="24"/>
          <w:szCs w:val="24"/>
        </w:rPr>
        <w:t xml:space="preserve"> also remain</w:t>
      </w:r>
      <w:r w:rsidR="005542E3">
        <w:rPr>
          <w:rFonts w:cstheme="minorHAnsi"/>
          <w:sz w:val="24"/>
          <w:szCs w:val="24"/>
        </w:rPr>
        <w:t>s</w:t>
      </w:r>
      <w:r w:rsidR="00944B95">
        <w:rPr>
          <w:rFonts w:cstheme="minorHAnsi"/>
          <w:sz w:val="24"/>
          <w:szCs w:val="24"/>
        </w:rPr>
        <w:t xml:space="preserve"> about the use of p</w:t>
      </w:r>
      <w:r w:rsidR="00662AE1">
        <w:rPr>
          <w:rFonts w:cstheme="minorHAnsi"/>
          <w:sz w:val="24"/>
          <w:szCs w:val="24"/>
        </w:rPr>
        <w:t>articipative</w:t>
      </w:r>
      <w:r w:rsidR="00E15B8A">
        <w:rPr>
          <w:rFonts w:cstheme="minorHAnsi"/>
          <w:sz w:val="24"/>
          <w:szCs w:val="24"/>
        </w:rPr>
        <w:t xml:space="preserve"> and engagement</w:t>
      </w:r>
      <w:r w:rsidR="00662AE1">
        <w:rPr>
          <w:rFonts w:cstheme="minorHAnsi"/>
          <w:sz w:val="24"/>
          <w:szCs w:val="24"/>
        </w:rPr>
        <w:t xml:space="preserve"> </w:t>
      </w:r>
      <w:r w:rsidR="009C7D24" w:rsidRPr="00A104F5">
        <w:rPr>
          <w:rFonts w:cstheme="minorHAnsi"/>
          <w:sz w:val="24"/>
          <w:szCs w:val="24"/>
        </w:rPr>
        <w:t xml:space="preserve">discourses </w:t>
      </w:r>
      <w:r w:rsidR="00944B95">
        <w:rPr>
          <w:rFonts w:cstheme="minorHAnsi"/>
          <w:sz w:val="24"/>
          <w:szCs w:val="24"/>
        </w:rPr>
        <w:t xml:space="preserve">to </w:t>
      </w:r>
      <w:r w:rsidR="009C7D24" w:rsidRPr="00A104F5">
        <w:rPr>
          <w:rFonts w:cstheme="minorHAnsi"/>
          <w:sz w:val="24"/>
          <w:szCs w:val="24"/>
        </w:rPr>
        <w:t xml:space="preserve">extend </w:t>
      </w:r>
      <w:r w:rsidR="00A104F5" w:rsidRPr="00A104F5">
        <w:rPr>
          <w:rFonts w:cstheme="minorHAnsi"/>
          <w:sz w:val="24"/>
          <w:szCs w:val="24"/>
        </w:rPr>
        <w:t>supply</w:t>
      </w:r>
      <w:r w:rsidR="00662AE1">
        <w:rPr>
          <w:rFonts w:cstheme="minorHAnsi"/>
          <w:sz w:val="24"/>
          <w:szCs w:val="24"/>
        </w:rPr>
        <w:t>-</w:t>
      </w:r>
      <w:r w:rsidR="00A104F5" w:rsidRPr="00A104F5">
        <w:rPr>
          <w:rFonts w:cstheme="minorHAnsi"/>
          <w:sz w:val="24"/>
          <w:szCs w:val="24"/>
        </w:rPr>
        <w:t>led</w:t>
      </w:r>
      <w:r w:rsidR="00E15B8A">
        <w:rPr>
          <w:rFonts w:cstheme="minorHAnsi"/>
          <w:sz w:val="24"/>
          <w:szCs w:val="24"/>
        </w:rPr>
        <w:t xml:space="preserve"> and</w:t>
      </w:r>
      <w:r w:rsidR="00A104F5" w:rsidRPr="00A104F5">
        <w:rPr>
          <w:rFonts w:cstheme="minorHAnsi"/>
          <w:sz w:val="24"/>
          <w:szCs w:val="24"/>
        </w:rPr>
        <w:t xml:space="preserve"> </w:t>
      </w:r>
      <w:r w:rsidR="00D01BDD">
        <w:rPr>
          <w:rFonts w:cstheme="minorHAnsi"/>
          <w:sz w:val="24"/>
          <w:szCs w:val="24"/>
        </w:rPr>
        <w:t xml:space="preserve">free </w:t>
      </w:r>
      <w:r w:rsidR="009C7D24" w:rsidRPr="00A104F5">
        <w:rPr>
          <w:rFonts w:cstheme="minorHAnsi"/>
          <w:sz w:val="24"/>
          <w:szCs w:val="24"/>
        </w:rPr>
        <w:t xml:space="preserve">market </w:t>
      </w:r>
      <w:r w:rsidR="00A104F5" w:rsidRPr="00A104F5">
        <w:rPr>
          <w:rFonts w:cstheme="minorHAnsi"/>
          <w:sz w:val="24"/>
          <w:szCs w:val="24"/>
        </w:rPr>
        <w:t>provisions</w:t>
      </w:r>
      <w:r w:rsidR="005542E3">
        <w:rPr>
          <w:rFonts w:cstheme="minorHAnsi"/>
          <w:sz w:val="24"/>
          <w:szCs w:val="24"/>
        </w:rPr>
        <w:t xml:space="preserve"> further</w:t>
      </w:r>
      <w:r w:rsidR="006E515B">
        <w:rPr>
          <w:rFonts w:cstheme="minorHAnsi"/>
          <w:sz w:val="24"/>
          <w:szCs w:val="24"/>
        </w:rPr>
        <w:t>,</w:t>
      </w:r>
      <w:r w:rsidR="00A104F5" w:rsidRPr="00A104F5">
        <w:rPr>
          <w:rFonts w:cstheme="minorHAnsi"/>
          <w:sz w:val="24"/>
          <w:szCs w:val="24"/>
        </w:rPr>
        <w:t xml:space="preserve"> </w:t>
      </w:r>
      <w:r w:rsidR="006E515B">
        <w:rPr>
          <w:rFonts w:cstheme="minorHAnsi"/>
          <w:sz w:val="24"/>
          <w:szCs w:val="24"/>
        </w:rPr>
        <w:t xml:space="preserve">such as </w:t>
      </w:r>
      <w:r w:rsidR="0034605C">
        <w:rPr>
          <w:rFonts w:cstheme="minorHAnsi"/>
          <w:sz w:val="24"/>
          <w:szCs w:val="24"/>
        </w:rPr>
        <w:t>when</w:t>
      </w:r>
      <w:r w:rsidR="006E515B">
        <w:rPr>
          <w:rFonts w:cstheme="minorHAnsi"/>
          <w:sz w:val="24"/>
          <w:szCs w:val="24"/>
        </w:rPr>
        <w:t xml:space="preserve"> a ‘quasi-customer’</w:t>
      </w:r>
      <w:r w:rsidR="00534FD3">
        <w:rPr>
          <w:rFonts w:cstheme="minorHAnsi"/>
          <w:sz w:val="24"/>
          <w:szCs w:val="24"/>
        </w:rPr>
        <w:t xml:space="preserve"> or managerial</w:t>
      </w:r>
      <w:r w:rsidR="006E515B">
        <w:rPr>
          <w:rFonts w:cstheme="minorHAnsi"/>
          <w:sz w:val="24"/>
          <w:szCs w:val="24"/>
        </w:rPr>
        <w:t xml:space="preserve"> model of co-production</w:t>
      </w:r>
      <w:r w:rsidR="0034605C">
        <w:rPr>
          <w:rFonts w:cstheme="minorHAnsi"/>
          <w:sz w:val="24"/>
          <w:szCs w:val="24"/>
        </w:rPr>
        <w:t xml:space="preserve"> is promoted</w:t>
      </w:r>
      <w:r w:rsidR="00E90A6E">
        <w:rPr>
          <w:rFonts w:cstheme="minorHAnsi"/>
          <w:sz w:val="24"/>
          <w:szCs w:val="24"/>
        </w:rPr>
        <w:t xml:space="preserve"> or invariably ensues</w:t>
      </w:r>
      <w:r w:rsidR="006E515B">
        <w:rPr>
          <w:rFonts w:cstheme="minorHAnsi"/>
          <w:sz w:val="24"/>
          <w:szCs w:val="24"/>
        </w:rPr>
        <w:t xml:space="preserve">, </w:t>
      </w:r>
      <w:r w:rsidR="00A104F5" w:rsidRPr="00A104F5">
        <w:rPr>
          <w:rFonts w:cstheme="minorHAnsi"/>
          <w:sz w:val="24"/>
          <w:szCs w:val="24"/>
        </w:rPr>
        <w:t>a</w:t>
      </w:r>
      <w:r w:rsidR="00584183">
        <w:rPr>
          <w:rFonts w:cstheme="minorHAnsi"/>
          <w:sz w:val="24"/>
          <w:szCs w:val="24"/>
        </w:rPr>
        <w:t>longside</w:t>
      </w:r>
      <w:r w:rsidR="00A104F5" w:rsidRPr="00A104F5">
        <w:rPr>
          <w:rFonts w:cstheme="minorHAnsi"/>
          <w:sz w:val="24"/>
          <w:szCs w:val="24"/>
        </w:rPr>
        <w:t xml:space="preserve"> </w:t>
      </w:r>
      <w:r w:rsidR="005542E3">
        <w:rPr>
          <w:rFonts w:cstheme="minorHAnsi"/>
          <w:sz w:val="24"/>
          <w:szCs w:val="24"/>
        </w:rPr>
        <w:t>the</w:t>
      </w:r>
      <w:r w:rsidR="00944B95">
        <w:rPr>
          <w:rFonts w:cstheme="minorHAnsi"/>
          <w:sz w:val="24"/>
          <w:szCs w:val="24"/>
        </w:rPr>
        <w:t xml:space="preserve"> ongoing </w:t>
      </w:r>
      <w:r w:rsidR="00A104F5" w:rsidRPr="00A104F5">
        <w:rPr>
          <w:rFonts w:cstheme="minorHAnsi"/>
          <w:sz w:val="24"/>
          <w:szCs w:val="24"/>
        </w:rPr>
        <w:t>retreat</w:t>
      </w:r>
      <w:r w:rsidR="00E15B8A">
        <w:rPr>
          <w:rFonts w:cstheme="minorHAnsi"/>
          <w:sz w:val="24"/>
          <w:szCs w:val="24"/>
        </w:rPr>
        <w:t xml:space="preserve"> (and escalating financial cost)</w:t>
      </w:r>
      <w:r w:rsidR="00A104F5" w:rsidRPr="00A104F5">
        <w:rPr>
          <w:rFonts w:cstheme="minorHAnsi"/>
          <w:sz w:val="24"/>
          <w:szCs w:val="24"/>
        </w:rPr>
        <w:t xml:space="preserve"> of formal care</w:t>
      </w:r>
      <w:r w:rsidR="006E515B">
        <w:rPr>
          <w:rFonts w:cstheme="minorHAnsi"/>
          <w:sz w:val="24"/>
          <w:szCs w:val="24"/>
        </w:rPr>
        <w:t xml:space="preserve">. </w:t>
      </w:r>
      <w:r w:rsidR="00534FD3">
        <w:rPr>
          <w:rFonts w:cstheme="minorHAnsi"/>
          <w:sz w:val="24"/>
          <w:szCs w:val="24"/>
        </w:rPr>
        <w:t xml:space="preserve">Indeed, </w:t>
      </w:r>
      <w:r w:rsidR="00E90A6E">
        <w:rPr>
          <w:rFonts w:cstheme="minorHAnsi"/>
          <w:sz w:val="24"/>
          <w:szCs w:val="24"/>
        </w:rPr>
        <w:t xml:space="preserve">any meaningful </w:t>
      </w:r>
      <w:r w:rsidR="00534FD3">
        <w:rPr>
          <w:rFonts w:cstheme="minorHAnsi"/>
          <w:sz w:val="24"/>
          <w:szCs w:val="24"/>
        </w:rPr>
        <w:t>s</w:t>
      </w:r>
      <w:r w:rsidR="006E515B">
        <w:rPr>
          <w:rFonts w:cstheme="minorHAnsi"/>
          <w:sz w:val="24"/>
          <w:szCs w:val="24"/>
        </w:rPr>
        <w:t>ubstantive gains for service users</w:t>
      </w:r>
      <w:r w:rsidR="00534FD3">
        <w:rPr>
          <w:rFonts w:cstheme="minorHAnsi"/>
          <w:sz w:val="24"/>
          <w:szCs w:val="24"/>
        </w:rPr>
        <w:t xml:space="preserve"> </w:t>
      </w:r>
      <w:r w:rsidR="00D01BDD">
        <w:rPr>
          <w:rFonts w:cstheme="minorHAnsi"/>
          <w:sz w:val="24"/>
          <w:szCs w:val="24"/>
        </w:rPr>
        <w:t>following</w:t>
      </w:r>
      <w:r w:rsidR="00534FD3">
        <w:rPr>
          <w:rFonts w:cstheme="minorHAnsi"/>
          <w:sz w:val="24"/>
          <w:szCs w:val="24"/>
        </w:rPr>
        <w:t xml:space="preserve"> </w:t>
      </w:r>
      <w:r w:rsidR="00E90A6E">
        <w:rPr>
          <w:rFonts w:cstheme="minorHAnsi"/>
          <w:sz w:val="24"/>
          <w:szCs w:val="24"/>
        </w:rPr>
        <w:t xml:space="preserve">any </w:t>
      </w:r>
      <w:r w:rsidR="00534FD3">
        <w:rPr>
          <w:rFonts w:cstheme="minorHAnsi"/>
          <w:sz w:val="24"/>
          <w:szCs w:val="24"/>
        </w:rPr>
        <w:t>participation</w:t>
      </w:r>
      <w:r w:rsidR="006E515B">
        <w:rPr>
          <w:rFonts w:cstheme="minorHAnsi"/>
          <w:sz w:val="24"/>
          <w:szCs w:val="24"/>
        </w:rPr>
        <w:t xml:space="preserve"> </w:t>
      </w:r>
      <w:r w:rsidR="00534FD3">
        <w:rPr>
          <w:rFonts w:cstheme="minorHAnsi"/>
          <w:sz w:val="24"/>
          <w:szCs w:val="24"/>
        </w:rPr>
        <w:t>have proven difficult to</w:t>
      </w:r>
      <w:r w:rsidR="006E515B">
        <w:rPr>
          <w:rFonts w:cstheme="minorHAnsi"/>
          <w:sz w:val="24"/>
          <w:szCs w:val="24"/>
        </w:rPr>
        <w:t xml:space="preserve"> </w:t>
      </w:r>
      <w:r w:rsidR="00C816EA">
        <w:rPr>
          <w:rFonts w:cstheme="minorHAnsi"/>
          <w:sz w:val="24"/>
          <w:szCs w:val="24"/>
        </w:rPr>
        <w:t>evidence</w:t>
      </w:r>
      <w:r w:rsidR="006E515B">
        <w:rPr>
          <w:rFonts w:cstheme="minorHAnsi"/>
          <w:sz w:val="24"/>
          <w:szCs w:val="24"/>
        </w:rPr>
        <w:t xml:space="preserve">, </w:t>
      </w:r>
      <w:r w:rsidR="00534FD3">
        <w:rPr>
          <w:rFonts w:cstheme="minorHAnsi"/>
          <w:sz w:val="24"/>
          <w:szCs w:val="24"/>
        </w:rPr>
        <w:t>and some concerns have been raised</w:t>
      </w:r>
      <w:r w:rsidR="006E515B">
        <w:rPr>
          <w:rFonts w:cstheme="minorHAnsi"/>
          <w:sz w:val="24"/>
          <w:szCs w:val="24"/>
        </w:rPr>
        <w:t xml:space="preserve"> that participation </w:t>
      </w:r>
      <w:r w:rsidR="0034605C">
        <w:rPr>
          <w:rFonts w:cstheme="minorHAnsi"/>
          <w:sz w:val="24"/>
          <w:szCs w:val="24"/>
        </w:rPr>
        <w:t>may</w:t>
      </w:r>
      <w:r w:rsidR="00534FD3">
        <w:rPr>
          <w:rFonts w:cstheme="minorHAnsi"/>
          <w:sz w:val="24"/>
          <w:szCs w:val="24"/>
        </w:rPr>
        <w:t xml:space="preserve"> be</w:t>
      </w:r>
      <w:r w:rsidR="006E515B">
        <w:rPr>
          <w:rFonts w:cstheme="minorHAnsi"/>
          <w:sz w:val="24"/>
          <w:szCs w:val="24"/>
        </w:rPr>
        <w:t xml:space="preserve"> as much about validating professional</w:t>
      </w:r>
      <w:r w:rsidR="00C816EA">
        <w:rPr>
          <w:rFonts w:cstheme="minorHAnsi"/>
          <w:sz w:val="24"/>
          <w:szCs w:val="24"/>
        </w:rPr>
        <w:t>ism</w:t>
      </w:r>
      <w:r w:rsidR="00D01BDD">
        <w:rPr>
          <w:rFonts w:cstheme="minorHAnsi"/>
          <w:sz w:val="24"/>
          <w:szCs w:val="24"/>
        </w:rPr>
        <w:t xml:space="preserve"> and markets of care</w:t>
      </w:r>
      <w:r w:rsidR="00C816EA">
        <w:rPr>
          <w:rFonts w:cstheme="minorHAnsi"/>
          <w:sz w:val="24"/>
          <w:szCs w:val="24"/>
        </w:rPr>
        <w:t xml:space="preserve"> as benefiting </w:t>
      </w:r>
      <w:r w:rsidR="00D01BDD">
        <w:rPr>
          <w:rFonts w:cstheme="minorHAnsi"/>
          <w:sz w:val="24"/>
          <w:szCs w:val="24"/>
        </w:rPr>
        <w:t xml:space="preserve">older </w:t>
      </w:r>
      <w:r w:rsidR="00C816EA">
        <w:rPr>
          <w:rFonts w:cstheme="minorHAnsi"/>
          <w:sz w:val="24"/>
          <w:szCs w:val="24"/>
        </w:rPr>
        <w:t>users</w:t>
      </w:r>
      <w:r w:rsidR="00D01BDD">
        <w:rPr>
          <w:rFonts w:cstheme="minorHAnsi"/>
          <w:sz w:val="24"/>
          <w:szCs w:val="24"/>
        </w:rPr>
        <w:t xml:space="preserve"> or their carers</w:t>
      </w:r>
      <w:r w:rsidR="00A104F5" w:rsidRPr="00A104F5">
        <w:rPr>
          <w:rFonts w:cstheme="minorHAnsi"/>
          <w:sz w:val="24"/>
          <w:szCs w:val="24"/>
        </w:rPr>
        <w:t xml:space="preserve"> (for example, </w:t>
      </w:r>
      <w:r w:rsidR="00A104F5" w:rsidRPr="00A104F5">
        <w:rPr>
          <w:rFonts w:cstheme="minorHAnsi"/>
          <w:sz w:val="24"/>
          <w:szCs w:val="24"/>
          <w:lang w:val="en"/>
        </w:rPr>
        <w:t xml:space="preserve">Cowden and Singh, 2007; </w:t>
      </w:r>
      <w:r w:rsidR="00FA632D">
        <w:rPr>
          <w:rFonts w:cstheme="minorHAnsi"/>
          <w:sz w:val="24"/>
          <w:szCs w:val="24"/>
        </w:rPr>
        <w:t>Carey</w:t>
      </w:r>
      <w:r w:rsidR="00DC7966">
        <w:rPr>
          <w:rFonts w:cstheme="minorHAnsi"/>
          <w:sz w:val="24"/>
          <w:szCs w:val="24"/>
        </w:rPr>
        <w:t>, 2019</w:t>
      </w:r>
      <w:r w:rsidR="00A104F5" w:rsidRPr="00A104F5">
        <w:rPr>
          <w:rFonts w:cstheme="minorHAnsi"/>
          <w:sz w:val="24"/>
          <w:szCs w:val="24"/>
        </w:rPr>
        <w:t>)</w:t>
      </w:r>
      <w:r w:rsidR="009C7D24" w:rsidRPr="00A104F5">
        <w:rPr>
          <w:rFonts w:cstheme="minorHAnsi"/>
          <w:sz w:val="24"/>
          <w:szCs w:val="24"/>
        </w:rPr>
        <w:t xml:space="preserve">. </w:t>
      </w:r>
    </w:p>
    <w:p w14:paraId="31BF5EE0" w14:textId="01ADB787" w:rsidR="008465DC" w:rsidRPr="00616032" w:rsidRDefault="00662AE1" w:rsidP="0070073A">
      <w:pPr>
        <w:autoSpaceDE w:val="0"/>
        <w:spacing w:after="200" w:line="480" w:lineRule="auto"/>
        <w:rPr>
          <w:rFonts w:cs="Calibri"/>
          <w:sz w:val="24"/>
          <w:szCs w:val="24"/>
          <w:lang w:val="en"/>
        </w:rPr>
      </w:pPr>
      <w:r>
        <w:rPr>
          <w:rFonts w:cstheme="minorHAnsi"/>
          <w:sz w:val="24"/>
          <w:szCs w:val="24"/>
        </w:rPr>
        <w:t xml:space="preserve">Asset-based </w:t>
      </w:r>
      <w:r w:rsidR="00B44550">
        <w:rPr>
          <w:rFonts w:cstheme="minorHAnsi"/>
          <w:sz w:val="24"/>
          <w:szCs w:val="24"/>
        </w:rPr>
        <w:t xml:space="preserve">interventions </w:t>
      </w:r>
      <w:r>
        <w:rPr>
          <w:rFonts w:cstheme="minorHAnsi"/>
          <w:sz w:val="24"/>
          <w:szCs w:val="24"/>
        </w:rPr>
        <w:t>ha</w:t>
      </w:r>
      <w:r w:rsidR="00B44550">
        <w:rPr>
          <w:rFonts w:cstheme="minorHAnsi"/>
          <w:sz w:val="24"/>
          <w:szCs w:val="24"/>
        </w:rPr>
        <w:t>ve</w:t>
      </w:r>
      <w:r>
        <w:rPr>
          <w:rFonts w:cstheme="minorHAnsi"/>
          <w:sz w:val="24"/>
          <w:szCs w:val="24"/>
        </w:rPr>
        <w:t xml:space="preserve"> </w:t>
      </w:r>
      <w:r w:rsidR="00E90A6E">
        <w:rPr>
          <w:rFonts w:cstheme="minorHAnsi"/>
          <w:sz w:val="24"/>
          <w:szCs w:val="24"/>
        </w:rPr>
        <w:t xml:space="preserve">largely </w:t>
      </w:r>
      <w:r>
        <w:rPr>
          <w:rFonts w:cstheme="minorHAnsi"/>
          <w:sz w:val="24"/>
          <w:szCs w:val="24"/>
        </w:rPr>
        <w:t xml:space="preserve">been embraced by the </w:t>
      </w:r>
      <w:r w:rsidR="0034605C">
        <w:rPr>
          <w:rFonts w:cstheme="minorHAnsi"/>
          <w:sz w:val="24"/>
          <w:szCs w:val="24"/>
        </w:rPr>
        <w:t xml:space="preserve">devolved </w:t>
      </w:r>
      <w:r>
        <w:rPr>
          <w:rFonts w:cstheme="minorHAnsi"/>
          <w:sz w:val="24"/>
          <w:szCs w:val="24"/>
        </w:rPr>
        <w:t>Scottish government</w:t>
      </w:r>
      <w:r w:rsidR="00343087">
        <w:rPr>
          <w:rFonts w:cstheme="minorHAnsi"/>
          <w:sz w:val="24"/>
          <w:szCs w:val="24"/>
        </w:rPr>
        <w:t>, including as a resource to confront health inequalities and social exclusion</w:t>
      </w:r>
      <w:r w:rsidR="00F07D77">
        <w:rPr>
          <w:rFonts w:cstheme="minorHAnsi"/>
          <w:sz w:val="24"/>
          <w:szCs w:val="24"/>
        </w:rPr>
        <w:t xml:space="preserve">, which has led to </w:t>
      </w:r>
      <w:r w:rsidR="0034605C">
        <w:rPr>
          <w:rFonts w:cstheme="minorHAnsi"/>
          <w:sz w:val="24"/>
          <w:szCs w:val="24"/>
        </w:rPr>
        <w:t>the</w:t>
      </w:r>
      <w:r w:rsidR="00F07D77">
        <w:rPr>
          <w:rFonts w:cstheme="minorHAnsi"/>
          <w:sz w:val="24"/>
          <w:szCs w:val="24"/>
        </w:rPr>
        <w:t xml:space="preserve"> burgeoning of projects in cities such as Glasgow</w:t>
      </w:r>
      <w:r w:rsidR="00584183" w:rsidRPr="00584183">
        <w:rPr>
          <w:rFonts w:cstheme="minorHAnsi"/>
          <w:sz w:val="24"/>
          <w:szCs w:val="24"/>
          <w:lang w:val="en"/>
        </w:rPr>
        <w:t xml:space="preserve"> </w:t>
      </w:r>
      <w:r w:rsidR="00584183">
        <w:rPr>
          <w:rFonts w:cstheme="minorHAnsi"/>
          <w:sz w:val="24"/>
          <w:szCs w:val="24"/>
          <w:lang w:val="en"/>
        </w:rPr>
        <w:t>(</w:t>
      </w:r>
      <w:proofErr w:type="spellStart"/>
      <w:r w:rsidR="00584183">
        <w:rPr>
          <w:rFonts w:cstheme="minorHAnsi"/>
          <w:sz w:val="24"/>
          <w:szCs w:val="24"/>
          <w:lang w:val="en"/>
        </w:rPr>
        <w:t>Friedli</w:t>
      </w:r>
      <w:proofErr w:type="spellEnd"/>
      <w:r w:rsidR="00584183">
        <w:rPr>
          <w:rFonts w:cstheme="minorHAnsi"/>
          <w:sz w:val="24"/>
          <w:szCs w:val="24"/>
          <w:lang w:val="en"/>
        </w:rPr>
        <w:t>, 2013</w:t>
      </w:r>
      <w:r w:rsidR="00F07D77">
        <w:rPr>
          <w:rFonts w:cstheme="minorHAnsi"/>
          <w:sz w:val="24"/>
          <w:szCs w:val="24"/>
          <w:lang w:val="en"/>
        </w:rPr>
        <w:t>;</w:t>
      </w:r>
      <w:r w:rsidR="00584183" w:rsidRPr="00584183">
        <w:rPr>
          <w:rFonts w:cs="Calibri"/>
          <w:sz w:val="24"/>
          <w:szCs w:val="24"/>
          <w:lang w:val="en"/>
        </w:rPr>
        <w:t xml:space="preserve"> </w:t>
      </w:r>
      <w:r w:rsidR="00584183">
        <w:rPr>
          <w:rFonts w:cs="Calibri"/>
          <w:sz w:val="24"/>
          <w:szCs w:val="24"/>
          <w:lang w:val="en"/>
        </w:rPr>
        <w:t>Glasgow Centre for Population Health, 2017</w:t>
      </w:r>
      <w:r w:rsidR="00584183">
        <w:rPr>
          <w:rFonts w:cstheme="minorHAnsi"/>
          <w:sz w:val="24"/>
          <w:szCs w:val="24"/>
          <w:lang w:val="en"/>
        </w:rPr>
        <w:t>)</w:t>
      </w:r>
      <w:r w:rsidR="00343087">
        <w:rPr>
          <w:rFonts w:cstheme="minorHAnsi"/>
          <w:sz w:val="24"/>
          <w:szCs w:val="24"/>
        </w:rPr>
        <w:t xml:space="preserve">. The </w:t>
      </w:r>
      <w:r w:rsidR="00343087">
        <w:rPr>
          <w:rFonts w:cs="Calibri"/>
          <w:sz w:val="24"/>
          <w:szCs w:val="24"/>
          <w:lang w:val="en"/>
        </w:rPr>
        <w:t>Glasgow Centre for Population Health undertook a</w:t>
      </w:r>
      <w:r w:rsidR="00B44550">
        <w:rPr>
          <w:rFonts w:cs="Calibri"/>
          <w:sz w:val="24"/>
          <w:szCs w:val="24"/>
          <w:lang w:val="en"/>
        </w:rPr>
        <w:t xml:space="preserve"> city-wide</w:t>
      </w:r>
      <w:r w:rsidR="00343087">
        <w:rPr>
          <w:rFonts w:cs="Calibri"/>
          <w:sz w:val="24"/>
          <w:szCs w:val="24"/>
          <w:lang w:val="en"/>
        </w:rPr>
        <w:t xml:space="preserve"> evaluation </w:t>
      </w:r>
      <w:r w:rsidR="00B44550">
        <w:rPr>
          <w:rFonts w:cs="Calibri"/>
          <w:sz w:val="24"/>
          <w:szCs w:val="24"/>
          <w:lang w:val="en"/>
        </w:rPr>
        <w:t xml:space="preserve">of nine services which </w:t>
      </w:r>
      <w:proofErr w:type="spellStart"/>
      <w:r w:rsidR="00B44550">
        <w:rPr>
          <w:rFonts w:cs="Calibri"/>
          <w:sz w:val="24"/>
          <w:szCs w:val="24"/>
          <w:lang w:val="en"/>
        </w:rPr>
        <w:t>utilised</w:t>
      </w:r>
      <w:proofErr w:type="spellEnd"/>
      <w:r w:rsidR="00B44550">
        <w:rPr>
          <w:rFonts w:cs="Calibri"/>
          <w:sz w:val="24"/>
          <w:szCs w:val="24"/>
          <w:lang w:val="en"/>
        </w:rPr>
        <w:t xml:space="preserve"> an asset-based approach</w:t>
      </w:r>
      <w:r w:rsidR="001E4DDE">
        <w:rPr>
          <w:rFonts w:cs="Calibri"/>
          <w:sz w:val="24"/>
          <w:szCs w:val="24"/>
          <w:lang w:val="en"/>
        </w:rPr>
        <w:t xml:space="preserve">, and </w:t>
      </w:r>
      <w:r w:rsidR="00B44550">
        <w:rPr>
          <w:rFonts w:cs="Calibri"/>
          <w:sz w:val="24"/>
          <w:szCs w:val="24"/>
          <w:lang w:val="en"/>
        </w:rPr>
        <w:t xml:space="preserve">included interviews with ten key strategic leaders involved in the projects. Although there was ‘broad support’ for the initiatives, </w:t>
      </w:r>
      <w:r w:rsidR="00F07D77">
        <w:rPr>
          <w:rFonts w:cs="Calibri"/>
          <w:sz w:val="24"/>
          <w:szCs w:val="24"/>
          <w:lang w:val="en"/>
        </w:rPr>
        <w:t xml:space="preserve">other </w:t>
      </w:r>
      <w:r w:rsidR="00B44550">
        <w:rPr>
          <w:rFonts w:cs="Calibri"/>
          <w:sz w:val="24"/>
          <w:szCs w:val="24"/>
          <w:lang w:val="en"/>
        </w:rPr>
        <w:t>notable finding</w:t>
      </w:r>
      <w:r w:rsidR="00F07D77">
        <w:rPr>
          <w:rFonts w:cs="Calibri"/>
          <w:sz w:val="24"/>
          <w:szCs w:val="24"/>
          <w:lang w:val="en"/>
        </w:rPr>
        <w:t>s</w:t>
      </w:r>
      <w:r w:rsidR="00B44550">
        <w:rPr>
          <w:rFonts w:cs="Calibri"/>
          <w:sz w:val="24"/>
          <w:szCs w:val="24"/>
          <w:lang w:val="en"/>
        </w:rPr>
        <w:t xml:space="preserve"> </w:t>
      </w:r>
      <w:r w:rsidR="00F4249C">
        <w:rPr>
          <w:rFonts w:cs="Calibri"/>
          <w:sz w:val="24"/>
          <w:szCs w:val="24"/>
          <w:lang w:val="en"/>
        </w:rPr>
        <w:t>highlight</w:t>
      </w:r>
      <w:r w:rsidR="00B154E8">
        <w:rPr>
          <w:rFonts w:cs="Calibri"/>
          <w:sz w:val="24"/>
          <w:szCs w:val="24"/>
          <w:lang w:val="en"/>
        </w:rPr>
        <w:t>ed</w:t>
      </w:r>
      <w:r w:rsidR="00F07D77">
        <w:rPr>
          <w:rFonts w:cs="Calibri"/>
          <w:sz w:val="24"/>
          <w:szCs w:val="24"/>
          <w:lang w:val="en"/>
        </w:rPr>
        <w:t xml:space="preserve"> </w:t>
      </w:r>
      <w:r w:rsidR="00B44550">
        <w:rPr>
          <w:rFonts w:cs="Calibri"/>
          <w:sz w:val="24"/>
          <w:szCs w:val="24"/>
          <w:lang w:val="en"/>
        </w:rPr>
        <w:t>tension</w:t>
      </w:r>
      <w:r w:rsidR="00F07D77">
        <w:rPr>
          <w:rFonts w:cs="Calibri"/>
          <w:sz w:val="24"/>
          <w:szCs w:val="24"/>
          <w:lang w:val="en"/>
        </w:rPr>
        <w:t>s</w:t>
      </w:r>
      <w:r w:rsidR="00B44550">
        <w:rPr>
          <w:rFonts w:cs="Calibri"/>
          <w:sz w:val="24"/>
          <w:szCs w:val="24"/>
          <w:lang w:val="en"/>
        </w:rPr>
        <w:t xml:space="preserve"> between service providers and </w:t>
      </w:r>
      <w:r w:rsidR="00F07D77">
        <w:rPr>
          <w:rFonts w:cs="Calibri"/>
          <w:sz w:val="24"/>
          <w:szCs w:val="24"/>
          <w:lang w:val="en"/>
        </w:rPr>
        <w:t xml:space="preserve">community-based </w:t>
      </w:r>
      <w:r w:rsidR="00B44550">
        <w:rPr>
          <w:rFonts w:cs="Calibri"/>
          <w:sz w:val="24"/>
          <w:szCs w:val="24"/>
          <w:lang w:val="en"/>
        </w:rPr>
        <w:t>users</w:t>
      </w:r>
      <w:r w:rsidR="00616032">
        <w:rPr>
          <w:rFonts w:cs="Calibri"/>
          <w:sz w:val="24"/>
          <w:szCs w:val="24"/>
          <w:lang w:val="en"/>
        </w:rPr>
        <w:t>,</w:t>
      </w:r>
      <w:r w:rsidR="00B44550">
        <w:rPr>
          <w:rFonts w:cs="Calibri"/>
          <w:sz w:val="24"/>
          <w:szCs w:val="24"/>
          <w:lang w:val="en"/>
        </w:rPr>
        <w:t xml:space="preserve"> </w:t>
      </w:r>
      <w:r w:rsidR="00F07D77">
        <w:rPr>
          <w:rFonts w:cs="Calibri"/>
          <w:sz w:val="24"/>
          <w:szCs w:val="24"/>
          <w:lang w:val="en"/>
        </w:rPr>
        <w:t>and</w:t>
      </w:r>
      <w:r w:rsidR="00616032">
        <w:rPr>
          <w:rFonts w:cs="Calibri"/>
          <w:sz w:val="24"/>
          <w:szCs w:val="24"/>
          <w:lang w:val="en"/>
        </w:rPr>
        <w:t xml:space="preserve"> </w:t>
      </w:r>
      <w:r w:rsidR="00F07D77">
        <w:rPr>
          <w:rFonts w:cs="Calibri"/>
          <w:sz w:val="24"/>
          <w:szCs w:val="24"/>
          <w:lang w:val="en"/>
        </w:rPr>
        <w:t xml:space="preserve">some </w:t>
      </w:r>
      <w:proofErr w:type="spellStart"/>
      <w:r w:rsidR="00616032">
        <w:rPr>
          <w:rFonts w:cs="Calibri"/>
          <w:sz w:val="24"/>
          <w:szCs w:val="24"/>
          <w:lang w:val="en"/>
        </w:rPr>
        <w:t>scepticism</w:t>
      </w:r>
      <w:proofErr w:type="spellEnd"/>
      <w:r w:rsidR="00616032">
        <w:rPr>
          <w:rFonts w:cs="Calibri"/>
          <w:sz w:val="24"/>
          <w:szCs w:val="24"/>
          <w:lang w:val="en"/>
        </w:rPr>
        <w:t xml:space="preserve"> </w:t>
      </w:r>
      <w:r w:rsidR="00F07D77">
        <w:rPr>
          <w:rFonts w:cs="Calibri"/>
          <w:sz w:val="24"/>
          <w:szCs w:val="24"/>
          <w:lang w:val="en"/>
        </w:rPr>
        <w:t xml:space="preserve">on behalf of strategic leaders </w:t>
      </w:r>
      <w:r w:rsidR="00616032">
        <w:rPr>
          <w:rFonts w:cs="Calibri"/>
          <w:sz w:val="24"/>
          <w:szCs w:val="24"/>
          <w:lang w:val="en"/>
        </w:rPr>
        <w:t xml:space="preserve">that initiatives </w:t>
      </w:r>
      <w:r w:rsidR="00F07D77">
        <w:rPr>
          <w:rFonts w:cs="Calibri"/>
          <w:sz w:val="24"/>
          <w:szCs w:val="24"/>
          <w:lang w:val="en"/>
        </w:rPr>
        <w:t>were</w:t>
      </w:r>
      <w:r w:rsidR="00616032">
        <w:rPr>
          <w:rFonts w:cs="Calibri"/>
          <w:sz w:val="24"/>
          <w:szCs w:val="24"/>
          <w:lang w:val="en"/>
        </w:rPr>
        <w:t xml:space="preserve"> </w:t>
      </w:r>
      <w:r w:rsidR="001E4DDE">
        <w:rPr>
          <w:rFonts w:cs="Calibri"/>
          <w:sz w:val="24"/>
          <w:szCs w:val="24"/>
          <w:lang w:val="en"/>
        </w:rPr>
        <w:t xml:space="preserve">offering nothing new and </w:t>
      </w:r>
      <w:r w:rsidR="00D710BD">
        <w:rPr>
          <w:rFonts w:cs="Calibri"/>
          <w:sz w:val="24"/>
          <w:szCs w:val="24"/>
          <w:lang w:val="en"/>
        </w:rPr>
        <w:t xml:space="preserve">were </w:t>
      </w:r>
      <w:r w:rsidR="005542AA">
        <w:rPr>
          <w:rFonts w:cs="Calibri"/>
          <w:sz w:val="24"/>
          <w:szCs w:val="24"/>
          <w:lang w:val="en"/>
        </w:rPr>
        <w:t xml:space="preserve">instead </w:t>
      </w:r>
      <w:r w:rsidR="00616032">
        <w:rPr>
          <w:rFonts w:cs="Calibri"/>
          <w:sz w:val="24"/>
          <w:szCs w:val="24"/>
          <w:lang w:val="en"/>
        </w:rPr>
        <w:t>being used for other political purposes:</w:t>
      </w:r>
    </w:p>
    <w:p w14:paraId="15A77259" w14:textId="77777777" w:rsidR="008465DC" w:rsidRDefault="008465DC" w:rsidP="0070073A">
      <w:pPr>
        <w:autoSpaceDE w:val="0"/>
        <w:spacing w:after="200" w:line="480" w:lineRule="auto"/>
        <w:ind w:left="720"/>
        <w:rPr>
          <w:rFonts w:cs="Calibri"/>
          <w:sz w:val="24"/>
          <w:szCs w:val="24"/>
          <w:lang w:val="en"/>
        </w:rPr>
      </w:pPr>
      <w:r>
        <w:rPr>
          <w:rFonts w:cs="Calibri"/>
          <w:sz w:val="24"/>
          <w:szCs w:val="24"/>
          <w:lang w:val="en"/>
        </w:rPr>
        <w:lastRenderedPageBreak/>
        <w:t xml:space="preserve">The term [asset-based] was felt to create a divide between service providers and people supported by services, which asset-based approaches themselves actually seek to diminish. Although the language of assets was seen as new and unfamiliar this sat in sharp contrast to the practice of asset-based approaches, which were </w:t>
      </w:r>
      <w:proofErr w:type="spellStart"/>
      <w:r>
        <w:rPr>
          <w:rFonts w:cs="Calibri"/>
          <w:sz w:val="24"/>
          <w:szCs w:val="24"/>
          <w:lang w:val="en"/>
        </w:rPr>
        <w:t>recognised</w:t>
      </w:r>
      <w:proofErr w:type="spellEnd"/>
      <w:r>
        <w:rPr>
          <w:rFonts w:cs="Calibri"/>
          <w:sz w:val="24"/>
          <w:szCs w:val="24"/>
          <w:lang w:val="en"/>
        </w:rPr>
        <w:t xml:space="preserve"> by others to be long-established. Interviewees spoke of </w:t>
      </w:r>
      <w:proofErr w:type="spellStart"/>
      <w:r>
        <w:rPr>
          <w:rFonts w:cs="Calibri"/>
          <w:sz w:val="24"/>
          <w:szCs w:val="24"/>
          <w:lang w:val="en"/>
        </w:rPr>
        <w:t>scepticism</w:t>
      </w:r>
      <w:proofErr w:type="spellEnd"/>
      <w:r>
        <w:rPr>
          <w:rFonts w:cs="Calibri"/>
          <w:sz w:val="24"/>
          <w:szCs w:val="24"/>
          <w:lang w:val="en"/>
        </w:rPr>
        <w:t xml:space="preserve"> that they feel exists about the introduction and applicability of asset-based approaches within service settings, particularly in terms of taking such approaches in an attempt to mask reductions in funding for services. (</w:t>
      </w:r>
      <w:bookmarkStart w:id="2" w:name="_Hlk81730492"/>
      <w:r>
        <w:rPr>
          <w:rFonts w:cs="Calibri"/>
          <w:sz w:val="24"/>
          <w:szCs w:val="24"/>
          <w:lang w:val="en"/>
        </w:rPr>
        <w:t>Glasgow Centre for Population Health, 2017</w:t>
      </w:r>
      <w:bookmarkEnd w:id="2"/>
      <w:r>
        <w:rPr>
          <w:rFonts w:cs="Calibri"/>
          <w:sz w:val="24"/>
          <w:szCs w:val="24"/>
          <w:lang w:val="en"/>
        </w:rPr>
        <w:t>: 11).</w:t>
      </w:r>
    </w:p>
    <w:p w14:paraId="53DA71EF" w14:textId="3DF83EA3" w:rsidR="00F44A1B" w:rsidRDefault="00902142" w:rsidP="0070073A">
      <w:pPr>
        <w:autoSpaceDE w:val="0"/>
        <w:spacing w:after="200" w:line="480" w:lineRule="auto"/>
        <w:rPr>
          <w:rFonts w:cstheme="minorHAnsi"/>
          <w:sz w:val="24"/>
          <w:szCs w:val="24"/>
          <w:lang w:val="en"/>
        </w:rPr>
      </w:pPr>
      <w:r w:rsidRPr="005B6724">
        <w:rPr>
          <w:rFonts w:cstheme="minorHAnsi"/>
          <w:sz w:val="24"/>
          <w:szCs w:val="24"/>
          <w:lang w:val="en"/>
        </w:rPr>
        <w:t>When looking at the growth of asset-based care for older people, Daly and Westwood (</w:t>
      </w:r>
      <w:r w:rsidR="00D73411" w:rsidRPr="005B6724">
        <w:rPr>
          <w:rFonts w:cstheme="minorHAnsi"/>
          <w:sz w:val="24"/>
          <w:szCs w:val="24"/>
          <w:lang w:val="en"/>
        </w:rPr>
        <w:t>2017)</w:t>
      </w:r>
      <w:r w:rsidRPr="005B6724">
        <w:rPr>
          <w:rFonts w:cstheme="minorHAnsi"/>
          <w:sz w:val="24"/>
          <w:szCs w:val="24"/>
          <w:lang w:val="en"/>
        </w:rPr>
        <w:t xml:space="preserve"> </w:t>
      </w:r>
      <w:r w:rsidR="00D73411" w:rsidRPr="005B6724">
        <w:rPr>
          <w:rFonts w:cstheme="minorHAnsi"/>
          <w:sz w:val="24"/>
          <w:szCs w:val="24"/>
          <w:lang w:val="en"/>
        </w:rPr>
        <w:t>highlight that</w:t>
      </w:r>
      <w:r w:rsidR="00BD3EB4" w:rsidRPr="00BD3EB4">
        <w:rPr>
          <w:rFonts w:cstheme="minorHAnsi"/>
          <w:sz w:val="24"/>
          <w:szCs w:val="24"/>
          <w:lang w:val="en"/>
        </w:rPr>
        <w:t xml:space="preserve"> </w:t>
      </w:r>
      <w:r w:rsidR="00BD3EB4">
        <w:rPr>
          <w:rFonts w:cstheme="minorHAnsi"/>
          <w:sz w:val="24"/>
          <w:szCs w:val="24"/>
          <w:lang w:val="en"/>
        </w:rPr>
        <w:t xml:space="preserve">since the 1990s </w:t>
      </w:r>
      <w:r w:rsidR="00D73411" w:rsidRPr="005B6724">
        <w:rPr>
          <w:rFonts w:cstheme="minorHAnsi"/>
          <w:sz w:val="24"/>
          <w:szCs w:val="24"/>
          <w:lang w:val="en"/>
        </w:rPr>
        <w:t xml:space="preserve">assessments of needs undertaken in the UK for older </w:t>
      </w:r>
      <w:r w:rsidR="00F62055">
        <w:rPr>
          <w:rFonts w:cstheme="minorHAnsi"/>
          <w:sz w:val="24"/>
          <w:szCs w:val="24"/>
          <w:lang w:val="en"/>
        </w:rPr>
        <w:t>people</w:t>
      </w:r>
      <w:r w:rsidR="00D73411" w:rsidRPr="005B6724">
        <w:rPr>
          <w:rFonts w:cstheme="minorHAnsi"/>
          <w:sz w:val="24"/>
          <w:szCs w:val="24"/>
          <w:lang w:val="en"/>
        </w:rPr>
        <w:t xml:space="preserve"> by social workers </w:t>
      </w:r>
      <w:r w:rsidR="00A4558D">
        <w:rPr>
          <w:rFonts w:cstheme="minorHAnsi"/>
          <w:sz w:val="24"/>
          <w:szCs w:val="24"/>
          <w:lang w:val="en"/>
        </w:rPr>
        <w:t>have</w:t>
      </w:r>
      <w:r w:rsidR="00D73411" w:rsidRPr="005B6724">
        <w:rPr>
          <w:rFonts w:cstheme="minorHAnsi"/>
          <w:sz w:val="24"/>
          <w:szCs w:val="24"/>
          <w:lang w:val="en"/>
        </w:rPr>
        <w:t xml:space="preserve"> look</w:t>
      </w:r>
      <w:r w:rsidR="00A4558D">
        <w:rPr>
          <w:rFonts w:cstheme="minorHAnsi"/>
          <w:sz w:val="24"/>
          <w:szCs w:val="24"/>
          <w:lang w:val="en"/>
        </w:rPr>
        <w:t>ed</w:t>
      </w:r>
      <w:r w:rsidR="00D73411" w:rsidRPr="005B6724">
        <w:rPr>
          <w:rFonts w:cstheme="minorHAnsi"/>
          <w:sz w:val="24"/>
          <w:szCs w:val="24"/>
          <w:lang w:val="en"/>
        </w:rPr>
        <w:t xml:space="preserve"> to identify service users’ strengths</w:t>
      </w:r>
      <w:r w:rsidR="0045642F">
        <w:rPr>
          <w:rFonts w:cstheme="minorHAnsi"/>
          <w:sz w:val="24"/>
          <w:szCs w:val="24"/>
          <w:lang w:val="en"/>
        </w:rPr>
        <w:t xml:space="preserve"> </w:t>
      </w:r>
      <w:r w:rsidR="00D73411" w:rsidRPr="005B6724">
        <w:rPr>
          <w:rFonts w:cstheme="minorHAnsi"/>
          <w:sz w:val="24"/>
          <w:szCs w:val="24"/>
          <w:lang w:val="en"/>
        </w:rPr>
        <w:t>and engage with any available informal support provided</w:t>
      </w:r>
      <w:r w:rsidR="00A4558D">
        <w:rPr>
          <w:rFonts w:cstheme="minorHAnsi"/>
          <w:sz w:val="24"/>
          <w:szCs w:val="24"/>
          <w:lang w:val="en"/>
        </w:rPr>
        <w:t>, including community-based</w:t>
      </w:r>
      <w:r w:rsidR="00D73411" w:rsidRPr="005B6724">
        <w:rPr>
          <w:rFonts w:cstheme="minorHAnsi"/>
          <w:sz w:val="24"/>
          <w:szCs w:val="24"/>
          <w:lang w:val="en"/>
        </w:rPr>
        <w:t xml:space="preserve">. </w:t>
      </w:r>
      <w:r w:rsidR="00CE79B0">
        <w:rPr>
          <w:rFonts w:cstheme="minorHAnsi"/>
          <w:sz w:val="24"/>
          <w:szCs w:val="24"/>
          <w:lang w:val="en"/>
        </w:rPr>
        <w:t xml:space="preserve">As well as </w:t>
      </w:r>
      <w:r w:rsidR="0034605C">
        <w:rPr>
          <w:rFonts w:cstheme="minorHAnsi"/>
          <w:sz w:val="24"/>
          <w:szCs w:val="24"/>
          <w:lang w:val="en"/>
        </w:rPr>
        <w:t xml:space="preserve">ideologically </w:t>
      </w:r>
      <w:r w:rsidR="00CE79B0">
        <w:rPr>
          <w:rFonts w:cstheme="minorHAnsi"/>
          <w:sz w:val="24"/>
          <w:szCs w:val="24"/>
          <w:lang w:val="en"/>
        </w:rPr>
        <w:t>repackage what has already been provided for some time, t</w:t>
      </w:r>
      <w:r w:rsidR="00F02C69">
        <w:rPr>
          <w:rFonts w:cstheme="minorHAnsi"/>
          <w:sz w:val="24"/>
          <w:szCs w:val="24"/>
          <w:lang w:val="en"/>
        </w:rPr>
        <w:t xml:space="preserve">hey </w:t>
      </w:r>
      <w:r w:rsidR="006C4372">
        <w:rPr>
          <w:rFonts w:cstheme="minorHAnsi"/>
          <w:sz w:val="24"/>
          <w:szCs w:val="24"/>
          <w:lang w:val="en"/>
        </w:rPr>
        <w:t>add that asset</w:t>
      </w:r>
      <w:r w:rsidR="00A4558D">
        <w:rPr>
          <w:rFonts w:cstheme="minorHAnsi"/>
          <w:sz w:val="24"/>
          <w:szCs w:val="24"/>
          <w:lang w:val="en"/>
        </w:rPr>
        <w:t>-based</w:t>
      </w:r>
      <w:r w:rsidR="005A50B0">
        <w:rPr>
          <w:rFonts w:cstheme="minorHAnsi"/>
          <w:sz w:val="24"/>
          <w:szCs w:val="24"/>
          <w:lang w:val="en"/>
        </w:rPr>
        <w:t xml:space="preserve"> projects</w:t>
      </w:r>
      <w:r w:rsidR="006C4372">
        <w:rPr>
          <w:rFonts w:cstheme="minorHAnsi"/>
          <w:sz w:val="24"/>
          <w:szCs w:val="24"/>
          <w:lang w:val="en"/>
        </w:rPr>
        <w:t xml:space="preserve"> </w:t>
      </w:r>
      <w:r w:rsidR="00BE434D">
        <w:rPr>
          <w:rFonts w:cstheme="minorHAnsi"/>
          <w:sz w:val="24"/>
          <w:szCs w:val="24"/>
          <w:lang w:val="en"/>
        </w:rPr>
        <w:t>also</w:t>
      </w:r>
      <w:r w:rsidR="00EA2D3C">
        <w:rPr>
          <w:rFonts w:cstheme="minorHAnsi"/>
          <w:sz w:val="24"/>
          <w:szCs w:val="24"/>
          <w:lang w:val="en"/>
        </w:rPr>
        <w:t xml:space="preserve"> fail to meaningfully engage with </w:t>
      </w:r>
      <w:r w:rsidR="00865B2A">
        <w:rPr>
          <w:rFonts w:cstheme="minorHAnsi"/>
          <w:sz w:val="24"/>
          <w:szCs w:val="24"/>
          <w:lang w:val="en"/>
        </w:rPr>
        <w:t xml:space="preserve">paramount </w:t>
      </w:r>
      <w:r w:rsidR="00EA2D3C">
        <w:rPr>
          <w:rFonts w:cstheme="minorHAnsi"/>
          <w:sz w:val="24"/>
          <w:szCs w:val="24"/>
          <w:lang w:val="en"/>
        </w:rPr>
        <w:t>macro</w:t>
      </w:r>
      <w:r w:rsidR="0045642F">
        <w:rPr>
          <w:rFonts w:cstheme="minorHAnsi"/>
          <w:sz w:val="24"/>
          <w:szCs w:val="24"/>
          <w:lang w:val="en"/>
        </w:rPr>
        <w:t>-</w:t>
      </w:r>
      <w:r w:rsidR="00EA2D3C">
        <w:rPr>
          <w:rFonts w:cstheme="minorHAnsi"/>
          <w:sz w:val="24"/>
          <w:szCs w:val="24"/>
          <w:lang w:val="en"/>
        </w:rPr>
        <w:t>structural issues</w:t>
      </w:r>
      <w:r w:rsidR="00B2135F">
        <w:rPr>
          <w:rFonts w:cstheme="minorHAnsi"/>
          <w:sz w:val="24"/>
          <w:szCs w:val="24"/>
          <w:lang w:val="en"/>
        </w:rPr>
        <w:t xml:space="preserve"> within communities</w:t>
      </w:r>
      <w:r w:rsidR="00EA2D3C">
        <w:rPr>
          <w:rFonts w:cstheme="minorHAnsi"/>
          <w:sz w:val="24"/>
          <w:szCs w:val="24"/>
          <w:lang w:val="en"/>
        </w:rPr>
        <w:t>,</w:t>
      </w:r>
      <w:r w:rsidR="00B2135F">
        <w:rPr>
          <w:rFonts w:cstheme="minorHAnsi"/>
          <w:sz w:val="24"/>
          <w:szCs w:val="24"/>
          <w:lang w:val="en"/>
        </w:rPr>
        <w:t xml:space="preserve"> and</w:t>
      </w:r>
      <w:r w:rsidR="000E6633">
        <w:rPr>
          <w:rFonts w:cstheme="minorHAnsi"/>
          <w:sz w:val="24"/>
          <w:szCs w:val="24"/>
          <w:lang w:val="en"/>
        </w:rPr>
        <w:t xml:space="preserve"> </w:t>
      </w:r>
      <w:r w:rsidR="00B2135F">
        <w:rPr>
          <w:rFonts w:cstheme="minorHAnsi"/>
          <w:sz w:val="24"/>
          <w:szCs w:val="24"/>
          <w:lang w:val="en"/>
        </w:rPr>
        <w:t xml:space="preserve">largely </w:t>
      </w:r>
      <w:r w:rsidR="000E6633">
        <w:rPr>
          <w:rFonts w:cstheme="minorHAnsi"/>
          <w:sz w:val="24"/>
          <w:szCs w:val="24"/>
          <w:lang w:val="en"/>
        </w:rPr>
        <w:t xml:space="preserve">ignore the </w:t>
      </w:r>
      <w:r w:rsidR="00865B2A">
        <w:rPr>
          <w:rFonts w:cstheme="minorHAnsi"/>
          <w:sz w:val="24"/>
          <w:szCs w:val="24"/>
          <w:lang w:val="en"/>
        </w:rPr>
        <w:t>frequently</w:t>
      </w:r>
      <w:r w:rsidR="00EA2D3C">
        <w:rPr>
          <w:rFonts w:cstheme="minorHAnsi"/>
          <w:sz w:val="24"/>
          <w:szCs w:val="24"/>
          <w:lang w:val="en"/>
        </w:rPr>
        <w:t xml:space="preserve"> pivotal </w:t>
      </w:r>
      <w:r w:rsidR="000E6633">
        <w:rPr>
          <w:rFonts w:cstheme="minorHAnsi"/>
          <w:sz w:val="24"/>
          <w:szCs w:val="24"/>
          <w:lang w:val="en"/>
        </w:rPr>
        <w:t>role of power disparities</w:t>
      </w:r>
      <w:r w:rsidR="00B2135F">
        <w:rPr>
          <w:rFonts w:cstheme="minorHAnsi"/>
          <w:sz w:val="24"/>
          <w:szCs w:val="24"/>
          <w:lang w:val="en"/>
        </w:rPr>
        <w:t xml:space="preserve"> between welfare employees and service users</w:t>
      </w:r>
      <w:r w:rsidR="000E6633">
        <w:rPr>
          <w:rFonts w:cstheme="minorHAnsi"/>
          <w:sz w:val="24"/>
          <w:szCs w:val="24"/>
          <w:lang w:val="en"/>
        </w:rPr>
        <w:t xml:space="preserve"> within </w:t>
      </w:r>
      <w:r w:rsidR="00EA2D3C">
        <w:rPr>
          <w:rFonts w:cstheme="minorHAnsi"/>
          <w:sz w:val="24"/>
          <w:szCs w:val="24"/>
          <w:lang w:val="en"/>
        </w:rPr>
        <w:t>the dom</w:t>
      </w:r>
      <w:r w:rsidR="00A4558D">
        <w:rPr>
          <w:rFonts w:cstheme="minorHAnsi"/>
          <w:sz w:val="24"/>
          <w:szCs w:val="24"/>
          <w:lang w:val="en"/>
        </w:rPr>
        <w:t>ain</w:t>
      </w:r>
      <w:r w:rsidR="00EA2D3C">
        <w:rPr>
          <w:rFonts w:cstheme="minorHAnsi"/>
          <w:sz w:val="24"/>
          <w:szCs w:val="24"/>
          <w:lang w:val="en"/>
        </w:rPr>
        <w:t xml:space="preserve"> of</w:t>
      </w:r>
      <w:r w:rsidR="00865B2A">
        <w:rPr>
          <w:rFonts w:cstheme="minorHAnsi"/>
          <w:sz w:val="24"/>
          <w:szCs w:val="24"/>
          <w:lang w:val="en"/>
        </w:rPr>
        <w:t xml:space="preserve"> formal</w:t>
      </w:r>
      <w:r w:rsidR="00EA2D3C">
        <w:rPr>
          <w:rFonts w:cstheme="minorHAnsi"/>
          <w:sz w:val="24"/>
          <w:szCs w:val="24"/>
          <w:lang w:val="en"/>
        </w:rPr>
        <w:t xml:space="preserve"> </w:t>
      </w:r>
      <w:r w:rsidR="000E6633">
        <w:rPr>
          <w:rFonts w:cstheme="minorHAnsi"/>
          <w:sz w:val="24"/>
          <w:szCs w:val="24"/>
          <w:lang w:val="en"/>
        </w:rPr>
        <w:t>care</w:t>
      </w:r>
      <w:r w:rsidR="00CE79B0">
        <w:rPr>
          <w:rFonts w:cstheme="minorHAnsi"/>
          <w:sz w:val="24"/>
          <w:szCs w:val="24"/>
          <w:lang w:val="en"/>
        </w:rPr>
        <w:t>. This is</w:t>
      </w:r>
      <w:r w:rsidR="000E6633">
        <w:rPr>
          <w:rFonts w:cstheme="minorHAnsi"/>
          <w:sz w:val="24"/>
          <w:szCs w:val="24"/>
          <w:lang w:val="en"/>
        </w:rPr>
        <w:t xml:space="preserve"> </w:t>
      </w:r>
      <w:r w:rsidR="00B2135F">
        <w:rPr>
          <w:rFonts w:cstheme="minorHAnsi"/>
          <w:sz w:val="24"/>
          <w:szCs w:val="24"/>
          <w:lang w:val="en"/>
        </w:rPr>
        <w:t>whilst</w:t>
      </w:r>
      <w:r w:rsidR="000E6633">
        <w:rPr>
          <w:rFonts w:cstheme="minorHAnsi"/>
          <w:sz w:val="24"/>
          <w:szCs w:val="24"/>
          <w:lang w:val="en"/>
        </w:rPr>
        <w:t xml:space="preserve"> offer</w:t>
      </w:r>
      <w:r w:rsidR="00B2135F">
        <w:rPr>
          <w:rFonts w:cstheme="minorHAnsi"/>
          <w:sz w:val="24"/>
          <w:szCs w:val="24"/>
          <w:lang w:val="en"/>
        </w:rPr>
        <w:t xml:space="preserve">ing </w:t>
      </w:r>
      <w:r w:rsidR="00DB405F">
        <w:rPr>
          <w:rFonts w:cstheme="minorHAnsi"/>
          <w:sz w:val="24"/>
          <w:szCs w:val="24"/>
          <w:lang w:val="en"/>
        </w:rPr>
        <w:t xml:space="preserve">conditionality-based </w:t>
      </w:r>
      <w:r w:rsidR="000E6633">
        <w:rPr>
          <w:rFonts w:cstheme="minorHAnsi"/>
          <w:sz w:val="24"/>
          <w:szCs w:val="24"/>
          <w:lang w:val="en"/>
        </w:rPr>
        <w:t xml:space="preserve">prescriptions that are </w:t>
      </w:r>
      <w:r w:rsidR="00BE434D">
        <w:rPr>
          <w:rFonts w:cstheme="minorHAnsi"/>
          <w:sz w:val="24"/>
          <w:szCs w:val="24"/>
          <w:lang w:val="en"/>
        </w:rPr>
        <w:t>‘</w:t>
      </w:r>
      <w:r w:rsidR="000E6633">
        <w:rPr>
          <w:rFonts w:cstheme="minorHAnsi"/>
          <w:sz w:val="24"/>
          <w:szCs w:val="24"/>
          <w:lang w:val="en"/>
        </w:rPr>
        <w:t>in essence located at the individual and community levels’</w:t>
      </w:r>
      <w:r w:rsidR="00D710BD">
        <w:rPr>
          <w:rFonts w:cstheme="minorHAnsi"/>
          <w:sz w:val="24"/>
          <w:szCs w:val="24"/>
          <w:lang w:val="en"/>
        </w:rPr>
        <w:t xml:space="preserve"> (</w:t>
      </w:r>
      <w:r w:rsidR="00D710BD" w:rsidRPr="005B6724">
        <w:rPr>
          <w:rFonts w:cstheme="minorHAnsi"/>
          <w:sz w:val="24"/>
          <w:szCs w:val="24"/>
          <w:lang w:val="en"/>
        </w:rPr>
        <w:t>Daly and Westwood</w:t>
      </w:r>
      <w:r w:rsidR="00D710BD">
        <w:rPr>
          <w:rFonts w:cstheme="minorHAnsi"/>
          <w:sz w:val="24"/>
          <w:szCs w:val="24"/>
          <w:lang w:val="en"/>
        </w:rPr>
        <w:t xml:space="preserve">, </w:t>
      </w:r>
      <w:r w:rsidR="00D710BD" w:rsidRPr="005B6724">
        <w:rPr>
          <w:rFonts w:cstheme="minorHAnsi"/>
          <w:sz w:val="24"/>
          <w:szCs w:val="24"/>
          <w:lang w:val="en"/>
        </w:rPr>
        <w:t>2017</w:t>
      </w:r>
      <w:r w:rsidR="00D710BD">
        <w:rPr>
          <w:rFonts w:cstheme="minorHAnsi"/>
          <w:sz w:val="24"/>
          <w:szCs w:val="24"/>
          <w:lang w:val="en"/>
        </w:rPr>
        <w:t>: 10</w:t>
      </w:r>
      <w:r w:rsidR="00D710BD" w:rsidRPr="005B6724">
        <w:rPr>
          <w:rFonts w:cstheme="minorHAnsi"/>
          <w:sz w:val="24"/>
          <w:szCs w:val="24"/>
          <w:lang w:val="en"/>
        </w:rPr>
        <w:t>)</w:t>
      </w:r>
      <w:r w:rsidR="00B2135F">
        <w:rPr>
          <w:rFonts w:cstheme="minorHAnsi"/>
          <w:sz w:val="24"/>
          <w:szCs w:val="24"/>
          <w:lang w:val="en"/>
        </w:rPr>
        <w:t>. As part of</w:t>
      </w:r>
      <w:r w:rsidR="00865B2A">
        <w:rPr>
          <w:rFonts w:cstheme="minorHAnsi"/>
          <w:sz w:val="24"/>
          <w:szCs w:val="24"/>
          <w:lang w:val="en"/>
        </w:rPr>
        <w:t xml:space="preserve"> </w:t>
      </w:r>
      <w:r w:rsidR="00B2135F">
        <w:rPr>
          <w:rFonts w:cstheme="minorHAnsi"/>
          <w:sz w:val="24"/>
          <w:szCs w:val="24"/>
          <w:lang w:val="en"/>
        </w:rPr>
        <w:t xml:space="preserve">an </w:t>
      </w:r>
      <w:r w:rsidR="00865B2A">
        <w:rPr>
          <w:rFonts w:cstheme="minorHAnsi"/>
          <w:sz w:val="24"/>
          <w:szCs w:val="24"/>
          <w:lang w:val="en"/>
        </w:rPr>
        <w:t>apprais</w:t>
      </w:r>
      <w:r w:rsidR="00B2135F">
        <w:rPr>
          <w:rFonts w:cstheme="minorHAnsi"/>
          <w:sz w:val="24"/>
          <w:szCs w:val="24"/>
          <w:lang w:val="en"/>
        </w:rPr>
        <w:t>al of</w:t>
      </w:r>
      <w:r w:rsidR="00865B2A">
        <w:rPr>
          <w:rFonts w:cstheme="minorHAnsi"/>
          <w:sz w:val="24"/>
          <w:szCs w:val="24"/>
          <w:lang w:val="en"/>
        </w:rPr>
        <w:t xml:space="preserve"> the role of public health</w:t>
      </w:r>
      <w:r w:rsidR="00017F09">
        <w:rPr>
          <w:rFonts w:cstheme="minorHAnsi"/>
          <w:sz w:val="24"/>
          <w:szCs w:val="24"/>
          <w:lang w:val="en"/>
        </w:rPr>
        <w:t xml:space="preserve"> in </w:t>
      </w:r>
      <w:r w:rsidR="007958DA">
        <w:rPr>
          <w:rFonts w:cstheme="minorHAnsi"/>
          <w:sz w:val="24"/>
          <w:szCs w:val="24"/>
          <w:lang w:val="en"/>
        </w:rPr>
        <w:t>supporting</w:t>
      </w:r>
      <w:r w:rsidR="00017F09">
        <w:rPr>
          <w:rFonts w:cstheme="minorHAnsi"/>
          <w:sz w:val="24"/>
          <w:szCs w:val="24"/>
          <w:lang w:val="en"/>
        </w:rPr>
        <w:t xml:space="preserve"> an asset-based discourse</w:t>
      </w:r>
      <w:r w:rsidR="00CE19B9">
        <w:rPr>
          <w:rFonts w:cstheme="minorHAnsi"/>
          <w:sz w:val="24"/>
          <w:szCs w:val="24"/>
          <w:lang w:val="en"/>
        </w:rPr>
        <w:t xml:space="preserve"> in the UK</w:t>
      </w:r>
      <w:r w:rsidR="00017F09">
        <w:rPr>
          <w:rFonts w:cstheme="minorHAnsi"/>
          <w:sz w:val="24"/>
          <w:szCs w:val="24"/>
          <w:lang w:val="en"/>
        </w:rPr>
        <w:t xml:space="preserve">, </w:t>
      </w:r>
      <w:proofErr w:type="spellStart"/>
      <w:r w:rsidR="00017F09">
        <w:rPr>
          <w:rFonts w:cstheme="minorHAnsi"/>
          <w:sz w:val="24"/>
          <w:szCs w:val="24"/>
          <w:lang w:val="en"/>
        </w:rPr>
        <w:t>Friedli</w:t>
      </w:r>
      <w:proofErr w:type="spellEnd"/>
      <w:r w:rsidR="00017F09">
        <w:rPr>
          <w:rFonts w:cstheme="minorHAnsi"/>
          <w:sz w:val="24"/>
          <w:szCs w:val="24"/>
          <w:lang w:val="en"/>
        </w:rPr>
        <w:t xml:space="preserve"> (2013) </w:t>
      </w:r>
      <w:r w:rsidR="00BE434D">
        <w:rPr>
          <w:rFonts w:cstheme="minorHAnsi"/>
          <w:sz w:val="24"/>
          <w:szCs w:val="24"/>
          <w:lang w:val="en"/>
        </w:rPr>
        <w:t>notes</w:t>
      </w:r>
      <w:r w:rsidR="007958DA">
        <w:rPr>
          <w:rFonts w:cstheme="minorHAnsi"/>
          <w:sz w:val="24"/>
          <w:szCs w:val="24"/>
          <w:lang w:val="en"/>
        </w:rPr>
        <w:t xml:space="preserve"> </w:t>
      </w:r>
      <w:r w:rsidR="00DB405F">
        <w:rPr>
          <w:rFonts w:cstheme="minorHAnsi"/>
          <w:sz w:val="24"/>
          <w:szCs w:val="24"/>
          <w:lang w:val="en"/>
        </w:rPr>
        <w:t>the policies</w:t>
      </w:r>
      <w:r w:rsidR="00BE434D">
        <w:rPr>
          <w:rFonts w:cstheme="minorHAnsi"/>
          <w:sz w:val="24"/>
          <w:szCs w:val="24"/>
          <w:lang w:val="en"/>
        </w:rPr>
        <w:t xml:space="preserve"> unrealistic </w:t>
      </w:r>
      <w:r w:rsidR="00C52A33">
        <w:rPr>
          <w:rFonts w:cstheme="minorHAnsi"/>
          <w:sz w:val="24"/>
          <w:szCs w:val="24"/>
          <w:lang w:val="en"/>
        </w:rPr>
        <w:t xml:space="preserve">conditional </w:t>
      </w:r>
      <w:r w:rsidR="00BE434D">
        <w:rPr>
          <w:rFonts w:cstheme="minorHAnsi"/>
          <w:sz w:val="24"/>
          <w:szCs w:val="24"/>
          <w:lang w:val="en"/>
        </w:rPr>
        <w:t>expectations placed on often disenfranchised local people</w:t>
      </w:r>
      <w:r w:rsidR="0034605C">
        <w:rPr>
          <w:rFonts w:cstheme="minorHAnsi"/>
          <w:sz w:val="24"/>
          <w:szCs w:val="24"/>
          <w:lang w:val="en"/>
        </w:rPr>
        <w:t>,</w:t>
      </w:r>
      <w:r w:rsidR="00BE434D">
        <w:rPr>
          <w:rFonts w:cstheme="minorHAnsi"/>
          <w:sz w:val="24"/>
          <w:szCs w:val="24"/>
          <w:lang w:val="en"/>
        </w:rPr>
        <w:t xml:space="preserve"> and </w:t>
      </w:r>
      <w:r w:rsidR="0034605C">
        <w:rPr>
          <w:rFonts w:cstheme="minorHAnsi"/>
          <w:sz w:val="24"/>
          <w:szCs w:val="24"/>
          <w:lang w:val="en"/>
        </w:rPr>
        <w:t xml:space="preserve">its </w:t>
      </w:r>
      <w:r w:rsidR="00CE19B9">
        <w:rPr>
          <w:rFonts w:cstheme="minorHAnsi"/>
          <w:sz w:val="24"/>
          <w:szCs w:val="24"/>
          <w:lang w:val="en"/>
        </w:rPr>
        <w:t>persistent</w:t>
      </w:r>
      <w:r w:rsidR="007958DA">
        <w:rPr>
          <w:rFonts w:cstheme="minorHAnsi"/>
          <w:sz w:val="24"/>
          <w:szCs w:val="24"/>
          <w:lang w:val="en"/>
        </w:rPr>
        <w:t xml:space="preserve"> incapacity to meaningfully address the </w:t>
      </w:r>
      <w:r w:rsidR="0034605C">
        <w:rPr>
          <w:rFonts w:cstheme="minorHAnsi"/>
          <w:sz w:val="24"/>
          <w:szCs w:val="24"/>
          <w:lang w:val="en"/>
        </w:rPr>
        <w:t>‘</w:t>
      </w:r>
      <w:r w:rsidR="007958DA">
        <w:rPr>
          <w:rFonts w:cstheme="minorHAnsi"/>
          <w:sz w:val="24"/>
          <w:szCs w:val="24"/>
          <w:lang w:val="en"/>
        </w:rPr>
        <w:t>abandonment of areas of deprivation by both the market and the state’</w:t>
      </w:r>
      <w:r w:rsidR="00420E64" w:rsidRPr="00420E64">
        <w:rPr>
          <w:rFonts w:cstheme="minorHAnsi"/>
          <w:sz w:val="24"/>
          <w:szCs w:val="24"/>
          <w:lang w:val="en"/>
        </w:rPr>
        <w:t xml:space="preserve"> </w:t>
      </w:r>
      <w:r w:rsidR="00420E64">
        <w:rPr>
          <w:rFonts w:cstheme="minorHAnsi"/>
          <w:sz w:val="24"/>
          <w:szCs w:val="24"/>
          <w:lang w:val="en"/>
        </w:rPr>
        <w:t>(</w:t>
      </w:r>
      <w:proofErr w:type="spellStart"/>
      <w:r w:rsidR="00420E64">
        <w:rPr>
          <w:rFonts w:cstheme="minorHAnsi"/>
          <w:sz w:val="24"/>
          <w:szCs w:val="24"/>
          <w:lang w:val="en"/>
        </w:rPr>
        <w:t>Friedli</w:t>
      </w:r>
      <w:proofErr w:type="spellEnd"/>
      <w:r w:rsidR="00420E64">
        <w:rPr>
          <w:rFonts w:cstheme="minorHAnsi"/>
          <w:sz w:val="24"/>
          <w:szCs w:val="24"/>
          <w:lang w:val="en"/>
        </w:rPr>
        <w:t>, 2013: 10)</w:t>
      </w:r>
      <w:r w:rsidR="007958DA">
        <w:rPr>
          <w:rFonts w:cstheme="minorHAnsi"/>
          <w:sz w:val="24"/>
          <w:szCs w:val="24"/>
          <w:lang w:val="en"/>
        </w:rPr>
        <w:t xml:space="preserve">. Moreover, alongside </w:t>
      </w:r>
      <w:r w:rsidR="007958DA">
        <w:rPr>
          <w:rFonts w:cstheme="minorHAnsi"/>
          <w:sz w:val="24"/>
          <w:szCs w:val="24"/>
          <w:lang w:val="en"/>
        </w:rPr>
        <w:lastRenderedPageBreak/>
        <w:t xml:space="preserve">economic abandonment, </w:t>
      </w:r>
      <w:proofErr w:type="spellStart"/>
      <w:r w:rsidR="00420E64">
        <w:rPr>
          <w:rFonts w:cstheme="minorHAnsi"/>
          <w:sz w:val="24"/>
          <w:szCs w:val="24"/>
          <w:lang w:val="en"/>
        </w:rPr>
        <w:t>Friedli</w:t>
      </w:r>
      <w:proofErr w:type="spellEnd"/>
      <w:r w:rsidR="00420E64">
        <w:rPr>
          <w:rFonts w:cstheme="minorHAnsi"/>
          <w:sz w:val="24"/>
          <w:szCs w:val="24"/>
          <w:lang w:val="en"/>
        </w:rPr>
        <w:t xml:space="preserve"> adds that </w:t>
      </w:r>
      <w:r w:rsidR="007958DA">
        <w:rPr>
          <w:rFonts w:cstheme="minorHAnsi"/>
          <w:sz w:val="24"/>
          <w:szCs w:val="24"/>
          <w:lang w:val="en"/>
        </w:rPr>
        <w:t>there persists an over reliance upon</w:t>
      </w:r>
      <w:r w:rsidR="00017F09">
        <w:rPr>
          <w:rFonts w:cstheme="minorHAnsi"/>
          <w:sz w:val="24"/>
          <w:szCs w:val="24"/>
          <w:lang w:val="en"/>
        </w:rPr>
        <w:t xml:space="preserve"> </w:t>
      </w:r>
      <w:r w:rsidR="00AA4636">
        <w:rPr>
          <w:rFonts w:cstheme="minorHAnsi"/>
          <w:sz w:val="24"/>
          <w:szCs w:val="24"/>
          <w:lang w:val="en"/>
        </w:rPr>
        <w:t>therapeutic</w:t>
      </w:r>
      <w:r w:rsidR="00017F09">
        <w:rPr>
          <w:rFonts w:cstheme="minorHAnsi"/>
          <w:sz w:val="24"/>
          <w:szCs w:val="24"/>
          <w:lang w:val="en"/>
        </w:rPr>
        <w:t xml:space="preserve"> and </w:t>
      </w:r>
      <w:r w:rsidR="00AA4636">
        <w:rPr>
          <w:rFonts w:cstheme="minorHAnsi"/>
          <w:sz w:val="24"/>
          <w:szCs w:val="24"/>
          <w:lang w:val="en"/>
        </w:rPr>
        <w:t>behavioral</w:t>
      </w:r>
      <w:r w:rsidR="00017F09">
        <w:rPr>
          <w:rFonts w:cstheme="minorHAnsi"/>
          <w:sz w:val="24"/>
          <w:szCs w:val="24"/>
          <w:lang w:val="en"/>
        </w:rPr>
        <w:t xml:space="preserve"> solutions </w:t>
      </w:r>
      <w:r w:rsidR="00420E64">
        <w:rPr>
          <w:rFonts w:cstheme="minorHAnsi"/>
          <w:sz w:val="24"/>
          <w:szCs w:val="24"/>
          <w:lang w:val="en"/>
        </w:rPr>
        <w:t>at</w:t>
      </w:r>
      <w:r w:rsidR="00017F09">
        <w:rPr>
          <w:rFonts w:cstheme="minorHAnsi"/>
          <w:sz w:val="24"/>
          <w:szCs w:val="24"/>
          <w:lang w:val="en"/>
        </w:rPr>
        <w:t xml:space="preserve"> an individual level</w:t>
      </w:r>
      <w:r w:rsidR="00CD2EF0">
        <w:rPr>
          <w:rFonts w:cstheme="minorHAnsi"/>
          <w:sz w:val="24"/>
          <w:szCs w:val="24"/>
          <w:lang w:val="en"/>
        </w:rPr>
        <w:t xml:space="preserve"> as part of asset-based </w:t>
      </w:r>
      <w:r w:rsidR="00CE19B9">
        <w:rPr>
          <w:rFonts w:cstheme="minorHAnsi"/>
          <w:sz w:val="24"/>
          <w:szCs w:val="24"/>
          <w:lang w:val="en"/>
        </w:rPr>
        <w:t xml:space="preserve">welfare professional </w:t>
      </w:r>
      <w:r w:rsidR="00CD2EF0">
        <w:rPr>
          <w:rFonts w:cstheme="minorHAnsi"/>
          <w:sz w:val="24"/>
          <w:szCs w:val="24"/>
          <w:lang w:val="en"/>
        </w:rPr>
        <w:t>interventions</w:t>
      </w:r>
      <w:r w:rsidR="00017F09">
        <w:rPr>
          <w:rFonts w:cstheme="minorHAnsi"/>
          <w:sz w:val="24"/>
          <w:szCs w:val="24"/>
          <w:lang w:val="en"/>
        </w:rPr>
        <w:t>.</w:t>
      </w:r>
      <w:r w:rsidR="00CD2EF0">
        <w:rPr>
          <w:rFonts w:cstheme="minorHAnsi"/>
          <w:sz w:val="24"/>
          <w:szCs w:val="24"/>
          <w:lang w:val="en"/>
        </w:rPr>
        <w:t xml:space="preserve"> In particular, the asset movement</w:t>
      </w:r>
      <w:r w:rsidR="00CE19B9">
        <w:rPr>
          <w:rFonts w:cstheme="minorHAnsi"/>
          <w:sz w:val="24"/>
          <w:szCs w:val="24"/>
          <w:lang w:val="en"/>
        </w:rPr>
        <w:t xml:space="preserve"> increasingly</w:t>
      </w:r>
      <w:r w:rsidR="00C52A33">
        <w:rPr>
          <w:rFonts w:cstheme="minorHAnsi"/>
          <w:sz w:val="24"/>
          <w:szCs w:val="24"/>
          <w:lang w:val="en"/>
        </w:rPr>
        <w:t xml:space="preserve"> appears to</w:t>
      </w:r>
      <w:r w:rsidR="00CD2EF0">
        <w:rPr>
          <w:rFonts w:cstheme="minorHAnsi"/>
          <w:sz w:val="24"/>
          <w:szCs w:val="24"/>
          <w:lang w:val="en"/>
        </w:rPr>
        <w:t xml:space="preserve"> </w:t>
      </w:r>
      <w:r w:rsidR="00627D9B">
        <w:rPr>
          <w:rFonts w:cstheme="minorHAnsi"/>
          <w:sz w:val="24"/>
          <w:szCs w:val="24"/>
          <w:lang w:val="en"/>
        </w:rPr>
        <w:t xml:space="preserve">ignore social rights in </w:t>
      </w:r>
      <w:proofErr w:type="spellStart"/>
      <w:r w:rsidR="00627D9B">
        <w:rPr>
          <w:rFonts w:cstheme="minorHAnsi"/>
          <w:sz w:val="24"/>
          <w:szCs w:val="24"/>
          <w:lang w:val="en"/>
        </w:rPr>
        <w:t>favour</w:t>
      </w:r>
      <w:proofErr w:type="spellEnd"/>
      <w:r w:rsidR="00627D9B">
        <w:rPr>
          <w:rFonts w:cstheme="minorHAnsi"/>
          <w:sz w:val="24"/>
          <w:szCs w:val="24"/>
          <w:lang w:val="en"/>
        </w:rPr>
        <w:t xml:space="preserve"> of a pathological </w:t>
      </w:r>
      <w:r w:rsidR="00CD2EF0">
        <w:rPr>
          <w:rFonts w:cstheme="minorHAnsi"/>
          <w:sz w:val="24"/>
          <w:szCs w:val="24"/>
          <w:lang w:val="en"/>
        </w:rPr>
        <w:t>focus</w:t>
      </w:r>
      <w:r w:rsidR="00627D9B">
        <w:rPr>
          <w:rFonts w:cstheme="minorHAnsi"/>
          <w:sz w:val="24"/>
          <w:szCs w:val="24"/>
          <w:lang w:val="en"/>
        </w:rPr>
        <w:t xml:space="preserve"> placed</w:t>
      </w:r>
      <w:r w:rsidR="00CD2EF0">
        <w:rPr>
          <w:rFonts w:cstheme="minorHAnsi"/>
          <w:sz w:val="24"/>
          <w:szCs w:val="24"/>
          <w:lang w:val="en"/>
        </w:rPr>
        <w:t xml:space="preserve"> upon s</w:t>
      </w:r>
      <w:r w:rsidR="00CE19B9">
        <w:rPr>
          <w:rFonts w:cstheme="minorHAnsi"/>
          <w:sz w:val="24"/>
          <w:szCs w:val="24"/>
          <w:lang w:val="en"/>
        </w:rPr>
        <w:t>takeholder</w:t>
      </w:r>
      <w:r w:rsidR="00CD2EF0">
        <w:rPr>
          <w:rFonts w:cstheme="minorHAnsi"/>
          <w:sz w:val="24"/>
          <w:szCs w:val="24"/>
          <w:lang w:val="en"/>
        </w:rPr>
        <w:t xml:space="preserve"> ‘health behaviors’</w:t>
      </w:r>
      <w:r w:rsidR="0058157A">
        <w:rPr>
          <w:rFonts w:cstheme="minorHAnsi"/>
          <w:sz w:val="24"/>
          <w:szCs w:val="24"/>
          <w:lang w:val="en"/>
        </w:rPr>
        <w:t>,</w:t>
      </w:r>
      <w:r w:rsidR="00CD2EF0">
        <w:rPr>
          <w:rFonts w:cstheme="minorHAnsi"/>
          <w:sz w:val="24"/>
          <w:szCs w:val="24"/>
          <w:lang w:val="en"/>
        </w:rPr>
        <w:t xml:space="preserve"> with attention </w:t>
      </w:r>
      <w:r w:rsidR="00C52A33">
        <w:rPr>
          <w:rFonts w:cstheme="minorHAnsi"/>
          <w:sz w:val="24"/>
          <w:szCs w:val="24"/>
          <w:lang w:val="en"/>
        </w:rPr>
        <w:t xml:space="preserve">instead </w:t>
      </w:r>
      <w:r w:rsidR="00CD2EF0">
        <w:rPr>
          <w:rFonts w:cstheme="minorHAnsi"/>
          <w:sz w:val="24"/>
          <w:szCs w:val="24"/>
          <w:lang w:val="en"/>
        </w:rPr>
        <w:t>given to a narrow range of attributes which include positive thinking, aspirations, resilience, self-reliance and self-efficacy</w:t>
      </w:r>
      <w:r w:rsidR="00420E64">
        <w:rPr>
          <w:rFonts w:cstheme="minorHAnsi"/>
          <w:sz w:val="24"/>
          <w:szCs w:val="24"/>
          <w:lang w:val="en"/>
        </w:rPr>
        <w:t xml:space="preserve"> (</w:t>
      </w:r>
      <w:proofErr w:type="spellStart"/>
      <w:r w:rsidR="00420E64">
        <w:rPr>
          <w:rFonts w:cstheme="minorHAnsi"/>
          <w:sz w:val="24"/>
          <w:szCs w:val="24"/>
          <w:lang w:val="en"/>
        </w:rPr>
        <w:t>Friedli</w:t>
      </w:r>
      <w:proofErr w:type="spellEnd"/>
      <w:r w:rsidR="00420E64">
        <w:rPr>
          <w:rFonts w:cstheme="minorHAnsi"/>
          <w:sz w:val="24"/>
          <w:szCs w:val="24"/>
          <w:lang w:val="en"/>
        </w:rPr>
        <w:t>, 2013: 9-13)</w:t>
      </w:r>
      <w:r w:rsidR="00CD2EF0">
        <w:rPr>
          <w:rFonts w:cstheme="minorHAnsi"/>
          <w:sz w:val="24"/>
          <w:szCs w:val="24"/>
          <w:lang w:val="en"/>
        </w:rPr>
        <w:t xml:space="preserve">. </w:t>
      </w:r>
      <w:r w:rsidR="00E90A6E">
        <w:rPr>
          <w:rFonts w:cstheme="minorHAnsi"/>
          <w:sz w:val="24"/>
          <w:szCs w:val="24"/>
          <w:lang w:val="en"/>
        </w:rPr>
        <w:t>Indeed, t</w:t>
      </w:r>
      <w:r w:rsidR="00CD2EF0">
        <w:rPr>
          <w:rFonts w:cstheme="minorHAnsi"/>
          <w:sz w:val="24"/>
          <w:szCs w:val="24"/>
          <w:lang w:val="en"/>
        </w:rPr>
        <w:t xml:space="preserve">he </w:t>
      </w:r>
      <w:r w:rsidR="00E90A6E">
        <w:rPr>
          <w:rFonts w:cstheme="minorHAnsi"/>
          <w:sz w:val="24"/>
          <w:szCs w:val="24"/>
          <w:lang w:val="en"/>
        </w:rPr>
        <w:t xml:space="preserve">many </w:t>
      </w:r>
      <w:r w:rsidR="00CD2EF0">
        <w:rPr>
          <w:rFonts w:cstheme="minorHAnsi"/>
          <w:sz w:val="24"/>
          <w:szCs w:val="24"/>
          <w:lang w:val="en"/>
        </w:rPr>
        <w:t xml:space="preserve">conditions </w:t>
      </w:r>
      <w:r w:rsidR="00E90A6E">
        <w:rPr>
          <w:rFonts w:cstheme="minorHAnsi"/>
          <w:sz w:val="24"/>
          <w:szCs w:val="24"/>
          <w:lang w:val="en"/>
        </w:rPr>
        <w:t xml:space="preserve">now </w:t>
      </w:r>
      <w:r w:rsidR="00CD2EF0">
        <w:rPr>
          <w:rFonts w:cstheme="minorHAnsi"/>
          <w:sz w:val="24"/>
          <w:szCs w:val="24"/>
          <w:lang w:val="en"/>
        </w:rPr>
        <w:t xml:space="preserve">attached to accessing </w:t>
      </w:r>
      <w:r w:rsidR="00CE19B9">
        <w:rPr>
          <w:rFonts w:cstheme="minorHAnsi"/>
          <w:sz w:val="24"/>
          <w:szCs w:val="24"/>
          <w:lang w:val="en"/>
        </w:rPr>
        <w:t xml:space="preserve">acutely </w:t>
      </w:r>
      <w:r w:rsidR="00CD2EF0">
        <w:rPr>
          <w:rFonts w:cstheme="minorHAnsi"/>
          <w:sz w:val="24"/>
          <w:szCs w:val="24"/>
          <w:lang w:val="en"/>
        </w:rPr>
        <w:t xml:space="preserve">finite welfare-related support </w:t>
      </w:r>
      <w:r w:rsidR="00F33731">
        <w:rPr>
          <w:rFonts w:cstheme="minorHAnsi"/>
          <w:sz w:val="24"/>
          <w:szCs w:val="24"/>
          <w:lang w:val="en"/>
        </w:rPr>
        <w:t xml:space="preserve">for service users </w:t>
      </w:r>
      <w:r w:rsidR="00E90A6E">
        <w:rPr>
          <w:rFonts w:cstheme="minorHAnsi"/>
          <w:sz w:val="24"/>
          <w:szCs w:val="24"/>
          <w:lang w:val="en"/>
        </w:rPr>
        <w:t>can</w:t>
      </w:r>
      <w:r w:rsidR="00CE19B9">
        <w:rPr>
          <w:rFonts w:cstheme="minorHAnsi"/>
          <w:sz w:val="24"/>
          <w:szCs w:val="24"/>
          <w:lang w:val="en"/>
        </w:rPr>
        <w:t xml:space="preserve"> </w:t>
      </w:r>
      <w:r w:rsidR="00DB405F">
        <w:rPr>
          <w:rFonts w:cstheme="minorHAnsi"/>
          <w:sz w:val="24"/>
          <w:szCs w:val="24"/>
          <w:lang w:val="en"/>
        </w:rPr>
        <w:t>also</w:t>
      </w:r>
      <w:r w:rsidR="00CE19B9">
        <w:rPr>
          <w:rFonts w:cstheme="minorHAnsi"/>
          <w:sz w:val="24"/>
          <w:szCs w:val="24"/>
          <w:lang w:val="en"/>
        </w:rPr>
        <w:t xml:space="preserve"> </w:t>
      </w:r>
      <w:r w:rsidR="0058157A">
        <w:rPr>
          <w:rFonts w:cstheme="minorHAnsi"/>
          <w:sz w:val="24"/>
          <w:szCs w:val="24"/>
          <w:lang w:val="en"/>
        </w:rPr>
        <w:t xml:space="preserve">now </w:t>
      </w:r>
      <w:r w:rsidR="00CD2EF0">
        <w:rPr>
          <w:rFonts w:cstheme="minorHAnsi"/>
          <w:sz w:val="24"/>
          <w:szCs w:val="24"/>
          <w:lang w:val="en"/>
        </w:rPr>
        <w:t>include a</w:t>
      </w:r>
      <w:r w:rsidR="00CE19B9">
        <w:rPr>
          <w:rFonts w:cstheme="minorHAnsi"/>
          <w:sz w:val="24"/>
          <w:szCs w:val="24"/>
          <w:lang w:val="en"/>
        </w:rPr>
        <w:t>n in-depth</w:t>
      </w:r>
      <w:r w:rsidR="00CD2EF0">
        <w:rPr>
          <w:rFonts w:cstheme="minorHAnsi"/>
          <w:sz w:val="24"/>
          <w:szCs w:val="24"/>
          <w:lang w:val="en"/>
        </w:rPr>
        <w:t xml:space="preserve"> psychological </w:t>
      </w:r>
      <w:r w:rsidR="0058157A">
        <w:rPr>
          <w:rFonts w:cstheme="minorHAnsi"/>
          <w:sz w:val="24"/>
          <w:szCs w:val="24"/>
          <w:lang w:val="en"/>
        </w:rPr>
        <w:t xml:space="preserve">and moral </w:t>
      </w:r>
      <w:r w:rsidR="00CD2EF0">
        <w:rPr>
          <w:rFonts w:cstheme="minorHAnsi"/>
          <w:sz w:val="24"/>
          <w:szCs w:val="24"/>
          <w:lang w:val="en"/>
        </w:rPr>
        <w:t>evaluation</w:t>
      </w:r>
      <w:r w:rsidR="00CE19B9">
        <w:rPr>
          <w:rFonts w:cstheme="minorHAnsi"/>
          <w:sz w:val="24"/>
          <w:szCs w:val="24"/>
          <w:lang w:val="en"/>
        </w:rPr>
        <w:t xml:space="preserve"> of </w:t>
      </w:r>
      <w:r w:rsidR="00420E64">
        <w:rPr>
          <w:rFonts w:cstheme="minorHAnsi"/>
          <w:sz w:val="24"/>
          <w:szCs w:val="24"/>
          <w:lang w:val="en"/>
        </w:rPr>
        <w:t xml:space="preserve">any older citizen’s </w:t>
      </w:r>
      <w:r w:rsidR="00CE19B9">
        <w:rPr>
          <w:rFonts w:cstheme="minorHAnsi"/>
          <w:sz w:val="24"/>
          <w:szCs w:val="24"/>
          <w:lang w:val="en"/>
        </w:rPr>
        <w:t>worth,</w:t>
      </w:r>
      <w:r w:rsidR="00CD2EF0">
        <w:rPr>
          <w:rFonts w:cstheme="minorHAnsi"/>
          <w:sz w:val="24"/>
          <w:szCs w:val="24"/>
          <w:lang w:val="en"/>
        </w:rPr>
        <w:t xml:space="preserve"> </w:t>
      </w:r>
      <w:r w:rsidR="00CE19B9">
        <w:rPr>
          <w:rFonts w:cstheme="minorHAnsi"/>
          <w:sz w:val="24"/>
          <w:szCs w:val="24"/>
          <w:lang w:val="en"/>
        </w:rPr>
        <w:t>alongside expectations to reconsider one’s behavior</w:t>
      </w:r>
      <w:r w:rsidR="00420E64">
        <w:rPr>
          <w:rFonts w:cstheme="minorHAnsi"/>
          <w:sz w:val="24"/>
          <w:szCs w:val="24"/>
          <w:lang w:val="en"/>
        </w:rPr>
        <w:t xml:space="preserve">, </w:t>
      </w:r>
      <w:r w:rsidR="00CE19B9">
        <w:rPr>
          <w:rFonts w:cstheme="minorHAnsi"/>
          <w:sz w:val="24"/>
          <w:szCs w:val="24"/>
          <w:lang w:val="en"/>
        </w:rPr>
        <w:t>values</w:t>
      </w:r>
      <w:r w:rsidR="005E4AF4">
        <w:rPr>
          <w:rFonts w:cstheme="minorHAnsi"/>
          <w:sz w:val="24"/>
          <w:szCs w:val="24"/>
          <w:lang w:val="en"/>
        </w:rPr>
        <w:t>, strengths</w:t>
      </w:r>
      <w:r w:rsidR="00420E64">
        <w:rPr>
          <w:rFonts w:cstheme="minorHAnsi"/>
          <w:sz w:val="24"/>
          <w:szCs w:val="24"/>
          <w:lang w:val="en"/>
        </w:rPr>
        <w:t xml:space="preserve"> and </w:t>
      </w:r>
      <w:r w:rsidR="00DB405F">
        <w:rPr>
          <w:rFonts w:cstheme="minorHAnsi"/>
          <w:sz w:val="24"/>
          <w:szCs w:val="24"/>
          <w:lang w:val="en"/>
        </w:rPr>
        <w:t>purpose in life</w:t>
      </w:r>
      <w:r w:rsidR="004E7A06">
        <w:rPr>
          <w:rFonts w:cstheme="minorHAnsi"/>
          <w:sz w:val="24"/>
          <w:szCs w:val="24"/>
          <w:lang w:val="en"/>
        </w:rPr>
        <w:t>.</w:t>
      </w:r>
    </w:p>
    <w:p w14:paraId="7E51C11A" w14:textId="77777777" w:rsidR="001D577F" w:rsidRDefault="00971D07" w:rsidP="0070073A">
      <w:pPr>
        <w:spacing w:line="480" w:lineRule="auto"/>
        <w:rPr>
          <w:b/>
          <w:sz w:val="24"/>
          <w:szCs w:val="24"/>
        </w:rPr>
      </w:pPr>
      <w:r>
        <w:rPr>
          <w:b/>
          <w:sz w:val="24"/>
          <w:szCs w:val="24"/>
        </w:rPr>
        <w:t>Conclusions</w:t>
      </w:r>
    </w:p>
    <w:p w14:paraId="623AA7F6" w14:textId="6F15158E" w:rsidR="006142E0" w:rsidRDefault="001E5930" w:rsidP="00426A8D">
      <w:pPr>
        <w:spacing w:line="480" w:lineRule="auto"/>
        <w:rPr>
          <w:rFonts w:cs="Tahoma"/>
          <w:color w:val="141414"/>
          <w:sz w:val="24"/>
          <w:szCs w:val="24"/>
          <w:shd w:val="clear" w:color="auto" w:fill="FFFFFF"/>
        </w:rPr>
      </w:pPr>
      <w:r>
        <w:rPr>
          <w:rFonts w:cs="Tahoma"/>
          <w:color w:val="141414"/>
          <w:sz w:val="24"/>
          <w:szCs w:val="24"/>
          <w:shd w:val="clear" w:color="auto" w:fill="FFFFFF"/>
        </w:rPr>
        <w:t>Much of the</w:t>
      </w:r>
      <w:r w:rsidR="0095124A">
        <w:rPr>
          <w:rFonts w:cs="Tahoma"/>
          <w:color w:val="141414"/>
          <w:sz w:val="24"/>
          <w:szCs w:val="24"/>
          <w:shd w:val="clear" w:color="auto" w:fill="FFFFFF"/>
        </w:rPr>
        <w:t xml:space="preserve"> evidence from social care</w:t>
      </w:r>
      <w:r w:rsidR="00426A8D">
        <w:rPr>
          <w:rFonts w:cs="Tahoma"/>
          <w:color w:val="141414"/>
          <w:sz w:val="24"/>
          <w:szCs w:val="24"/>
          <w:shd w:val="clear" w:color="auto" w:fill="FFFFFF"/>
        </w:rPr>
        <w:t xml:space="preserve"> and social work</w:t>
      </w:r>
      <w:r w:rsidR="0095124A">
        <w:rPr>
          <w:rFonts w:cs="Tahoma"/>
          <w:color w:val="141414"/>
          <w:sz w:val="24"/>
          <w:szCs w:val="24"/>
          <w:shd w:val="clear" w:color="auto" w:fill="FFFFFF"/>
        </w:rPr>
        <w:t xml:space="preserve"> suggests that </w:t>
      </w:r>
      <w:r w:rsidR="00971D07">
        <w:rPr>
          <w:rFonts w:cs="Tahoma"/>
          <w:color w:val="141414"/>
          <w:sz w:val="24"/>
          <w:szCs w:val="24"/>
          <w:shd w:val="clear" w:color="auto" w:fill="FFFFFF"/>
        </w:rPr>
        <w:t>welfare conditionality for older adults represent</w:t>
      </w:r>
      <w:r w:rsidR="0095124A">
        <w:rPr>
          <w:rFonts w:cs="Tahoma"/>
          <w:color w:val="141414"/>
          <w:sz w:val="24"/>
          <w:szCs w:val="24"/>
          <w:shd w:val="clear" w:color="auto" w:fill="FFFFFF"/>
        </w:rPr>
        <w:t>s</w:t>
      </w:r>
      <w:r w:rsidR="00376595">
        <w:rPr>
          <w:rFonts w:cs="Tahoma"/>
          <w:color w:val="141414"/>
          <w:sz w:val="24"/>
          <w:szCs w:val="24"/>
          <w:shd w:val="clear" w:color="auto" w:fill="FFFFFF"/>
        </w:rPr>
        <w:t xml:space="preserve"> </w:t>
      </w:r>
      <w:r w:rsidR="00971D07">
        <w:rPr>
          <w:rFonts w:cs="Tahoma"/>
          <w:color w:val="141414"/>
          <w:sz w:val="24"/>
          <w:szCs w:val="24"/>
          <w:shd w:val="clear" w:color="auto" w:fill="FFFFFF"/>
        </w:rPr>
        <w:t xml:space="preserve">as active an ideological force as for other </w:t>
      </w:r>
      <w:r w:rsidR="00FB3F99">
        <w:rPr>
          <w:rFonts w:cs="Tahoma"/>
          <w:color w:val="141414"/>
          <w:sz w:val="24"/>
          <w:szCs w:val="24"/>
          <w:shd w:val="clear" w:color="auto" w:fill="FFFFFF"/>
        </w:rPr>
        <w:t xml:space="preserve">targeted </w:t>
      </w:r>
      <w:r w:rsidR="00971D07">
        <w:rPr>
          <w:rFonts w:cs="Tahoma"/>
          <w:color w:val="141414"/>
          <w:sz w:val="24"/>
          <w:szCs w:val="24"/>
          <w:shd w:val="clear" w:color="auto" w:fill="FFFFFF"/>
        </w:rPr>
        <w:t xml:space="preserve">demographic groups </w:t>
      </w:r>
      <w:r w:rsidR="00376595">
        <w:rPr>
          <w:rFonts w:cs="Tahoma"/>
          <w:color w:val="141414"/>
          <w:sz w:val="24"/>
          <w:szCs w:val="24"/>
          <w:shd w:val="clear" w:color="auto" w:fill="FFFFFF"/>
        </w:rPr>
        <w:t>including</w:t>
      </w:r>
      <w:r w:rsidR="00971D07">
        <w:rPr>
          <w:rFonts w:cs="Tahoma"/>
          <w:color w:val="141414"/>
          <w:sz w:val="24"/>
          <w:szCs w:val="24"/>
          <w:shd w:val="clear" w:color="auto" w:fill="FFFFFF"/>
        </w:rPr>
        <w:t xml:space="preserve"> lone mothers</w:t>
      </w:r>
      <w:r w:rsidR="00E52555">
        <w:rPr>
          <w:rFonts w:cs="Tahoma"/>
          <w:color w:val="141414"/>
          <w:sz w:val="24"/>
          <w:szCs w:val="24"/>
          <w:shd w:val="clear" w:color="auto" w:fill="FFFFFF"/>
        </w:rPr>
        <w:t xml:space="preserve"> and</w:t>
      </w:r>
      <w:r w:rsidR="00066D70">
        <w:rPr>
          <w:rFonts w:cs="Tahoma"/>
          <w:color w:val="141414"/>
          <w:sz w:val="24"/>
          <w:szCs w:val="24"/>
          <w:shd w:val="clear" w:color="auto" w:fill="FFFFFF"/>
        </w:rPr>
        <w:t xml:space="preserve"> unemployed adults</w:t>
      </w:r>
      <w:r w:rsidR="00971D07">
        <w:rPr>
          <w:rFonts w:cs="Tahoma"/>
          <w:color w:val="141414"/>
          <w:sz w:val="24"/>
          <w:szCs w:val="24"/>
          <w:shd w:val="clear" w:color="auto" w:fill="FFFFFF"/>
        </w:rPr>
        <w:t xml:space="preserve">. </w:t>
      </w:r>
      <w:r w:rsidR="00E52555">
        <w:rPr>
          <w:rFonts w:cs="Tahoma"/>
          <w:color w:val="141414"/>
          <w:sz w:val="24"/>
          <w:szCs w:val="24"/>
          <w:shd w:val="clear" w:color="auto" w:fill="FFFFFF"/>
        </w:rPr>
        <w:t xml:space="preserve">This appears more acute for older </w:t>
      </w:r>
      <w:r w:rsidR="00F62055">
        <w:rPr>
          <w:rFonts w:cs="Tahoma"/>
          <w:color w:val="141414"/>
          <w:sz w:val="24"/>
          <w:szCs w:val="24"/>
          <w:shd w:val="clear" w:color="auto" w:fill="FFFFFF"/>
        </w:rPr>
        <w:t>people</w:t>
      </w:r>
      <w:r w:rsidR="00E52555">
        <w:rPr>
          <w:rFonts w:cs="Tahoma"/>
          <w:color w:val="141414"/>
          <w:sz w:val="24"/>
          <w:szCs w:val="24"/>
          <w:shd w:val="clear" w:color="auto" w:fill="FFFFFF"/>
        </w:rPr>
        <w:t xml:space="preserve"> with higher level </w:t>
      </w:r>
      <w:r w:rsidR="006213EE">
        <w:rPr>
          <w:rFonts w:cs="Tahoma"/>
          <w:color w:val="141414"/>
          <w:sz w:val="24"/>
          <w:szCs w:val="24"/>
          <w:shd w:val="clear" w:color="auto" w:fill="FFFFFF"/>
        </w:rPr>
        <w:t xml:space="preserve">social care </w:t>
      </w:r>
      <w:r w:rsidR="00E52555">
        <w:rPr>
          <w:rFonts w:cs="Tahoma"/>
          <w:color w:val="141414"/>
          <w:sz w:val="24"/>
          <w:szCs w:val="24"/>
          <w:shd w:val="clear" w:color="auto" w:fill="FFFFFF"/>
        </w:rPr>
        <w:t>needs</w:t>
      </w:r>
      <w:r w:rsidR="00D10710">
        <w:rPr>
          <w:rFonts w:cs="Tahoma"/>
          <w:color w:val="141414"/>
          <w:sz w:val="24"/>
          <w:szCs w:val="24"/>
          <w:shd w:val="clear" w:color="auto" w:fill="FFFFFF"/>
        </w:rPr>
        <w:t xml:space="preserve"> as they are more likely to require </w:t>
      </w:r>
      <w:r w:rsidR="006C6471">
        <w:rPr>
          <w:rFonts w:cs="Tahoma"/>
          <w:color w:val="141414"/>
          <w:sz w:val="24"/>
          <w:szCs w:val="24"/>
          <w:shd w:val="clear" w:color="auto" w:fill="FFFFFF"/>
        </w:rPr>
        <w:t>state funded</w:t>
      </w:r>
      <w:r w:rsidR="00D10710">
        <w:rPr>
          <w:rFonts w:cs="Tahoma"/>
          <w:color w:val="141414"/>
          <w:sz w:val="24"/>
          <w:szCs w:val="24"/>
          <w:shd w:val="clear" w:color="auto" w:fill="FFFFFF"/>
        </w:rPr>
        <w:t xml:space="preserve"> support</w:t>
      </w:r>
      <w:r w:rsidR="00421492">
        <w:rPr>
          <w:rFonts w:cs="Tahoma"/>
          <w:color w:val="141414"/>
          <w:sz w:val="24"/>
          <w:szCs w:val="24"/>
          <w:shd w:val="clear" w:color="auto" w:fill="FFFFFF"/>
        </w:rPr>
        <w:t>,</w:t>
      </w:r>
      <w:r w:rsidR="00E52555">
        <w:rPr>
          <w:rFonts w:cs="Tahoma"/>
          <w:color w:val="141414"/>
          <w:sz w:val="24"/>
          <w:szCs w:val="24"/>
          <w:shd w:val="clear" w:color="auto" w:fill="FFFFFF"/>
        </w:rPr>
        <w:t xml:space="preserve"> and </w:t>
      </w:r>
      <w:r w:rsidR="00421492">
        <w:rPr>
          <w:rFonts w:cs="Tahoma"/>
          <w:color w:val="141414"/>
          <w:sz w:val="24"/>
          <w:szCs w:val="24"/>
          <w:shd w:val="clear" w:color="auto" w:fill="FFFFFF"/>
        </w:rPr>
        <w:t xml:space="preserve">other </w:t>
      </w:r>
      <w:r w:rsidR="0071583A">
        <w:rPr>
          <w:rFonts w:cs="Tahoma"/>
          <w:color w:val="141414"/>
          <w:sz w:val="24"/>
          <w:szCs w:val="24"/>
          <w:shd w:val="clear" w:color="auto" w:fill="FFFFFF"/>
        </w:rPr>
        <w:t xml:space="preserve">established exclusionary </w:t>
      </w:r>
      <w:r w:rsidR="00E52555">
        <w:rPr>
          <w:rFonts w:cs="Tahoma"/>
          <w:color w:val="141414"/>
          <w:sz w:val="24"/>
          <w:szCs w:val="24"/>
          <w:shd w:val="clear" w:color="auto" w:fill="FFFFFF"/>
        </w:rPr>
        <w:t xml:space="preserve">factors such as </w:t>
      </w:r>
      <w:r w:rsidR="00D61531">
        <w:rPr>
          <w:rFonts w:cs="Tahoma"/>
          <w:color w:val="141414"/>
          <w:sz w:val="24"/>
          <w:szCs w:val="24"/>
          <w:shd w:val="clear" w:color="auto" w:fill="FFFFFF"/>
        </w:rPr>
        <w:t xml:space="preserve">social </w:t>
      </w:r>
      <w:r w:rsidR="00E52555">
        <w:rPr>
          <w:rFonts w:cs="Tahoma"/>
          <w:color w:val="141414"/>
          <w:sz w:val="24"/>
          <w:szCs w:val="24"/>
          <w:shd w:val="clear" w:color="auto" w:fill="FFFFFF"/>
        </w:rPr>
        <w:t xml:space="preserve">class </w:t>
      </w:r>
      <w:r w:rsidR="00421492">
        <w:rPr>
          <w:rFonts w:cs="Tahoma"/>
          <w:color w:val="141414"/>
          <w:sz w:val="24"/>
          <w:szCs w:val="24"/>
          <w:shd w:val="clear" w:color="auto" w:fill="FFFFFF"/>
        </w:rPr>
        <w:t xml:space="preserve">or ethnicity </w:t>
      </w:r>
      <w:r w:rsidR="00BB43A4">
        <w:rPr>
          <w:rFonts w:cs="Tahoma"/>
          <w:color w:val="141414"/>
          <w:sz w:val="24"/>
          <w:szCs w:val="24"/>
          <w:shd w:val="clear" w:color="auto" w:fill="FFFFFF"/>
        </w:rPr>
        <w:t>appear to often</w:t>
      </w:r>
      <w:r w:rsidR="00E52555">
        <w:rPr>
          <w:rFonts w:cs="Tahoma"/>
          <w:color w:val="141414"/>
          <w:sz w:val="24"/>
          <w:szCs w:val="24"/>
          <w:shd w:val="clear" w:color="auto" w:fill="FFFFFF"/>
        </w:rPr>
        <w:t xml:space="preserve"> play an important role</w:t>
      </w:r>
      <w:r w:rsidR="006C6471">
        <w:rPr>
          <w:rFonts w:cs="Tahoma"/>
          <w:color w:val="141414"/>
          <w:sz w:val="24"/>
          <w:szCs w:val="24"/>
          <w:shd w:val="clear" w:color="auto" w:fill="FFFFFF"/>
        </w:rPr>
        <w:t xml:space="preserve"> in influencing the impact of conditionality</w:t>
      </w:r>
      <w:r w:rsidR="00376595">
        <w:rPr>
          <w:rFonts w:cs="Tahoma"/>
          <w:color w:val="141414"/>
          <w:sz w:val="24"/>
          <w:szCs w:val="24"/>
          <w:shd w:val="clear" w:color="auto" w:fill="FFFFFF"/>
        </w:rPr>
        <w:t>.</w:t>
      </w:r>
      <w:r w:rsidR="00FA27B2">
        <w:rPr>
          <w:rFonts w:cs="Tahoma"/>
          <w:color w:val="141414"/>
          <w:sz w:val="24"/>
          <w:szCs w:val="24"/>
          <w:shd w:val="clear" w:color="auto" w:fill="FFFFFF"/>
        </w:rPr>
        <w:t xml:space="preserve"> </w:t>
      </w:r>
      <w:r w:rsidR="00E52555" w:rsidRPr="00421492">
        <w:rPr>
          <w:rFonts w:cs="Tahoma"/>
          <w:color w:val="141414"/>
          <w:sz w:val="24"/>
          <w:szCs w:val="24"/>
          <w:shd w:val="clear" w:color="auto" w:fill="FFFFFF"/>
        </w:rPr>
        <w:t>S</w:t>
      </w:r>
      <w:r w:rsidR="00976029" w:rsidRPr="00421492">
        <w:rPr>
          <w:rFonts w:cs="Tahoma"/>
          <w:color w:val="141414"/>
          <w:sz w:val="24"/>
          <w:szCs w:val="24"/>
          <w:shd w:val="clear" w:color="auto" w:fill="FFFFFF"/>
        </w:rPr>
        <w:t>trains</w:t>
      </w:r>
      <w:r w:rsidR="0095124A" w:rsidRPr="00421492">
        <w:rPr>
          <w:rFonts w:cs="Tahoma"/>
          <w:color w:val="141414"/>
          <w:sz w:val="24"/>
          <w:szCs w:val="24"/>
          <w:shd w:val="clear" w:color="auto" w:fill="FFFFFF"/>
        </w:rPr>
        <w:t xml:space="preserve"> </w:t>
      </w:r>
      <w:r w:rsidR="00D10710" w:rsidRPr="00421492">
        <w:rPr>
          <w:rFonts w:cs="Tahoma"/>
          <w:color w:val="141414"/>
          <w:sz w:val="24"/>
          <w:szCs w:val="24"/>
          <w:shd w:val="clear" w:color="auto" w:fill="FFFFFF"/>
        </w:rPr>
        <w:t>can</w:t>
      </w:r>
      <w:r w:rsidR="00E52555" w:rsidRPr="00421492">
        <w:rPr>
          <w:rFonts w:cs="Tahoma"/>
          <w:color w:val="141414"/>
          <w:sz w:val="24"/>
          <w:szCs w:val="24"/>
          <w:shd w:val="clear" w:color="auto" w:fill="FFFFFF"/>
        </w:rPr>
        <w:t xml:space="preserve"> </w:t>
      </w:r>
      <w:r w:rsidR="00CC57A5" w:rsidRPr="00421492">
        <w:rPr>
          <w:rFonts w:cs="Tahoma"/>
          <w:color w:val="141414"/>
          <w:sz w:val="24"/>
          <w:szCs w:val="24"/>
          <w:shd w:val="clear" w:color="auto" w:fill="FFFFFF"/>
        </w:rPr>
        <w:t xml:space="preserve">persist </w:t>
      </w:r>
      <w:r w:rsidR="00A074C6" w:rsidRPr="00421492">
        <w:rPr>
          <w:rFonts w:cs="Tahoma"/>
          <w:color w:val="141414"/>
          <w:sz w:val="24"/>
          <w:szCs w:val="24"/>
          <w:shd w:val="clear" w:color="auto" w:fill="FFFFFF"/>
        </w:rPr>
        <w:t xml:space="preserve">between </w:t>
      </w:r>
      <w:r w:rsidR="00CC57A5" w:rsidRPr="00421492">
        <w:rPr>
          <w:rFonts w:cs="Tahoma"/>
          <w:color w:val="141414"/>
          <w:sz w:val="24"/>
          <w:szCs w:val="24"/>
          <w:shd w:val="clear" w:color="auto" w:fill="FFFFFF"/>
        </w:rPr>
        <w:t>the altruistic components of s</w:t>
      </w:r>
      <w:r w:rsidR="00A074C6" w:rsidRPr="00421492">
        <w:rPr>
          <w:rFonts w:cs="Tahoma"/>
          <w:color w:val="141414"/>
          <w:sz w:val="24"/>
          <w:szCs w:val="24"/>
          <w:shd w:val="clear" w:color="auto" w:fill="FFFFFF"/>
        </w:rPr>
        <w:t>ome</w:t>
      </w:r>
      <w:r w:rsidR="00CC57A5" w:rsidRPr="00421492">
        <w:rPr>
          <w:rFonts w:cs="Tahoma"/>
          <w:color w:val="141414"/>
          <w:sz w:val="24"/>
          <w:szCs w:val="24"/>
          <w:shd w:val="clear" w:color="auto" w:fill="FFFFFF"/>
        </w:rPr>
        <w:t xml:space="preserve"> </w:t>
      </w:r>
      <w:r w:rsidR="0095124A" w:rsidRPr="00421492">
        <w:rPr>
          <w:rFonts w:cs="Tahoma"/>
          <w:color w:val="141414"/>
          <w:sz w:val="24"/>
          <w:szCs w:val="24"/>
          <w:shd w:val="clear" w:color="auto" w:fill="FFFFFF"/>
        </w:rPr>
        <w:t>ethical frameworks</w:t>
      </w:r>
      <w:r w:rsidR="00151608" w:rsidRPr="00421492">
        <w:rPr>
          <w:rFonts w:cs="Tahoma"/>
          <w:color w:val="141414"/>
          <w:sz w:val="24"/>
          <w:szCs w:val="24"/>
          <w:shd w:val="clear" w:color="auto" w:fill="FFFFFF"/>
        </w:rPr>
        <w:t>, including</w:t>
      </w:r>
      <w:r w:rsidR="00A4355B" w:rsidRPr="00421492">
        <w:rPr>
          <w:rFonts w:cs="Tahoma"/>
          <w:color w:val="141414"/>
          <w:sz w:val="24"/>
          <w:szCs w:val="24"/>
          <w:shd w:val="clear" w:color="auto" w:fill="FFFFFF"/>
        </w:rPr>
        <w:t xml:space="preserve"> rights based</w:t>
      </w:r>
      <w:r w:rsidR="00151608" w:rsidRPr="00421492">
        <w:rPr>
          <w:rFonts w:cs="Tahoma"/>
          <w:color w:val="141414"/>
          <w:sz w:val="24"/>
          <w:szCs w:val="24"/>
          <w:shd w:val="clear" w:color="auto" w:fill="FFFFFF"/>
        </w:rPr>
        <w:t xml:space="preserve"> and contractual</w:t>
      </w:r>
      <w:r w:rsidR="00421492">
        <w:rPr>
          <w:rFonts w:cs="Tahoma"/>
          <w:color w:val="141414"/>
          <w:sz w:val="24"/>
          <w:szCs w:val="24"/>
          <w:shd w:val="clear" w:color="auto" w:fill="FFFFFF"/>
        </w:rPr>
        <w:t xml:space="preserve"> ethical</w:t>
      </w:r>
      <w:r w:rsidR="00A4355B" w:rsidRPr="00421492">
        <w:rPr>
          <w:rFonts w:cs="Tahoma"/>
          <w:color w:val="141414"/>
          <w:sz w:val="24"/>
          <w:szCs w:val="24"/>
          <w:shd w:val="clear" w:color="auto" w:fill="FFFFFF"/>
        </w:rPr>
        <w:t xml:space="preserve"> </w:t>
      </w:r>
      <w:r w:rsidR="00151608" w:rsidRPr="00421492">
        <w:rPr>
          <w:rFonts w:cs="Tahoma"/>
          <w:color w:val="141414"/>
          <w:sz w:val="24"/>
          <w:szCs w:val="24"/>
          <w:shd w:val="clear" w:color="auto" w:fill="FFFFFF"/>
        </w:rPr>
        <w:t>paradigms,</w:t>
      </w:r>
      <w:r w:rsidR="0095124A" w:rsidRPr="00421492">
        <w:rPr>
          <w:rFonts w:cs="Tahoma"/>
          <w:color w:val="141414"/>
          <w:sz w:val="24"/>
          <w:szCs w:val="24"/>
          <w:shd w:val="clear" w:color="auto" w:fill="FFFFFF"/>
        </w:rPr>
        <w:t xml:space="preserve"> a</w:t>
      </w:r>
      <w:r w:rsidR="00976029" w:rsidRPr="00421492">
        <w:rPr>
          <w:rFonts w:cs="Tahoma"/>
          <w:color w:val="141414"/>
          <w:sz w:val="24"/>
          <w:szCs w:val="24"/>
          <w:shd w:val="clear" w:color="auto" w:fill="FFFFFF"/>
        </w:rPr>
        <w:t>nd</w:t>
      </w:r>
      <w:r w:rsidR="0095124A" w:rsidRPr="00421492">
        <w:rPr>
          <w:rFonts w:cs="Tahoma"/>
          <w:color w:val="141414"/>
          <w:sz w:val="24"/>
          <w:szCs w:val="24"/>
          <w:shd w:val="clear" w:color="auto" w:fill="FFFFFF"/>
        </w:rPr>
        <w:t xml:space="preserve"> the </w:t>
      </w:r>
      <w:r w:rsidR="00976029" w:rsidRPr="00421492">
        <w:rPr>
          <w:rFonts w:cs="Tahoma"/>
          <w:color w:val="141414"/>
          <w:sz w:val="24"/>
          <w:szCs w:val="24"/>
          <w:shd w:val="clear" w:color="auto" w:fill="FFFFFF"/>
        </w:rPr>
        <w:t xml:space="preserve">everyday </w:t>
      </w:r>
      <w:r w:rsidR="0095124A" w:rsidRPr="00421492">
        <w:rPr>
          <w:rFonts w:cs="Tahoma"/>
          <w:color w:val="141414"/>
          <w:sz w:val="24"/>
          <w:szCs w:val="24"/>
          <w:shd w:val="clear" w:color="auto" w:fill="FFFFFF"/>
        </w:rPr>
        <w:t xml:space="preserve">experiences of </w:t>
      </w:r>
      <w:r w:rsidR="00CC57A5" w:rsidRPr="00421492">
        <w:rPr>
          <w:rFonts w:cs="Tahoma"/>
          <w:color w:val="141414"/>
          <w:sz w:val="24"/>
          <w:szCs w:val="24"/>
          <w:shd w:val="clear" w:color="auto" w:fill="FFFFFF"/>
        </w:rPr>
        <w:t xml:space="preserve">many </w:t>
      </w:r>
      <w:r w:rsidR="0095124A" w:rsidRPr="00421492">
        <w:rPr>
          <w:rFonts w:cs="Tahoma"/>
          <w:color w:val="141414"/>
          <w:sz w:val="24"/>
          <w:szCs w:val="24"/>
          <w:shd w:val="clear" w:color="auto" w:fill="FFFFFF"/>
        </w:rPr>
        <w:t xml:space="preserve">older </w:t>
      </w:r>
      <w:r w:rsidR="00122254">
        <w:rPr>
          <w:rFonts w:cs="Tahoma"/>
          <w:color w:val="141414"/>
          <w:sz w:val="24"/>
          <w:szCs w:val="24"/>
          <w:shd w:val="clear" w:color="auto" w:fill="FFFFFF"/>
        </w:rPr>
        <w:t xml:space="preserve">people </w:t>
      </w:r>
      <w:r w:rsidR="00CC57A5" w:rsidRPr="00421492">
        <w:rPr>
          <w:rFonts w:cs="Tahoma"/>
          <w:color w:val="141414"/>
          <w:sz w:val="24"/>
          <w:szCs w:val="24"/>
          <w:shd w:val="clear" w:color="auto" w:fill="FFFFFF"/>
        </w:rPr>
        <w:t>targeted by</w:t>
      </w:r>
      <w:r w:rsidR="00976029" w:rsidRPr="00421492">
        <w:rPr>
          <w:rFonts w:cs="Tahoma"/>
          <w:color w:val="141414"/>
          <w:sz w:val="24"/>
          <w:szCs w:val="24"/>
          <w:shd w:val="clear" w:color="auto" w:fill="FFFFFF"/>
        </w:rPr>
        <w:t xml:space="preserve"> welfare</w:t>
      </w:r>
      <w:r w:rsidR="0095124A" w:rsidRPr="00421492">
        <w:rPr>
          <w:rFonts w:cs="Tahoma"/>
          <w:color w:val="141414"/>
          <w:sz w:val="24"/>
          <w:szCs w:val="24"/>
          <w:shd w:val="clear" w:color="auto" w:fill="FFFFFF"/>
        </w:rPr>
        <w:t xml:space="preserve"> conditional</w:t>
      </w:r>
      <w:r w:rsidR="00CC57A5" w:rsidRPr="00421492">
        <w:rPr>
          <w:rFonts w:cs="Tahoma"/>
          <w:color w:val="141414"/>
          <w:sz w:val="24"/>
          <w:szCs w:val="24"/>
          <w:shd w:val="clear" w:color="auto" w:fill="FFFFFF"/>
        </w:rPr>
        <w:t xml:space="preserve"> reforms</w:t>
      </w:r>
      <w:r w:rsidR="00D61531" w:rsidRPr="00421492">
        <w:rPr>
          <w:rFonts w:cs="Tahoma"/>
          <w:color w:val="141414"/>
          <w:sz w:val="24"/>
          <w:szCs w:val="24"/>
          <w:shd w:val="clear" w:color="auto" w:fill="FFFFFF"/>
        </w:rPr>
        <w:t>.</w:t>
      </w:r>
      <w:r w:rsidR="00D61531" w:rsidRPr="00B956BC">
        <w:rPr>
          <w:rFonts w:cs="Tahoma"/>
          <w:b/>
          <w:color w:val="141414"/>
          <w:sz w:val="24"/>
          <w:szCs w:val="24"/>
          <w:shd w:val="clear" w:color="auto" w:fill="FFFFFF"/>
        </w:rPr>
        <w:t xml:space="preserve"> </w:t>
      </w:r>
      <w:r w:rsidR="00B956BC">
        <w:rPr>
          <w:rFonts w:cs="Tahoma"/>
          <w:color w:val="141414"/>
          <w:sz w:val="24"/>
          <w:szCs w:val="24"/>
          <w:shd w:val="clear" w:color="auto" w:fill="FFFFFF"/>
        </w:rPr>
        <w:t>Nevertheless, in e</w:t>
      </w:r>
      <w:r w:rsidR="0069317A">
        <w:rPr>
          <w:rFonts w:cs="Tahoma"/>
          <w:color w:val="141414"/>
          <w:sz w:val="24"/>
          <w:szCs w:val="24"/>
          <w:shd w:val="clear" w:color="auto" w:fill="FFFFFF"/>
        </w:rPr>
        <w:t>choing Althusser</w:t>
      </w:r>
      <w:r w:rsidR="00CF15DE">
        <w:rPr>
          <w:rFonts w:cs="Tahoma"/>
          <w:color w:val="141414"/>
          <w:sz w:val="24"/>
          <w:szCs w:val="24"/>
          <w:shd w:val="clear" w:color="auto" w:fill="FFFFFF"/>
        </w:rPr>
        <w:t>’s (</w:t>
      </w:r>
      <w:r w:rsidR="00816EA2">
        <w:rPr>
          <w:rFonts w:cs="Tahoma"/>
          <w:color w:val="141414"/>
          <w:sz w:val="24"/>
          <w:szCs w:val="24"/>
          <w:shd w:val="clear" w:color="auto" w:fill="FFFFFF"/>
        </w:rPr>
        <w:t>2001</w:t>
      </w:r>
      <w:r w:rsidR="00CF15DE">
        <w:rPr>
          <w:rFonts w:cs="Tahoma"/>
          <w:color w:val="141414"/>
          <w:sz w:val="24"/>
          <w:szCs w:val="24"/>
          <w:shd w:val="clear" w:color="auto" w:fill="FFFFFF"/>
        </w:rPr>
        <w:t>) materialist-driven claim that</w:t>
      </w:r>
      <w:r w:rsidR="0095124A">
        <w:rPr>
          <w:rFonts w:cs="Tahoma"/>
          <w:color w:val="141414"/>
          <w:sz w:val="24"/>
          <w:szCs w:val="24"/>
          <w:shd w:val="clear" w:color="auto" w:fill="FFFFFF"/>
        </w:rPr>
        <w:t xml:space="preserve"> </w:t>
      </w:r>
      <w:r w:rsidR="0069317A">
        <w:rPr>
          <w:rFonts w:cs="Tahoma"/>
          <w:color w:val="141414"/>
          <w:sz w:val="24"/>
          <w:szCs w:val="24"/>
          <w:shd w:val="clear" w:color="auto" w:fill="FFFFFF"/>
        </w:rPr>
        <w:t>ideology</w:t>
      </w:r>
      <w:r w:rsidR="0095124A">
        <w:rPr>
          <w:rFonts w:cs="Tahoma"/>
          <w:color w:val="141414"/>
          <w:sz w:val="24"/>
          <w:szCs w:val="24"/>
          <w:shd w:val="clear" w:color="auto" w:fill="FFFFFF"/>
        </w:rPr>
        <w:t xml:space="preserve"> </w:t>
      </w:r>
      <w:r w:rsidR="0069317A">
        <w:rPr>
          <w:rFonts w:cs="Tahoma"/>
          <w:color w:val="141414"/>
          <w:sz w:val="24"/>
          <w:szCs w:val="24"/>
          <w:shd w:val="clear" w:color="auto" w:fill="FFFFFF"/>
        </w:rPr>
        <w:t>represen</w:t>
      </w:r>
      <w:r w:rsidR="00CF15DE">
        <w:rPr>
          <w:rFonts w:cs="Tahoma"/>
          <w:color w:val="141414"/>
          <w:sz w:val="24"/>
          <w:szCs w:val="24"/>
          <w:shd w:val="clear" w:color="auto" w:fill="FFFFFF"/>
        </w:rPr>
        <w:t>ts</w:t>
      </w:r>
      <w:r w:rsidR="0069317A">
        <w:rPr>
          <w:rFonts w:cs="Tahoma"/>
          <w:color w:val="141414"/>
          <w:sz w:val="24"/>
          <w:szCs w:val="24"/>
          <w:shd w:val="clear" w:color="auto" w:fill="FFFFFF"/>
        </w:rPr>
        <w:t xml:space="preserve"> a system of </w:t>
      </w:r>
      <w:r w:rsidR="00D10710">
        <w:rPr>
          <w:rFonts w:cs="Tahoma"/>
          <w:color w:val="141414"/>
          <w:sz w:val="24"/>
          <w:szCs w:val="24"/>
          <w:shd w:val="clear" w:color="auto" w:fill="FFFFFF"/>
        </w:rPr>
        <w:t xml:space="preserve">symbolic </w:t>
      </w:r>
      <w:r w:rsidR="0069317A">
        <w:rPr>
          <w:rFonts w:cs="Tahoma"/>
          <w:color w:val="141414"/>
          <w:sz w:val="24"/>
          <w:szCs w:val="24"/>
          <w:shd w:val="clear" w:color="auto" w:fill="FFFFFF"/>
        </w:rPr>
        <w:t>representation</w:t>
      </w:r>
      <w:r w:rsidR="00AE298A">
        <w:rPr>
          <w:rFonts w:cs="Tahoma"/>
          <w:color w:val="141414"/>
          <w:sz w:val="24"/>
          <w:szCs w:val="24"/>
          <w:shd w:val="clear" w:color="auto" w:fill="FFFFFF"/>
        </w:rPr>
        <w:t>s</w:t>
      </w:r>
      <w:r w:rsidR="009B0807">
        <w:rPr>
          <w:rFonts w:cs="Tahoma"/>
          <w:color w:val="141414"/>
          <w:sz w:val="24"/>
          <w:szCs w:val="24"/>
          <w:shd w:val="clear" w:color="auto" w:fill="FFFFFF"/>
        </w:rPr>
        <w:t xml:space="preserve"> - and what </w:t>
      </w:r>
      <w:proofErr w:type="spellStart"/>
      <w:r w:rsidR="009B0807">
        <w:rPr>
          <w:rFonts w:cs="Tahoma"/>
          <w:color w:val="141414"/>
          <w:sz w:val="24"/>
          <w:szCs w:val="24"/>
          <w:shd w:val="clear" w:color="auto" w:fill="FFFFFF"/>
        </w:rPr>
        <w:t>Zizek</w:t>
      </w:r>
      <w:proofErr w:type="spellEnd"/>
      <w:r w:rsidR="009B0807">
        <w:rPr>
          <w:rFonts w:cs="Tahoma"/>
          <w:color w:val="141414"/>
          <w:sz w:val="24"/>
          <w:szCs w:val="24"/>
          <w:shd w:val="clear" w:color="auto" w:fill="FFFFFF"/>
        </w:rPr>
        <w:t xml:space="preserve"> (2008: 13) has interpreted as the ‘inexorable “abstract”, spectral logic of capital that determines what goes on in social reality’ - </w:t>
      </w:r>
      <w:r w:rsidR="0095124A">
        <w:rPr>
          <w:rFonts w:cs="Tahoma"/>
          <w:color w:val="141414"/>
          <w:sz w:val="24"/>
          <w:szCs w:val="24"/>
          <w:shd w:val="clear" w:color="auto" w:fill="FFFFFF"/>
        </w:rPr>
        <w:t xml:space="preserve">conditionality </w:t>
      </w:r>
      <w:r w:rsidR="00923A56">
        <w:rPr>
          <w:rFonts w:cs="Tahoma"/>
          <w:color w:val="141414"/>
          <w:sz w:val="24"/>
          <w:szCs w:val="24"/>
          <w:shd w:val="clear" w:color="auto" w:fill="FFFFFF"/>
        </w:rPr>
        <w:t xml:space="preserve">for older subjects </w:t>
      </w:r>
      <w:r w:rsidR="00B956BC">
        <w:rPr>
          <w:rFonts w:cs="Tahoma"/>
          <w:color w:val="141414"/>
          <w:sz w:val="24"/>
          <w:szCs w:val="24"/>
          <w:shd w:val="clear" w:color="auto" w:fill="FFFFFF"/>
        </w:rPr>
        <w:t xml:space="preserve">can </w:t>
      </w:r>
      <w:r w:rsidR="00151608">
        <w:rPr>
          <w:rFonts w:cs="Tahoma"/>
          <w:color w:val="141414"/>
          <w:sz w:val="24"/>
          <w:szCs w:val="24"/>
          <w:shd w:val="clear" w:color="auto" w:fill="FFFFFF"/>
        </w:rPr>
        <w:t xml:space="preserve">often </w:t>
      </w:r>
      <w:r w:rsidR="00B956BC">
        <w:rPr>
          <w:rFonts w:cs="Tahoma"/>
          <w:color w:val="141414"/>
          <w:sz w:val="24"/>
          <w:szCs w:val="24"/>
          <w:shd w:val="clear" w:color="auto" w:fill="FFFFFF"/>
        </w:rPr>
        <w:t>be</w:t>
      </w:r>
      <w:r w:rsidR="00CF15DE">
        <w:rPr>
          <w:rFonts w:cs="Tahoma"/>
          <w:color w:val="141414"/>
          <w:sz w:val="24"/>
          <w:szCs w:val="24"/>
          <w:shd w:val="clear" w:color="auto" w:fill="FFFFFF"/>
        </w:rPr>
        <w:t xml:space="preserve"> </w:t>
      </w:r>
      <w:r w:rsidR="00976029">
        <w:rPr>
          <w:rFonts w:cs="Tahoma"/>
          <w:color w:val="141414"/>
          <w:sz w:val="24"/>
          <w:szCs w:val="24"/>
          <w:shd w:val="clear" w:color="auto" w:fill="FFFFFF"/>
        </w:rPr>
        <w:t>presented as fair,</w:t>
      </w:r>
      <w:r w:rsidR="0095124A">
        <w:rPr>
          <w:rFonts w:cs="Tahoma"/>
          <w:color w:val="141414"/>
          <w:sz w:val="24"/>
          <w:szCs w:val="24"/>
          <w:shd w:val="clear" w:color="auto" w:fill="FFFFFF"/>
        </w:rPr>
        <w:t xml:space="preserve"> </w:t>
      </w:r>
      <w:r w:rsidR="00AC6F9B">
        <w:rPr>
          <w:rFonts w:cs="Tahoma"/>
          <w:color w:val="141414"/>
          <w:sz w:val="24"/>
          <w:szCs w:val="24"/>
          <w:shd w:val="clear" w:color="auto" w:fill="FFFFFF"/>
        </w:rPr>
        <w:t xml:space="preserve">supportive, empowering </w:t>
      </w:r>
      <w:r w:rsidR="0095124A">
        <w:rPr>
          <w:rFonts w:cs="Tahoma"/>
          <w:color w:val="141414"/>
          <w:sz w:val="24"/>
          <w:szCs w:val="24"/>
          <w:shd w:val="clear" w:color="auto" w:fill="FFFFFF"/>
        </w:rPr>
        <w:t xml:space="preserve">and </w:t>
      </w:r>
      <w:r w:rsidR="00976029">
        <w:rPr>
          <w:rFonts w:cs="Tahoma"/>
          <w:color w:val="141414"/>
          <w:sz w:val="24"/>
          <w:szCs w:val="24"/>
          <w:shd w:val="clear" w:color="auto" w:fill="FFFFFF"/>
        </w:rPr>
        <w:t xml:space="preserve">as </w:t>
      </w:r>
      <w:r w:rsidR="0095124A">
        <w:rPr>
          <w:rFonts w:cs="Tahoma"/>
          <w:color w:val="141414"/>
          <w:sz w:val="24"/>
          <w:szCs w:val="24"/>
          <w:shd w:val="clear" w:color="auto" w:fill="FFFFFF"/>
        </w:rPr>
        <w:t>promoting engagement</w:t>
      </w:r>
      <w:r w:rsidR="00421492">
        <w:rPr>
          <w:rFonts w:cs="Tahoma"/>
          <w:color w:val="141414"/>
          <w:sz w:val="24"/>
          <w:szCs w:val="24"/>
          <w:shd w:val="clear" w:color="auto" w:fill="FFFFFF"/>
        </w:rPr>
        <w:t xml:space="preserve">, </w:t>
      </w:r>
      <w:r w:rsidR="0095124A">
        <w:rPr>
          <w:rFonts w:cs="Tahoma"/>
          <w:color w:val="141414"/>
          <w:sz w:val="24"/>
          <w:szCs w:val="24"/>
          <w:shd w:val="clear" w:color="auto" w:fill="FFFFFF"/>
        </w:rPr>
        <w:t>well-being</w:t>
      </w:r>
      <w:r w:rsidR="00CF15DE">
        <w:rPr>
          <w:rFonts w:cs="Tahoma"/>
          <w:color w:val="141414"/>
          <w:sz w:val="24"/>
          <w:szCs w:val="24"/>
          <w:shd w:val="clear" w:color="auto" w:fill="FFFFFF"/>
        </w:rPr>
        <w:t>,</w:t>
      </w:r>
      <w:r w:rsidR="0069317A">
        <w:rPr>
          <w:rFonts w:cs="Tahoma"/>
          <w:color w:val="141414"/>
          <w:sz w:val="24"/>
          <w:szCs w:val="24"/>
          <w:shd w:val="clear" w:color="auto" w:fill="FFFFFF"/>
        </w:rPr>
        <w:t xml:space="preserve"> and</w:t>
      </w:r>
      <w:r w:rsidR="0095124A">
        <w:rPr>
          <w:rFonts w:cs="Tahoma"/>
          <w:color w:val="141414"/>
          <w:sz w:val="24"/>
          <w:szCs w:val="24"/>
          <w:shd w:val="clear" w:color="auto" w:fill="FFFFFF"/>
        </w:rPr>
        <w:t xml:space="preserve"> </w:t>
      </w:r>
      <w:r w:rsidR="0069317A">
        <w:rPr>
          <w:rFonts w:cs="Tahoma"/>
          <w:color w:val="141414"/>
          <w:sz w:val="24"/>
          <w:szCs w:val="24"/>
          <w:shd w:val="clear" w:color="auto" w:fill="FFFFFF"/>
        </w:rPr>
        <w:lastRenderedPageBreak/>
        <w:t>autonomy</w:t>
      </w:r>
      <w:r w:rsidR="00BB43A4">
        <w:rPr>
          <w:rFonts w:cs="Tahoma"/>
          <w:color w:val="141414"/>
          <w:sz w:val="24"/>
          <w:szCs w:val="24"/>
          <w:shd w:val="clear" w:color="auto" w:fill="FFFFFF"/>
        </w:rPr>
        <w:t>. Nevertheless, this is also</w:t>
      </w:r>
      <w:r w:rsidR="0069317A">
        <w:rPr>
          <w:rFonts w:cs="Tahoma"/>
          <w:color w:val="141414"/>
          <w:sz w:val="24"/>
          <w:szCs w:val="24"/>
          <w:shd w:val="clear" w:color="auto" w:fill="FFFFFF"/>
        </w:rPr>
        <w:t xml:space="preserve"> </w:t>
      </w:r>
      <w:r w:rsidR="00976029">
        <w:rPr>
          <w:rFonts w:cs="Tahoma"/>
          <w:color w:val="141414"/>
          <w:sz w:val="24"/>
          <w:szCs w:val="24"/>
          <w:shd w:val="clear" w:color="auto" w:fill="FFFFFF"/>
        </w:rPr>
        <w:t>whilst</w:t>
      </w:r>
      <w:r w:rsidR="0095124A">
        <w:rPr>
          <w:rFonts w:cs="Tahoma"/>
          <w:color w:val="141414"/>
          <w:sz w:val="24"/>
          <w:szCs w:val="24"/>
          <w:shd w:val="clear" w:color="auto" w:fill="FFFFFF"/>
        </w:rPr>
        <w:t xml:space="preserve"> </w:t>
      </w:r>
      <w:r w:rsidR="00CF15DE">
        <w:rPr>
          <w:rFonts w:cs="Tahoma"/>
          <w:color w:val="141414"/>
          <w:sz w:val="24"/>
          <w:szCs w:val="24"/>
          <w:shd w:val="clear" w:color="auto" w:fill="FFFFFF"/>
        </w:rPr>
        <w:t>endeavouring to</w:t>
      </w:r>
      <w:r w:rsidR="00AC6F9B">
        <w:rPr>
          <w:rFonts w:cs="Tahoma"/>
          <w:color w:val="141414"/>
          <w:sz w:val="24"/>
          <w:szCs w:val="24"/>
          <w:shd w:val="clear" w:color="auto" w:fill="FFFFFF"/>
        </w:rPr>
        <w:t xml:space="preserve"> discourage and</w:t>
      </w:r>
      <w:r w:rsidR="00CF15DE">
        <w:rPr>
          <w:rFonts w:cs="Tahoma"/>
          <w:color w:val="141414"/>
          <w:sz w:val="24"/>
          <w:szCs w:val="24"/>
          <w:shd w:val="clear" w:color="auto" w:fill="FFFFFF"/>
        </w:rPr>
        <w:t xml:space="preserve"> </w:t>
      </w:r>
      <w:r w:rsidR="0095124A">
        <w:rPr>
          <w:rFonts w:cs="Tahoma"/>
          <w:color w:val="141414"/>
          <w:sz w:val="24"/>
          <w:szCs w:val="24"/>
          <w:shd w:val="clear" w:color="auto" w:fill="FFFFFF"/>
        </w:rPr>
        <w:t xml:space="preserve">limit the cost of welfare dependency. </w:t>
      </w:r>
      <w:r w:rsidR="00B956BC">
        <w:rPr>
          <w:rFonts w:cs="Tahoma"/>
          <w:color w:val="141414"/>
          <w:sz w:val="24"/>
          <w:szCs w:val="24"/>
          <w:shd w:val="clear" w:color="auto" w:fill="FFFFFF"/>
        </w:rPr>
        <w:t>According to some commentators, s</w:t>
      </w:r>
      <w:r w:rsidR="00376595">
        <w:rPr>
          <w:rFonts w:cs="Tahoma"/>
          <w:color w:val="141414"/>
          <w:sz w:val="24"/>
          <w:szCs w:val="24"/>
          <w:shd w:val="clear" w:color="auto" w:fill="FFFFFF"/>
        </w:rPr>
        <w:t xml:space="preserve">ubsequent </w:t>
      </w:r>
      <w:r w:rsidR="00CF15DE">
        <w:rPr>
          <w:rFonts w:cs="Tahoma"/>
          <w:color w:val="141414"/>
          <w:sz w:val="24"/>
          <w:szCs w:val="24"/>
          <w:shd w:val="clear" w:color="auto" w:fill="FFFFFF"/>
        </w:rPr>
        <w:t>outcomes</w:t>
      </w:r>
      <w:r w:rsidR="00376595">
        <w:rPr>
          <w:rFonts w:cs="Tahoma"/>
          <w:color w:val="141414"/>
          <w:sz w:val="24"/>
          <w:szCs w:val="24"/>
          <w:shd w:val="clear" w:color="auto" w:fill="FFFFFF"/>
        </w:rPr>
        <w:t xml:space="preserve"> includ</w:t>
      </w:r>
      <w:r w:rsidR="0069317A">
        <w:rPr>
          <w:rFonts w:cs="Tahoma"/>
          <w:color w:val="141414"/>
          <w:sz w:val="24"/>
          <w:szCs w:val="24"/>
          <w:shd w:val="clear" w:color="auto" w:fill="FFFFFF"/>
        </w:rPr>
        <w:t xml:space="preserve">ing </w:t>
      </w:r>
      <w:r w:rsidR="00376595">
        <w:rPr>
          <w:rFonts w:cs="Tahoma"/>
          <w:color w:val="141414"/>
          <w:sz w:val="24"/>
          <w:szCs w:val="24"/>
          <w:shd w:val="clear" w:color="auto" w:fill="FFFFFF"/>
        </w:rPr>
        <w:t>the</w:t>
      </w:r>
      <w:r w:rsidR="00FB3F99">
        <w:rPr>
          <w:rFonts w:cs="Tahoma"/>
          <w:color w:val="141414"/>
          <w:sz w:val="24"/>
          <w:szCs w:val="24"/>
          <w:shd w:val="clear" w:color="auto" w:fill="FFFFFF"/>
        </w:rPr>
        <w:t xml:space="preserve"> </w:t>
      </w:r>
      <w:r w:rsidR="00FA27B2">
        <w:rPr>
          <w:rFonts w:cs="Tahoma"/>
          <w:color w:val="141414"/>
          <w:sz w:val="24"/>
          <w:szCs w:val="24"/>
          <w:shd w:val="clear" w:color="auto" w:fill="FFFFFF"/>
        </w:rPr>
        <w:t>ero</w:t>
      </w:r>
      <w:r w:rsidR="00376595">
        <w:rPr>
          <w:rFonts w:cs="Tahoma"/>
          <w:color w:val="141414"/>
          <w:sz w:val="24"/>
          <w:szCs w:val="24"/>
          <w:shd w:val="clear" w:color="auto" w:fill="FFFFFF"/>
        </w:rPr>
        <w:t>sion of</w:t>
      </w:r>
      <w:r w:rsidR="00FA27B2">
        <w:rPr>
          <w:rFonts w:cs="Tahoma"/>
          <w:color w:val="141414"/>
          <w:sz w:val="24"/>
          <w:szCs w:val="24"/>
          <w:shd w:val="clear" w:color="auto" w:fill="FFFFFF"/>
        </w:rPr>
        <w:t xml:space="preserve"> </w:t>
      </w:r>
      <w:r w:rsidR="009312FB">
        <w:rPr>
          <w:rFonts w:cs="Tahoma"/>
          <w:color w:val="141414"/>
          <w:sz w:val="24"/>
          <w:szCs w:val="24"/>
          <w:shd w:val="clear" w:color="auto" w:fill="FFFFFF"/>
        </w:rPr>
        <w:t xml:space="preserve">welfare and social </w:t>
      </w:r>
      <w:r w:rsidR="00FA27B2">
        <w:rPr>
          <w:rFonts w:cs="Tahoma"/>
          <w:color w:val="141414"/>
          <w:sz w:val="24"/>
          <w:szCs w:val="24"/>
          <w:shd w:val="clear" w:color="auto" w:fill="FFFFFF"/>
        </w:rPr>
        <w:t>rights</w:t>
      </w:r>
      <w:r w:rsidR="001761D4">
        <w:rPr>
          <w:rFonts w:cs="Tahoma"/>
          <w:color w:val="141414"/>
          <w:sz w:val="24"/>
          <w:szCs w:val="24"/>
          <w:shd w:val="clear" w:color="auto" w:fill="FFFFFF"/>
        </w:rPr>
        <w:t>,</w:t>
      </w:r>
      <w:r w:rsidR="00FA27B2">
        <w:rPr>
          <w:rFonts w:cs="Tahoma"/>
          <w:color w:val="141414"/>
          <w:sz w:val="24"/>
          <w:szCs w:val="24"/>
          <w:shd w:val="clear" w:color="auto" w:fill="FFFFFF"/>
        </w:rPr>
        <w:t xml:space="preserve"> </w:t>
      </w:r>
      <w:r w:rsidR="00376595">
        <w:rPr>
          <w:rFonts w:cs="Tahoma"/>
          <w:color w:val="141414"/>
          <w:sz w:val="24"/>
          <w:szCs w:val="24"/>
          <w:shd w:val="clear" w:color="auto" w:fill="FFFFFF"/>
        </w:rPr>
        <w:t xml:space="preserve">alongside </w:t>
      </w:r>
      <w:r w:rsidR="00FB3F99">
        <w:rPr>
          <w:rFonts w:cs="Tahoma"/>
          <w:color w:val="141414"/>
          <w:sz w:val="24"/>
          <w:szCs w:val="24"/>
          <w:shd w:val="clear" w:color="auto" w:fill="FFFFFF"/>
        </w:rPr>
        <w:t xml:space="preserve">the meeting of </w:t>
      </w:r>
      <w:r w:rsidR="00066D70">
        <w:rPr>
          <w:rFonts w:cs="Tahoma"/>
          <w:color w:val="141414"/>
          <w:sz w:val="24"/>
          <w:szCs w:val="24"/>
          <w:shd w:val="clear" w:color="auto" w:fill="FFFFFF"/>
        </w:rPr>
        <w:t xml:space="preserve">ever more </w:t>
      </w:r>
      <w:r w:rsidR="00FB3F99">
        <w:rPr>
          <w:rFonts w:cs="Tahoma"/>
          <w:color w:val="141414"/>
          <w:sz w:val="24"/>
          <w:szCs w:val="24"/>
          <w:shd w:val="clear" w:color="auto" w:fill="FFFFFF"/>
        </w:rPr>
        <w:t>obligations</w:t>
      </w:r>
      <w:r w:rsidR="00065AEA">
        <w:rPr>
          <w:rFonts w:cs="Tahoma"/>
          <w:color w:val="141414"/>
          <w:sz w:val="24"/>
          <w:szCs w:val="24"/>
          <w:shd w:val="clear" w:color="auto" w:fill="FFFFFF"/>
        </w:rPr>
        <w:t xml:space="preserve"> </w:t>
      </w:r>
      <w:r w:rsidR="007D770B">
        <w:rPr>
          <w:rFonts w:cs="Tahoma"/>
          <w:color w:val="141414"/>
          <w:sz w:val="24"/>
          <w:szCs w:val="24"/>
          <w:shd w:val="clear" w:color="auto" w:fill="FFFFFF"/>
        </w:rPr>
        <w:t xml:space="preserve">and duties </w:t>
      </w:r>
      <w:r w:rsidR="00065AEA">
        <w:rPr>
          <w:rFonts w:cs="Tahoma"/>
          <w:color w:val="141414"/>
          <w:sz w:val="24"/>
          <w:szCs w:val="24"/>
          <w:shd w:val="clear" w:color="auto" w:fill="FFFFFF"/>
        </w:rPr>
        <w:t xml:space="preserve">for older </w:t>
      </w:r>
      <w:r w:rsidR="00122254">
        <w:rPr>
          <w:rFonts w:cs="Tahoma"/>
          <w:color w:val="141414"/>
          <w:sz w:val="24"/>
          <w:szCs w:val="24"/>
          <w:shd w:val="clear" w:color="auto" w:fill="FFFFFF"/>
        </w:rPr>
        <w:t xml:space="preserve">people </w:t>
      </w:r>
      <w:r w:rsidR="00065AEA">
        <w:rPr>
          <w:rFonts w:cs="Tahoma"/>
          <w:color w:val="141414"/>
          <w:sz w:val="24"/>
          <w:szCs w:val="24"/>
          <w:shd w:val="clear" w:color="auto" w:fill="FFFFFF"/>
        </w:rPr>
        <w:t>and their dependents or family</w:t>
      </w:r>
      <w:r w:rsidR="0095124A">
        <w:rPr>
          <w:rFonts w:cs="Tahoma"/>
          <w:color w:val="141414"/>
          <w:sz w:val="24"/>
          <w:szCs w:val="24"/>
          <w:shd w:val="clear" w:color="auto" w:fill="FFFFFF"/>
        </w:rPr>
        <w:t>, are</w:t>
      </w:r>
      <w:r w:rsidR="00CF15DE">
        <w:rPr>
          <w:rFonts w:cs="Tahoma"/>
          <w:color w:val="141414"/>
          <w:sz w:val="24"/>
          <w:szCs w:val="24"/>
          <w:shd w:val="clear" w:color="auto" w:fill="FFFFFF"/>
        </w:rPr>
        <w:t>, it seems, at least in part,</w:t>
      </w:r>
      <w:r w:rsidR="0095124A">
        <w:rPr>
          <w:rFonts w:cs="Tahoma"/>
          <w:color w:val="141414"/>
          <w:sz w:val="24"/>
          <w:szCs w:val="24"/>
          <w:shd w:val="clear" w:color="auto" w:fill="FFFFFF"/>
        </w:rPr>
        <w:t xml:space="preserve"> </w:t>
      </w:r>
      <w:r w:rsidR="00F62055">
        <w:rPr>
          <w:rFonts w:cs="Tahoma"/>
          <w:color w:val="141414"/>
          <w:sz w:val="24"/>
          <w:szCs w:val="24"/>
          <w:shd w:val="clear" w:color="auto" w:fill="FFFFFF"/>
        </w:rPr>
        <w:t xml:space="preserve">discursively </w:t>
      </w:r>
      <w:r w:rsidR="0095124A">
        <w:rPr>
          <w:rFonts w:cs="Tahoma"/>
          <w:color w:val="141414"/>
          <w:sz w:val="24"/>
          <w:szCs w:val="24"/>
          <w:shd w:val="clear" w:color="auto" w:fill="FFFFFF"/>
        </w:rPr>
        <w:t>displaced</w:t>
      </w:r>
      <w:r w:rsidR="00B956BC" w:rsidRPr="00B956BC">
        <w:rPr>
          <w:rFonts w:cs="Calibri"/>
          <w:sz w:val="24"/>
          <w:szCs w:val="24"/>
          <w:lang w:val="en"/>
        </w:rPr>
        <w:t xml:space="preserve"> </w:t>
      </w:r>
      <w:r w:rsidR="00B956BC">
        <w:rPr>
          <w:rFonts w:cs="Calibri"/>
          <w:sz w:val="24"/>
          <w:szCs w:val="24"/>
          <w:lang w:val="en"/>
        </w:rPr>
        <w:t xml:space="preserve">(Jones and Novak, 1999; Dean, 2010; </w:t>
      </w:r>
      <w:proofErr w:type="spellStart"/>
      <w:r w:rsidR="00B956BC">
        <w:rPr>
          <w:rFonts w:cs="Calibri"/>
          <w:sz w:val="24"/>
          <w:szCs w:val="24"/>
          <w:lang w:val="en"/>
        </w:rPr>
        <w:t>Feltoe</w:t>
      </w:r>
      <w:proofErr w:type="spellEnd"/>
      <w:r w:rsidR="00B956BC">
        <w:rPr>
          <w:rFonts w:cs="Calibri"/>
          <w:sz w:val="24"/>
          <w:szCs w:val="24"/>
          <w:lang w:val="en"/>
        </w:rPr>
        <w:t xml:space="preserve"> and Orellana, 2013)</w:t>
      </w:r>
      <w:r w:rsidR="00E90A6E">
        <w:rPr>
          <w:rFonts w:cs="Tahoma"/>
          <w:color w:val="141414"/>
          <w:sz w:val="24"/>
          <w:szCs w:val="24"/>
          <w:shd w:val="clear" w:color="auto" w:fill="FFFFFF"/>
        </w:rPr>
        <w:t xml:space="preserve">. </w:t>
      </w:r>
      <w:r w:rsidR="0095124A">
        <w:rPr>
          <w:rFonts w:cs="Tahoma"/>
          <w:color w:val="141414"/>
          <w:sz w:val="24"/>
          <w:szCs w:val="24"/>
          <w:shd w:val="clear" w:color="auto" w:fill="FFFFFF"/>
        </w:rPr>
        <w:t xml:space="preserve">Further ideological </w:t>
      </w:r>
      <w:r w:rsidR="009312FB">
        <w:rPr>
          <w:rFonts w:cs="Tahoma"/>
          <w:color w:val="141414"/>
          <w:sz w:val="24"/>
          <w:szCs w:val="24"/>
          <w:shd w:val="clear" w:color="auto" w:fill="FFFFFF"/>
        </w:rPr>
        <w:t xml:space="preserve">outcomes through policy </w:t>
      </w:r>
      <w:r w:rsidR="00E90A6E">
        <w:rPr>
          <w:rFonts w:cs="Tahoma"/>
          <w:color w:val="141414"/>
          <w:sz w:val="24"/>
          <w:szCs w:val="24"/>
          <w:shd w:val="clear" w:color="auto" w:fill="FFFFFF"/>
        </w:rPr>
        <w:t>(</w:t>
      </w:r>
      <w:r w:rsidR="009312FB">
        <w:rPr>
          <w:rFonts w:cs="Tahoma"/>
          <w:color w:val="141414"/>
          <w:sz w:val="24"/>
          <w:szCs w:val="24"/>
          <w:shd w:val="clear" w:color="auto" w:fill="FFFFFF"/>
        </w:rPr>
        <w:t xml:space="preserve">and </w:t>
      </w:r>
      <w:r w:rsidR="00E90A6E">
        <w:rPr>
          <w:rFonts w:cs="Tahoma"/>
          <w:color w:val="141414"/>
          <w:sz w:val="24"/>
          <w:szCs w:val="24"/>
          <w:shd w:val="clear" w:color="auto" w:fill="FFFFFF"/>
        </w:rPr>
        <w:t xml:space="preserve">elements of </w:t>
      </w:r>
      <w:r w:rsidR="009312FB">
        <w:rPr>
          <w:rFonts w:cs="Tahoma"/>
          <w:color w:val="141414"/>
          <w:sz w:val="24"/>
          <w:szCs w:val="24"/>
          <w:shd w:val="clear" w:color="auto" w:fill="FFFFFF"/>
        </w:rPr>
        <w:t>welfare professional praxis</w:t>
      </w:r>
      <w:r w:rsidR="00E90A6E">
        <w:rPr>
          <w:rFonts w:cs="Tahoma"/>
          <w:color w:val="141414"/>
          <w:sz w:val="24"/>
          <w:szCs w:val="24"/>
          <w:shd w:val="clear" w:color="auto" w:fill="FFFFFF"/>
        </w:rPr>
        <w:t>)</w:t>
      </w:r>
      <w:r w:rsidR="00CF15DE">
        <w:rPr>
          <w:rFonts w:cs="Tahoma"/>
          <w:color w:val="141414"/>
          <w:sz w:val="24"/>
          <w:szCs w:val="24"/>
          <w:shd w:val="clear" w:color="auto" w:fill="FFFFFF"/>
        </w:rPr>
        <w:t xml:space="preserve"> have</w:t>
      </w:r>
      <w:r w:rsidR="009312FB">
        <w:rPr>
          <w:rFonts w:cs="Tahoma"/>
          <w:color w:val="141414"/>
          <w:sz w:val="24"/>
          <w:szCs w:val="24"/>
          <w:shd w:val="clear" w:color="auto" w:fill="FFFFFF"/>
        </w:rPr>
        <w:t xml:space="preserve"> include</w:t>
      </w:r>
      <w:r w:rsidR="00CF15DE">
        <w:rPr>
          <w:rFonts w:cs="Tahoma"/>
          <w:color w:val="141414"/>
          <w:sz w:val="24"/>
          <w:szCs w:val="24"/>
          <w:shd w:val="clear" w:color="auto" w:fill="FFFFFF"/>
        </w:rPr>
        <w:t xml:space="preserve">d </w:t>
      </w:r>
      <w:r w:rsidR="00065AEA">
        <w:rPr>
          <w:rFonts w:cs="Tahoma"/>
          <w:color w:val="141414"/>
          <w:sz w:val="24"/>
          <w:szCs w:val="24"/>
          <w:shd w:val="clear" w:color="auto" w:fill="FFFFFF"/>
        </w:rPr>
        <w:t>the encouragement of</w:t>
      </w:r>
      <w:r w:rsidR="00FB3F99">
        <w:rPr>
          <w:rFonts w:cs="Tahoma"/>
          <w:color w:val="141414"/>
          <w:sz w:val="24"/>
          <w:szCs w:val="24"/>
          <w:shd w:val="clear" w:color="auto" w:fill="FFFFFF"/>
        </w:rPr>
        <w:t xml:space="preserve"> </w:t>
      </w:r>
      <w:r w:rsidR="00065AEA">
        <w:rPr>
          <w:rFonts w:cs="Tahoma"/>
          <w:color w:val="141414"/>
          <w:sz w:val="24"/>
          <w:szCs w:val="24"/>
          <w:shd w:val="clear" w:color="auto" w:fill="FFFFFF"/>
        </w:rPr>
        <w:t>endeavours</w:t>
      </w:r>
      <w:r w:rsidR="00FB3F99">
        <w:rPr>
          <w:rFonts w:cs="Tahoma"/>
          <w:color w:val="141414"/>
          <w:sz w:val="24"/>
          <w:szCs w:val="24"/>
          <w:shd w:val="clear" w:color="auto" w:fill="FFFFFF"/>
        </w:rPr>
        <w:t xml:space="preserve"> to</w:t>
      </w:r>
      <w:r w:rsidR="00065AEA">
        <w:rPr>
          <w:rFonts w:cs="Tahoma"/>
          <w:color w:val="141414"/>
          <w:sz w:val="24"/>
          <w:szCs w:val="24"/>
          <w:shd w:val="clear" w:color="auto" w:fill="FFFFFF"/>
        </w:rPr>
        <w:t xml:space="preserve"> </w:t>
      </w:r>
      <w:r w:rsidR="00066D70">
        <w:rPr>
          <w:rFonts w:cs="Tahoma"/>
          <w:color w:val="141414"/>
          <w:sz w:val="24"/>
          <w:szCs w:val="24"/>
          <w:shd w:val="clear" w:color="auto" w:fill="FFFFFF"/>
        </w:rPr>
        <w:t>extend eligibility</w:t>
      </w:r>
      <w:r w:rsidR="00742D66">
        <w:rPr>
          <w:rFonts w:cs="Tahoma"/>
          <w:color w:val="141414"/>
          <w:sz w:val="24"/>
          <w:szCs w:val="24"/>
          <w:shd w:val="clear" w:color="auto" w:fill="FFFFFF"/>
        </w:rPr>
        <w:t xml:space="preserve"> for support</w:t>
      </w:r>
      <w:r w:rsidR="00862C87">
        <w:rPr>
          <w:rFonts w:cs="Tahoma"/>
          <w:color w:val="141414"/>
          <w:sz w:val="24"/>
          <w:szCs w:val="24"/>
          <w:shd w:val="clear" w:color="auto" w:fill="FFFFFF"/>
        </w:rPr>
        <w:t xml:space="preserve">, </w:t>
      </w:r>
      <w:r w:rsidR="00065AEA">
        <w:rPr>
          <w:rFonts w:cs="Tahoma"/>
          <w:color w:val="141414"/>
          <w:sz w:val="24"/>
          <w:szCs w:val="24"/>
          <w:shd w:val="clear" w:color="auto" w:fill="FFFFFF"/>
        </w:rPr>
        <w:t>promote</w:t>
      </w:r>
      <w:r w:rsidR="00FB3F99">
        <w:rPr>
          <w:rFonts w:cs="Tahoma"/>
          <w:color w:val="141414"/>
          <w:sz w:val="24"/>
          <w:szCs w:val="24"/>
          <w:shd w:val="clear" w:color="auto" w:fill="FFFFFF"/>
        </w:rPr>
        <w:t xml:space="preserve"> participat</w:t>
      </w:r>
      <w:r w:rsidR="00065AEA">
        <w:rPr>
          <w:rFonts w:cs="Tahoma"/>
          <w:color w:val="141414"/>
          <w:sz w:val="24"/>
          <w:szCs w:val="24"/>
          <w:shd w:val="clear" w:color="auto" w:fill="FFFFFF"/>
        </w:rPr>
        <w:t>ion</w:t>
      </w:r>
      <w:r w:rsidR="00FB3F99">
        <w:rPr>
          <w:rFonts w:cs="Tahoma"/>
          <w:color w:val="141414"/>
          <w:sz w:val="24"/>
          <w:szCs w:val="24"/>
          <w:shd w:val="clear" w:color="auto" w:fill="FFFFFF"/>
        </w:rPr>
        <w:t xml:space="preserve"> and</w:t>
      </w:r>
      <w:r w:rsidR="00065AEA">
        <w:rPr>
          <w:rFonts w:cs="Tahoma"/>
          <w:color w:val="141414"/>
          <w:sz w:val="24"/>
          <w:szCs w:val="24"/>
          <w:shd w:val="clear" w:color="auto" w:fill="FFFFFF"/>
        </w:rPr>
        <w:t xml:space="preserve"> an active</w:t>
      </w:r>
      <w:r w:rsidR="00FB3F99">
        <w:rPr>
          <w:rFonts w:cs="Tahoma"/>
          <w:color w:val="141414"/>
          <w:sz w:val="24"/>
          <w:szCs w:val="24"/>
          <w:shd w:val="clear" w:color="auto" w:fill="FFFFFF"/>
        </w:rPr>
        <w:t xml:space="preserve"> engage</w:t>
      </w:r>
      <w:r w:rsidR="00065AEA">
        <w:rPr>
          <w:rFonts w:cs="Tahoma"/>
          <w:color w:val="141414"/>
          <w:sz w:val="24"/>
          <w:szCs w:val="24"/>
          <w:shd w:val="clear" w:color="auto" w:fill="FFFFFF"/>
        </w:rPr>
        <w:t>ment</w:t>
      </w:r>
      <w:r w:rsidR="00FB3F99">
        <w:rPr>
          <w:rFonts w:cs="Tahoma"/>
          <w:color w:val="141414"/>
          <w:sz w:val="24"/>
          <w:szCs w:val="24"/>
          <w:shd w:val="clear" w:color="auto" w:fill="FFFFFF"/>
        </w:rPr>
        <w:t xml:space="preserve"> with </w:t>
      </w:r>
      <w:r w:rsidR="009F401E">
        <w:rPr>
          <w:rFonts w:cs="Tahoma"/>
          <w:color w:val="141414"/>
          <w:sz w:val="24"/>
          <w:szCs w:val="24"/>
          <w:shd w:val="clear" w:color="auto" w:fill="FFFFFF"/>
        </w:rPr>
        <w:t>local communities</w:t>
      </w:r>
      <w:r w:rsidR="007C21DE">
        <w:rPr>
          <w:rFonts w:cs="Tahoma"/>
          <w:color w:val="141414"/>
          <w:sz w:val="24"/>
          <w:szCs w:val="24"/>
          <w:shd w:val="clear" w:color="auto" w:fill="FFFFFF"/>
        </w:rPr>
        <w:t>,</w:t>
      </w:r>
      <w:r w:rsidR="009F401E">
        <w:rPr>
          <w:rFonts w:cs="Tahoma"/>
          <w:color w:val="141414"/>
          <w:sz w:val="24"/>
          <w:szCs w:val="24"/>
          <w:shd w:val="clear" w:color="auto" w:fill="FFFFFF"/>
        </w:rPr>
        <w:t xml:space="preserve"> </w:t>
      </w:r>
      <w:r w:rsidR="00055AED">
        <w:rPr>
          <w:rFonts w:cs="Tahoma"/>
          <w:color w:val="141414"/>
          <w:sz w:val="24"/>
          <w:szCs w:val="24"/>
          <w:shd w:val="clear" w:color="auto" w:fill="FFFFFF"/>
        </w:rPr>
        <w:t xml:space="preserve">while </w:t>
      </w:r>
      <w:r w:rsidR="007C21DE">
        <w:rPr>
          <w:rFonts w:cs="Tahoma"/>
          <w:color w:val="141414"/>
          <w:sz w:val="24"/>
          <w:szCs w:val="24"/>
          <w:shd w:val="clear" w:color="auto" w:fill="FFFFFF"/>
        </w:rPr>
        <w:t>ex</w:t>
      </w:r>
      <w:r w:rsidR="00421492">
        <w:rPr>
          <w:rFonts w:cs="Tahoma"/>
          <w:color w:val="141414"/>
          <w:sz w:val="24"/>
          <w:szCs w:val="24"/>
          <w:shd w:val="clear" w:color="auto" w:fill="FFFFFF"/>
        </w:rPr>
        <w:t>tend</w:t>
      </w:r>
      <w:r w:rsidR="00E90A6E">
        <w:rPr>
          <w:rFonts w:cs="Tahoma"/>
          <w:color w:val="141414"/>
          <w:sz w:val="24"/>
          <w:szCs w:val="24"/>
          <w:shd w:val="clear" w:color="auto" w:fill="FFFFFF"/>
        </w:rPr>
        <w:t>ing</w:t>
      </w:r>
      <w:r w:rsidR="007C21DE">
        <w:rPr>
          <w:rFonts w:cs="Tahoma"/>
          <w:color w:val="141414"/>
          <w:sz w:val="24"/>
          <w:szCs w:val="24"/>
          <w:shd w:val="clear" w:color="auto" w:fill="FFFFFF"/>
        </w:rPr>
        <w:t xml:space="preserve"> </w:t>
      </w:r>
      <w:r w:rsidR="00B861C3">
        <w:rPr>
          <w:rFonts w:cs="Tahoma"/>
          <w:color w:val="141414"/>
          <w:sz w:val="24"/>
          <w:szCs w:val="24"/>
          <w:shd w:val="clear" w:color="auto" w:fill="FFFFFF"/>
        </w:rPr>
        <w:t>(</w:t>
      </w:r>
      <w:r w:rsidR="00437141">
        <w:rPr>
          <w:rFonts w:cs="Tahoma"/>
          <w:color w:val="141414"/>
          <w:sz w:val="24"/>
          <w:szCs w:val="24"/>
          <w:shd w:val="clear" w:color="auto" w:fill="FFFFFF"/>
        </w:rPr>
        <w:t>inequitable and fragmented</w:t>
      </w:r>
      <w:r w:rsidR="00B861C3">
        <w:rPr>
          <w:rFonts w:cs="Tahoma"/>
          <w:color w:val="141414"/>
          <w:sz w:val="24"/>
          <w:szCs w:val="24"/>
          <w:shd w:val="clear" w:color="auto" w:fill="FFFFFF"/>
        </w:rPr>
        <w:t>)</w:t>
      </w:r>
      <w:r w:rsidR="00437141">
        <w:rPr>
          <w:rFonts w:cs="Tahoma"/>
          <w:color w:val="141414"/>
          <w:sz w:val="24"/>
          <w:szCs w:val="24"/>
          <w:shd w:val="clear" w:color="auto" w:fill="FFFFFF"/>
        </w:rPr>
        <w:t xml:space="preserve"> </w:t>
      </w:r>
      <w:r w:rsidR="00FB3F99">
        <w:rPr>
          <w:rFonts w:cs="Tahoma"/>
          <w:color w:val="141414"/>
          <w:sz w:val="24"/>
          <w:szCs w:val="24"/>
          <w:shd w:val="clear" w:color="auto" w:fill="FFFFFF"/>
        </w:rPr>
        <w:t>markets</w:t>
      </w:r>
      <w:r w:rsidR="00376595">
        <w:rPr>
          <w:rFonts w:cs="Tahoma"/>
          <w:color w:val="141414"/>
          <w:sz w:val="24"/>
          <w:szCs w:val="24"/>
          <w:shd w:val="clear" w:color="auto" w:fill="FFFFFF"/>
        </w:rPr>
        <w:t xml:space="preserve"> of care</w:t>
      </w:r>
      <w:r w:rsidR="001761D4">
        <w:rPr>
          <w:rFonts w:cs="Tahoma"/>
          <w:color w:val="141414"/>
          <w:sz w:val="24"/>
          <w:szCs w:val="24"/>
          <w:shd w:val="clear" w:color="auto" w:fill="FFFFFF"/>
        </w:rPr>
        <w:t>. This is</w:t>
      </w:r>
      <w:r w:rsidR="00FB3F99">
        <w:rPr>
          <w:rFonts w:cs="Tahoma"/>
          <w:color w:val="141414"/>
          <w:sz w:val="24"/>
          <w:szCs w:val="24"/>
          <w:shd w:val="clear" w:color="auto" w:fill="FFFFFF"/>
        </w:rPr>
        <w:t xml:space="preserve"> </w:t>
      </w:r>
      <w:r w:rsidR="00065AEA">
        <w:rPr>
          <w:rFonts w:cs="Tahoma"/>
          <w:color w:val="141414"/>
          <w:sz w:val="24"/>
          <w:szCs w:val="24"/>
          <w:shd w:val="clear" w:color="auto" w:fill="FFFFFF"/>
        </w:rPr>
        <w:t>alongside</w:t>
      </w:r>
      <w:r w:rsidR="00FB3F99">
        <w:rPr>
          <w:rFonts w:cs="Tahoma"/>
          <w:color w:val="141414"/>
          <w:sz w:val="24"/>
          <w:szCs w:val="24"/>
          <w:shd w:val="clear" w:color="auto" w:fill="FFFFFF"/>
        </w:rPr>
        <w:t xml:space="preserve"> </w:t>
      </w:r>
      <w:r w:rsidR="00BC4D02">
        <w:rPr>
          <w:rFonts w:cs="Tahoma"/>
          <w:color w:val="141414"/>
          <w:sz w:val="24"/>
          <w:szCs w:val="24"/>
          <w:shd w:val="clear" w:color="auto" w:fill="FFFFFF"/>
        </w:rPr>
        <w:t>structurally</w:t>
      </w:r>
      <w:r w:rsidR="00055AED">
        <w:rPr>
          <w:rFonts w:cs="Tahoma"/>
          <w:color w:val="141414"/>
          <w:sz w:val="24"/>
          <w:szCs w:val="24"/>
          <w:shd w:val="clear" w:color="auto" w:fill="FFFFFF"/>
        </w:rPr>
        <w:t>-</w:t>
      </w:r>
      <w:r w:rsidR="00BC4D02">
        <w:rPr>
          <w:rFonts w:cs="Tahoma"/>
          <w:color w:val="141414"/>
          <w:sz w:val="24"/>
          <w:szCs w:val="24"/>
          <w:shd w:val="clear" w:color="auto" w:fill="FFFFFF"/>
        </w:rPr>
        <w:t>induced or other challenges</w:t>
      </w:r>
      <w:r w:rsidR="009F401E">
        <w:rPr>
          <w:rFonts w:cs="Tahoma"/>
          <w:color w:val="141414"/>
          <w:sz w:val="24"/>
          <w:szCs w:val="24"/>
          <w:shd w:val="clear" w:color="auto" w:fill="FFFFFF"/>
        </w:rPr>
        <w:t xml:space="preserve"> not untypically marginalised </w:t>
      </w:r>
      <w:r w:rsidR="007C21DE">
        <w:rPr>
          <w:rFonts w:cs="Tahoma"/>
          <w:color w:val="141414"/>
          <w:sz w:val="24"/>
          <w:szCs w:val="24"/>
          <w:shd w:val="clear" w:color="auto" w:fill="FFFFFF"/>
        </w:rPr>
        <w:t>as priority by</w:t>
      </w:r>
      <w:r w:rsidR="009F401E">
        <w:rPr>
          <w:rFonts w:cs="Tahoma"/>
          <w:color w:val="141414"/>
          <w:sz w:val="24"/>
          <w:szCs w:val="24"/>
          <w:shd w:val="clear" w:color="auto" w:fill="FFFFFF"/>
        </w:rPr>
        <w:t xml:space="preserve"> policy makers</w:t>
      </w:r>
      <w:r w:rsidR="00D10710">
        <w:rPr>
          <w:rFonts w:cs="Tahoma"/>
          <w:color w:val="141414"/>
          <w:sz w:val="24"/>
          <w:szCs w:val="24"/>
          <w:shd w:val="clear" w:color="auto" w:fill="FFFFFF"/>
        </w:rPr>
        <w:t xml:space="preserve"> and at least some professional gatekeepers</w:t>
      </w:r>
      <w:r w:rsidR="00FB3F99">
        <w:rPr>
          <w:rFonts w:cs="Tahoma"/>
          <w:color w:val="141414"/>
          <w:sz w:val="24"/>
          <w:szCs w:val="24"/>
          <w:shd w:val="clear" w:color="auto" w:fill="FFFFFF"/>
        </w:rPr>
        <w:t xml:space="preserve">. </w:t>
      </w:r>
    </w:p>
    <w:p w14:paraId="131D66CC" w14:textId="2218AF21" w:rsidR="006349F1" w:rsidRDefault="006349F1" w:rsidP="006349F1">
      <w:pPr>
        <w:pStyle w:val="Normal1"/>
        <w:tabs>
          <w:tab w:val="left" w:pos="3330"/>
        </w:tabs>
        <w:spacing w:line="480" w:lineRule="auto"/>
        <w:rPr>
          <w:rFonts w:cs="Tahoma"/>
          <w:color w:val="141414"/>
          <w:sz w:val="24"/>
          <w:szCs w:val="24"/>
          <w:shd w:val="clear" w:color="auto" w:fill="FFFFFF"/>
        </w:rPr>
      </w:pPr>
      <w:r>
        <w:rPr>
          <w:rFonts w:cs="Tahoma"/>
          <w:color w:val="141414"/>
          <w:sz w:val="24"/>
          <w:szCs w:val="24"/>
          <w:shd w:val="clear" w:color="auto" w:fill="FFFFFF"/>
        </w:rPr>
        <w:t xml:space="preserve">For many older </w:t>
      </w:r>
      <w:r w:rsidR="00122254">
        <w:rPr>
          <w:rFonts w:cs="Tahoma"/>
          <w:color w:val="141414"/>
          <w:sz w:val="24"/>
          <w:szCs w:val="24"/>
          <w:shd w:val="clear" w:color="auto" w:fill="FFFFFF"/>
        </w:rPr>
        <w:t>people</w:t>
      </w:r>
      <w:r>
        <w:rPr>
          <w:rFonts w:cs="Tahoma"/>
          <w:color w:val="141414"/>
          <w:sz w:val="24"/>
          <w:szCs w:val="24"/>
          <w:shd w:val="clear" w:color="auto" w:fill="FFFFFF"/>
        </w:rPr>
        <w:t xml:space="preserve">, welfare conditionality may therefore often be viewed as representing an important and increasingly powerful ideological instrument. Although offering the potential for positive support </w:t>
      </w:r>
      <w:r w:rsidR="00421492">
        <w:rPr>
          <w:rFonts w:cs="Tahoma"/>
          <w:color w:val="141414"/>
          <w:sz w:val="24"/>
          <w:szCs w:val="24"/>
          <w:shd w:val="clear" w:color="auto" w:fill="FFFFFF"/>
        </w:rPr>
        <w:t xml:space="preserve">welfare </w:t>
      </w:r>
      <w:r>
        <w:rPr>
          <w:rFonts w:cs="Tahoma"/>
          <w:color w:val="141414"/>
          <w:sz w:val="24"/>
          <w:szCs w:val="24"/>
          <w:shd w:val="clear" w:color="auto" w:fill="FFFFFF"/>
        </w:rPr>
        <w:t>conditionality</w:t>
      </w:r>
      <w:r w:rsidR="00421492">
        <w:rPr>
          <w:rFonts w:cs="Tahoma"/>
          <w:color w:val="141414"/>
          <w:sz w:val="24"/>
          <w:szCs w:val="24"/>
          <w:shd w:val="clear" w:color="auto" w:fill="FFFFFF"/>
        </w:rPr>
        <w:t xml:space="preserve"> within social care</w:t>
      </w:r>
      <w:r>
        <w:rPr>
          <w:rFonts w:cs="Tahoma"/>
          <w:color w:val="141414"/>
          <w:sz w:val="24"/>
          <w:szCs w:val="24"/>
          <w:shd w:val="clear" w:color="auto" w:fill="FFFFFF"/>
        </w:rPr>
        <w:t xml:space="preserve"> increasingly enacts ever more expectations</w:t>
      </w:r>
      <w:r w:rsidR="007017AE">
        <w:rPr>
          <w:rFonts w:cs="Tahoma"/>
          <w:color w:val="141414"/>
          <w:sz w:val="24"/>
          <w:szCs w:val="24"/>
          <w:shd w:val="clear" w:color="auto" w:fill="FFFFFF"/>
        </w:rPr>
        <w:t xml:space="preserve"> and</w:t>
      </w:r>
      <w:r>
        <w:rPr>
          <w:rFonts w:cs="Tahoma"/>
          <w:color w:val="141414"/>
          <w:sz w:val="24"/>
          <w:szCs w:val="24"/>
          <w:shd w:val="clear" w:color="auto" w:fill="FFFFFF"/>
        </w:rPr>
        <w:t xml:space="preserve"> responsibilities</w:t>
      </w:r>
      <w:r w:rsidR="007017AE">
        <w:rPr>
          <w:rFonts w:cs="Tahoma"/>
          <w:color w:val="141414"/>
          <w:sz w:val="24"/>
          <w:szCs w:val="24"/>
          <w:shd w:val="clear" w:color="auto" w:fill="FFFFFF"/>
        </w:rPr>
        <w:t>,</w:t>
      </w:r>
      <w:r>
        <w:rPr>
          <w:rFonts w:cs="Tahoma"/>
          <w:color w:val="141414"/>
          <w:sz w:val="24"/>
          <w:szCs w:val="24"/>
          <w:shd w:val="clear" w:color="auto" w:fill="FFFFFF"/>
        </w:rPr>
        <w:t xml:space="preserve"> </w:t>
      </w:r>
      <w:r w:rsidR="00421492">
        <w:rPr>
          <w:rFonts w:cs="Tahoma"/>
          <w:color w:val="141414"/>
          <w:sz w:val="24"/>
          <w:szCs w:val="24"/>
          <w:shd w:val="clear" w:color="auto" w:fill="FFFFFF"/>
        </w:rPr>
        <w:t xml:space="preserve">whilst </w:t>
      </w:r>
      <w:r>
        <w:rPr>
          <w:rFonts w:cs="Tahoma"/>
          <w:color w:val="141414"/>
          <w:sz w:val="24"/>
          <w:szCs w:val="24"/>
          <w:shd w:val="clear" w:color="auto" w:fill="FFFFFF"/>
        </w:rPr>
        <w:t>elevat</w:t>
      </w:r>
      <w:r w:rsidR="00421492">
        <w:rPr>
          <w:rFonts w:cs="Tahoma"/>
          <w:color w:val="141414"/>
          <w:sz w:val="24"/>
          <w:szCs w:val="24"/>
          <w:shd w:val="clear" w:color="auto" w:fill="FFFFFF"/>
        </w:rPr>
        <w:t xml:space="preserve">ing </w:t>
      </w:r>
      <w:r>
        <w:rPr>
          <w:rFonts w:cs="Tahoma"/>
          <w:color w:val="141414"/>
          <w:sz w:val="24"/>
          <w:szCs w:val="24"/>
          <w:shd w:val="clear" w:color="auto" w:fill="FFFFFF"/>
        </w:rPr>
        <w:t xml:space="preserve">levels of </w:t>
      </w:r>
      <w:r w:rsidR="00D31A5F">
        <w:rPr>
          <w:rFonts w:cs="Tahoma"/>
          <w:color w:val="141414"/>
          <w:sz w:val="24"/>
          <w:szCs w:val="24"/>
          <w:shd w:val="clear" w:color="auto" w:fill="FFFFFF"/>
        </w:rPr>
        <w:t xml:space="preserve">professional </w:t>
      </w:r>
      <w:r>
        <w:rPr>
          <w:rFonts w:cs="Tahoma"/>
          <w:color w:val="141414"/>
          <w:sz w:val="24"/>
          <w:szCs w:val="24"/>
          <w:shd w:val="clear" w:color="auto" w:fill="FFFFFF"/>
        </w:rPr>
        <w:t>control, as well as</w:t>
      </w:r>
      <w:r w:rsidR="00151608">
        <w:rPr>
          <w:rFonts w:cs="Tahoma"/>
          <w:color w:val="141414"/>
          <w:sz w:val="24"/>
          <w:szCs w:val="24"/>
          <w:shd w:val="clear" w:color="auto" w:fill="FFFFFF"/>
        </w:rPr>
        <w:t xml:space="preserve"> often</w:t>
      </w:r>
      <w:r>
        <w:rPr>
          <w:rFonts w:cs="Tahoma"/>
          <w:color w:val="141414"/>
          <w:sz w:val="24"/>
          <w:szCs w:val="24"/>
          <w:shd w:val="clear" w:color="auto" w:fill="FFFFFF"/>
        </w:rPr>
        <w:t xml:space="preserve"> provid</w:t>
      </w:r>
      <w:r w:rsidR="00151608">
        <w:rPr>
          <w:rFonts w:cs="Tahoma"/>
          <w:color w:val="141414"/>
          <w:sz w:val="24"/>
          <w:szCs w:val="24"/>
          <w:shd w:val="clear" w:color="auto" w:fill="FFFFFF"/>
        </w:rPr>
        <w:t>ing</w:t>
      </w:r>
      <w:r>
        <w:rPr>
          <w:rFonts w:cs="Tahoma"/>
          <w:color w:val="141414"/>
          <w:sz w:val="24"/>
          <w:szCs w:val="24"/>
          <w:shd w:val="clear" w:color="auto" w:fill="FFFFFF"/>
        </w:rPr>
        <w:t xml:space="preserve"> a </w:t>
      </w:r>
      <w:r w:rsidR="00151608">
        <w:rPr>
          <w:rFonts w:cs="Tahoma"/>
          <w:color w:val="141414"/>
          <w:sz w:val="24"/>
          <w:szCs w:val="24"/>
          <w:shd w:val="clear" w:color="auto" w:fill="FFFFFF"/>
        </w:rPr>
        <w:t>restricted</w:t>
      </w:r>
      <w:r>
        <w:rPr>
          <w:rFonts w:cs="Tahoma"/>
          <w:color w:val="141414"/>
          <w:sz w:val="24"/>
          <w:szCs w:val="24"/>
          <w:shd w:val="clear" w:color="auto" w:fill="FFFFFF"/>
        </w:rPr>
        <w:t xml:space="preserve"> number of positive ethical outcomes for many older adults. </w:t>
      </w:r>
    </w:p>
    <w:p w14:paraId="2A59AC40" w14:textId="72731287" w:rsidR="00925BD7" w:rsidRPr="007017AE" w:rsidRDefault="00925BD7" w:rsidP="0040435D">
      <w:pPr>
        <w:spacing w:line="480" w:lineRule="auto"/>
        <w:rPr>
          <w:rFonts w:cs="Tahoma"/>
          <w:color w:val="141414"/>
          <w:sz w:val="24"/>
          <w:szCs w:val="24"/>
          <w:shd w:val="clear" w:color="auto" w:fill="FFFFFF"/>
        </w:rPr>
      </w:pPr>
      <w:r w:rsidRPr="007017AE">
        <w:rPr>
          <w:rFonts w:cs="Tahoma"/>
          <w:color w:val="141414"/>
          <w:sz w:val="24"/>
          <w:szCs w:val="24"/>
          <w:shd w:val="clear" w:color="auto" w:fill="FFFFFF"/>
        </w:rPr>
        <w:t>Based on the available evidence</w:t>
      </w:r>
      <w:r w:rsidR="006E343E" w:rsidRPr="007017AE">
        <w:rPr>
          <w:rFonts w:cs="Tahoma"/>
          <w:color w:val="141414"/>
          <w:sz w:val="24"/>
          <w:szCs w:val="24"/>
          <w:shd w:val="clear" w:color="auto" w:fill="FFFFFF"/>
        </w:rPr>
        <w:t xml:space="preserve"> and discussion,</w:t>
      </w:r>
      <w:r w:rsidRPr="007017AE">
        <w:rPr>
          <w:rFonts w:cs="Tahoma"/>
          <w:color w:val="141414"/>
          <w:sz w:val="24"/>
          <w:szCs w:val="24"/>
          <w:shd w:val="clear" w:color="auto" w:fill="FFFFFF"/>
        </w:rPr>
        <w:t xml:space="preserve"> some </w:t>
      </w:r>
      <w:r w:rsidR="00075B42" w:rsidRPr="007017AE">
        <w:rPr>
          <w:rFonts w:cs="Tahoma"/>
          <w:color w:val="141414"/>
          <w:sz w:val="24"/>
          <w:szCs w:val="24"/>
          <w:shd w:val="clear" w:color="auto" w:fill="FFFFFF"/>
        </w:rPr>
        <w:t xml:space="preserve">brief examples of possible </w:t>
      </w:r>
      <w:r w:rsidRPr="007017AE">
        <w:rPr>
          <w:rFonts w:cs="Tahoma"/>
          <w:color w:val="141414"/>
          <w:sz w:val="24"/>
          <w:szCs w:val="24"/>
          <w:shd w:val="clear" w:color="auto" w:fill="FFFFFF"/>
        </w:rPr>
        <w:t>ways forward</w:t>
      </w:r>
      <w:r w:rsidR="009B304A" w:rsidRPr="007017AE">
        <w:rPr>
          <w:rFonts w:cs="Tahoma"/>
          <w:color w:val="141414"/>
          <w:sz w:val="24"/>
          <w:szCs w:val="24"/>
          <w:shd w:val="clear" w:color="auto" w:fill="FFFFFF"/>
        </w:rPr>
        <w:t xml:space="preserve"> for improved provisions for older </w:t>
      </w:r>
      <w:r w:rsidR="00122254">
        <w:rPr>
          <w:rFonts w:cs="Tahoma"/>
          <w:color w:val="141414"/>
          <w:sz w:val="24"/>
          <w:szCs w:val="24"/>
          <w:shd w:val="clear" w:color="auto" w:fill="FFFFFF"/>
        </w:rPr>
        <w:t>people</w:t>
      </w:r>
      <w:r w:rsidRPr="007017AE">
        <w:rPr>
          <w:rFonts w:cs="Tahoma"/>
          <w:color w:val="141414"/>
          <w:sz w:val="24"/>
          <w:szCs w:val="24"/>
          <w:shd w:val="clear" w:color="auto" w:fill="FFFFFF"/>
        </w:rPr>
        <w:t xml:space="preserve"> </w:t>
      </w:r>
      <w:r w:rsidR="009B304A" w:rsidRPr="007017AE">
        <w:rPr>
          <w:rFonts w:cs="Tahoma"/>
          <w:color w:val="141414"/>
          <w:sz w:val="24"/>
          <w:szCs w:val="24"/>
          <w:shd w:val="clear" w:color="auto" w:fill="FFFFFF"/>
        </w:rPr>
        <w:t>would almost certainly</w:t>
      </w:r>
      <w:r w:rsidRPr="007017AE">
        <w:rPr>
          <w:rFonts w:cs="Tahoma"/>
          <w:color w:val="141414"/>
          <w:sz w:val="24"/>
          <w:szCs w:val="24"/>
          <w:shd w:val="clear" w:color="auto" w:fill="FFFFFF"/>
        </w:rPr>
        <w:t xml:space="preserve"> </w:t>
      </w:r>
      <w:r w:rsidR="009B304A" w:rsidRPr="007017AE">
        <w:rPr>
          <w:rFonts w:cs="Tahoma"/>
          <w:color w:val="141414"/>
          <w:sz w:val="24"/>
          <w:szCs w:val="24"/>
          <w:shd w:val="clear" w:color="auto" w:fill="FFFFFF"/>
        </w:rPr>
        <w:t xml:space="preserve">need to </w:t>
      </w:r>
      <w:r w:rsidRPr="007017AE">
        <w:rPr>
          <w:rFonts w:cs="Tahoma"/>
          <w:color w:val="141414"/>
          <w:sz w:val="24"/>
          <w:szCs w:val="24"/>
          <w:shd w:val="clear" w:color="auto" w:fill="FFFFFF"/>
        </w:rPr>
        <w:t xml:space="preserve">include the </w:t>
      </w:r>
      <w:r w:rsidR="009B304A" w:rsidRPr="007017AE">
        <w:rPr>
          <w:rFonts w:cs="Tahoma"/>
          <w:color w:val="141414"/>
          <w:sz w:val="24"/>
          <w:szCs w:val="24"/>
          <w:shd w:val="clear" w:color="auto" w:fill="FFFFFF"/>
        </w:rPr>
        <w:t>availability</w:t>
      </w:r>
      <w:r w:rsidRPr="007017AE">
        <w:rPr>
          <w:rFonts w:cs="Tahoma"/>
          <w:color w:val="141414"/>
          <w:sz w:val="24"/>
          <w:szCs w:val="24"/>
          <w:shd w:val="clear" w:color="auto" w:fill="FFFFFF"/>
        </w:rPr>
        <w:t xml:space="preserve"> of sustainable</w:t>
      </w:r>
      <w:r w:rsidR="00075B42" w:rsidRPr="007017AE">
        <w:rPr>
          <w:rFonts w:cs="Tahoma"/>
          <w:color w:val="141414"/>
          <w:sz w:val="24"/>
          <w:szCs w:val="24"/>
          <w:shd w:val="clear" w:color="auto" w:fill="FFFFFF"/>
        </w:rPr>
        <w:t>, fair</w:t>
      </w:r>
      <w:r w:rsidRPr="007017AE">
        <w:rPr>
          <w:rFonts w:cs="Tahoma"/>
          <w:color w:val="141414"/>
          <w:sz w:val="24"/>
          <w:szCs w:val="24"/>
          <w:shd w:val="clear" w:color="auto" w:fill="FFFFFF"/>
        </w:rPr>
        <w:t xml:space="preserve"> and adequate funding for social care</w:t>
      </w:r>
      <w:r w:rsidRPr="007017AE">
        <w:rPr>
          <w:rFonts w:cstheme="minorHAnsi"/>
          <w:sz w:val="24"/>
          <w:szCs w:val="24"/>
        </w:rPr>
        <w:t xml:space="preserve">. </w:t>
      </w:r>
      <w:r w:rsidR="009B304A" w:rsidRPr="007017AE">
        <w:rPr>
          <w:rFonts w:cstheme="minorHAnsi"/>
          <w:sz w:val="24"/>
          <w:szCs w:val="24"/>
        </w:rPr>
        <w:t>Relatedly</w:t>
      </w:r>
      <w:r w:rsidRPr="007017AE">
        <w:rPr>
          <w:rFonts w:cstheme="minorHAnsi"/>
          <w:sz w:val="24"/>
          <w:szCs w:val="24"/>
        </w:rPr>
        <w:t xml:space="preserve">, </w:t>
      </w:r>
      <w:r w:rsidR="009B304A" w:rsidRPr="007017AE">
        <w:rPr>
          <w:rFonts w:cstheme="minorHAnsi"/>
          <w:sz w:val="24"/>
          <w:szCs w:val="24"/>
        </w:rPr>
        <w:t>better</w:t>
      </w:r>
      <w:r w:rsidRPr="007017AE">
        <w:rPr>
          <w:rFonts w:cstheme="minorHAnsi"/>
          <w:sz w:val="24"/>
          <w:szCs w:val="24"/>
        </w:rPr>
        <w:t xml:space="preserve"> </w:t>
      </w:r>
      <w:r w:rsidR="009B304A" w:rsidRPr="007017AE">
        <w:rPr>
          <w:rFonts w:cstheme="minorHAnsi"/>
          <w:sz w:val="24"/>
          <w:szCs w:val="24"/>
        </w:rPr>
        <w:t xml:space="preserve">financial </w:t>
      </w:r>
      <w:r w:rsidRPr="007017AE">
        <w:rPr>
          <w:rFonts w:cstheme="minorHAnsi"/>
          <w:sz w:val="24"/>
          <w:szCs w:val="24"/>
        </w:rPr>
        <w:t xml:space="preserve">support for </w:t>
      </w:r>
      <w:r w:rsidR="007017AE">
        <w:rPr>
          <w:rFonts w:cstheme="minorHAnsi"/>
          <w:sz w:val="24"/>
          <w:szCs w:val="24"/>
        </w:rPr>
        <w:t xml:space="preserve">a meaningful rights-based reinterpretation of </w:t>
      </w:r>
      <w:r w:rsidRPr="007017AE">
        <w:rPr>
          <w:rFonts w:cstheme="minorHAnsi"/>
          <w:sz w:val="24"/>
          <w:szCs w:val="24"/>
        </w:rPr>
        <w:t xml:space="preserve">policies such as personalisation and asset-based care would again </w:t>
      </w:r>
      <w:r w:rsidR="0037539B" w:rsidRPr="007017AE">
        <w:rPr>
          <w:rFonts w:cstheme="minorHAnsi"/>
          <w:sz w:val="24"/>
          <w:szCs w:val="24"/>
        </w:rPr>
        <w:t>appear</w:t>
      </w:r>
      <w:r w:rsidRPr="007017AE">
        <w:rPr>
          <w:rFonts w:cstheme="minorHAnsi"/>
          <w:sz w:val="24"/>
          <w:szCs w:val="24"/>
        </w:rPr>
        <w:t xml:space="preserve"> a reasonable </w:t>
      </w:r>
      <w:r w:rsidR="00075B42" w:rsidRPr="007017AE">
        <w:rPr>
          <w:rFonts w:cstheme="minorHAnsi"/>
          <w:sz w:val="24"/>
          <w:szCs w:val="24"/>
        </w:rPr>
        <w:t>ethical outcome</w:t>
      </w:r>
      <w:r w:rsidR="0037539B" w:rsidRPr="007017AE">
        <w:rPr>
          <w:rFonts w:cstheme="minorHAnsi"/>
          <w:sz w:val="24"/>
          <w:szCs w:val="24"/>
        </w:rPr>
        <w:t xml:space="preserve">, </w:t>
      </w:r>
      <w:r w:rsidRPr="007017AE">
        <w:rPr>
          <w:rFonts w:cstheme="minorHAnsi"/>
          <w:sz w:val="24"/>
          <w:szCs w:val="24"/>
        </w:rPr>
        <w:t xml:space="preserve">and </w:t>
      </w:r>
      <w:r w:rsidR="0037539B" w:rsidRPr="007017AE">
        <w:rPr>
          <w:rFonts w:cstheme="minorHAnsi"/>
          <w:sz w:val="24"/>
          <w:szCs w:val="24"/>
        </w:rPr>
        <w:t xml:space="preserve">indeed </w:t>
      </w:r>
      <w:r w:rsidR="00075B42" w:rsidRPr="007017AE">
        <w:rPr>
          <w:rFonts w:cstheme="minorHAnsi"/>
          <w:sz w:val="24"/>
          <w:szCs w:val="24"/>
        </w:rPr>
        <w:t xml:space="preserve">such points </w:t>
      </w:r>
      <w:r w:rsidR="006349F1" w:rsidRPr="007017AE">
        <w:rPr>
          <w:rFonts w:cstheme="minorHAnsi"/>
          <w:sz w:val="24"/>
          <w:szCs w:val="24"/>
        </w:rPr>
        <w:t>have</w:t>
      </w:r>
      <w:r w:rsidRPr="007017AE">
        <w:rPr>
          <w:rFonts w:cstheme="minorHAnsi"/>
          <w:sz w:val="24"/>
          <w:szCs w:val="24"/>
        </w:rPr>
        <w:t xml:space="preserve"> tended to be reiterated by a number of advocacy and professional </w:t>
      </w:r>
      <w:r w:rsidRPr="007017AE">
        <w:rPr>
          <w:rFonts w:cstheme="minorHAnsi"/>
          <w:sz w:val="24"/>
          <w:szCs w:val="24"/>
        </w:rPr>
        <w:lastRenderedPageBreak/>
        <w:t>groups</w:t>
      </w:r>
      <w:r w:rsidR="0037539B" w:rsidRPr="007017AE">
        <w:rPr>
          <w:rFonts w:cstheme="minorHAnsi"/>
          <w:sz w:val="24"/>
          <w:szCs w:val="24"/>
        </w:rPr>
        <w:t xml:space="preserve"> </w:t>
      </w:r>
      <w:r w:rsidRPr="007017AE">
        <w:rPr>
          <w:rFonts w:cs="Tahoma"/>
          <w:color w:val="141414"/>
          <w:sz w:val="24"/>
          <w:szCs w:val="24"/>
          <w:shd w:val="clear" w:color="auto" w:fill="FFFFFF"/>
        </w:rPr>
        <w:t>(</w:t>
      </w:r>
      <w:r w:rsidR="006349F1" w:rsidRPr="007017AE">
        <w:rPr>
          <w:rFonts w:cs="Tahoma"/>
          <w:color w:val="141414"/>
          <w:sz w:val="24"/>
          <w:szCs w:val="24"/>
          <w:shd w:val="clear" w:color="auto" w:fill="FFFFFF"/>
        </w:rPr>
        <w:t xml:space="preserve">for example, </w:t>
      </w:r>
      <w:proofErr w:type="spellStart"/>
      <w:r w:rsidR="006E343E" w:rsidRPr="007017AE">
        <w:rPr>
          <w:rFonts w:cs="Calibri"/>
          <w:sz w:val="24"/>
          <w:szCs w:val="24"/>
          <w:lang w:val="en"/>
        </w:rPr>
        <w:t>Feltoe</w:t>
      </w:r>
      <w:proofErr w:type="spellEnd"/>
      <w:r w:rsidR="006E343E" w:rsidRPr="007017AE">
        <w:rPr>
          <w:rFonts w:cs="Calibri"/>
          <w:sz w:val="24"/>
          <w:szCs w:val="24"/>
          <w:lang w:val="en"/>
        </w:rPr>
        <w:t xml:space="preserve"> and Orellana, 2013; </w:t>
      </w:r>
      <w:r w:rsidR="006E343E" w:rsidRPr="007017AE">
        <w:rPr>
          <w:rFonts w:cstheme="minorHAnsi"/>
          <w:sz w:val="24"/>
          <w:szCs w:val="24"/>
          <w:lang w:val="en"/>
        </w:rPr>
        <w:t xml:space="preserve">Daly and Westwood, 2017; </w:t>
      </w:r>
      <w:r w:rsidRPr="007017AE">
        <w:rPr>
          <w:rFonts w:cstheme="minorHAnsi"/>
          <w:sz w:val="24"/>
          <w:szCs w:val="24"/>
        </w:rPr>
        <w:t xml:space="preserve">Kings Fund, 2021a). </w:t>
      </w:r>
      <w:r w:rsidR="0037539B" w:rsidRPr="007017AE">
        <w:rPr>
          <w:rFonts w:cstheme="minorHAnsi"/>
          <w:sz w:val="24"/>
          <w:szCs w:val="24"/>
        </w:rPr>
        <w:t xml:space="preserve">A </w:t>
      </w:r>
      <w:r w:rsidR="007017AE">
        <w:rPr>
          <w:rFonts w:cstheme="minorHAnsi"/>
          <w:sz w:val="24"/>
          <w:szCs w:val="24"/>
        </w:rPr>
        <w:t>purposeful</w:t>
      </w:r>
      <w:r w:rsidR="0037539B" w:rsidRPr="007017AE">
        <w:rPr>
          <w:rFonts w:cstheme="minorHAnsi"/>
          <w:sz w:val="24"/>
          <w:szCs w:val="24"/>
        </w:rPr>
        <w:t xml:space="preserve"> role</w:t>
      </w:r>
      <w:r w:rsidR="0040435D" w:rsidRPr="007017AE">
        <w:rPr>
          <w:rFonts w:cstheme="minorHAnsi"/>
          <w:sz w:val="24"/>
          <w:szCs w:val="24"/>
        </w:rPr>
        <w:t xml:space="preserve"> </w:t>
      </w:r>
      <w:r w:rsidR="009B304A" w:rsidRPr="007017AE">
        <w:rPr>
          <w:rFonts w:cstheme="minorHAnsi"/>
          <w:sz w:val="24"/>
          <w:szCs w:val="24"/>
        </w:rPr>
        <w:t>for</w:t>
      </w:r>
      <w:r w:rsidR="00075B42" w:rsidRPr="007017AE">
        <w:rPr>
          <w:rFonts w:cstheme="minorHAnsi"/>
          <w:sz w:val="24"/>
          <w:szCs w:val="24"/>
        </w:rPr>
        <w:t xml:space="preserve"> </w:t>
      </w:r>
      <w:r w:rsidR="009B304A" w:rsidRPr="007017AE">
        <w:rPr>
          <w:rFonts w:cstheme="minorHAnsi"/>
          <w:sz w:val="24"/>
          <w:szCs w:val="24"/>
        </w:rPr>
        <w:t>social work</w:t>
      </w:r>
      <w:r w:rsidR="00075B42" w:rsidRPr="007017AE">
        <w:rPr>
          <w:rFonts w:cstheme="minorHAnsi"/>
          <w:sz w:val="24"/>
          <w:szCs w:val="24"/>
        </w:rPr>
        <w:t>ers</w:t>
      </w:r>
      <w:r w:rsidR="009B304A" w:rsidRPr="007017AE">
        <w:rPr>
          <w:rFonts w:cstheme="minorHAnsi"/>
          <w:sz w:val="24"/>
          <w:szCs w:val="24"/>
        </w:rPr>
        <w:t xml:space="preserve"> </w:t>
      </w:r>
      <w:r w:rsidR="0040435D" w:rsidRPr="007017AE">
        <w:rPr>
          <w:rFonts w:cstheme="minorHAnsi"/>
          <w:sz w:val="24"/>
          <w:szCs w:val="24"/>
        </w:rPr>
        <w:t>beyond managing resources</w:t>
      </w:r>
      <w:r w:rsidR="00F62055">
        <w:rPr>
          <w:rFonts w:cstheme="minorHAnsi"/>
          <w:sz w:val="24"/>
          <w:szCs w:val="24"/>
        </w:rPr>
        <w:t>, markets</w:t>
      </w:r>
      <w:r w:rsidR="007017AE">
        <w:rPr>
          <w:rFonts w:cstheme="minorHAnsi"/>
          <w:sz w:val="24"/>
          <w:szCs w:val="24"/>
        </w:rPr>
        <w:t xml:space="preserve"> and risk</w:t>
      </w:r>
      <w:r w:rsidR="0037539B" w:rsidRPr="007017AE">
        <w:rPr>
          <w:rFonts w:cstheme="minorHAnsi"/>
          <w:sz w:val="24"/>
          <w:szCs w:val="24"/>
        </w:rPr>
        <w:t xml:space="preserve"> in support of families and service users who seek to access </w:t>
      </w:r>
      <w:r w:rsidR="0040435D" w:rsidRPr="007017AE">
        <w:rPr>
          <w:rFonts w:cstheme="minorHAnsi"/>
          <w:sz w:val="24"/>
          <w:szCs w:val="24"/>
        </w:rPr>
        <w:t xml:space="preserve">personal budgets </w:t>
      </w:r>
      <w:r w:rsidR="00075B42" w:rsidRPr="007017AE">
        <w:rPr>
          <w:rFonts w:cstheme="minorHAnsi"/>
          <w:sz w:val="24"/>
          <w:szCs w:val="24"/>
        </w:rPr>
        <w:t xml:space="preserve">again appears </w:t>
      </w:r>
      <w:r w:rsidR="006349F1" w:rsidRPr="007017AE">
        <w:rPr>
          <w:rFonts w:cstheme="minorHAnsi"/>
          <w:sz w:val="24"/>
          <w:szCs w:val="24"/>
        </w:rPr>
        <w:t>reasonable</w:t>
      </w:r>
      <w:r w:rsidR="006E343E" w:rsidRPr="007017AE">
        <w:rPr>
          <w:rFonts w:cstheme="minorHAnsi"/>
          <w:sz w:val="24"/>
          <w:szCs w:val="24"/>
        </w:rPr>
        <w:t xml:space="preserve"> (Dustin, 2007; </w:t>
      </w:r>
      <w:proofErr w:type="spellStart"/>
      <w:r w:rsidR="006E343E" w:rsidRPr="007017AE">
        <w:rPr>
          <w:rFonts w:cstheme="minorHAnsi"/>
          <w:sz w:val="24"/>
          <w:szCs w:val="24"/>
        </w:rPr>
        <w:t>Lymbery</w:t>
      </w:r>
      <w:proofErr w:type="spellEnd"/>
      <w:r w:rsidR="006E343E" w:rsidRPr="007017AE">
        <w:rPr>
          <w:rFonts w:cstheme="minorHAnsi"/>
          <w:sz w:val="24"/>
          <w:szCs w:val="24"/>
        </w:rPr>
        <w:t xml:space="preserve">, 2012; </w:t>
      </w:r>
      <w:proofErr w:type="spellStart"/>
      <w:r w:rsidR="006E343E" w:rsidRPr="007017AE">
        <w:rPr>
          <w:rFonts w:cstheme="minorHAnsi"/>
          <w:sz w:val="24"/>
          <w:szCs w:val="24"/>
          <w:lang w:val="en"/>
        </w:rPr>
        <w:t>Friedli</w:t>
      </w:r>
      <w:proofErr w:type="spellEnd"/>
      <w:r w:rsidR="006E343E" w:rsidRPr="007017AE">
        <w:rPr>
          <w:rFonts w:cstheme="minorHAnsi"/>
          <w:sz w:val="24"/>
          <w:szCs w:val="24"/>
          <w:lang w:val="en"/>
        </w:rPr>
        <w:t>, 2013)</w:t>
      </w:r>
      <w:r w:rsidR="0040435D" w:rsidRPr="007017AE">
        <w:rPr>
          <w:rFonts w:cstheme="minorHAnsi"/>
          <w:sz w:val="24"/>
          <w:szCs w:val="24"/>
        </w:rPr>
        <w:t>. Finally, for an ageing population</w:t>
      </w:r>
      <w:r w:rsidR="006E343E" w:rsidRPr="007017AE">
        <w:rPr>
          <w:rFonts w:cstheme="minorHAnsi"/>
          <w:sz w:val="24"/>
          <w:szCs w:val="24"/>
        </w:rPr>
        <w:t>,</w:t>
      </w:r>
      <w:r w:rsidR="0040435D" w:rsidRPr="007017AE">
        <w:rPr>
          <w:rFonts w:cstheme="minorHAnsi"/>
          <w:sz w:val="24"/>
          <w:szCs w:val="24"/>
        </w:rPr>
        <w:t xml:space="preserve"> an underlining principle of offering purposeful support,</w:t>
      </w:r>
      <w:r w:rsidR="006349F1" w:rsidRPr="007017AE">
        <w:rPr>
          <w:rFonts w:cstheme="minorHAnsi"/>
          <w:sz w:val="24"/>
          <w:szCs w:val="24"/>
        </w:rPr>
        <w:t xml:space="preserve"> </w:t>
      </w:r>
      <w:r w:rsidR="0040435D" w:rsidRPr="007017AE">
        <w:rPr>
          <w:rFonts w:cstheme="minorHAnsi"/>
          <w:sz w:val="24"/>
          <w:szCs w:val="24"/>
        </w:rPr>
        <w:t>advocacy, guidance</w:t>
      </w:r>
      <w:r w:rsidR="00075B42" w:rsidRPr="007017AE">
        <w:rPr>
          <w:rFonts w:cstheme="minorHAnsi"/>
          <w:sz w:val="24"/>
          <w:szCs w:val="24"/>
        </w:rPr>
        <w:t xml:space="preserve">, </w:t>
      </w:r>
      <w:r w:rsidR="0040435D" w:rsidRPr="007017AE">
        <w:rPr>
          <w:rFonts w:cstheme="minorHAnsi"/>
          <w:sz w:val="24"/>
          <w:szCs w:val="24"/>
        </w:rPr>
        <w:t>altruistic care</w:t>
      </w:r>
      <w:r w:rsidR="00075B42" w:rsidRPr="007017AE">
        <w:rPr>
          <w:rFonts w:cstheme="minorHAnsi"/>
          <w:sz w:val="24"/>
          <w:szCs w:val="24"/>
        </w:rPr>
        <w:t xml:space="preserve"> and perhaps even more ambitiously degrees of ownership and control of services</w:t>
      </w:r>
      <w:r w:rsidR="0040435D" w:rsidRPr="007017AE">
        <w:rPr>
          <w:rFonts w:cstheme="minorHAnsi"/>
          <w:sz w:val="24"/>
          <w:szCs w:val="24"/>
        </w:rPr>
        <w:t xml:space="preserve"> </w:t>
      </w:r>
      <w:r w:rsidR="00075B42" w:rsidRPr="007017AE">
        <w:rPr>
          <w:rFonts w:cstheme="minorHAnsi"/>
          <w:sz w:val="24"/>
          <w:szCs w:val="24"/>
        </w:rPr>
        <w:t>–</w:t>
      </w:r>
      <w:r w:rsidR="0040435D" w:rsidRPr="007017AE">
        <w:rPr>
          <w:rFonts w:cstheme="minorHAnsi"/>
          <w:sz w:val="24"/>
          <w:szCs w:val="24"/>
        </w:rPr>
        <w:t xml:space="preserve"> </w:t>
      </w:r>
      <w:r w:rsidR="00075B42" w:rsidRPr="007017AE">
        <w:rPr>
          <w:rFonts w:cstheme="minorHAnsi"/>
          <w:sz w:val="24"/>
          <w:szCs w:val="24"/>
        </w:rPr>
        <w:t>as opposed to</w:t>
      </w:r>
      <w:r w:rsidR="0040435D" w:rsidRPr="007017AE">
        <w:rPr>
          <w:rFonts w:cstheme="minorHAnsi"/>
          <w:sz w:val="24"/>
          <w:szCs w:val="24"/>
        </w:rPr>
        <w:t xml:space="preserve"> rigidly </w:t>
      </w:r>
      <w:r w:rsidR="006E343E" w:rsidRPr="007017AE">
        <w:rPr>
          <w:rFonts w:cstheme="minorHAnsi"/>
          <w:sz w:val="24"/>
          <w:szCs w:val="24"/>
        </w:rPr>
        <w:t>supervising</w:t>
      </w:r>
      <w:r w:rsidR="0040435D" w:rsidRPr="007017AE">
        <w:rPr>
          <w:rFonts w:cstheme="minorHAnsi"/>
          <w:sz w:val="24"/>
          <w:szCs w:val="24"/>
        </w:rPr>
        <w:t xml:space="preserve"> welfare conditionality and resources - </w:t>
      </w:r>
      <w:r w:rsidR="00075B42" w:rsidRPr="007017AE">
        <w:rPr>
          <w:rFonts w:cstheme="minorHAnsi"/>
          <w:sz w:val="24"/>
          <w:szCs w:val="24"/>
        </w:rPr>
        <w:t>m</w:t>
      </w:r>
      <w:r w:rsidR="00F62055">
        <w:rPr>
          <w:rFonts w:cstheme="minorHAnsi"/>
          <w:sz w:val="24"/>
          <w:szCs w:val="24"/>
        </w:rPr>
        <w:t>ay</w:t>
      </w:r>
      <w:r w:rsidR="0040435D" w:rsidRPr="007017AE">
        <w:rPr>
          <w:rFonts w:cstheme="minorHAnsi"/>
          <w:sz w:val="24"/>
          <w:szCs w:val="24"/>
        </w:rPr>
        <w:t xml:space="preserve"> reflect a policy which c</w:t>
      </w:r>
      <w:r w:rsidR="00075B42" w:rsidRPr="007017AE">
        <w:rPr>
          <w:rFonts w:cstheme="minorHAnsi"/>
          <w:sz w:val="24"/>
          <w:szCs w:val="24"/>
        </w:rPr>
        <w:t>ould</w:t>
      </w:r>
      <w:r w:rsidR="006349F1" w:rsidRPr="007017AE">
        <w:rPr>
          <w:rFonts w:cstheme="minorHAnsi"/>
          <w:sz w:val="24"/>
          <w:szCs w:val="24"/>
        </w:rPr>
        <w:t xml:space="preserve"> </w:t>
      </w:r>
      <w:r w:rsidR="006E343E" w:rsidRPr="007017AE">
        <w:rPr>
          <w:rFonts w:cstheme="minorHAnsi"/>
          <w:sz w:val="24"/>
          <w:szCs w:val="24"/>
        </w:rPr>
        <w:t>more likely</w:t>
      </w:r>
      <w:r w:rsidR="0040435D" w:rsidRPr="007017AE">
        <w:rPr>
          <w:rFonts w:cstheme="minorHAnsi"/>
          <w:sz w:val="24"/>
          <w:szCs w:val="24"/>
        </w:rPr>
        <w:t xml:space="preserve"> be deemed ethical.  </w:t>
      </w:r>
    </w:p>
    <w:p w14:paraId="79146192" w14:textId="2DF2609B" w:rsidR="00742D66" w:rsidRPr="006E343E" w:rsidRDefault="00742D66" w:rsidP="00426A8D">
      <w:pPr>
        <w:spacing w:line="480" w:lineRule="auto"/>
        <w:rPr>
          <w:rFonts w:cs="Tahoma"/>
          <w:b/>
          <w:color w:val="141414"/>
          <w:sz w:val="24"/>
          <w:szCs w:val="24"/>
          <w:shd w:val="clear" w:color="auto" w:fill="FFFFFF"/>
        </w:rPr>
      </w:pPr>
    </w:p>
    <w:p w14:paraId="1DF01B79" w14:textId="77777777" w:rsidR="00230B5B" w:rsidRDefault="00230B5B" w:rsidP="0070073A">
      <w:pPr>
        <w:pStyle w:val="Normal1"/>
        <w:tabs>
          <w:tab w:val="left" w:pos="3330"/>
        </w:tabs>
        <w:spacing w:line="480" w:lineRule="auto"/>
        <w:rPr>
          <w:sz w:val="24"/>
          <w:szCs w:val="24"/>
        </w:rPr>
      </w:pPr>
    </w:p>
    <w:p w14:paraId="1F5AA722" w14:textId="77777777" w:rsidR="00230B5B" w:rsidRPr="00376309" w:rsidRDefault="001678A4" w:rsidP="0070073A">
      <w:pPr>
        <w:pStyle w:val="Normal1"/>
        <w:tabs>
          <w:tab w:val="left" w:pos="3330"/>
        </w:tabs>
        <w:spacing w:line="480" w:lineRule="auto"/>
        <w:rPr>
          <w:b/>
          <w:sz w:val="24"/>
          <w:szCs w:val="24"/>
        </w:rPr>
      </w:pPr>
      <w:r w:rsidRPr="00376309">
        <w:rPr>
          <w:b/>
          <w:sz w:val="24"/>
          <w:szCs w:val="24"/>
        </w:rPr>
        <w:t>Refence</w:t>
      </w:r>
      <w:r w:rsidR="00376309">
        <w:rPr>
          <w:b/>
          <w:sz w:val="24"/>
          <w:szCs w:val="24"/>
        </w:rPr>
        <w:t xml:space="preserve"> List</w:t>
      </w:r>
    </w:p>
    <w:p w14:paraId="73CA8356" w14:textId="77777777" w:rsidR="00376309" w:rsidRDefault="00376309" w:rsidP="0070073A">
      <w:pPr>
        <w:pStyle w:val="Normal1"/>
        <w:tabs>
          <w:tab w:val="left" w:pos="3330"/>
        </w:tabs>
        <w:spacing w:line="480" w:lineRule="auto"/>
        <w:rPr>
          <w:sz w:val="24"/>
          <w:szCs w:val="24"/>
        </w:rPr>
      </w:pPr>
    </w:p>
    <w:p w14:paraId="3B1D7F17" w14:textId="09C0C74A" w:rsidR="00E879E8" w:rsidRDefault="00816EA2" w:rsidP="0070073A">
      <w:pPr>
        <w:autoSpaceDE w:val="0"/>
        <w:spacing w:after="0" w:line="480" w:lineRule="auto"/>
        <w:jc w:val="both"/>
        <w:rPr>
          <w:rFonts w:cs="Calibri"/>
          <w:sz w:val="24"/>
          <w:szCs w:val="24"/>
          <w:lang w:val="en"/>
        </w:rPr>
      </w:pPr>
      <w:r>
        <w:rPr>
          <w:rFonts w:cs="Calibri"/>
          <w:sz w:val="24"/>
          <w:szCs w:val="24"/>
          <w:lang w:val="en"/>
        </w:rPr>
        <w:t xml:space="preserve">Althusser, L. (1971). </w:t>
      </w:r>
      <w:r>
        <w:rPr>
          <w:rFonts w:cs="Calibri"/>
          <w:i/>
          <w:iCs/>
          <w:sz w:val="24"/>
          <w:szCs w:val="24"/>
          <w:lang w:val="en"/>
        </w:rPr>
        <w:t>Essays on Ideology</w:t>
      </w:r>
      <w:r>
        <w:rPr>
          <w:rFonts w:cs="Calibri"/>
          <w:sz w:val="24"/>
          <w:szCs w:val="24"/>
          <w:lang w:val="en"/>
        </w:rPr>
        <w:t>, London: Verso.</w:t>
      </w:r>
    </w:p>
    <w:p w14:paraId="43AA064C" w14:textId="180C9EA8" w:rsidR="00863951" w:rsidRPr="002155E2" w:rsidRDefault="002155E2" w:rsidP="0070073A">
      <w:pPr>
        <w:autoSpaceDE w:val="0"/>
        <w:spacing w:after="0" w:line="480" w:lineRule="auto"/>
        <w:jc w:val="both"/>
        <w:rPr>
          <w:sz w:val="24"/>
          <w:szCs w:val="24"/>
        </w:rPr>
      </w:pPr>
      <w:r w:rsidRPr="002155E2">
        <w:rPr>
          <w:sz w:val="24"/>
          <w:szCs w:val="24"/>
        </w:rPr>
        <w:t xml:space="preserve">Anand, C.J., Donnelly, S., Milne, A., Nelson-Becker, </w:t>
      </w:r>
      <w:proofErr w:type="spellStart"/>
      <w:proofErr w:type="gramStart"/>
      <w:r w:rsidRPr="002155E2">
        <w:rPr>
          <w:sz w:val="24"/>
          <w:szCs w:val="24"/>
        </w:rPr>
        <w:t>H.Vingare</w:t>
      </w:r>
      <w:proofErr w:type="spellEnd"/>
      <w:proofErr w:type="gramEnd"/>
      <w:r w:rsidRPr="002155E2">
        <w:rPr>
          <w:sz w:val="24"/>
          <w:szCs w:val="24"/>
        </w:rPr>
        <w:t xml:space="preserve">, E., </w:t>
      </w:r>
      <w:proofErr w:type="spellStart"/>
      <w:r w:rsidRPr="002155E2">
        <w:rPr>
          <w:sz w:val="24"/>
          <w:szCs w:val="24"/>
        </w:rPr>
        <w:t>Deusdad</w:t>
      </w:r>
      <w:proofErr w:type="spellEnd"/>
      <w:r w:rsidRPr="002155E2">
        <w:rPr>
          <w:sz w:val="24"/>
          <w:szCs w:val="24"/>
        </w:rPr>
        <w:t xml:space="preserve">, B., Cellini, G., </w:t>
      </w:r>
      <w:proofErr w:type="spellStart"/>
      <w:r w:rsidRPr="002155E2">
        <w:rPr>
          <w:sz w:val="24"/>
          <w:szCs w:val="24"/>
        </w:rPr>
        <w:t>Kinni</w:t>
      </w:r>
      <w:proofErr w:type="spellEnd"/>
      <w:r w:rsidRPr="002155E2">
        <w:rPr>
          <w:sz w:val="24"/>
          <w:szCs w:val="24"/>
        </w:rPr>
        <w:t xml:space="preserve">, R and </w:t>
      </w:r>
      <w:proofErr w:type="spellStart"/>
      <w:r w:rsidRPr="002155E2">
        <w:rPr>
          <w:sz w:val="24"/>
          <w:szCs w:val="24"/>
        </w:rPr>
        <w:t>Pregno</w:t>
      </w:r>
      <w:proofErr w:type="spellEnd"/>
      <w:r w:rsidRPr="002155E2">
        <w:rPr>
          <w:sz w:val="24"/>
          <w:szCs w:val="24"/>
        </w:rPr>
        <w:t>, C. (2021) The covid-19 pandemic and care homes for older people in Europe – deaths, damage and violations of human rights</w:t>
      </w:r>
      <w:r>
        <w:rPr>
          <w:sz w:val="24"/>
          <w:szCs w:val="24"/>
        </w:rPr>
        <w:t>,</w:t>
      </w:r>
      <w:r w:rsidRPr="002155E2">
        <w:rPr>
          <w:sz w:val="24"/>
          <w:szCs w:val="24"/>
        </w:rPr>
        <w:t xml:space="preserve"> </w:t>
      </w:r>
      <w:r w:rsidRPr="002155E2">
        <w:rPr>
          <w:i/>
          <w:sz w:val="24"/>
          <w:szCs w:val="24"/>
        </w:rPr>
        <w:t>European Journal of Social Work</w:t>
      </w:r>
      <w:r w:rsidRPr="002155E2">
        <w:rPr>
          <w:sz w:val="24"/>
          <w:szCs w:val="24"/>
        </w:rPr>
        <w:t xml:space="preserve"> Online 12 August </w:t>
      </w:r>
    </w:p>
    <w:p w14:paraId="75A17124" w14:textId="77777777" w:rsidR="00E879E8" w:rsidRPr="00E879E8" w:rsidRDefault="00E879E8" w:rsidP="0070073A">
      <w:pPr>
        <w:pStyle w:val="References"/>
        <w:ind w:left="0" w:firstLine="0"/>
        <w:rPr>
          <w:rFonts w:asciiTheme="minorHAnsi" w:hAnsiTheme="minorHAnsi" w:cstheme="minorHAnsi"/>
          <w:bCs/>
          <w:sz w:val="24"/>
          <w:szCs w:val="24"/>
          <w:lang w:val="en-GB"/>
        </w:rPr>
      </w:pPr>
      <w:r w:rsidRPr="00E879E8">
        <w:rPr>
          <w:rFonts w:asciiTheme="minorHAnsi" w:hAnsiTheme="minorHAnsi" w:cstheme="minorHAnsi"/>
          <w:bCs/>
          <w:sz w:val="24"/>
          <w:szCs w:val="24"/>
          <w:lang w:val="en-GB"/>
        </w:rPr>
        <w:t xml:space="preserve">Cruickshank, B. (1999) </w:t>
      </w:r>
      <w:r w:rsidRPr="00E879E8">
        <w:rPr>
          <w:rFonts w:asciiTheme="minorHAnsi" w:hAnsiTheme="minorHAnsi" w:cstheme="minorHAnsi"/>
          <w:bCs/>
          <w:i/>
          <w:sz w:val="24"/>
          <w:szCs w:val="24"/>
          <w:lang w:val="en-GB"/>
        </w:rPr>
        <w:t xml:space="preserve">The Will to Empower: Democratic Citizens and Other Subjects. </w:t>
      </w:r>
      <w:r w:rsidRPr="00E879E8">
        <w:rPr>
          <w:rFonts w:asciiTheme="minorHAnsi" w:hAnsiTheme="minorHAnsi" w:cstheme="minorHAnsi"/>
          <w:bCs/>
          <w:sz w:val="24"/>
          <w:szCs w:val="24"/>
          <w:lang w:val="en-GB"/>
        </w:rPr>
        <w:t>London, Cornell University Press.</w:t>
      </w:r>
    </w:p>
    <w:p w14:paraId="4D7E5F79" w14:textId="77777777" w:rsidR="00BC3661" w:rsidRDefault="00BC3661" w:rsidP="0070073A">
      <w:pPr>
        <w:autoSpaceDE w:val="0"/>
        <w:spacing w:after="200" w:line="480" w:lineRule="auto"/>
      </w:pPr>
      <w:r>
        <w:rPr>
          <w:rFonts w:cs="Calibri"/>
          <w:sz w:val="24"/>
          <w:szCs w:val="24"/>
          <w:lang w:val="en"/>
        </w:rPr>
        <w:t xml:space="preserve">Barnes, D., Boland, B., </w:t>
      </w:r>
      <w:proofErr w:type="spellStart"/>
      <w:r>
        <w:rPr>
          <w:rFonts w:cs="Calibri"/>
          <w:sz w:val="24"/>
          <w:szCs w:val="24"/>
          <w:lang w:val="en"/>
        </w:rPr>
        <w:t>Linhart</w:t>
      </w:r>
      <w:proofErr w:type="spellEnd"/>
      <w:r>
        <w:rPr>
          <w:rFonts w:cs="Calibri"/>
          <w:sz w:val="24"/>
          <w:szCs w:val="24"/>
          <w:lang w:val="en"/>
        </w:rPr>
        <w:t>, K., and Wilson, K. (2017). ‘</w:t>
      </w:r>
      <w:proofErr w:type="spellStart"/>
      <w:r>
        <w:rPr>
          <w:rFonts w:cs="Calibri"/>
          <w:sz w:val="24"/>
          <w:szCs w:val="24"/>
          <w:lang w:val="en"/>
        </w:rPr>
        <w:t>Personalisation</w:t>
      </w:r>
      <w:proofErr w:type="spellEnd"/>
      <w:r>
        <w:rPr>
          <w:rFonts w:cs="Calibri"/>
          <w:sz w:val="24"/>
          <w:szCs w:val="24"/>
          <w:lang w:val="en"/>
        </w:rPr>
        <w:t xml:space="preserve"> and Social Care Assessment’ </w:t>
      </w:r>
      <w:r>
        <w:rPr>
          <w:rFonts w:cs="Calibri"/>
          <w:i/>
          <w:iCs/>
          <w:sz w:val="24"/>
          <w:szCs w:val="24"/>
          <w:lang w:val="en"/>
        </w:rPr>
        <w:t xml:space="preserve">British Journal of Psychology Bulletin </w:t>
      </w:r>
      <w:r>
        <w:rPr>
          <w:rFonts w:cs="Calibri"/>
          <w:b/>
          <w:bCs/>
          <w:sz w:val="24"/>
          <w:szCs w:val="24"/>
          <w:lang w:val="en"/>
        </w:rPr>
        <w:t>41,</w:t>
      </w:r>
      <w:r>
        <w:rPr>
          <w:rFonts w:cs="Calibri"/>
          <w:sz w:val="24"/>
          <w:szCs w:val="24"/>
          <w:lang w:val="en"/>
        </w:rPr>
        <w:t xml:space="preserve"> 176-180.</w:t>
      </w:r>
    </w:p>
    <w:p w14:paraId="0421864B" w14:textId="77777777" w:rsidR="00ED10DD" w:rsidRPr="00A97339" w:rsidRDefault="00062E75" w:rsidP="00A97339">
      <w:pPr>
        <w:pStyle w:val="Bodytextfullout"/>
        <w:spacing w:line="480" w:lineRule="auto"/>
        <w:ind w:left="0"/>
        <w:rPr>
          <w:rFonts w:asciiTheme="minorHAnsi" w:hAnsiTheme="minorHAnsi" w:cstheme="minorHAnsi"/>
          <w:sz w:val="24"/>
          <w:szCs w:val="24"/>
        </w:rPr>
      </w:pPr>
      <w:r w:rsidRPr="00062E75">
        <w:rPr>
          <w:rFonts w:asciiTheme="minorHAnsi" w:hAnsiTheme="minorHAnsi" w:cstheme="minorHAnsi"/>
          <w:sz w:val="24"/>
          <w:szCs w:val="24"/>
        </w:rPr>
        <w:t xml:space="preserve">Bauman, Z. (1993) </w:t>
      </w:r>
      <w:r w:rsidRPr="00062E75">
        <w:rPr>
          <w:rFonts w:asciiTheme="minorHAnsi" w:hAnsiTheme="minorHAnsi" w:cstheme="minorHAnsi"/>
          <w:i/>
          <w:sz w:val="24"/>
          <w:szCs w:val="24"/>
        </w:rPr>
        <w:t>Postmodern Ethics</w:t>
      </w:r>
      <w:r w:rsidRPr="00062E75">
        <w:rPr>
          <w:rFonts w:asciiTheme="minorHAnsi" w:hAnsiTheme="minorHAnsi" w:cstheme="minorHAnsi"/>
          <w:sz w:val="24"/>
          <w:szCs w:val="24"/>
        </w:rPr>
        <w:t xml:space="preserve"> Oxford, Blackwell.</w:t>
      </w:r>
    </w:p>
    <w:p w14:paraId="6E9BBADA" w14:textId="4F4F769B" w:rsidR="006E343E" w:rsidRDefault="00C35A1B" w:rsidP="0070073A">
      <w:pPr>
        <w:pStyle w:val="Normal1"/>
        <w:tabs>
          <w:tab w:val="left" w:pos="3330"/>
        </w:tabs>
        <w:spacing w:line="480" w:lineRule="auto"/>
        <w:rPr>
          <w:sz w:val="24"/>
          <w:szCs w:val="24"/>
          <w:lang w:val="en"/>
        </w:rPr>
      </w:pPr>
      <w:r>
        <w:rPr>
          <w:sz w:val="24"/>
          <w:szCs w:val="24"/>
          <w:lang w:val="en"/>
        </w:rPr>
        <w:lastRenderedPageBreak/>
        <w:t>Buckner</w:t>
      </w:r>
      <w:r w:rsidR="00586D16">
        <w:rPr>
          <w:sz w:val="24"/>
          <w:szCs w:val="24"/>
          <w:lang w:val="en"/>
        </w:rPr>
        <w:t>, L.</w:t>
      </w:r>
      <w:r>
        <w:rPr>
          <w:sz w:val="24"/>
          <w:szCs w:val="24"/>
          <w:lang w:val="en"/>
        </w:rPr>
        <w:t xml:space="preserve"> and </w:t>
      </w:r>
      <w:proofErr w:type="spellStart"/>
      <w:r>
        <w:rPr>
          <w:sz w:val="24"/>
          <w:szCs w:val="24"/>
          <w:lang w:val="en"/>
        </w:rPr>
        <w:t>Yeandle</w:t>
      </w:r>
      <w:proofErr w:type="spellEnd"/>
      <w:r>
        <w:rPr>
          <w:sz w:val="24"/>
          <w:szCs w:val="24"/>
          <w:lang w:val="en"/>
        </w:rPr>
        <w:t>,</w:t>
      </w:r>
      <w:r w:rsidR="00586D16">
        <w:rPr>
          <w:sz w:val="24"/>
          <w:szCs w:val="24"/>
          <w:lang w:val="en"/>
        </w:rPr>
        <w:t xml:space="preserve"> S.</w:t>
      </w:r>
      <w:r>
        <w:rPr>
          <w:sz w:val="24"/>
          <w:szCs w:val="24"/>
          <w:lang w:val="en"/>
        </w:rPr>
        <w:t xml:space="preserve"> </w:t>
      </w:r>
      <w:r w:rsidR="00586D16">
        <w:rPr>
          <w:sz w:val="24"/>
          <w:szCs w:val="24"/>
          <w:lang w:val="en"/>
        </w:rPr>
        <w:t>(</w:t>
      </w:r>
      <w:r>
        <w:rPr>
          <w:sz w:val="24"/>
          <w:szCs w:val="24"/>
          <w:lang w:val="en"/>
        </w:rPr>
        <w:t>2015</w:t>
      </w:r>
      <w:r w:rsidR="00586D16">
        <w:rPr>
          <w:sz w:val="24"/>
          <w:szCs w:val="24"/>
          <w:lang w:val="en"/>
        </w:rPr>
        <w:t xml:space="preserve">) Valuing </w:t>
      </w:r>
      <w:proofErr w:type="spellStart"/>
      <w:r w:rsidR="00586D16">
        <w:rPr>
          <w:sz w:val="24"/>
          <w:szCs w:val="24"/>
          <w:lang w:val="en"/>
        </w:rPr>
        <w:t>Carers</w:t>
      </w:r>
      <w:proofErr w:type="spellEnd"/>
      <w:r w:rsidR="00586D16">
        <w:rPr>
          <w:sz w:val="24"/>
          <w:szCs w:val="24"/>
          <w:lang w:val="en"/>
        </w:rPr>
        <w:t xml:space="preserve">: The rising value of </w:t>
      </w:r>
      <w:proofErr w:type="spellStart"/>
      <w:r w:rsidR="00586D16">
        <w:rPr>
          <w:sz w:val="24"/>
          <w:szCs w:val="24"/>
          <w:lang w:val="en"/>
        </w:rPr>
        <w:t>carers</w:t>
      </w:r>
      <w:r w:rsidR="00346D7B">
        <w:rPr>
          <w:sz w:val="24"/>
          <w:szCs w:val="24"/>
          <w:lang w:val="en"/>
        </w:rPr>
        <w:t>’</w:t>
      </w:r>
      <w:proofErr w:type="spellEnd"/>
      <w:r w:rsidR="00586D16">
        <w:rPr>
          <w:sz w:val="24"/>
          <w:szCs w:val="24"/>
          <w:lang w:val="en"/>
        </w:rPr>
        <w:t xml:space="preserve"> support</w:t>
      </w:r>
      <w:r w:rsidR="00346D7B">
        <w:rPr>
          <w:sz w:val="24"/>
          <w:szCs w:val="24"/>
          <w:lang w:val="en"/>
        </w:rPr>
        <w:t xml:space="preserve"> London, </w:t>
      </w:r>
      <w:proofErr w:type="spellStart"/>
      <w:r w:rsidR="00346D7B">
        <w:rPr>
          <w:sz w:val="24"/>
          <w:szCs w:val="24"/>
          <w:lang w:val="en"/>
        </w:rPr>
        <w:t>Carers</w:t>
      </w:r>
      <w:proofErr w:type="spellEnd"/>
      <w:r w:rsidR="00346D7B">
        <w:rPr>
          <w:sz w:val="24"/>
          <w:szCs w:val="24"/>
          <w:lang w:val="en"/>
        </w:rPr>
        <w:t xml:space="preserve"> UK.</w:t>
      </w:r>
    </w:p>
    <w:p w14:paraId="4B627094" w14:textId="77777777" w:rsidR="00FA632D" w:rsidRPr="00FA632D" w:rsidRDefault="00FA632D" w:rsidP="00FA632D">
      <w:pPr>
        <w:pStyle w:val="Heading1"/>
        <w:shd w:val="clear" w:color="auto" w:fill="FFFFFF"/>
        <w:spacing w:before="150" w:line="480" w:lineRule="auto"/>
        <w:textAlignment w:val="baseline"/>
        <w:rPr>
          <w:rFonts w:asciiTheme="minorHAnsi" w:hAnsiTheme="minorHAnsi" w:cstheme="minorHAnsi"/>
          <w:b w:val="0"/>
          <w:color w:val="212121"/>
          <w:sz w:val="24"/>
          <w:shd w:val="clear" w:color="auto" w:fill="FFFFFF"/>
        </w:rPr>
      </w:pPr>
      <w:r w:rsidRPr="00FA632D">
        <w:rPr>
          <w:rFonts w:asciiTheme="minorHAnsi" w:hAnsiTheme="minorHAnsi" w:cstheme="minorHAnsi"/>
          <w:b w:val="0"/>
          <w:bCs w:val="0"/>
          <w:color w:val="555555"/>
          <w:sz w:val="24"/>
          <w:lang w:eastAsia="en-GB"/>
        </w:rPr>
        <w:t>Carey, M. (2019) ‘</w:t>
      </w:r>
      <w:r w:rsidRPr="00FA632D">
        <w:rPr>
          <w:rFonts w:asciiTheme="minorHAnsi" w:hAnsiTheme="minorHAnsi" w:cstheme="minorHAnsi"/>
          <w:b w:val="0"/>
          <w:color w:val="212121"/>
          <w:sz w:val="24"/>
          <w:shd w:val="clear" w:color="auto" w:fill="FFFFFF"/>
        </w:rPr>
        <w:t xml:space="preserve">Some limits and political implications of participation within health and social care for older adults’ </w:t>
      </w:r>
      <w:r w:rsidRPr="00FA632D">
        <w:rPr>
          <w:rFonts w:asciiTheme="minorHAnsi" w:hAnsiTheme="minorHAnsi" w:cstheme="minorHAnsi"/>
          <w:b w:val="0"/>
          <w:i/>
          <w:color w:val="212121"/>
          <w:sz w:val="24"/>
          <w:shd w:val="clear" w:color="auto" w:fill="FFFFFF"/>
        </w:rPr>
        <w:t xml:space="preserve">Ageing and Society </w:t>
      </w:r>
      <w:r w:rsidRPr="00FA632D">
        <w:rPr>
          <w:rFonts w:asciiTheme="minorHAnsi" w:hAnsiTheme="minorHAnsi" w:cstheme="minorHAnsi"/>
          <w:b w:val="0"/>
          <w:color w:val="212121"/>
          <w:sz w:val="24"/>
          <w:shd w:val="clear" w:color="auto" w:fill="FFFFFF"/>
        </w:rPr>
        <w:t>39(8): 1691-1708</w:t>
      </w:r>
    </w:p>
    <w:p w14:paraId="3685F05A" w14:textId="77777777" w:rsidR="00FA632D" w:rsidRDefault="00FA632D" w:rsidP="0070073A">
      <w:pPr>
        <w:pStyle w:val="Normal1"/>
        <w:tabs>
          <w:tab w:val="left" w:pos="3330"/>
        </w:tabs>
        <w:spacing w:line="480" w:lineRule="auto"/>
        <w:rPr>
          <w:sz w:val="24"/>
          <w:szCs w:val="24"/>
          <w:lang w:val="en"/>
        </w:rPr>
      </w:pPr>
    </w:p>
    <w:p w14:paraId="15299CDA" w14:textId="2B2CBEAD" w:rsidR="007D5E24" w:rsidRPr="00907710" w:rsidRDefault="007D5E24" w:rsidP="0070073A">
      <w:pPr>
        <w:pStyle w:val="Normal1"/>
        <w:tabs>
          <w:tab w:val="left" w:pos="3330"/>
        </w:tabs>
        <w:spacing w:line="480" w:lineRule="auto"/>
        <w:rPr>
          <w:sz w:val="24"/>
          <w:szCs w:val="24"/>
          <w:lang w:val="en"/>
        </w:rPr>
      </w:pPr>
      <w:r>
        <w:rPr>
          <w:sz w:val="24"/>
          <w:szCs w:val="24"/>
          <w:lang w:val="en"/>
        </w:rPr>
        <w:t xml:space="preserve">Cowden, S. and Singh, G. (2007) The “User”: Friend, Foe or Fetish? A Critical Exploration of User Involvement in Health and Social Care, </w:t>
      </w:r>
      <w:r>
        <w:rPr>
          <w:i/>
          <w:iCs/>
          <w:sz w:val="24"/>
          <w:szCs w:val="24"/>
          <w:lang w:val="en"/>
        </w:rPr>
        <w:t xml:space="preserve">Critical Social Policy </w:t>
      </w:r>
      <w:r>
        <w:rPr>
          <w:b/>
          <w:bCs/>
          <w:sz w:val="24"/>
          <w:szCs w:val="24"/>
          <w:lang w:val="en"/>
        </w:rPr>
        <w:t>27</w:t>
      </w:r>
      <w:r>
        <w:rPr>
          <w:sz w:val="24"/>
          <w:szCs w:val="24"/>
          <w:lang w:val="en"/>
        </w:rPr>
        <w:t>, 5–23.</w:t>
      </w:r>
    </w:p>
    <w:p w14:paraId="7873141C" w14:textId="77777777" w:rsidR="00C35A1B" w:rsidRPr="007A168E" w:rsidRDefault="007D5E24" w:rsidP="00907710">
      <w:pPr>
        <w:autoSpaceDE w:val="0"/>
        <w:spacing w:after="200" w:line="480" w:lineRule="auto"/>
      </w:pPr>
      <w:bookmarkStart w:id="3" w:name="_Hlk50454248"/>
      <w:r>
        <w:rPr>
          <w:rFonts w:cs="Calibri"/>
          <w:sz w:val="24"/>
          <w:szCs w:val="24"/>
          <w:lang w:val="en"/>
        </w:rPr>
        <w:t>Daly, M., and Westwood, S. (2018</w:t>
      </w:r>
      <w:bookmarkEnd w:id="3"/>
      <w:r>
        <w:rPr>
          <w:rFonts w:cs="Calibri"/>
          <w:sz w:val="24"/>
          <w:szCs w:val="24"/>
          <w:lang w:val="en"/>
        </w:rPr>
        <w:t xml:space="preserve">). ‘Asset-based approaches, older people and social care: an analysis and critique’ </w:t>
      </w:r>
      <w:r>
        <w:rPr>
          <w:rFonts w:cs="Calibri"/>
          <w:i/>
          <w:iCs/>
          <w:sz w:val="24"/>
          <w:szCs w:val="24"/>
          <w:lang w:val="en"/>
        </w:rPr>
        <w:t xml:space="preserve">Ageing and Society </w:t>
      </w:r>
      <w:r>
        <w:rPr>
          <w:rFonts w:cs="Calibri"/>
          <w:b/>
          <w:bCs/>
          <w:sz w:val="24"/>
          <w:szCs w:val="24"/>
          <w:lang w:val="en"/>
        </w:rPr>
        <w:t>38</w:t>
      </w:r>
      <w:r>
        <w:rPr>
          <w:rFonts w:cs="Calibri"/>
          <w:sz w:val="24"/>
          <w:szCs w:val="24"/>
          <w:lang w:val="en"/>
        </w:rPr>
        <w:t>, 1087-1099</w:t>
      </w:r>
    </w:p>
    <w:p w14:paraId="71D769DC" w14:textId="77777777" w:rsidR="00D96642" w:rsidRPr="007A168E" w:rsidRDefault="007A168E" w:rsidP="00907710">
      <w:pPr>
        <w:pStyle w:val="References"/>
        <w:ind w:left="0" w:firstLine="0"/>
        <w:rPr>
          <w:rFonts w:asciiTheme="minorHAnsi" w:hAnsiTheme="minorHAnsi" w:cstheme="minorHAnsi"/>
          <w:bCs/>
          <w:sz w:val="24"/>
          <w:szCs w:val="24"/>
          <w:lang w:val="en-GB"/>
        </w:rPr>
      </w:pPr>
      <w:r w:rsidRPr="007A168E">
        <w:rPr>
          <w:rFonts w:asciiTheme="minorHAnsi" w:hAnsiTheme="minorHAnsi" w:cstheme="minorHAnsi"/>
          <w:bCs/>
          <w:sz w:val="24"/>
          <w:szCs w:val="24"/>
          <w:lang w:val="en-GB"/>
        </w:rPr>
        <w:t xml:space="preserve">Dean, M. (2010) </w:t>
      </w:r>
      <w:r w:rsidRPr="007A168E">
        <w:rPr>
          <w:rFonts w:asciiTheme="minorHAnsi" w:hAnsiTheme="minorHAnsi" w:cstheme="minorHAnsi"/>
          <w:bCs/>
          <w:i/>
          <w:iCs/>
          <w:sz w:val="24"/>
          <w:szCs w:val="24"/>
          <w:lang w:val="en-GB"/>
        </w:rPr>
        <w:t>Governmentality: Power and Rule in Modern Society</w:t>
      </w:r>
      <w:r w:rsidRPr="007A168E">
        <w:rPr>
          <w:rFonts w:asciiTheme="minorHAnsi" w:hAnsiTheme="minorHAnsi" w:cstheme="minorHAnsi"/>
          <w:bCs/>
          <w:sz w:val="24"/>
          <w:szCs w:val="24"/>
          <w:lang w:val="en-GB"/>
        </w:rPr>
        <w:t>, 2nd Ed. London, Sage.</w:t>
      </w:r>
    </w:p>
    <w:p w14:paraId="0C164A96" w14:textId="0A9B46BA" w:rsidR="001678A4" w:rsidRPr="006E343E" w:rsidRDefault="00C266DD" w:rsidP="006E343E">
      <w:pPr>
        <w:autoSpaceDE w:val="0"/>
        <w:spacing w:line="480" w:lineRule="auto"/>
      </w:pPr>
      <w:r>
        <w:rPr>
          <w:rFonts w:cs="Calibri"/>
          <w:sz w:val="24"/>
          <w:szCs w:val="24"/>
        </w:rPr>
        <w:t xml:space="preserve">Dean, H. (2012) ‘The Ethical deficit of the United Kingdom’s Proposed Universal Credit: Pimping the precariat?’ </w:t>
      </w:r>
      <w:r>
        <w:rPr>
          <w:rFonts w:cs="Calibri"/>
          <w:i/>
          <w:iCs/>
          <w:sz w:val="24"/>
          <w:szCs w:val="24"/>
        </w:rPr>
        <w:t>The Political Quarterly,</w:t>
      </w:r>
      <w:r>
        <w:rPr>
          <w:rFonts w:cs="Calibri"/>
          <w:sz w:val="24"/>
          <w:szCs w:val="24"/>
        </w:rPr>
        <w:t xml:space="preserve"> </w:t>
      </w:r>
      <w:r>
        <w:rPr>
          <w:rFonts w:cs="Calibri"/>
          <w:b/>
          <w:bCs/>
          <w:sz w:val="24"/>
          <w:szCs w:val="24"/>
        </w:rPr>
        <w:t>83</w:t>
      </w:r>
      <w:r>
        <w:rPr>
          <w:rFonts w:cs="Calibri"/>
          <w:i/>
          <w:iCs/>
          <w:sz w:val="24"/>
          <w:szCs w:val="24"/>
        </w:rPr>
        <w:t xml:space="preserve"> </w:t>
      </w:r>
      <w:r>
        <w:rPr>
          <w:rFonts w:cs="Calibri"/>
          <w:sz w:val="24"/>
          <w:szCs w:val="24"/>
        </w:rPr>
        <w:t>(2): 353-359.</w:t>
      </w:r>
    </w:p>
    <w:p w14:paraId="4E38198F" w14:textId="77777777" w:rsidR="00844ED1" w:rsidRDefault="00844ED1" w:rsidP="00907710">
      <w:pPr>
        <w:autoSpaceDE w:val="0"/>
        <w:spacing w:after="200" w:line="480" w:lineRule="auto"/>
      </w:pPr>
      <w:r>
        <w:rPr>
          <w:rFonts w:cs="Calibri"/>
          <w:sz w:val="24"/>
          <w:szCs w:val="24"/>
          <w:lang w:val="en"/>
        </w:rPr>
        <w:t xml:space="preserve">Department of Health. (2007). </w:t>
      </w:r>
      <w:r>
        <w:rPr>
          <w:rFonts w:cs="Calibri"/>
          <w:i/>
          <w:iCs/>
          <w:sz w:val="24"/>
          <w:szCs w:val="24"/>
          <w:lang w:val="en"/>
        </w:rPr>
        <w:t>Putting people first: A shared vision and commitment to the transformation of adult social care</w:t>
      </w:r>
      <w:r>
        <w:rPr>
          <w:rFonts w:cs="Calibri"/>
          <w:sz w:val="24"/>
          <w:szCs w:val="24"/>
          <w:lang w:val="en"/>
        </w:rPr>
        <w:t xml:space="preserve"> London, Department of Health.</w:t>
      </w:r>
    </w:p>
    <w:p w14:paraId="59395E36" w14:textId="77777777" w:rsidR="00B52DC3" w:rsidRDefault="00B52DC3" w:rsidP="00907710">
      <w:pPr>
        <w:pStyle w:val="Normal1"/>
        <w:tabs>
          <w:tab w:val="left" w:pos="3330"/>
        </w:tabs>
        <w:spacing w:line="480" w:lineRule="auto"/>
        <w:rPr>
          <w:rFonts w:cstheme="minorHAnsi"/>
          <w:sz w:val="24"/>
          <w:szCs w:val="24"/>
        </w:rPr>
      </w:pPr>
      <w:r>
        <w:rPr>
          <w:rFonts w:cstheme="minorHAnsi"/>
          <w:sz w:val="24"/>
          <w:szCs w:val="24"/>
        </w:rPr>
        <w:t>D</w:t>
      </w:r>
      <w:r w:rsidR="00365CF1">
        <w:rPr>
          <w:rFonts w:cstheme="minorHAnsi"/>
          <w:sz w:val="24"/>
          <w:szCs w:val="24"/>
        </w:rPr>
        <w:t>epartment of Health.</w:t>
      </w:r>
      <w:r>
        <w:rPr>
          <w:rFonts w:cstheme="minorHAnsi"/>
          <w:sz w:val="24"/>
          <w:szCs w:val="24"/>
        </w:rPr>
        <w:t xml:space="preserve"> </w:t>
      </w:r>
      <w:r w:rsidR="00365CF1">
        <w:rPr>
          <w:rFonts w:cstheme="minorHAnsi"/>
          <w:sz w:val="24"/>
          <w:szCs w:val="24"/>
        </w:rPr>
        <w:t>(</w:t>
      </w:r>
      <w:r>
        <w:rPr>
          <w:rFonts w:cstheme="minorHAnsi"/>
          <w:sz w:val="24"/>
          <w:szCs w:val="24"/>
        </w:rPr>
        <w:t>2010</w:t>
      </w:r>
      <w:r w:rsidR="00365CF1">
        <w:rPr>
          <w:rFonts w:cstheme="minorHAnsi"/>
          <w:sz w:val="24"/>
          <w:szCs w:val="24"/>
        </w:rPr>
        <w:t xml:space="preserve">) </w:t>
      </w:r>
      <w:r w:rsidR="00365CF1" w:rsidRPr="00365CF1">
        <w:rPr>
          <w:rFonts w:cstheme="minorHAnsi"/>
          <w:i/>
          <w:sz w:val="24"/>
          <w:szCs w:val="24"/>
        </w:rPr>
        <w:t>A Vision for Adult Social Care and Supporting Documents</w:t>
      </w:r>
      <w:r w:rsidR="00365CF1">
        <w:rPr>
          <w:rFonts w:cstheme="minorHAnsi"/>
          <w:sz w:val="24"/>
          <w:szCs w:val="24"/>
        </w:rPr>
        <w:t xml:space="preserve"> </w:t>
      </w:r>
      <w:r w:rsidR="00365CF1">
        <w:rPr>
          <w:sz w:val="24"/>
          <w:szCs w:val="24"/>
          <w:lang w:val="en"/>
        </w:rPr>
        <w:t>London, Department of Health.</w:t>
      </w:r>
    </w:p>
    <w:p w14:paraId="08E0209A" w14:textId="77777777" w:rsidR="00365CF1" w:rsidRDefault="00C266DD" w:rsidP="00907710">
      <w:pPr>
        <w:autoSpaceDE w:val="0"/>
        <w:spacing w:line="480" w:lineRule="auto"/>
        <w:rPr>
          <w:rFonts w:cs="Calibri"/>
          <w:sz w:val="24"/>
          <w:szCs w:val="24"/>
        </w:rPr>
      </w:pPr>
      <w:r>
        <w:rPr>
          <w:rFonts w:cs="Calibri"/>
          <w:sz w:val="24"/>
          <w:szCs w:val="24"/>
        </w:rPr>
        <w:t>De Tocqueville A (2003 [1835]) Democracy in America. London: Penguin.</w:t>
      </w:r>
    </w:p>
    <w:p w14:paraId="194F6567" w14:textId="77777777" w:rsidR="00601A49" w:rsidRPr="006E791D" w:rsidRDefault="00601A49" w:rsidP="00601A49">
      <w:pPr>
        <w:pStyle w:val="Normaltextnewpara"/>
        <w:spacing w:line="240" w:lineRule="auto"/>
        <w:ind w:firstLine="0"/>
        <w:rPr>
          <w:lang w:val="en-GB"/>
        </w:rPr>
      </w:pPr>
      <w:r w:rsidRPr="006E791D">
        <w:rPr>
          <w:lang w:val="en-GB"/>
        </w:rPr>
        <w:t xml:space="preserve">Dustin, D. (2007) </w:t>
      </w:r>
      <w:r w:rsidRPr="006E791D">
        <w:rPr>
          <w:i/>
          <w:lang w:val="en-GB"/>
        </w:rPr>
        <w:t>The McDonaldization of social work</w:t>
      </w:r>
      <w:r w:rsidRPr="006E791D">
        <w:rPr>
          <w:lang w:val="en-GB"/>
        </w:rPr>
        <w:t>. Farnham: Ashgate.</w:t>
      </w:r>
    </w:p>
    <w:p w14:paraId="15F1CF67" w14:textId="77777777" w:rsidR="00601A49" w:rsidRDefault="00601A49" w:rsidP="00907710">
      <w:pPr>
        <w:autoSpaceDE w:val="0"/>
        <w:spacing w:line="480" w:lineRule="auto"/>
        <w:rPr>
          <w:rFonts w:cs="Calibri"/>
          <w:sz w:val="24"/>
          <w:szCs w:val="24"/>
        </w:rPr>
      </w:pPr>
    </w:p>
    <w:p w14:paraId="78AE519F" w14:textId="77777777" w:rsidR="008217A6" w:rsidRPr="00365CF1" w:rsidRDefault="008217A6" w:rsidP="00907710">
      <w:pPr>
        <w:autoSpaceDE w:val="0"/>
        <w:spacing w:line="480" w:lineRule="auto"/>
        <w:rPr>
          <w:rFonts w:cs="Calibri"/>
          <w:sz w:val="24"/>
          <w:szCs w:val="24"/>
        </w:rPr>
      </w:pPr>
      <w:r>
        <w:rPr>
          <w:rFonts w:cs="Calibri"/>
          <w:sz w:val="24"/>
          <w:szCs w:val="24"/>
        </w:rPr>
        <w:t xml:space="preserve">Dwyer, P (ed.) (2019) </w:t>
      </w:r>
      <w:r>
        <w:rPr>
          <w:rFonts w:cs="Calibri"/>
          <w:i/>
          <w:iCs/>
          <w:sz w:val="24"/>
          <w:szCs w:val="24"/>
        </w:rPr>
        <w:t>Dealing with Welfare Conditionality: Implementation and Effects,</w:t>
      </w:r>
      <w:r>
        <w:rPr>
          <w:rFonts w:cs="Calibri"/>
          <w:sz w:val="24"/>
          <w:szCs w:val="24"/>
        </w:rPr>
        <w:t xml:space="preserve"> Bristol, Policy Press.</w:t>
      </w:r>
    </w:p>
    <w:p w14:paraId="527E2B3C" w14:textId="77777777" w:rsidR="007734E6" w:rsidRDefault="007734E6" w:rsidP="00907710">
      <w:pPr>
        <w:autoSpaceDE w:val="0"/>
        <w:spacing w:after="0" w:line="480" w:lineRule="auto"/>
      </w:pPr>
      <w:r>
        <w:rPr>
          <w:rFonts w:cs="Calibri"/>
          <w:sz w:val="24"/>
          <w:szCs w:val="24"/>
          <w:lang w:val="en"/>
        </w:rPr>
        <w:lastRenderedPageBreak/>
        <w:t xml:space="preserve">Estes, C.L., Biggs, S., and Phillipson, C. (2003). </w:t>
      </w:r>
      <w:r>
        <w:rPr>
          <w:rFonts w:cs="Calibri"/>
          <w:i/>
          <w:iCs/>
          <w:sz w:val="24"/>
          <w:szCs w:val="24"/>
          <w:lang w:val="en"/>
        </w:rPr>
        <w:t>Social Theory, Social Policy and Ageing: A Critical Introduction</w:t>
      </w:r>
      <w:r>
        <w:rPr>
          <w:rFonts w:cs="Calibri"/>
          <w:sz w:val="24"/>
          <w:szCs w:val="24"/>
          <w:lang w:val="en"/>
        </w:rPr>
        <w:t xml:space="preserve"> Berkshire, Open University Press.</w:t>
      </w:r>
    </w:p>
    <w:p w14:paraId="4D4D7AFB" w14:textId="77777777" w:rsidR="00D96642" w:rsidRPr="00844ED1" w:rsidRDefault="00844ED1" w:rsidP="00907710">
      <w:pPr>
        <w:autoSpaceDE w:val="0"/>
        <w:spacing w:after="200" w:line="480" w:lineRule="auto"/>
      </w:pPr>
      <w:proofErr w:type="spellStart"/>
      <w:r>
        <w:rPr>
          <w:rFonts w:cs="Calibri"/>
          <w:sz w:val="24"/>
          <w:szCs w:val="24"/>
          <w:lang w:val="en"/>
        </w:rPr>
        <w:t>Feltoe</w:t>
      </w:r>
      <w:proofErr w:type="spellEnd"/>
      <w:r>
        <w:rPr>
          <w:rFonts w:cs="Calibri"/>
          <w:sz w:val="24"/>
          <w:szCs w:val="24"/>
          <w:lang w:val="en"/>
        </w:rPr>
        <w:t xml:space="preserve">, E. and Orellana, K. (2013). </w:t>
      </w:r>
      <w:r>
        <w:rPr>
          <w:rFonts w:cs="Calibri"/>
          <w:i/>
          <w:iCs/>
          <w:sz w:val="24"/>
          <w:szCs w:val="24"/>
          <w:lang w:val="en"/>
        </w:rPr>
        <w:t>Making managed personal budgets work for older people</w:t>
      </w:r>
      <w:r>
        <w:rPr>
          <w:rFonts w:cs="Calibri"/>
          <w:sz w:val="24"/>
          <w:szCs w:val="24"/>
          <w:lang w:val="en"/>
        </w:rPr>
        <w:t xml:space="preserve"> London, Age UK.</w:t>
      </w:r>
    </w:p>
    <w:p w14:paraId="3073D563" w14:textId="77777777" w:rsidR="007734E6" w:rsidRDefault="007734E6" w:rsidP="00907710">
      <w:pPr>
        <w:autoSpaceDE w:val="0"/>
        <w:spacing w:after="200" w:line="480" w:lineRule="auto"/>
      </w:pPr>
      <w:r>
        <w:rPr>
          <w:rFonts w:cs="Calibri"/>
          <w:sz w:val="24"/>
          <w:szCs w:val="24"/>
          <w:lang w:val="en"/>
        </w:rPr>
        <w:t xml:space="preserve">Ferguson, I. (2007). ‘Increasing User Choice or </w:t>
      </w:r>
      <w:proofErr w:type="spellStart"/>
      <w:r>
        <w:rPr>
          <w:rFonts w:cs="Calibri"/>
          <w:sz w:val="24"/>
          <w:szCs w:val="24"/>
          <w:lang w:val="en"/>
        </w:rPr>
        <w:t>Privitizing</w:t>
      </w:r>
      <w:proofErr w:type="spellEnd"/>
      <w:r>
        <w:rPr>
          <w:rFonts w:cs="Calibri"/>
          <w:sz w:val="24"/>
          <w:szCs w:val="24"/>
          <w:lang w:val="en"/>
        </w:rPr>
        <w:t xml:space="preserve"> Risk? The Antimonies of </w:t>
      </w:r>
      <w:proofErr w:type="spellStart"/>
      <w:r>
        <w:rPr>
          <w:rFonts w:cs="Calibri"/>
          <w:sz w:val="24"/>
          <w:szCs w:val="24"/>
          <w:lang w:val="en"/>
        </w:rPr>
        <w:t>Personalisation</w:t>
      </w:r>
      <w:proofErr w:type="spellEnd"/>
      <w:r>
        <w:rPr>
          <w:rFonts w:cs="Calibri"/>
          <w:sz w:val="24"/>
          <w:szCs w:val="24"/>
          <w:lang w:val="en"/>
        </w:rPr>
        <w:t xml:space="preserve">’ </w:t>
      </w:r>
      <w:r>
        <w:rPr>
          <w:rFonts w:cs="Calibri"/>
          <w:i/>
          <w:iCs/>
          <w:sz w:val="24"/>
          <w:szCs w:val="24"/>
          <w:lang w:val="en"/>
        </w:rPr>
        <w:t xml:space="preserve">British Journal of Social Work </w:t>
      </w:r>
      <w:r>
        <w:rPr>
          <w:rFonts w:cs="Calibri"/>
          <w:b/>
          <w:bCs/>
          <w:sz w:val="24"/>
          <w:szCs w:val="24"/>
          <w:lang w:val="en"/>
        </w:rPr>
        <w:t>37</w:t>
      </w:r>
      <w:r>
        <w:rPr>
          <w:rFonts w:cs="Calibri"/>
          <w:sz w:val="24"/>
          <w:szCs w:val="24"/>
          <w:lang w:val="en"/>
        </w:rPr>
        <w:t>, 3, 387-403.</w:t>
      </w:r>
    </w:p>
    <w:p w14:paraId="66CE0783" w14:textId="77777777" w:rsidR="00844ED1" w:rsidRDefault="00844ED1" w:rsidP="00907710">
      <w:pPr>
        <w:autoSpaceDE w:val="0"/>
        <w:spacing w:line="480" w:lineRule="auto"/>
      </w:pPr>
      <w:r>
        <w:rPr>
          <w:rFonts w:cs="Calibri"/>
          <w:sz w:val="24"/>
          <w:szCs w:val="24"/>
        </w:rPr>
        <w:t xml:space="preserve">Fletcher, D.R. and Flint, J. (2018) ‘Welfare conditionality and social marginality: The folly of the tutelary state?’ </w:t>
      </w:r>
      <w:r>
        <w:rPr>
          <w:rFonts w:cs="Calibri"/>
          <w:i/>
          <w:sz w:val="24"/>
          <w:szCs w:val="24"/>
        </w:rPr>
        <w:t>Critical Social Policy</w:t>
      </w:r>
      <w:r>
        <w:rPr>
          <w:rFonts w:cs="Calibri"/>
          <w:sz w:val="24"/>
          <w:szCs w:val="24"/>
        </w:rPr>
        <w:t xml:space="preserve"> </w:t>
      </w:r>
      <w:r w:rsidRPr="00E879E8">
        <w:rPr>
          <w:rFonts w:cs="Calibri"/>
          <w:b/>
          <w:sz w:val="24"/>
          <w:szCs w:val="24"/>
        </w:rPr>
        <w:t>38</w:t>
      </w:r>
      <w:r>
        <w:rPr>
          <w:rFonts w:cs="Calibri"/>
          <w:sz w:val="24"/>
          <w:szCs w:val="24"/>
        </w:rPr>
        <w:t>(4): 771-791</w:t>
      </w:r>
    </w:p>
    <w:p w14:paraId="0903108C" w14:textId="77777777" w:rsidR="007734E6" w:rsidRPr="007734E6" w:rsidRDefault="00B14614" w:rsidP="007406A8">
      <w:pPr>
        <w:pStyle w:val="Normal1"/>
        <w:tabs>
          <w:tab w:val="left" w:pos="3330"/>
        </w:tabs>
        <w:spacing w:line="480" w:lineRule="auto"/>
        <w:rPr>
          <w:rFonts w:cstheme="minorHAnsi"/>
          <w:sz w:val="24"/>
          <w:szCs w:val="24"/>
        </w:rPr>
      </w:pPr>
      <w:proofErr w:type="spellStart"/>
      <w:r>
        <w:rPr>
          <w:rFonts w:cstheme="minorHAnsi"/>
          <w:sz w:val="24"/>
          <w:szCs w:val="24"/>
          <w:lang w:val="en"/>
        </w:rPr>
        <w:t>Friedli</w:t>
      </w:r>
      <w:proofErr w:type="spellEnd"/>
      <w:r w:rsidR="00E879E8">
        <w:rPr>
          <w:rFonts w:cstheme="minorHAnsi"/>
          <w:sz w:val="24"/>
          <w:szCs w:val="24"/>
          <w:lang w:val="en"/>
        </w:rPr>
        <w:t xml:space="preserve">, L. </w:t>
      </w:r>
      <w:r>
        <w:rPr>
          <w:rFonts w:cstheme="minorHAnsi"/>
          <w:sz w:val="24"/>
          <w:szCs w:val="24"/>
          <w:lang w:val="en"/>
        </w:rPr>
        <w:t>(2013)</w:t>
      </w:r>
      <w:r w:rsidR="00E879E8">
        <w:rPr>
          <w:rFonts w:cstheme="minorHAnsi"/>
          <w:sz w:val="24"/>
          <w:szCs w:val="24"/>
          <w:lang w:val="en"/>
        </w:rPr>
        <w:t xml:space="preserve"> ‘What we’ve tried, hasn’t worked: the politics of assets based public health’ </w:t>
      </w:r>
      <w:r w:rsidR="00E879E8" w:rsidRPr="00E879E8">
        <w:rPr>
          <w:rFonts w:cstheme="minorHAnsi"/>
          <w:i/>
          <w:sz w:val="24"/>
          <w:szCs w:val="24"/>
          <w:lang w:val="en"/>
        </w:rPr>
        <w:t>Critical Public Health</w:t>
      </w:r>
      <w:r w:rsidR="00E879E8">
        <w:rPr>
          <w:rFonts w:cstheme="minorHAnsi"/>
          <w:sz w:val="24"/>
          <w:szCs w:val="24"/>
          <w:lang w:val="en"/>
        </w:rPr>
        <w:t xml:space="preserve"> </w:t>
      </w:r>
      <w:r w:rsidR="00E879E8" w:rsidRPr="00E879E8">
        <w:rPr>
          <w:rFonts w:cstheme="minorHAnsi"/>
          <w:b/>
          <w:sz w:val="24"/>
          <w:szCs w:val="24"/>
          <w:lang w:val="en"/>
        </w:rPr>
        <w:t>23</w:t>
      </w:r>
      <w:r w:rsidR="00E879E8">
        <w:rPr>
          <w:rFonts w:cstheme="minorHAnsi"/>
          <w:sz w:val="24"/>
          <w:szCs w:val="24"/>
          <w:lang w:val="en"/>
        </w:rPr>
        <w:t xml:space="preserve"> (2): 131-145.</w:t>
      </w:r>
    </w:p>
    <w:p w14:paraId="559E8A2C" w14:textId="77777777" w:rsidR="00B14614" w:rsidRDefault="00B14614" w:rsidP="00907710">
      <w:pPr>
        <w:pStyle w:val="Normal1"/>
        <w:tabs>
          <w:tab w:val="left" w:pos="3330"/>
        </w:tabs>
        <w:spacing w:line="480" w:lineRule="auto"/>
        <w:rPr>
          <w:sz w:val="24"/>
          <w:szCs w:val="24"/>
        </w:rPr>
      </w:pPr>
      <w:r>
        <w:rPr>
          <w:sz w:val="24"/>
          <w:szCs w:val="24"/>
          <w:lang w:val="en"/>
        </w:rPr>
        <w:t>Glasgow Centre for Population Health</w:t>
      </w:r>
      <w:r w:rsidR="009B5187">
        <w:rPr>
          <w:sz w:val="24"/>
          <w:szCs w:val="24"/>
          <w:lang w:val="en"/>
        </w:rPr>
        <w:t xml:space="preserve"> (</w:t>
      </w:r>
      <w:r>
        <w:rPr>
          <w:sz w:val="24"/>
          <w:szCs w:val="24"/>
          <w:lang w:val="en"/>
        </w:rPr>
        <w:t>2017</w:t>
      </w:r>
      <w:r w:rsidR="009B5187">
        <w:rPr>
          <w:sz w:val="24"/>
          <w:szCs w:val="24"/>
          <w:lang w:val="en"/>
        </w:rPr>
        <w:t xml:space="preserve">) </w:t>
      </w:r>
      <w:r w:rsidR="009B5187" w:rsidRPr="009B5187">
        <w:rPr>
          <w:i/>
          <w:sz w:val="24"/>
          <w:szCs w:val="24"/>
          <w:lang w:val="en"/>
        </w:rPr>
        <w:t xml:space="preserve">Asset-based approaches in service settings </w:t>
      </w:r>
      <w:r w:rsidR="009B5187">
        <w:rPr>
          <w:sz w:val="24"/>
          <w:szCs w:val="24"/>
          <w:lang w:val="en"/>
        </w:rPr>
        <w:t xml:space="preserve">Briefing Paper 51 Glasgow, Glasgow Centre for Population Health </w:t>
      </w:r>
    </w:p>
    <w:p w14:paraId="3E27A67B" w14:textId="77777777" w:rsidR="007734E6" w:rsidRDefault="007734E6" w:rsidP="00907710">
      <w:pPr>
        <w:autoSpaceDE w:val="0"/>
        <w:spacing w:line="480" w:lineRule="auto"/>
      </w:pPr>
      <w:r>
        <w:rPr>
          <w:rFonts w:cs="Calibri"/>
          <w:color w:val="333333"/>
          <w:spacing w:val="4"/>
          <w:sz w:val="24"/>
          <w:szCs w:val="24"/>
          <w:shd w:val="clear" w:color="auto" w:fill="FFFFFF"/>
          <w:lang w:val="en"/>
        </w:rPr>
        <w:t xml:space="preserve">Glendinning, C., Challis, D., Fernandez, J., Jacobs, S., Jones, K., Knapp, M., and Wilberforce, M. (2008) </w:t>
      </w:r>
      <w:r>
        <w:rPr>
          <w:rFonts w:cs="Calibri"/>
          <w:i/>
          <w:iCs/>
          <w:color w:val="333333"/>
          <w:spacing w:val="4"/>
          <w:sz w:val="24"/>
          <w:szCs w:val="24"/>
          <w:shd w:val="clear" w:color="auto" w:fill="FFFFFF"/>
          <w:lang w:val="en"/>
        </w:rPr>
        <w:t xml:space="preserve">Evaluation of the individual budgets pilot </w:t>
      </w:r>
      <w:proofErr w:type="spellStart"/>
      <w:r>
        <w:rPr>
          <w:rFonts w:cs="Calibri"/>
          <w:i/>
          <w:iCs/>
          <w:color w:val="333333"/>
          <w:spacing w:val="4"/>
          <w:sz w:val="24"/>
          <w:szCs w:val="24"/>
          <w:shd w:val="clear" w:color="auto" w:fill="FFFFFF"/>
          <w:lang w:val="en"/>
        </w:rPr>
        <w:t>programme</w:t>
      </w:r>
      <w:proofErr w:type="spellEnd"/>
      <w:r>
        <w:rPr>
          <w:rFonts w:cs="Calibri"/>
          <w:i/>
          <w:iCs/>
          <w:color w:val="333333"/>
          <w:spacing w:val="4"/>
          <w:sz w:val="24"/>
          <w:szCs w:val="24"/>
          <w:shd w:val="clear" w:color="auto" w:fill="FFFFFF"/>
          <w:lang w:val="en"/>
        </w:rPr>
        <w:t>: Final report.</w:t>
      </w:r>
      <w:r>
        <w:rPr>
          <w:rFonts w:cs="Calibri"/>
          <w:color w:val="333333"/>
          <w:spacing w:val="4"/>
          <w:sz w:val="24"/>
          <w:szCs w:val="24"/>
          <w:shd w:val="clear" w:color="auto" w:fill="FFFFFF"/>
          <w:lang w:val="en"/>
        </w:rPr>
        <w:t xml:space="preserve"> York, Social Policy Research Unit, University of York. </w:t>
      </w:r>
    </w:p>
    <w:p w14:paraId="122A9720" w14:textId="77777777" w:rsidR="007734E6" w:rsidRDefault="007734E6" w:rsidP="00907710">
      <w:pPr>
        <w:autoSpaceDE w:val="0"/>
        <w:spacing w:before="100" w:after="100" w:line="480" w:lineRule="auto"/>
      </w:pPr>
      <w:proofErr w:type="spellStart"/>
      <w:r>
        <w:rPr>
          <w:rFonts w:cs="Calibri"/>
          <w:sz w:val="24"/>
          <w:szCs w:val="24"/>
          <w:lang w:val="en"/>
        </w:rPr>
        <w:t>Glynos</w:t>
      </w:r>
      <w:proofErr w:type="spellEnd"/>
      <w:r>
        <w:rPr>
          <w:rFonts w:cs="Calibri"/>
          <w:sz w:val="24"/>
          <w:szCs w:val="24"/>
          <w:lang w:val="en"/>
        </w:rPr>
        <w:t xml:space="preserve">, J., Speed, E. and West, K. (2015) ‘Logics of </w:t>
      </w:r>
      <w:proofErr w:type="spellStart"/>
      <w:r>
        <w:rPr>
          <w:rFonts w:cs="Calibri"/>
          <w:sz w:val="24"/>
          <w:szCs w:val="24"/>
          <w:lang w:val="en"/>
        </w:rPr>
        <w:t>marginalisation</w:t>
      </w:r>
      <w:proofErr w:type="spellEnd"/>
      <w:r>
        <w:rPr>
          <w:rFonts w:cs="Calibri"/>
          <w:sz w:val="24"/>
          <w:szCs w:val="24"/>
          <w:lang w:val="en"/>
        </w:rPr>
        <w:t xml:space="preserve"> in health and social care reform: Integration, choice, and provider-blind provision’. </w:t>
      </w:r>
      <w:r>
        <w:rPr>
          <w:rFonts w:cs="Calibri"/>
          <w:i/>
          <w:iCs/>
          <w:sz w:val="24"/>
          <w:szCs w:val="24"/>
          <w:lang w:val="en"/>
        </w:rPr>
        <w:t xml:space="preserve">Critical Social Policy </w:t>
      </w:r>
      <w:r>
        <w:rPr>
          <w:rFonts w:cs="Calibri"/>
          <w:b/>
          <w:bCs/>
          <w:sz w:val="24"/>
          <w:szCs w:val="24"/>
          <w:lang w:val="en"/>
        </w:rPr>
        <w:t>35</w:t>
      </w:r>
      <w:r>
        <w:rPr>
          <w:rFonts w:cs="Calibri"/>
          <w:sz w:val="24"/>
          <w:szCs w:val="24"/>
          <w:lang w:val="en"/>
        </w:rPr>
        <w:t>, 45-68.</w:t>
      </w:r>
    </w:p>
    <w:p w14:paraId="06F46352" w14:textId="49275F7C" w:rsidR="007734E6" w:rsidRDefault="007734E6" w:rsidP="00907710">
      <w:pPr>
        <w:autoSpaceDE w:val="0"/>
        <w:spacing w:after="0" w:line="480" w:lineRule="auto"/>
        <w:rPr>
          <w:rFonts w:cs="Calibri"/>
          <w:sz w:val="24"/>
          <w:szCs w:val="24"/>
          <w:lang w:val="en"/>
        </w:rPr>
      </w:pPr>
      <w:proofErr w:type="spellStart"/>
      <w:r>
        <w:rPr>
          <w:rFonts w:cs="Calibri"/>
          <w:sz w:val="24"/>
          <w:szCs w:val="24"/>
          <w:lang w:val="en"/>
        </w:rPr>
        <w:t>Gilleard</w:t>
      </w:r>
      <w:proofErr w:type="spellEnd"/>
      <w:r>
        <w:rPr>
          <w:rFonts w:cs="Calibri"/>
          <w:sz w:val="24"/>
          <w:szCs w:val="24"/>
          <w:lang w:val="en"/>
        </w:rPr>
        <w:t xml:space="preserve">, C., and Higgs, P. (2000). </w:t>
      </w:r>
      <w:r>
        <w:rPr>
          <w:rFonts w:cs="Calibri"/>
          <w:i/>
          <w:iCs/>
          <w:sz w:val="24"/>
          <w:szCs w:val="24"/>
          <w:lang w:val="en"/>
        </w:rPr>
        <w:t>Cultures of Ageing: Self, Citizen and the Body</w:t>
      </w:r>
      <w:r>
        <w:rPr>
          <w:rFonts w:cs="Calibri"/>
          <w:sz w:val="24"/>
          <w:szCs w:val="24"/>
          <w:lang w:val="en"/>
        </w:rPr>
        <w:t xml:space="preserve"> Harlow, Pearson Education Limited.</w:t>
      </w:r>
    </w:p>
    <w:p w14:paraId="715E491A" w14:textId="4BA053A0" w:rsidR="00201047" w:rsidRPr="00201047" w:rsidRDefault="00201047" w:rsidP="00201047">
      <w:pPr>
        <w:autoSpaceDE w:val="0"/>
        <w:spacing w:after="0" w:line="480" w:lineRule="auto"/>
        <w:rPr>
          <w:rFonts w:cs="Calibri"/>
          <w:sz w:val="24"/>
          <w:szCs w:val="24"/>
          <w:lang w:val="en"/>
        </w:rPr>
      </w:pPr>
      <w:r>
        <w:rPr>
          <w:rFonts w:cs="Calibri"/>
          <w:sz w:val="24"/>
          <w:szCs w:val="24"/>
          <w:lang w:val="en"/>
        </w:rPr>
        <w:t xml:space="preserve">Green, L. (2015) ‘Age and the life course: Continuity, change and the modern mirage of infinite choice’ in </w:t>
      </w:r>
      <w:proofErr w:type="spellStart"/>
      <w:r>
        <w:rPr>
          <w:rFonts w:cs="Calibri"/>
          <w:sz w:val="24"/>
          <w:szCs w:val="24"/>
          <w:lang w:val="en"/>
        </w:rPr>
        <w:t>Holburn</w:t>
      </w:r>
      <w:proofErr w:type="spellEnd"/>
      <w:r>
        <w:rPr>
          <w:rFonts w:cs="Calibri"/>
          <w:sz w:val="24"/>
          <w:szCs w:val="24"/>
          <w:lang w:val="en"/>
        </w:rPr>
        <w:t xml:space="preserve">, M. (ed) </w:t>
      </w:r>
      <w:r w:rsidRPr="00201047">
        <w:rPr>
          <w:rFonts w:cs="Calibri"/>
          <w:i/>
          <w:sz w:val="24"/>
          <w:szCs w:val="24"/>
          <w:lang w:val="en"/>
        </w:rPr>
        <w:t>Contemporary Sociology</w:t>
      </w:r>
      <w:r>
        <w:rPr>
          <w:rFonts w:cs="Calibri"/>
          <w:sz w:val="24"/>
          <w:szCs w:val="24"/>
          <w:lang w:val="en"/>
        </w:rPr>
        <w:t xml:space="preserve"> Cambridge, Polity.</w:t>
      </w:r>
    </w:p>
    <w:p w14:paraId="4DAD61E1" w14:textId="77777777" w:rsidR="00201047" w:rsidRDefault="00201047" w:rsidP="00907710">
      <w:pPr>
        <w:autoSpaceDE w:val="0"/>
        <w:spacing w:after="0" w:line="480" w:lineRule="auto"/>
      </w:pPr>
    </w:p>
    <w:p w14:paraId="6892F935" w14:textId="77777777" w:rsidR="00715ABE" w:rsidRPr="00844ED1" w:rsidRDefault="00844ED1" w:rsidP="00907710">
      <w:pPr>
        <w:autoSpaceDE w:val="0"/>
        <w:spacing w:after="200" w:line="480" w:lineRule="auto"/>
      </w:pPr>
      <w:r>
        <w:rPr>
          <w:rFonts w:ascii="Times New Roman" w:hAnsi="Times New Roman"/>
          <w:color w:val="404040"/>
          <w:sz w:val="24"/>
          <w:szCs w:val="24"/>
          <w:shd w:val="clear" w:color="auto" w:fill="FFFFFF"/>
          <w:lang w:val="en"/>
        </w:rPr>
        <w:lastRenderedPageBreak/>
        <w:t xml:space="preserve">Harris, J. (2003). </w:t>
      </w:r>
      <w:r>
        <w:rPr>
          <w:rFonts w:ascii="Times New Roman" w:hAnsi="Times New Roman"/>
          <w:i/>
          <w:iCs/>
          <w:color w:val="404040"/>
          <w:sz w:val="24"/>
          <w:szCs w:val="24"/>
          <w:shd w:val="clear" w:color="auto" w:fill="FFFFFF"/>
          <w:lang w:val="en"/>
        </w:rPr>
        <w:t>The Social Work Business</w:t>
      </w:r>
      <w:r>
        <w:rPr>
          <w:rFonts w:ascii="Times New Roman" w:hAnsi="Times New Roman"/>
          <w:color w:val="404040"/>
          <w:sz w:val="24"/>
          <w:szCs w:val="24"/>
          <w:shd w:val="clear" w:color="auto" w:fill="FFFFFF"/>
          <w:lang w:val="en"/>
        </w:rPr>
        <w:t xml:space="preserve"> London, Routledge.</w:t>
      </w:r>
    </w:p>
    <w:p w14:paraId="696F5DD6" w14:textId="77777777" w:rsidR="00D96642" w:rsidRPr="00101BCD" w:rsidRDefault="00101BCD" w:rsidP="00907710">
      <w:pPr>
        <w:spacing w:line="480" w:lineRule="auto"/>
      </w:pPr>
      <w:proofErr w:type="spellStart"/>
      <w:r>
        <w:rPr>
          <w:sz w:val="24"/>
          <w:szCs w:val="24"/>
        </w:rPr>
        <w:t>Hayry</w:t>
      </w:r>
      <w:proofErr w:type="spellEnd"/>
      <w:r>
        <w:rPr>
          <w:sz w:val="24"/>
          <w:szCs w:val="24"/>
        </w:rPr>
        <w:t xml:space="preserve">, M (2020) ‘Just better Utilitarianism’ </w:t>
      </w:r>
      <w:r>
        <w:rPr>
          <w:i/>
          <w:sz w:val="24"/>
          <w:szCs w:val="24"/>
        </w:rPr>
        <w:t>Cambridge Quarterly of Healthcare Ethics</w:t>
      </w:r>
      <w:r>
        <w:rPr>
          <w:sz w:val="24"/>
          <w:szCs w:val="24"/>
        </w:rPr>
        <w:t xml:space="preserve"> 30(2): 343-367. </w:t>
      </w:r>
    </w:p>
    <w:p w14:paraId="706FD70C" w14:textId="77777777" w:rsidR="005D0FAF" w:rsidRDefault="005D0FAF" w:rsidP="00907710">
      <w:pPr>
        <w:spacing w:line="480" w:lineRule="auto"/>
      </w:pPr>
      <w:proofErr w:type="spellStart"/>
      <w:r>
        <w:rPr>
          <w:sz w:val="24"/>
          <w:szCs w:val="24"/>
        </w:rPr>
        <w:t>Heugens</w:t>
      </w:r>
      <w:proofErr w:type="spellEnd"/>
      <w:r>
        <w:rPr>
          <w:sz w:val="24"/>
          <w:szCs w:val="24"/>
        </w:rPr>
        <w:t xml:space="preserve">, P.M.A.R, </w:t>
      </w:r>
      <w:proofErr w:type="spellStart"/>
      <w:r>
        <w:rPr>
          <w:sz w:val="24"/>
          <w:szCs w:val="24"/>
        </w:rPr>
        <w:t>Kaptein</w:t>
      </w:r>
      <w:proofErr w:type="spellEnd"/>
      <w:r>
        <w:rPr>
          <w:sz w:val="24"/>
          <w:szCs w:val="24"/>
        </w:rPr>
        <w:t xml:space="preserve">, M., and van Oosterhout. (2006) ‘The Ethics of the Node versus the Ethics of the Dyad? Reconciling Virtue Ethics and </w:t>
      </w:r>
      <w:proofErr w:type="spellStart"/>
      <w:r>
        <w:rPr>
          <w:sz w:val="24"/>
          <w:szCs w:val="24"/>
        </w:rPr>
        <w:t>Contractualism</w:t>
      </w:r>
      <w:proofErr w:type="spellEnd"/>
      <w:r>
        <w:rPr>
          <w:sz w:val="24"/>
          <w:szCs w:val="24"/>
        </w:rPr>
        <w:t xml:space="preserve">’ </w:t>
      </w:r>
      <w:r>
        <w:rPr>
          <w:i/>
          <w:sz w:val="24"/>
          <w:szCs w:val="24"/>
        </w:rPr>
        <w:t>Organisation</w:t>
      </w:r>
      <w:r>
        <w:rPr>
          <w:sz w:val="24"/>
          <w:szCs w:val="24"/>
        </w:rPr>
        <w:t xml:space="preserve"> </w:t>
      </w:r>
      <w:r w:rsidRPr="00053575">
        <w:rPr>
          <w:b/>
          <w:sz w:val="24"/>
          <w:szCs w:val="24"/>
        </w:rPr>
        <w:t>27</w:t>
      </w:r>
      <w:r>
        <w:rPr>
          <w:sz w:val="24"/>
          <w:szCs w:val="24"/>
        </w:rPr>
        <w:t>(3): 391-411.</w:t>
      </w:r>
    </w:p>
    <w:p w14:paraId="0D99CE50" w14:textId="3838DCD1" w:rsidR="00B14614" w:rsidRDefault="00844ED1" w:rsidP="00907710">
      <w:pPr>
        <w:autoSpaceDE w:val="0"/>
        <w:spacing w:after="200" w:line="480" w:lineRule="auto"/>
        <w:rPr>
          <w:rFonts w:cs="Calibri"/>
          <w:sz w:val="24"/>
          <w:szCs w:val="24"/>
          <w:lang w:val="en"/>
        </w:rPr>
      </w:pPr>
      <w:r>
        <w:rPr>
          <w:rFonts w:cs="Calibri"/>
          <w:sz w:val="24"/>
          <w:szCs w:val="24"/>
          <w:lang w:val="en"/>
        </w:rPr>
        <w:t xml:space="preserve">Higgs, P. and </w:t>
      </w:r>
      <w:proofErr w:type="spellStart"/>
      <w:r>
        <w:rPr>
          <w:rFonts w:cs="Calibri"/>
          <w:sz w:val="24"/>
          <w:szCs w:val="24"/>
          <w:lang w:val="en"/>
        </w:rPr>
        <w:t>Gilleard</w:t>
      </w:r>
      <w:proofErr w:type="spellEnd"/>
      <w:r>
        <w:rPr>
          <w:rFonts w:cs="Calibri"/>
          <w:sz w:val="24"/>
          <w:szCs w:val="24"/>
          <w:lang w:val="en"/>
        </w:rPr>
        <w:t>, C. (2015).</w:t>
      </w:r>
      <w:r>
        <w:rPr>
          <w:rFonts w:cs="Calibri"/>
          <w:i/>
          <w:iCs/>
          <w:sz w:val="24"/>
          <w:szCs w:val="24"/>
          <w:lang w:val="en"/>
        </w:rPr>
        <w:t xml:space="preserve"> Rethinking Old Age: </w:t>
      </w:r>
      <w:proofErr w:type="spellStart"/>
      <w:r>
        <w:rPr>
          <w:rFonts w:cs="Calibri"/>
          <w:i/>
          <w:iCs/>
          <w:sz w:val="24"/>
          <w:szCs w:val="24"/>
          <w:lang w:val="en"/>
        </w:rPr>
        <w:t>Theorising</w:t>
      </w:r>
      <w:proofErr w:type="spellEnd"/>
      <w:r>
        <w:rPr>
          <w:rFonts w:cs="Calibri"/>
          <w:i/>
          <w:iCs/>
          <w:sz w:val="24"/>
          <w:szCs w:val="24"/>
          <w:lang w:val="en"/>
        </w:rPr>
        <w:t xml:space="preserve"> the Fourth Age</w:t>
      </w:r>
      <w:r>
        <w:rPr>
          <w:rFonts w:cs="Calibri"/>
          <w:sz w:val="24"/>
          <w:szCs w:val="24"/>
          <w:lang w:val="en"/>
        </w:rPr>
        <w:t xml:space="preserve"> London, Palgrave.</w:t>
      </w:r>
    </w:p>
    <w:p w14:paraId="787C0854" w14:textId="2C2786EB" w:rsidR="00C04285" w:rsidRPr="00C04285" w:rsidRDefault="00C04285" w:rsidP="00907710">
      <w:pPr>
        <w:autoSpaceDE w:val="0"/>
        <w:spacing w:after="200" w:line="480" w:lineRule="auto"/>
        <w:rPr>
          <w:sz w:val="24"/>
          <w:szCs w:val="24"/>
        </w:rPr>
      </w:pPr>
      <w:r w:rsidRPr="00C04285">
        <w:rPr>
          <w:sz w:val="24"/>
          <w:szCs w:val="24"/>
        </w:rPr>
        <w:t xml:space="preserve">Irving, F., Yeung, E.Y.W., Partridge, M., Simcock, P. (2017) The impact of personalisation on people from Chinese backgrounds: qualitative accounts of social care experience </w:t>
      </w:r>
      <w:r w:rsidRPr="00C04285">
        <w:rPr>
          <w:i/>
          <w:sz w:val="24"/>
          <w:szCs w:val="24"/>
        </w:rPr>
        <w:t>Health and Social Care in the Community</w:t>
      </w:r>
      <w:r w:rsidRPr="00C04285">
        <w:rPr>
          <w:sz w:val="24"/>
          <w:szCs w:val="24"/>
        </w:rPr>
        <w:t xml:space="preserve"> 25 (3): 878-887.</w:t>
      </w:r>
    </w:p>
    <w:p w14:paraId="608C9CB7" w14:textId="77777777" w:rsidR="00844ED1" w:rsidRDefault="00844ED1" w:rsidP="00907710">
      <w:pPr>
        <w:autoSpaceDE w:val="0"/>
        <w:spacing w:after="0" w:line="480" w:lineRule="auto"/>
      </w:pPr>
      <w:r>
        <w:rPr>
          <w:rFonts w:cs="Calibri"/>
          <w:color w:val="000000"/>
          <w:sz w:val="24"/>
          <w:szCs w:val="24"/>
        </w:rPr>
        <w:t xml:space="preserve">Jones, C. and Novak, T. (1999) </w:t>
      </w:r>
      <w:r>
        <w:rPr>
          <w:rFonts w:cs="Calibri"/>
          <w:i/>
          <w:iCs/>
          <w:color w:val="000000"/>
          <w:sz w:val="24"/>
          <w:szCs w:val="24"/>
        </w:rPr>
        <w:t>Poverty, Welfare and the Disciplinary State,</w:t>
      </w:r>
      <w:r>
        <w:rPr>
          <w:rFonts w:cs="Calibri"/>
          <w:color w:val="000000"/>
          <w:sz w:val="24"/>
          <w:szCs w:val="24"/>
        </w:rPr>
        <w:t xml:space="preserve"> London, Routledge.</w:t>
      </w:r>
    </w:p>
    <w:p w14:paraId="0D650787" w14:textId="77777777" w:rsidR="00D96642" w:rsidRDefault="001678A4" w:rsidP="00907710">
      <w:pPr>
        <w:pStyle w:val="Normal1"/>
        <w:tabs>
          <w:tab w:val="left" w:pos="3330"/>
        </w:tabs>
        <w:spacing w:line="480" w:lineRule="auto"/>
        <w:rPr>
          <w:sz w:val="24"/>
          <w:szCs w:val="24"/>
        </w:rPr>
      </w:pPr>
      <w:r w:rsidRPr="00100CE0">
        <w:rPr>
          <w:sz w:val="24"/>
          <w:szCs w:val="24"/>
        </w:rPr>
        <w:t>Jordan</w:t>
      </w:r>
      <w:r w:rsidR="003A1AAD">
        <w:rPr>
          <w:sz w:val="24"/>
          <w:szCs w:val="24"/>
        </w:rPr>
        <w:t>, B.</w:t>
      </w:r>
      <w:r w:rsidRPr="00100CE0">
        <w:rPr>
          <w:sz w:val="24"/>
          <w:szCs w:val="24"/>
        </w:rPr>
        <w:t xml:space="preserve"> and Drakeford, </w:t>
      </w:r>
      <w:r w:rsidR="003A1AAD">
        <w:rPr>
          <w:sz w:val="24"/>
          <w:szCs w:val="24"/>
        </w:rPr>
        <w:t>M. (</w:t>
      </w:r>
      <w:r w:rsidRPr="00100CE0">
        <w:rPr>
          <w:sz w:val="24"/>
          <w:szCs w:val="24"/>
        </w:rPr>
        <w:t>2012</w:t>
      </w:r>
      <w:r w:rsidR="003A1AAD">
        <w:rPr>
          <w:sz w:val="24"/>
          <w:szCs w:val="24"/>
        </w:rPr>
        <w:t xml:space="preserve">) </w:t>
      </w:r>
      <w:r w:rsidR="003A1AAD" w:rsidRPr="003A1AAD">
        <w:rPr>
          <w:i/>
          <w:sz w:val="24"/>
          <w:szCs w:val="24"/>
        </w:rPr>
        <w:t>Social work and Social policy under austerity</w:t>
      </w:r>
      <w:r w:rsidR="003A1AAD">
        <w:rPr>
          <w:sz w:val="24"/>
          <w:szCs w:val="24"/>
        </w:rPr>
        <w:t xml:space="preserve"> Basingstoke Palgrave Macmillan.</w:t>
      </w:r>
    </w:p>
    <w:p w14:paraId="77DE80DC" w14:textId="77777777" w:rsidR="00D96642" w:rsidRPr="00907710" w:rsidRDefault="003A1AAD" w:rsidP="00907710">
      <w:pPr>
        <w:spacing w:line="480" w:lineRule="auto"/>
      </w:pPr>
      <w:r>
        <w:rPr>
          <w:rFonts w:cs="Calibri"/>
          <w:sz w:val="24"/>
          <w:szCs w:val="24"/>
        </w:rPr>
        <w:t xml:space="preserve">Jordan, B., with Jordan, C. (2000) </w:t>
      </w:r>
      <w:r>
        <w:rPr>
          <w:rFonts w:cs="Calibri"/>
          <w:i/>
          <w:iCs/>
          <w:sz w:val="24"/>
          <w:szCs w:val="24"/>
        </w:rPr>
        <w:t>Social Work and the Third Way: Tough Love as Social Policy,</w:t>
      </w:r>
      <w:r>
        <w:rPr>
          <w:rFonts w:cs="Calibri"/>
          <w:sz w:val="24"/>
          <w:szCs w:val="24"/>
        </w:rPr>
        <w:t xml:space="preserve"> London, Sage.</w:t>
      </w:r>
    </w:p>
    <w:p w14:paraId="2E026851" w14:textId="77777777" w:rsidR="009B5187" w:rsidRDefault="009B5187" w:rsidP="00907710">
      <w:pPr>
        <w:autoSpaceDE w:val="0"/>
        <w:spacing w:after="0" w:line="480" w:lineRule="auto"/>
      </w:pPr>
      <w:proofErr w:type="spellStart"/>
      <w:r>
        <w:rPr>
          <w:rFonts w:cs="Calibri"/>
          <w:sz w:val="24"/>
          <w:szCs w:val="24"/>
          <w:lang w:val="en"/>
        </w:rPr>
        <w:t>Kemshall</w:t>
      </w:r>
      <w:proofErr w:type="spellEnd"/>
      <w:r>
        <w:rPr>
          <w:rFonts w:cs="Calibri"/>
          <w:sz w:val="24"/>
          <w:szCs w:val="24"/>
          <w:lang w:val="en"/>
        </w:rPr>
        <w:t xml:space="preserve">, H. (2010). ‘Risk rationalities in contemporary social work policy and practice’, </w:t>
      </w:r>
      <w:r>
        <w:rPr>
          <w:rFonts w:cs="Calibri"/>
          <w:i/>
          <w:iCs/>
          <w:sz w:val="24"/>
          <w:szCs w:val="24"/>
          <w:lang w:val="en"/>
        </w:rPr>
        <w:t>British Journal of Social Work</w:t>
      </w:r>
      <w:r>
        <w:rPr>
          <w:rFonts w:cs="Calibri"/>
          <w:sz w:val="24"/>
          <w:szCs w:val="24"/>
          <w:lang w:val="en"/>
        </w:rPr>
        <w:t xml:space="preserve">, </w:t>
      </w:r>
      <w:r>
        <w:rPr>
          <w:rFonts w:cs="Calibri"/>
          <w:b/>
          <w:bCs/>
          <w:sz w:val="24"/>
          <w:szCs w:val="24"/>
          <w:lang w:val="en"/>
        </w:rPr>
        <w:t>40</w:t>
      </w:r>
      <w:r>
        <w:rPr>
          <w:rFonts w:cs="Calibri"/>
          <w:sz w:val="24"/>
          <w:szCs w:val="24"/>
          <w:lang w:val="en"/>
        </w:rPr>
        <w:t>, 1247–62.</w:t>
      </w:r>
    </w:p>
    <w:p w14:paraId="2D68B096" w14:textId="77777777" w:rsidR="00E462DF" w:rsidRPr="00E462DF" w:rsidRDefault="00E462DF" w:rsidP="00907710">
      <w:pPr>
        <w:spacing w:line="480" w:lineRule="auto"/>
        <w:rPr>
          <w:rFonts w:eastAsiaTheme="minorEastAsia" w:cstheme="minorHAnsi"/>
          <w:color w:val="44546A" w:themeColor="text2"/>
          <w:kern w:val="24"/>
          <w:sz w:val="24"/>
          <w:szCs w:val="24"/>
        </w:rPr>
      </w:pPr>
      <w:proofErr w:type="spellStart"/>
      <w:r w:rsidRPr="00E462DF">
        <w:rPr>
          <w:rFonts w:cstheme="minorHAnsi"/>
          <w:sz w:val="24"/>
          <w:szCs w:val="24"/>
          <w:lang w:eastAsia="en-GB"/>
        </w:rPr>
        <w:t>Kilner</w:t>
      </w:r>
      <w:proofErr w:type="spellEnd"/>
      <w:r w:rsidRPr="00E462DF">
        <w:rPr>
          <w:rFonts w:cstheme="minorHAnsi"/>
          <w:sz w:val="24"/>
          <w:szCs w:val="24"/>
          <w:lang w:eastAsia="en-GB"/>
        </w:rPr>
        <w:t xml:space="preserve">, J.L. (1996) </w:t>
      </w:r>
      <w:r>
        <w:rPr>
          <w:rFonts w:cstheme="minorHAnsi"/>
          <w:sz w:val="24"/>
          <w:szCs w:val="24"/>
          <w:lang w:eastAsia="en-GB"/>
        </w:rPr>
        <w:t>‘</w:t>
      </w:r>
      <w:r w:rsidRPr="00E462DF">
        <w:rPr>
          <w:rFonts w:cstheme="minorHAnsi"/>
          <w:sz w:val="24"/>
          <w:szCs w:val="24"/>
          <w:lang w:eastAsia="en-GB"/>
        </w:rPr>
        <w:t>Why now? The growing interest in limiting the lifesaving health care resources available to older people</w:t>
      </w:r>
      <w:r>
        <w:rPr>
          <w:rFonts w:cstheme="minorHAnsi"/>
          <w:sz w:val="24"/>
          <w:szCs w:val="24"/>
          <w:lang w:eastAsia="en-GB"/>
        </w:rPr>
        <w:t>’</w:t>
      </w:r>
      <w:r w:rsidRPr="00E462DF">
        <w:rPr>
          <w:rFonts w:cstheme="minorHAnsi"/>
          <w:sz w:val="24"/>
          <w:szCs w:val="24"/>
          <w:lang w:eastAsia="en-GB"/>
        </w:rPr>
        <w:t xml:space="preserve"> in Walters, J.W. (ed.) </w:t>
      </w:r>
      <w:r w:rsidRPr="00E462DF">
        <w:rPr>
          <w:rFonts w:cstheme="minorHAnsi"/>
          <w:i/>
          <w:sz w:val="24"/>
          <w:szCs w:val="24"/>
          <w:lang w:eastAsia="en-GB"/>
        </w:rPr>
        <w:t>Choosing who’s to Live: Ethics and Aging</w:t>
      </w:r>
      <w:r w:rsidRPr="00E462DF">
        <w:rPr>
          <w:rFonts w:cstheme="minorHAnsi"/>
          <w:sz w:val="24"/>
          <w:szCs w:val="24"/>
          <w:lang w:eastAsia="en-GB"/>
        </w:rPr>
        <w:t xml:space="preserve"> (pp. 120-157) Urbana and Chicago: University of Illinois Press</w:t>
      </w:r>
    </w:p>
    <w:p w14:paraId="244B3712" w14:textId="77777777" w:rsidR="00715ABE" w:rsidRDefault="00715ABE" w:rsidP="00907710">
      <w:pPr>
        <w:pStyle w:val="Normal1"/>
        <w:tabs>
          <w:tab w:val="left" w:pos="3330"/>
        </w:tabs>
        <w:spacing w:line="480" w:lineRule="auto"/>
        <w:rPr>
          <w:rFonts w:cstheme="minorHAnsi"/>
          <w:sz w:val="24"/>
          <w:szCs w:val="24"/>
        </w:rPr>
      </w:pPr>
      <w:r>
        <w:rPr>
          <w:rFonts w:cstheme="minorHAnsi"/>
          <w:sz w:val="24"/>
          <w:szCs w:val="24"/>
        </w:rPr>
        <w:lastRenderedPageBreak/>
        <w:t xml:space="preserve">Kings Fund </w:t>
      </w:r>
      <w:r w:rsidR="0017313A">
        <w:rPr>
          <w:rFonts w:cstheme="minorHAnsi"/>
          <w:sz w:val="24"/>
          <w:szCs w:val="24"/>
        </w:rPr>
        <w:t>(</w:t>
      </w:r>
      <w:r>
        <w:rPr>
          <w:rFonts w:cstheme="minorHAnsi"/>
          <w:sz w:val="24"/>
          <w:szCs w:val="24"/>
        </w:rPr>
        <w:t>2021</w:t>
      </w:r>
      <w:r w:rsidR="00436F7F">
        <w:rPr>
          <w:rFonts w:cstheme="minorHAnsi"/>
          <w:sz w:val="24"/>
          <w:szCs w:val="24"/>
        </w:rPr>
        <w:t>a</w:t>
      </w:r>
      <w:r w:rsidR="0017313A">
        <w:rPr>
          <w:rFonts w:cstheme="minorHAnsi"/>
          <w:sz w:val="24"/>
          <w:szCs w:val="24"/>
        </w:rPr>
        <w:t xml:space="preserve">) </w:t>
      </w:r>
      <w:r w:rsidR="0017313A" w:rsidRPr="0017313A">
        <w:rPr>
          <w:rFonts w:cstheme="minorHAnsi"/>
          <w:i/>
          <w:sz w:val="24"/>
          <w:szCs w:val="24"/>
        </w:rPr>
        <w:t>Adult social care funding and eligibility: our position</w:t>
      </w:r>
      <w:r w:rsidR="0017313A">
        <w:rPr>
          <w:rFonts w:cstheme="minorHAnsi"/>
          <w:sz w:val="24"/>
          <w:szCs w:val="24"/>
        </w:rPr>
        <w:t xml:space="preserve">, </w:t>
      </w:r>
      <w:r w:rsidR="0017313A" w:rsidRPr="0017313A">
        <w:rPr>
          <w:rFonts w:cstheme="minorHAnsi"/>
          <w:sz w:val="24"/>
          <w:szCs w:val="24"/>
        </w:rPr>
        <w:t>https://www.kingsfund.org.uk/projects/positions/adult-social-care-funding-and-eligibility</w:t>
      </w:r>
      <w:r w:rsidR="0017313A">
        <w:rPr>
          <w:rFonts w:cstheme="minorHAnsi"/>
          <w:sz w:val="24"/>
          <w:szCs w:val="24"/>
        </w:rPr>
        <w:t xml:space="preserve"> accessed 3rd February.</w:t>
      </w:r>
    </w:p>
    <w:p w14:paraId="748C7970" w14:textId="77777777" w:rsidR="00436F7F" w:rsidRDefault="00436F7F" w:rsidP="00436F7F">
      <w:pPr>
        <w:pStyle w:val="Normal1"/>
        <w:tabs>
          <w:tab w:val="left" w:pos="3330"/>
        </w:tabs>
        <w:spacing w:line="480" w:lineRule="auto"/>
        <w:rPr>
          <w:rFonts w:cstheme="minorHAnsi"/>
          <w:sz w:val="24"/>
          <w:szCs w:val="24"/>
        </w:rPr>
      </w:pPr>
      <w:r>
        <w:rPr>
          <w:rFonts w:cstheme="minorHAnsi"/>
          <w:sz w:val="24"/>
          <w:szCs w:val="24"/>
        </w:rPr>
        <w:t xml:space="preserve">Kings Fund (2021b) </w:t>
      </w:r>
      <w:r>
        <w:rPr>
          <w:rFonts w:cstheme="minorHAnsi"/>
          <w:i/>
          <w:sz w:val="24"/>
          <w:szCs w:val="24"/>
        </w:rPr>
        <w:t>Social Care 360: Expenditure</w:t>
      </w:r>
      <w:r>
        <w:rPr>
          <w:rFonts w:cstheme="minorHAnsi"/>
          <w:sz w:val="24"/>
          <w:szCs w:val="24"/>
        </w:rPr>
        <w:t xml:space="preserve">, </w:t>
      </w:r>
      <w:r w:rsidRPr="00436F7F">
        <w:rPr>
          <w:rFonts w:cstheme="minorHAnsi"/>
          <w:sz w:val="24"/>
          <w:szCs w:val="24"/>
        </w:rPr>
        <w:t>https://www.kingsfund.org.uk/publications/social-care-360/expenditure</w:t>
      </w:r>
      <w:r>
        <w:rPr>
          <w:rFonts w:cstheme="minorHAnsi"/>
          <w:sz w:val="24"/>
          <w:szCs w:val="24"/>
        </w:rPr>
        <w:t>accessed 6th February.</w:t>
      </w:r>
    </w:p>
    <w:p w14:paraId="4C1BBDF7" w14:textId="77777777" w:rsidR="00436F7F" w:rsidRDefault="00436F7F" w:rsidP="00907710">
      <w:pPr>
        <w:pStyle w:val="Normal1"/>
        <w:tabs>
          <w:tab w:val="left" w:pos="3330"/>
        </w:tabs>
        <w:spacing w:line="480" w:lineRule="auto"/>
        <w:rPr>
          <w:rFonts w:cstheme="minorHAnsi"/>
          <w:sz w:val="24"/>
          <w:szCs w:val="24"/>
        </w:rPr>
      </w:pPr>
    </w:p>
    <w:p w14:paraId="5F53855E" w14:textId="77777777" w:rsidR="00B52DC3" w:rsidRDefault="00B52DC3" w:rsidP="00907710">
      <w:pPr>
        <w:pStyle w:val="Normal1"/>
        <w:tabs>
          <w:tab w:val="left" w:pos="3330"/>
        </w:tabs>
        <w:spacing w:line="480" w:lineRule="auto"/>
        <w:rPr>
          <w:rFonts w:cstheme="minorHAnsi"/>
          <w:sz w:val="24"/>
          <w:szCs w:val="24"/>
        </w:rPr>
      </w:pPr>
      <w:r>
        <w:rPr>
          <w:rFonts w:cstheme="minorHAnsi"/>
          <w:sz w:val="24"/>
          <w:szCs w:val="24"/>
        </w:rPr>
        <w:t>Lloyd</w:t>
      </w:r>
      <w:r w:rsidR="00A00B75">
        <w:rPr>
          <w:rFonts w:cstheme="minorHAnsi"/>
          <w:sz w:val="24"/>
          <w:szCs w:val="24"/>
        </w:rPr>
        <w:t>, L.</w:t>
      </w:r>
      <w:r>
        <w:rPr>
          <w:rFonts w:cstheme="minorHAnsi"/>
          <w:sz w:val="24"/>
          <w:szCs w:val="24"/>
        </w:rPr>
        <w:t xml:space="preserve"> </w:t>
      </w:r>
      <w:r w:rsidR="00A00B75">
        <w:rPr>
          <w:rFonts w:cstheme="minorHAnsi"/>
          <w:sz w:val="24"/>
          <w:szCs w:val="24"/>
        </w:rPr>
        <w:t>(</w:t>
      </w:r>
      <w:r>
        <w:rPr>
          <w:rFonts w:cstheme="minorHAnsi"/>
          <w:sz w:val="24"/>
          <w:szCs w:val="24"/>
        </w:rPr>
        <w:t>2010</w:t>
      </w:r>
      <w:r w:rsidR="00A00B75">
        <w:rPr>
          <w:rFonts w:cstheme="minorHAnsi"/>
          <w:sz w:val="24"/>
          <w:szCs w:val="24"/>
        </w:rPr>
        <w:t xml:space="preserve">) ‘The individual in social care: The ethics of care and the ‘personalisation agenda’ </w:t>
      </w:r>
      <w:r w:rsidR="00035D77">
        <w:rPr>
          <w:rFonts w:cstheme="minorHAnsi"/>
          <w:sz w:val="24"/>
          <w:szCs w:val="24"/>
        </w:rPr>
        <w:t xml:space="preserve">in services for older people in England’, </w:t>
      </w:r>
      <w:r w:rsidR="00035D77" w:rsidRPr="00035D77">
        <w:rPr>
          <w:rFonts w:cstheme="minorHAnsi"/>
          <w:i/>
          <w:sz w:val="24"/>
          <w:szCs w:val="24"/>
        </w:rPr>
        <w:t>Ethics and Social Welfare</w:t>
      </w:r>
      <w:r w:rsidR="00035D77">
        <w:rPr>
          <w:rFonts w:cstheme="minorHAnsi"/>
          <w:sz w:val="24"/>
          <w:szCs w:val="24"/>
        </w:rPr>
        <w:t xml:space="preserve"> </w:t>
      </w:r>
      <w:r w:rsidR="00035D77" w:rsidRPr="0062609F">
        <w:rPr>
          <w:rFonts w:cstheme="minorHAnsi"/>
          <w:b/>
          <w:sz w:val="24"/>
          <w:szCs w:val="24"/>
        </w:rPr>
        <w:t>4</w:t>
      </w:r>
      <w:r w:rsidR="00035D77">
        <w:rPr>
          <w:rFonts w:cstheme="minorHAnsi"/>
          <w:sz w:val="24"/>
          <w:szCs w:val="24"/>
        </w:rPr>
        <w:t xml:space="preserve"> (2): 188-200.</w:t>
      </w:r>
    </w:p>
    <w:p w14:paraId="223062C8" w14:textId="77777777" w:rsidR="001678A4" w:rsidRPr="00406933" w:rsidRDefault="001E2197" w:rsidP="00907710">
      <w:pPr>
        <w:pStyle w:val="Normal1"/>
        <w:tabs>
          <w:tab w:val="left" w:pos="3330"/>
        </w:tabs>
        <w:spacing w:line="480" w:lineRule="auto"/>
        <w:rPr>
          <w:rFonts w:cstheme="minorHAnsi"/>
          <w:sz w:val="24"/>
          <w:szCs w:val="24"/>
        </w:rPr>
      </w:pPr>
      <w:proofErr w:type="spellStart"/>
      <w:r>
        <w:rPr>
          <w:rFonts w:cstheme="minorHAnsi"/>
          <w:sz w:val="24"/>
          <w:szCs w:val="24"/>
        </w:rPr>
        <w:t>Lymbery</w:t>
      </w:r>
      <w:proofErr w:type="spellEnd"/>
      <w:r w:rsidR="00907710">
        <w:rPr>
          <w:rFonts w:cstheme="minorHAnsi"/>
          <w:sz w:val="24"/>
          <w:szCs w:val="24"/>
        </w:rPr>
        <w:t>, M.</w:t>
      </w:r>
      <w:r>
        <w:rPr>
          <w:rFonts w:cstheme="minorHAnsi"/>
          <w:sz w:val="24"/>
          <w:szCs w:val="24"/>
        </w:rPr>
        <w:t xml:space="preserve"> </w:t>
      </w:r>
      <w:r w:rsidR="00907710">
        <w:rPr>
          <w:rFonts w:cstheme="minorHAnsi"/>
          <w:sz w:val="24"/>
          <w:szCs w:val="24"/>
        </w:rPr>
        <w:t>(</w:t>
      </w:r>
      <w:r>
        <w:rPr>
          <w:rFonts w:cstheme="minorHAnsi"/>
          <w:sz w:val="24"/>
          <w:szCs w:val="24"/>
        </w:rPr>
        <w:t>2012</w:t>
      </w:r>
      <w:r w:rsidR="00907710">
        <w:rPr>
          <w:rFonts w:cstheme="minorHAnsi"/>
          <w:sz w:val="24"/>
          <w:szCs w:val="24"/>
        </w:rPr>
        <w:t xml:space="preserve">) ‘Social Work and Personalisation’ </w:t>
      </w:r>
      <w:r w:rsidR="00907710" w:rsidRPr="00907710">
        <w:rPr>
          <w:rFonts w:cstheme="minorHAnsi"/>
          <w:i/>
          <w:sz w:val="24"/>
          <w:szCs w:val="24"/>
        </w:rPr>
        <w:t>British Journal of Social Work</w:t>
      </w:r>
      <w:r w:rsidR="00907710">
        <w:rPr>
          <w:rFonts w:cstheme="minorHAnsi"/>
          <w:sz w:val="24"/>
          <w:szCs w:val="24"/>
        </w:rPr>
        <w:t xml:space="preserve"> 42 4: 783-792.</w:t>
      </w:r>
    </w:p>
    <w:p w14:paraId="354A6142" w14:textId="77777777" w:rsidR="00AC5023" w:rsidRPr="00AC5023" w:rsidRDefault="00AC5023" w:rsidP="00907710">
      <w:pPr>
        <w:pStyle w:val="References"/>
        <w:ind w:left="0" w:firstLine="0"/>
        <w:rPr>
          <w:rFonts w:ascii="Calibri" w:hAnsi="Calibri" w:cs="Calibri"/>
          <w:sz w:val="24"/>
          <w:szCs w:val="24"/>
          <w:lang w:val="en-GB"/>
        </w:rPr>
      </w:pPr>
      <w:bookmarkStart w:id="4" w:name="_Hlk526849371"/>
      <w:r w:rsidRPr="00AC5023">
        <w:rPr>
          <w:rFonts w:ascii="Calibri" w:hAnsi="Calibri" w:cs="Calibri"/>
          <w:sz w:val="24"/>
          <w:szCs w:val="24"/>
          <w:lang w:val="en-GB"/>
        </w:rPr>
        <w:t>McDermott, S. (2011)</w:t>
      </w:r>
      <w:bookmarkEnd w:id="4"/>
      <w:r w:rsidRPr="00AC5023">
        <w:rPr>
          <w:rFonts w:ascii="Calibri" w:hAnsi="Calibri" w:cs="Calibri"/>
          <w:sz w:val="24"/>
          <w:szCs w:val="24"/>
          <w:lang w:val="en-GB"/>
        </w:rPr>
        <w:t xml:space="preserve"> Ethical Decision Making in situations of self-neglect and squalor among older people </w:t>
      </w:r>
      <w:r w:rsidRPr="00AC5023">
        <w:rPr>
          <w:rFonts w:ascii="Calibri" w:hAnsi="Calibri" w:cs="Calibri"/>
          <w:i/>
          <w:sz w:val="24"/>
          <w:szCs w:val="24"/>
          <w:lang w:val="en-GB"/>
        </w:rPr>
        <w:t>Ethics and Social Welfare</w:t>
      </w:r>
      <w:r w:rsidRPr="00AC5023">
        <w:rPr>
          <w:rFonts w:ascii="Calibri" w:hAnsi="Calibri" w:cs="Calibri"/>
          <w:sz w:val="24"/>
          <w:szCs w:val="24"/>
          <w:lang w:val="en-GB"/>
        </w:rPr>
        <w:t xml:space="preserve"> 5 (1), 52-71.</w:t>
      </w:r>
    </w:p>
    <w:p w14:paraId="0181E936" w14:textId="77777777" w:rsidR="00CF6245" w:rsidRPr="00CF6245" w:rsidRDefault="00CF6245" w:rsidP="00907710">
      <w:pPr>
        <w:pStyle w:val="References"/>
        <w:ind w:left="0" w:firstLine="0"/>
        <w:rPr>
          <w:rFonts w:asciiTheme="minorHAnsi" w:hAnsiTheme="minorHAnsi" w:cstheme="minorHAnsi"/>
          <w:sz w:val="24"/>
          <w:szCs w:val="24"/>
          <w:lang w:val="en-GB"/>
        </w:rPr>
      </w:pPr>
      <w:r w:rsidRPr="00CF6245">
        <w:rPr>
          <w:rFonts w:asciiTheme="minorHAnsi" w:hAnsiTheme="minorHAnsi" w:cstheme="minorHAnsi"/>
          <w:sz w:val="24"/>
          <w:szCs w:val="24"/>
          <w:lang w:val="en-GB"/>
        </w:rPr>
        <w:t xml:space="preserve">Meagher, G. and Parton, N. (2004) ‘Modernising Social Work and the Ethics of Care’, </w:t>
      </w:r>
      <w:r w:rsidRPr="00CF6245">
        <w:rPr>
          <w:rFonts w:asciiTheme="minorHAnsi" w:hAnsiTheme="minorHAnsi" w:cstheme="minorHAnsi"/>
          <w:i/>
          <w:sz w:val="24"/>
          <w:szCs w:val="24"/>
          <w:lang w:val="en-GB"/>
        </w:rPr>
        <w:t>Social Work and Society</w:t>
      </w:r>
      <w:r w:rsidRPr="00CF6245">
        <w:rPr>
          <w:rFonts w:asciiTheme="minorHAnsi" w:hAnsiTheme="minorHAnsi" w:cstheme="minorHAnsi"/>
          <w:sz w:val="24"/>
          <w:szCs w:val="24"/>
          <w:lang w:val="en-GB"/>
        </w:rPr>
        <w:t xml:space="preserve"> 2(1): 10‒27.</w:t>
      </w:r>
    </w:p>
    <w:p w14:paraId="6FDC73FD" w14:textId="77777777" w:rsidR="001678A4" w:rsidRDefault="001678A4" w:rsidP="00907710">
      <w:pPr>
        <w:spacing w:line="480" w:lineRule="auto"/>
        <w:rPr>
          <w:sz w:val="24"/>
          <w:szCs w:val="24"/>
        </w:rPr>
      </w:pPr>
      <w:r>
        <w:rPr>
          <w:sz w:val="24"/>
          <w:szCs w:val="24"/>
        </w:rPr>
        <w:t>Milton</w:t>
      </w:r>
      <w:r w:rsidR="008D0C11">
        <w:rPr>
          <w:sz w:val="24"/>
          <w:szCs w:val="24"/>
        </w:rPr>
        <w:t xml:space="preserve">, S., Buckner, S., </w:t>
      </w:r>
      <w:proofErr w:type="spellStart"/>
      <w:r w:rsidR="008D0C11">
        <w:rPr>
          <w:sz w:val="24"/>
          <w:szCs w:val="24"/>
        </w:rPr>
        <w:t>Salway</w:t>
      </w:r>
      <w:proofErr w:type="spellEnd"/>
      <w:r w:rsidR="008D0C11">
        <w:rPr>
          <w:sz w:val="24"/>
          <w:szCs w:val="24"/>
        </w:rPr>
        <w:t>, S., Powell, K., Moffatt, S., and Green, J.</w:t>
      </w:r>
      <w:r>
        <w:rPr>
          <w:sz w:val="24"/>
          <w:szCs w:val="24"/>
        </w:rPr>
        <w:t xml:space="preserve"> </w:t>
      </w:r>
      <w:r w:rsidR="008D0C11">
        <w:rPr>
          <w:sz w:val="24"/>
          <w:szCs w:val="24"/>
        </w:rPr>
        <w:t>(</w:t>
      </w:r>
      <w:r>
        <w:rPr>
          <w:sz w:val="24"/>
          <w:szCs w:val="24"/>
        </w:rPr>
        <w:t>2015</w:t>
      </w:r>
      <w:r w:rsidR="008D0C11">
        <w:rPr>
          <w:sz w:val="24"/>
          <w:szCs w:val="24"/>
        </w:rPr>
        <w:t xml:space="preserve">) ‘Understanding welfare conditionality in the context of generational habitus: A qualitative study of older citizens in England’ </w:t>
      </w:r>
      <w:r w:rsidR="008D0C11" w:rsidRPr="008D0C11">
        <w:rPr>
          <w:i/>
          <w:sz w:val="24"/>
          <w:szCs w:val="24"/>
        </w:rPr>
        <w:t>Journal of Aging Studies</w:t>
      </w:r>
      <w:r w:rsidR="008D0C11">
        <w:rPr>
          <w:sz w:val="24"/>
          <w:szCs w:val="24"/>
        </w:rPr>
        <w:t xml:space="preserve"> </w:t>
      </w:r>
      <w:r w:rsidR="008D0C11" w:rsidRPr="008D0C11">
        <w:rPr>
          <w:b/>
          <w:sz w:val="24"/>
          <w:szCs w:val="24"/>
        </w:rPr>
        <w:t>34</w:t>
      </w:r>
      <w:r w:rsidR="008D0C11">
        <w:rPr>
          <w:sz w:val="24"/>
          <w:szCs w:val="24"/>
        </w:rPr>
        <w:t>: 113-122.</w:t>
      </w:r>
    </w:p>
    <w:p w14:paraId="775A93AA" w14:textId="77777777" w:rsidR="00715ABE" w:rsidRDefault="00B14614" w:rsidP="00907710">
      <w:pPr>
        <w:spacing w:line="480" w:lineRule="auto"/>
        <w:rPr>
          <w:rFonts w:cstheme="minorHAnsi"/>
          <w:sz w:val="24"/>
          <w:szCs w:val="24"/>
        </w:rPr>
      </w:pPr>
      <w:r>
        <w:rPr>
          <w:rFonts w:cstheme="minorHAnsi"/>
          <w:sz w:val="24"/>
          <w:szCs w:val="24"/>
        </w:rPr>
        <w:t>Montgomerie</w:t>
      </w:r>
      <w:r w:rsidR="0070073A">
        <w:rPr>
          <w:rFonts w:cstheme="minorHAnsi"/>
          <w:sz w:val="24"/>
          <w:szCs w:val="24"/>
        </w:rPr>
        <w:t>, J.</w:t>
      </w:r>
      <w:r>
        <w:rPr>
          <w:rFonts w:cstheme="minorHAnsi"/>
          <w:sz w:val="24"/>
          <w:szCs w:val="24"/>
        </w:rPr>
        <w:t xml:space="preserve"> and </w:t>
      </w:r>
      <w:proofErr w:type="spellStart"/>
      <w:r>
        <w:rPr>
          <w:rFonts w:cstheme="minorHAnsi"/>
          <w:sz w:val="24"/>
          <w:szCs w:val="24"/>
        </w:rPr>
        <w:t>Budenbender</w:t>
      </w:r>
      <w:proofErr w:type="spellEnd"/>
      <w:r>
        <w:rPr>
          <w:rFonts w:cstheme="minorHAnsi"/>
          <w:sz w:val="24"/>
          <w:szCs w:val="24"/>
        </w:rPr>
        <w:t>,</w:t>
      </w:r>
      <w:r w:rsidR="0070073A">
        <w:rPr>
          <w:rFonts w:cstheme="minorHAnsi"/>
          <w:sz w:val="24"/>
          <w:szCs w:val="24"/>
        </w:rPr>
        <w:t xml:space="preserve"> M.</w:t>
      </w:r>
      <w:r>
        <w:rPr>
          <w:rFonts w:cstheme="minorHAnsi"/>
          <w:sz w:val="24"/>
          <w:szCs w:val="24"/>
        </w:rPr>
        <w:t xml:space="preserve"> </w:t>
      </w:r>
      <w:r w:rsidR="0070073A">
        <w:rPr>
          <w:rFonts w:cstheme="minorHAnsi"/>
          <w:sz w:val="24"/>
          <w:szCs w:val="24"/>
        </w:rPr>
        <w:t>(</w:t>
      </w:r>
      <w:r>
        <w:rPr>
          <w:rFonts w:cstheme="minorHAnsi"/>
          <w:sz w:val="24"/>
          <w:szCs w:val="24"/>
        </w:rPr>
        <w:t>2015</w:t>
      </w:r>
      <w:r w:rsidR="0070073A">
        <w:rPr>
          <w:rFonts w:cstheme="minorHAnsi"/>
          <w:sz w:val="24"/>
          <w:szCs w:val="24"/>
        </w:rPr>
        <w:t xml:space="preserve">) ‘Round the Houses: Homeownership and failures of Asset-Based Welfare in the UK’ </w:t>
      </w:r>
      <w:r w:rsidR="0070073A" w:rsidRPr="0070073A">
        <w:rPr>
          <w:rFonts w:cstheme="minorHAnsi"/>
          <w:i/>
          <w:sz w:val="24"/>
          <w:szCs w:val="24"/>
        </w:rPr>
        <w:t>New Political Economy</w:t>
      </w:r>
      <w:r w:rsidR="0070073A">
        <w:rPr>
          <w:rFonts w:cstheme="minorHAnsi"/>
          <w:sz w:val="24"/>
          <w:szCs w:val="24"/>
        </w:rPr>
        <w:t xml:space="preserve"> </w:t>
      </w:r>
      <w:r w:rsidR="0070073A" w:rsidRPr="0070073A">
        <w:rPr>
          <w:rFonts w:cstheme="minorHAnsi"/>
          <w:b/>
          <w:sz w:val="24"/>
          <w:szCs w:val="24"/>
        </w:rPr>
        <w:t>20</w:t>
      </w:r>
      <w:r w:rsidR="0070073A">
        <w:rPr>
          <w:rFonts w:cstheme="minorHAnsi"/>
          <w:sz w:val="24"/>
          <w:szCs w:val="24"/>
        </w:rPr>
        <w:t>(3): 386-405.</w:t>
      </w:r>
    </w:p>
    <w:p w14:paraId="68DFD592" w14:textId="1F4CBE89" w:rsidR="004F0EC3" w:rsidRDefault="004F0EC3" w:rsidP="00907710">
      <w:pPr>
        <w:spacing w:line="480" w:lineRule="auto"/>
        <w:rPr>
          <w:sz w:val="24"/>
          <w:szCs w:val="24"/>
        </w:rPr>
      </w:pPr>
      <w:r>
        <w:rPr>
          <w:sz w:val="24"/>
          <w:szCs w:val="24"/>
        </w:rPr>
        <w:t xml:space="preserve">Moore, S. (2020) ‘The sound of silence: Evidence of the continuing under reporting of abuse in care homes’ </w:t>
      </w:r>
      <w:r w:rsidRPr="004F0EC3">
        <w:rPr>
          <w:i/>
          <w:sz w:val="24"/>
          <w:szCs w:val="24"/>
        </w:rPr>
        <w:t xml:space="preserve">The Journal of Adult Protection </w:t>
      </w:r>
      <w:r>
        <w:rPr>
          <w:sz w:val="24"/>
          <w:szCs w:val="24"/>
        </w:rPr>
        <w:t xml:space="preserve">22 (1): 35-48. </w:t>
      </w:r>
    </w:p>
    <w:p w14:paraId="5E36400B" w14:textId="722A1DFE" w:rsidR="009A7767" w:rsidRPr="005F1461" w:rsidRDefault="009A7767" w:rsidP="00907710">
      <w:pPr>
        <w:spacing w:line="480" w:lineRule="auto"/>
        <w:rPr>
          <w:sz w:val="24"/>
          <w:szCs w:val="24"/>
        </w:rPr>
      </w:pPr>
      <w:proofErr w:type="spellStart"/>
      <w:r w:rsidRPr="005F1461">
        <w:rPr>
          <w:sz w:val="24"/>
          <w:szCs w:val="24"/>
        </w:rPr>
        <w:lastRenderedPageBreak/>
        <w:t>Ogg</w:t>
      </w:r>
      <w:proofErr w:type="spellEnd"/>
      <w:r w:rsidRPr="005F1461">
        <w:rPr>
          <w:sz w:val="24"/>
          <w:szCs w:val="24"/>
        </w:rPr>
        <w:t xml:space="preserve">, J. (2005) ‘Social exclusion and insecurity among older Europeans: the influence of welfare regimes’ </w:t>
      </w:r>
      <w:r w:rsidRPr="005F1461">
        <w:rPr>
          <w:i/>
          <w:sz w:val="24"/>
          <w:szCs w:val="24"/>
        </w:rPr>
        <w:t>Ageing and Society</w:t>
      </w:r>
      <w:r w:rsidRPr="005F1461">
        <w:rPr>
          <w:sz w:val="24"/>
          <w:szCs w:val="24"/>
        </w:rPr>
        <w:t xml:space="preserve"> 25 (01): 69-90.</w:t>
      </w:r>
    </w:p>
    <w:p w14:paraId="6E1122C5" w14:textId="77777777" w:rsidR="00C35A1B" w:rsidRDefault="002B43A4" w:rsidP="00907710">
      <w:pPr>
        <w:spacing w:line="480" w:lineRule="auto"/>
        <w:rPr>
          <w:sz w:val="24"/>
          <w:szCs w:val="24"/>
        </w:rPr>
      </w:pPr>
      <w:r w:rsidRPr="000972E6">
        <w:rPr>
          <w:sz w:val="24"/>
          <w:szCs w:val="24"/>
        </w:rPr>
        <w:t>Ray, M. (2014) ‘Critical Perspectives</w:t>
      </w:r>
      <w:bookmarkStart w:id="5" w:name="_GoBack"/>
      <w:bookmarkEnd w:id="5"/>
      <w:r w:rsidRPr="000972E6">
        <w:rPr>
          <w:sz w:val="24"/>
          <w:szCs w:val="24"/>
        </w:rPr>
        <w:t xml:space="preserve"> on Social Work with Older People’ in </w:t>
      </w:r>
      <w:proofErr w:type="spellStart"/>
      <w:r w:rsidRPr="000972E6">
        <w:rPr>
          <w:sz w:val="24"/>
          <w:szCs w:val="24"/>
        </w:rPr>
        <w:t>Baars</w:t>
      </w:r>
      <w:proofErr w:type="spellEnd"/>
      <w:r w:rsidRPr="000972E6">
        <w:rPr>
          <w:sz w:val="24"/>
          <w:szCs w:val="24"/>
        </w:rPr>
        <w:t xml:space="preserve">, J., </w:t>
      </w:r>
      <w:proofErr w:type="spellStart"/>
      <w:r w:rsidRPr="000972E6">
        <w:rPr>
          <w:sz w:val="24"/>
          <w:szCs w:val="24"/>
        </w:rPr>
        <w:t>Dohmen</w:t>
      </w:r>
      <w:proofErr w:type="spellEnd"/>
      <w:r w:rsidRPr="000972E6">
        <w:rPr>
          <w:sz w:val="24"/>
          <w:szCs w:val="24"/>
        </w:rPr>
        <w:t xml:space="preserve">, J., </w:t>
      </w:r>
      <w:proofErr w:type="spellStart"/>
      <w:r w:rsidRPr="000972E6">
        <w:rPr>
          <w:sz w:val="24"/>
          <w:szCs w:val="24"/>
        </w:rPr>
        <w:t>Grenier</w:t>
      </w:r>
      <w:proofErr w:type="spellEnd"/>
      <w:r w:rsidRPr="000972E6">
        <w:rPr>
          <w:sz w:val="24"/>
          <w:szCs w:val="24"/>
        </w:rPr>
        <w:t xml:space="preserve">, A., and Phillipson, C. </w:t>
      </w:r>
      <w:r w:rsidRPr="000972E6">
        <w:rPr>
          <w:i/>
          <w:sz w:val="24"/>
          <w:szCs w:val="24"/>
        </w:rPr>
        <w:t>Ageing, Meaning and Social Structure: Connecting Critical and Humanistic Gerontology</w:t>
      </w:r>
      <w:r w:rsidRPr="000972E6">
        <w:rPr>
          <w:sz w:val="24"/>
          <w:szCs w:val="24"/>
        </w:rPr>
        <w:t xml:space="preserve"> Bristol, Bristol.</w:t>
      </w:r>
    </w:p>
    <w:p w14:paraId="226FCC84" w14:textId="77777777" w:rsidR="00C35A1B" w:rsidRDefault="00C35A1B" w:rsidP="00907710">
      <w:pPr>
        <w:spacing w:line="480" w:lineRule="auto"/>
        <w:rPr>
          <w:sz w:val="24"/>
          <w:szCs w:val="24"/>
        </w:rPr>
      </w:pPr>
      <w:r>
        <w:rPr>
          <w:sz w:val="24"/>
          <w:szCs w:val="24"/>
        </w:rPr>
        <w:t>Scourfield</w:t>
      </w:r>
      <w:r w:rsidR="00963612">
        <w:rPr>
          <w:sz w:val="24"/>
          <w:szCs w:val="24"/>
        </w:rPr>
        <w:t>, P.</w:t>
      </w:r>
      <w:r>
        <w:rPr>
          <w:sz w:val="24"/>
          <w:szCs w:val="24"/>
        </w:rPr>
        <w:t xml:space="preserve"> </w:t>
      </w:r>
      <w:r w:rsidR="00963612">
        <w:rPr>
          <w:sz w:val="24"/>
          <w:szCs w:val="24"/>
        </w:rPr>
        <w:t>(</w:t>
      </w:r>
      <w:r>
        <w:rPr>
          <w:sz w:val="24"/>
          <w:szCs w:val="24"/>
        </w:rPr>
        <w:t>2007</w:t>
      </w:r>
      <w:r w:rsidR="00963612">
        <w:rPr>
          <w:sz w:val="24"/>
          <w:szCs w:val="24"/>
        </w:rPr>
        <w:t xml:space="preserve">) ‘Are there reasons to be worried about the “Cartelisation” of residential care’, </w:t>
      </w:r>
      <w:r w:rsidR="00963612" w:rsidRPr="00963612">
        <w:rPr>
          <w:i/>
          <w:sz w:val="24"/>
          <w:szCs w:val="24"/>
        </w:rPr>
        <w:t xml:space="preserve">Critical Social Policy </w:t>
      </w:r>
      <w:r w:rsidR="00963612" w:rsidRPr="00963612">
        <w:rPr>
          <w:b/>
          <w:sz w:val="24"/>
          <w:szCs w:val="24"/>
        </w:rPr>
        <w:t>25</w:t>
      </w:r>
      <w:r w:rsidR="00963612">
        <w:rPr>
          <w:sz w:val="24"/>
          <w:szCs w:val="24"/>
        </w:rPr>
        <w:t xml:space="preserve">(2): 155-180. </w:t>
      </w:r>
    </w:p>
    <w:p w14:paraId="36059BA0" w14:textId="77777777" w:rsidR="00B14614" w:rsidRDefault="00B14614" w:rsidP="00907710">
      <w:pPr>
        <w:spacing w:line="480" w:lineRule="auto"/>
        <w:rPr>
          <w:sz w:val="24"/>
          <w:szCs w:val="24"/>
        </w:rPr>
      </w:pPr>
      <w:r>
        <w:rPr>
          <w:rFonts w:cstheme="minorHAnsi"/>
          <w:sz w:val="24"/>
          <w:szCs w:val="24"/>
        </w:rPr>
        <w:t>Scourfield,</w:t>
      </w:r>
      <w:r w:rsidR="00660C34">
        <w:rPr>
          <w:rFonts w:cstheme="minorHAnsi"/>
          <w:sz w:val="24"/>
          <w:szCs w:val="24"/>
        </w:rPr>
        <w:t xml:space="preserve"> P</w:t>
      </w:r>
      <w:r>
        <w:rPr>
          <w:rFonts w:cstheme="minorHAnsi"/>
          <w:sz w:val="24"/>
          <w:szCs w:val="24"/>
        </w:rPr>
        <w:t xml:space="preserve"> </w:t>
      </w:r>
      <w:r w:rsidR="00660C34">
        <w:rPr>
          <w:rFonts w:cstheme="minorHAnsi"/>
          <w:sz w:val="24"/>
          <w:szCs w:val="24"/>
        </w:rPr>
        <w:t>(</w:t>
      </w:r>
      <w:r>
        <w:rPr>
          <w:rFonts w:cstheme="minorHAnsi"/>
          <w:sz w:val="24"/>
          <w:szCs w:val="24"/>
        </w:rPr>
        <w:t>2015</w:t>
      </w:r>
      <w:r w:rsidR="00660C34">
        <w:rPr>
          <w:rFonts w:cstheme="minorHAnsi"/>
          <w:sz w:val="24"/>
          <w:szCs w:val="24"/>
        </w:rPr>
        <w:t xml:space="preserve">) ‘Implementing co-production in adult social care: An example of meta-governance failure? </w:t>
      </w:r>
      <w:r w:rsidR="00660C34" w:rsidRPr="00660C34">
        <w:rPr>
          <w:rFonts w:cstheme="minorHAnsi"/>
          <w:i/>
          <w:sz w:val="24"/>
          <w:szCs w:val="24"/>
        </w:rPr>
        <w:t>Social Policy and Society</w:t>
      </w:r>
      <w:r w:rsidR="00660C34">
        <w:rPr>
          <w:rFonts w:cstheme="minorHAnsi"/>
          <w:sz w:val="24"/>
          <w:szCs w:val="24"/>
        </w:rPr>
        <w:t xml:space="preserve"> </w:t>
      </w:r>
      <w:r w:rsidR="00660C34" w:rsidRPr="00660C34">
        <w:rPr>
          <w:rFonts w:cstheme="minorHAnsi"/>
          <w:b/>
          <w:sz w:val="24"/>
          <w:szCs w:val="24"/>
        </w:rPr>
        <w:t>14</w:t>
      </w:r>
      <w:r w:rsidR="00660C34">
        <w:rPr>
          <w:rFonts w:cstheme="minorHAnsi"/>
          <w:sz w:val="24"/>
          <w:szCs w:val="24"/>
        </w:rPr>
        <w:t xml:space="preserve"> (4): 541-554.</w:t>
      </w:r>
    </w:p>
    <w:p w14:paraId="10302165" w14:textId="77777777" w:rsidR="0053720F" w:rsidRPr="0053720F" w:rsidRDefault="0053720F" w:rsidP="00907710">
      <w:pPr>
        <w:pStyle w:val="References"/>
        <w:ind w:left="0" w:firstLine="0"/>
        <w:rPr>
          <w:rFonts w:asciiTheme="minorHAnsi" w:hAnsiTheme="minorHAnsi" w:cstheme="minorHAnsi"/>
          <w:sz w:val="24"/>
          <w:szCs w:val="24"/>
          <w:lang w:val="en-GB"/>
        </w:rPr>
      </w:pPr>
      <w:r w:rsidRPr="0053720F">
        <w:rPr>
          <w:rFonts w:asciiTheme="minorHAnsi" w:hAnsiTheme="minorHAnsi" w:cstheme="minorHAnsi"/>
          <w:sz w:val="24"/>
          <w:szCs w:val="24"/>
          <w:lang w:val="en-GB"/>
        </w:rPr>
        <w:t xml:space="preserve">Singer, P. (1993) </w:t>
      </w:r>
      <w:r w:rsidRPr="0053720F">
        <w:rPr>
          <w:rFonts w:asciiTheme="minorHAnsi" w:hAnsiTheme="minorHAnsi" w:cstheme="minorHAnsi"/>
          <w:i/>
          <w:sz w:val="24"/>
          <w:szCs w:val="24"/>
          <w:lang w:val="en-GB"/>
        </w:rPr>
        <w:t>How Are We to Live? Ethics in the Age of Self-interest.</w:t>
      </w:r>
      <w:r w:rsidRPr="0053720F">
        <w:rPr>
          <w:rFonts w:asciiTheme="minorHAnsi" w:hAnsiTheme="minorHAnsi" w:cstheme="minorHAnsi"/>
          <w:sz w:val="24"/>
          <w:szCs w:val="24"/>
          <w:lang w:val="en-GB"/>
        </w:rPr>
        <w:t xml:space="preserve"> Oxford, Oxford University Press.</w:t>
      </w:r>
    </w:p>
    <w:p w14:paraId="217DD21F" w14:textId="77777777" w:rsidR="00844ED1" w:rsidRDefault="00844ED1" w:rsidP="00907710">
      <w:pPr>
        <w:autoSpaceDE w:val="0"/>
        <w:spacing w:after="200" w:line="480" w:lineRule="auto"/>
      </w:pPr>
      <w:proofErr w:type="spellStart"/>
      <w:r>
        <w:rPr>
          <w:rFonts w:cs="Calibri"/>
          <w:sz w:val="24"/>
          <w:szCs w:val="24"/>
          <w:lang w:val="en"/>
        </w:rPr>
        <w:t>Tomkow</w:t>
      </w:r>
      <w:proofErr w:type="spellEnd"/>
      <w:r>
        <w:rPr>
          <w:rFonts w:cs="Calibri"/>
          <w:sz w:val="24"/>
          <w:szCs w:val="24"/>
          <w:lang w:val="en"/>
        </w:rPr>
        <w:t xml:space="preserve">, L. (2018) ‘The emergence and </w:t>
      </w:r>
      <w:proofErr w:type="spellStart"/>
      <w:r>
        <w:rPr>
          <w:rFonts w:cs="Calibri"/>
          <w:sz w:val="24"/>
          <w:szCs w:val="24"/>
          <w:lang w:val="en"/>
        </w:rPr>
        <w:t>utilisation</w:t>
      </w:r>
      <w:proofErr w:type="spellEnd"/>
      <w:r>
        <w:rPr>
          <w:rFonts w:cs="Calibri"/>
          <w:sz w:val="24"/>
          <w:szCs w:val="24"/>
          <w:lang w:val="en"/>
        </w:rPr>
        <w:t xml:space="preserve"> of frailty in the United Kingdom: A contemporary biopolitical practice’ </w:t>
      </w:r>
      <w:r>
        <w:rPr>
          <w:rFonts w:cs="Calibri"/>
          <w:i/>
          <w:iCs/>
          <w:sz w:val="24"/>
          <w:szCs w:val="24"/>
          <w:lang w:val="en"/>
        </w:rPr>
        <w:t>Ageing and Society</w:t>
      </w:r>
      <w:r>
        <w:rPr>
          <w:rFonts w:cs="Calibri"/>
          <w:sz w:val="24"/>
          <w:szCs w:val="24"/>
          <w:lang w:val="en"/>
        </w:rPr>
        <w:t xml:space="preserve"> </w:t>
      </w:r>
      <w:r>
        <w:rPr>
          <w:rFonts w:cs="Calibri"/>
          <w:b/>
          <w:bCs/>
          <w:sz w:val="24"/>
          <w:szCs w:val="24"/>
          <w:lang w:val="en"/>
        </w:rPr>
        <w:t>40</w:t>
      </w:r>
      <w:r>
        <w:rPr>
          <w:rFonts w:cs="Calibri"/>
          <w:sz w:val="24"/>
          <w:szCs w:val="24"/>
          <w:lang w:val="en"/>
        </w:rPr>
        <w:t>, 695-712.</w:t>
      </w:r>
    </w:p>
    <w:p w14:paraId="72F2AC1A" w14:textId="77777777" w:rsidR="00474662" w:rsidRDefault="00474662" w:rsidP="00907710">
      <w:pPr>
        <w:spacing w:line="480" w:lineRule="auto"/>
        <w:rPr>
          <w:sz w:val="24"/>
          <w:szCs w:val="24"/>
        </w:rPr>
      </w:pPr>
      <w:proofErr w:type="spellStart"/>
      <w:r>
        <w:rPr>
          <w:sz w:val="24"/>
          <w:szCs w:val="24"/>
        </w:rPr>
        <w:t>Tomkow</w:t>
      </w:r>
      <w:proofErr w:type="spellEnd"/>
      <w:r w:rsidR="008D2DC2">
        <w:rPr>
          <w:sz w:val="24"/>
          <w:szCs w:val="24"/>
        </w:rPr>
        <w:t>, L.</w:t>
      </w:r>
      <w:r>
        <w:rPr>
          <w:sz w:val="24"/>
          <w:szCs w:val="24"/>
        </w:rPr>
        <w:t xml:space="preserve"> </w:t>
      </w:r>
      <w:r w:rsidR="008D2DC2">
        <w:rPr>
          <w:sz w:val="24"/>
          <w:szCs w:val="24"/>
        </w:rPr>
        <w:t>(</w:t>
      </w:r>
      <w:r>
        <w:rPr>
          <w:sz w:val="24"/>
          <w:szCs w:val="24"/>
        </w:rPr>
        <w:t>2019</w:t>
      </w:r>
      <w:r w:rsidR="008D2DC2">
        <w:rPr>
          <w:sz w:val="24"/>
          <w:szCs w:val="24"/>
        </w:rPr>
        <w:t xml:space="preserve">) </w:t>
      </w:r>
      <w:r w:rsidR="008D2DC2" w:rsidRPr="008D2DC2">
        <w:rPr>
          <w:i/>
          <w:sz w:val="24"/>
          <w:szCs w:val="24"/>
        </w:rPr>
        <w:t>Health and ageing in a hostile environment: Understanding older asylum applicants’ narratives of life, health and ageing in the UK</w:t>
      </w:r>
      <w:r w:rsidR="008D2DC2">
        <w:rPr>
          <w:sz w:val="24"/>
          <w:szCs w:val="24"/>
        </w:rPr>
        <w:t xml:space="preserve"> University of Manchester, Unpublished PhD thesis.</w:t>
      </w:r>
    </w:p>
    <w:p w14:paraId="62C14E2A" w14:textId="77777777" w:rsidR="00406933" w:rsidRDefault="00406933" w:rsidP="00907710">
      <w:pPr>
        <w:spacing w:line="480" w:lineRule="auto"/>
        <w:rPr>
          <w:sz w:val="24"/>
          <w:szCs w:val="24"/>
        </w:rPr>
      </w:pPr>
      <w:r>
        <w:rPr>
          <w:sz w:val="24"/>
          <w:szCs w:val="24"/>
        </w:rPr>
        <w:t xml:space="preserve">Van Dyke, S. (2014) ‘The appraisal of difference: Critical gerontology and the active-ageing paradigm’ </w:t>
      </w:r>
      <w:r w:rsidRPr="00406933">
        <w:rPr>
          <w:i/>
          <w:sz w:val="24"/>
          <w:szCs w:val="24"/>
        </w:rPr>
        <w:t>Journal of Aging Studies</w:t>
      </w:r>
      <w:r>
        <w:rPr>
          <w:sz w:val="24"/>
          <w:szCs w:val="24"/>
        </w:rPr>
        <w:t xml:space="preserve"> 31: 93-103</w:t>
      </w:r>
    </w:p>
    <w:p w14:paraId="2CE090AD" w14:textId="77777777" w:rsidR="001678A4" w:rsidRDefault="001678A4" w:rsidP="00907710">
      <w:pPr>
        <w:spacing w:line="480" w:lineRule="auto"/>
        <w:rPr>
          <w:rFonts w:cstheme="minorHAnsi"/>
          <w:sz w:val="24"/>
          <w:szCs w:val="24"/>
        </w:rPr>
      </w:pPr>
      <w:r>
        <w:rPr>
          <w:sz w:val="24"/>
          <w:szCs w:val="24"/>
        </w:rPr>
        <w:t>Walker,</w:t>
      </w:r>
      <w:r w:rsidR="00946784">
        <w:rPr>
          <w:sz w:val="24"/>
          <w:szCs w:val="24"/>
        </w:rPr>
        <w:t xml:space="preserve"> A</w:t>
      </w:r>
      <w:r>
        <w:rPr>
          <w:sz w:val="24"/>
          <w:szCs w:val="24"/>
        </w:rPr>
        <w:t xml:space="preserve"> </w:t>
      </w:r>
      <w:r w:rsidR="00963612">
        <w:rPr>
          <w:sz w:val="24"/>
          <w:szCs w:val="24"/>
        </w:rPr>
        <w:t>(</w:t>
      </w:r>
      <w:r>
        <w:rPr>
          <w:sz w:val="24"/>
          <w:szCs w:val="24"/>
        </w:rPr>
        <w:t>2012</w:t>
      </w:r>
      <w:r w:rsidR="00963612">
        <w:rPr>
          <w:sz w:val="24"/>
          <w:szCs w:val="24"/>
        </w:rPr>
        <w:t xml:space="preserve">) ‘The New Ageism’ </w:t>
      </w:r>
      <w:r w:rsidR="00963612" w:rsidRPr="00963612">
        <w:rPr>
          <w:i/>
          <w:sz w:val="24"/>
          <w:szCs w:val="24"/>
        </w:rPr>
        <w:t>The Political Quarterly</w:t>
      </w:r>
      <w:r w:rsidR="00963612">
        <w:rPr>
          <w:sz w:val="24"/>
          <w:szCs w:val="24"/>
        </w:rPr>
        <w:t xml:space="preserve"> 83(4): 812-819.</w:t>
      </w:r>
    </w:p>
    <w:p w14:paraId="3E1B1A82" w14:textId="77777777" w:rsidR="001678A4" w:rsidRPr="00586D16" w:rsidRDefault="00E879E8" w:rsidP="00907710">
      <w:pPr>
        <w:spacing w:line="480" w:lineRule="auto"/>
      </w:pPr>
      <w:r>
        <w:rPr>
          <w:rFonts w:cs="Calibri"/>
          <w:sz w:val="24"/>
          <w:szCs w:val="24"/>
        </w:rPr>
        <w:t xml:space="preserve">Watts, B., and Fitzpatrick, S. (2018) </w:t>
      </w:r>
      <w:r>
        <w:rPr>
          <w:rFonts w:cs="Calibri"/>
          <w:i/>
          <w:sz w:val="24"/>
          <w:szCs w:val="24"/>
        </w:rPr>
        <w:t>Welfare Conditionality</w:t>
      </w:r>
      <w:r>
        <w:rPr>
          <w:rFonts w:cs="Calibri"/>
          <w:sz w:val="24"/>
          <w:szCs w:val="24"/>
        </w:rPr>
        <w:t xml:space="preserve"> Abingdon, Routledge. </w:t>
      </w:r>
    </w:p>
    <w:p w14:paraId="30D4C904" w14:textId="77777777" w:rsidR="00E879E8" w:rsidRDefault="00E879E8" w:rsidP="00907710">
      <w:pPr>
        <w:spacing w:line="480" w:lineRule="auto"/>
      </w:pPr>
      <w:r>
        <w:rPr>
          <w:rFonts w:cs="Calibri"/>
          <w:sz w:val="24"/>
          <w:szCs w:val="24"/>
        </w:rPr>
        <w:lastRenderedPageBreak/>
        <w:t xml:space="preserve">Watts, B., Fitzpatrick, S., Bramley, G. and Watkins, D. (2014) </w:t>
      </w:r>
      <w:r>
        <w:rPr>
          <w:rFonts w:cs="Calibri"/>
          <w:i/>
          <w:iCs/>
          <w:sz w:val="24"/>
          <w:szCs w:val="24"/>
        </w:rPr>
        <w:t>Welfare Sanctions and Conditionality in the UK,</w:t>
      </w:r>
      <w:r>
        <w:rPr>
          <w:rFonts w:cs="Calibri"/>
          <w:sz w:val="24"/>
          <w:szCs w:val="24"/>
        </w:rPr>
        <w:t xml:space="preserve"> York, Joseph Rowntree Foundation.</w:t>
      </w:r>
    </w:p>
    <w:p w14:paraId="54F47612" w14:textId="0AD75FA2" w:rsidR="00A13070" w:rsidRPr="00012BA1" w:rsidRDefault="00BC3661" w:rsidP="00907710">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sidRPr="00012BA1">
        <w:rPr>
          <w:rFonts w:eastAsia="Times New Roman" w:cs="Times New Roman"/>
          <w:color w:val="000000"/>
          <w:sz w:val="24"/>
          <w:szCs w:val="24"/>
          <w:lang w:eastAsia="en-GB"/>
        </w:rPr>
        <w:t xml:space="preserve">Webb, S.A. (2006) </w:t>
      </w:r>
      <w:r w:rsidRPr="00012BA1">
        <w:rPr>
          <w:rFonts w:eastAsia="Times New Roman" w:cs="Times New Roman"/>
          <w:i/>
          <w:color w:val="000000"/>
          <w:sz w:val="24"/>
          <w:szCs w:val="24"/>
          <w:lang w:eastAsia="en-GB"/>
        </w:rPr>
        <w:t>Social Work in a Risk Society</w:t>
      </w:r>
      <w:r w:rsidRPr="00012BA1">
        <w:rPr>
          <w:rFonts w:eastAsia="Times New Roman" w:cs="Times New Roman"/>
          <w:color w:val="000000"/>
          <w:sz w:val="24"/>
          <w:szCs w:val="24"/>
          <w:lang w:eastAsia="en-GB"/>
        </w:rPr>
        <w:t xml:space="preserve"> Basingstoke, Palgrave MacMillan.</w:t>
      </w:r>
    </w:p>
    <w:p w14:paraId="51B22761" w14:textId="77777777" w:rsidR="00D96642" w:rsidRDefault="00D96642" w:rsidP="00907710">
      <w:pPr>
        <w:pStyle w:val="Normal1"/>
        <w:tabs>
          <w:tab w:val="left" w:pos="3330"/>
        </w:tabs>
        <w:spacing w:line="480" w:lineRule="auto"/>
        <w:rPr>
          <w:sz w:val="24"/>
          <w:szCs w:val="24"/>
        </w:rPr>
      </w:pPr>
      <w:r>
        <w:rPr>
          <w:sz w:val="24"/>
          <w:szCs w:val="24"/>
        </w:rPr>
        <w:t>White</w:t>
      </w:r>
      <w:r w:rsidR="00B045AF">
        <w:rPr>
          <w:sz w:val="24"/>
          <w:szCs w:val="24"/>
        </w:rPr>
        <w:t>, S. (</w:t>
      </w:r>
      <w:r>
        <w:rPr>
          <w:sz w:val="24"/>
          <w:szCs w:val="24"/>
        </w:rPr>
        <w:t>2000</w:t>
      </w:r>
      <w:r w:rsidR="00B045AF">
        <w:rPr>
          <w:sz w:val="24"/>
          <w:szCs w:val="24"/>
        </w:rPr>
        <w:t xml:space="preserve">) ‘Social rights and the social contract – Political theory and the new welfare politics’ British Journal of Political Science </w:t>
      </w:r>
      <w:r w:rsidR="00B045AF" w:rsidRPr="00B045AF">
        <w:rPr>
          <w:b/>
          <w:sz w:val="24"/>
          <w:szCs w:val="24"/>
        </w:rPr>
        <w:t>30</w:t>
      </w:r>
      <w:r w:rsidR="00B045AF">
        <w:rPr>
          <w:sz w:val="24"/>
          <w:szCs w:val="24"/>
        </w:rPr>
        <w:t xml:space="preserve"> (3): 507-532.</w:t>
      </w:r>
    </w:p>
    <w:p w14:paraId="3A9D8C48" w14:textId="77777777" w:rsidR="00B52DC3" w:rsidRDefault="00B52DC3" w:rsidP="00907710">
      <w:pPr>
        <w:pStyle w:val="Normal1"/>
        <w:tabs>
          <w:tab w:val="left" w:pos="3330"/>
        </w:tabs>
        <w:spacing w:line="480" w:lineRule="auto"/>
        <w:rPr>
          <w:sz w:val="24"/>
          <w:szCs w:val="24"/>
        </w:rPr>
      </w:pPr>
    </w:p>
    <w:p w14:paraId="491B6A0B" w14:textId="77777777" w:rsidR="00C35A1B" w:rsidRDefault="00C35A1B" w:rsidP="00907710">
      <w:pPr>
        <w:pStyle w:val="Normal1"/>
        <w:tabs>
          <w:tab w:val="left" w:pos="3330"/>
        </w:tabs>
        <w:spacing w:line="480" w:lineRule="auto"/>
        <w:rPr>
          <w:sz w:val="24"/>
          <w:szCs w:val="24"/>
        </w:rPr>
      </w:pPr>
      <w:r w:rsidRPr="003664A3">
        <w:rPr>
          <w:sz w:val="24"/>
          <w:szCs w:val="24"/>
        </w:rPr>
        <w:t>Willis</w:t>
      </w:r>
      <w:r w:rsidR="00586D16">
        <w:rPr>
          <w:sz w:val="24"/>
          <w:szCs w:val="24"/>
        </w:rPr>
        <w:t>, M., Duckworth, P., Coulter, A., Meyer, E.T., and Osbourne, M.</w:t>
      </w:r>
      <w:r w:rsidRPr="003664A3">
        <w:rPr>
          <w:sz w:val="24"/>
          <w:szCs w:val="24"/>
        </w:rPr>
        <w:t xml:space="preserve"> </w:t>
      </w:r>
      <w:r w:rsidR="00586D16">
        <w:rPr>
          <w:sz w:val="24"/>
          <w:szCs w:val="24"/>
        </w:rPr>
        <w:t>(</w:t>
      </w:r>
      <w:r w:rsidRPr="003664A3">
        <w:rPr>
          <w:sz w:val="24"/>
          <w:szCs w:val="24"/>
        </w:rPr>
        <w:t>2019</w:t>
      </w:r>
      <w:r w:rsidR="00586D16">
        <w:rPr>
          <w:sz w:val="24"/>
          <w:szCs w:val="24"/>
        </w:rPr>
        <w:t xml:space="preserve">) ‘Quantitative and qualitative approach to assess the potential for automating administrative tasks in general practice’ British Medical Journal Online </w:t>
      </w:r>
      <w:r w:rsidR="00586D16" w:rsidRPr="00586D16">
        <w:rPr>
          <w:b/>
          <w:sz w:val="24"/>
          <w:szCs w:val="24"/>
        </w:rPr>
        <w:t>10</w:t>
      </w:r>
      <w:r w:rsidR="00586D16">
        <w:rPr>
          <w:sz w:val="24"/>
          <w:szCs w:val="24"/>
        </w:rPr>
        <w:t xml:space="preserve"> (6): 1-9.</w:t>
      </w:r>
    </w:p>
    <w:p w14:paraId="3BBFF134" w14:textId="77777777" w:rsidR="00660C34" w:rsidRPr="00012BA1" w:rsidRDefault="00660C34" w:rsidP="00907710">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sidRPr="00012BA1">
        <w:rPr>
          <w:rFonts w:cs="Times New Roman"/>
          <w:sz w:val="24"/>
          <w:szCs w:val="24"/>
        </w:rPr>
        <w:t xml:space="preserve">Ziegler, F. and Scharf, T. (2014) ‘Community based participatory action research: Opportunities and challenges for critical gerontology’ in </w:t>
      </w:r>
      <w:proofErr w:type="spellStart"/>
      <w:r w:rsidRPr="00012BA1">
        <w:rPr>
          <w:rFonts w:cs="Times New Roman"/>
          <w:sz w:val="24"/>
          <w:szCs w:val="24"/>
        </w:rPr>
        <w:t>Baars</w:t>
      </w:r>
      <w:proofErr w:type="spellEnd"/>
      <w:r w:rsidRPr="00012BA1">
        <w:rPr>
          <w:rFonts w:cs="Times New Roman"/>
          <w:sz w:val="24"/>
          <w:szCs w:val="24"/>
        </w:rPr>
        <w:t xml:space="preserve">, J., </w:t>
      </w:r>
      <w:proofErr w:type="spellStart"/>
      <w:r w:rsidRPr="00012BA1">
        <w:rPr>
          <w:rFonts w:cs="Times New Roman"/>
          <w:sz w:val="24"/>
          <w:szCs w:val="24"/>
        </w:rPr>
        <w:t>Dohmen</w:t>
      </w:r>
      <w:proofErr w:type="spellEnd"/>
      <w:r w:rsidRPr="00012BA1">
        <w:rPr>
          <w:rFonts w:cs="Times New Roman"/>
          <w:sz w:val="24"/>
          <w:szCs w:val="24"/>
        </w:rPr>
        <w:t xml:space="preserve">, J., </w:t>
      </w:r>
      <w:proofErr w:type="spellStart"/>
      <w:r w:rsidRPr="00012BA1">
        <w:rPr>
          <w:rFonts w:cs="Times New Roman"/>
          <w:sz w:val="24"/>
          <w:szCs w:val="24"/>
        </w:rPr>
        <w:t>Grenier</w:t>
      </w:r>
      <w:proofErr w:type="spellEnd"/>
      <w:r w:rsidRPr="00012BA1">
        <w:rPr>
          <w:rFonts w:cs="Times New Roman"/>
          <w:sz w:val="24"/>
          <w:szCs w:val="24"/>
        </w:rPr>
        <w:t xml:space="preserve">, A., and Phillipson, C. (eds) </w:t>
      </w:r>
      <w:r w:rsidRPr="00012BA1">
        <w:rPr>
          <w:rFonts w:cs="Times New Roman"/>
          <w:i/>
          <w:sz w:val="24"/>
          <w:szCs w:val="24"/>
        </w:rPr>
        <w:t>Ageing, Meaning and Social Structure: Connecting Critical and Humanistic Gerontology</w:t>
      </w:r>
      <w:r w:rsidRPr="00012BA1">
        <w:rPr>
          <w:rFonts w:cs="Times New Roman"/>
          <w:sz w:val="24"/>
          <w:szCs w:val="24"/>
        </w:rPr>
        <w:t xml:space="preserve"> Bristol, Policy Press.</w:t>
      </w:r>
    </w:p>
    <w:p w14:paraId="4D951D20" w14:textId="77777777" w:rsidR="00B14614" w:rsidRDefault="00B14614" w:rsidP="00907710">
      <w:pPr>
        <w:pStyle w:val="Normal1"/>
        <w:tabs>
          <w:tab w:val="left" w:pos="3330"/>
        </w:tabs>
        <w:spacing w:line="480" w:lineRule="auto"/>
        <w:rPr>
          <w:sz w:val="24"/>
          <w:szCs w:val="24"/>
        </w:rPr>
      </w:pPr>
      <w:r>
        <w:rPr>
          <w:sz w:val="24"/>
          <w:szCs w:val="24"/>
        </w:rPr>
        <w:t>Zizek</w:t>
      </w:r>
      <w:r w:rsidR="00B20FB3">
        <w:rPr>
          <w:sz w:val="24"/>
          <w:szCs w:val="24"/>
        </w:rPr>
        <w:t>, S. (</w:t>
      </w:r>
      <w:r>
        <w:rPr>
          <w:sz w:val="24"/>
          <w:szCs w:val="24"/>
        </w:rPr>
        <w:t>2008</w:t>
      </w:r>
      <w:r w:rsidR="00B20FB3">
        <w:rPr>
          <w:sz w:val="24"/>
          <w:szCs w:val="24"/>
        </w:rPr>
        <w:t xml:space="preserve">) </w:t>
      </w:r>
      <w:r w:rsidR="00B20FB3" w:rsidRPr="00B20FB3">
        <w:rPr>
          <w:i/>
          <w:sz w:val="24"/>
          <w:szCs w:val="24"/>
        </w:rPr>
        <w:t>Violence</w:t>
      </w:r>
      <w:r w:rsidR="00B20FB3">
        <w:rPr>
          <w:sz w:val="24"/>
          <w:szCs w:val="24"/>
        </w:rPr>
        <w:t xml:space="preserve"> New York, Picador. </w:t>
      </w:r>
    </w:p>
    <w:p w14:paraId="6C8B282B" w14:textId="77777777" w:rsidR="001678A4" w:rsidRDefault="001678A4" w:rsidP="00907710">
      <w:pPr>
        <w:pStyle w:val="Normal1"/>
        <w:tabs>
          <w:tab w:val="left" w:pos="3330"/>
        </w:tabs>
        <w:spacing w:line="480" w:lineRule="auto"/>
        <w:rPr>
          <w:sz w:val="24"/>
          <w:szCs w:val="24"/>
        </w:rPr>
      </w:pPr>
    </w:p>
    <w:p w14:paraId="3190E7C4" w14:textId="77777777" w:rsidR="001678A4" w:rsidRDefault="001678A4" w:rsidP="00907710">
      <w:pPr>
        <w:pStyle w:val="Normal1"/>
        <w:tabs>
          <w:tab w:val="left" w:pos="3330"/>
        </w:tabs>
        <w:spacing w:line="480" w:lineRule="auto"/>
        <w:rPr>
          <w:sz w:val="24"/>
          <w:szCs w:val="24"/>
        </w:rPr>
      </w:pPr>
    </w:p>
    <w:p w14:paraId="1F1824A5" w14:textId="77777777" w:rsidR="001678A4" w:rsidRDefault="001678A4" w:rsidP="00907710">
      <w:pPr>
        <w:pStyle w:val="Normal1"/>
        <w:tabs>
          <w:tab w:val="left" w:pos="3330"/>
        </w:tabs>
        <w:spacing w:line="480" w:lineRule="auto"/>
        <w:rPr>
          <w:sz w:val="24"/>
          <w:szCs w:val="24"/>
        </w:rPr>
      </w:pPr>
    </w:p>
    <w:p w14:paraId="7C428AA1" w14:textId="77777777" w:rsidR="001678A4" w:rsidRDefault="001678A4" w:rsidP="00907710">
      <w:pPr>
        <w:pStyle w:val="Normal1"/>
        <w:tabs>
          <w:tab w:val="left" w:pos="3330"/>
        </w:tabs>
        <w:spacing w:line="480" w:lineRule="auto"/>
        <w:rPr>
          <w:sz w:val="24"/>
          <w:szCs w:val="24"/>
        </w:rPr>
      </w:pPr>
    </w:p>
    <w:p w14:paraId="1FCD47A3" w14:textId="77777777" w:rsidR="001678A4" w:rsidRPr="000B6BFA" w:rsidRDefault="001678A4" w:rsidP="00907710">
      <w:pPr>
        <w:pStyle w:val="Normal1"/>
        <w:tabs>
          <w:tab w:val="left" w:pos="3330"/>
        </w:tabs>
        <w:spacing w:line="480" w:lineRule="auto"/>
        <w:rPr>
          <w:sz w:val="24"/>
          <w:szCs w:val="24"/>
        </w:rPr>
      </w:pPr>
    </w:p>
    <w:p w14:paraId="21420984" w14:textId="77777777" w:rsidR="006E4B08" w:rsidRDefault="006E4B08" w:rsidP="00907710">
      <w:pPr>
        <w:pStyle w:val="Normal1"/>
        <w:tabs>
          <w:tab w:val="left" w:pos="3330"/>
        </w:tabs>
        <w:spacing w:line="480" w:lineRule="auto"/>
        <w:rPr>
          <w:sz w:val="24"/>
          <w:szCs w:val="24"/>
        </w:rPr>
      </w:pPr>
    </w:p>
    <w:p w14:paraId="7D73C37F" w14:textId="77777777" w:rsidR="00ED5557" w:rsidRDefault="00ED5557" w:rsidP="00907710">
      <w:pPr>
        <w:pStyle w:val="Normal1"/>
        <w:tabs>
          <w:tab w:val="left" w:pos="3330"/>
        </w:tabs>
        <w:spacing w:line="480" w:lineRule="auto"/>
        <w:rPr>
          <w:sz w:val="24"/>
          <w:szCs w:val="24"/>
        </w:rPr>
      </w:pPr>
    </w:p>
    <w:sectPr w:rsidR="00ED555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6EA35" w14:textId="77777777" w:rsidR="00084E05" w:rsidRDefault="00084E05" w:rsidP="00B344E4">
      <w:pPr>
        <w:spacing w:after="0" w:line="240" w:lineRule="auto"/>
      </w:pPr>
      <w:r>
        <w:separator/>
      </w:r>
    </w:p>
  </w:endnote>
  <w:endnote w:type="continuationSeparator" w:id="0">
    <w:p w14:paraId="032C557C" w14:textId="77777777" w:rsidR="00084E05" w:rsidRDefault="00084E05" w:rsidP="00B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476518"/>
      <w:docPartObj>
        <w:docPartGallery w:val="Page Numbers (Bottom of Page)"/>
        <w:docPartUnique/>
      </w:docPartObj>
    </w:sdtPr>
    <w:sdtEndPr>
      <w:rPr>
        <w:noProof/>
      </w:rPr>
    </w:sdtEndPr>
    <w:sdtContent>
      <w:p w14:paraId="3CE6350E" w14:textId="77777777" w:rsidR="00084E05" w:rsidRDefault="00084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E2649" w14:textId="77777777" w:rsidR="00084E05" w:rsidRDefault="0008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E854" w14:textId="77777777" w:rsidR="00084E05" w:rsidRDefault="00084E05" w:rsidP="00B344E4">
      <w:pPr>
        <w:spacing w:after="0" w:line="240" w:lineRule="auto"/>
      </w:pPr>
      <w:r>
        <w:separator/>
      </w:r>
    </w:p>
  </w:footnote>
  <w:footnote w:type="continuationSeparator" w:id="0">
    <w:p w14:paraId="01ABA5F0" w14:textId="77777777" w:rsidR="00084E05" w:rsidRDefault="00084E05" w:rsidP="00B34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70C43"/>
    <w:multiLevelType w:val="hybridMultilevel"/>
    <w:tmpl w:val="1A54678E"/>
    <w:lvl w:ilvl="0" w:tplc="257201FC">
      <w:start w:val="1"/>
      <w:numFmt w:val="bullet"/>
      <w:lvlText w:val="•"/>
      <w:lvlJc w:val="left"/>
      <w:pPr>
        <w:tabs>
          <w:tab w:val="num" w:pos="720"/>
        </w:tabs>
        <w:ind w:left="720" w:hanging="360"/>
      </w:pPr>
      <w:rPr>
        <w:rFonts w:ascii="Arial" w:hAnsi="Arial" w:hint="default"/>
      </w:rPr>
    </w:lvl>
    <w:lvl w:ilvl="1" w:tplc="A22CF3EA" w:tentative="1">
      <w:start w:val="1"/>
      <w:numFmt w:val="bullet"/>
      <w:lvlText w:val="•"/>
      <w:lvlJc w:val="left"/>
      <w:pPr>
        <w:tabs>
          <w:tab w:val="num" w:pos="1440"/>
        </w:tabs>
        <w:ind w:left="1440" w:hanging="360"/>
      </w:pPr>
      <w:rPr>
        <w:rFonts w:ascii="Arial" w:hAnsi="Arial" w:hint="default"/>
      </w:rPr>
    </w:lvl>
    <w:lvl w:ilvl="2" w:tplc="FE22E152" w:tentative="1">
      <w:start w:val="1"/>
      <w:numFmt w:val="bullet"/>
      <w:lvlText w:val="•"/>
      <w:lvlJc w:val="left"/>
      <w:pPr>
        <w:tabs>
          <w:tab w:val="num" w:pos="2160"/>
        </w:tabs>
        <w:ind w:left="2160" w:hanging="360"/>
      </w:pPr>
      <w:rPr>
        <w:rFonts w:ascii="Arial" w:hAnsi="Arial" w:hint="default"/>
      </w:rPr>
    </w:lvl>
    <w:lvl w:ilvl="3" w:tplc="99DABF7A" w:tentative="1">
      <w:start w:val="1"/>
      <w:numFmt w:val="bullet"/>
      <w:lvlText w:val="•"/>
      <w:lvlJc w:val="left"/>
      <w:pPr>
        <w:tabs>
          <w:tab w:val="num" w:pos="2880"/>
        </w:tabs>
        <w:ind w:left="2880" w:hanging="360"/>
      </w:pPr>
      <w:rPr>
        <w:rFonts w:ascii="Arial" w:hAnsi="Arial" w:hint="default"/>
      </w:rPr>
    </w:lvl>
    <w:lvl w:ilvl="4" w:tplc="48E259EA" w:tentative="1">
      <w:start w:val="1"/>
      <w:numFmt w:val="bullet"/>
      <w:lvlText w:val="•"/>
      <w:lvlJc w:val="left"/>
      <w:pPr>
        <w:tabs>
          <w:tab w:val="num" w:pos="3600"/>
        </w:tabs>
        <w:ind w:left="3600" w:hanging="360"/>
      </w:pPr>
      <w:rPr>
        <w:rFonts w:ascii="Arial" w:hAnsi="Arial" w:hint="default"/>
      </w:rPr>
    </w:lvl>
    <w:lvl w:ilvl="5" w:tplc="D2D61212" w:tentative="1">
      <w:start w:val="1"/>
      <w:numFmt w:val="bullet"/>
      <w:lvlText w:val="•"/>
      <w:lvlJc w:val="left"/>
      <w:pPr>
        <w:tabs>
          <w:tab w:val="num" w:pos="4320"/>
        </w:tabs>
        <w:ind w:left="4320" w:hanging="360"/>
      </w:pPr>
      <w:rPr>
        <w:rFonts w:ascii="Arial" w:hAnsi="Arial" w:hint="default"/>
      </w:rPr>
    </w:lvl>
    <w:lvl w:ilvl="6" w:tplc="BFD266F6" w:tentative="1">
      <w:start w:val="1"/>
      <w:numFmt w:val="bullet"/>
      <w:lvlText w:val="•"/>
      <w:lvlJc w:val="left"/>
      <w:pPr>
        <w:tabs>
          <w:tab w:val="num" w:pos="5040"/>
        </w:tabs>
        <w:ind w:left="5040" w:hanging="360"/>
      </w:pPr>
      <w:rPr>
        <w:rFonts w:ascii="Arial" w:hAnsi="Arial" w:hint="default"/>
      </w:rPr>
    </w:lvl>
    <w:lvl w:ilvl="7" w:tplc="7DEA1FD8" w:tentative="1">
      <w:start w:val="1"/>
      <w:numFmt w:val="bullet"/>
      <w:lvlText w:val="•"/>
      <w:lvlJc w:val="left"/>
      <w:pPr>
        <w:tabs>
          <w:tab w:val="num" w:pos="5760"/>
        </w:tabs>
        <w:ind w:left="5760" w:hanging="360"/>
      </w:pPr>
      <w:rPr>
        <w:rFonts w:ascii="Arial" w:hAnsi="Arial" w:hint="default"/>
      </w:rPr>
    </w:lvl>
    <w:lvl w:ilvl="8" w:tplc="12C699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F8415A9"/>
    <w:multiLevelType w:val="hybridMultilevel"/>
    <w:tmpl w:val="39142DF2"/>
    <w:lvl w:ilvl="0" w:tplc="E0EC4F2A">
      <w:start w:val="1"/>
      <w:numFmt w:val="bullet"/>
      <w:lvlText w:val="•"/>
      <w:lvlJc w:val="left"/>
      <w:pPr>
        <w:tabs>
          <w:tab w:val="num" w:pos="720"/>
        </w:tabs>
        <w:ind w:left="720" w:hanging="360"/>
      </w:pPr>
      <w:rPr>
        <w:rFonts w:ascii="Arial" w:hAnsi="Arial" w:hint="default"/>
      </w:rPr>
    </w:lvl>
    <w:lvl w:ilvl="1" w:tplc="671E7350" w:tentative="1">
      <w:start w:val="1"/>
      <w:numFmt w:val="bullet"/>
      <w:lvlText w:val="•"/>
      <w:lvlJc w:val="left"/>
      <w:pPr>
        <w:tabs>
          <w:tab w:val="num" w:pos="1440"/>
        </w:tabs>
        <w:ind w:left="1440" w:hanging="360"/>
      </w:pPr>
      <w:rPr>
        <w:rFonts w:ascii="Arial" w:hAnsi="Arial" w:hint="default"/>
      </w:rPr>
    </w:lvl>
    <w:lvl w:ilvl="2" w:tplc="42D2D598" w:tentative="1">
      <w:start w:val="1"/>
      <w:numFmt w:val="bullet"/>
      <w:lvlText w:val="•"/>
      <w:lvlJc w:val="left"/>
      <w:pPr>
        <w:tabs>
          <w:tab w:val="num" w:pos="2160"/>
        </w:tabs>
        <w:ind w:left="2160" w:hanging="360"/>
      </w:pPr>
      <w:rPr>
        <w:rFonts w:ascii="Arial" w:hAnsi="Arial" w:hint="default"/>
      </w:rPr>
    </w:lvl>
    <w:lvl w:ilvl="3" w:tplc="D840C2DA" w:tentative="1">
      <w:start w:val="1"/>
      <w:numFmt w:val="bullet"/>
      <w:lvlText w:val="•"/>
      <w:lvlJc w:val="left"/>
      <w:pPr>
        <w:tabs>
          <w:tab w:val="num" w:pos="2880"/>
        </w:tabs>
        <w:ind w:left="2880" w:hanging="360"/>
      </w:pPr>
      <w:rPr>
        <w:rFonts w:ascii="Arial" w:hAnsi="Arial" w:hint="default"/>
      </w:rPr>
    </w:lvl>
    <w:lvl w:ilvl="4" w:tplc="DC401EE2" w:tentative="1">
      <w:start w:val="1"/>
      <w:numFmt w:val="bullet"/>
      <w:lvlText w:val="•"/>
      <w:lvlJc w:val="left"/>
      <w:pPr>
        <w:tabs>
          <w:tab w:val="num" w:pos="3600"/>
        </w:tabs>
        <w:ind w:left="3600" w:hanging="360"/>
      </w:pPr>
      <w:rPr>
        <w:rFonts w:ascii="Arial" w:hAnsi="Arial" w:hint="default"/>
      </w:rPr>
    </w:lvl>
    <w:lvl w:ilvl="5" w:tplc="246819B8" w:tentative="1">
      <w:start w:val="1"/>
      <w:numFmt w:val="bullet"/>
      <w:lvlText w:val="•"/>
      <w:lvlJc w:val="left"/>
      <w:pPr>
        <w:tabs>
          <w:tab w:val="num" w:pos="4320"/>
        </w:tabs>
        <w:ind w:left="4320" w:hanging="360"/>
      </w:pPr>
      <w:rPr>
        <w:rFonts w:ascii="Arial" w:hAnsi="Arial" w:hint="default"/>
      </w:rPr>
    </w:lvl>
    <w:lvl w:ilvl="6" w:tplc="03288D68" w:tentative="1">
      <w:start w:val="1"/>
      <w:numFmt w:val="bullet"/>
      <w:lvlText w:val="•"/>
      <w:lvlJc w:val="left"/>
      <w:pPr>
        <w:tabs>
          <w:tab w:val="num" w:pos="5040"/>
        </w:tabs>
        <w:ind w:left="5040" w:hanging="360"/>
      </w:pPr>
      <w:rPr>
        <w:rFonts w:ascii="Arial" w:hAnsi="Arial" w:hint="default"/>
      </w:rPr>
    </w:lvl>
    <w:lvl w:ilvl="7" w:tplc="4F1A27D2" w:tentative="1">
      <w:start w:val="1"/>
      <w:numFmt w:val="bullet"/>
      <w:lvlText w:val="•"/>
      <w:lvlJc w:val="left"/>
      <w:pPr>
        <w:tabs>
          <w:tab w:val="num" w:pos="5760"/>
        </w:tabs>
        <w:ind w:left="5760" w:hanging="360"/>
      </w:pPr>
      <w:rPr>
        <w:rFonts w:ascii="Arial" w:hAnsi="Arial" w:hint="default"/>
      </w:rPr>
    </w:lvl>
    <w:lvl w:ilvl="8" w:tplc="E842C81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DA"/>
    <w:rsid w:val="000005E5"/>
    <w:rsid w:val="0000188D"/>
    <w:rsid w:val="00002905"/>
    <w:rsid w:val="00004693"/>
    <w:rsid w:val="000067FD"/>
    <w:rsid w:val="00006D80"/>
    <w:rsid w:val="00006F19"/>
    <w:rsid w:val="0001105F"/>
    <w:rsid w:val="00014341"/>
    <w:rsid w:val="0001595D"/>
    <w:rsid w:val="00015D6F"/>
    <w:rsid w:val="00017F09"/>
    <w:rsid w:val="000204AF"/>
    <w:rsid w:val="00030269"/>
    <w:rsid w:val="00034234"/>
    <w:rsid w:val="00035D77"/>
    <w:rsid w:val="00042C06"/>
    <w:rsid w:val="00047FC1"/>
    <w:rsid w:val="000526C5"/>
    <w:rsid w:val="00053575"/>
    <w:rsid w:val="00055AED"/>
    <w:rsid w:val="0005604D"/>
    <w:rsid w:val="00062E75"/>
    <w:rsid w:val="000636B8"/>
    <w:rsid w:val="00065AEA"/>
    <w:rsid w:val="00066D70"/>
    <w:rsid w:val="00067F93"/>
    <w:rsid w:val="00070B27"/>
    <w:rsid w:val="000736B4"/>
    <w:rsid w:val="00075B42"/>
    <w:rsid w:val="00080370"/>
    <w:rsid w:val="00082EE9"/>
    <w:rsid w:val="0008353A"/>
    <w:rsid w:val="00084E05"/>
    <w:rsid w:val="000858EE"/>
    <w:rsid w:val="00087E77"/>
    <w:rsid w:val="00093513"/>
    <w:rsid w:val="0009520B"/>
    <w:rsid w:val="000A3575"/>
    <w:rsid w:val="000A4C08"/>
    <w:rsid w:val="000A688E"/>
    <w:rsid w:val="000A6A98"/>
    <w:rsid w:val="000A78E0"/>
    <w:rsid w:val="000B2FC8"/>
    <w:rsid w:val="000B5498"/>
    <w:rsid w:val="000B6BFA"/>
    <w:rsid w:val="000B6DC6"/>
    <w:rsid w:val="000C0352"/>
    <w:rsid w:val="000C3E14"/>
    <w:rsid w:val="000C69E2"/>
    <w:rsid w:val="000D49E3"/>
    <w:rsid w:val="000E6633"/>
    <w:rsid w:val="000F387D"/>
    <w:rsid w:val="000F7156"/>
    <w:rsid w:val="00100CE0"/>
    <w:rsid w:val="00101BCD"/>
    <w:rsid w:val="00106006"/>
    <w:rsid w:val="00106259"/>
    <w:rsid w:val="00112EA3"/>
    <w:rsid w:val="00121546"/>
    <w:rsid w:val="00121D4F"/>
    <w:rsid w:val="00122254"/>
    <w:rsid w:val="00122937"/>
    <w:rsid w:val="00123456"/>
    <w:rsid w:val="00127BB0"/>
    <w:rsid w:val="00130964"/>
    <w:rsid w:val="0013309E"/>
    <w:rsid w:val="00136D8D"/>
    <w:rsid w:val="0013740C"/>
    <w:rsid w:val="001433CD"/>
    <w:rsid w:val="001466F4"/>
    <w:rsid w:val="00151608"/>
    <w:rsid w:val="00152B43"/>
    <w:rsid w:val="00155747"/>
    <w:rsid w:val="00155B4E"/>
    <w:rsid w:val="0015608E"/>
    <w:rsid w:val="00162009"/>
    <w:rsid w:val="00163958"/>
    <w:rsid w:val="0016552D"/>
    <w:rsid w:val="001659A5"/>
    <w:rsid w:val="00165A25"/>
    <w:rsid w:val="00166A37"/>
    <w:rsid w:val="001678A4"/>
    <w:rsid w:val="0017083C"/>
    <w:rsid w:val="0017313A"/>
    <w:rsid w:val="001761D4"/>
    <w:rsid w:val="0017751F"/>
    <w:rsid w:val="001836C8"/>
    <w:rsid w:val="0018755A"/>
    <w:rsid w:val="00190306"/>
    <w:rsid w:val="001A15B5"/>
    <w:rsid w:val="001B3376"/>
    <w:rsid w:val="001B373F"/>
    <w:rsid w:val="001B3ADB"/>
    <w:rsid w:val="001B3B71"/>
    <w:rsid w:val="001B485E"/>
    <w:rsid w:val="001B4C02"/>
    <w:rsid w:val="001B7364"/>
    <w:rsid w:val="001C6EBD"/>
    <w:rsid w:val="001C7CF0"/>
    <w:rsid w:val="001D0EF7"/>
    <w:rsid w:val="001D2127"/>
    <w:rsid w:val="001D3032"/>
    <w:rsid w:val="001D53F8"/>
    <w:rsid w:val="001D577F"/>
    <w:rsid w:val="001D64CA"/>
    <w:rsid w:val="001E033E"/>
    <w:rsid w:val="001E18DA"/>
    <w:rsid w:val="001E2197"/>
    <w:rsid w:val="001E4DDE"/>
    <w:rsid w:val="001E5930"/>
    <w:rsid w:val="001E7D5C"/>
    <w:rsid w:val="001F200E"/>
    <w:rsid w:val="001F36BB"/>
    <w:rsid w:val="001F525E"/>
    <w:rsid w:val="001F5C48"/>
    <w:rsid w:val="001F7124"/>
    <w:rsid w:val="001F7159"/>
    <w:rsid w:val="001F7CB7"/>
    <w:rsid w:val="00201047"/>
    <w:rsid w:val="002013AC"/>
    <w:rsid w:val="00201803"/>
    <w:rsid w:val="0021132C"/>
    <w:rsid w:val="002155E2"/>
    <w:rsid w:val="002206DD"/>
    <w:rsid w:val="00223B60"/>
    <w:rsid w:val="00230B5B"/>
    <w:rsid w:val="00234A64"/>
    <w:rsid w:val="00234D44"/>
    <w:rsid w:val="00234F97"/>
    <w:rsid w:val="002367F8"/>
    <w:rsid w:val="00236ED2"/>
    <w:rsid w:val="00241609"/>
    <w:rsid w:val="00245649"/>
    <w:rsid w:val="002507FA"/>
    <w:rsid w:val="002558FA"/>
    <w:rsid w:val="00260D94"/>
    <w:rsid w:val="00261DA9"/>
    <w:rsid w:val="00265372"/>
    <w:rsid w:val="00265AAE"/>
    <w:rsid w:val="00267205"/>
    <w:rsid w:val="00271F39"/>
    <w:rsid w:val="0027388F"/>
    <w:rsid w:val="00274467"/>
    <w:rsid w:val="00280109"/>
    <w:rsid w:val="00280A95"/>
    <w:rsid w:val="002818C5"/>
    <w:rsid w:val="00284EC0"/>
    <w:rsid w:val="0029031B"/>
    <w:rsid w:val="00293103"/>
    <w:rsid w:val="00294725"/>
    <w:rsid w:val="00296792"/>
    <w:rsid w:val="002A4ED0"/>
    <w:rsid w:val="002B33F3"/>
    <w:rsid w:val="002B43A4"/>
    <w:rsid w:val="002C0AE8"/>
    <w:rsid w:val="002C0B6D"/>
    <w:rsid w:val="002C1B36"/>
    <w:rsid w:val="002C3380"/>
    <w:rsid w:val="002C5191"/>
    <w:rsid w:val="002D76AD"/>
    <w:rsid w:val="002E410E"/>
    <w:rsid w:val="002E60C0"/>
    <w:rsid w:val="002E72C0"/>
    <w:rsid w:val="002F007C"/>
    <w:rsid w:val="002F2B51"/>
    <w:rsid w:val="002F3FED"/>
    <w:rsid w:val="003005DE"/>
    <w:rsid w:val="003017B8"/>
    <w:rsid w:val="003053BE"/>
    <w:rsid w:val="003106A8"/>
    <w:rsid w:val="003135BE"/>
    <w:rsid w:val="003146CB"/>
    <w:rsid w:val="00314A9A"/>
    <w:rsid w:val="003175F5"/>
    <w:rsid w:val="003409D0"/>
    <w:rsid w:val="00342016"/>
    <w:rsid w:val="00343087"/>
    <w:rsid w:val="0034605C"/>
    <w:rsid w:val="00346090"/>
    <w:rsid w:val="00346D7B"/>
    <w:rsid w:val="0034773C"/>
    <w:rsid w:val="00354098"/>
    <w:rsid w:val="00355CE6"/>
    <w:rsid w:val="003571EA"/>
    <w:rsid w:val="00361EF4"/>
    <w:rsid w:val="00362589"/>
    <w:rsid w:val="00365CF1"/>
    <w:rsid w:val="003664A3"/>
    <w:rsid w:val="0037065D"/>
    <w:rsid w:val="00373335"/>
    <w:rsid w:val="0037347D"/>
    <w:rsid w:val="00374151"/>
    <w:rsid w:val="0037539B"/>
    <w:rsid w:val="00376309"/>
    <w:rsid w:val="00376595"/>
    <w:rsid w:val="003820CF"/>
    <w:rsid w:val="00382573"/>
    <w:rsid w:val="0038351D"/>
    <w:rsid w:val="00384E31"/>
    <w:rsid w:val="0039301A"/>
    <w:rsid w:val="00393D3C"/>
    <w:rsid w:val="00397A2F"/>
    <w:rsid w:val="003A1AAD"/>
    <w:rsid w:val="003A1CDF"/>
    <w:rsid w:val="003A20BD"/>
    <w:rsid w:val="003A41B7"/>
    <w:rsid w:val="003B4ADA"/>
    <w:rsid w:val="003B4F62"/>
    <w:rsid w:val="003B532E"/>
    <w:rsid w:val="003B7D8A"/>
    <w:rsid w:val="003C0C4C"/>
    <w:rsid w:val="003C4740"/>
    <w:rsid w:val="003C71FE"/>
    <w:rsid w:val="003C76BF"/>
    <w:rsid w:val="003D31CB"/>
    <w:rsid w:val="003D63F0"/>
    <w:rsid w:val="003F1B4E"/>
    <w:rsid w:val="003F6FFB"/>
    <w:rsid w:val="0040426C"/>
    <w:rsid w:val="0040435D"/>
    <w:rsid w:val="004045A3"/>
    <w:rsid w:val="004054F9"/>
    <w:rsid w:val="00406933"/>
    <w:rsid w:val="00406FA5"/>
    <w:rsid w:val="004111EE"/>
    <w:rsid w:val="00415AE8"/>
    <w:rsid w:val="00420E64"/>
    <w:rsid w:val="00421492"/>
    <w:rsid w:val="0042489B"/>
    <w:rsid w:val="00426A8D"/>
    <w:rsid w:val="0043240D"/>
    <w:rsid w:val="00433630"/>
    <w:rsid w:val="00436F7F"/>
    <w:rsid w:val="00437141"/>
    <w:rsid w:val="00442B16"/>
    <w:rsid w:val="004533BB"/>
    <w:rsid w:val="0045642F"/>
    <w:rsid w:val="004572F8"/>
    <w:rsid w:val="00457512"/>
    <w:rsid w:val="0046059C"/>
    <w:rsid w:val="0046187D"/>
    <w:rsid w:val="00462F74"/>
    <w:rsid w:val="00463BCC"/>
    <w:rsid w:val="00467025"/>
    <w:rsid w:val="00467248"/>
    <w:rsid w:val="00467BE5"/>
    <w:rsid w:val="00472F52"/>
    <w:rsid w:val="0047335C"/>
    <w:rsid w:val="00473683"/>
    <w:rsid w:val="00474662"/>
    <w:rsid w:val="00480BAA"/>
    <w:rsid w:val="00483517"/>
    <w:rsid w:val="004865F5"/>
    <w:rsid w:val="004914E7"/>
    <w:rsid w:val="00497D0F"/>
    <w:rsid w:val="004A05CF"/>
    <w:rsid w:val="004A1719"/>
    <w:rsid w:val="004A57DB"/>
    <w:rsid w:val="004B44ED"/>
    <w:rsid w:val="004B4A32"/>
    <w:rsid w:val="004C14F1"/>
    <w:rsid w:val="004C34FD"/>
    <w:rsid w:val="004C5CF2"/>
    <w:rsid w:val="004D2EE1"/>
    <w:rsid w:val="004D39FC"/>
    <w:rsid w:val="004D5675"/>
    <w:rsid w:val="004D7761"/>
    <w:rsid w:val="004E7A06"/>
    <w:rsid w:val="004F0679"/>
    <w:rsid w:val="004F06A9"/>
    <w:rsid w:val="004F0E31"/>
    <w:rsid w:val="004F0EC3"/>
    <w:rsid w:val="004F10BE"/>
    <w:rsid w:val="004F1CF9"/>
    <w:rsid w:val="004F2B26"/>
    <w:rsid w:val="004F5B04"/>
    <w:rsid w:val="004F5E6A"/>
    <w:rsid w:val="004F6613"/>
    <w:rsid w:val="004F7EBA"/>
    <w:rsid w:val="0050152C"/>
    <w:rsid w:val="00502028"/>
    <w:rsid w:val="00503424"/>
    <w:rsid w:val="00503C98"/>
    <w:rsid w:val="00507233"/>
    <w:rsid w:val="005072DA"/>
    <w:rsid w:val="00507D2E"/>
    <w:rsid w:val="005113EC"/>
    <w:rsid w:val="005131BA"/>
    <w:rsid w:val="005169CF"/>
    <w:rsid w:val="00517C61"/>
    <w:rsid w:val="005220E3"/>
    <w:rsid w:val="0052235D"/>
    <w:rsid w:val="00532304"/>
    <w:rsid w:val="005323E8"/>
    <w:rsid w:val="00534FD3"/>
    <w:rsid w:val="00535946"/>
    <w:rsid w:val="0053720F"/>
    <w:rsid w:val="00540249"/>
    <w:rsid w:val="00542B28"/>
    <w:rsid w:val="00545532"/>
    <w:rsid w:val="00547A4F"/>
    <w:rsid w:val="00554142"/>
    <w:rsid w:val="005542AA"/>
    <w:rsid w:val="005542E3"/>
    <w:rsid w:val="00564039"/>
    <w:rsid w:val="00564D1A"/>
    <w:rsid w:val="00564D70"/>
    <w:rsid w:val="0057072A"/>
    <w:rsid w:val="00570EF3"/>
    <w:rsid w:val="00571735"/>
    <w:rsid w:val="00572B72"/>
    <w:rsid w:val="0058157A"/>
    <w:rsid w:val="00581FE0"/>
    <w:rsid w:val="00583F12"/>
    <w:rsid w:val="00584183"/>
    <w:rsid w:val="005848C2"/>
    <w:rsid w:val="00586D16"/>
    <w:rsid w:val="005871D2"/>
    <w:rsid w:val="0059256C"/>
    <w:rsid w:val="00593205"/>
    <w:rsid w:val="0059517B"/>
    <w:rsid w:val="005A38FD"/>
    <w:rsid w:val="005A4946"/>
    <w:rsid w:val="005A50B0"/>
    <w:rsid w:val="005A6D66"/>
    <w:rsid w:val="005A6ECA"/>
    <w:rsid w:val="005B4938"/>
    <w:rsid w:val="005B6724"/>
    <w:rsid w:val="005C03FA"/>
    <w:rsid w:val="005D0FAF"/>
    <w:rsid w:val="005D146E"/>
    <w:rsid w:val="005D61EC"/>
    <w:rsid w:val="005E040B"/>
    <w:rsid w:val="005E1241"/>
    <w:rsid w:val="005E1DB1"/>
    <w:rsid w:val="005E4AF4"/>
    <w:rsid w:val="005E62D7"/>
    <w:rsid w:val="005F1461"/>
    <w:rsid w:val="005F1797"/>
    <w:rsid w:val="005F3974"/>
    <w:rsid w:val="005F54B0"/>
    <w:rsid w:val="005F5DC6"/>
    <w:rsid w:val="005F66F5"/>
    <w:rsid w:val="005F79C8"/>
    <w:rsid w:val="0060031E"/>
    <w:rsid w:val="00600464"/>
    <w:rsid w:val="00601A49"/>
    <w:rsid w:val="00602477"/>
    <w:rsid w:val="00605219"/>
    <w:rsid w:val="006129B5"/>
    <w:rsid w:val="006142E0"/>
    <w:rsid w:val="00616032"/>
    <w:rsid w:val="006164DB"/>
    <w:rsid w:val="00617B60"/>
    <w:rsid w:val="0062129B"/>
    <w:rsid w:val="006213EE"/>
    <w:rsid w:val="0062609F"/>
    <w:rsid w:val="00626D1E"/>
    <w:rsid w:val="00627D9B"/>
    <w:rsid w:val="0063237D"/>
    <w:rsid w:val="006341B4"/>
    <w:rsid w:val="006349F1"/>
    <w:rsid w:val="00635B02"/>
    <w:rsid w:val="006361FD"/>
    <w:rsid w:val="00636247"/>
    <w:rsid w:val="00637C6C"/>
    <w:rsid w:val="00640912"/>
    <w:rsid w:val="00640B45"/>
    <w:rsid w:val="00647901"/>
    <w:rsid w:val="00650B2F"/>
    <w:rsid w:val="00651D19"/>
    <w:rsid w:val="006576C6"/>
    <w:rsid w:val="00660C34"/>
    <w:rsid w:val="00662428"/>
    <w:rsid w:val="00662AE1"/>
    <w:rsid w:val="00667EF1"/>
    <w:rsid w:val="00670297"/>
    <w:rsid w:val="00676718"/>
    <w:rsid w:val="00677CA4"/>
    <w:rsid w:val="00677F72"/>
    <w:rsid w:val="00680D9F"/>
    <w:rsid w:val="00684FA5"/>
    <w:rsid w:val="00686D6B"/>
    <w:rsid w:val="00687E54"/>
    <w:rsid w:val="00690C74"/>
    <w:rsid w:val="00691415"/>
    <w:rsid w:val="0069317A"/>
    <w:rsid w:val="006954EA"/>
    <w:rsid w:val="00695B2B"/>
    <w:rsid w:val="006A0812"/>
    <w:rsid w:val="006A4D01"/>
    <w:rsid w:val="006A6695"/>
    <w:rsid w:val="006A6BAC"/>
    <w:rsid w:val="006A7376"/>
    <w:rsid w:val="006B1A87"/>
    <w:rsid w:val="006B355F"/>
    <w:rsid w:val="006B4FF7"/>
    <w:rsid w:val="006C0C4D"/>
    <w:rsid w:val="006C2976"/>
    <w:rsid w:val="006C4372"/>
    <w:rsid w:val="006C6471"/>
    <w:rsid w:val="006D0106"/>
    <w:rsid w:val="006D282E"/>
    <w:rsid w:val="006E013F"/>
    <w:rsid w:val="006E343E"/>
    <w:rsid w:val="006E4B08"/>
    <w:rsid w:val="006E515B"/>
    <w:rsid w:val="006F3E37"/>
    <w:rsid w:val="006F597F"/>
    <w:rsid w:val="0070073A"/>
    <w:rsid w:val="007017AE"/>
    <w:rsid w:val="00703202"/>
    <w:rsid w:val="0070362D"/>
    <w:rsid w:val="0070467D"/>
    <w:rsid w:val="0071574B"/>
    <w:rsid w:val="0071583A"/>
    <w:rsid w:val="00715ABE"/>
    <w:rsid w:val="00717C3D"/>
    <w:rsid w:val="00727488"/>
    <w:rsid w:val="00732FB8"/>
    <w:rsid w:val="00736B61"/>
    <w:rsid w:val="0073723C"/>
    <w:rsid w:val="007406A8"/>
    <w:rsid w:val="00742D66"/>
    <w:rsid w:val="00745FEC"/>
    <w:rsid w:val="00752B27"/>
    <w:rsid w:val="00753EFF"/>
    <w:rsid w:val="00755AB9"/>
    <w:rsid w:val="007627F2"/>
    <w:rsid w:val="0076328C"/>
    <w:rsid w:val="00764691"/>
    <w:rsid w:val="00765782"/>
    <w:rsid w:val="00771C7E"/>
    <w:rsid w:val="007734E6"/>
    <w:rsid w:val="00773558"/>
    <w:rsid w:val="00773B88"/>
    <w:rsid w:val="00776722"/>
    <w:rsid w:val="00780955"/>
    <w:rsid w:val="00780AF5"/>
    <w:rsid w:val="00782C7C"/>
    <w:rsid w:val="007859B3"/>
    <w:rsid w:val="00791607"/>
    <w:rsid w:val="007921D1"/>
    <w:rsid w:val="007958DA"/>
    <w:rsid w:val="007A10E0"/>
    <w:rsid w:val="007A168E"/>
    <w:rsid w:val="007A1FC5"/>
    <w:rsid w:val="007A638B"/>
    <w:rsid w:val="007B4916"/>
    <w:rsid w:val="007C04B1"/>
    <w:rsid w:val="007C0EB4"/>
    <w:rsid w:val="007C21DE"/>
    <w:rsid w:val="007D2AC1"/>
    <w:rsid w:val="007D4D1D"/>
    <w:rsid w:val="007D5AF6"/>
    <w:rsid w:val="007D5E24"/>
    <w:rsid w:val="007D770B"/>
    <w:rsid w:val="007D77C6"/>
    <w:rsid w:val="007D7D03"/>
    <w:rsid w:val="007E3C14"/>
    <w:rsid w:val="007E4595"/>
    <w:rsid w:val="007E5E85"/>
    <w:rsid w:val="007E63C8"/>
    <w:rsid w:val="007E6D69"/>
    <w:rsid w:val="007E74AC"/>
    <w:rsid w:val="007F0023"/>
    <w:rsid w:val="007F1628"/>
    <w:rsid w:val="007F2B84"/>
    <w:rsid w:val="007F31D4"/>
    <w:rsid w:val="007F7132"/>
    <w:rsid w:val="007F7FBC"/>
    <w:rsid w:val="008007FE"/>
    <w:rsid w:val="00800966"/>
    <w:rsid w:val="00800B24"/>
    <w:rsid w:val="00802988"/>
    <w:rsid w:val="008035A6"/>
    <w:rsid w:val="00804F8C"/>
    <w:rsid w:val="00814EB9"/>
    <w:rsid w:val="00815B41"/>
    <w:rsid w:val="00816EA2"/>
    <w:rsid w:val="00817EDA"/>
    <w:rsid w:val="008217A6"/>
    <w:rsid w:val="00822134"/>
    <w:rsid w:val="00824EFE"/>
    <w:rsid w:val="00830EF9"/>
    <w:rsid w:val="00840FF7"/>
    <w:rsid w:val="00841B1A"/>
    <w:rsid w:val="00841CA9"/>
    <w:rsid w:val="008448C3"/>
    <w:rsid w:val="00844ED1"/>
    <w:rsid w:val="008465DC"/>
    <w:rsid w:val="00854DCF"/>
    <w:rsid w:val="0085677F"/>
    <w:rsid w:val="0085777D"/>
    <w:rsid w:val="0086075A"/>
    <w:rsid w:val="00860CAD"/>
    <w:rsid w:val="00861032"/>
    <w:rsid w:val="008610AE"/>
    <w:rsid w:val="00862617"/>
    <w:rsid w:val="00862B5D"/>
    <w:rsid w:val="00862C87"/>
    <w:rsid w:val="00863951"/>
    <w:rsid w:val="00865B2A"/>
    <w:rsid w:val="00870CB9"/>
    <w:rsid w:val="00872FD9"/>
    <w:rsid w:val="008744E5"/>
    <w:rsid w:val="00882B01"/>
    <w:rsid w:val="00884265"/>
    <w:rsid w:val="00884437"/>
    <w:rsid w:val="00886262"/>
    <w:rsid w:val="008904DE"/>
    <w:rsid w:val="00891077"/>
    <w:rsid w:val="0089176D"/>
    <w:rsid w:val="00892398"/>
    <w:rsid w:val="00892814"/>
    <w:rsid w:val="00894AA9"/>
    <w:rsid w:val="00895449"/>
    <w:rsid w:val="008A5B52"/>
    <w:rsid w:val="008A685E"/>
    <w:rsid w:val="008A6D33"/>
    <w:rsid w:val="008A6F7F"/>
    <w:rsid w:val="008B28E3"/>
    <w:rsid w:val="008B5438"/>
    <w:rsid w:val="008C6D26"/>
    <w:rsid w:val="008D0C11"/>
    <w:rsid w:val="008D28BF"/>
    <w:rsid w:val="008D29C8"/>
    <w:rsid w:val="008D2DC2"/>
    <w:rsid w:val="008D5AFF"/>
    <w:rsid w:val="008D5F81"/>
    <w:rsid w:val="008D7BB0"/>
    <w:rsid w:val="008E2734"/>
    <w:rsid w:val="008E692F"/>
    <w:rsid w:val="008F1D5B"/>
    <w:rsid w:val="008F6657"/>
    <w:rsid w:val="008F72B6"/>
    <w:rsid w:val="00902142"/>
    <w:rsid w:val="009030B6"/>
    <w:rsid w:val="00906AE1"/>
    <w:rsid w:val="00907710"/>
    <w:rsid w:val="0090791F"/>
    <w:rsid w:val="009102B3"/>
    <w:rsid w:val="00914664"/>
    <w:rsid w:val="00917B55"/>
    <w:rsid w:val="009223A1"/>
    <w:rsid w:val="00923A56"/>
    <w:rsid w:val="00925BD7"/>
    <w:rsid w:val="00926857"/>
    <w:rsid w:val="00926DAB"/>
    <w:rsid w:val="0092737F"/>
    <w:rsid w:val="0092772A"/>
    <w:rsid w:val="00927981"/>
    <w:rsid w:val="009305AE"/>
    <w:rsid w:val="00930853"/>
    <w:rsid w:val="00930A76"/>
    <w:rsid w:val="009312FB"/>
    <w:rsid w:val="0093154C"/>
    <w:rsid w:val="00935E03"/>
    <w:rsid w:val="009377B3"/>
    <w:rsid w:val="009436F7"/>
    <w:rsid w:val="00944A12"/>
    <w:rsid w:val="00944B95"/>
    <w:rsid w:val="00946784"/>
    <w:rsid w:val="0095124A"/>
    <w:rsid w:val="00961404"/>
    <w:rsid w:val="009616BF"/>
    <w:rsid w:val="00963612"/>
    <w:rsid w:val="00963C4E"/>
    <w:rsid w:val="0096537F"/>
    <w:rsid w:val="009660B1"/>
    <w:rsid w:val="00970C8A"/>
    <w:rsid w:val="00971D07"/>
    <w:rsid w:val="00974BB9"/>
    <w:rsid w:val="00974E3E"/>
    <w:rsid w:val="0097588C"/>
    <w:rsid w:val="00976029"/>
    <w:rsid w:val="009765C0"/>
    <w:rsid w:val="00983830"/>
    <w:rsid w:val="00983F2F"/>
    <w:rsid w:val="009859E4"/>
    <w:rsid w:val="00991788"/>
    <w:rsid w:val="009A0E63"/>
    <w:rsid w:val="009A40E4"/>
    <w:rsid w:val="009A65DE"/>
    <w:rsid w:val="009A7767"/>
    <w:rsid w:val="009B0807"/>
    <w:rsid w:val="009B304A"/>
    <w:rsid w:val="009B4C11"/>
    <w:rsid w:val="009B5187"/>
    <w:rsid w:val="009C146A"/>
    <w:rsid w:val="009C4F56"/>
    <w:rsid w:val="009C6E24"/>
    <w:rsid w:val="009C7D24"/>
    <w:rsid w:val="009D1764"/>
    <w:rsid w:val="009D3360"/>
    <w:rsid w:val="009D3A8D"/>
    <w:rsid w:val="009D770A"/>
    <w:rsid w:val="009D7E19"/>
    <w:rsid w:val="009E2EFD"/>
    <w:rsid w:val="009E4946"/>
    <w:rsid w:val="009F25F9"/>
    <w:rsid w:val="009F401E"/>
    <w:rsid w:val="009F5CA0"/>
    <w:rsid w:val="009F6748"/>
    <w:rsid w:val="00A008AA"/>
    <w:rsid w:val="00A00B75"/>
    <w:rsid w:val="00A0374D"/>
    <w:rsid w:val="00A06D17"/>
    <w:rsid w:val="00A074C6"/>
    <w:rsid w:val="00A104F5"/>
    <w:rsid w:val="00A13070"/>
    <w:rsid w:val="00A13D6B"/>
    <w:rsid w:val="00A15332"/>
    <w:rsid w:val="00A165AF"/>
    <w:rsid w:val="00A22C6A"/>
    <w:rsid w:val="00A23407"/>
    <w:rsid w:val="00A2794C"/>
    <w:rsid w:val="00A31191"/>
    <w:rsid w:val="00A32FC3"/>
    <w:rsid w:val="00A33B0B"/>
    <w:rsid w:val="00A35821"/>
    <w:rsid w:val="00A37F28"/>
    <w:rsid w:val="00A40878"/>
    <w:rsid w:val="00A420E4"/>
    <w:rsid w:val="00A4355B"/>
    <w:rsid w:val="00A4558D"/>
    <w:rsid w:val="00A467E1"/>
    <w:rsid w:val="00A50A74"/>
    <w:rsid w:val="00A53294"/>
    <w:rsid w:val="00A652D9"/>
    <w:rsid w:val="00A67AD4"/>
    <w:rsid w:val="00A72765"/>
    <w:rsid w:val="00A739A5"/>
    <w:rsid w:val="00A80118"/>
    <w:rsid w:val="00A8039C"/>
    <w:rsid w:val="00A82C15"/>
    <w:rsid w:val="00A83EF5"/>
    <w:rsid w:val="00A85038"/>
    <w:rsid w:val="00A86C40"/>
    <w:rsid w:val="00A906F3"/>
    <w:rsid w:val="00A91290"/>
    <w:rsid w:val="00A95D4E"/>
    <w:rsid w:val="00A97339"/>
    <w:rsid w:val="00AA1CA4"/>
    <w:rsid w:val="00AA1ED9"/>
    <w:rsid w:val="00AA3E9B"/>
    <w:rsid w:val="00AA4636"/>
    <w:rsid w:val="00AB0900"/>
    <w:rsid w:val="00AB6488"/>
    <w:rsid w:val="00AB66D2"/>
    <w:rsid w:val="00AB706C"/>
    <w:rsid w:val="00AB72D3"/>
    <w:rsid w:val="00AC165C"/>
    <w:rsid w:val="00AC2285"/>
    <w:rsid w:val="00AC2B2C"/>
    <w:rsid w:val="00AC4295"/>
    <w:rsid w:val="00AC5023"/>
    <w:rsid w:val="00AC6F9B"/>
    <w:rsid w:val="00AD05F7"/>
    <w:rsid w:val="00AD0977"/>
    <w:rsid w:val="00AD29C7"/>
    <w:rsid w:val="00AD6D9D"/>
    <w:rsid w:val="00AD754B"/>
    <w:rsid w:val="00AE1A1B"/>
    <w:rsid w:val="00AE298A"/>
    <w:rsid w:val="00AE4777"/>
    <w:rsid w:val="00AE5CAE"/>
    <w:rsid w:val="00AF00A0"/>
    <w:rsid w:val="00AF3978"/>
    <w:rsid w:val="00AF7D65"/>
    <w:rsid w:val="00B00BE9"/>
    <w:rsid w:val="00B02890"/>
    <w:rsid w:val="00B029B6"/>
    <w:rsid w:val="00B045AF"/>
    <w:rsid w:val="00B05E9B"/>
    <w:rsid w:val="00B062B5"/>
    <w:rsid w:val="00B06B0A"/>
    <w:rsid w:val="00B12161"/>
    <w:rsid w:val="00B14614"/>
    <w:rsid w:val="00B154E8"/>
    <w:rsid w:val="00B15574"/>
    <w:rsid w:val="00B20E2F"/>
    <w:rsid w:val="00B20FB3"/>
    <w:rsid w:val="00B2135F"/>
    <w:rsid w:val="00B26758"/>
    <w:rsid w:val="00B30701"/>
    <w:rsid w:val="00B33781"/>
    <w:rsid w:val="00B344E4"/>
    <w:rsid w:val="00B421AB"/>
    <w:rsid w:val="00B43FFE"/>
    <w:rsid w:val="00B44550"/>
    <w:rsid w:val="00B52DC3"/>
    <w:rsid w:val="00B532B9"/>
    <w:rsid w:val="00B55757"/>
    <w:rsid w:val="00B6100C"/>
    <w:rsid w:val="00B63799"/>
    <w:rsid w:val="00B63ECC"/>
    <w:rsid w:val="00B6708E"/>
    <w:rsid w:val="00B72FE5"/>
    <w:rsid w:val="00B739F8"/>
    <w:rsid w:val="00B751FA"/>
    <w:rsid w:val="00B75AFC"/>
    <w:rsid w:val="00B75E78"/>
    <w:rsid w:val="00B76E18"/>
    <w:rsid w:val="00B8115F"/>
    <w:rsid w:val="00B832E8"/>
    <w:rsid w:val="00B84138"/>
    <w:rsid w:val="00B861C3"/>
    <w:rsid w:val="00B86A38"/>
    <w:rsid w:val="00B91472"/>
    <w:rsid w:val="00B91D94"/>
    <w:rsid w:val="00B921E0"/>
    <w:rsid w:val="00B936AE"/>
    <w:rsid w:val="00B94E74"/>
    <w:rsid w:val="00B956BC"/>
    <w:rsid w:val="00B95865"/>
    <w:rsid w:val="00BA0D7C"/>
    <w:rsid w:val="00BA1AAE"/>
    <w:rsid w:val="00BA3E49"/>
    <w:rsid w:val="00BA41E0"/>
    <w:rsid w:val="00BA5331"/>
    <w:rsid w:val="00BA5863"/>
    <w:rsid w:val="00BA6100"/>
    <w:rsid w:val="00BA6455"/>
    <w:rsid w:val="00BB2333"/>
    <w:rsid w:val="00BB43A4"/>
    <w:rsid w:val="00BB56D7"/>
    <w:rsid w:val="00BB6216"/>
    <w:rsid w:val="00BB7E6E"/>
    <w:rsid w:val="00BC2236"/>
    <w:rsid w:val="00BC224D"/>
    <w:rsid w:val="00BC3661"/>
    <w:rsid w:val="00BC4CCE"/>
    <w:rsid w:val="00BC4D02"/>
    <w:rsid w:val="00BC6D39"/>
    <w:rsid w:val="00BC737E"/>
    <w:rsid w:val="00BD3EB4"/>
    <w:rsid w:val="00BD6835"/>
    <w:rsid w:val="00BE3234"/>
    <w:rsid w:val="00BE4029"/>
    <w:rsid w:val="00BE434D"/>
    <w:rsid w:val="00BE6863"/>
    <w:rsid w:val="00BF0BAE"/>
    <w:rsid w:val="00BF0D41"/>
    <w:rsid w:val="00BF25E2"/>
    <w:rsid w:val="00BF344F"/>
    <w:rsid w:val="00BF4FF3"/>
    <w:rsid w:val="00BF5203"/>
    <w:rsid w:val="00C04285"/>
    <w:rsid w:val="00C04ACB"/>
    <w:rsid w:val="00C058D9"/>
    <w:rsid w:val="00C172D8"/>
    <w:rsid w:val="00C17642"/>
    <w:rsid w:val="00C2189F"/>
    <w:rsid w:val="00C220D0"/>
    <w:rsid w:val="00C22B5C"/>
    <w:rsid w:val="00C241D5"/>
    <w:rsid w:val="00C24A84"/>
    <w:rsid w:val="00C26506"/>
    <w:rsid w:val="00C266DD"/>
    <w:rsid w:val="00C278E6"/>
    <w:rsid w:val="00C30277"/>
    <w:rsid w:val="00C3353C"/>
    <w:rsid w:val="00C35A1B"/>
    <w:rsid w:val="00C3637A"/>
    <w:rsid w:val="00C412F6"/>
    <w:rsid w:val="00C4201E"/>
    <w:rsid w:val="00C422CC"/>
    <w:rsid w:val="00C4300B"/>
    <w:rsid w:val="00C456EA"/>
    <w:rsid w:val="00C47D49"/>
    <w:rsid w:val="00C503C6"/>
    <w:rsid w:val="00C520D8"/>
    <w:rsid w:val="00C52A33"/>
    <w:rsid w:val="00C53A56"/>
    <w:rsid w:val="00C53E4F"/>
    <w:rsid w:val="00C558EA"/>
    <w:rsid w:val="00C55B10"/>
    <w:rsid w:val="00C60A81"/>
    <w:rsid w:val="00C6130F"/>
    <w:rsid w:val="00C71C67"/>
    <w:rsid w:val="00C73744"/>
    <w:rsid w:val="00C75BCD"/>
    <w:rsid w:val="00C778C5"/>
    <w:rsid w:val="00C80487"/>
    <w:rsid w:val="00C8103F"/>
    <w:rsid w:val="00C816EA"/>
    <w:rsid w:val="00C82A50"/>
    <w:rsid w:val="00C86442"/>
    <w:rsid w:val="00C93D60"/>
    <w:rsid w:val="00C947E9"/>
    <w:rsid w:val="00C94904"/>
    <w:rsid w:val="00C95BED"/>
    <w:rsid w:val="00C96FA0"/>
    <w:rsid w:val="00CA1148"/>
    <w:rsid w:val="00CA7FBE"/>
    <w:rsid w:val="00CB0205"/>
    <w:rsid w:val="00CB5E80"/>
    <w:rsid w:val="00CC1FC3"/>
    <w:rsid w:val="00CC2BDE"/>
    <w:rsid w:val="00CC30EF"/>
    <w:rsid w:val="00CC52F7"/>
    <w:rsid w:val="00CC57A5"/>
    <w:rsid w:val="00CC5B28"/>
    <w:rsid w:val="00CC67F4"/>
    <w:rsid w:val="00CD29E8"/>
    <w:rsid w:val="00CD2EF0"/>
    <w:rsid w:val="00CD3306"/>
    <w:rsid w:val="00CD37D3"/>
    <w:rsid w:val="00CD5338"/>
    <w:rsid w:val="00CE19B9"/>
    <w:rsid w:val="00CE2730"/>
    <w:rsid w:val="00CE79B0"/>
    <w:rsid w:val="00CF15DE"/>
    <w:rsid w:val="00CF1C8B"/>
    <w:rsid w:val="00CF3E72"/>
    <w:rsid w:val="00CF6245"/>
    <w:rsid w:val="00D00EFD"/>
    <w:rsid w:val="00D00FE9"/>
    <w:rsid w:val="00D01980"/>
    <w:rsid w:val="00D01BDD"/>
    <w:rsid w:val="00D03BE7"/>
    <w:rsid w:val="00D04049"/>
    <w:rsid w:val="00D06DCC"/>
    <w:rsid w:val="00D07A71"/>
    <w:rsid w:val="00D1036E"/>
    <w:rsid w:val="00D10710"/>
    <w:rsid w:val="00D167A2"/>
    <w:rsid w:val="00D1724E"/>
    <w:rsid w:val="00D20A81"/>
    <w:rsid w:val="00D271FB"/>
    <w:rsid w:val="00D31A5F"/>
    <w:rsid w:val="00D32240"/>
    <w:rsid w:val="00D332F3"/>
    <w:rsid w:val="00D36B3C"/>
    <w:rsid w:val="00D46830"/>
    <w:rsid w:val="00D47785"/>
    <w:rsid w:val="00D47824"/>
    <w:rsid w:val="00D57AC6"/>
    <w:rsid w:val="00D61531"/>
    <w:rsid w:val="00D63302"/>
    <w:rsid w:val="00D6365C"/>
    <w:rsid w:val="00D66A27"/>
    <w:rsid w:val="00D67710"/>
    <w:rsid w:val="00D67DDA"/>
    <w:rsid w:val="00D70EBA"/>
    <w:rsid w:val="00D710BD"/>
    <w:rsid w:val="00D71EE8"/>
    <w:rsid w:val="00D73411"/>
    <w:rsid w:val="00D75B3B"/>
    <w:rsid w:val="00D769EC"/>
    <w:rsid w:val="00D818A4"/>
    <w:rsid w:val="00D82029"/>
    <w:rsid w:val="00D86D9B"/>
    <w:rsid w:val="00D8788F"/>
    <w:rsid w:val="00D91C56"/>
    <w:rsid w:val="00D92A47"/>
    <w:rsid w:val="00D93DEE"/>
    <w:rsid w:val="00D95793"/>
    <w:rsid w:val="00D96642"/>
    <w:rsid w:val="00D970A0"/>
    <w:rsid w:val="00DA3DE5"/>
    <w:rsid w:val="00DA5C3A"/>
    <w:rsid w:val="00DB183E"/>
    <w:rsid w:val="00DB241B"/>
    <w:rsid w:val="00DB405F"/>
    <w:rsid w:val="00DB63A7"/>
    <w:rsid w:val="00DB6C54"/>
    <w:rsid w:val="00DC107C"/>
    <w:rsid w:val="00DC346E"/>
    <w:rsid w:val="00DC3DF9"/>
    <w:rsid w:val="00DC7966"/>
    <w:rsid w:val="00DD14B5"/>
    <w:rsid w:val="00DD64B1"/>
    <w:rsid w:val="00DD6BEB"/>
    <w:rsid w:val="00DD6CEC"/>
    <w:rsid w:val="00DF58B6"/>
    <w:rsid w:val="00DF7697"/>
    <w:rsid w:val="00E000ED"/>
    <w:rsid w:val="00E004AA"/>
    <w:rsid w:val="00E0676D"/>
    <w:rsid w:val="00E06790"/>
    <w:rsid w:val="00E11CD1"/>
    <w:rsid w:val="00E14BC6"/>
    <w:rsid w:val="00E15B8A"/>
    <w:rsid w:val="00E1608E"/>
    <w:rsid w:val="00E20C19"/>
    <w:rsid w:val="00E20C96"/>
    <w:rsid w:val="00E273FA"/>
    <w:rsid w:val="00E3635C"/>
    <w:rsid w:val="00E36F6A"/>
    <w:rsid w:val="00E45984"/>
    <w:rsid w:val="00E462DF"/>
    <w:rsid w:val="00E47E60"/>
    <w:rsid w:val="00E52555"/>
    <w:rsid w:val="00E52F59"/>
    <w:rsid w:val="00E52FF7"/>
    <w:rsid w:val="00E55948"/>
    <w:rsid w:val="00E55F28"/>
    <w:rsid w:val="00E56CB9"/>
    <w:rsid w:val="00E57870"/>
    <w:rsid w:val="00E57E92"/>
    <w:rsid w:val="00E60B1B"/>
    <w:rsid w:val="00E61EB4"/>
    <w:rsid w:val="00E61FD9"/>
    <w:rsid w:val="00E6507E"/>
    <w:rsid w:val="00E676A4"/>
    <w:rsid w:val="00E8048B"/>
    <w:rsid w:val="00E82EFC"/>
    <w:rsid w:val="00E854B2"/>
    <w:rsid w:val="00E879E8"/>
    <w:rsid w:val="00E9011D"/>
    <w:rsid w:val="00E90A6E"/>
    <w:rsid w:val="00E9307D"/>
    <w:rsid w:val="00E96638"/>
    <w:rsid w:val="00EA2D3C"/>
    <w:rsid w:val="00EA498E"/>
    <w:rsid w:val="00EA6C3A"/>
    <w:rsid w:val="00EB415C"/>
    <w:rsid w:val="00EB418F"/>
    <w:rsid w:val="00EB46B3"/>
    <w:rsid w:val="00EC1E48"/>
    <w:rsid w:val="00EC2DCF"/>
    <w:rsid w:val="00EC4587"/>
    <w:rsid w:val="00ED10DD"/>
    <w:rsid w:val="00ED3837"/>
    <w:rsid w:val="00ED4697"/>
    <w:rsid w:val="00ED5557"/>
    <w:rsid w:val="00ED66FD"/>
    <w:rsid w:val="00ED729B"/>
    <w:rsid w:val="00ED7B70"/>
    <w:rsid w:val="00ED7BA4"/>
    <w:rsid w:val="00EE0F3B"/>
    <w:rsid w:val="00EE24EC"/>
    <w:rsid w:val="00EE5ADD"/>
    <w:rsid w:val="00EF13A5"/>
    <w:rsid w:val="00EF15CD"/>
    <w:rsid w:val="00EF3ACD"/>
    <w:rsid w:val="00EF5391"/>
    <w:rsid w:val="00EF5697"/>
    <w:rsid w:val="00EF6CEE"/>
    <w:rsid w:val="00F01232"/>
    <w:rsid w:val="00F01C64"/>
    <w:rsid w:val="00F02C69"/>
    <w:rsid w:val="00F045D6"/>
    <w:rsid w:val="00F04846"/>
    <w:rsid w:val="00F07D77"/>
    <w:rsid w:val="00F10E7A"/>
    <w:rsid w:val="00F12080"/>
    <w:rsid w:val="00F13750"/>
    <w:rsid w:val="00F14FEB"/>
    <w:rsid w:val="00F1541B"/>
    <w:rsid w:val="00F16334"/>
    <w:rsid w:val="00F20786"/>
    <w:rsid w:val="00F24879"/>
    <w:rsid w:val="00F31731"/>
    <w:rsid w:val="00F328C5"/>
    <w:rsid w:val="00F33260"/>
    <w:rsid w:val="00F33731"/>
    <w:rsid w:val="00F33E9E"/>
    <w:rsid w:val="00F34570"/>
    <w:rsid w:val="00F35A89"/>
    <w:rsid w:val="00F377CC"/>
    <w:rsid w:val="00F416A7"/>
    <w:rsid w:val="00F41892"/>
    <w:rsid w:val="00F41B38"/>
    <w:rsid w:val="00F420B2"/>
    <w:rsid w:val="00F4249C"/>
    <w:rsid w:val="00F44A1B"/>
    <w:rsid w:val="00F46ADC"/>
    <w:rsid w:val="00F50B2B"/>
    <w:rsid w:val="00F50FD2"/>
    <w:rsid w:val="00F512AF"/>
    <w:rsid w:val="00F52E14"/>
    <w:rsid w:val="00F53869"/>
    <w:rsid w:val="00F55DBA"/>
    <w:rsid w:val="00F62055"/>
    <w:rsid w:val="00F621E3"/>
    <w:rsid w:val="00F62CFA"/>
    <w:rsid w:val="00F63E76"/>
    <w:rsid w:val="00F64576"/>
    <w:rsid w:val="00F75C45"/>
    <w:rsid w:val="00F77EC1"/>
    <w:rsid w:val="00F8094B"/>
    <w:rsid w:val="00F81BCF"/>
    <w:rsid w:val="00F81C0B"/>
    <w:rsid w:val="00F82252"/>
    <w:rsid w:val="00F838AA"/>
    <w:rsid w:val="00F85201"/>
    <w:rsid w:val="00F93C03"/>
    <w:rsid w:val="00F941B6"/>
    <w:rsid w:val="00F97A73"/>
    <w:rsid w:val="00FA029D"/>
    <w:rsid w:val="00FA27B2"/>
    <w:rsid w:val="00FA632D"/>
    <w:rsid w:val="00FB3F99"/>
    <w:rsid w:val="00FB5017"/>
    <w:rsid w:val="00FC2FFB"/>
    <w:rsid w:val="00FC57DF"/>
    <w:rsid w:val="00FC6114"/>
    <w:rsid w:val="00FD33E7"/>
    <w:rsid w:val="00FD7AAF"/>
    <w:rsid w:val="00FE0D29"/>
    <w:rsid w:val="00FE0F20"/>
    <w:rsid w:val="00FE4056"/>
    <w:rsid w:val="00FE4714"/>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D0E7"/>
  <w15:chartTrackingRefBased/>
  <w15:docId w15:val="{B9D8189B-CABC-48EE-8A47-D6609655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A632D"/>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4E4"/>
  </w:style>
  <w:style w:type="paragraph" w:styleId="Footer">
    <w:name w:val="footer"/>
    <w:basedOn w:val="Normal"/>
    <w:link w:val="FooterChar"/>
    <w:uiPriority w:val="99"/>
    <w:unhideWhenUsed/>
    <w:rsid w:val="00B34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4E4"/>
  </w:style>
  <w:style w:type="paragraph" w:styleId="ListParagraph">
    <w:name w:val="List Paragraph"/>
    <w:basedOn w:val="Normal"/>
    <w:uiPriority w:val="34"/>
    <w:qFormat/>
    <w:rsid w:val="00C96FA0"/>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740C"/>
    <w:rPr>
      <w:color w:val="0000FF"/>
      <w:u w:val="single"/>
    </w:rPr>
  </w:style>
  <w:style w:type="paragraph" w:customStyle="1" w:styleId="Normaltext">
    <w:name w:val="Normal text"/>
    <w:qFormat/>
    <w:rsid w:val="00926857"/>
    <w:pPr>
      <w:spacing w:after="0" w:line="480" w:lineRule="auto"/>
      <w:jc w:val="both"/>
    </w:pPr>
    <w:rPr>
      <w:rFonts w:ascii="Times" w:eastAsiaTheme="minorEastAsia" w:hAnsi="Times" w:cs="Times"/>
      <w:lang w:val="en-US" w:eastAsia="ar-SA"/>
    </w:rPr>
  </w:style>
  <w:style w:type="character" w:customStyle="1" w:styleId="ref-lnk">
    <w:name w:val="ref-lnk"/>
    <w:basedOn w:val="DefaultParagraphFont"/>
    <w:rsid w:val="003106A8"/>
  </w:style>
  <w:style w:type="paragraph" w:customStyle="1" w:styleId="Normaltextnewpara">
    <w:name w:val="Normal text new para"/>
    <w:basedOn w:val="Normal"/>
    <w:next w:val="Normal"/>
    <w:qFormat/>
    <w:rsid w:val="00684FA5"/>
    <w:pPr>
      <w:spacing w:after="0" w:line="480" w:lineRule="auto"/>
      <w:ind w:firstLine="567"/>
      <w:jc w:val="both"/>
    </w:pPr>
    <w:rPr>
      <w:rFonts w:ascii="Times" w:eastAsiaTheme="minorEastAsia" w:hAnsi="Times" w:cs="Times"/>
      <w:lang w:val="en-US" w:eastAsia="ar-SA"/>
    </w:rPr>
  </w:style>
  <w:style w:type="paragraph" w:customStyle="1" w:styleId="Extractquote">
    <w:name w:val="Extract/quote"/>
    <w:next w:val="Normaltext"/>
    <w:qFormat/>
    <w:rsid w:val="009C6E24"/>
    <w:pPr>
      <w:spacing w:after="0" w:line="480" w:lineRule="auto"/>
      <w:ind w:left="2835"/>
      <w:jc w:val="both"/>
    </w:pPr>
    <w:rPr>
      <w:rFonts w:ascii="Times" w:eastAsiaTheme="minorEastAsia" w:hAnsi="Times" w:cs="Times"/>
      <w:sz w:val="18"/>
      <w:lang w:val="en-US" w:eastAsia="ar-SA"/>
    </w:rPr>
  </w:style>
  <w:style w:type="paragraph" w:customStyle="1" w:styleId="Normal1">
    <w:name w:val="Normal1"/>
    <w:rsid w:val="006E4B08"/>
    <w:pPr>
      <w:suppressAutoHyphens/>
      <w:autoSpaceDN w:val="0"/>
      <w:spacing w:line="240" w:lineRule="auto"/>
      <w:textAlignment w:val="baseline"/>
    </w:pPr>
    <w:rPr>
      <w:rFonts w:ascii="Calibri" w:eastAsia="Calibri" w:hAnsi="Calibri" w:cs="Calibri"/>
      <w:lang w:eastAsia="en-GB"/>
    </w:rPr>
  </w:style>
  <w:style w:type="paragraph" w:customStyle="1" w:styleId="References">
    <w:name w:val="References"/>
    <w:rsid w:val="007A168E"/>
    <w:pPr>
      <w:spacing w:after="0" w:line="480" w:lineRule="auto"/>
      <w:ind w:left="284" w:firstLine="28"/>
      <w:jc w:val="both"/>
    </w:pPr>
    <w:rPr>
      <w:rFonts w:ascii="Times" w:eastAsiaTheme="minorEastAsia" w:hAnsi="Times" w:cs="Times"/>
      <w:lang w:val="en-US" w:eastAsia="ar-SA"/>
    </w:rPr>
  </w:style>
  <w:style w:type="character" w:styleId="UnresolvedMention">
    <w:name w:val="Unresolved Mention"/>
    <w:basedOn w:val="DefaultParagraphFont"/>
    <w:uiPriority w:val="99"/>
    <w:semiHidden/>
    <w:unhideWhenUsed/>
    <w:rsid w:val="00C73744"/>
    <w:rPr>
      <w:color w:val="605E5C"/>
      <w:shd w:val="clear" w:color="auto" w:fill="E1DFDD"/>
    </w:rPr>
  </w:style>
  <w:style w:type="paragraph" w:customStyle="1" w:styleId="Bodytextfullout">
    <w:name w:val="Body text full out"/>
    <w:basedOn w:val="Normal"/>
    <w:rsid w:val="00062E75"/>
    <w:pPr>
      <w:suppressAutoHyphens/>
      <w:spacing w:before="240" w:after="0" w:line="360" w:lineRule="auto"/>
      <w:ind w:left="605" w:right="605"/>
      <w:jc w:val="both"/>
    </w:pPr>
    <w:rPr>
      <w:rFonts w:ascii="Times New Roman" w:eastAsia="Times New Roman" w:hAnsi="Times New Roman" w:cs="Times New Roman"/>
      <w:lang w:val="en-US" w:eastAsia="ar-SA"/>
    </w:rPr>
  </w:style>
  <w:style w:type="paragraph" w:customStyle="1" w:styleId="cit">
    <w:name w:val="cit"/>
    <w:basedOn w:val="Normal"/>
    <w:rsid w:val="00ED10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010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FA632D"/>
    <w:rPr>
      <w:rFonts w:ascii="Times New Roman" w:eastAsia="Times New Roman" w:hAnsi="Times New Roman" w:cs="Times New Roman"/>
      <w:b/>
      <w:bCs/>
      <w:sz w:val="28"/>
      <w:szCs w:val="24"/>
    </w:rPr>
  </w:style>
  <w:style w:type="paragraph" w:styleId="PlainText">
    <w:name w:val="Plain Text"/>
    <w:basedOn w:val="Normal"/>
    <w:link w:val="PlainTextChar"/>
    <w:uiPriority w:val="99"/>
    <w:semiHidden/>
    <w:unhideWhenUsed/>
    <w:rsid w:val="00583F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83F1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933004">
      <w:bodyDiv w:val="1"/>
      <w:marLeft w:val="0"/>
      <w:marRight w:val="0"/>
      <w:marTop w:val="0"/>
      <w:marBottom w:val="0"/>
      <w:divBdr>
        <w:top w:val="none" w:sz="0" w:space="0" w:color="auto"/>
        <w:left w:val="none" w:sz="0" w:space="0" w:color="auto"/>
        <w:bottom w:val="none" w:sz="0" w:space="0" w:color="auto"/>
        <w:right w:val="none" w:sz="0" w:space="0" w:color="auto"/>
      </w:divBdr>
    </w:div>
    <w:div w:id="1302661876">
      <w:bodyDiv w:val="1"/>
      <w:marLeft w:val="0"/>
      <w:marRight w:val="0"/>
      <w:marTop w:val="0"/>
      <w:marBottom w:val="0"/>
      <w:divBdr>
        <w:top w:val="none" w:sz="0" w:space="0" w:color="auto"/>
        <w:left w:val="none" w:sz="0" w:space="0" w:color="auto"/>
        <w:bottom w:val="none" w:sz="0" w:space="0" w:color="auto"/>
        <w:right w:val="none" w:sz="0" w:space="0" w:color="auto"/>
      </w:divBdr>
    </w:div>
    <w:div w:id="1536576898">
      <w:bodyDiv w:val="1"/>
      <w:marLeft w:val="0"/>
      <w:marRight w:val="0"/>
      <w:marTop w:val="0"/>
      <w:marBottom w:val="0"/>
      <w:divBdr>
        <w:top w:val="none" w:sz="0" w:space="0" w:color="auto"/>
        <w:left w:val="none" w:sz="0" w:space="0" w:color="auto"/>
        <w:bottom w:val="none" w:sz="0" w:space="0" w:color="auto"/>
        <w:right w:val="none" w:sz="0" w:space="0" w:color="auto"/>
      </w:divBdr>
    </w:div>
    <w:div w:id="1695617162">
      <w:bodyDiv w:val="1"/>
      <w:marLeft w:val="0"/>
      <w:marRight w:val="0"/>
      <w:marTop w:val="0"/>
      <w:marBottom w:val="0"/>
      <w:divBdr>
        <w:top w:val="none" w:sz="0" w:space="0" w:color="auto"/>
        <w:left w:val="none" w:sz="0" w:space="0" w:color="auto"/>
        <w:bottom w:val="none" w:sz="0" w:space="0" w:color="auto"/>
        <w:right w:val="none" w:sz="0" w:space="0" w:color="auto"/>
      </w:divBdr>
      <w:divsChild>
        <w:div w:id="160779261">
          <w:marLeft w:val="446"/>
          <w:marRight w:val="0"/>
          <w:marTop w:val="106"/>
          <w:marBottom w:val="120"/>
          <w:divBdr>
            <w:top w:val="none" w:sz="0" w:space="0" w:color="auto"/>
            <w:left w:val="none" w:sz="0" w:space="0" w:color="auto"/>
            <w:bottom w:val="none" w:sz="0" w:space="0" w:color="auto"/>
            <w:right w:val="none" w:sz="0" w:space="0" w:color="auto"/>
          </w:divBdr>
        </w:div>
        <w:div w:id="738553543">
          <w:marLeft w:val="446"/>
          <w:marRight w:val="0"/>
          <w:marTop w:val="106"/>
          <w:marBottom w:val="120"/>
          <w:divBdr>
            <w:top w:val="none" w:sz="0" w:space="0" w:color="auto"/>
            <w:left w:val="none" w:sz="0" w:space="0" w:color="auto"/>
            <w:bottom w:val="none" w:sz="0" w:space="0" w:color="auto"/>
            <w:right w:val="none" w:sz="0" w:space="0" w:color="auto"/>
          </w:divBdr>
        </w:div>
      </w:divsChild>
    </w:div>
    <w:div w:id="1775788190">
      <w:bodyDiv w:val="1"/>
      <w:marLeft w:val="0"/>
      <w:marRight w:val="0"/>
      <w:marTop w:val="0"/>
      <w:marBottom w:val="0"/>
      <w:divBdr>
        <w:top w:val="none" w:sz="0" w:space="0" w:color="auto"/>
        <w:left w:val="none" w:sz="0" w:space="0" w:color="auto"/>
        <w:bottom w:val="none" w:sz="0" w:space="0" w:color="auto"/>
        <w:right w:val="none" w:sz="0" w:space="0" w:color="auto"/>
      </w:divBdr>
      <w:divsChild>
        <w:div w:id="653800825">
          <w:marLeft w:val="446"/>
          <w:marRight w:val="0"/>
          <w:marTop w:val="10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fund.org.uk/publications/social-care-360" TargetMode="External"/><Relationship Id="rId3" Type="http://schemas.openxmlformats.org/officeDocument/2006/relationships/settings" Target="settings.xml"/><Relationship Id="rId7" Type="http://schemas.openxmlformats.org/officeDocument/2006/relationships/hyperlink" Target="mailto:careym1@hop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7598</Words>
  <Characters>43310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Carey</dc:creator>
  <cp:keywords/>
  <dc:description/>
  <cp:lastModifiedBy>Malcolm Carey</cp:lastModifiedBy>
  <cp:revision>2</cp:revision>
  <dcterms:created xsi:type="dcterms:W3CDTF">2022-11-04T10:33:00Z</dcterms:created>
  <dcterms:modified xsi:type="dcterms:W3CDTF">2022-11-04T10:33:00Z</dcterms:modified>
</cp:coreProperties>
</file>