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7AC326" w14:textId="0E845AFE" w:rsidR="00B062F6" w:rsidRPr="00793DF2" w:rsidRDefault="004E2DB0" w:rsidP="00BB128C">
      <w:pPr>
        <w:pStyle w:val="BOOKChapTitle"/>
        <w:jc w:val="both"/>
      </w:pPr>
      <w:r>
        <w:t xml:space="preserve">Chapter 5. </w:t>
      </w:r>
      <w:r w:rsidR="000A775F" w:rsidRPr="00793DF2">
        <w:t>Disrupting dox</w:t>
      </w:r>
      <w:r w:rsidR="00F33FE1" w:rsidRPr="00793DF2">
        <w:t xml:space="preserve">a </w:t>
      </w:r>
      <w:r w:rsidR="00A84ACB" w:rsidRPr="00793DF2">
        <w:t>about</w:t>
      </w:r>
      <w:r w:rsidR="000A775F" w:rsidRPr="00793DF2">
        <w:t xml:space="preserve"> children in care</w:t>
      </w:r>
      <w:r w:rsidR="008565C0" w:rsidRPr="00793DF2">
        <w:t>: Research from England</w:t>
      </w:r>
    </w:p>
    <w:p w14:paraId="162FA59D" w14:textId="64D0533E" w:rsidR="004165D6" w:rsidRDefault="00B062F6" w:rsidP="00DC3FAD">
      <w:pPr>
        <w:pStyle w:val="Bookbodytext"/>
      </w:pPr>
      <w:r w:rsidRPr="00131340">
        <w:t xml:space="preserve">Catriona </w:t>
      </w:r>
      <w:proofErr w:type="spellStart"/>
      <w:r w:rsidRPr="00131340">
        <w:t>Hugman</w:t>
      </w:r>
      <w:proofErr w:type="spellEnd"/>
    </w:p>
    <w:p w14:paraId="2DBD0E17" w14:textId="66928D31" w:rsidR="00F71916" w:rsidRDefault="00AD1C8F" w:rsidP="00DC3FAD">
      <w:pPr>
        <w:pStyle w:val="Bookbodytext"/>
      </w:pPr>
      <w:hyperlink r:id="rId8" w:history="1">
        <w:r w:rsidR="00EB7173" w:rsidRPr="00C02B80">
          <w:rPr>
            <w:rStyle w:val="Hyperlink"/>
          </w:rPr>
          <w:t>https://orcid.org/0000-0002-8149-9493</w:t>
        </w:r>
      </w:hyperlink>
    </w:p>
    <w:p w14:paraId="5DB267A6" w14:textId="203F2D77" w:rsidR="00EB3BF6" w:rsidRDefault="00EB3BF6" w:rsidP="00DC3FAD">
      <w:pPr>
        <w:pStyle w:val="Bookbodytext"/>
      </w:pPr>
    </w:p>
    <w:p w14:paraId="0485B23D" w14:textId="1E4D3970" w:rsidR="00EB3BF6" w:rsidRDefault="00EB3BF6" w:rsidP="00EB3BF6">
      <w:pPr>
        <w:shd w:val="clear" w:color="auto" w:fill="FFFFFF"/>
        <w:rPr>
          <w:rFonts w:ascii="Times New Roman" w:eastAsia="Times New Roman" w:hAnsi="Times New Roman" w:cs="Times New Roman"/>
          <w:b/>
          <w:bCs/>
          <w:color w:val="000000"/>
          <w:sz w:val="26"/>
          <w:szCs w:val="26"/>
          <w:lang w:eastAsia="en-GB"/>
        </w:rPr>
      </w:pPr>
      <w:r w:rsidRPr="00EB3BF6">
        <w:rPr>
          <w:rFonts w:ascii="Times New Roman" w:eastAsia="Times New Roman" w:hAnsi="Times New Roman" w:cs="Times New Roman"/>
          <w:b/>
          <w:bCs/>
          <w:color w:val="000000"/>
          <w:sz w:val="26"/>
          <w:szCs w:val="26"/>
          <w:lang w:eastAsia="en-GB"/>
        </w:rPr>
        <w:t>Abstract</w:t>
      </w:r>
    </w:p>
    <w:p w14:paraId="13A151FC" w14:textId="77777777" w:rsidR="00EB3BF6" w:rsidRPr="00EB3BF6" w:rsidRDefault="00EB3BF6" w:rsidP="00EB3BF6">
      <w:pPr>
        <w:shd w:val="clear" w:color="auto" w:fill="FFFFFF"/>
        <w:rPr>
          <w:rFonts w:ascii="Segoe UI" w:eastAsia="Times New Roman" w:hAnsi="Segoe UI" w:cs="Segoe UI"/>
          <w:color w:val="212121"/>
          <w:sz w:val="23"/>
          <w:szCs w:val="23"/>
          <w:lang w:eastAsia="en-GB"/>
        </w:rPr>
      </w:pPr>
    </w:p>
    <w:p w14:paraId="1813749A" w14:textId="4994B54F" w:rsidR="00EB3BF6" w:rsidRPr="00EB3BF6" w:rsidRDefault="00EB3BF6" w:rsidP="00DC3FAD">
      <w:pPr>
        <w:pStyle w:val="Bookbodytext"/>
        <w:rPr>
          <w:rFonts w:ascii="Segoe UI" w:hAnsi="Segoe UI" w:cs="Segoe UI"/>
          <w:color w:val="212121"/>
          <w:sz w:val="23"/>
          <w:szCs w:val="23"/>
          <w:lang w:eastAsia="en-GB"/>
        </w:rPr>
      </w:pPr>
      <w:r w:rsidRPr="00EB3BF6">
        <w:rPr>
          <w:lang w:eastAsia="en-GB"/>
        </w:rPr>
        <w:t xml:space="preserve">This chapter examines theoretically and empirically dominant narratives about children and adults who grew up in care. </w:t>
      </w:r>
      <w:r w:rsidR="007E7422" w:rsidRPr="004A5438">
        <w:rPr>
          <w:rFonts w:cstheme="minorHAnsi"/>
          <w:lang w:eastAsia="en-GB"/>
        </w:rPr>
        <w:t xml:space="preserve">It draws </w:t>
      </w:r>
      <w:r w:rsidRPr="00EB3BF6">
        <w:rPr>
          <w:lang w:eastAsia="en-GB"/>
        </w:rPr>
        <w:t>on data from biographical narrative interpretative method interviews with 11 adults who spent time growing up in care as children. This provides empirical data about the way in which dominant narratives of children in care are differently negotiated in their life stories. </w:t>
      </w:r>
    </w:p>
    <w:p w14:paraId="3D6CF264" w14:textId="77777777" w:rsidR="00EB3BF6" w:rsidRPr="00EB3BF6" w:rsidRDefault="00EB3BF6" w:rsidP="00DC3FAD">
      <w:pPr>
        <w:pStyle w:val="Bookbodytext"/>
        <w:rPr>
          <w:rFonts w:ascii="Segoe UI" w:hAnsi="Segoe UI" w:cs="Segoe UI"/>
          <w:color w:val="212121"/>
          <w:sz w:val="23"/>
          <w:szCs w:val="23"/>
          <w:lang w:eastAsia="en-GB"/>
        </w:rPr>
      </w:pPr>
      <w:r w:rsidRPr="00EB3BF6">
        <w:rPr>
          <w:lang w:eastAsia="en-GB"/>
        </w:rPr>
        <w:t> </w:t>
      </w:r>
    </w:p>
    <w:p w14:paraId="179BB3E2" w14:textId="4DA5A08D" w:rsidR="00EB3BF6" w:rsidRPr="00EB3BF6" w:rsidRDefault="00EB3BF6" w:rsidP="00DC3FAD">
      <w:pPr>
        <w:pStyle w:val="Bookbodytext"/>
        <w:rPr>
          <w:rFonts w:ascii="Segoe UI" w:hAnsi="Segoe UI" w:cs="Segoe UI"/>
          <w:color w:val="212121"/>
          <w:sz w:val="23"/>
          <w:szCs w:val="23"/>
          <w:lang w:eastAsia="en-GB"/>
        </w:rPr>
      </w:pPr>
      <w:r w:rsidRPr="00EB3BF6">
        <w:rPr>
          <w:lang w:eastAsia="en-GB"/>
        </w:rPr>
        <w:t>Doxa refers to ‘</w:t>
      </w:r>
      <w:proofErr w:type="spellStart"/>
      <w:r w:rsidRPr="00EB3BF6">
        <w:rPr>
          <w:lang w:eastAsia="en-GB"/>
        </w:rPr>
        <w:t>naturalised</w:t>
      </w:r>
      <w:proofErr w:type="spellEnd"/>
      <w:r w:rsidRPr="00EB3BF6">
        <w:rPr>
          <w:lang w:eastAsia="en-GB"/>
        </w:rPr>
        <w:t xml:space="preserve"> knowledge’ (Eagleton and Bourdieu, 1991), that is knowledge which is unlikely to be contested and is complicit in the reproduction of hegemonic </w:t>
      </w:r>
      <w:proofErr w:type="gramStart"/>
      <w:r w:rsidRPr="00EB3BF6">
        <w:rPr>
          <w:lang w:eastAsia="en-GB"/>
        </w:rPr>
        <w:t>values,</w:t>
      </w:r>
      <w:r w:rsidR="007E7422">
        <w:rPr>
          <w:lang w:eastAsia="en-GB"/>
        </w:rPr>
        <w:t xml:space="preserve"> </w:t>
      </w:r>
      <w:r w:rsidRPr="00EB3BF6">
        <w:rPr>
          <w:lang w:eastAsia="en-GB"/>
        </w:rPr>
        <w:t>and</w:t>
      </w:r>
      <w:proofErr w:type="gramEnd"/>
      <w:r w:rsidRPr="00EB3BF6">
        <w:rPr>
          <w:lang w:eastAsia="en-GB"/>
        </w:rPr>
        <w:t xml:space="preserve"> is taken for granted.  I argue that doxa shapes the dominant narrative of children in care and contributes to the experiences of social disrespect and the </w:t>
      </w:r>
      <w:proofErr w:type="spellStart"/>
      <w:r w:rsidRPr="00EB3BF6">
        <w:rPr>
          <w:lang w:eastAsia="en-GB"/>
        </w:rPr>
        <w:t>problematisation</w:t>
      </w:r>
      <w:proofErr w:type="spellEnd"/>
      <w:r w:rsidRPr="00EB3BF6">
        <w:rPr>
          <w:lang w:eastAsia="en-GB"/>
        </w:rPr>
        <w:t xml:space="preserve"> of young people’s agency. In this chapter there is a particular discussion about the dominant narratives of the child in care as a passive and helpless child, and the child in care as being naughty, or, as having done something wrong. I highlight how the concept of doxa (Bourdieu and Eagleton, 1991) can assist sociologists of the family in </w:t>
      </w:r>
      <w:proofErr w:type="spellStart"/>
      <w:r w:rsidRPr="00EB3BF6">
        <w:rPr>
          <w:lang w:eastAsia="en-GB"/>
        </w:rPr>
        <w:t>theorising</w:t>
      </w:r>
      <w:proofErr w:type="spellEnd"/>
      <w:r w:rsidRPr="00EB3BF6">
        <w:rPr>
          <w:lang w:eastAsia="en-GB"/>
        </w:rPr>
        <w:t xml:space="preserve"> the effects and evolutions of dominant stories in society. This contributes to the aims of the collection by demonstrating theoretical innovation that can be used to critically question the taken for granted.</w:t>
      </w:r>
    </w:p>
    <w:p w14:paraId="32BFDFC2" w14:textId="77777777" w:rsidR="00EB3BF6" w:rsidRPr="00EB3BF6" w:rsidRDefault="00EB3BF6" w:rsidP="00DC3FAD">
      <w:pPr>
        <w:pStyle w:val="Bookbodytext"/>
      </w:pPr>
    </w:p>
    <w:p w14:paraId="195BD6F9" w14:textId="0DC83B2F" w:rsidR="000A775F" w:rsidRPr="000933EE" w:rsidRDefault="000A775F" w:rsidP="00BB128C">
      <w:pPr>
        <w:pStyle w:val="BookLevel1"/>
        <w:jc w:val="both"/>
      </w:pPr>
      <w:r w:rsidRPr="000933EE">
        <w:lastRenderedPageBreak/>
        <w:t>Introduction</w:t>
      </w:r>
    </w:p>
    <w:p w14:paraId="280D19D7" w14:textId="3E029B03" w:rsidR="000550BB" w:rsidRDefault="00F86632" w:rsidP="00DC3FAD">
      <w:pPr>
        <w:pStyle w:val="Bookbodytext"/>
      </w:pPr>
      <w:r>
        <w:t xml:space="preserve">The focus of this chapter is to discursively and empirically challenge the negative public stories of children in care as passive, helpless victims or deviant young people. </w:t>
      </w:r>
      <w:r w:rsidR="00620A57" w:rsidRPr="00BA4B67">
        <w:t xml:space="preserve">This </w:t>
      </w:r>
      <w:r w:rsidR="00D806C5">
        <w:t>includes</w:t>
      </w:r>
      <w:r w:rsidR="00D806C5" w:rsidRPr="00BA4B67">
        <w:t xml:space="preserve"> </w:t>
      </w:r>
      <w:r w:rsidR="00D806C5">
        <w:t>exploring</w:t>
      </w:r>
      <w:r w:rsidR="00D806C5" w:rsidRPr="00BA4B67">
        <w:t xml:space="preserve"> </w:t>
      </w:r>
      <w:r w:rsidR="00620A57" w:rsidRPr="00BA4B67">
        <w:t xml:space="preserve">how notions of </w:t>
      </w:r>
      <w:r w:rsidR="00E3549A">
        <w:t xml:space="preserve">good family and good childhoods </w:t>
      </w:r>
      <w:r w:rsidR="00620A57" w:rsidRPr="00BA4B67">
        <w:t>are</w:t>
      </w:r>
      <w:r w:rsidR="00E3549A">
        <w:t xml:space="preserve"> of social and political interest, this provides the sociological foreground for an exploration of how adults </w:t>
      </w:r>
      <w:r w:rsidR="00620A57" w:rsidRPr="00BA4B67">
        <w:t>who grew up in state care</w:t>
      </w:r>
      <w:r w:rsidR="00E3549A">
        <w:t xml:space="preserve"> negotiate their identity</w:t>
      </w:r>
      <w:r w:rsidR="00620A57" w:rsidRPr="00BA4B67">
        <w:t xml:space="preserve">. </w:t>
      </w:r>
      <w:r w:rsidR="003A443B" w:rsidRPr="00055A09">
        <w:t xml:space="preserve">The research in this </w:t>
      </w:r>
      <w:r w:rsidR="00EC18A9">
        <w:t xml:space="preserve">work </w:t>
      </w:r>
      <w:r w:rsidR="003A443B" w:rsidRPr="00055A09">
        <w:t xml:space="preserve">is drawn from a wider study that sought to </w:t>
      </w:r>
      <w:proofErr w:type="spellStart"/>
      <w:r w:rsidR="00AC7773" w:rsidRPr="00055A09">
        <w:t>prioritise</w:t>
      </w:r>
      <w:proofErr w:type="spellEnd"/>
      <w:r w:rsidR="00AC7773" w:rsidRPr="00055A09">
        <w:t xml:space="preserve"> the voices of</w:t>
      </w:r>
      <w:r>
        <w:t xml:space="preserve"> adults</w:t>
      </w:r>
      <w:r w:rsidR="00AC7773" w:rsidRPr="00055A09">
        <w:t xml:space="preserve"> with care experience</w:t>
      </w:r>
      <w:r w:rsidR="00131340">
        <w:t>, this involved life story interviews with 11 care-experienced adults aged 30- 80 years old</w:t>
      </w:r>
      <w:r w:rsidR="00AC7773" w:rsidRPr="00055A09">
        <w:t xml:space="preserve">. </w:t>
      </w:r>
      <w:r w:rsidR="00572A93" w:rsidRPr="00BA4B67">
        <w:t>Whilst ‘care’ is something we hope all children and young people experience I will be using the term ‘care’ to denote a particular ascribed status and experience in childhood of growing up living with extended family, residential care or foster care</w:t>
      </w:r>
      <w:r w:rsidR="00055A09">
        <w:t xml:space="preserve"> in England</w:t>
      </w:r>
      <w:r w:rsidR="00572A93" w:rsidRPr="00BA4B67">
        <w:t>.</w:t>
      </w:r>
      <w:r w:rsidR="00285FAF">
        <w:t xml:space="preserve">   </w:t>
      </w:r>
    </w:p>
    <w:p w14:paraId="047AEF43" w14:textId="77777777" w:rsidR="00285FAF" w:rsidRDefault="00285FAF" w:rsidP="00DC3FAD">
      <w:pPr>
        <w:pStyle w:val="Bookbodytext"/>
      </w:pPr>
    </w:p>
    <w:p w14:paraId="05F9D848" w14:textId="05018FCB" w:rsidR="00C32FB9" w:rsidRDefault="00CF29CE" w:rsidP="00DC3FAD">
      <w:pPr>
        <w:pStyle w:val="Bookbodytext"/>
      </w:pPr>
      <w:r>
        <w:t xml:space="preserve">I begin </w:t>
      </w:r>
      <w:r w:rsidR="006F6CB8">
        <w:t>the discussion</w:t>
      </w:r>
      <w:r>
        <w:t xml:space="preserve"> by considering sociological perspectives on childhood and children; this situates the experience of </w:t>
      </w:r>
      <w:r w:rsidRPr="00BC4264">
        <w:t>child</w:t>
      </w:r>
      <w:r>
        <w:t>ren</w:t>
      </w:r>
      <w:r w:rsidRPr="00BC4264">
        <w:t xml:space="preserve"> in care </w:t>
      </w:r>
      <w:r>
        <w:t>(</w:t>
      </w:r>
      <w:proofErr w:type="spellStart"/>
      <w:r>
        <w:t>CiC</w:t>
      </w:r>
      <w:proofErr w:type="spellEnd"/>
      <w:r>
        <w:t>) within</w:t>
      </w:r>
      <w:r w:rsidRPr="00BC4264">
        <w:t xml:space="preserve"> the wider </w:t>
      </w:r>
      <w:r>
        <w:t xml:space="preserve">social </w:t>
      </w:r>
      <w:r w:rsidRPr="00BC4264">
        <w:t>context of childhood</w:t>
      </w:r>
      <w:r w:rsidR="000E7244">
        <w:t>,</w:t>
      </w:r>
      <w:r w:rsidRPr="00BC4264">
        <w:t xml:space="preserve"> social norms and values </w:t>
      </w:r>
      <w:r>
        <w:t>influencing the acceptability of</w:t>
      </w:r>
      <w:r w:rsidRPr="00BC4264">
        <w:t xml:space="preserve"> child</w:t>
      </w:r>
      <w:r>
        <w:t xml:space="preserve">hood experiences and family practices. Consideration is then given to </w:t>
      </w:r>
      <w:r w:rsidRPr="00B70B13">
        <w:t>what we ‘know’</w:t>
      </w:r>
      <w:r>
        <w:t xml:space="preserve"> about </w:t>
      </w:r>
      <w:proofErr w:type="spellStart"/>
      <w:r>
        <w:t>CiC</w:t>
      </w:r>
      <w:proofErr w:type="spellEnd"/>
      <w:r w:rsidRPr="00B70B13">
        <w:t xml:space="preserve">, whether it is accurate, and whose perspective is being taken. </w:t>
      </w:r>
      <w:r w:rsidR="00285FAF">
        <w:t xml:space="preserve"> </w:t>
      </w:r>
      <w:r w:rsidR="000933EE">
        <w:t xml:space="preserve">I </w:t>
      </w:r>
      <w:r w:rsidR="00F917C9">
        <w:t xml:space="preserve">show </w:t>
      </w:r>
      <w:r w:rsidR="000933EE">
        <w:t>that together these influence t</w:t>
      </w:r>
      <w:r w:rsidR="000933EE" w:rsidRPr="000E0712">
        <w:rPr>
          <w:szCs w:val="32"/>
        </w:rPr>
        <w:t xml:space="preserve">he </w:t>
      </w:r>
      <w:r w:rsidR="00C32FB9">
        <w:rPr>
          <w:szCs w:val="32"/>
        </w:rPr>
        <w:t>(</w:t>
      </w:r>
      <w:r w:rsidR="000933EE">
        <w:rPr>
          <w:szCs w:val="32"/>
        </w:rPr>
        <w:t>re</w:t>
      </w:r>
      <w:r w:rsidR="00C32FB9">
        <w:rPr>
          <w:szCs w:val="32"/>
        </w:rPr>
        <w:t>)</w:t>
      </w:r>
      <w:r w:rsidR="000933EE">
        <w:rPr>
          <w:szCs w:val="32"/>
        </w:rPr>
        <w:t xml:space="preserve">production of </w:t>
      </w:r>
      <w:r w:rsidR="000933EE" w:rsidRPr="000E0712">
        <w:rPr>
          <w:szCs w:val="32"/>
        </w:rPr>
        <w:t>dominant narrative</w:t>
      </w:r>
      <w:r w:rsidR="000933EE">
        <w:rPr>
          <w:szCs w:val="32"/>
        </w:rPr>
        <w:t>s</w:t>
      </w:r>
      <w:r w:rsidR="000933EE" w:rsidRPr="000E0712">
        <w:rPr>
          <w:szCs w:val="32"/>
        </w:rPr>
        <w:t xml:space="preserve"> a</w:t>
      </w:r>
      <w:r w:rsidR="000933EE">
        <w:rPr>
          <w:szCs w:val="32"/>
        </w:rPr>
        <w:t>bout</w:t>
      </w:r>
      <w:r w:rsidR="000933EE" w:rsidRPr="000E0712">
        <w:rPr>
          <w:szCs w:val="32"/>
        </w:rPr>
        <w:t xml:space="preserve"> children in care</w:t>
      </w:r>
      <w:r w:rsidR="000933EE">
        <w:rPr>
          <w:szCs w:val="32"/>
        </w:rPr>
        <w:t xml:space="preserve">, </w:t>
      </w:r>
      <w:r w:rsidR="00C32FB9">
        <w:rPr>
          <w:szCs w:val="32"/>
        </w:rPr>
        <w:t>who are</w:t>
      </w:r>
      <w:r w:rsidR="000933EE">
        <w:rPr>
          <w:szCs w:val="32"/>
        </w:rPr>
        <w:t xml:space="preserve"> often </w:t>
      </w:r>
      <w:proofErr w:type="spellStart"/>
      <w:r w:rsidR="000933EE">
        <w:rPr>
          <w:szCs w:val="32"/>
        </w:rPr>
        <w:t>characterised</w:t>
      </w:r>
      <w:proofErr w:type="spellEnd"/>
      <w:r w:rsidR="000933EE">
        <w:rPr>
          <w:szCs w:val="32"/>
        </w:rPr>
        <w:t xml:space="preserve"> as the</w:t>
      </w:r>
      <w:r w:rsidR="000933EE" w:rsidRPr="000E0712">
        <w:rPr>
          <w:szCs w:val="32"/>
        </w:rPr>
        <w:t xml:space="preserve"> damaged victim</w:t>
      </w:r>
      <w:r w:rsidR="000933EE">
        <w:rPr>
          <w:szCs w:val="32"/>
        </w:rPr>
        <w:t xml:space="preserve"> or</w:t>
      </w:r>
      <w:r w:rsidR="000933EE" w:rsidRPr="000E0712">
        <w:rPr>
          <w:szCs w:val="32"/>
        </w:rPr>
        <w:t xml:space="preserve"> the delinquent.</w:t>
      </w:r>
      <w:r w:rsidR="000933EE">
        <w:rPr>
          <w:szCs w:val="32"/>
        </w:rPr>
        <w:t xml:space="preserve"> To understand this </w:t>
      </w:r>
      <w:r w:rsidR="00C32FB9">
        <w:rPr>
          <w:szCs w:val="32"/>
        </w:rPr>
        <w:t>sociologically</w:t>
      </w:r>
      <w:r w:rsidR="000933EE">
        <w:rPr>
          <w:szCs w:val="32"/>
        </w:rPr>
        <w:t xml:space="preserve"> I use Bourdieu’s work a</w:t>
      </w:r>
      <w:r w:rsidR="000933EE">
        <w:t xml:space="preserve">nd </w:t>
      </w:r>
      <w:r w:rsidR="000933EE" w:rsidRPr="00B70B13">
        <w:t xml:space="preserve">illustrate </w:t>
      </w:r>
      <w:r w:rsidR="000933EE">
        <w:t xml:space="preserve">how </w:t>
      </w:r>
      <w:r w:rsidR="00402D1E">
        <w:t xml:space="preserve">dominant narratives and </w:t>
      </w:r>
      <w:r w:rsidR="000933EE">
        <w:t xml:space="preserve">negative public perceptions are indicative of doxa; by this I refer to </w:t>
      </w:r>
      <w:r w:rsidR="000933EE" w:rsidRPr="00B70B13">
        <w:t xml:space="preserve">‘common sense’ understandings </w:t>
      </w:r>
      <w:r w:rsidR="000933EE">
        <w:t>(Bourdieu and Eagleton, 1991)</w:t>
      </w:r>
      <w:r w:rsidR="00C32FB9">
        <w:t>.</w:t>
      </w:r>
      <w:r w:rsidR="000933EE">
        <w:t xml:space="preserve"> </w:t>
      </w:r>
    </w:p>
    <w:p w14:paraId="3D11D732" w14:textId="77777777" w:rsidR="00C32FB9" w:rsidRDefault="00C32FB9" w:rsidP="00DC3FAD">
      <w:pPr>
        <w:pStyle w:val="Bookbodytext"/>
      </w:pPr>
    </w:p>
    <w:p w14:paraId="56CFC948" w14:textId="47E67666" w:rsidR="000933EE" w:rsidRDefault="00F917C9" w:rsidP="00DC3FAD">
      <w:pPr>
        <w:pStyle w:val="Bookbodytext"/>
      </w:pPr>
      <w:r>
        <w:t xml:space="preserve">The data explored in this </w:t>
      </w:r>
      <w:r w:rsidR="0008324E">
        <w:t>work</w:t>
      </w:r>
      <w:r w:rsidR="003616C4">
        <w:t xml:space="preserve"> </w:t>
      </w:r>
      <w:r>
        <w:t xml:space="preserve">provides the empirical basis for this discussion, illuminating the individual agency and skills of participants in navigating doxa. I use Bourdieu’s work, including more contemporary scholarship on his work, to explore the wider social processes, </w:t>
      </w:r>
      <w:r>
        <w:lastRenderedPageBreak/>
        <w:t xml:space="preserve">including structures, norms and values, that </w:t>
      </w:r>
      <w:r w:rsidRPr="00BC4264">
        <w:t>shap</w:t>
      </w:r>
      <w:r>
        <w:t>e</w:t>
      </w:r>
      <w:r w:rsidRPr="00BC4264">
        <w:t xml:space="preserve"> the stories that people tell of their lives</w:t>
      </w:r>
      <w:r>
        <w:t>, their life experiences and their subjective experiencing of having been a child in care.</w:t>
      </w:r>
      <w:r w:rsidRPr="0072556A">
        <w:t xml:space="preserve"> </w:t>
      </w:r>
      <w:r w:rsidR="000933EE">
        <w:t xml:space="preserve">This guards against </w:t>
      </w:r>
      <w:r w:rsidR="000933EE">
        <w:rPr>
          <w:szCs w:val="32"/>
        </w:rPr>
        <w:t>individualisation when interpreting</w:t>
      </w:r>
      <w:r w:rsidR="00C32FB9">
        <w:rPr>
          <w:szCs w:val="32"/>
        </w:rPr>
        <w:t xml:space="preserve"> narrative</w:t>
      </w:r>
      <w:r w:rsidR="000933EE">
        <w:rPr>
          <w:szCs w:val="32"/>
        </w:rPr>
        <w:t xml:space="preserve"> data</w:t>
      </w:r>
      <w:r w:rsidR="00C32FB9">
        <w:rPr>
          <w:szCs w:val="32"/>
        </w:rPr>
        <w:t xml:space="preserve"> (</w:t>
      </w:r>
      <w:proofErr w:type="spellStart"/>
      <w:r w:rsidR="00C32FB9">
        <w:rPr>
          <w:szCs w:val="32"/>
        </w:rPr>
        <w:t>Dension</w:t>
      </w:r>
      <w:proofErr w:type="spellEnd"/>
      <w:r w:rsidR="00C32FB9">
        <w:rPr>
          <w:szCs w:val="32"/>
        </w:rPr>
        <w:t xml:space="preserve">, 2016), particularly </w:t>
      </w:r>
      <w:r w:rsidR="000933EE">
        <w:rPr>
          <w:szCs w:val="32"/>
        </w:rPr>
        <w:t>a</w:t>
      </w:r>
      <w:r w:rsidR="000933EE">
        <w:t xml:space="preserve">s Bourdieu’s concepts continue to offer </w:t>
      </w:r>
      <w:r w:rsidR="00402D1E">
        <w:t>sociologists</w:t>
      </w:r>
      <w:r w:rsidR="000933EE">
        <w:t xml:space="preserve"> tools for critically </w:t>
      </w:r>
      <w:proofErr w:type="spellStart"/>
      <w:r w:rsidR="000933EE">
        <w:t>analysing</w:t>
      </w:r>
      <w:proofErr w:type="spellEnd"/>
      <w:r w:rsidR="000933EE">
        <w:t xml:space="preserve"> enduring inequalities (Abrahams, Ingram, Thatcher and Burke</w:t>
      </w:r>
      <w:r>
        <w:t>,</w:t>
      </w:r>
      <w:r w:rsidR="000933EE">
        <w:t xml:space="preserve"> 2016).</w:t>
      </w:r>
    </w:p>
    <w:p w14:paraId="01BD36B1" w14:textId="77777777" w:rsidR="00285FAF" w:rsidRDefault="00285FAF" w:rsidP="00DC3FAD">
      <w:pPr>
        <w:pStyle w:val="Bookbodytext"/>
      </w:pPr>
    </w:p>
    <w:p w14:paraId="52E7C3EB" w14:textId="5903EA7C" w:rsidR="00285FAF" w:rsidRPr="000933EE" w:rsidRDefault="00285FAF" w:rsidP="00BB128C">
      <w:pPr>
        <w:pStyle w:val="BookLevel1"/>
        <w:jc w:val="both"/>
      </w:pPr>
      <w:r w:rsidRPr="000933EE">
        <w:t>Context: Children in care, a private or public concern?</w:t>
      </w:r>
    </w:p>
    <w:p w14:paraId="06476C78" w14:textId="7129F1E6" w:rsidR="00793DF2" w:rsidRPr="00793DF2" w:rsidRDefault="00793DF2" w:rsidP="00DC3FAD">
      <w:pPr>
        <w:pStyle w:val="Bookbodytext"/>
      </w:pPr>
      <w:r>
        <w:t>The following review of literature focuses on the cultural, political and social norms and policies surrounding children in England, and the UK. The specifics of cultural context are important when studying children in care</w:t>
      </w:r>
      <w:r w:rsidR="0043635F">
        <w:t>,</w:t>
      </w:r>
      <w:r>
        <w:t xml:space="preserve"> and care-leavers as these vary from country to </w:t>
      </w:r>
      <w:r w:rsidRPr="00793DF2">
        <w:t xml:space="preserve">country and affect subjective experiences of care and transitions to adulthood. For instance, in Ibrahim and Howe’s </w:t>
      </w:r>
      <w:r w:rsidR="00402D1E">
        <w:t xml:space="preserve">(2011) </w:t>
      </w:r>
      <w:r w:rsidRPr="00793DF2">
        <w:t>work in Jor</w:t>
      </w:r>
      <w:r w:rsidR="000933EE">
        <w:t>d</w:t>
      </w:r>
      <w:r w:rsidRPr="00793DF2">
        <w:t>an they consider the particularities of how collectivist culture shapes transitions to independen</w:t>
      </w:r>
      <w:r w:rsidR="00402D1E">
        <w:t>ce</w:t>
      </w:r>
      <w:r w:rsidRPr="00793DF2">
        <w:t xml:space="preserve">. This contrasts with the </w:t>
      </w:r>
      <w:proofErr w:type="spellStart"/>
      <w:r w:rsidR="00402D1E">
        <w:t>i</w:t>
      </w:r>
      <w:r w:rsidR="00402D1E" w:rsidRPr="00793DF2">
        <w:t>ndi</w:t>
      </w:r>
      <w:r w:rsidR="00402D1E">
        <w:t>vidualised</w:t>
      </w:r>
      <w:proofErr w:type="spellEnd"/>
      <w:r w:rsidRPr="00793DF2">
        <w:t xml:space="preserve"> </w:t>
      </w:r>
      <w:r w:rsidRPr="009D6646">
        <w:t xml:space="preserve">neo-liberal </w:t>
      </w:r>
      <w:r w:rsidR="00402D1E" w:rsidRPr="009D6646">
        <w:t>interpretations</w:t>
      </w:r>
      <w:r w:rsidRPr="009D6646">
        <w:t xml:space="preserve"> observed in research from the USA (</w:t>
      </w:r>
      <w:r w:rsidR="00402D1E" w:rsidRPr="009D6646">
        <w:t>Samuels and Pryce, 2009</w:t>
      </w:r>
      <w:r w:rsidRPr="009D6646">
        <w:t>).</w:t>
      </w:r>
      <w:r w:rsidRPr="00793DF2">
        <w:t xml:space="preserve"> Despite </w:t>
      </w:r>
      <w:r w:rsidR="00402D1E" w:rsidRPr="00793DF2">
        <w:t>cultural</w:t>
      </w:r>
      <w:r w:rsidRPr="00793DF2">
        <w:t xml:space="preserve"> differences </w:t>
      </w:r>
      <w:r w:rsidR="00402D1E">
        <w:t xml:space="preserve">that have been underexamined internationally </w:t>
      </w:r>
      <w:r w:rsidR="00402D1E" w:rsidRPr="00402D1E">
        <w:t>(</w:t>
      </w:r>
      <w:r w:rsidR="00402D1E" w:rsidRPr="00564CFA">
        <w:t xml:space="preserve">van Breda and Pinkerton, 2020) </w:t>
      </w:r>
      <w:r w:rsidRPr="00793DF2">
        <w:t xml:space="preserve">recent </w:t>
      </w:r>
      <w:r w:rsidR="00402D1E" w:rsidRPr="00793DF2">
        <w:t>scholarship</w:t>
      </w:r>
      <w:r w:rsidRPr="00793DF2">
        <w:t xml:space="preserve"> shows trends, for instance of comparatively low educational attainment</w:t>
      </w:r>
      <w:r w:rsidR="00402D1E">
        <w:t xml:space="preserve"> in Western countries</w:t>
      </w:r>
      <w:r w:rsidRPr="00793DF2">
        <w:t xml:space="preserve"> (</w:t>
      </w:r>
      <w:r w:rsidR="00402D1E" w:rsidRPr="00055A09">
        <w:t>Brady</w:t>
      </w:r>
      <w:r w:rsidR="00402D1E">
        <w:t xml:space="preserve"> </w:t>
      </w:r>
      <w:r w:rsidR="00402D1E" w:rsidRPr="00055A09">
        <w:t>and Gilligan,</w:t>
      </w:r>
      <w:r w:rsidR="00402D1E">
        <w:t xml:space="preserve"> 2018</w:t>
      </w:r>
      <w:r w:rsidRPr="00793DF2">
        <w:t xml:space="preserve">). </w:t>
      </w:r>
    </w:p>
    <w:p w14:paraId="0E6018AD" w14:textId="77777777" w:rsidR="00793DF2" w:rsidRDefault="00793DF2" w:rsidP="00DC3FAD">
      <w:pPr>
        <w:pStyle w:val="Bookbodytext"/>
      </w:pPr>
    </w:p>
    <w:p w14:paraId="226C828F" w14:textId="0B40CF75" w:rsidR="00285FAF" w:rsidRDefault="00285FAF" w:rsidP="00BB128C">
      <w:pPr>
        <w:pStyle w:val="BookLevel2"/>
        <w:jc w:val="both"/>
      </w:pPr>
      <w:r>
        <w:rPr>
          <w:lang w:val="en-US"/>
        </w:rPr>
        <w:t>Children in Society</w:t>
      </w:r>
    </w:p>
    <w:p w14:paraId="6F711E70" w14:textId="7D5DB9DB" w:rsidR="005C07C6" w:rsidRDefault="005C07C6" w:rsidP="00DC3FAD">
      <w:pPr>
        <w:pStyle w:val="Bookbodytext"/>
      </w:pPr>
      <w:r w:rsidRPr="00BC4264">
        <w:t>The sociology of childhood has contributed some significant new thinking over the last 2</w:t>
      </w:r>
      <w:r>
        <w:t>5</w:t>
      </w:r>
      <w:r w:rsidRPr="00BC4264">
        <w:t xml:space="preserve"> years, particularly regarding children’s capacity to affect their own social worlds (Jenks, </w:t>
      </w:r>
      <w:r w:rsidR="003B76CF">
        <w:t>2005</w:t>
      </w:r>
      <w:r w:rsidRPr="00BC4264">
        <w:t>; Lee, 2001).  Lee’s (2001) sociological approach to childhood highlights how children, in research, policy and family practices, are perceived to be incompetent</w:t>
      </w:r>
      <w:r w:rsidR="00614994">
        <w:t xml:space="preserve">, </w:t>
      </w:r>
      <w:r w:rsidR="00C43EC6">
        <w:t xml:space="preserve">and is indicative of a </w:t>
      </w:r>
      <w:r w:rsidR="00614994">
        <w:t>social norm</w:t>
      </w:r>
      <w:r w:rsidRPr="00BC4264">
        <w:t xml:space="preserve">. This can be divided into two </w:t>
      </w:r>
      <w:r w:rsidR="00C43EC6">
        <w:t xml:space="preserve">broad </w:t>
      </w:r>
      <w:proofErr w:type="spellStart"/>
      <w:r w:rsidR="00C43EC6">
        <w:t>conceptualisations</w:t>
      </w:r>
      <w:proofErr w:type="spellEnd"/>
      <w:r w:rsidRPr="00BC4264">
        <w:t>: the child as a “human becoming” in need of guidance, protection and education (Lee, 2001</w:t>
      </w:r>
      <w:r w:rsidR="00131340">
        <w:t>:</w:t>
      </w:r>
      <w:r w:rsidR="00285FAF">
        <w:t xml:space="preserve"> </w:t>
      </w:r>
      <w:r w:rsidRPr="00BC4264">
        <w:t xml:space="preserve">7) and the young person </w:t>
      </w:r>
      <w:r w:rsidRPr="00BC4264">
        <w:lastRenderedPageBreak/>
        <w:t>as a threat because of delinquency or victimhood (Gilbert et al., 2009). The</w:t>
      </w:r>
      <w:r w:rsidR="00C43EC6">
        <w:t xml:space="preserve"> social norm that perpetuates the view children are incompetent c</w:t>
      </w:r>
      <w:r w:rsidRPr="00BC4264">
        <w:t>irculat</w:t>
      </w:r>
      <w:r w:rsidR="00C43EC6">
        <w:t>es</w:t>
      </w:r>
      <w:r w:rsidRPr="00BC4264">
        <w:t xml:space="preserve"> in cultural and political spaces, reinforce</w:t>
      </w:r>
      <w:r w:rsidR="00C43EC6">
        <w:t>s the unequal power relations between children and adults</w:t>
      </w:r>
      <w:r w:rsidRPr="00BC4264">
        <w:t xml:space="preserve"> (Lee, 20</w:t>
      </w:r>
      <w:r w:rsidR="00AC7773">
        <w:t>0</w:t>
      </w:r>
      <w:r w:rsidRPr="00BC4264">
        <w:t>1). In</w:t>
      </w:r>
      <w:r w:rsidR="00C43EC6">
        <w:t xml:space="preserve"> the</w:t>
      </w:r>
      <w:r w:rsidRPr="00BC4264">
        <w:t xml:space="preserve"> everyday, this can </w:t>
      </w:r>
      <w:r w:rsidR="00C43EC6">
        <w:t>undermine</w:t>
      </w:r>
      <w:r w:rsidR="00C43EC6" w:rsidRPr="00BC4264">
        <w:t xml:space="preserve"> </w:t>
      </w:r>
      <w:r w:rsidRPr="00BC4264">
        <w:t>children’s ability to affect their environments, as their voices are deemed irrational or not fully informed</w:t>
      </w:r>
      <w:r w:rsidR="00443347">
        <w:t>,</w:t>
      </w:r>
      <w:r w:rsidRPr="00BC4264">
        <w:t xml:space="preserve"> from </w:t>
      </w:r>
      <w:r w:rsidR="00443347">
        <w:t>an</w:t>
      </w:r>
      <w:r w:rsidR="00443347" w:rsidRPr="00BC4264">
        <w:t xml:space="preserve"> </w:t>
      </w:r>
      <w:r w:rsidRPr="00BC4264">
        <w:t>adult perspective</w:t>
      </w:r>
      <w:r w:rsidR="00443347">
        <w:t>,</w:t>
      </w:r>
      <w:r w:rsidRPr="00BC4264">
        <w:t xml:space="preserve"> and thus discounted from having any effectual power (Lee, 2001). </w:t>
      </w:r>
      <w:r w:rsidR="00F926BE">
        <w:t xml:space="preserve">This is markedly different to before the industrial revolution whereby working-class children played an active role in their families (Hendrick, 1997). </w:t>
      </w:r>
      <w:r w:rsidR="000D0077" w:rsidRPr="00BC4264">
        <w:t>A</w:t>
      </w:r>
      <w:r w:rsidR="000D0077">
        <w:t>s earl</w:t>
      </w:r>
      <w:r w:rsidR="00D248E9">
        <w:t>y</w:t>
      </w:r>
      <w:r w:rsidR="000D0077">
        <w:t xml:space="preserve"> as the late 1700s there is evidence that </w:t>
      </w:r>
      <w:r w:rsidR="003B76CF">
        <w:t xml:space="preserve">for both </w:t>
      </w:r>
      <w:r w:rsidR="000D0077">
        <w:t xml:space="preserve">the state and industry </w:t>
      </w:r>
      <w:r w:rsidR="000D0077" w:rsidRPr="00BC4264">
        <w:t xml:space="preserve">the family </w:t>
      </w:r>
      <w:r w:rsidR="000D0077">
        <w:t xml:space="preserve">became </w:t>
      </w:r>
      <w:r w:rsidR="00443347">
        <w:t xml:space="preserve">increasingly </w:t>
      </w:r>
      <w:r w:rsidR="000D0077">
        <w:t>of interest</w:t>
      </w:r>
      <w:r w:rsidR="00443347">
        <w:t>.</w:t>
      </w:r>
      <w:r w:rsidR="003B76CF">
        <w:t xml:space="preserve"> </w:t>
      </w:r>
      <w:r w:rsidR="00443347">
        <w:t xml:space="preserve">Saliently, for this </w:t>
      </w:r>
      <w:r w:rsidR="003B76CF">
        <w:t>chapter is the focus on families</w:t>
      </w:r>
      <w:r w:rsidR="000D0077">
        <w:t xml:space="preserve"> </w:t>
      </w:r>
      <w:r w:rsidR="000D0077" w:rsidRPr="00BC4264">
        <w:t xml:space="preserve">as </w:t>
      </w:r>
      <w:r w:rsidR="003B76CF">
        <w:t xml:space="preserve">the </w:t>
      </w:r>
      <w:r w:rsidR="000D0077">
        <w:t>space</w:t>
      </w:r>
      <w:r w:rsidR="000D0077" w:rsidRPr="00BC4264">
        <w:t xml:space="preserve"> </w:t>
      </w:r>
      <w:r w:rsidR="003B76CF">
        <w:t xml:space="preserve">where children </w:t>
      </w:r>
      <w:r w:rsidR="00443347">
        <w:t xml:space="preserve">are </w:t>
      </w:r>
      <w:proofErr w:type="spellStart"/>
      <w:r w:rsidR="003B76CF" w:rsidRPr="00BC4264">
        <w:t>socialis</w:t>
      </w:r>
      <w:r w:rsidR="003B76CF">
        <w:t>ed</w:t>
      </w:r>
      <w:proofErr w:type="spellEnd"/>
      <w:r w:rsidR="000D0077" w:rsidRPr="00BC4264">
        <w:t xml:space="preserve"> to the proper morals </w:t>
      </w:r>
      <w:r w:rsidR="000D0077">
        <w:t>to ensure</w:t>
      </w:r>
      <w:r w:rsidR="000D0077" w:rsidRPr="00BC4264">
        <w:t xml:space="preserve"> they become </w:t>
      </w:r>
      <w:r w:rsidR="000D0077">
        <w:t xml:space="preserve">good </w:t>
      </w:r>
      <w:r w:rsidR="000D0077" w:rsidRPr="00BC4264">
        <w:t>citizens</w:t>
      </w:r>
      <w:r w:rsidR="000D0077">
        <w:t xml:space="preserve"> (Hendrick, 1997), arguably this has not changed</w:t>
      </w:r>
      <w:r w:rsidR="00CB3FC5">
        <w:t xml:space="preserve">. </w:t>
      </w:r>
    </w:p>
    <w:p w14:paraId="13B0CEC1" w14:textId="00F883E8" w:rsidR="00FB0E12" w:rsidRDefault="00FB0E12" w:rsidP="00DC3FAD">
      <w:pPr>
        <w:pStyle w:val="Bookbodytext"/>
      </w:pPr>
    </w:p>
    <w:p w14:paraId="7DF99EB9" w14:textId="1F4D223A" w:rsidR="000D0077" w:rsidRPr="00F60035" w:rsidRDefault="00FB0E12" w:rsidP="00DC3FAD">
      <w:pPr>
        <w:pStyle w:val="Bookbodytext"/>
      </w:pPr>
      <w:r w:rsidRPr="00BC4264">
        <w:t xml:space="preserve">Good parenting in twenty-first century Britain is defined by practices such as having home-cooked meals, limiting television access and engaging in sports and cultural activities (Gillies, 2011). These understandings of the family promote certain families as </w:t>
      </w:r>
      <w:proofErr w:type="spellStart"/>
      <w:r w:rsidRPr="00BC4264">
        <w:t>epitomising</w:t>
      </w:r>
      <w:proofErr w:type="spellEnd"/>
      <w:r w:rsidRPr="00BC4264">
        <w:t xml:space="preserve"> this, consequently </w:t>
      </w:r>
      <w:proofErr w:type="spellStart"/>
      <w:r w:rsidRPr="00BC4264">
        <w:t>marginalising</w:t>
      </w:r>
      <w:proofErr w:type="spellEnd"/>
      <w:r w:rsidRPr="00BC4264">
        <w:t xml:space="preserve"> other ways of ‘doing family’ from the agenda (Wilson, 2012). </w:t>
      </w:r>
      <w:r w:rsidR="00105981" w:rsidRPr="00BC4264">
        <w:t>Compounding this are beliefs about the intergenerational transmission of particular cultures and ways of doing family life that increase the likelihood of a child in the family entering care (</w:t>
      </w:r>
      <w:r w:rsidR="00105981" w:rsidRPr="00894852">
        <w:t>Casey, 2010</w:t>
      </w:r>
      <w:r w:rsidR="00105981" w:rsidRPr="00BC4264">
        <w:t>).</w:t>
      </w:r>
      <w:r w:rsidR="00105981">
        <w:t xml:space="preserve"> </w:t>
      </w:r>
      <w:r w:rsidRPr="00BC4264">
        <w:t>This detracts policy makers and the public from looking at wider society and the way in which social forces intersect with the shaping of experiences of family.</w:t>
      </w:r>
      <w:r w:rsidR="00287605">
        <w:t xml:space="preserve"> One recent example </w:t>
      </w:r>
      <w:r w:rsidR="00E86E55">
        <w:t xml:space="preserve">of this </w:t>
      </w:r>
      <w:proofErr w:type="gramStart"/>
      <w:r w:rsidR="00E86E55">
        <w:t>is</w:t>
      </w:r>
      <w:r w:rsidR="00C27FEF">
        <w:t>;</w:t>
      </w:r>
      <w:proofErr w:type="gramEnd"/>
      <w:r w:rsidR="00E86E55">
        <w:t xml:space="preserve"> how increases in the number of families living in poverty has </w:t>
      </w:r>
      <w:r w:rsidR="00F6447A">
        <w:t>also seen</w:t>
      </w:r>
      <w:r w:rsidR="00E86E55">
        <w:t xml:space="preserve"> an increase in the number of children identified as being neglected, and, thus requiring social work interventions </w:t>
      </w:r>
      <w:r w:rsidR="00CE2042">
        <w:t xml:space="preserve">at the family level </w:t>
      </w:r>
      <w:r w:rsidR="00E86E55">
        <w:t>(Featherstone et al</w:t>
      </w:r>
      <w:r w:rsidR="00564CFA">
        <w:t>,</w:t>
      </w:r>
      <w:r w:rsidR="00E86E55">
        <w:t xml:space="preserve"> 2017).</w:t>
      </w:r>
      <w:r w:rsidR="000D0077">
        <w:t xml:space="preserve"> </w:t>
      </w:r>
      <w:r w:rsidR="00F5437F" w:rsidRPr="00BC4264">
        <w:t>Clearly, then, childhood is experienced</w:t>
      </w:r>
      <w:r w:rsidR="00F5437F">
        <w:t xml:space="preserve"> and</w:t>
      </w:r>
      <w:r w:rsidR="00F5437F" w:rsidRPr="00BC4264">
        <w:t xml:space="preserve"> lived by young people </w:t>
      </w:r>
      <w:r w:rsidR="00F5437F">
        <w:t>in</w:t>
      </w:r>
      <w:r w:rsidR="00F5437F" w:rsidRPr="00BC4264">
        <w:t>side the socio-economic and cultural context of their lives, despite claims of childhood’s universality.</w:t>
      </w:r>
      <w:r w:rsidR="005D5C88">
        <w:t xml:space="preserve"> It is in the context of social policy, the state</w:t>
      </w:r>
      <w:r w:rsidR="00C27FEF">
        <w:t>,</w:t>
      </w:r>
      <w:r w:rsidR="005D5C88">
        <w:t xml:space="preserve"> </w:t>
      </w:r>
      <w:r w:rsidR="005D5C88">
        <w:lastRenderedPageBreak/>
        <w:t xml:space="preserve">and </w:t>
      </w:r>
      <w:r w:rsidR="00443347">
        <w:t xml:space="preserve">its </w:t>
      </w:r>
      <w:r w:rsidR="005D5C88">
        <w:t>interests in normative child</w:t>
      </w:r>
      <w:r w:rsidR="00614994">
        <w:t>hoods</w:t>
      </w:r>
      <w:r w:rsidR="005D5C88">
        <w:t xml:space="preserve"> and families that we can critically consider the reasoning behind why some children and young people become looked after by the state </w:t>
      </w:r>
      <w:r w:rsidR="003A443B">
        <w:t xml:space="preserve">is </w:t>
      </w:r>
      <w:r w:rsidR="005D5C88">
        <w:t>the ideological presumption of delinquent youth</w:t>
      </w:r>
      <w:r w:rsidR="00614994">
        <w:t xml:space="preserve">, </w:t>
      </w:r>
      <w:r w:rsidR="003A443B">
        <w:t>including</w:t>
      </w:r>
      <w:r w:rsidR="00614994">
        <w:t xml:space="preserve"> </w:t>
      </w:r>
      <w:proofErr w:type="spellStart"/>
      <w:r w:rsidR="00614994">
        <w:t>CiC</w:t>
      </w:r>
      <w:proofErr w:type="spellEnd"/>
      <w:r w:rsidR="00614994">
        <w:t xml:space="preserve">, </w:t>
      </w:r>
      <w:r w:rsidR="005D5C88">
        <w:t>as a threat to order (Garrett, 1999)</w:t>
      </w:r>
      <w:r w:rsidR="005D5C88" w:rsidRPr="00BC4264">
        <w:t>.</w:t>
      </w:r>
      <w:r w:rsidR="00105981" w:rsidRPr="00105981">
        <w:t xml:space="preserve"> </w:t>
      </w:r>
      <w:r w:rsidR="00443347">
        <w:t>Hence, p</w:t>
      </w:r>
      <w:r w:rsidR="00443347" w:rsidRPr="00BC4264">
        <w:t>erceptions of a ‘good’ childhood</w:t>
      </w:r>
      <w:r w:rsidR="00443347">
        <w:t xml:space="preserve">, </w:t>
      </w:r>
      <w:r w:rsidR="00443347" w:rsidRPr="00BC4264">
        <w:t xml:space="preserve">‘good’ </w:t>
      </w:r>
      <w:r w:rsidR="00443347">
        <w:t xml:space="preserve">families and ‘good’ </w:t>
      </w:r>
      <w:r w:rsidR="00443347" w:rsidRPr="00BC4264">
        <w:t xml:space="preserve">parenting are </w:t>
      </w:r>
      <w:r w:rsidR="00443347" w:rsidRPr="00F60035">
        <w:t>interlinked.</w:t>
      </w:r>
    </w:p>
    <w:p w14:paraId="724C3B80" w14:textId="77777777" w:rsidR="000550BB" w:rsidRPr="00F60035" w:rsidRDefault="000550BB" w:rsidP="00DC3FAD">
      <w:pPr>
        <w:pStyle w:val="Bookbodytext"/>
      </w:pPr>
    </w:p>
    <w:p w14:paraId="7193A38B" w14:textId="5BD6BDD0" w:rsidR="000550BB" w:rsidRPr="00F60035" w:rsidRDefault="00181D8E" w:rsidP="00DC3FAD">
      <w:pPr>
        <w:pStyle w:val="Bookbodytext"/>
        <w:rPr>
          <w:color w:val="auto"/>
          <w:szCs w:val="20"/>
          <w:lang w:val="en-GB"/>
        </w:rPr>
      </w:pPr>
      <w:r w:rsidRPr="00F60035">
        <w:rPr>
          <w:szCs w:val="32"/>
        </w:rPr>
        <w:t>T</w:t>
      </w:r>
      <w:r w:rsidR="008F0CAA" w:rsidRPr="00F60035">
        <w:rPr>
          <w:szCs w:val="32"/>
        </w:rPr>
        <w:t xml:space="preserve">his section has illustrated how </w:t>
      </w:r>
      <w:r w:rsidR="00F60035" w:rsidRPr="00F60035">
        <w:t xml:space="preserve">the ‘family’ is a political space and in England the value placed upon it as a major site of </w:t>
      </w:r>
      <w:proofErr w:type="spellStart"/>
      <w:r w:rsidR="00F60035" w:rsidRPr="00F60035">
        <w:t>socialisation</w:t>
      </w:r>
      <w:proofErr w:type="spellEnd"/>
      <w:r w:rsidR="00F60035" w:rsidRPr="00F60035">
        <w:t xml:space="preserve">, care and control of children and young people. </w:t>
      </w:r>
      <w:r w:rsidR="00CE2042" w:rsidRPr="00F60035">
        <w:rPr>
          <w:szCs w:val="32"/>
        </w:rPr>
        <w:t>I</w:t>
      </w:r>
      <w:r w:rsidR="008F0CAA" w:rsidRPr="00F60035">
        <w:rPr>
          <w:szCs w:val="32"/>
        </w:rPr>
        <w:t>t is in th</w:t>
      </w:r>
      <w:r w:rsidR="00F60035" w:rsidRPr="00F60035">
        <w:rPr>
          <w:szCs w:val="32"/>
        </w:rPr>
        <w:t xml:space="preserve">is </w:t>
      </w:r>
      <w:r w:rsidR="008F0CAA" w:rsidRPr="00F60035">
        <w:rPr>
          <w:szCs w:val="32"/>
        </w:rPr>
        <w:t>context of cultural norms</w:t>
      </w:r>
      <w:r w:rsidR="00F60035" w:rsidRPr="00F60035">
        <w:rPr>
          <w:szCs w:val="32"/>
        </w:rPr>
        <w:t xml:space="preserve">, </w:t>
      </w:r>
      <w:r w:rsidR="00CE2042" w:rsidRPr="00F60035">
        <w:rPr>
          <w:szCs w:val="32"/>
        </w:rPr>
        <w:t>values</w:t>
      </w:r>
      <w:r w:rsidR="00F60035" w:rsidRPr="00F60035">
        <w:rPr>
          <w:szCs w:val="32"/>
        </w:rPr>
        <w:t xml:space="preserve"> and social policy within which </w:t>
      </w:r>
      <w:proofErr w:type="spellStart"/>
      <w:r w:rsidR="00CE2042" w:rsidRPr="00F60035">
        <w:rPr>
          <w:szCs w:val="32"/>
        </w:rPr>
        <w:t>CiC</w:t>
      </w:r>
      <w:proofErr w:type="spellEnd"/>
      <w:r w:rsidR="008F0CAA" w:rsidRPr="00F60035">
        <w:rPr>
          <w:szCs w:val="32"/>
        </w:rPr>
        <w:t xml:space="preserve"> negotiate their social identity</w:t>
      </w:r>
      <w:r w:rsidR="00D248E9" w:rsidRPr="00F60035">
        <w:rPr>
          <w:szCs w:val="32"/>
        </w:rPr>
        <w:t xml:space="preserve">, </w:t>
      </w:r>
      <w:r w:rsidR="008F0CAA" w:rsidRPr="00F60035">
        <w:rPr>
          <w:szCs w:val="32"/>
        </w:rPr>
        <w:t xml:space="preserve">often without recourse to </w:t>
      </w:r>
      <w:r w:rsidR="0082232A" w:rsidRPr="00F60035">
        <w:rPr>
          <w:szCs w:val="32"/>
        </w:rPr>
        <w:t xml:space="preserve">experiences </w:t>
      </w:r>
      <w:r w:rsidR="00D80006" w:rsidRPr="00F60035">
        <w:rPr>
          <w:szCs w:val="32"/>
        </w:rPr>
        <w:t>in childhood that</w:t>
      </w:r>
      <w:r w:rsidR="00CD10C9" w:rsidRPr="00F60035">
        <w:rPr>
          <w:szCs w:val="32"/>
        </w:rPr>
        <w:t xml:space="preserve"> are</w:t>
      </w:r>
      <w:r w:rsidR="00D80006" w:rsidRPr="00F60035">
        <w:rPr>
          <w:szCs w:val="32"/>
        </w:rPr>
        <w:t xml:space="preserve"> </w:t>
      </w:r>
      <w:r w:rsidR="008F0CAA" w:rsidRPr="00F60035">
        <w:rPr>
          <w:szCs w:val="32"/>
        </w:rPr>
        <w:t xml:space="preserve">perceived </w:t>
      </w:r>
      <w:r w:rsidRPr="00F60035">
        <w:rPr>
          <w:szCs w:val="32"/>
        </w:rPr>
        <w:t>as</w:t>
      </w:r>
      <w:r w:rsidR="008F0CAA" w:rsidRPr="00F60035">
        <w:rPr>
          <w:szCs w:val="32"/>
        </w:rPr>
        <w:t xml:space="preserve"> ‘normal’.</w:t>
      </w:r>
      <w:r w:rsidR="000550BB" w:rsidRPr="00F60035">
        <w:rPr>
          <w:szCs w:val="32"/>
        </w:rPr>
        <w:t xml:space="preserve"> </w:t>
      </w:r>
      <w:r w:rsidR="00D248E9" w:rsidRPr="00F60035">
        <w:rPr>
          <w:szCs w:val="32"/>
        </w:rPr>
        <w:t>The next section</w:t>
      </w:r>
      <w:r w:rsidR="00610B2B" w:rsidRPr="00F60035">
        <w:rPr>
          <w:szCs w:val="32"/>
        </w:rPr>
        <w:t xml:space="preserve"> </w:t>
      </w:r>
      <w:r w:rsidR="00D248E9" w:rsidRPr="00F60035">
        <w:rPr>
          <w:szCs w:val="32"/>
        </w:rPr>
        <w:t>critically discusses</w:t>
      </w:r>
      <w:r w:rsidR="00B948B2" w:rsidRPr="00F60035">
        <w:rPr>
          <w:szCs w:val="32"/>
        </w:rPr>
        <w:t xml:space="preserve"> what is known about the outcomes of </w:t>
      </w:r>
      <w:proofErr w:type="spellStart"/>
      <w:r w:rsidR="00610B2B" w:rsidRPr="00F60035">
        <w:rPr>
          <w:szCs w:val="32"/>
        </w:rPr>
        <w:t>CiC</w:t>
      </w:r>
      <w:proofErr w:type="spellEnd"/>
      <w:r w:rsidR="00B948B2" w:rsidRPr="00F60035">
        <w:rPr>
          <w:szCs w:val="32"/>
        </w:rPr>
        <w:t>.</w:t>
      </w:r>
    </w:p>
    <w:p w14:paraId="0650637D" w14:textId="08F85C3D" w:rsidR="00605467" w:rsidRDefault="00605467" w:rsidP="00DC3FAD">
      <w:pPr>
        <w:pStyle w:val="Bookbodytext"/>
      </w:pPr>
    </w:p>
    <w:p w14:paraId="3AF743F0" w14:textId="46C9E59E" w:rsidR="000550BB" w:rsidRDefault="000550BB" w:rsidP="00BB128C">
      <w:pPr>
        <w:pStyle w:val="BookLevel2"/>
        <w:jc w:val="both"/>
      </w:pPr>
      <w:r>
        <w:t>Perspectives in society of child looked-after:</w:t>
      </w:r>
    </w:p>
    <w:p w14:paraId="25CE9CBE" w14:textId="627C8FCC" w:rsidR="004806F2" w:rsidRDefault="00BC4264" w:rsidP="00DC3FAD">
      <w:pPr>
        <w:pStyle w:val="Bookbodytext"/>
      </w:pPr>
      <w:r w:rsidRPr="0031502F">
        <w:t xml:space="preserve">As has been </w:t>
      </w:r>
      <w:r w:rsidR="00A84ACB" w:rsidRPr="0031502F">
        <w:t xml:space="preserve">suggested childhood and family are </w:t>
      </w:r>
      <w:r w:rsidRPr="0031502F">
        <w:t>political</w:t>
      </w:r>
      <w:r w:rsidR="00A84ACB" w:rsidRPr="0031502F">
        <w:t xml:space="preserve"> social categories</w:t>
      </w:r>
      <w:r w:rsidR="004E6787" w:rsidRPr="0031502F">
        <w:t xml:space="preserve"> and while they are important to individual</w:t>
      </w:r>
      <w:r w:rsidR="00A24D88" w:rsidRPr="0031502F">
        <w:t>s</w:t>
      </w:r>
      <w:r w:rsidR="004E6787" w:rsidRPr="0031502F">
        <w:t>, they are also instrumental for the state and the needs of capitalism</w:t>
      </w:r>
      <w:r w:rsidRPr="0031502F">
        <w:t>.</w:t>
      </w:r>
      <w:r w:rsidR="00A84ACB" w:rsidRPr="0031502F">
        <w:t xml:space="preserve"> </w:t>
      </w:r>
      <w:r w:rsidR="004E58B9" w:rsidRPr="0031502F">
        <w:t>The Department of Education</w:t>
      </w:r>
      <w:r w:rsidR="00D80006">
        <w:t xml:space="preserve"> </w:t>
      </w:r>
      <w:r w:rsidR="00D80006" w:rsidRPr="0031502F">
        <w:t>(D</w:t>
      </w:r>
      <w:r w:rsidR="00D80006">
        <w:t>f</w:t>
      </w:r>
      <w:r w:rsidR="00D80006" w:rsidRPr="0031502F">
        <w:t>E)</w:t>
      </w:r>
      <w:r w:rsidR="004E58B9" w:rsidRPr="0031502F">
        <w:t xml:space="preserve"> is a key source of data that is routinely collected </w:t>
      </w:r>
      <w:r w:rsidR="006B7C55" w:rsidRPr="0031502F">
        <w:t xml:space="preserve">by local authorities </w:t>
      </w:r>
      <w:r w:rsidR="004E58B9" w:rsidRPr="0031502F">
        <w:t>about children and young people in care</w:t>
      </w:r>
      <w:r w:rsidR="006B7C55" w:rsidRPr="0031502F">
        <w:t xml:space="preserve">, in this way </w:t>
      </w:r>
      <w:r w:rsidR="00126FDC">
        <w:t>surveilling</w:t>
      </w:r>
      <w:r w:rsidR="006B7C55" w:rsidRPr="0031502F">
        <w:t xml:space="preserve"> the </w:t>
      </w:r>
      <w:proofErr w:type="spellStart"/>
      <w:r w:rsidR="006B7C55" w:rsidRPr="0031502F">
        <w:t>CiC</w:t>
      </w:r>
      <w:proofErr w:type="spellEnd"/>
      <w:r w:rsidR="006B7C55" w:rsidRPr="0031502F">
        <w:t xml:space="preserve"> population</w:t>
      </w:r>
      <w:r w:rsidR="004E58B9" w:rsidRPr="0031502F">
        <w:t xml:space="preserve">. </w:t>
      </w:r>
      <w:r w:rsidR="00126FDC" w:rsidRPr="00126FDC">
        <w:t xml:space="preserve"> </w:t>
      </w:r>
      <w:r w:rsidR="00402D1E">
        <w:t>The argument has been made that</w:t>
      </w:r>
      <w:r w:rsidR="00126FDC" w:rsidRPr="0031502F">
        <w:t xml:space="preserve"> such data is indicative of what Power (1997</w:t>
      </w:r>
      <w:r w:rsidR="00402D1E">
        <w:t xml:space="preserve">, cited in </w:t>
      </w:r>
      <w:proofErr w:type="spellStart"/>
      <w:r w:rsidR="00402D1E">
        <w:t>Holligan</w:t>
      </w:r>
      <w:proofErr w:type="spellEnd"/>
      <w:r w:rsidR="004506A8">
        <w:t xml:space="preserve">, </w:t>
      </w:r>
      <w:r w:rsidR="004506A8" w:rsidRPr="00AC7773">
        <w:t>Hanson, Henderson</w:t>
      </w:r>
      <w:r w:rsidR="004506A8">
        <w:t xml:space="preserve"> and</w:t>
      </w:r>
      <w:r w:rsidR="004506A8" w:rsidRPr="00AC7773">
        <w:t xml:space="preserve"> Adams</w:t>
      </w:r>
      <w:r w:rsidR="004506A8">
        <w:t>,</w:t>
      </w:r>
      <w:r w:rsidR="00402D1E">
        <w:t xml:space="preserve"> 2014: 5</w:t>
      </w:r>
      <w:r w:rsidR="00126FDC" w:rsidRPr="0031502F">
        <w:t xml:space="preserve">) </w:t>
      </w:r>
      <w:r w:rsidR="00126FDC">
        <w:t>termed</w:t>
      </w:r>
      <w:r w:rsidR="00126FDC" w:rsidRPr="0031502F">
        <w:t xml:space="preserve"> “audit culture”</w:t>
      </w:r>
      <w:r w:rsidR="00126FDC">
        <w:t>,</w:t>
      </w:r>
      <w:r w:rsidR="00126FDC" w:rsidRPr="0031502F">
        <w:t xml:space="preserve"> where technology aides </w:t>
      </w:r>
      <w:r w:rsidR="00126FDC">
        <w:t xml:space="preserve">the </w:t>
      </w:r>
      <w:r w:rsidR="00126FDC" w:rsidRPr="0031502F">
        <w:t>quantification of pre-conceived measurable outcomes as a</w:t>
      </w:r>
      <w:r w:rsidR="00126FDC">
        <w:t xml:space="preserve"> means</w:t>
      </w:r>
      <w:r w:rsidR="00126FDC" w:rsidRPr="0031502F">
        <w:t xml:space="preserve"> of surveillance and control.  This has been linked to the neo-</w:t>
      </w:r>
      <w:proofErr w:type="spellStart"/>
      <w:r w:rsidR="00126FDC" w:rsidRPr="0031502F">
        <w:t>liberalisation</w:t>
      </w:r>
      <w:proofErr w:type="spellEnd"/>
      <w:r w:rsidR="00126FDC" w:rsidRPr="0031502F">
        <w:t xml:space="preserve"> of public services in England and Scotland (Garrett, 2005; </w:t>
      </w:r>
      <w:proofErr w:type="spellStart"/>
      <w:r w:rsidR="004506A8">
        <w:t>Holligan</w:t>
      </w:r>
      <w:proofErr w:type="spellEnd"/>
      <w:r w:rsidR="004506A8">
        <w:t xml:space="preserve">, </w:t>
      </w:r>
      <w:r w:rsidR="004506A8" w:rsidRPr="00AC7773">
        <w:t>Hanson, Henderson</w:t>
      </w:r>
      <w:r w:rsidR="004506A8">
        <w:t xml:space="preserve"> and</w:t>
      </w:r>
      <w:r w:rsidR="004506A8" w:rsidRPr="00AC7773">
        <w:t xml:space="preserve"> Adams</w:t>
      </w:r>
      <w:r w:rsidR="004506A8">
        <w:t xml:space="preserve">, </w:t>
      </w:r>
      <w:r w:rsidR="00126FDC" w:rsidRPr="0031502F">
        <w:t>2014).</w:t>
      </w:r>
    </w:p>
    <w:p w14:paraId="6F49E5A0" w14:textId="77777777" w:rsidR="00793DF2" w:rsidRDefault="00793DF2" w:rsidP="00DC3FAD">
      <w:pPr>
        <w:pStyle w:val="Bookbodytext"/>
        <w:rPr>
          <w:highlight w:val="yellow"/>
        </w:rPr>
      </w:pPr>
    </w:p>
    <w:p w14:paraId="1E023593" w14:textId="68FD0A3E" w:rsidR="00793DF2" w:rsidRDefault="00A114F0" w:rsidP="00DC3FAD">
      <w:pPr>
        <w:pStyle w:val="Bookbodytext"/>
        <w:rPr>
          <w:szCs w:val="32"/>
        </w:rPr>
      </w:pPr>
      <w:r w:rsidRPr="00793DF2">
        <w:t xml:space="preserve">In </w:t>
      </w:r>
      <w:r w:rsidR="004E6787" w:rsidRPr="00793DF2">
        <w:t xml:space="preserve">March </w:t>
      </w:r>
      <w:r w:rsidRPr="00793DF2">
        <w:t>20</w:t>
      </w:r>
      <w:r w:rsidR="00793DF2" w:rsidRPr="00793DF2">
        <w:t>20</w:t>
      </w:r>
      <w:r w:rsidR="004E6787" w:rsidRPr="00793DF2">
        <w:t xml:space="preserve"> </w:t>
      </w:r>
      <w:r w:rsidR="004736FE" w:rsidRPr="00793DF2">
        <w:t xml:space="preserve">there were </w:t>
      </w:r>
      <w:r w:rsidR="00793DF2" w:rsidRPr="00793DF2">
        <w:t>80,080</w:t>
      </w:r>
      <w:r w:rsidR="004E6787" w:rsidRPr="00793DF2">
        <w:t xml:space="preserve"> </w:t>
      </w:r>
      <w:r w:rsidRPr="00793DF2">
        <w:t xml:space="preserve">children recorded as </w:t>
      </w:r>
      <w:r w:rsidR="004E6787" w:rsidRPr="00793DF2">
        <w:t>being looked after</w:t>
      </w:r>
      <w:r w:rsidRPr="00793DF2">
        <w:t xml:space="preserve"> (</w:t>
      </w:r>
      <w:r w:rsidR="004E6787" w:rsidRPr="00793DF2">
        <w:t>Department of Education, 20</w:t>
      </w:r>
      <w:r w:rsidR="00793DF2" w:rsidRPr="00793DF2">
        <w:t>20</w:t>
      </w:r>
      <w:r w:rsidR="004506A8">
        <w:t>a</w:t>
      </w:r>
      <w:r w:rsidRPr="0031502F">
        <w:t>)</w:t>
      </w:r>
      <w:r w:rsidR="004E6787" w:rsidRPr="0031502F">
        <w:t xml:space="preserve">. </w:t>
      </w:r>
      <w:r w:rsidRPr="0031502F">
        <w:t xml:space="preserve"> </w:t>
      </w:r>
      <w:r w:rsidR="004E6787" w:rsidRPr="0031502F">
        <w:t xml:space="preserve">The statistical data available from the </w:t>
      </w:r>
      <w:r w:rsidR="008C6E6F" w:rsidRPr="0031502F">
        <w:t>D</w:t>
      </w:r>
      <w:r w:rsidR="00D80006">
        <w:t>f</w:t>
      </w:r>
      <w:r w:rsidR="008C6E6F" w:rsidRPr="0031502F">
        <w:t xml:space="preserve">E </w:t>
      </w:r>
      <w:r w:rsidR="004E6787" w:rsidRPr="0031502F">
        <w:t xml:space="preserve">has shown that year on year </w:t>
      </w:r>
      <w:r w:rsidR="004E6787" w:rsidRPr="0031502F">
        <w:lastRenderedPageBreak/>
        <w:t xml:space="preserve">the outcomes of young people in care are </w:t>
      </w:r>
      <w:r w:rsidR="00095631" w:rsidRPr="0031502F">
        <w:t>lower to</w:t>
      </w:r>
      <w:r w:rsidR="004E6787" w:rsidRPr="0031502F">
        <w:t xml:space="preserve"> that of other children their age</w:t>
      </w:r>
      <w:r w:rsidR="00095631" w:rsidRPr="0031502F">
        <w:t xml:space="preserve"> who are not looked after</w:t>
      </w:r>
      <w:r w:rsidR="00ED1F0B">
        <w:t xml:space="preserve"> (</w:t>
      </w:r>
      <w:r w:rsidR="00ED1F0B" w:rsidRPr="0031502F">
        <w:t>Department for Education, 2020</w:t>
      </w:r>
      <w:r w:rsidR="004506A8">
        <w:t>b</w:t>
      </w:r>
      <w:r w:rsidR="00ED1F0B">
        <w:t>)</w:t>
      </w:r>
      <w:r w:rsidR="00095631" w:rsidRPr="0031502F">
        <w:t>.</w:t>
      </w:r>
      <w:r w:rsidR="00ED1F0B">
        <w:t xml:space="preserve"> </w:t>
      </w:r>
      <w:r w:rsidR="003F6855" w:rsidRPr="0031502F">
        <w:t xml:space="preserve">One limit of this positivist approach is how the social contexts of these measured outcomes </w:t>
      </w:r>
      <w:r w:rsidR="001E0807">
        <w:t>are made invisible</w:t>
      </w:r>
      <w:r w:rsidR="001E0807" w:rsidRPr="0031502F">
        <w:t xml:space="preserve"> </w:t>
      </w:r>
      <w:r w:rsidR="003F6855" w:rsidRPr="0031502F">
        <w:t>(</w:t>
      </w:r>
      <w:proofErr w:type="spellStart"/>
      <w:r w:rsidR="003F6855" w:rsidRPr="0031502F">
        <w:t>Hugman</w:t>
      </w:r>
      <w:proofErr w:type="spellEnd"/>
      <w:r w:rsidR="003F6855" w:rsidRPr="0031502F">
        <w:t xml:space="preserve">, 2016; </w:t>
      </w:r>
      <w:proofErr w:type="spellStart"/>
      <w:r w:rsidR="004506A8">
        <w:t>Holligan</w:t>
      </w:r>
      <w:proofErr w:type="spellEnd"/>
      <w:r w:rsidR="004506A8">
        <w:t xml:space="preserve">, </w:t>
      </w:r>
      <w:r w:rsidR="004506A8" w:rsidRPr="00AC7773">
        <w:t>Hanson, Henderson</w:t>
      </w:r>
      <w:r w:rsidR="004506A8">
        <w:t xml:space="preserve"> and</w:t>
      </w:r>
      <w:r w:rsidR="004506A8" w:rsidRPr="00AC7773">
        <w:t xml:space="preserve"> Adams</w:t>
      </w:r>
      <w:r w:rsidR="004506A8">
        <w:t xml:space="preserve">, </w:t>
      </w:r>
      <w:r w:rsidR="003F6855" w:rsidRPr="0031502F">
        <w:t>2014). </w:t>
      </w:r>
      <w:r w:rsidR="005C07C6">
        <w:t xml:space="preserve">Indeed, </w:t>
      </w:r>
      <w:r w:rsidR="005C07C6">
        <w:rPr>
          <w:szCs w:val="32"/>
        </w:rPr>
        <w:t>w</w:t>
      </w:r>
      <w:r w:rsidR="005C07C6" w:rsidRPr="00437A77">
        <w:rPr>
          <w:szCs w:val="32"/>
        </w:rPr>
        <w:t>hilst the D</w:t>
      </w:r>
      <w:r w:rsidR="00D80006">
        <w:rPr>
          <w:szCs w:val="32"/>
        </w:rPr>
        <w:t>f</w:t>
      </w:r>
      <w:r w:rsidR="005C07C6" w:rsidRPr="00437A77">
        <w:rPr>
          <w:szCs w:val="32"/>
        </w:rPr>
        <w:t>E statistics suggest that only 6% of statutory care-leavers, aged 18-21, were in higher education (HE) (Harrison, 2017</w:t>
      </w:r>
      <w:r w:rsidR="001C023D">
        <w:rPr>
          <w:szCs w:val="32"/>
        </w:rPr>
        <w:t>)</w:t>
      </w:r>
      <w:r w:rsidR="005C07C6">
        <w:rPr>
          <w:szCs w:val="32"/>
        </w:rPr>
        <w:t>,</w:t>
      </w:r>
      <w:r w:rsidR="005C07C6" w:rsidRPr="00437A77">
        <w:rPr>
          <w:szCs w:val="32"/>
        </w:rPr>
        <w:t xml:space="preserve"> there is emerging research that indicates care-leavers do engage with HE after the age of 21 (Mallon, 2007; Harrison, 2017).</w:t>
      </w:r>
      <w:r w:rsidR="001C023D" w:rsidRPr="001C023D">
        <w:rPr>
          <w:szCs w:val="32"/>
        </w:rPr>
        <w:t xml:space="preserve"> </w:t>
      </w:r>
      <w:r w:rsidR="001C023D">
        <w:rPr>
          <w:szCs w:val="32"/>
        </w:rPr>
        <w:t>Most</w:t>
      </w:r>
      <w:r w:rsidR="001C023D" w:rsidRPr="00BC4264">
        <w:rPr>
          <w:szCs w:val="32"/>
        </w:rPr>
        <w:t xml:space="preserve"> research on </w:t>
      </w:r>
      <w:proofErr w:type="spellStart"/>
      <w:r w:rsidR="001C023D" w:rsidRPr="00BC4264">
        <w:rPr>
          <w:szCs w:val="32"/>
        </w:rPr>
        <w:t>CiC</w:t>
      </w:r>
      <w:proofErr w:type="spellEnd"/>
      <w:r w:rsidR="001C023D" w:rsidRPr="00BC4264">
        <w:rPr>
          <w:szCs w:val="32"/>
        </w:rPr>
        <w:t xml:space="preserve"> and care-leavers relies on sampling the under 25-year-old population</w:t>
      </w:r>
      <w:r w:rsidR="001C023D">
        <w:rPr>
          <w:szCs w:val="32"/>
        </w:rPr>
        <w:t>, this</w:t>
      </w:r>
      <w:r w:rsidR="001C023D" w:rsidRPr="00BC4264">
        <w:rPr>
          <w:szCs w:val="32"/>
        </w:rPr>
        <w:t xml:space="preserve"> limits the validity of </w:t>
      </w:r>
      <w:proofErr w:type="spellStart"/>
      <w:r w:rsidR="00032DF0" w:rsidRPr="00BC4264">
        <w:rPr>
          <w:szCs w:val="32"/>
        </w:rPr>
        <w:t>generali</w:t>
      </w:r>
      <w:r w:rsidR="00032DF0">
        <w:rPr>
          <w:szCs w:val="32"/>
        </w:rPr>
        <w:t>s</w:t>
      </w:r>
      <w:r w:rsidR="00032DF0" w:rsidRPr="00BC4264">
        <w:rPr>
          <w:szCs w:val="32"/>
        </w:rPr>
        <w:t>ing</w:t>
      </w:r>
      <w:proofErr w:type="spellEnd"/>
      <w:r w:rsidR="00032DF0" w:rsidRPr="00BC4264">
        <w:rPr>
          <w:szCs w:val="32"/>
        </w:rPr>
        <w:t xml:space="preserve"> </w:t>
      </w:r>
      <w:r w:rsidR="001C023D" w:rsidRPr="00BC4264">
        <w:rPr>
          <w:szCs w:val="32"/>
        </w:rPr>
        <w:t xml:space="preserve">poor outcomes in adulthood. </w:t>
      </w:r>
      <w:r w:rsidR="001C023D">
        <w:rPr>
          <w:szCs w:val="32"/>
        </w:rPr>
        <w:t>Although, t</w:t>
      </w:r>
      <w:r w:rsidR="001C023D" w:rsidRPr="00BC4264">
        <w:rPr>
          <w:szCs w:val="32"/>
        </w:rPr>
        <w:t>here is a growing body of work addressing this absence now (</w:t>
      </w:r>
      <w:r w:rsidR="001C023D" w:rsidRPr="00FB0B2E">
        <w:t>Brady</w:t>
      </w:r>
      <w:r w:rsidR="001C023D" w:rsidRPr="00AC52C9">
        <w:t xml:space="preserve"> and</w:t>
      </w:r>
      <w:r w:rsidR="001C023D" w:rsidRPr="00FB0B2E">
        <w:t xml:space="preserve"> Gilligan, 2018</w:t>
      </w:r>
      <w:r w:rsidR="00032DF0">
        <w:t>;</w:t>
      </w:r>
      <w:r w:rsidR="001C023D" w:rsidRPr="00AC52C9">
        <w:t xml:space="preserve"> Mallon, 2007; </w:t>
      </w:r>
      <w:proofErr w:type="spellStart"/>
      <w:r w:rsidR="001C023D" w:rsidRPr="00AC52C9">
        <w:t>Duncalf</w:t>
      </w:r>
      <w:proofErr w:type="spellEnd"/>
      <w:r w:rsidR="001C023D" w:rsidRPr="00AC52C9">
        <w:t>, 2010</w:t>
      </w:r>
      <w:r w:rsidR="001C023D">
        <w:t xml:space="preserve">; </w:t>
      </w:r>
      <w:proofErr w:type="spellStart"/>
      <w:r w:rsidR="001C023D">
        <w:t>Hugman</w:t>
      </w:r>
      <w:proofErr w:type="spellEnd"/>
      <w:r w:rsidR="001C023D">
        <w:t>, 2016</w:t>
      </w:r>
      <w:r w:rsidR="001C023D" w:rsidRPr="00BC4264">
        <w:rPr>
          <w:szCs w:val="32"/>
        </w:rPr>
        <w:t xml:space="preserve">). </w:t>
      </w:r>
    </w:p>
    <w:p w14:paraId="5F078193" w14:textId="77777777" w:rsidR="00793DF2" w:rsidRDefault="00793DF2" w:rsidP="00DC3FAD">
      <w:pPr>
        <w:pStyle w:val="Bookbodytext"/>
      </w:pPr>
    </w:p>
    <w:p w14:paraId="5444C24C" w14:textId="5744FC63" w:rsidR="00C3419C" w:rsidRDefault="00ED3769" w:rsidP="00DC3FAD">
      <w:pPr>
        <w:pStyle w:val="Bookbodytext"/>
      </w:pPr>
      <w:r>
        <w:t>Evidence about</w:t>
      </w:r>
      <w:r w:rsidR="005D280D">
        <w:t xml:space="preserve"> the </w:t>
      </w:r>
      <w:r w:rsidR="003A443B">
        <w:t>outcomes of</w:t>
      </w:r>
      <w:r w:rsidR="003B76CF">
        <w:t xml:space="preserve"> </w:t>
      </w:r>
      <w:r w:rsidR="003A443B">
        <w:t>adults who gr</w:t>
      </w:r>
      <w:r>
        <w:t>e</w:t>
      </w:r>
      <w:r w:rsidR="003A443B">
        <w:t>w up in care</w:t>
      </w:r>
      <w:r w:rsidR="00610B2B">
        <w:t xml:space="preserve"> </w:t>
      </w:r>
      <w:r w:rsidR="005D280D">
        <w:t xml:space="preserve">often emerges in research </w:t>
      </w:r>
      <w:r w:rsidR="00FF79B5">
        <w:t>with socially</w:t>
      </w:r>
      <w:r w:rsidR="005D280D">
        <w:t xml:space="preserve"> </w:t>
      </w:r>
      <w:r w:rsidR="00610B2B">
        <w:t xml:space="preserve">excluded groups. </w:t>
      </w:r>
      <w:r w:rsidR="00564CFA">
        <w:t xml:space="preserve">The research that I conducted addressed this limitation of previous research as it sampled the wider population of adults with care-experience. </w:t>
      </w:r>
      <w:r w:rsidR="00610B2B">
        <w:t>Murray (201</w:t>
      </w:r>
      <w:r w:rsidR="003B76CF">
        <w:t>0</w:t>
      </w:r>
      <w:r w:rsidR="00610B2B">
        <w:t>) found that there was an</w:t>
      </w:r>
      <w:r w:rsidR="002F4F64" w:rsidRPr="00BC4264">
        <w:t xml:space="preserve"> over-representation</w:t>
      </w:r>
      <w:r w:rsidR="00886FD8">
        <w:t xml:space="preserve"> of people who </w:t>
      </w:r>
      <w:r w:rsidR="00285FAF">
        <w:t>h</w:t>
      </w:r>
      <w:r w:rsidR="00886FD8">
        <w:t>ave experienced care</w:t>
      </w:r>
      <w:r w:rsidR="002F4F64" w:rsidRPr="00BC4264">
        <w:t xml:space="preserve"> in the prison population</w:t>
      </w:r>
      <w:r w:rsidR="00AF459A">
        <w:t>.</w:t>
      </w:r>
      <w:r w:rsidR="00AF459A" w:rsidRPr="00AF459A">
        <w:t xml:space="preserve"> </w:t>
      </w:r>
      <w:r w:rsidR="00AF459A" w:rsidRPr="00BC4264">
        <w:t xml:space="preserve">Although it is </w:t>
      </w:r>
      <w:r w:rsidR="00AF459A">
        <w:t>possible</w:t>
      </w:r>
      <w:r w:rsidR="00AF459A" w:rsidRPr="00BC4264">
        <w:t xml:space="preserve"> to presume determinism between care-experience and criminal</w:t>
      </w:r>
      <w:r w:rsidR="00CE2042">
        <w:t>ity</w:t>
      </w:r>
      <w:r w:rsidR="00AF459A" w:rsidRPr="00BC4264">
        <w:t xml:space="preserve"> this is </w:t>
      </w:r>
      <w:proofErr w:type="spellStart"/>
      <w:r w:rsidR="00AF459A" w:rsidRPr="00BC4264">
        <w:t>problemati</w:t>
      </w:r>
      <w:r w:rsidR="0008324E">
        <w:t>s</w:t>
      </w:r>
      <w:r w:rsidR="00AF459A" w:rsidRPr="00BC4264">
        <w:t>ed</w:t>
      </w:r>
      <w:proofErr w:type="spellEnd"/>
      <w:r w:rsidR="00AF459A" w:rsidRPr="00BC4264">
        <w:t xml:space="preserve"> by </w:t>
      </w:r>
      <w:r w:rsidR="009A09D0" w:rsidRPr="009A09D0">
        <w:t xml:space="preserve">Bullock and Hare (2006) </w:t>
      </w:r>
      <w:r w:rsidR="00AF459A" w:rsidRPr="009A09D0">
        <w:t xml:space="preserve">and </w:t>
      </w:r>
      <w:r w:rsidR="009A09D0">
        <w:t>Harrison (2019</w:t>
      </w:r>
      <w:r w:rsidR="00AF459A" w:rsidRPr="00BC4264">
        <w:t>).</w:t>
      </w:r>
      <w:r w:rsidR="00AF459A">
        <w:t xml:space="preserve"> People with care experience have also been identified as being overrepresented in </w:t>
      </w:r>
      <w:r w:rsidR="002F4F64" w:rsidRPr="00BC4264">
        <w:t xml:space="preserve">the homeless population (Harding et al., 2011) and the sex-worker population (Home Office, 2004; Coy, 2008). </w:t>
      </w:r>
      <w:r w:rsidR="00C73A72">
        <w:t>S</w:t>
      </w:r>
      <w:r w:rsidR="00886FD8">
        <w:t xml:space="preserve">uch evidence </w:t>
      </w:r>
      <w:r w:rsidR="00C73A72">
        <w:t xml:space="preserve">can </w:t>
      </w:r>
      <w:r w:rsidR="002F4F64" w:rsidRPr="00BC4264">
        <w:t>influence</w:t>
      </w:r>
      <w:r w:rsidR="00886FD8">
        <w:t xml:space="preserve"> wider</w:t>
      </w:r>
      <w:r w:rsidR="002F4F64" w:rsidRPr="00BC4264">
        <w:t xml:space="preserve"> public perceptions of </w:t>
      </w:r>
      <w:proofErr w:type="spellStart"/>
      <w:r w:rsidR="00F926BE">
        <w:t>CiC</w:t>
      </w:r>
      <w:proofErr w:type="spellEnd"/>
      <w:r w:rsidR="003F6855">
        <w:t xml:space="preserve"> and </w:t>
      </w:r>
      <w:r w:rsidR="00C73A72">
        <w:t xml:space="preserve">may contribute to </w:t>
      </w:r>
      <w:r w:rsidR="00F926BE">
        <w:t xml:space="preserve">the </w:t>
      </w:r>
      <w:r w:rsidR="003F6855">
        <w:t>discrimination th</w:t>
      </w:r>
      <w:r w:rsidR="00F926BE">
        <w:t xml:space="preserve">at </w:t>
      </w:r>
      <w:proofErr w:type="spellStart"/>
      <w:r w:rsidR="00D80006">
        <w:t>CiC</w:t>
      </w:r>
      <w:proofErr w:type="spellEnd"/>
      <w:r w:rsidR="00D80006">
        <w:t xml:space="preserve"> </w:t>
      </w:r>
      <w:r w:rsidR="003F6855">
        <w:t xml:space="preserve">experience </w:t>
      </w:r>
      <w:r w:rsidR="003F6855" w:rsidRPr="00BC4264">
        <w:t>(</w:t>
      </w:r>
      <w:r w:rsidR="003F6855" w:rsidRPr="004506A8">
        <w:t xml:space="preserve">Lindsay, 2010; </w:t>
      </w:r>
      <w:proofErr w:type="spellStart"/>
      <w:r w:rsidR="003F6855" w:rsidRPr="004506A8">
        <w:t>Ofsted</w:t>
      </w:r>
      <w:proofErr w:type="spellEnd"/>
      <w:r w:rsidR="003F6855" w:rsidRPr="004506A8">
        <w:t>, 2009</w:t>
      </w:r>
      <w:r w:rsidR="003F6855" w:rsidRPr="00BC4264">
        <w:t>)</w:t>
      </w:r>
      <w:r w:rsidR="003F6855">
        <w:t xml:space="preserve">. </w:t>
      </w:r>
    </w:p>
    <w:p w14:paraId="3A698355" w14:textId="77777777" w:rsidR="00C3419C" w:rsidRDefault="00C3419C" w:rsidP="00DC3FAD">
      <w:pPr>
        <w:pStyle w:val="Bookbodytext"/>
      </w:pPr>
    </w:p>
    <w:p w14:paraId="298DC215" w14:textId="03616DEF" w:rsidR="00C27258" w:rsidRDefault="00A65FD0" w:rsidP="00DC3FAD">
      <w:pPr>
        <w:pStyle w:val="Bookbodytext"/>
      </w:pPr>
      <w:r>
        <w:t xml:space="preserve">To </w:t>
      </w:r>
      <w:r w:rsidR="00C3419C">
        <w:t xml:space="preserve">understand </w:t>
      </w:r>
      <w:r w:rsidR="003B76CF">
        <w:t xml:space="preserve">these </w:t>
      </w:r>
      <w:r>
        <w:t>outcomes,</w:t>
      </w:r>
      <w:r w:rsidR="008565C0" w:rsidRPr="00BC4264">
        <w:t xml:space="preserve"> </w:t>
      </w:r>
      <w:r>
        <w:t xml:space="preserve">Goodyer identifies </w:t>
      </w:r>
      <w:r w:rsidR="00C73A72">
        <w:t xml:space="preserve">a </w:t>
      </w:r>
      <w:r>
        <w:t xml:space="preserve">reliance </w:t>
      </w:r>
      <w:r w:rsidR="008565C0" w:rsidRPr="00BC4264">
        <w:t xml:space="preserve">on psychological and/or </w:t>
      </w:r>
      <w:proofErr w:type="spellStart"/>
      <w:r w:rsidR="008565C0" w:rsidRPr="00BC4264">
        <w:t>individualised</w:t>
      </w:r>
      <w:proofErr w:type="spellEnd"/>
      <w:r w:rsidR="008565C0" w:rsidRPr="00BC4264">
        <w:t xml:space="preserve"> explanations (</w:t>
      </w:r>
      <w:r w:rsidR="00894852" w:rsidRPr="00D803A9">
        <w:t>2013</w:t>
      </w:r>
      <w:r w:rsidR="008565C0" w:rsidRPr="00BC4264">
        <w:t xml:space="preserve">). </w:t>
      </w:r>
      <w:r w:rsidR="001C023D">
        <w:t>F</w:t>
      </w:r>
      <w:r w:rsidR="00AF459A" w:rsidRPr="00BC4264">
        <w:t xml:space="preserve">rom a sociological perspective the </w:t>
      </w:r>
      <w:r w:rsidR="001C023D">
        <w:t xml:space="preserve">evidence above </w:t>
      </w:r>
      <w:r w:rsidR="00AF459A" w:rsidRPr="00BC4264">
        <w:t xml:space="preserve">suggests that approaching these statistics with a sociological imagination could aide </w:t>
      </w:r>
      <w:r w:rsidR="00AF459A" w:rsidRPr="00BC4264">
        <w:lastRenderedPageBreak/>
        <w:t>understandings of the complexity of these issues (</w:t>
      </w:r>
      <w:r w:rsidR="00894852">
        <w:t>Wright Mills</w:t>
      </w:r>
      <w:r w:rsidR="00AF459A" w:rsidRPr="00BC4264">
        <w:t>, 1959).</w:t>
      </w:r>
      <w:r w:rsidR="0031502F">
        <w:t xml:space="preserve"> </w:t>
      </w:r>
      <w:r w:rsidR="00C3419C">
        <w:t>T</w:t>
      </w:r>
      <w:r w:rsidR="00C3419C" w:rsidRPr="00BC4264">
        <w:t>herefore,</w:t>
      </w:r>
      <w:r w:rsidR="00F62BDB" w:rsidRPr="00BC4264">
        <w:t xml:space="preserve"> </w:t>
      </w:r>
      <w:r w:rsidR="001C023D">
        <w:t xml:space="preserve">it would be useful to </w:t>
      </w:r>
      <w:r w:rsidR="00084597" w:rsidRPr="00BC4264">
        <w:t>consider</w:t>
      </w:r>
      <w:r>
        <w:t xml:space="preserve"> </w:t>
      </w:r>
      <w:r w:rsidR="00F62BDB" w:rsidRPr="00BC4264">
        <w:t>the context</w:t>
      </w:r>
      <w:r>
        <w:t>s</w:t>
      </w:r>
      <w:r w:rsidR="00F62BDB" w:rsidRPr="00BC4264">
        <w:t xml:space="preserve"> in which outcomes occur</w:t>
      </w:r>
      <w:r w:rsidR="001E0807">
        <w:t xml:space="preserve"> and </w:t>
      </w:r>
      <w:r w:rsidR="001C023D">
        <w:t xml:space="preserve">consider </w:t>
      </w:r>
      <w:r w:rsidR="001E0807">
        <w:t>what</w:t>
      </w:r>
      <w:r w:rsidR="00F62BDB" w:rsidRPr="00BC4264">
        <w:t xml:space="preserve"> </w:t>
      </w:r>
      <w:r w:rsidR="00F5437F">
        <w:t>has been</w:t>
      </w:r>
      <w:r w:rsidR="00F62BDB" w:rsidRPr="00BC4264">
        <w:t xml:space="preserve"> made invisible by </w:t>
      </w:r>
      <w:r w:rsidR="001E0807">
        <w:t>“audit culture”</w:t>
      </w:r>
      <w:r w:rsidR="00D80006">
        <w:t>, such as attending HE as ‘mature’ students</w:t>
      </w:r>
      <w:r w:rsidR="00F62BDB" w:rsidRPr="00BC4264">
        <w:t xml:space="preserve">. </w:t>
      </w:r>
    </w:p>
    <w:p w14:paraId="76269644" w14:textId="77777777" w:rsidR="001C023D" w:rsidRDefault="001C023D" w:rsidP="00DC3FAD">
      <w:pPr>
        <w:pStyle w:val="Bookbodytext"/>
      </w:pPr>
    </w:p>
    <w:p w14:paraId="461E1CD5" w14:textId="6E82C9A8" w:rsidR="00FF79B5" w:rsidRDefault="00C27258" w:rsidP="00DC3FAD">
      <w:pPr>
        <w:pStyle w:val="Bookbodytext"/>
      </w:pPr>
      <w:r w:rsidRPr="003B4881">
        <w:t xml:space="preserve">This section has briefly introduced key ideas from sociology </w:t>
      </w:r>
      <w:r w:rsidR="003B76CF">
        <w:t xml:space="preserve">that highlight </w:t>
      </w:r>
      <w:r w:rsidRPr="003B4881">
        <w:t xml:space="preserve">the </w:t>
      </w:r>
      <w:r w:rsidR="003B76CF" w:rsidRPr="003B4881">
        <w:t>significance</w:t>
      </w:r>
      <w:r w:rsidRPr="003B4881">
        <w:t xml:space="preserve"> </w:t>
      </w:r>
      <w:r w:rsidR="00614994">
        <w:t xml:space="preserve">of </w:t>
      </w:r>
      <w:r w:rsidRPr="003B4881">
        <w:t>childhood</w:t>
      </w:r>
      <w:r w:rsidR="00614994">
        <w:t xml:space="preserve"> and families </w:t>
      </w:r>
      <w:r w:rsidR="003B76CF">
        <w:t>f</w:t>
      </w:r>
      <w:r w:rsidR="00614994">
        <w:t>o</w:t>
      </w:r>
      <w:r w:rsidR="003B76CF">
        <w:t>r</w:t>
      </w:r>
      <w:r w:rsidR="00614994">
        <w:t xml:space="preserve"> the state</w:t>
      </w:r>
      <w:r w:rsidRPr="003B4881">
        <w:t>. This is by</w:t>
      </w:r>
      <w:r w:rsidR="00CE2042" w:rsidRPr="003B4881">
        <w:t xml:space="preserve"> </w:t>
      </w:r>
      <w:r w:rsidRPr="003B4881">
        <w:t xml:space="preserve">no means an exhaustive </w:t>
      </w:r>
      <w:r w:rsidR="00032DF0" w:rsidRPr="003B4881">
        <w:t>account;</w:t>
      </w:r>
      <w:r w:rsidRPr="003B4881">
        <w:t xml:space="preserve"> however, it provide</w:t>
      </w:r>
      <w:r w:rsidR="00032DF0">
        <w:t>s</w:t>
      </w:r>
      <w:r w:rsidR="00CE2042" w:rsidRPr="003B4881">
        <w:t xml:space="preserve"> </w:t>
      </w:r>
      <w:r w:rsidRPr="003B4881">
        <w:t>a background of social and cultural norms about childhood. It is in this context that I discussed what is known</w:t>
      </w:r>
      <w:r w:rsidR="00D80006">
        <w:t xml:space="preserve"> and unknown</w:t>
      </w:r>
      <w:r w:rsidRPr="003B4881">
        <w:t xml:space="preserve"> about the outcomes of </w:t>
      </w:r>
      <w:proofErr w:type="spellStart"/>
      <w:r w:rsidR="00E91878" w:rsidRPr="003B4881">
        <w:t>CiC</w:t>
      </w:r>
      <w:proofErr w:type="spellEnd"/>
      <w:r w:rsidR="00E91878" w:rsidRPr="003B4881">
        <w:t xml:space="preserve"> and</w:t>
      </w:r>
      <w:r w:rsidRPr="003B4881">
        <w:t xml:space="preserve"> suggest that</w:t>
      </w:r>
      <w:r w:rsidR="00F00357" w:rsidRPr="003B4881">
        <w:t xml:space="preserve"> for many children their experiences prior to entering care are conceived as harmful and threatening their healthy development by professionals</w:t>
      </w:r>
      <w:r w:rsidR="00C3419C">
        <w:t xml:space="preserve"> and</w:t>
      </w:r>
      <w:r w:rsidR="00F00357" w:rsidRPr="003B4881">
        <w:t xml:space="preserve"> the wider public. </w:t>
      </w:r>
      <w:r w:rsidR="00F5437F">
        <w:t>I have suggested that sociological</w:t>
      </w:r>
      <w:r w:rsidR="00D80006">
        <w:t>ly</w:t>
      </w:r>
      <w:r w:rsidR="00F5437F">
        <w:t xml:space="preserve"> </w:t>
      </w:r>
      <w:r w:rsidR="00D80006">
        <w:t>informed</w:t>
      </w:r>
      <w:r w:rsidR="00F5437F">
        <w:t xml:space="preserve"> research </w:t>
      </w:r>
      <w:r w:rsidR="00D80006">
        <w:t xml:space="preserve">can </w:t>
      </w:r>
      <w:r w:rsidR="00614994">
        <w:t xml:space="preserve">ameliorate the analysis of </w:t>
      </w:r>
      <w:r w:rsidR="00F5437F">
        <w:t>this. Next, I introduce the theoretical framework which relies on Bourdieu’</w:t>
      </w:r>
      <w:r w:rsidR="001C023D">
        <w:t>s</w:t>
      </w:r>
      <w:r w:rsidR="00F5437F">
        <w:t xml:space="preserve"> interrelated concepts of doxa and misrecognition and a discussion on dominant narratives</w:t>
      </w:r>
      <w:r w:rsidR="0098436C">
        <w:t>.</w:t>
      </w:r>
    </w:p>
    <w:p w14:paraId="3143430E" w14:textId="77777777" w:rsidR="00FF79B5" w:rsidRDefault="00FF79B5" w:rsidP="00DC3FAD">
      <w:pPr>
        <w:pStyle w:val="Bookbodytext"/>
      </w:pPr>
    </w:p>
    <w:p w14:paraId="4A8DF294" w14:textId="2DCC757F" w:rsidR="00285FAF" w:rsidRPr="000933EE" w:rsidRDefault="00FF79B5" w:rsidP="00BB128C">
      <w:pPr>
        <w:pStyle w:val="BookLevel1"/>
        <w:jc w:val="both"/>
      </w:pPr>
      <w:r w:rsidRPr="000933EE">
        <w:t>Beyond individualisation: History, Knowledge and Dominant Narratives of Children in Care</w:t>
      </w:r>
    </w:p>
    <w:p w14:paraId="078D0ECD" w14:textId="3E7500F7" w:rsidR="00D44DCE" w:rsidRDefault="00D44DCE" w:rsidP="00DC3FAD">
      <w:pPr>
        <w:pStyle w:val="Bookbodytext"/>
        <w:rPr>
          <w:rFonts w:asciiTheme="minorHAnsi" w:hAnsiTheme="minorHAnsi"/>
          <w:szCs w:val="32"/>
        </w:rPr>
      </w:pPr>
      <w:r w:rsidRPr="00CF29CE">
        <w:t xml:space="preserve">At an individual level the stories people tell of their lives are used to reflexively negotiate their social identities (Giddens, 1991; </w:t>
      </w:r>
      <w:proofErr w:type="spellStart"/>
      <w:r w:rsidRPr="00CF29CE">
        <w:t>Bano</w:t>
      </w:r>
      <w:proofErr w:type="spellEnd"/>
      <w:r w:rsidRPr="00CF29CE">
        <w:t xml:space="preserve"> and Pierce, 2013). These stories are influenced by dominant narratives circulating in social and cultural spaces (Plummer, 2002; Bamberg, 2004; Andrews, 2004; </w:t>
      </w:r>
      <w:proofErr w:type="spellStart"/>
      <w:r w:rsidRPr="00CF29CE">
        <w:t>Woodiwiss</w:t>
      </w:r>
      <w:proofErr w:type="spellEnd"/>
      <w:r w:rsidRPr="00CF29CE">
        <w:t xml:space="preserve">, 2014). It is important to note that people are not defined by dominant narratives, rather dominant narratives are cultural and political resources to be negotiated in stories people tell about themselves and others. </w:t>
      </w:r>
      <w:r w:rsidR="00CF29CE" w:rsidRPr="00CF29CE">
        <w:t xml:space="preserve">Dominant narratives are political and can be </w:t>
      </w:r>
      <w:proofErr w:type="spellStart"/>
      <w:r w:rsidR="00CF29CE" w:rsidRPr="00CF29CE">
        <w:t>mobili</w:t>
      </w:r>
      <w:r w:rsidR="0008324E">
        <w:t>s</w:t>
      </w:r>
      <w:r w:rsidR="00CF29CE" w:rsidRPr="00CF29CE">
        <w:t>ed</w:t>
      </w:r>
      <w:proofErr w:type="spellEnd"/>
      <w:r w:rsidR="00C27FEF">
        <w:t xml:space="preserve"> </w:t>
      </w:r>
      <w:r w:rsidR="00CF29CE" w:rsidRPr="00CF29CE">
        <w:t xml:space="preserve">by claim making groups (Plummer, 2002) </w:t>
      </w:r>
      <w:proofErr w:type="gramStart"/>
      <w:r w:rsidR="00CF29CE" w:rsidRPr="00CF29CE">
        <w:t>e.g.</w:t>
      </w:r>
      <w:proofErr w:type="gramEnd"/>
      <w:r w:rsidR="00CF29CE" w:rsidRPr="00CF29CE">
        <w:t xml:space="preserve"> domestic violence as being perpetrated by men and the growth of Women’s Aid. At the same time dominant narratives can make other stories about experiences less acceptable (</w:t>
      </w:r>
      <w:proofErr w:type="spellStart"/>
      <w:r w:rsidR="00CF29CE" w:rsidRPr="00CF29CE">
        <w:t>Woodiwiss</w:t>
      </w:r>
      <w:proofErr w:type="spellEnd"/>
      <w:r w:rsidR="00CF29CE" w:rsidRPr="00CF29CE">
        <w:t xml:space="preserve">, 2009).  </w:t>
      </w:r>
      <w:r w:rsidR="00DD004B" w:rsidRPr="00CF29CE">
        <w:lastRenderedPageBreak/>
        <w:t xml:space="preserve">Central to this </w:t>
      </w:r>
      <w:r w:rsidR="0008324E">
        <w:t>work</w:t>
      </w:r>
      <w:r w:rsidR="0008324E" w:rsidRPr="00CF29CE">
        <w:t xml:space="preserve"> </w:t>
      </w:r>
      <w:r w:rsidR="00DD004B" w:rsidRPr="00CF29CE">
        <w:t>is the contention that dominant narratives rely on doxa, common sense understandings, subsequently shaping the stories that people tell of their lives, and the stories people feel able to tell of their lives. T</w:t>
      </w:r>
      <w:r w:rsidRPr="00CF29CE">
        <w:t xml:space="preserve">his contrasts with the writing of Giddens </w:t>
      </w:r>
      <w:r w:rsidR="000A55D5" w:rsidRPr="00CF29CE">
        <w:t xml:space="preserve">(1991) </w:t>
      </w:r>
      <w:r w:rsidRPr="00CF29CE">
        <w:t xml:space="preserve">on the identity constituting stories of self that have </w:t>
      </w:r>
      <w:proofErr w:type="spellStart"/>
      <w:r w:rsidRPr="00CF29CE">
        <w:t>characteri</w:t>
      </w:r>
      <w:r w:rsidR="0008324E">
        <w:t>s</w:t>
      </w:r>
      <w:r w:rsidRPr="00CF29CE">
        <w:t>ed</w:t>
      </w:r>
      <w:proofErr w:type="spellEnd"/>
      <w:r w:rsidRPr="00CF29CE">
        <w:t xml:space="preserve"> late modernity: choice biographies.</w:t>
      </w:r>
      <w:r>
        <w:rPr>
          <w:rFonts w:asciiTheme="minorHAnsi" w:hAnsiTheme="minorHAnsi"/>
          <w:szCs w:val="32"/>
        </w:rPr>
        <w:t xml:space="preserve"> </w:t>
      </w:r>
    </w:p>
    <w:p w14:paraId="44685598" w14:textId="77777777" w:rsidR="00131340" w:rsidRPr="00285FAF" w:rsidRDefault="00131340" w:rsidP="00DC3FAD">
      <w:pPr>
        <w:pStyle w:val="Bookbodytext"/>
      </w:pPr>
    </w:p>
    <w:p w14:paraId="5AF9A097" w14:textId="616E937C" w:rsidR="00610B2B" w:rsidRDefault="0060035E" w:rsidP="00BB128C">
      <w:pPr>
        <w:pStyle w:val="BookLevel2"/>
        <w:jc w:val="both"/>
      </w:pPr>
      <w:r w:rsidRPr="007332C8">
        <w:rPr>
          <w:lang w:val="en-US"/>
        </w:rPr>
        <w:t xml:space="preserve">Using </w:t>
      </w:r>
      <w:r w:rsidR="00141008" w:rsidRPr="007332C8">
        <w:rPr>
          <w:lang w:val="en-US"/>
        </w:rPr>
        <w:t xml:space="preserve">Bourdieusian </w:t>
      </w:r>
      <w:r w:rsidRPr="007332C8">
        <w:rPr>
          <w:lang w:val="en-US"/>
        </w:rPr>
        <w:t>concepts to dig deeper into personal stories</w:t>
      </w:r>
    </w:p>
    <w:p w14:paraId="0EFE1492" w14:textId="2302D4E0" w:rsidR="0060035E" w:rsidRDefault="00003829" w:rsidP="00DC3FAD">
      <w:pPr>
        <w:pStyle w:val="Bookbodytext"/>
      </w:pPr>
      <w:r w:rsidRPr="00131340">
        <w:t xml:space="preserve">Here </w:t>
      </w:r>
      <w:r>
        <w:t xml:space="preserve">I explain the relevance of </w:t>
      </w:r>
      <w:r w:rsidRPr="00131340">
        <w:t>Bourdieu’s concept of doxa and the interrelated concepts of symbolic power, symbolic violence and misrecognition</w:t>
      </w:r>
      <w:r w:rsidR="00010B5C" w:rsidRPr="00131340">
        <w:t xml:space="preserve">. Later these concepts will be used to critically consider the way that wider social forces were involved in the narrative construction of self. </w:t>
      </w:r>
      <w:r w:rsidR="00141008" w:rsidRPr="00131340">
        <w:t xml:space="preserve">Bourdieu’s work helps to dig deeper into the social norms and values in society about childhood and families and how they can provide a broader </w:t>
      </w:r>
      <w:proofErr w:type="spellStart"/>
      <w:r w:rsidR="00141008" w:rsidRPr="00131340">
        <w:t>contextualisation</w:t>
      </w:r>
      <w:proofErr w:type="spellEnd"/>
      <w:r w:rsidR="00141008" w:rsidRPr="00131340">
        <w:t xml:space="preserve"> of these as social phenomena. </w:t>
      </w:r>
    </w:p>
    <w:p w14:paraId="54EF8444" w14:textId="77777777" w:rsidR="00131340" w:rsidRPr="00131340" w:rsidRDefault="00131340" w:rsidP="00DC3FAD">
      <w:pPr>
        <w:pStyle w:val="Bookbodytext"/>
      </w:pPr>
    </w:p>
    <w:p w14:paraId="1C428174" w14:textId="29B2D33B" w:rsidR="001E15E6" w:rsidRPr="00131340" w:rsidRDefault="001E03EE" w:rsidP="00DC3FAD">
      <w:pPr>
        <w:pStyle w:val="Bookbodytext"/>
      </w:pPr>
      <w:r w:rsidRPr="00131340">
        <w:t>To understand the way in which knowledge is produced, valued and circulated, becoming a dominant narrative, Bourdieu’s concept of doxa is helpful. Doxa can be understood as taken for granted, uncontested ways of understanding the world (Bourdieu and Eagleton</w:t>
      </w:r>
      <w:r w:rsidR="00C171E2">
        <w:t>,</w:t>
      </w:r>
      <w:r w:rsidRPr="00131340">
        <w:t xml:space="preserve"> 1991). Doxa is very much a </w:t>
      </w:r>
      <w:r w:rsidR="00032DF0" w:rsidRPr="00131340">
        <w:t>social and political phenomenon</w:t>
      </w:r>
      <w:r w:rsidRPr="00131340">
        <w:t xml:space="preserve"> and its effectiveness at not being challenged or disrupted results from unequal power relations</w:t>
      </w:r>
      <w:r w:rsidR="009F1170" w:rsidRPr="00131340">
        <w:t xml:space="preserve">.  Examples of relevant </w:t>
      </w:r>
      <w:proofErr w:type="spellStart"/>
      <w:r w:rsidR="009F1170" w:rsidRPr="00131340">
        <w:t>naturalised</w:t>
      </w:r>
      <w:proofErr w:type="spellEnd"/>
      <w:r w:rsidR="009F1170" w:rsidRPr="00131340">
        <w:t xml:space="preserve"> knowledge/s </w:t>
      </w:r>
      <w:proofErr w:type="gramStart"/>
      <w:r w:rsidR="009F1170" w:rsidRPr="00131340">
        <w:t>include:</w:t>
      </w:r>
      <w:proofErr w:type="gramEnd"/>
      <w:r w:rsidR="009F1170" w:rsidRPr="00131340">
        <w:t xml:space="preserve"> children as passive, children in care and youth are a threat, </w:t>
      </w:r>
      <w:proofErr w:type="spellStart"/>
      <w:r w:rsidR="009F1170" w:rsidRPr="00131340">
        <w:t>psychologi</w:t>
      </w:r>
      <w:r w:rsidR="00FB4354" w:rsidRPr="00131340">
        <w:t>s</w:t>
      </w:r>
      <w:r w:rsidR="009F1170" w:rsidRPr="00131340">
        <w:t>ation</w:t>
      </w:r>
      <w:proofErr w:type="spellEnd"/>
      <w:r w:rsidR="009F1170" w:rsidRPr="00131340">
        <w:t xml:space="preserve"> of child development, </w:t>
      </w:r>
      <w:proofErr w:type="spellStart"/>
      <w:r w:rsidR="009F1170" w:rsidRPr="00131340">
        <w:t>CiC</w:t>
      </w:r>
      <w:proofErr w:type="spellEnd"/>
      <w:r w:rsidR="009F1170" w:rsidRPr="00131340">
        <w:t xml:space="preserve"> as having poor outcomes and the </w:t>
      </w:r>
      <w:proofErr w:type="spellStart"/>
      <w:r w:rsidR="009F1170" w:rsidRPr="00131340">
        <w:t>problemati</w:t>
      </w:r>
      <w:r w:rsidR="000E7244">
        <w:t>s</w:t>
      </w:r>
      <w:r w:rsidR="009F1170" w:rsidRPr="00131340">
        <w:t>ation</w:t>
      </w:r>
      <w:proofErr w:type="spellEnd"/>
      <w:r w:rsidR="009F1170" w:rsidRPr="00131340">
        <w:t xml:space="preserve"> of non-normative family experiences as inherently damaging.</w:t>
      </w:r>
      <w:r w:rsidR="009325AE" w:rsidRPr="00131340">
        <w:t xml:space="preserve"> </w:t>
      </w:r>
      <w:r w:rsidRPr="00131340">
        <w:t xml:space="preserve">Doxa is a conceptual tool in Bourdieu’s theoretical understanding of how misrecognition is produced. </w:t>
      </w:r>
      <w:r w:rsidR="00505A05" w:rsidRPr="00131340">
        <w:t xml:space="preserve">Misrecognition refers to the way that wider social factors are not </w:t>
      </w:r>
      <w:proofErr w:type="spellStart"/>
      <w:r w:rsidR="00505A05" w:rsidRPr="00131340">
        <w:t>recogni</w:t>
      </w:r>
      <w:r w:rsidR="0008324E">
        <w:t>s</w:t>
      </w:r>
      <w:r w:rsidR="00505A05" w:rsidRPr="00131340">
        <w:t>ed</w:t>
      </w:r>
      <w:proofErr w:type="spellEnd"/>
      <w:r w:rsidR="00505A05" w:rsidRPr="00131340">
        <w:t xml:space="preserve"> in the way that some particular cultures, lifestyles and values are associated with status and dominant forms of social, economic, cultural and symbolic capital, whereas others are deemed problematic </w:t>
      </w:r>
      <w:r w:rsidR="00505A05" w:rsidRPr="00131340">
        <w:lastRenderedPageBreak/>
        <w:t xml:space="preserve">and are unable to access to the same extent these dominant capitals. </w:t>
      </w:r>
      <w:r w:rsidR="009325AE" w:rsidRPr="00131340">
        <w:t xml:space="preserve">Doxa provides logic that </w:t>
      </w:r>
      <w:proofErr w:type="spellStart"/>
      <w:r w:rsidR="009325AE" w:rsidRPr="00131340">
        <w:t>naturalises</w:t>
      </w:r>
      <w:proofErr w:type="spellEnd"/>
      <w:r w:rsidR="009325AE" w:rsidRPr="00131340">
        <w:t xml:space="preserve"> misrecognition, </w:t>
      </w:r>
      <w:r w:rsidR="000E7244">
        <w:t xml:space="preserve">the concept of symbolic power is also introduced here, </w:t>
      </w:r>
      <w:r w:rsidR="00505A05" w:rsidRPr="00131340">
        <w:t xml:space="preserve">Bourdieu and </w:t>
      </w:r>
      <w:proofErr w:type="spellStart"/>
      <w:r w:rsidR="00505A05" w:rsidRPr="00131340">
        <w:t>Passeron</w:t>
      </w:r>
      <w:proofErr w:type="spellEnd"/>
      <w:r w:rsidR="00505A05" w:rsidRPr="00131340">
        <w:t xml:space="preserve"> illustrated this in their study of education (1990). </w:t>
      </w:r>
    </w:p>
    <w:p w14:paraId="72F8353D" w14:textId="77777777" w:rsidR="00505A05" w:rsidRPr="00564CFA" w:rsidRDefault="00505A05" w:rsidP="00DC3FAD">
      <w:pPr>
        <w:pStyle w:val="Bookbodytext"/>
      </w:pPr>
    </w:p>
    <w:p w14:paraId="626CBD88" w14:textId="13F86379" w:rsidR="00926BC4" w:rsidRPr="00131340" w:rsidRDefault="000E7244" w:rsidP="00DC3FAD">
      <w:pPr>
        <w:pStyle w:val="Bookbodytext"/>
      </w:pPr>
      <w:r>
        <w:t xml:space="preserve">Symbolic power </w:t>
      </w:r>
      <w:r w:rsidR="00010B5C">
        <w:t>refers to legitimated authority which enables a person</w:t>
      </w:r>
      <w:r w:rsidR="00505A05" w:rsidRPr="00131340">
        <w:t xml:space="preserve"> to name</w:t>
      </w:r>
      <w:r w:rsidR="00010B5C">
        <w:t>, this</w:t>
      </w:r>
      <w:r w:rsidR="00505A05" w:rsidRPr="00131340">
        <w:t xml:space="preserve"> </w:t>
      </w:r>
      <w:r w:rsidR="00010B5C">
        <w:t xml:space="preserve">leads to </w:t>
      </w:r>
      <w:r w:rsidR="003B496A">
        <w:t>symbolic</w:t>
      </w:r>
      <w:r w:rsidR="0008324E">
        <w:t xml:space="preserve"> </w:t>
      </w:r>
      <w:r w:rsidR="00010B5C">
        <w:t xml:space="preserve">violence where the </w:t>
      </w:r>
      <w:r w:rsidR="00505A05" w:rsidRPr="00131340">
        <w:t xml:space="preserve">individuals and groups to whom this is applied </w:t>
      </w:r>
      <w:r w:rsidR="00010B5C">
        <w:t>are negatively affected</w:t>
      </w:r>
      <w:r w:rsidR="00E96260" w:rsidRPr="00131340">
        <w:t xml:space="preserve"> (Bourdieu and </w:t>
      </w:r>
      <w:proofErr w:type="spellStart"/>
      <w:r w:rsidR="00E96260" w:rsidRPr="00131340">
        <w:t>Passeron</w:t>
      </w:r>
      <w:proofErr w:type="spellEnd"/>
      <w:r w:rsidR="00E96260" w:rsidRPr="00131340">
        <w:t>, 1990)</w:t>
      </w:r>
      <w:r w:rsidR="00505A05" w:rsidRPr="00131340">
        <w:t>. This violence</w:t>
      </w:r>
      <w:r w:rsidR="001E15E6" w:rsidRPr="00131340">
        <w:t xml:space="preserve"> can</w:t>
      </w:r>
      <w:r w:rsidR="00505A05" w:rsidRPr="00131340">
        <w:t xml:space="preserve"> be non-physical and works to benefit hegemonic interests. </w:t>
      </w:r>
      <w:r w:rsidR="00954DC1" w:rsidRPr="00131340">
        <w:t>Foster and Spencer’s (</w:t>
      </w:r>
      <w:r w:rsidR="00793DF2">
        <w:t>2010</w:t>
      </w:r>
      <w:r w:rsidR="00954DC1" w:rsidRPr="00131340">
        <w:t>)</w:t>
      </w:r>
      <w:r w:rsidR="0072556A" w:rsidRPr="00131340">
        <w:t xml:space="preserve"> </w:t>
      </w:r>
      <w:r w:rsidR="00954DC1" w:rsidRPr="00131340">
        <w:t xml:space="preserve">research with young people ascribed the label ‘at risk’, </w:t>
      </w:r>
      <w:r w:rsidR="0072556A" w:rsidRPr="00131340">
        <w:t xml:space="preserve">discuss how the ascription of the label at risk is an exemplar of symbolic </w:t>
      </w:r>
      <w:r w:rsidR="009E0679" w:rsidRPr="00131340">
        <w:t>power</w:t>
      </w:r>
      <w:r w:rsidR="0072556A" w:rsidRPr="00131340">
        <w:t>.</w:t>
      </w:r>
      <w:r w:rsidR="009E0679" w:rsidRPr="00131340">
        <w:t xml:space="preserve"> </w:t>
      </w:r>
      <w:r w:rsidR="00BE4506" w:rsidRPr="00131340">
        <w:t>The effect of this can be</w:t>
      </w:r>
      <w:r w:rsidR="009E0679" w:rsidRPr="00131340">
        <w:t xml:space="preserve"> symbolic violence</w:t>
      </w:r>
      <w:r w:rsidR="00BE4506" w:rsidRPr="00131340">
        <w:t xml:space="preserve">, Foster and Spencer </w:t>
      </w:r>
      <w:r w:rsidR="00E96260" w:rsidRPr="00131340">
        <w:t xml:space="preserve">discuss how in their research </w:t>
      </w:r>
      <w:r w:rsidR="00062371" w:rsidRPr="00131340">
        <w:t>this is evident as the young people were removed the</w:t>
      </w:r>
      <w:r w:rsidR="00131340">
        <w:t xml:space="preserve"> </w:t>
      </w:r>
      <w:r w:rsidR="00062371" w:rsidRPr="00131340">
        <w:t xml:space="preserve">subject from their own subjective identity, replacing it with one </w:t>
      </w:r>
      <w:r w:rsidR="009325AE" w:rsidRPr="00131340">
        <w:t xml:space="preserve">produced and </w:t>
      </w:r>
      <w:r w:rsidR="00062371" w:rsidRPr="00131340">
        <w:t>legitimated through symbolic</w:t>
      </w:r>
      <w:r w:rsidR="009325AE" w:rsidRPr="00131340">
        <w:t xml:space="preserve"> </w:t>
      </w:r>
      <w:r w:rsidR="00062371" w:rsidRPr="00131340">
        <w:t xml:space="preserve">power. </w:t>
      </w:r>
      <w:r w:rsidR="0072556A" w:rsidRPr="00131340">
        <w:t xml:space="preserve">This </w:t>
      </w:r>
      <w:proofErr w:type="spellStart"/>
      <w:r w:rsidR="0072556A" w:rsidRPr="00131340">
        <w:t>categori</w:t>
      </w:r>
      <w:r w:rsidR="0008324E">
        <w:t>s</w:t>
      </w:r>
      <w:r w:rsidR="0072556A" w:rsidRPr="00131340">
        <w:t>ation</w:t>
      </w:r>
      <w:proofErr w:type="spellEnd"/>
      <w:r w:rsidR="00EC2653">
        <w:t xml:space="preserve"> </w:t>
      </w:r>
      <w:r w:rsidR="0072556A" w:rsidRPr="00131340">
        <w:t xml:space="preserve">is similar </w:t>
      </w:r>
      <w:r w:rsidR="00062371" w:rsidRPr="00131340">
        <w:t>for</w:t>
      </w:r>
      <w:r w:rsidR="0072556A" w:rsidRPr="00131340">
        <w:t xml:space="preserve"> </w:t>
      </w:r>
      <w:proofErr w:type="spellStart"/>
      <w:r w:rsidR="0072556A" w:rsidRPr="00131340">
        <w:t>CiC</w:t>
      </w:r>
      <w:proofErr w:type="spellEnd"/>
      <w:r w:rsidR="00062371" w:rsidRPr="00131340">
        <w:t xml:space="preserve"> </w:t>
      </w:r>
      <w:r w:rsidR="0072556A" w:rsidRPr="00131340">
        <w:t>indeed the use of child in care is a move away from the statutory label given to them</w:t>
      </w:r>
      <w:r w:rsidR="00062371" w:rsidRPr="00131340">
        <w:t xml:space="preserve"> (symbolic power)</w:t>
      </w:r>
      <w:r w:rsidR="0072556A" w:rsidRPr="00131340">
        <w:t xml:space="preserve">, they become </w:t>
      </w:r>
      <w:r w:rsidR="00793DF2">
        <w:t>‘</w:t>
      </w:r>
      <w:r w:rsidR="0072556A" w:rsidRPr="00131340">
        <w:t>looked after</w:t>
      </w:r>
      <w:r w:rsidR="00793DF2">
        <w:t>’</w:t>
      </w:r>
      <w:r w:rsidR="0072556A" w:rsidRPr="00131340">
        <w:t xml:space="preserve"> children</w:t>
      </w:r>
      <w:r w:rsidR="009E0679" w:rsidRPr="00131340">
        <w:t>, the shorthand acronym used is LAC</w:t>
      </w:r>
      <w:r w:rsidR="00BE4506" w:rsidRPr="00131340">
        <w:rPr>
          <w:rStyle w:val="EndnoteReference"/>
        </w:rPr>
        <w:endnoteReference w:id="1"/>
      </w:r>
      <w:r w:rsidR="009E0679" w:rsidRPr="00131340">
        <w:t xml:space="preserve">. </w:t>
      </w:r>
      <w:r w:rsidR="00505A05" w:rsidRPr="00010B5C">
        <w:t>S</w:t>
      </w:r>
      <w:r w:rsidR="00D87CE0" w:rsidRPr="00010B5C">
        <w:t>amuels</w:t>
      </w:r>
      <w:r w:rsidR="00505A05" w:rsidRPr="00402D1E">
        <w:t xml:space="preserve"> (</w:t>
      </w:r>
      <w:r w:rsidR="00062371" w:rsidRPr="00402D1E">
        <w:t>2013)</w:t>
      </w:r>
      <w:r w:rsidR="00505A05" w:rsidRPr="00402D1E">
        <w:t xml:space="preserve"> </w:t>
      </w:r>
      <w:r w:rsidR="00062371" w:rsidRPr="00402D1E">
        <w:t>explains in his work how</w:t>
      </w:r>
      <w:r w:rsidR="00505A05" w:rsidRPr="00402D1E">
        <w:t xml:space="preserve"> symbolic </w:t>
      </w:r>
      <w:r w:rsidRPr="00402D1E">
        <w:t>power</w:t>
      </w:r>
      <w:r w:rsidR="00505A05" w:rsidRPr="00402D1E">
        <w:t xml:space="preserve"> </w:t>
      </w:r>
      <w:r w:rsidR="00062371" w:rsidRPr="00402D1E">
        <w:t xml:space="preserve">leads to symbolic violence, where negative portrayals of the </w:t>
      </w:r>
      <w:r w:rsidR="00EC2653" w:rsidRPr="00402D1E">
        <w:t>self-shape</w:t>
      </w:r>
      <w:r w:rsidR="00062371" w:rsidRPr="00402D1E">
        <w:t xml:space="preserve"> people’s emotions (this includes social feelings such as shame, blame and guilt)</w:t>
      </w:r>
      <w:r w:rsidR="00062371" w:rsidRPr="00131340">
        <w:t xml:space="preserve"> and the resources available to them, in this way highlighting the affective and effective nature of social relations. </w:t>
      </w:r>
      <w:r w:rsidR="00D00FC6" w:rsidRPr="00131340">
        <w:t xml:space="preserve">This supports Reay’s (2015) </w:t>
      </w:r>
      <w:r w:rsidR="00062371" w:rsidRPr="00131340">
        <w:t>argument</w:t>
      </w:r>
      <w:r w:rsidR="00D00FC6" w:rsidRPr="00131340">
        <w:t xml:space="preserve"> that Bourdieu’s work has the potential to offer psychosocial insights into inequalities, augmenting the divide between individual subjectivity and social structure. </w:t>
      </w:r>
      <w:r w:rsidR="00062371" w:rsidRPr="00131340">
        <w:t xml:space="preserve">Hence, for sociologists of the family </w:t>
      </w:r>
      <w:r w:rsidR="00926BC4" w:rsidRPr="00131340">
        <w:t xml:space="preserve">symbolic violence can help to </w:t>
      </w:r>
      <w:proofErr w:type="spellStart"/>
      <w:r w:rsidR="00062371" w:rsidRPr="00131340">
        <w:t>theorise</w:t>
      </w:r>
      <w:proofErr w:type="spellEnd"/>
      <w:r w:rsidR="00062371" w:rsidRPr="00131340">
        <w:t xml:space="preserve"> </w:t>
      </w:r>
      <w:r w:rsidR="00926BC4" w:rsidRPr="00131340">
        <w:t xml:space="preserve">the affective dimensions of </w:t>
      </w:r>
      <w:r w:rsidR="00062371" w:rsidRPr="00131340">
        <w:t xml:space="preserve">difficult family </w:t>
      </w:r>
      <w:r w:rsidR="00926BC4" w:rsidRPr="00131340">
        <w:t xml:space="preserve">experiences, </w:t>
      </w:r>
      <w:r w:rsidR="00062371" w:rsidRPr="00131340">
        <w:t xml:space="preserve">including </w:t>
      </w:r>
      <w:r w:rsidR="00926BC4" w:rsidRPr="00131340">
        <w:t>the pain which can arise from</w:t>
      </w:r>
      <w:r w:rsidR="00BE4506" w:rsidRPr="00131340">
        <w:t xml:space="preserve"> </w:t>
      </w:r>
      <w:r w:rsidR="00926BC4" w:rsidRPr="00131340">
        <w:t>the dissonance between the family with which we live and the ideal family we</w:t>
      </w:r>
      <w:r w:rsidR="00BE4506" w:rsidRPr="00131340">
        <w:t xml:space="preserve"> </w:t>
      </w:r>
      <w:r w:rsidR="00926BC4" w:rsidRPr="00131340">
        <w:t>measure it against.</w:t>
      </w:r>
    </w:p>
    <w:p w14:paraId="43EB1674" w14:textId="6627B4F4" w:rsidR="00FB4354" w:rsidRPr="00131340" w:rsidRDefault="00FB4354" w:rsidP="00DC3FAD">
      <w:pPr>
        <w:pStyle w:val="Bookbodytext"/>
      </w:pPr>
    </w:p>
    <w:p w14:paraId="71A7BAB3" w14:textId="3F8DCF67" w:rsidR="009325AE" w:rsidRPr="00131340" w:rsidRDefault="009325AE" w:rsidP="00DC3FAD">
      <w:pPr>
        <w:pStyle w:val="Bookbodytext"/>
      </w:pPr>
      <w:r w:rsidRPr="00131340">
        <w:lastRenderedPageBreak/>
        <w:t>The concepts</w:t>
      </w:r>
      <w:r w:rsidR="007332C8" w:rsidRPr="00131340">
        <w:t xml:space="preserve"> </w:t>
      </w:r>
      <w:r w:rsidRPr="00131340">
        <w:t>of doxa, misre</w:t>
      </w:r>
      <w:r w:rsidR="007332C8" w:rsidRPr="00131340">
        <w:t>c</w:t>
      </w:r>
      <w:r w:rsidRPr="00131340">
        <w:t>og</w:t>
      </w:r>
      <w:r w:rsidR="007332C8" w:rsidRPr="00131340">
        <w:t>n</w:t>
      </w:r>
      <w:r w:rsidRPr="00131340">
        <w:t>it</w:t>
      </w:r>
      <w:r w:rsidR="007332C8" w:rsidRPr="00131340">
        <w:t>i</w:t>
      </w:r>
      <w:r w:rsidRPr="00131340">
        <w:t xml:space="preserve">on, </w:t>
      </w:r>
      <w:r w:rsidR="007332C8" w:rsidRPr="00131340">
        <w:t>symbolic</w:t>
      </w:r>
      <w:r w:rsidRPr="00131340">
        <w:t xml:space="preserve"> power and </w:t>
      </w:r>
      <w:r w:rsidR="007332C8" w:rsidRPr="00131340">
        <w:t>symbolic</w:t>
      </w:r>
      <w:r w:rsidRPr="00131340">
        <w:t xml:space="preserve"> violence have been introduced here to provide the reader with insight into the concepts that have been used to critically approach the life story data</w:t>
      </w:r>
      <w:r w:rsidR="00131340">
        <w:t xml:space="preserve"> discussed later</w:t>
      </w:r>
      <w:r w:rsidRPr="00131340">
        <w:t xml:space="preserve">. </w:t>
      </w:r>
      <w:r w:rsidR="00CF29CE">
        <w:t>Where</w:t>
      </w:r>
      <w:r w:rsidR="007332C8" w:rsidRPr="00131340">
        <w:t xml:space="preserve">, </w:t>
      </w:r>
      <w:r w:rsidRPr="00131340">
        <w:t>Bourdieu</w:t>
      </w:r>
      <w:r w:rsidR="007332C8" w:rsidRPr="00131340">
        <w:t>sian</w:t>
      </w:r>
      <w:r w:rsidRPr="00131340">
        <w:t xml:space="preserve"> concepts </w:t>
      </w:r>
      <w:r w:rsidR="007332C8" w:rsidRPr="00131340">
        <w:t>enable</w:t>
      </w:r>
      <w:r w:rsidRPr="00131340">
        <w:t xml:space="preserve"> a critical discussion about </w:t>
      </w:r>
      <w:r w:rsidR="007332C8" w:rsidRPr="00131340">
        <w:t xml:space="preserve">the </w:t>
      </w:r>
      <w:r w:rsidRPr="00131340">
        <w:t>particularities of experiences and explanations of the outcomes of people with care experience that has been made invisible</w:t>
      </w:r>
      <w:r w:rsidR="007332C8" w:rsidRPr="00131340">
        <w:t xml:space="preserve"> and contribute </w:t>
      </w:r>
      <w:r w:rsidRPr="00131340">
        <w:t>to social</w:t>
      </w:r>
      <w:r w:rsidR="007332C8" w:rsidRPr="00131340">
        <w:t xml:space="preserve"> </w:t>
      </w:r>
      <w:r w:rsidRPr="00131340">
        <w:t xml:space="preserve">misrecognition.  </w:t>
      </w:r>
    </w:p>
    <w:p w14:paraId="3FA4AAD3" w14:textId="77777777" w:rsidR="001E03EE" w:rsidRPr="003B4881" w:rsidRDefault="001E03EE" w:rsidP="00DC3FAD">
      <w:pPr>
        <w:pStyle w:val="Bookbodytext"/>
      </w:pPr>
    </w:p>
    <w:p w14:paraId="7A3ED591" w14:textId="1E1FB112" w:rsidR="008565C0" w:rsidRPr="000933EE" w:rsidRDefault="008565C0" w:rsidP="00BB128C">
      <w:pPr>
        <w:pStyle w:val="BookLevel1"/>
        <w:jc w:val="both"/>
      </w:pPr>
      <w:r w:rsidRPr="000933EE">
        <w:t>The Research</w:t>
      </w:r>
    </w:p>
    <w:p w14:paraId="69CDBB5F" w14:textId="2BD848B8" w:rsidR="00505A05" w:rsidRDefault="009A009A" w:rsidP="00DC3FAD">
      <w:pPr>
        <w:pStyle w:val="Bookbodytext"/>
      </w:pPr>
      <w:r>
        <w:t>T</w:t>
      </w:r>
      <w:r w:rsidRPr="000550BB">
        <w:t xml:space="preserve">he research that informs this chapter was developed with the aim of recruiting from the population of adults who had experienced care as children to share their story of their lives, and the events and experiences that were important to them.  </w:t>
      </w:r>
      <w:r w:rsidR="008565C0" w:rsidRPr="000550BB">
        <w:t>The research sought to consider the subjective meanings and perspectives about the life experiences of people who spent time growing up in care. It was therefore prudent to implement a qualitive approach to data collection so as to allow participants the opportunity to share their views and experiences</w:t>
      </w:r>
      <w:r w:rsidR="00AF459A">
        <w:t xml:space="preserve"> in a way that lessened the role of the researcher.</w:t>
      </w:r>
      <w:r w:rsidR="008565C0" w:rsidRPr="000550BB">
        <w:t xml:space="preserve"> </w:t>
      </w:r>
      <w:r w:rsidR="00505A05" w:rsidRPr="000550BB">
        <w:t xml:space="preserve">This research gained ethical approval from </w:t>
      </w:r>
      <w:proofErr w:type="spellStart"/>
      <w:r w:rsidR="00505A05" w:rsidRPr="000550BB">
        <w:t>Northumbria</w:t>
      </w:r>
      <w:proofErr w:type="spellEnd"/>
      <w:r w:rsidR="00505A05" w:rsidRPr="000550BB">
        <w:t xml:space="preserve"> University. </w:t>
      </w:r>
    </w:p>
    <w:p w14:paraId="78BCE676" w14:textId="77777777" w:rsidR="00505A05" w:rsidRDefault="00505A05" w:rsidP="00DC3FAD">
      <w:pPr>
        <w:pStyle w:val="Bookbodytext"/>
      </w:pPr>
    </w:p>
    <w:p w14:paraId="7A9EFBD5" w14:textId="3CCCAE54" w:rsidR="00C6048C" w:rsidRDefault="009A009A" w:rsidP="00DC3FAD">
      <w:pPr>
        <w:pStyle w:val="Bookbodytext"/>
      </w:pPr>
      <w:r>
        <w:t>The</w:t>
      </w:r>
      <w:r w:rsidR="008565C0" w:rsidRPr="000550BB">
        <w:t xml:space="preserve"> data collection involved </w:t>
      </w:r>
      <w:r w:rsidR="000E7244">
        <w:t>B</w:t>
      </w:r>
      <w:r w:rsidR="008565C0" w:rsidRPr="000550BB">
        <w:t xml:space="preserve">iographical </w:t>
      </w:r>
      <w:r w:rsidR="000E7244">
        <w:t>N</w:t>
      </w:r>
      <w:r w:rsidR="008565C0" w:rsidRPr="000550BB">
        <w:t xml:space="preserve">arrative </w:t>
      </w:r>
      <w:r w:rsidR="000E7244">
        <w:t>I</w:t>
      </w:r>
      <w:r w:rsidR="008565C0" w:rsidRPr="000550BB">
        <w:t xml:space="preserve">nterpretative </w:t>
      </w:r>
      <w:r w:rsidR="000E7244">
        <w:t>M</w:t>
      </w:r>
      <w:r w:rsidR="008565C0" w:rsidRPr="000550BB">
        <w:t xml:space="preserve">ethod (BNIM) interviews. </w:t>
      </w:r>
      <w:r w:rsidR="00C6048C" w:rsidRPr="008C6E6F">
        <w:t xml:space="preserve">BNIM is a distinct approach to narrative enquiry and offers participants the opportunity to tell their story, in their own words without being interrupted by an interviewer. By </w:t>
      </w:r>
      <w:proofErr w:type="spellStart"/>
      <w:r w:rsidR="00C6048C" w:rsidRPr="008C6E6F">
        <w:t>utili</w:t>
      </w:r>
      <w:r w:rsidR="0008324E">
        <w:t>s</w:t>
      </w:r>
      <w:r w:rsidR="00C6048C" w:rsidRPr="008C6E6F">
        <w:t>ing</w:t>
      </w:r>
      <w:proofErr w:type="spellEnd"/>
      <w:r w:rsidR="00C6048C" w:rsidRPr="008C6E6F">
        <w:t xml:space="preserve"> such a form of data </w:t>
      </w:r>
      <w:r w:rsidR="00CD10C9" w:rsidRPr="008C6E6F">
        <w:t>collection,</w:t>
      </w:r>
      <w:r w:rsidR="00C6048C" w:rsidRPr="008C6E6F">
        <w:t xml:space="preserve"> the influence of the researcher on what is shared during data collection was </w:t>
      </w:r>
      <w:proofErr w:type="spellStart"/>
      <w:r w:rsidR="00C6048C" w:rsidRPr="008C6E6F">
        <w:t>minimi</w:t>
      </w:r>
      <w:r w:rsidR="0008324E">
        <w:t>s</w:t>
      </w:r>
      <w:r w:rsidR="00C6048C" w:rsidRPr="008C6E6F">
        <w:t>ed</w:t>
      </w:r>
      <w:proofErr w:type="spellEnd"/>
      <w:r w:rsidR="00C6048C" w:rsidRPr="008C6E6F">
        <w:t>, this allowed the stories of individuals to be told in their own words</w:t>
      </w:r>
      <w:r w:rsidR="00C6048C" w:rsidRPr="000550BB">
        <w:t>. However,</w:t>
      </w:r>
      <w:r w:rsidR="00F87E8E">
        <w:t xml:space="preserve"> </w:t>
      </w:r>
      <w:r w:rsidR="00C6048C" w:rsidRPr="000550BB">
        <w:t>the data collected was told to the researcher at a particular point in time, for the purposes of the study</w:t>
      </w:r>
      <w:r w:rsidR="00B67940">
        <w:t>,</w:t>
      </w:r>
      <w:r w:rsidR="00C6048C" w:rsidRPr="000550BB">
        <w:t xml:space="preserve"> and this may have influenced how and what people chose </w:t>
      </w:r>
      <w:r w:rsidR="00C6048C" w:rsidRPr="000550BB">
        <w:lastRenderedPageBreak/>
        <w:t xml:space="preserve">to tell. </w:t>
      </w:r>
      <w:r w:rsidR="00CD10C9" w:rsidRPr="000550BB">
        <w:t>Therefore,</w:t>
      </w:r>
      <w:r w:rsidR="00C6048C" w:rsidRPr="000550BB">
        <w:t xml:space="preserve"> it is likely that if people were interviewed </w:t>
      </w:r>
      <w:r w:rsidR="00793DF2">
        <w:t xml:space="preserve">today </w:t>
      </w:r>
      <w:r w:rsidR="00C6048C" w:rsidRPr="000550BB">
        <w:t xml:space="preserve">their stories would </w:t>
      </w:r>
      <w:r w:rsidR="003B76CF">
        <w:t>be different</w:t>
      </w:r>
      <w:r w:rsidR="00C6048C" w:rsidRPr="000550BB">
        <w:t xml:space="preserve"> as new events, experiences and personal feelings are </w:t>
      </w:r>
      <w:r w:rsidR="003A443B">
        <w:t>reworked</w:t>
      </w:r>
      <w:r w:rsidR="00C6048C" w:rsidRPr="000550BB">
        <w:t xml:space="preserve"> into their life story. </w:t>
      </w:r>
    </w:p>
    <w:p w14:paraId="07333F67" w14:textId="77777777" w:rsidR="00EB5460" w:rsidRPr="001E15E6" w:rsidRDefault="00EB5460" w:rsidP="00DC3FAD">
      <w:pPr>
        <w:pStyle w:val="Bookbodytext"/>
      </w:pPr>
    </w:p>
    <w:p w14:paraId="0EA9B2D9" w14:textId="0749BE48" w:rsidR="00C6048C" w:rsidRPr="00131340" w:rsidRDefault="00131340" w:rsidP="00DC3FAD">
      <w:pPr>
        <w:pStyle w:val="Bookbodytext"/>
        <w:rPr>
          <w:u w:val="single"/>
        </w:rPr>
      </w:pPr>
      <w:r>
        <w:t xml:space="preserve">Snowball </w:t>
      </w:r>
      <w:r w:rsidR="00505A05" w:rsidRPr="000550BB">
        <w:t>and opportunity sampling</w:t>
      </w:r>
      <w:r>
        <w:t xml:space="preserve"> w</w:t>
      </w:r>
      <w:r w:rsidR="00CF29CE">
        <w:t>ere</w:t>
      </w:r>
      <w:r>
        <w:t xml:space="preserve"> used to recruit</w:t>
      </w:r>
      <w:r w:rsidR="00505A05" w:rsidRPr="000550BB">
        <w:t xml:space="preserve"> 11 adults, aged 30-80 years old, with care experience for the study. </w:t>
      </w:r>
      <w:r w:rsidR="009A009A">
        <w:t xml:space="preserve">At the time of </w:t>
      </w:r>
      <w:r w:rsidR="00CF29CE">
        <w:t xml:space="preserve">the </w:t>
      </w:r>
      <w:proofErr w:type="gramStart"/>
      <w:r w:rsidR="009A009A">
        <w:t>interview</w:t>
      </w:r>
      <w:r w:rsidR="00CF29CE">
        <w:t>s</w:t>
      </w:r>
      <w:proofErr w:type="gramEnd"/>
      <w:r w:rsidR="009A009A">
        <w:t xml:space="preserve"> </w:t>
      </w:r>
      <w:r w:rsidR="00CF29CE">
        <w:t>participants all</w:t>
      </w:r>
      <w:r>
        <w:t xml:space="preserve"> lived</w:t>
      </w:r>
      <w:r w:rsidR="009A009A">
        <w:t xml:space="preserve"> in Northern England</w:t>
      </w:r>
      <w:r w:rsidR="00CF29CE">
        <w:t xml:space="preserve"> and</w:t>
      </w:r>
      <w:r w:rsidR="008565C0" w:rsidRPr="000550BB">
        <w:t xml:space="preserve"> </w:t>
      </w:r>
      <w:r w:rsidR="00CF29CE">
        <w:t>self-</w:t>
      </w:r>
      <w:r w:rsidR="008565C0" w:rsidRPr="000550BB">
        <w:t xml:space="preserve">identified </w:t>
      </w:r>
      <w:r w:rsidR="00505A05">
        <w:t>as</w:t>
      </w:r>
      <w:r w:rsidR="008565C0" w:rsidRPr="000550BB">
        <w:t xml:space="preserve"> ‘care-leaver</w:t>
      </w:r>
      <w:r w:rsidR="00505A05">
        <w:t>s</w:t>
      </w:r>
      <w:r w:rsidR="008565C0" w:rsidRPr="000550BB">
        <w:t>’</w:t>
      </w:r>
      <w:r w:rsidR="00CF29CE">
        <w:t>. H</w:t>
      </w:r>
      <w:r w:rsidR="008565C0" w:rsidRPr="000550BB">
        <w:t>owever, many of these participants would not have been a care-leaver in legislative terms</w:t>
      </w:r>
      <w:r w:rsidR="009A009A">
        <w:rPr>
          <w:rStyle w:val="EndnoteReference"/>
          <w:rFonts w:asciiTheme="minorHAnsi" w:hAnsiTheme="minorHAnsi"/>
        </w:rPr>
        <w:endnoteReference w:id="2"/>
      </w:r>
      <w:r w:rsidR="008565C0" w:rsidRPr="000550BB">
        <w:t>. Due to this it was deemed salient to embrace a less formal definition</w:t>
      </w:r>
      <w:r w:rsidR="00A24843" w:rsidRPr="000550BB">
        <w:t>, such as that</w:t>
      </w:r>
      <w:r w:rsidR="008565C0" w:rsidRPr="000550BB">
        <w:t xml:space="preserve"> used by the Care Leavers Association</w:t>
      </w:r>
      <w:r w:rsidR="00C6048C" w:rsidRPr="000550BB">
        <w:t>:</w:t>
      </w:r>
    </w:p>
    <w:p w14:paraId="2BFBEB85" w14:textId="54155681" w:rsidR="008565C0" w:rsidRPr="000550BB" w:rsidRDefault="008565C0" w:rsidP="00BB128C">
      <w:pPr>
        <w:pStyle w:val="BookQuote"/>
        <w:jc w:val="both"/>
        <w:rPr>
          <w:shd w:val="clear" w:color="auto" w:fill="FFFFFF"/>
        </w:rPr>
      </w:pPr>
      <w:r w:rsidRPr="000E0712">
        <w:rPr>
          <w:shd w:val="clear" w:color="auto" w:fill="FFFFFF"/>
        </w:rPr>
        <w:t>Any adult who spent time in care as a child (</w:t>
      </w:r>
      <w:proofErr w:type="gramStart"/>
      <w:r w:rsidRPr="000E0712">
        <w:rPr>
          <w:shd w:val="clear" w:color="auto" w:fill="FFFFFF"/>
        </w:rPr>
        <w:t>i.e.</w:t>
      </w:r>
      <w:proofErr w:type="gramEnd"/>
      <w:r w:rsidRPr="000E0712">
        <w:rPr>
          <w:shd w:val="clear" w:color="auto" w:fill="FFFFFF"/>
        </w:rPr>
        <w:t xml:space="preserve"> under the age of 18). This care would have been approved by the state through a court order or on a voluntary basis. It can range from as little as a few months to as long as one</w:t>
      </w:r>
      <w:r w:rsidR="00C6048C" w:rsidRPr="000E0712">
        <w:rPr>
          <w:shd w:val="clear" w:color="auto" w:fill="FFFFFF"/>
        </w:rPr>
        <w:t>’</w:t>
      </w:r>
      <w:r w:rsidRPr="000E0712">
        <w:rPr>
          <w:shd w:val="clear" w:color="auto" w:fill="FFFFFF"/>
        </w:rPr>
        <w:t>s whole childhood</w:t>
      </w:r>
      <w:r w:rsidR="00435A02">
        <w:rPr>
          <w:shd w:val="clear" w:color="auto" w:fill="FFFFFF"/>
        </w:rPr>
        <w:t xml:space="preserve"> </w:t>
      </w:r>
      <w:r w:rsidRPr="000550BB">
        <w:rPr>
          <w:shd w:val="clear" w:color="auto" w:fill="FFFFFF"/>
        </w:rPr>
        <w:t>(careleavers.com, No Date).</w:t>
      </w:r>
    </w:p>
    <w:p w14:paraId="67057254" w14:textId="512CBC43" w:rsidR="00A24843" w:rsidRDefault="0044477C" w:rsidP="00DC3FAD">
      <w:pPr>
        <w:pStyle w:val="Bookbodytext"/>
      </w:pPr>
      <w:r>
        <w:t>However,</w:t>
      </w:r>
      <w:r w:rsidR="00A24843" w:rsidRPr="000550BB">
        <w:t xml:space="preserve"> I </w:t>
      </w:r>
      <w:r w:rsidR="002C456B">
        <w:t xml:space="preserve">depart from using the term </w:t>
      </w:r>
      <w:r w:rsidR="00A24843" w:rsidRPr="000550BB">
        <w:t>care-leaver</w:t>
      </w:r>
      <w:r w:rsidR="002C456B">
        <w:t xml:space="preserve"> as it is </w:t>
      </w:r>
      <w:r w:rsidR="00BC4264">
        <w:t>frequently used</w:t>
      </w:r>
      <w:r w:rsidR="002C456B">
        <w:t xml:space="preserve"> to refer to</w:t>
      </w:r>
      <w:r w:rsidR="0092511E">
        <w:t xml:space="preserve"> the </w:t>
      </w:r>
      <w:r w:rsidR="002C456B">
        <w:t xml:space="preserve">statutory </w:t>
      </w:r>
      <w:r w:rsidR="0092511E">
        <w:t>definition</w:t>
      </w:r>
      <w:r w:rsidR="002C456B">
        <w:t xml:space="preserve"> of what defines a care</w:t>
      </w:r>
      <w:r w:rsidR="00181D8E">
        <w:t>-</w:t>
      </w:r>
      <w:r w:rsidR="002C456B">
        <w:t>leaver</w:t>
      </w:r>
      <w:r w:rsidR="001E15E6">
        <w:t xml:space="preserve"> and is reductive</w:t>
      </w:r>
      <w:r w:rsidR="002C456B">
        <w:t xml:space="preserve">, </w:t>
      </w:r>
      <w:r w:rsidR="0092511E">
        <w:t xml:space="preserve">instead I </w:t>
      </w:r>
      <w:r w:rsidR="00EB5460">
        <w:t>use</w:t>
      </w:r>
      <w:r w:rsidR="0092511E">
        <w:t xml:space="preserve"> the term</w:t>
      </w:r>
      <w:r w:rsidR="00A24843" w:rsidRPr="000550BB">
        <w:t xml:space="preserve"> people with care-experience</w:t>
      </w:r>
      <w:r w:rsidR="003A443B">
        <w:t xml:space="preserve">. </w:t>
      </w:r>
    </w:p>
    <w:p w14:paraId="5DB57FA6" w14:textId="16EEED69" w:rsidR="00505A05" w:rsidRDefault="00505A05" w:rsidP="00BB128C">
      <w:pPr>
        <w:spacing w:line="276" w:lineRule="auto"/>
        <w:jc w:val="both"/>
        <w:rPr>
          <w:rFonts w:cstheme="minorHAnsi"/>
          <w:color w:val="000000"/>
          <w:lang w:val="en-US"/>
        </w:rPr>
      </w:pPr>
    </w:p>
    <w:p w14:paraId="57E2C14F" w14:textId="13488EC1" w:rsidR="008565C0" w:rsidRDefault="008565C0" w:rsidP="00DC3FAD">
      <w:pPr>
        <w:pStyle w:val="Bookbodytext"/>
      </w:pPr>
      <w:r w:rsidRPr="000550BB">
        <w:t>Th</w:t>
      </w:r>
      <w:r w:rsidR="00055A09">
        <w:t>e</w:t>
      </w:r>
      <w:r w:rsidRPr="000550BB">
        <w:t xml:space="preserve"> initial coding </w:t>
      </w:r>
      <w:r w:rsidR="00055A09">
        <w:t xml:space="preserve">of the verbatim transcripts </w:t>
      </w:r>
      <w:r w:rsidRPr="000550BB">
        <w:t xml:space="preserve">followed the guidance of </w:t>
      </w:r>
      <w:proofErr w:type="spellStart"/>
      <w:r w:rsidR="00AC52C9">
        <w:t>Wengraf</w:t>
      </w:r>
      <w:proofErr w:type="spellEnd"/>
      <w:r w:rsidR="00AC52C9">
        <w:t xml:space="preserve"> (2001,</w:t>
      </w:r>
      <w:r w:rsidR="008C6E6F">
        <w:t xml:space="preserve"> </w:t>
      </w:r>
      <w:r w:rsidR="00AC52C9">
        <w:t>20</w:t>
      </w:r>
      <w:r w:rsidR="004506A8">
        <w:t>12</w:t>
      </w:r>
      <w:r w:rsidR="00AC52C9">
        <w:t>)</w:t>
      </w:r>
      <w:r w:rsidRPr="000550BB">
        <w:t xml:space="preserve"> which offer</w:t>
      </w:r>
      <w:r w:rsidR="000933EE">
        <w:t>s</w:t>
      </w:r>
      <w:r w:rsidRPr="000550BB">
        <w:t xml:space="preserve"> a complex</w:t>
      </w:r>
      <w:r w:rsidR="00AC52C9">
        <w:t xml:space="preserve"> psychosocial</w:t>
      </w:r>
      <w:r w:rsidRPr="000550BB">
        <w:t xml:space="preserve"> approach to qualitative data analysis. One commonality in the stories was the way in which people told stories that expressed a lived experience of subjectively feeling different from other people due to participants often challenging early life experiences with ‘birth’ family and subsequent experiences of state care. To </w:t>
      </w:r>
      <w:proofErr w:type="spellStart"/>
      <w:r w:rsidRPr="000550BB">
        <w:t>recogni</w:t>
      </w:r>
      <w:r w:rsidR="0008324E">
        <w:t>s</w:t>
      </w:r>
      <w:r w:rsidRPr="000550BB">
        <w:t>e</w:t>
      </w:r>
      <w:proofErr w:type="spellEnd"/>
      <w:r w:rsidRPr="000550BB">
        <w:t xml:space="preserve"> and explore the heterogeneity of interpretations of the significance of life events </w:t>
      </w:r>
      <w:r w:rsidRPr="00AC52C9">
        <w:t>Silverman’s (</w:t>
      </w:r>
      <w:r w:rsidR="00AC52C9" w:rsidRPr="00AC52C9">
        <w:t>2006</w:t>
      </w:r>
      <w:r w:rsidRPr="000550BB">
        <w:t xml:space="preserve">) twin track approach of, what was experienced and how it was experienced was useful. </w:t>
      </w:r>
    </w:p>
    <w:p w14:paraId="6E2F22C7" w14:textId="21560BE7" w:rsidR="00F6447A" w:rsidRDefault="00F6447A" w:rsidP="00DC3FAD">
      <w:pPr>
        <w:pStyle w:val="Bookbodytext"/>
      </w:pPr>
    </w:p>
    <w:p w14:paraId="692EF5C8" w14:textId="6E66BE41" w:rsidR="006A4FAC" w:rsidRDefault="00F6447A" w:rsidP="00DC3FAD">
      <w:pPr>
        <w:pStyle w:val="Bookbodytext"/>
      </w:pPr>
      <w:r w:rsidRPr="00BC4264">
        <w:lastRenderedPageBreak/>
        <w:t>While some narrative researchers in sociology are suspicious of theory, Denison (2016) proposes that more theoretical analyses of narratives could lead to new empirical and theoretical insights</w:t>
      </w:r>
      <w:r w:rsidRPr="00BC4264">
        <w:rPr>
          <w:rStyle w:val="EndnoteReference"/>
          <w:rFonts w:asciiTheme="minorHAnsi" w:hAnsiTheme="minorHAnsi"/>
        </w:rPr>
        <w:endnoteReference w:id="3"/>
      </w:r>
      <w:r w:rsidRPr="00BC4264">
        <w:t xml:space="preserve">. This, alongside a focus on particular issues </w:t>
      </w:r>
      <w:r w:rsidRPr="00402D1E">
        <w:t>(</w:t>
      </w:r>
      <w:r w:rsidRPr="00564CFA">
        <w:t xml:space="preserve">Roberts, 2002; </w:t>
      </w:r>
      <w:proofErr w:type="spellStart"/>
      <w:r w:rsidRPr="00564CFA">
        <w:t>Riessman</w:t>
      </w:r>
      <w:proofErr w:type="spellEnd"/>
      <w:r w:rsidRPr="00564CFA">
        <w:t xml:space="preserve">, </w:t>
      </w:r>
      <w:r w:rsidRPr="00402D1E">
        <w:t xml:space="preserve">2008; </w:t>
      </w:r>
      <w:proofErr w:type="spellStart"/>
      <w:r w:rsidRPr="00280360">
        <w:t>Maynes</w:t>
      </w:r>
      <w:proofErr w:type="spellEnd"/>
      <w:r w:rsidR="00280360" w:rsidRPr="00280360">
        <w:t xml:space="preserve">, </w:t>
      </w:r>
      <w:proofErr w:type="spellStart"/>
      <w:r w:rsidR="00280360" w:rsidRPr="00280360">
        <w:t>Laslett</w:t>
      </w:r>
      <w:proofErr w:type="spellEnd"/>
      <w:r w:rsidR="00280360" w:rsidRPr="00280360">
        <w:t xml:space="preserve"> and Pierce, </w:t>
      </w:r>
      <w:r w:rsidRPr="00280360">
        <w:t>2008) assists</w:t>
      </w:r>
      <w:r w:rsidRPr="00793DF2">
        <w:t xml:space="preserve"> in considering less </w:t>
      </w:r>
      <w:proofErr w:type="spellStart"/>
      <w:r w:rsidRPr="00793DF2">
        <w:t>individualised</w:t>
      </w:r>
      <w:proofErr w:type="spellEnd"/>
      <w:r w:rsidRPr="00793DF2">
        <w:t xml:space="preserve"> understandings of the</w:t>
      </w:r>
      <w:r w:rsidRPr="00BC4264">
        <w:t xml:space="preserve"> experiences of people with experience of care.</w:t>
      </w:r>
    </w:p>
    <w:p w14:paraId="12B2DE07" w14:textId="77777777" w:rsidR="00131340" w:rsidRPr="006A4FAC" w:rsidRDefault="00131340" w:rsidP="00DC3FAD">
      <w:pPr>
        <w:pStyle w:val="Bookbodytext"/>
      </w:pPr>
    </w:p>
    <w:p w14:paraId="24C5ED77" w14:textId="72FC79A6" w:rsidR="00F21CE8" w:rsidRPr="000933EE" w:rsidRDefault="00F21CE8" w:rsidP="00BB128C">
      <w:pPr>
        <w:pStyle w:val="BookLevel1"/>
        <w:jc w:val="both"/>
      </w:pPr>
      <w:r w:rsidRPr="000933EE">
        <w:t>Disrupting Doxa</w:t>
      </w:r>
    </w:p>
    <w:p w14:paraId="5F74BFCD" w14:textId="29B1C407" w:rsidR="00A757E5" w:rsidRPr="00BC4264" w:rsidRDefault="00605467" w:rsidP="00DC3FAD">
      <w:pPr>
        <w:pStyle w:val="Bookbodytext"/>
      </w:pPr>
      <w:r w:rsidRPr="00BC4264">
        <w:t xml:space="preserve">The chapter turns to focus on excerpts from </w:t>
      </w:r>
      <w:r w:rsidR="008565C0" w:rsidRPr="00BC4264">
        <w:t>participants</w:t>
      </w:r>
      <w:r w:rsidRPr="00BC4264">
        <w:t xml:space="preserve"> life stories to critically consider the doxa of children as passive, irrational and helpless and the doxa that children in care are deviant and/or criminal and that they will </w:t>
      </w:r>
      <w:r w:rsidR="008565C0" w:rsidRPr="00BC4264">
        <w:t>perpetuate</w:t>
      </w:r>
      <w:r w:rsidRPr="00BC4264">
        <w:t xml:space="preserve"> intergenerational transmission of ‘poor’ </w:t>
      </w:r>
      <w:r w:rsidR="001911F9" w:rsidRPr="00BC4264">
        <w:t>outcomes</w:t>
      </w:r>
      <w:r w:rsidRPr="00BC4264">
        <w:t xml:space="preserve"> </w:t>
      </w:r>
      <w:r w:rsidR="008565C0" w:rsidRPr="00BC4264">
        <w:t>for</w:t>
      </w:r>
      <w:r w:rsidRPr="00BC4264">
        <w:t xml:space="preserve"> themselves and their families.</w:t>
      </w:r>
      <w:r w:rsidR="00A757E5" w:rsidRPr="00BC4264">
        <w:t xml:space="preserve"> </w:t>
      </w:r>
    </w:p>
    <w:p w14:paraId="04B1EEA1" w14:textId="5C43E4D9" w:rsidR="00955B45" w:rsidRPr="00605467" w:rsidRDefault="00955B45" w:rsidP="00DC3FAD">
      <w:pPr>
        <w:pStyle w:val="Bookbodytext"/>
      </w:pPr>
    </w:p>
    <w:p w14:paraId="36F28335" w14:textId="021D5D9C" w:rsidR="009D3357" w:rsidRDefault="000A775F" w:rsidP="00BB128C">
      <w:pPr>
        <w:pStyle w:val="BookLevel2"/>
        <w:jc w:val="both"/>
      </w:pPr>
      <w:r w:rsidRPr="009559A1">
        <w:t>Dox</w:t>
      </w:r>
      <w:r w:rsidR="00F21CE8">
        <w:t>a</w:t>
      </w:r>
      <w:r w:rsidRPr="009559A1">
        <w:t xml:space="preserve"> of children in care</w:t>
      </w:r>
      <w:r w:rsidR="00A2629E" w:rsidRPr="009559A1">
        <w:t>: passivity</w:t>
      </w:r>
      <w:r w:rsidR="00C643E6">
        <w:t>, irrationality</w:t>
      </w:r>
      <w:r w:rsidRPr="009559A1">
        <w:t xml:space="preserve"> and helplessness </w:t>
      </w:r>
    </w:p>
    <w:p w14:paraId="737DEA90" w14:textId="6839D953" w:rsidR="00737F86" w:rsidRPr="000E0712" w:rsidRDefault="00737F86" w:rsidP="00DC3FAD">
      <w:pPr>
        <w:pStyle w:val="Bookbodytext"/>
      </w:pPr>
      <w:r w:rsidRPr="000E0712">
        <w:t>In this section</w:t>
      </w:r>
      <w:r w:rsidR="000E7244">
        <w:t>,</w:t>
      </w:r>
      <w:r w:rsidRPr="000E0712">
        <w:t xml:space="preserve"> I illustrate how doxa of children in care is negotiated</w:t>
      </w:r>
      <w:r w:rsidR="00101B91">
        <w:t xml:space="preserve"> in various ways </w:t>
      </w:r>
      <w:r w:rsidRPr="000E0712">
        <w:t>b</w:t>
      </w:r>
      <w:r w:rsidR="00101B91">
        <w:t>y</w:t>
      </w:r>
      <w:r w:rsidRPr="000E0712">
        <w:t xml:space="preserve"> </w:t>
      </w:r>
      <w:r w:rsidR="00101B91">
        <w:t>participants in this study</w:t>
      </w:r>
      <w:r w:rsidRPr="000E0712">
        <w:t>. Through examples I will show how d</w:t>
      </w:r>
      <w:r w:rsidR="008D5653" w:rsidRPr="000E0712">
        <w:t xml:space="preserve">oxa </w:t>
      </w:r>
      <w:r w:rsidR="00101B91">
        <w:t xml:space="preserve">can </w:t>
      </w:r>
      <w:r w:rsidR="008D5653" w:rsidRPr="000E0712">
        <w:t>obscure</w:t>
      </w:r>
      <w:r w:rsidRPr="000E0712">
        <w:t xml:space="preserve"> knowing</w:t>
      </w:r>
      <w:r w:rsidR="00101B91">
        <w:t xml:space="preserve"> and in doing so produces invisibilities about what can be known about a particular experience. The data shown here </w:t>
      </w:r>
      <w:r w:rsidR="00B67940">
        <w:t xml:space="preserve">identifies </w:t>
      </w:r>
      <w:r w:rsidR="00101B91">
        <w:t xml:space="preserve">how some participants draw on </w:t>
      </w:r>
      <w:r w:rsidRPr="000E0712">
        <w:t>doxa</w:t>
      </w:r>
      <w:r w:rsidR="00101B91">
        <w:t xml:space="preserve">, and I suggest </w:t>
      </w:r>
      <w:proofErr w:type="gramStart"/>
      <w:r w:rsidR="00101B91">
        <w:t>this function</w:t>
      </w:r>
      <w:r w:rsidR="0008324E">
        <w:t>s</w:t>
      </w:r>
      <w:proofErr w:type="gramEnd"/>
      <w:r w:rsidR="00101B91">
        <w:t xml:space="preserve"> narratively </w:t>
      </w:r>
      <w:r w:rsidRPr="000E0712">
        <w:t xml:space="preserve">to </w:t>
      </w:r>
      <w:proofErr w:type="spellStart"/>
      <w:r w:rsidRPr="000E0712">
        <w:t>naturalise</w:t>
      </w:r>
      <w:proofErr w:type="spellEnd"/>
      <w:r w:rsidR="008D5653" w:rsidRPr="000E0712">
        <w:t xml:space="preserve"> </w:t>
      </w:r>
      <w:r w:rsidRPr="000E0712">
        <w:t>unequal</w:t>
      </w:r>
      <w:r w:rsidR="008D5653" w:rsidRPr="000E0712">
        <w:t xml:space="preserve"> </w:t>
      </w:r>
      <w:r w:rsidRPr="000E0712">
        <w:t>relationships</w:t>
      </w:r>
      <w:r w:rsidR="00101B91">
        <w:t>.</w:t>
      </w:r>
      <w:r w:rsidRPr="000E0712">
        <w:t xml:space="preserve"> </w:t>
      </w:r>
      <w:r w:rsidR="00101B91">
        <w:t xml:space="preserve">In contrast, some data shows </w:t>
      </w:r>
      <w:r w:rsidRPr="000E0712">
        <w:t xml:space="preserve">how doxa </w:t>
      </w:r>
      <w:r w:rsidR="00101B91">
        <w:t>can function constructively for sense making of personal experiences through providing agency to resist dominant narratives about themselves, imposed by wider cultural ideas.</w:t>
      </w:r>
      <w:r w:rsidR="00101B91" w:rsidRPr="000E0712">
        <w:t xml:space="preserve"> </w:t>
      </w:r>
    </w:p>
    <w:p w14:paraId="3E99D94D" w14:textId="6001481A" w:rsidR="007F257F" w:rsidRDefault="007F257F" w:rsidP="00DC3FAD">
      <w:pPr>
        <w:pStyle w:val="Bookbodytext"/>
      </w:pPr>
    </w:p>
    <w:p w14:paraId="5E6295B0" w14:textId="1A7F697E" w:rsidR="003922D0" w:rsidRDefault="00EB1E6A" w:rsidP="00DC3FAD">
      <w:pPr>
        <w:pStyle w:val="Bookbodytext"/>
      </w:pPr>
      <w:r>
        <w:t>This section</w:t>
      </w:r>
      <w:r w:rsidR="004A3EEA" w:rsidRPr="000E0712">
        <w:t xml:space="preserve"> begin</w:t>
      </w:r>
      <w:r>
        <w:t>s</w:t>
      </w:r>
      <w:r w:rsidR="004A3EEA" w:rsidRPr="000E0712">
        <w:t xml:space="preserve"> with</w:t>
      </w:r>
      <w:r w:rsidRPr="000E0712">
        <w:t xml:space="preserve"> an extract from </w:t>
      </w:r>
      <w:r w:rsidR="000A775F" w:rsidRPr="000E0712">
        <w:t>Vanessa’s life story</w:t>
      </w:r>
      <w:r w:rsidRPr="000E0712">
        <w:t>.</w:t>
      </w:r>
      <w:r>
        <w:t xml:space="preserve"> At the time of the interview Vanessa was in her thirties, here she reflects on her early life experience before she went into care.</w:t>
      </w:r>
    </w:p>
    <w:p w14:paraId="7108EC18" w14:textId="3FBA8111" w:rsidR="003B76CF" w:rsidRPr="00BC4264" w:rsidRDefault="003922D0" w:rsidP="00BB128C">
      <w:pPr>
        <w:pStyle w:val="BookQuote"/>
        <w:jc w:val="both"/>
        <w:rPr>
          <w:rFonts w:asciiTheme="minorHAnsi" w:hAnsiTheme="minorHAnsi" w:cstheme="minorHAnsi"/>
          <w:i/>
          <w:lang w:val="en-US"/>
        </w:rPr>
      </w:pPr>
      <w:r w:rsidRPr="00793DF2">
        <w:lastRenderedPageBreak/>
        <w:t>[H]</w:t>
      </w:r>
      <w:proofErr w:type="spellStart"/>
      <w:r w:rsidRPr="00793DF2">
        <w:t>ome</w:t>
      </w:r>
      <w:proofErr w:type="spellEnd"/>
      <w:r w:rsidRPr="00793DF2">
        <w:t xml:space="preserve"> was horrible, home was full of my mother's madness I </w:t>
      </w:r>
      <w:proofErr w:type="gramStart"/>
      <w:r w:rsidRPr="00793DF2">
        <w:t>suppose really,</w:t>
      </w:r>
      <w:proofErr w:type="gramEnd"/>
      <w:r w:rsidRPr="00793DF2">
        <w:t xml:space="preserve"> my dad, out at work obviously trying to make money to support us, me and I have a brother. My mother having long periods, months and months and months in bed, and me looking after my brother… I remember we used to have an old freestanding cooker, you remember when the top was open with like a grill and you had to light it with a lighter or a box of matches then? </w:t>
      </w:r>
      <w:proofErr w:type="gramStart"/>
      <w:r w:rsidRPr="00793DF2">
        <w:t>And,</w:t>
      </w:r>
      <w:proofErr w:type="gramEnd"/>
      <w:r w:rsidRPr="00793DF2">
        <w:t xml:space="preserve"> I remember making him toast on the Sunday morning, so I couldn't reach it, so I'd have to stand on a chair and then light the match to light the grill and make the toast. You know I must've been six or something at the time. And I'm thinking it's an accident waiting- my eldest's nearly ten I still won't let him use the toaster</w:t>
      </w:r>
      <w:r w:rsidR="00793DF2">
        <w:t>.</w:t>
      </w:r>
    </w:p>
    <w:p w14:paraId="45C55F93" w14:textId="6A315879" w:rsidR="003B76CF" w:rsidRDefault="000A775F" w:rsidP="00DC3FAD">
      <w:pPr>
        <w:pStyle w:val="Bookbodytext"/>
      </w:pPr>
      <w:r w:rsidRPr="00BC4264">
        <w:t xml:space="preserve">In </w:t>
      </w:r>
      <w:r w:rsidR="003959E3" w:rsidRPr="00BC4264">
        <w:t>narrating</w:t>
      </w:r>
      <w:r w:rsidRPr="00BC4264">
        <w:t xml:space="preserve"> her life experiences Vanessa talks about how her experiences of </w:t>
      </w:r>
      <w:r w:rsidR="00B347C6" w:rsidRPr="00BC4264">
        <w:t xml:space="preserve">being protective and </w:t>
      </w:r>
      <w:r w:rsidR="002013E5" w:rsidRPr="00BC4264">
        <w:t>caring</w:t>
      </w:r>
      <w:r w:rsidR="00B347C6" w:rsidRPr="00BC4264">
        <w:t xml:space="preserve"> for her little brother</w:t>
      </w:r>
      <w:r w:rsidR="003959E3" w:rsidRPr="00BC4264">
        <w:t xml:space="preserve">. Vanessa’s account suggests that she </w:t>
      </w:r>
      <w:r w:rsidR="00605467" w:rsidRPr="00BC4264">
        <w:t xml:space="preserve">now, as an adult, </w:t>
      </w:r>
      <w:r w:rsidR="003959E3" w:rsidRPr="00BC4264">
        <w:t>perceives caring activities out of line with age of expectations, and how this contributed to the differentiation Vanessa narratively constructs. The implication is that Vanessa and her brother did</w:t>
      </w:r>
      <w:r w:rsidR="0057542B">
        <w:t xml:space="preserve"> not</w:t>
      </w:r>
      <w:r w:rsidR="003959E3" w:rsidRPr="00BC4264">
        <w:t xml:space="preserve"> receive </w:t>
      </w:r>
      <w:r w:rsidR="00294E07">
        <w:t xml:space="preserve">the </w:t>
      </w:r>
      <w:r w:rsidR="003959E3" w:rsidRPr="00BC4264">
        <w:t>care socially expected</w:t>
      </w:r>
      <w:r w:rsidR="00294E07">
        <w:t>, implicitly, it is a</w:t>
      </w:r>
      <w:r w:rsidR="00AD0BF3" w:rsidRPr="00BC4264">
        <w:t xml:space="preserve"> transgression of norms </w:t>
      </w:r>
      <w:r w:rsidR="00294E07">
        <w:t xml:space="preserve">that </w:t>
      </w:r>
      <w:proofErr w:type="spellStart"/>
      <w:r w:rsidR="00294E07">
        <w:t>characterise</w:t>
      </w:r>
      <w:proofErr w:type="spellEnd"/>
      <w:r w:rsidR="00294E07">
        <w:t xml:space="preserve"> a good childhood.</w:t>
      </w:r>
      <w:r w:rsidR="00AD0BF3" w:rsidRPr="00BC4264">
        <w:t xml:space="preserve"> As explained earlier, one of the difficulties with such understandings is that it creates as expectation of psychological difficulties. There is little social discourse given to </w:t>
      </w:r>
      <w:proofErr w:type="spellStart"/>
      <w:r w:rsidR="00AD0BF3" w:rsidRPr="00BC4264">
        <w:t>recognise</w:t>
      </w:r>
      <w:proofErr w:type="spellEnd"/>
      <w:r w:rsidR="00AD0BF3" w:rsidRPr="00BC4264">
        <w:t xml:space="preserve"> the skills of caring </w:t>
      </w:r>
      <w:r w:rsidR="003922D0" w:rsidRPr="00BC4264">
        <w:t xml:space="preserve">for and protecting </w:t>
      </w:r>
      <w:r w:rsidR="00AD0BF3" w:rsidRPr="00BC4264">
        <w:t>another person</w:t>
      </w:r>
      <w:r w:rsidR="002D5A56">
        <w:t>,</w:t>
      </w:r>
      <w:r w:rsidR="00AD0BF3" w:rsidRPr="00BC4264">
        <w:t xml:space="preserve"> </w:t>
      </w:r>
      <w:r w:rsidR="003922D0" w:rsidRPr="00BC4264">
        <w:t>which</w:t>
      </w:r>
      <w:r w:rsidR="00AD0BF3" w:rsidRPr="00BC4264">
        <w:t xml:space="preserve"> </w:t>
      </w:r>
      <w:r w:rsidR="009559A1" w:rsidRPr="00BC4264">
        <w:t>Vanessa</w:t>
      </w:r>
      <w:r w:rsidR="00AD0BF3" w:rsidRPr="00BC4264">
        <w:t xml:space="preserve"> demonstrated. In placing </w:t>
      </w:r>
      <w:r w:rsidR="003959E3" w:rsidRPr="00BC4264">
        <w:t xml:space="preserve">her </w:t>
      </w:r>
      <w:r w:rsidR="00AD0BF3" w:rsidRPr="00BC4264">
        <w:t>childhood experiences outside the bounds of normality and into the cultural context of</w:t>
      </w:r>
      <w:r w:rsidR="003959E3" w:rsidRPr="00BC4264">
        <w:t xml:space="preserve"> </w:t>
      </w:r>
      <w:r w:rsidR="00AD0BF3" w:rsidRPr="00BC4264">
        <w:t xml:space="preserve">current understanding of childhood adversity </w:t>
      </w:r>
      <w:r w:rsidR="003959E3" w:rsidRPr="00BC4264">
        <w:t>there could be a doxa that this w</w:t>
      </w:r>
      <w:r w:rsidR="00AD0BF3" w:rsidRPr="00BC4264">
        <w:t xml:space="preserve">as problematic for </w:t>
      </w:r>
      <w:r w:rsidR="003959E3" w:rsidRPr="00BC4264">
        <w:t xml:space="preserve">her </w:t>
      </w:r>
      <w:r w:rsidR="00AD0BF3" w:rsidRPr="00BC4264">
        <w:t xml:space="preserve">development. </w:t>
      </w:r>
      <w:r w:rsidR="003B76CF">
        <w:t>Such</w:t>
      </w:r>
      <w:r w:rsidR="003B76CF" w:rsidRPr="00BC4264">
        <w:t xml:space="preserve"> </w:t>
      </w:r>
      <w:r w:rsidR="00C561BF" w:rsidRPr="00BC4264">
        <w:t>doxa forecloses the possibility of ‘healthy’ development and is an example of symbolic power (Foster</w:t>
      </w:r>
      <w:r w:rsidR="00843966" w:rsidRPr="00843966">
        <w:t xml:space="preserve"> </w:t>
      </w:r>
      <w:r w:rsidR="00843966" w:rsidRPr="00BC4264">
        <w:t>and</w:t>
      </w:r>
      <w:r w:rsidR="00843966" w:rsidRPr="00843966">
        <w:t xml:space="preserve"> </w:t>
      </w:r>
      <w:r w:rsidR="00843966" w:rsidRPr="00BC4264">
        <w:t>Spencer</w:t>
      </w:r>
      <w:r w:rsidR="00C561BF" w:rsidRPr="00BC4264">
        <w:t>, 2010)</w:t>
      </w:r>
      <w:r w:rsidR="00612E9C">
        <w:t xml:space="preserve">. </w:t>
      </w:r>
    </w:p>
    <w:p w14:paraId="0367FA07" w14:textId="77777777" w:rsidR="003B76CF" w:rsidRDefault="003B76CF" w:rsidP="00DC3FAD">
      <w:pPr>
        <w:pStyle w:val="Bookbodytext"/>
      </w:pPr>
    </w:p>
    <w:p w14:paraId="44F652F0" w14:textId="3712FFB0" w:rsidR="00F83997" w:rsidRPr="00BC4264" w:rsidRDefault="00AD0BF3" w:rsidP="00DC3FAD">
      <w:pPr>
        <w:pStyle w:val="Bookbodytext"/>
      </w:pPr>
      <w:r w:rsidRPr="00BC4264">
        <w:lastRenderedPageBreak/>
        <w:t xml:space="preserve">This </w:t>
      </w:r>
      <w:r w:rsidR="003B76CF">
        <w:t xml:space="preserve">analysis </w:t>
      </w:r>
      <w:r w:rsidRPr="00BC4264">
        <w:t>is not deny</w:t>
      </w:r>
      <w:r w:rsidR="003B76CF">
        <w:t>ing</w:t>
      </w:r>
      <w:r w:rsidRPr="00BC4264">
        <w:t xml:space="preserve"> the emotional and material difficulties Vanessa experienced, </w:t>
      </w:r>
      <w:r w:rsidR="002D5A56">
        <w:t xml:space="preserve">rather this doxa </w:t>
      </w:r>
      <w:r w:rsidR="00955B45" w:rsidRPr="00BC4264">
        <w:t>obscure</w:t>
      </w:r>
      <w:r w:rsidR="002D5A56">
        <w:t>s</w:t>
      </w:r>
      <w:r w:rsidRPr="00BC4264">
        <w:t xml:space="preserve"> alternative understandings of how this experience </w:t>
      </w:r>
      <w:r w:rsidR="002D5A56">
        <w:t>features Vanessa’s</w:t>
      </w:r>
      <w:r w:rsidR="002D5A56" w:rsidRPr="00BC4264">
        <w:t xml:space="preserve"> </w:t>
      </w:r>
      <w:r w:rsidRPr="00BC4264">
        <w:t>skills of caring for others, cooking and managing complex needs within a household</w:t>
      </w:r>
      <w:r w:rsidR="002D5A56">
        <w:t>. T</w:t>
      </w:r>
      <w:r w:rsidRPr="00BC4264">
        <w:t xml:space="preserve">hese could be seen as </w:t>
      </w:r>
      <w:r w:rsidR="00605467" w:rsidRPr="00BC4264">
        <w:t xml:space="preserve">strengths and disrupt the commonly held assumption that </w:t>
      </w:r>
      <w:r w:rsidR="002D5A56">
        <w:t xml:space="preserve">non-normative </w:t>
      </w:r>
      <w:r w:rsidR="00605467" w:rsidRPr="00BC4264">
        <w:t>experiences are problematic per-se</w:t>
      </w:r>
      <w:r w:rsidR="00E07000">
        <w:t xml:space="preserve"> and </w:t>
      </w:r>
      <w:r w:rsidR="00F83997" w:rsidRPr="00BC4264">
        <w:t xml:space="preserve">shows how children are active agents in the construction of their life world, albeit in a manner that is constrained. </w:t>
      </w:r>
    </w:p>
    <w:p w14:paraId="0B187968" w14:textId="77777777" w:rsidR="00F83997" w:rsidRPr="00BC4264" w:rsidRDefault="00F83997" w:rsidP="00DC3FAD">
      <w:pPr>
        <w:pStyle w:val="Bookbodytext"/>
      </w:pPr>
    </w:p>
    <w:p w14:paraId="5F7AE4F6" w14:textId="23FC4B93" w:rsidR="008929BA" w:rsidRDefault="000E7244" w:rsidP="00DC3FAD">
      <w:pPr>
        <w:pStyle w:val="Bookbodytext"/>
      </w:pPr>
      <w:r w:rsidRPr="00564CFA">
        <w:t xml:space="preserve">Richard’s story </w:t>
      </w:r>
      <w:r w:rsidR="00564CFA" w:rsidRPr="00564CFA">
        <w:t>draws on</w:t>
      </w:r>
      <w:r w:rsidRPr="00564CFA">
        <w:t xml:space="preserve"> doxa </w:t>
      </w:r>
      <w:r w:rsidR="00564CFA" w:rsidRPr="00564CFA">
        <w:t xml:space="preserve">of children as passive, helpless and irrational in his life story, albeit </w:t>
      </w:r>
      <w:r w:rsidRPr="00564CFA">
        <w:t>in a different</w:t>
      </w:r>
      <w:r>
        <w:t xml:space="preserve"> way</w:t>
      </w:r>
      <w:r w:rsidR="00564CFA">
        <w:t>.</w:t>
      </w:r>
      <w:r>
        <w:t xml:space="preserve"> </w:t>
      </w:r>
      <w:r w:rsidR="00564CFA">
        <w:t xml:space="preserve">Like many </w:t>
      </w:r>
      <w:proofErr w:type="spellStart"/>
      <w:r w:rsidR="00564CFA">
        <w:t>CiC</w:t>
      </w:r>
      <w:proofErr w:type="spellEnd"/>
      <w:r w:rsidR="00564CFA">
        <w:t xml:space="preserve"> Richard moved between different foster placements</w:t>
      </w:r>
      <w:r w:rsidR="000110E6">
        <w:t xml:space="preserve">. What this means for a young person is the moving of physical home and the people </w:t>
      </w:r>
      <w:r w:rsidR="00294E07">
        <w:t xml:space="preserve">they </w:t>
      </w:r>
      <w:r w:rsidR="000110E6">
        <w:t>lived with</w:t>
      </w:r>
      <w:r w:rsidR="0026244A">
        <w:t xml:space="preserve">. </w:t>
      </w:r>
      <w:r w:rsidR="0012434F">
        <w:t xml:space="preserve">Richard reflects on how </w:t>
      </w:r>
      <w:r w:rsidR="00564CFA">
        <w:t xml:space="preserve">he </w:t>
      </w:r>
      <w:r w:rsidR="003B76CF">
        <w:t xml:space="preserve">experienced </w:t>
      </w:r>
      <w:r w:rsidR="00831368">
        <w:t>these placement moves as a child and said</w:t>
      </w:r>
      <w:r w:rsidR="0012434F">
        <w:t>:</w:t>
      </w:r>
    </w:p>
    <w:p w14:paraId="0EE62B98" w14:textId="053FFB3B" w:rsidR="00EC060F" w:rsidRPr="00BC4264" w:rsidRDefault="00CF5F7A" w:rsidP="00BB128C">
      <w:pPr>
        <w:pStyle w:val="BookQuote"/>
        <w:jc w:val="both"/>
        <w:rPr>
          <w:rFonts w:asciiTheme="minorHAnsi" w:hAnsiTheme="minorHAnsi" w:cstheme="minorHAnsi"/>
        </w:rPr>
      </w:pPr>
      <w:r w:rsidRPr="00793DF2">
        <w:t>Like I say, thrown in the deep end – cause that’s what it felt like with other moves. It was like, “Oh well, you’re moving, and this is when you're moving, and this is</w:t>
      </w:r>
      <w:r w:rsidR="00793DF2">
        <w:t xml:space="preserve"> </w:t>
      </w:r>
      <w:r w:rsidRPr="00793DF2">
        <w:t>where you're going.” … extremely daunting, especially at a young age. As you grow older and you look back, you think, “Uh that was a weird way of doing it.” But I suppose in some ways it was the only way to do it when you’re so little.</w:t>
      </w:r>
    </w:p>
    <w:p w14:paraId="189A9E1F" w14:textId="3C70E104" w:rsidR="00AF1540" w:rsidRDefault="0012434F" w:rsidP="00DC3FAD">
      <w:pPr>
        <w:pStyle w:val="Bookbodytext"/>
      </w:pPr>
      <w:r>
        <w:t xml:space="preserve">In his story Richard evaluates how difficult the moves </w:t>
      </w:r>
      <w:r w:rsidR="00831368">
        <w:t xml:space="preserve">between foster placements </w:t>
      </w:r>
      <w:r>
        <w:t>were for him</w:t>
      </w:r>
      <w:r w:rsidR="00831368">
        <w:t xml:space="preserve"> as a young child</w:t>
      </w:r>
      <w:r>
        <w:t xml:space="preserve">. </w:t>
      </w:r>
      <w:r w:rsidR="00831368">
        <w:t>It is also evident</w:t>
      </w:r>
      <w:r w:rsidR="00991C65" w:rsidRPr="00BC4264">
        <w:t xml:space="preserve"> Richard </w:t>
      </w:r>
      <w:r w:rsidR="00831368">
        <w:t>is evaluating his experiences</w:t>
      </w:r>
      <w:r w:rsidR="00BC00B0">
        <w:t xml:space="preserve"> as an adult, </w:t>
      </w:r>
      <w:r>
        <w:t>draw</w:t>
      </w:r>
      <w:r w:rsidR="00BC00B0">
        <w:t>ing</w:t>
      </w:r>
      <w:r>
        <w:t xml:space="preserve"> on the</w:t>
      </w:r>
      <w:r w:rsidR="00991C65" w:rsidRPr="00BC4264">
        <w:t xml:space="preserve"> doxa of children as irrational and unknowing beings</w:t>
      </w:r>
      <w:r>
        <w:t xml:space="preserve"> in need to protection and care to make sense of the way he was treated</w:t>
      </w:r>
      <w:r w:rsidR="003A443B">
        <w:t>,</w:t>
      </w:r>
      <w:r>
        <w:t xml:space="preserve"> and the denial of any agency</w:t>
      </w:r>
      <w:r w:rsidR="00991C65" w:rsidRPr="00BC4264">
        <w:t xml:space="preserve">. </w:t>
      </w:r>
      <w:r w:rsidR="003922D0" w:rsidRPr="00BC4264">
        <w:t>Arguably</w:t>
      </w:r>
      <w:r w:rsidR="00B67940">
        <w:t>,</w:t>
      </w:r>
      <w:r w:rsidR="00784EB7" w:rsidRPr="00BC4264">
        <w:t xml:space="preserve"> in this ex</w:t>
      </w:r>
      <w:r w:rsidR="00C55389" w:rsidRPr="00BC4264">
        <w:t>a</w:t>
      </w:r>
      <w:r w:rsidR="00784EB7" w:rsidRPr="00BC4264">
        <w:t>mple</w:t>
      </w:r>
      <w:r w:rsidR="0089457D" w:rsidRPr="00BC4264">
        <w:t xml:space="preserve"> there is evidence that</w:t>
      </w:r>
      <w:r w:rsidR="003922D0" w:rsidRPr="00BC4264">
        <w:t xml:space="preserve"> these differential </w:t>
      </w:r>
      <w:r w:rsidR="00BB43D9" w:rsidRPr="00BC4264">
        <w:t>positions</w:t>
      </w:r>
      <w:r w:rsidR="003922D0" w:rsidRPr="00BC4264">
        <w:t xml:space="preserve"> </w:t>
      </w:r>
      <w:proofErr w:type="spellStart"/>
      <w:r w:rsidR="003922D0" w:rsidRPr="00BC4264">
        <w:t>na</w:t>
      </w:r>
      <w:r w:rsidR="00991C65" w:rsidRPr="00BC4264">
        <w:t>turalise</w:t>
      </w:r>
      <w:proofErr w:type="spellEnd"/>
      <w:r w:rsidR="00991C65" w:rsidRPr="00BC4264">
        <w:t xml:space="preserve"> </w:t>
      </w:r>
      <w:r>
        <w:t xml:space="preserve">the adult </w:t>
      </w:r>
      <w:r w:rsidR="00991C65" w:rsidRPr="00BC4264">
        <w:t>decision making and</w:t>
      </w:r>
      <w:r>
        <w:t xml:space="preserve"> processes, in ways that</w:t>
      </w:r>
      <w:r w:rsidR="00991C65" w:rsidRPr="00BC4264">
        <w:t xml:space="preserve"> </w:t>
      </w:r>
      <w:r w:rsidR="003922D0" w:rsidRPr="00BC4264">
        <w:t>reinforce the rationality</w:t>
      </w:r>
      <w:r w:rsidR="003A443B">
        <w:t xml:space="preserve">, </w:t>
      </w:r>
      <w:r w:rsidR="003922D0" w:rsidRPr="00BC4264">
        <w:t xml:space="preserve">knowledge </w:t>
      </w:r>
      <w:r w:rsidR="003A443B">
        <w:t xml:space="preserve">and power </w:t>
      </w:r>
      <w:r w:rsidR="003922D0" w:rsidRPr="00BC4264">
        <w:t xml:space="preserve">of </w:t>
      </w:r>
      <w:r w:rsidR="0089457D" w:rsidRPr="00BC4264">
        <w:t>adult</w:t>
      </w:r>
      <w:r w:rsidR="003A443B">
        <w:t xml:space="preserve"> professional</w:t>
      </w:r>
      <w:r w:rsidR="0089457D" w:rsidRPr="00BC4264">
        <w:t>s</w:t>
      </w:r>
      <w:r w:rsidR="003922D0" w:rsidRPr="00BC4264">
        <w:t>.</w:t>
      </w:r>
      <w:r w:rsidR="00737F86">
        <w:t xml:space="preserve"> </w:t>
      </w:r>
    </w:p>
    <w:p w14:paraId="209E70C1" w14:textId="77777777" w:rsidR="00793DF2" w:rsidRDefault="00793DF2" w:rsidP="00DC3FAD">
      <w:pPr>
        <w:pStyle w:val="Bookbodytext"/>
      </w:pPr>
    </w:p>
    <w:p w14:paraId="4B2E32F0" w14:textId="042B27D8" w:rsidR="00793DF2" w:rsidRDefault="00F62E40" w:rsidP="00DC3FAD">
      <w:pPr>
        <w:pStyle w:val="Bookbodytext"/>
      </w:pPr>
      <w:r>
        <w:lastRenderedPageBreak/>
        <w:t>Embedded within</w:t>
      </w:r>
      <w:r w:rsidR="00826EC9" w:rsidRPr="00BC4264">
        <w:t xml:space="preserve"> doxas </w:t>
      </w:r>
      <w:r w:rsidR="00CF5F7A">
        <w:t>about</w:t>
      </w:r>
      <w:r w:rsidR="00826EC9" w:rsidRPr="00BC4264">
        <w:t xml:space="preserve"> children in care is a </w:t>
      </w:r>
      <w:r w:rsidR="003A443B" w:rsidRPr="00BC4264">
        <w:t>logic</w:t>
      </w:r>
      <w:r w:rsidR="00826EC9" w:rsidRPr="00BC4264">
        <w:t xml:space="preserve"> of determinism in the anticipated ways that children, who grow up in care, will grow up and continue an intergenerational perpetuation of abuse or poor outcomes. Sally </w:t>
      </w:r>
      <w:r w:rsidR="00604CB1">
        <w:t xml:space="preserve">drew on </w:t>
      </w:r>
      <w:r w:rsidR="0080748D">
        <w:t>doxa</w:t>
      </w:r>
      <w:r w:rsidR="00826EC9" w:rsidRPr="00BC4264">
        <w:t xml:space="preserve"> </w:t>
      </w:r>
      <w:r w:rsidR="003A443B">
        <w:t>about</w:t>
      </w:r>
      <w:r w:rsidR="003A443B" w:rsidRPr="00BC4264">
        <w:t xml:space="preserve"> </w:t>
      </w:r>
      <w:r w:rsidR="00826EC9" w:rsidRPr="00BC4264">
        <w:t>intergeneration</w:t>
      </w:r>
      <w:r w:rsidR="0080748D">
        <w:t>al abuse</w:t>
      </w:r>
      <w:r w:rsidR="00826EC9" w:rsidRPr="00BC4264">
        <w:t xml:space="preserve"> to understand her family history, saying, “my mam had been abused she therefore married an abuser”.</w:t>
      </w:r>
      <w:r w:rsidR="001964DC" w:rsidRPr="00BC4264">
        <w:t xml:space="preserve"> Similarly, C</w:t>
      </w:r>
      <w:r w:rsidR="0089457D" w:rsidRPr="00BC4264">
        <w:t>arrie-Anne talked about her fears of “history repeating itself” and shared:</w:t>
      </w:r>
    </w:p>
    <w:p w14:paraId="6ACB06B2" w14:textId="77777777" w:rsidR="00793DF2" w:rsidRDefault="0089457D" w:rsidP="00BB128C">
      <w:pPr>
        <w:pStyle w:val="BookQuote"/>
        <w:jc w:val="both"/>
      </w:pPr>
      <w:r w:rsidRPr="00793DF2">
        <w:t xml:space="preserve">I was so, so determined to not be such a failure like my </w:t>
      </w:r>
      <w:proofErr w:type="spellStart"/>
      <w:r w:rsidRPr="00793DF2">
        <w:t>mam</w:t>
      </w:r>
      <w:proofErr w:type="spellEnd"/>
      <w:r w:rsidRPr="00793DF2">
        <w:t>, you know, I was just so focused on that</w:t>
      </w:r>
      <w:r w:rsidR="00A757E5" w:rsidRPr="00793DF2">
        <w:t>.</w:t>
      </w:r>
    </w:p>
    <w:p w14:paraId="724FE98C" w14:textId="37209385" w:rsidR="001E04FE" w:rsidRDefault="00826EC9" w:rsidP="00DC3FAD">
      <w:pPr>
        <w:pStyle w:val="Bookbodytext"/>
      </w:pPr>
      <w:r w:rsidRPr="00BC4264">
        <w:t xml:space="preserve">Although there is evidence of the use of these dominant narratives </w:t>
      </w:r>
      <w:r w:rsidR="00BC00B0">
        <w:t xml:space="preserve">in the told </w:t>
      </w:r>
      <w:r w:rsidRPr="00BC4264">
        <w:t>stories</w:t>
      </w:r>
      <w:r w:rsidR="00BC00B0">
        <w:t xml:space="preserve"> it is important to </w:t>
      </w:r>
      <w:proofErr w:type="spellStart"/>
      <w:r w:rsidR="00BC00B0">
        <w:t>recognise</w:t>
      </w:r>
      <w:proofErr w:type="spellEnd"/>
      <w:r w:rsidR="00BC00B0">
        <w:t xml:space="preserve"> that </w:t>
      </w:r>
      <w:r w:rsidRPr="00BC4264">
        <w:t xml:space="preserve">participants negotiated </w:t>
      </w:r>
      <w:r w:rsidR="00BC00B0">
        <w:t>and contested these.</w:t>
      </w:r>
      <w:r w:rsidR="006271CE">
        <w:t xml:space="preserve"> </w:t>
      </w:r>
      <w:r w:rsidR="0098572F" w:rsidRPr="00BC4264">
        <w:t>By negotiating the doxa embedded</w:t>
      </w:r>
      <w:r w:rsidR="0098572F">
        <w:t>, and discursively resisting it,</w:t>
      </w:r>
      <w:r w:rsidR="0098572F" w:rsidRPr="00BC4264">
        <w:t xml:space="preserve"> within dominant narratives </w:t>
      </w:r>
      <w:r w:rsidR="00BC00B0">
        <w:t xml:space="preserve">about </w:t>
      </w:r>
      <w:proofErr w:type="spellStart"/>
      <w:r w:rsidR="00BC00B0">
        <w:t>CiC</w:t>
      </w:r>
      <w:proofErr w:type="spellEnd"/>
      <w:r w:rsidR="00BC00B0">
        <w:t xml:space="preserve"> </w:t>
      </w:r>
      <w:r w:rsidR="0098572F" w:rsidRPr="00BC4264">
        <w:t>the</w:t>
      </w:r>
      <w:r w:rsidR="0080748D">
        <w:t xml:space="preserve"> agency</w:t>
      </w:r>
      <w:r w:rsidR="0098572F" w:rsidRPr="00BC4264">
        <w:t xml:space="preserve"> and individual reflexivity of Carrie-Anne and Sally are made visible in their individual stories</w:t>
      </w:r>
      <w:r w:rsidR="00010B5C">
        <w:t xml:space="preserve">. </w:t>
      </w:r>
      <w:r w:rsidR="001E04FE" w:rsidRPr="00055A09">
        <w:t xml:space="preserve">For many this has not been without struggle, yet in spite of the deficit of hegemonic social, cultural, symbolic and economic capital they have been able to, in </w:t>
      </w:r>
      <w:r w:rsidR="001E04FE" w:rsidRPr="00793DF2">
        <w:t>Sally’s words, “break the cycle”.</w:t>
      </w:r>
    </w:p>
    <w:p w14:paraId="0F5B7FE9" w14:textId="77777777" w:rsidR="00793DF2" w:rsidRPr="00793DF2" w:rsidRDefault="00793DF2" w:rsidP="00DC3FAD">
      <w:pPr>
        <w:pStyle w:val="Bookbodytext"/>
      </w:pPr>
    </w:p>
    <w:p w14:paraId="02A2EF96" w14:textId="4446C47E" w:rsidR="00435A02" w:rsidRPr="00793DF2" w:rsidRDefault="00A30FEF" w:rsidP="00DC3FAD">
      <w:pPr>
        <w:pStyle w:val="Bookbodytext"/>
      </w:pPr>
      <w:r w:rsidRPr="00793DF2">
        <w:t>Doxa can lead to emotional harm</w:t>
      </w:r>
      <w:r w:rsidR="00826EC9" w:rsidRPr="00793DF2">
        <w:t>.</w:t>
      </w:r>
      <w:r w:rsidRPr="00793DF2">
        <w:t xml:space="preserve"> </w:t>
      </w:r>
      <w:r w:rsidR="000B75F2" w:rsidRPr="00793DF2">
        <w:t>Here,</w:t>
      </w:r>
      <w:r w:rsidR="0098572F" w:rsidRPr="00793DF2">
        <w:t xml:space="preserve"> </w:t>
      </w:r>
      <w:r w:rsidR="000B75F2" w:rsidRPr="00793DF2">
        <w:t xml:space="preserve">Carrie-Anne describes her experience of sitting in training and hearing dominant knowledge about </w:t>
      </w:r>
      <w:proofErr w:type="spellStart"/>
      <w:r w:rsidR="0098572F" w:rsidRPr="00793DF2">
        <w:t>CiC</w:t>
      </w:r>
      <w:proofErr w:type="spellEnd"/>
      <w:r w:rsidR="0098572F" w:rsidRPr="00793DF2">
        <w:t xml:space="preserve"> </w:t>
      </w:r>
      <w:r w:rsidRPr="00793DF2">
        <w:t>affected her</w:t>
      </w:r>
      <w:r w:rsidR="000B75F2" w:rsidRPr="00793DF2">
        <w:t xml:space="preserve"> sense of self. </w:t>
      </w:r>
    </w:p>
    <w:p w14:paraId="61F6EFAB" w14:textId="2C716E65" w:rsidR="00826EC9" w:rsidRPr="00793DF2" w:rsidRDefault="00826EC9" w:rsidP="00BB128C">
      <w:pPr>
        <w:pStyle w:val="BookQuote"/>
        <w:jc w:val="both"/>
      </w:pPr>
      <w:r w:rsidRPr="00793DF2">
        <w:t xml:space="preserve">I'm sitting in training courses and they're saying you know “People who've not had like a care giver, you know, attachment problems-” and all the problems they would have and people who've been in children's homes and care and the percentage of them failing in life. You know, it's just massive. You know, all these statistics were just thrown at us and I was just sat there in the chair thinking – sorry for French “What's the fucking point of trying? </w:t>
      </w:r>
      <w:proofErr w:type="spellStart"/>
      <w:r w:rsidRPr="00793DF2">
        <w:t>'cause</w:t>
      </w:r>
      <w:proofErr w:type="spellEnd"/>
      <w:r w:rsidRPr="00793DF2">
        <w:t xml:space="preserve"> I'm doomed, this is me, they're talking about me, why am I even sat here? I'm a fraud, I shouldn't be here.” You know so all these thoughts and that were really playing havoc with my head. And I just remember sitting in this training course </w:t>
      </w:r>
      <w:r w:rsidRPr="00793DF2">
        <w:lastRenderedPageBreak/>
        <w:t>and I just remember being sat on this seat in this auditorium full of other people with a spotlight shining on me, and it was just awful, really, really distressing.</w:t>
      </w:r>
    </w:p>
    <w:p w14:paraId="0987CEEA" w14:textId="6C240CD7" w:rsidR="000B75F2" w:rsidRPr="00BC4264" w:rsidRDefault="00826EC9" w:rsidP="00DC3FAD">
      <w:pPr>
        <w:pStyle w:val="Bookbodytext"/>
      </w:pPr>
      <w:r w:rsidRPr="00BC4264">
        <w:t>Carrie- Anne’s experiences illustrate the symbolic violence of the</w:t>
      </w:r>
      <w:r w:rsidR="00237580" w:rsidRPr="00BC4264">
        <w:t xml:space="preserve"> way that doxa </w:t>
      </w:r>
      <w:r w:rsidR="00A30FEF">
        <w:t>can</w:t>
      </w:r>
      <w:r w:rsidR="00213786">
        <w:t xml:space="preserve"> </w:t>
      </w:r>
      <w:proofErr w:type="gramStart"/>
      <w:r w:rsidR="00213786">
        <w:t xml:space="preserve">be </w:t>
      </w:r>
      <w:r w:rsidR="00A30FEF">
        <w:t xml:space="preserve"> </w:t>
      </w:r>
      <w:r w:rsidR="00237580" w:rsidRPr="00BC4264">
        <w:t>experienced</w:t>
      </w:r>
      <w:proofErr w:type="gramEnd"/>
      <w:r w:rsidR="00237580" w:rsidRPr="00BC4264">
        <w:t xml:space="preserve"> by individuals and the subjective experiencing of distress. </w:t>
      </w:r>
      <w:r w:rsidR="000B75F2">
        <w:t xml:space="preserve">In sharing this Carrie-Anne shows how her </w:t>
      </w:r>
      <w:r w:rsidR="000B75F2" w:rsidRPr="00BC4264">
        <w:t xml:space="preserve">individual agency and reflexivity were </w:t>
      </w:r>
      <w:proofErr w:type="spellStart"/>
      <w:r w:rsidR="00A30FEF">
        <w:t>misrecognised</w:t>
      </w:r>
      <w:proofErr w:type="spellEnd"/>
      <w:r w:rsidR="00A30FEF">
        <w:t xml:space="preserve"> and</w:t>
      </w:r>
      <w:r w:rsidR="000B75F2">
        <w:t xml:space="preserve"> she</w:t>
      </w:r>
      <w:r w:rsidR="00A30FEF">
        <w:t xml:space="preserve"> </w:t>
      </w:r>
      <w:r w:rsidR="000B75F2">
        <w:t xml:space="preserve">experienced the </w:t>
      </w:r>
      <w:r w:rsidR="00A30FEF">
        <w:t xml:space="preserve">undermining </w:t>
      </w:r>
      <w:r w:rsidR="000E0712">
        <w:t>e</w:t>
      </w:r>
      <w:r w:rsidR="000B75F2">
        <w:t>ffects of symbolic power and doxa</w:t>
      </w:r>
      <w:r w:rsidR="000B75F2" w:rsidRPr="00BC4264">
        <w:t>.</w:t>
      </w:r>
    </w:p>
    <w:p w14:paraId="26FF7D7C" w14:textId="327DCD8C" w:rsidR="00360312" w:rsidRDefault="00360312" w:rsidP="00DC3FAD">
      <w:pPr>
        <w:pStyle w:val="Bookbodytext"/>
      </w:pPr>
    </w:p>
    <w:p w14:paraId="1F4342FC" w14:textId="420047EA" w:rsidR="00360312" w:rsidRDefault="00360312" w:rsidP="00BB128C">
      <w:pPr>
        <w:pStyle w:val="BookLevel2"/>
        <w:jc w:val="both"/>
      </w:pPr>
      <w:r w:rsidRPr="009559A1">
        <w:t>Dox</w:t>
      </w:r>
      <w:r w:rsidR="00DB66E6">
        <w:t xml:space="preserve">a </w:t>
      </w:r>
      <w:r w:rsidR="00F21CE8">
        <w:t>of</w:t>
      </w:r>
      <w:r w:rsidRPr="009559A1">
        <w:t xml:space="preserve"> children in care:</w:t>
      </w:r>
      <w:r>
        <w:t xml:space="preserve"> </w:t>
      </w:r>
      <w:r w:rsidR="00F21CE8">
        <w:t xml:space="preserve">deviant, criminal and </w:t>
      </w:r>
      <w:r w:rsidR="00DB66E6">
        <w:t>naughty</w:t>
      </w:r>
      <w:r w:rsidR="00F21CE8">
        <w:t xml:space="preserve"> </w:t>
      </w:r>
    </w:p>
    <w:p w14:paraId="1A21D824" w14:textId="61994B77" w:rsidR="001B62CD" w:rsidRPr="00BC4264" w:rsidRDefault="00F21CE8" w:rsidP="00DC3FAD">
      <w:pPr>
        <w:pStyle w:val="Bookbodytext"/>
      </w:pPr>
      <w:r w:rsidRPr="00BC4264">
        <w:t>Earl</w:t>
      </w:r>
      <w:r w:rsidR="004506A8">
        <w:t>ier</w:t>
      </w:r>
      <w:r w:rsidR="00B67940">
        <w:t>,</w:t>
      </w:r>
      <w:r w:rsidRPr="00BC4264">
        <w:t xml:space="preserve"> </w:t>
      </w:r>
      <w:r w:rsidR="004506A8">
        <w:t xml:space="preserve">I </w:t>
      </w:r>
      <w:r w:rsidR="00B67940">
        <w:t>highlighted</w:t>
      </w:r>
      <w:r w:rsidRPr="00BC4264">
        <w:t xml:space="preserve"> evidence </w:t>
      </w:r>
      <w:r w:rsidR="00B67940">
        <w:t xml:space="preserve">to suggest </w:t>
      </w:r>
      <w:r w:rsidRPr="00BC4264">
        <w:t xml:space="preserve">that </w:t>
      </w:r>
      <w:r w:rsidR="00605467" w:rsidRPr="00BC4264">
        <w:t xml:space="preserve">some of the </w:t>
      </w:r>
      <w:r w:rsidRPr="00BC4264">
        <w:t>public perceive</w:t>
      </w:r>
      <w:r w:rsidR="00605467" w:rsidRPr="00BC4264">
        <w:t xml:space="preserve"> </w:t>
      </w:r>
      <w:r w:rsidRPr="00BC4264">
        <w:t>the child in care as criminal</w:t>
      </w:r>
      <w:r w:rsidR="00B67940">
        <w:t>,</w:t>
      </w:r>
      <w:r w:rsidR="004E63A4">
        <w:t xml:space="preserve"> or </w:t>
      </w:r>
      <w:r w:rsidR="004E63A4" w:rsidRPr="00BC4264">
        <w:t>as having done something wrong, or naughty</w:t>
      </w:r>
      <w:r w:rsidR="004E63A4">
        <w:t xml:space="preserve">. </w:t>
      </w:r>
      <w:r w:rsidR="00DB66E6" w:rsidRPr="00BC4264">
        <w:t xml:space="preserve">This view was incorporated </w:t>
      </w:r>
      <w:r w:rsidR="00032DF0" w:rsidRPr="00BC4264">
        <w:t>into</w:t>
      </w:r>
      <w:r w:rsidR="00DB66E6" w:rsidRPr="00BC4264">
        <w:t xml:space="preserve"> a number of participants</w:t>
      </w:r>
      <w:r w:rsidR="004506A8">
        <w:t>’</w:t>
      </w:r>
      <w:r w:rsidR="00DB66E6" w:rsidRPr="00BC4264">
        <w:t xml:space="preserve"> </w:t>
      </w:r>
      <w:r w:rsidRPr="00BC4264">
        <w:t>stor</w:t>
      </w:r>
      <w:r w:rsidR="004506A8">
        <w:t>ies</w:t>
      </w:r>
      <w:r w:rsidR="00DB66E6" w:rsidRPr="00BC4264">
        <w:t xml:space="preserve">. This section </w:t>
      </w:r>
      <w:r w:rsidR="00A418E1">
        <w:t>explores</w:t>
      </w:r>
      <w:r w:rsidR="00A418E1" w:rsidRPr="00BC4264">
        <w:t xml:space="preserve"> </w:t>
      </w:r>
      <w:r w:rsidR="00DB66E6" w:rsidRPr="00BC4264">
        <w:t xml:space="preserve">the ways in which </w:t>
      </w:r>
      <w:r w:rsidR="004E63A4">
        <w:t xml:space="preserve">this </w:t>
      </w:r>
      <w:r w:rsidR="00DB66E6" w:rsidRPr="00BC4264">
        <w:t xml:space="preserve">doxa of children in care </w:t>
      </w:r>
      <w:r w:rsidR="0069207E" w:rsidRPr="00BC4264">
        <w:t>was negotiated</w:t>
      </w:r>
      <w:r w:rsidR="00DB66E6" w:rsidRPr="00BC4264">
        <w:t>.</w:t>
      </w:r>
      <w:r w:rsidR="001B62CD" w:rsidRPr="00BC4264">
        <w:t xml:space="preserve"> </w:t>
      </w:r>
    </w:p>
    <w:p w14:paraId="444C8375" w14:textId="465BF1C6" w:rsidR="001B62CD" w:rsidRPr="00BC4264" w:rsidRDefault="001B62CD" w:rsidP="00DC3FAD">
      <w:pPr>
        <w:pStyle w:val="Bookbodytext"/>
      </w:pPr>
    </w:p>
    <w:p w14:paraId="53B69DDB" w14:textId="0F3ACBB4" w:rsidR="00435A02" w:rsidRPr="00BC4264" w:rsidRDefault="001B62CD" w:rsidP="00DC3FAD">
      <w:pPr>
        <w:pStyle w:val="Bookbodytext"/>
        <w:rPr>
          <w:rFonts w:asciiTheme="minorHAnsi" w:hAnsiTheme="minorHAnsi"/>
          <w:u w:val="single"/>
        </w:rPr>
      </w:pPr>
      <w:r w:rsidRPr="00BC4264">
        <w:t xml:space="preserve">It is important to also consider examples of </w:t>
      </w:r>
      <w:r w:rsidR="00C561BF">
        <w:t>what could be deemed ‘</w:t>
      </w:r>
      <w:r w:rsidRPr="00BC4264">
        <w:t>bad</w:t>
      </w:r>
      <w:r w:rsidR="00C561BF">
        <w:t>’</w:t>
      </w:r>
      <w:r w:rsidRPr="00BC4264">
        <w:t xml:space="preserve"> behavior</w:t>
      </w:r>
      <w:r w:rsidR="00564CFA">
        <w:t xml:space="preserve"> and the context in which it occurred. Tommy said in his interview that:</w:t>
      </w:r>
      <w:r w:rsidRPr="00BC4264">
        <w:t xml:space="preserve"> </w:t>
      </w:r>
    </w:p>
    <w:p w14:paraId="20B4A270" w14:textId="64400D92" w:rsidR="00033B6B" w:rsidRPr="000E0712" w:rsidRDefault="001B62CD" w:rsidP="00BB128C">
      <w:pPr>
        <w:pStyle w:val="BookQuote"/>
        <w:jc w:val="both"/>
      </w:pPr>
      <w:r w:rsidRPr="000E0712">
        <w:t>they never fed us much. I used to eat raw cabbages out the fields, you know,</w:t>
      </w:r>
      <w:r w:rsidR="00793DF2">
        <w:t xml:space="preserve"> </w:t>
      </w:r>
      <w:proofErr w:type="spellStart"/>
      <w:r w:rsidRPr="000E0712">
        <w:t>’cause</w:t>
      </w:r>
      <w:proofErr w:type="spellEnd"/>
      <w:r w:rsidRPr="000E0712">
        <w:t xml:space="preserve"> we – they never – I don’t know why but we never got enough to eat. And I</w:t>
      </w:r>
      <w:r w:rsidR="00564CFA">
        <w:t xml:space="preserve"> </w:t>
      </w:r>
      <w:r w:rsidRPr="000E0712">
        <w:t xml:space="preserve">know that’s wrong, like, but when I used to go to </w:t>
      </w:r>
      <w:r w:rsidR="00032DF0" w:rsidRPr="000E0712">
        <w:t>school,</w:t>
      </w:r>
      <w:r w:rsidRPr="000E0712">
        <w:t xml:space="preserve"> I used to pinch milk bottles</w:t>
      </w:r>
      <w:r w:rsidR="00793DF2">
        <w:t xml:space="preserve"> </w:t>
      </w:r>
      <w:r w:rsidRPr="000E0712">
        <w:t xml:space="preserve">off the steps. </w:t>
      </w:r>
    </w:p>
    <w:p w14:paraId="30428ACE" w14:textId="2111A44C" w:rsidR="00BA4B67" w:rsidRDefault="00033B6B" w:rsidP="00DC3FAD">
      <w:pPr>
        <w:pStyle w:val="Bookbodytext"/>
      </w:pPr>
      <w:r w:rsidRPr="00BC4264">
        <w:t xml:space="preserve">In this example the adaptation to survive is important to Tommy to narrate these </w:t>
      </w:r>
      <w:proofErr w:type="spellStart"/>
      <w:r w:rsidRPr="00BC4264">
        <w:t>misdemeanours</w:t>
      </w:r>
      <w:proofErr w:type="spellEnd"/>
      <w:r w:rsidRPr="00BC4264">
        <w:t xml:space="preserve">. </w:t>
      </w:r>
      <w:r w:rsidR="001B62CD" w:rsidRPr="00BC4264">
        <w:t>In the extract from Tommy’s story ‘deviance’ was a direct response to not getting enough nourishment to satisfy their basic needs</w:t>
      </w:r>
      <w:r w:rsidR="00C561BF">
        <w:t xml:space="preserve"> whilst </w:t>
      </w:r>
      <w:r w:rsidR="0098572F">
        <w:t xml:space="preserve">living </w:t>
      </w:r>
      <w:r w:rsidR="00C561BF">
        <w:t>in a children’s home</w:t>
      </w:r>
      <w:r w:rsidR="001B62CD" w:rsidRPr="00BC4264">
        <w:t xml:space="preserve">. In this way doxa </w:t>
      </w:r>
      <w:r w:rsidRPr="00BC4264">
        <w:t xml:space="preserve">of the child in care as criminal </w:t>
      </w:r>
      <w:r w:rsidR="00A418E1">
        <w:t>obscures</w:t>
      </w:r>
      <w:r w:rsidRPr="00BC4264">
        <w:t xml:space="preserve"> the </w:t>
      </w:r>
      <w:r w:rsidR="00A418E1">
        <w:t>deprivation</w:t>
      </w:r>
      <w:r w:rsidRPr="00BC4264">
        <w:t xml:space="preserve"> Tommy</w:t>
      </w:r>
      <w:r w:rsidR="00A418E1">
        <w:t xml:space="preserve"> lived through as a young child</w:t>
      </w:r>
      <w:r w:rsidR="00564CFA">
        <w:t xml:space="preserve"> and his skills at negotiating this, albeit with bounded agency</w:t>
      </w:r>
      <w:r w:rsidR="00A418E1">
        <w:t>.</w:t>
      </w:r>
      <w:r w:rsidRPr="00BC4264">
        <w:t xml:space="preserve"> </w:t>
      </w:r>
    </w:p>
    <w:p w14:paraId="6CBEC6F7" w14:textId="77777777" w:rsidR="00BA4B67" w:rsidRPr="00BC4264" w:rsidRDefault="00BA4B67" w:rsidP="00DC3FAD">
      <w:pPr>
        <w:pStyle w:val="Bookbodytext"/>
      </w:pPr>
    </w:p>
    <w:p w14:paraId="76FC3272" w14:textId="5B0F4E4D" w:rsidR="001B62CD" w:rsidRPr="00793DF2" w:rsidRDefault="00A33287" w:rsidP="00DC3FAD">
      <w:pPr>
        <w:pStyle w:val="Bookbodytext"/>
      </w:pPr>
      <w:r w:rsidRPr="00793DF2">
        <w:lastRenderedPageBreak/>
        <w:t>Ian</w:t>
      </w:r>
      <w:r w:rsidR="001B62CD" w:rsidRPr="00793DF2">
        <w:t xml:space="preserve"> </w:t>
      </w:r>
      <w:r w:rsidR="000E0712" w:rsidRPr="00793DF2">
        <w:t xml:space="preserve">spent </w:t>
      </w:r>
      <w:r w:rsidR="001B62CD" w:rsidRPr="00793DF2">
        <w:t>time as a young child in residential care, he was reunited with his mum after several months. Reflecting on his early teenage years Ian says he and his brothers were</w:t>
      </w:r>
      <w:r w:rsidR="0092511E" w:rsidRPr="00793DF2">
        <w:t>:</w:t>
      </w:r>
    </w:p>
    <w:p w14:paraId="442845D6" w14:textId="0CDA2D65" w:rsidR="001B62CD" w:rsidRPr="000E0712" w:rsidRDefault="001B62CD" w:rsidP="00BB128C">
      <w:pPr>
        <w:pStyle w:val="BookQuote"/>
        <w:jc w:val="both"/>
        <w:rPr>
          <w:i/>
          <w:iCs/>
        </w:rPr>
      </w:pPr>
      <w:r w:rsidRPr="000E0712">
        <w:t xml:space="preserve"> not really criminal but just deviant, naughty, working class boys but a lot of the kids we went to school with they were exactly the same, it was just normal to be like that. Crime was normal</w:t>
      </w:r>
    </w:p>
    <w:p w14:paraId="3E546405" w14:textId="259D23B5" w:rsidR="00033B6B" w:rsidRDefault="00033B6B" w:rsidP="00DC3FAD">
      <w:pPr>
        <w:pStyle w:val="Bookbodytext"/>
      </w:pPr>
      <w:r w:rsidRPr="00793DF2">
        <w:t xml:space="preserve">The intersection of social class norms and ways of getting by is </w:t>
      </w:r>
      <w:r w:rsidR="0092511E" w:rsidRPr="00793DF2">
        <w:t>suggested</w:t>
      </w:r>
      <w:r w:rsidRPr="00793DF2">
        <w:t xml:space="preserve"> </w:t>
      </w:r>
      <w:r w:rsidR="0092511E" w:rsidRPr="00793DF2">
        <w:t>here</w:t>
      </w:r>
      <w:r w:rsidRPr="00793DF2">
        <w:t xml:space="preserve"> by Ian. T</w:t>
      </w:r>
      <w:r w:rsidR="00F640D2" w:rsidRPr="00793DF2">
        <w:t xml:space="preserve">o </w:t>
      </w:r>
      <w:r w:rsidR="00224C56" w:rsidRPr="00793DF2">
        <w:t>apply</w:t>
      </w:r>
      <w:r w:rsidR="00F640D2" w:rsidRPr="00793DF2">
        <w:t xml:space="preserve"> </w:t>
      </w:r>
      <w:r w:rsidR="00224C56" w:rsidRPr="00793DF2">
        <w:t xml:space="preserve">the </w:t>
      </w:r>
      <w:r w:rsidRPr="00793DF2">
        <w:t xml:space="preserve">doxa of children in care as naughty in this </w:t>
      </w:r>
      <w:r w:rsidR="00224C56" w:rsidRPr="00793DF2">
        <w:t>produces</w:t>
      </w:r>
      <w:r w:rsidRPr="00793DF2">
        <w:t xml:space="preserve"> misrecogni</w:t>
      </w:r>
      <w:r w:rsidR="00224C56" w:rsidRPr="00793DF2">
        <w:t>tion of</w:t>
      </w:r>
      <w:r w:rsidRPr="00793DF2">
        <w:t xml:space="preserve"> the ways through which some young people get by, the cultural capital accumulated in working class communities is not necessarily the same as those who grow up in higher socio-economic classes (McKenzie, </w:t>
      </w:r>
      <w:r w:rsidR="00D91DF6" w:rsidRPr="00793DF2">
        <w:t>2015</w:t>
      </w:r>
      <w:r w:rsidRPr="00793DF2">
        <w:t xml:space="preserve">). Although, this was the only example in this study of ‘crime’ narratively associated with social class. </w:t>
      </w:r>
    </w:p>
    <w:p w14:paraId="186F9C37" w14:textId="77777777" w:rsidR="00793DF2" w:rsidRPr="00793DF2" w:rsidRDefault="00793DF2" w:rsidP="00DC3FAD">
      <w:pPr>
        <w:pStyle w:val="Bookbodytext"/>
      </w:pPr>
    </w:p>
    <w:p w14:paraId="53ABD2C0" w14:textId="2BB43C93" w:rsidR="001E04FE" w:rsidRPr="00793DF2" w:rsidRDefault="00532B96" w:rsidP="00DC3FAD">
      <w:pPr>
        <w:pStyle w:val="Bookbodytext"/>
      </w:pPr>
      <w:r w:rsidRPr="00793DF2">
        <w:t>I</w:t>
      </w:r>
      <w:r w:rsidR="005D24F6" w:rsidRPr="00793DF2">
        <w:t>t has been said that in the wider public</w:t>
      </w:r>
      <w:r w:rsidR="00C93CB9" w:rsidRPr="00793DF2">
        <w:t xml:space="preserve"> </w:t>
      </w:r>
      <w:r w:rsidR="005D24F6" w:rsidRPr="00793DF2">
        <w:t xml:space="preserve">perceive </w:t>
      </w:r>
      <w:proofErr w:type="spellStart"/>
      <w:r w:rsidR="00C93CB9" w:rsidRPr="00793DF2">
        <w:t>CiC</w:t>
      </w:r>
      <w:proofErr w:type="spellEnd"/>
      <w:r w:rsidR="00C93CB9" w:rsidRPr="00793DF2">
        <w:t xml:space="preserve"> as criminal, </w:t>
      </w:r>
      <w:r w:rsidR="005D24F6" w:rsidRPr="00793DF2">
        <w:t xml:space="preserve">or having </w:t>
      </w:r>
      <w:r w:rsidRPr="00793DF2">
        <w:t>d</w:t>
      </w:r>
      <w:r w:rsidR="005D24F6" w:rsidRPr="00793DF2">
        <w:t xml:space="preserve">one something wrong, </w:t>
      </w:r>
      <w:r w:rsidR="00C93CB9" w:rsidRPr="00793DF2">
        <w:t>it is known that the majority of people who have experienced care do not have criminal convictions (Taylor, 2003; Hare and Bullock,</w:t>
      </w:r>
      <w:r w:rsidR="00BA4B67" w:rsidRPr="00793DF2">
        <w:t xml:space="preserve"> 2006</w:t>
      </w:r>
      <w:r w:rsidR="00C93CB9" w:rsidRPr="00793DF2">
        <w:t xml:space="preserve">). </w:t>
      </w:r>
      <w:r w:rsidR="005D24F6" w:rsidRPr="00793DF2">
        <w:t>However,</w:t>
      </w:r>
      <w:r w:rsidR="00C93CB9" w:rsidRPr="00793DF2">
        <w:t xml:space="preserve"> the disproportional presence of care experienced people in prison does need exploration</w:t>
      </w:r>
      <w:r w:rsidR="00564CFA">
        <w:t>,</w:t>
      </w:r>
      <w:r w:rsidR="00C93CB9" w:rsidRPr="00793DF2">
        <w:t xml:space="preserve"> in a way that examines the complexity of th</w:t>
      </w:r>
      <w:r w:rsidR="00564CFA">
        <w:t>e</w:t>
      </w:r>
      <w:r w:rsidR="00C93CB9" w:rsidRPr="00793DF2">
        <w:t xml:space="preserve"> issue (Taylor, 2003).  </w:t>
      </w:r>
      <w:r w:rsidR="005D24F6" w:rsidRPr="00793DF2">
        <w:t>T</w:t>
      </w:r>
      <w:r w:rsidR="00C93CB9" w:rsidRPr="00793DF2">
        <w:t xml:space="preserve">he Howard League for Penal Reform </w:t>
      </w:r>
      <w:r w:rsidR="005D24F6" w:rsidRPr="00793DF2">
        <w:t>partly attribute the</w:t>
      </w:r>
      <w:r w:rsidR="00C93CB9" w:rsidRPr="00793DF2">
        <w:t xml:space="preserve"> </w:t>
      </w:r>
      <w:proofErr w:type="spellStart"/>
      <w:r w:rsidR="00C93CB9" w:rsidRPr="00793DF2">
        <w:t>criminalisation</w:t>
      </w:r>
      <w:proofErr w:type="spellEnd"/>
      <w:r w:rsidR="00C93CB9" w:rsidRPr="00793DF2">
        <w:t xml:space="preserve"> of young people in care to how </w:t>
      </w:r>
      <w:proofErr w:type="spellStart"/>
      <w:r w:rsidR="00C93CB9" w:rsidRPr="00793DF2">
        <w:t>behaviours</w:t>
      </w:r>
      <w:proofErr w:type="spellEnd"/>
      <w:r w:rsidR="00C93CB9" w:rsidRPr="00793DF2">
        <w:t xml:space="preserve"> and actions by young people in care </w:t>
      </w:r>
      <w:proofErr w:type="gramStart"/>
      <w:r w:rsidR="00C93CB9" w:rsidRPr="00793DF2">
        <w:t>e.g.</w:t>
      </w:r>
      <w:proofErr w:type="gramEnd"/>
      <w:r w:rsidR="00C93CB9" w:rsidRPr="00793DF2">
        <w:t xml:space="preserve"> taking food or breaking furniture, lead to </w:t>
      </w:r>
      <w:r w:rsidR="00BA4B67" w:rsidRPr="00793DF2">
        <w:t xml:space="preserve">police involvement and </w:t>
      </w:r>
      <w:r w:rsidR="00C93CB9" w:rsidRPr="00793DF2">
        <w:t xml:space="preserve">criminal convictions (2017). Generally, these </w:t>
      </w:r>
      <w:proofErr w:type="spellStart"/>
      <w:r w:rsidR="00C93CB9" w:rsidRPr="00793DF2">
        <w:t>behaviours</w:t>
      </w:r>
      <w:proofErr w:type="spellEnd"/>
      <w:r w:rsidR="00C93CB9" w:rsidRPr="00793DF2">
        <w:t xml:space="preserve"> in the family home are not dealt with by involving the police.  </w:t>
      </w:r>
      <w:r w:rsidR="005D24F6" w:rsidRPr="00793DF2">
        <w:t xml:space="preserve">This attribution </w:t>
      </w:r>
      <w:r w:rsidR="00010B5C">
        <w:t>illustrates further</w:t>
      </w:r>
      <w:r w:rsidR="005D24F6" w:rsidRPr="00793DF2">
        <w:t xml:space="preserve"> how </w:t>
      </w:r>
      <w:proofErr w:type="spellStart"/>
      <w:r w:rsidR="005D24F6" w:rsidRPr="00793DF2">
        <w:t>CiC</w:t>
      </w:r>
      <w:proofErr w:type="spellEnd"/>
      <w:r w:rsidR="005D24F6" w:rsidRPr="00793DF2">
        <w:t xml:space="preserve"> are treated differently due to their ascribed status</w:t>
      </w:r>
      <w:r w:rsidR="00010B5C">
        <w:t xml:space="preserve">; </w:t>
      </w:r>
      <w:r w:rsidR="005D24F6" w:rsidRPr="00793DF2">
        <w:t xml:space="preserve">approaching this with the Bourdieusian concepts we could </w:t>
      </w:r>
      <w:proofErr w:type="spellStart"/>
      <w:r w:rsidR="005D24F6" w:rsidRPr="00793DF2">
        <w:t>theorise</w:t>
      </w:r>
      <w:proofErr w:type="spellEnd"/>
      <w:r w:rsidR="005D24F6" w:rsidRPr="00793DF2">
        <w:t xml:space="preserve"> how symbolic power and symbolic violence in such an example reifies doxa.</w:t>
      </w:r>
    </w:p>
    <w:p w14:paraId="15315222" w14:textId="77777777" w:rsidR="00793DF2" w:rsidRPr="00793DF2" w:rsidRDefault="00793DF2" w:rsidP="00DC3FAD">
      <w:pPr>
        <w:pStyle w:val="Bookbodytext"/>
      </w:pPr>
    </w:p>
    <w:p w14:paraId="7BC522A7" w14:textId="69200111" w:rsidR="00793DF2" w:rsidRPr="00793DF2" w:rsidRDefault="001B62CD" w:rsidP="00DC3FAD">
      <w:pPr>
        <w:pStyle w:val="Bookbodytext"/>
      </w:pPr>
      <w:r w:rsidRPr="00793DF2">
        <w:lastRenderedPageBreak/>
        <w:t xml:space="preserve">Although a few </w:t>
      </w:r>
      <w:r w:rsidR="00F310EB" w:rsidRPr="00793DF2">
        <w:t>participants</w:t>
      </w:r>
      <w:r w:rsidRPr="00793DF2">
        <w:t xml:space="preserve"> told stories where their relatives had done things that </w:t>
      </w:r>
      <w:r w:rsidR="000B75F2" w:rsidRPr="00793DF2">
        <w:t>were positioned</w:t>
      </w:r>
      <w:r w:rsidRPr="00793DF2">
        <w:t xml:space="preserve"> as ‘criminal’ or deviant none of the stories mentioned </w:t>
      </w:r>
      <w:r w:rsidR="00A757E5" w:rsidRPr="00793DF2">
        <w:t xml:space="preserve">participants </w:t>
      </w:r>
      <w:r w:rsidRPr="00793DF2">
        <w:t>going to prison,</w:t>
      </w:r>
      <w:r w:rsidR="0008324E">
        <w:t xml:space="preserve"> </w:t>
      </w:r>
      <w:proofErr w:type="gramStart"/>
      <w:r w:rsidRPr="00793DF2">
        <w:t>or</w:t>
      </w:r>
      <w:r w:rsidR="000B75F2" w:rsidRPr="00793DF2">
        <w:t>,</w:t>
      </w:r>
      <w:proofErr w:type="gramEnd"/>
      <w:r w:rsidRPr="00793DF2">
        <w:t xml:space="preserve"> receiving a criminal record. It may have been an intentional </w:t>
      </w:r>
      <w:r w:rsidR="00F310EB" w:rsidRPr="00793DF2">
        <w:t>omission</w:t>
      </w:r>
      <w:r w:rsidRPr="00793DF2">
        <w:t xml:space="preserve"> in order to communicate a </w:t>
      </w:r>
      <w:r w:rsidR="00F310EB" w:rsidRPr="00793DF2">
        <w:t>particular</w:t>
      </w:r>
      <w:r w:rsidRPr="00793DF2">
        <w:t xml:space="preserve"> socially acceptable version of self. What is made visible in </w:t>
      </w:r>
      <w:r w:rsidR="004A7F2C" w:rsidRPr="00793DF2">
        <w:t xml:space="preserve">these </w:t>
      </w:r>
      <w:r w:rsidRPr="00793DF2">
        <w:t>accounts was how their actions, framed as deviant, amount to social misrecognition</w:t>
      </w:r>
      <w:r w:rsidR="00A757E5" w:rsidRPr="00793DF2">
        <w:t xml:space="preserve"> as the </w:t>
      </w:r>
      <w:r w:rsidR="00A33287" w:rsidRPr="00793DF2">
        <w:t xml:space="preserve">wider </w:t>
      </w:r>
      <w:r w:rsidR="00DA5EB9" w:rsidRPr="00793DF2">
        <w:t>s</w:t>
      </w:r>
      <w:r w:rsidR="00A33287" w:rsidRPr="00793DF2">
        <w:t>o</w:t>
      </w:r>
      <w:r w:rsidR="00DA5EB9" w:rsidRPr="00793DF2">
        <w:t>c</w:t>
      </w:r>
      <w:r w:rsidR="00A33287" w:rsidRPr="00793DF2">
        <w:t xml:space="preserve">ial, economic and cultural </w:t>
      </w:r>
      <w:r w:rsidR="00FF79B5" w:rsidRPr="00793DF2">
        <w:t>inequalities</w:t>
      </w:r>
      <w:r w:rsidR="00BA4B67" w:rsidRPr="00793DF2">
        <w:t xml:space="preserve"> </w:t>
      </w:r>
      <w:r w:rsidR="00DA5EB9" w:rsidRPr="00793DF2">
        <w:t xml:space="preserve">are </w:t>
      </w:r>
      <w:r w:rsidR="00A757E5" w:rsidRPr="00793DF2">
        <w:t>hidden through</w:t>
      </w:r>
      <w:r w:rsidR="00DA5EB9" w:rsidRPr="00793DF2">
        <w:t xml:space="preserve"> </w:t>
      </w:r>
      <w:r w:rsidR="00A757E5" w:rsidRPr="00793DF2">
        <w:t>doxa</w:t>
      </w:r>
      <w:r w:rsidR="004A7F2C" w:rsidRPr="00793DF2">
        <w:t xml:space="preserve"> of </w:t>
      </w:r>
      <w:proofErr w:type="spellStart"/>
      <w:r w:rsidR="004A7F2C" w:rsidRPr="00793DF2">
        <w:t>CiC</w:t>
      </w:r>
      <w:proofErr w:type="spellEnd"/>
      <w:r w:rsidR="004A7F2C" w:rsidRPr="00793DF2">
        <w:t xml:space="preserve"> as deviant</w:t>
      </w:r>
      <w:r w:rsidR="00DA5EB9" w:rsidRPr="00793DF2">
        <w:t>.</w:t>
      </w:r>
      <w:r w:rsidR="003101FE" w:rsidRPr="00793DF2">
        <w:t xml:space="preserve"> </w:t>
      </w:r>
      <w:r w:rsidRPr="00793DF2">
        <w:t>Rachel spoke about this in her life story interview</w:t>
      </w:r>
      <w:r w:rsidR="00FE3D26" w:rsidRPr="00793DF2">
        <w:t>, explaining from her personal and professional experiences th</w:t>
      </w:r>
      <w:r w:rsidR="00826EC9" w:rsidRPr="00793DF2">
        <w:t>e public’s perception that</w:t>
      </w:r>
      <w:r w:rsidR="00FE3D26" w:rsidRPr="00793DF2">
        <w:t xml:space="preserve"> children </w:t>
      </w:r>
      <w:r w:rsidR="00826EC9" w:rsidRPr="00793DF2">
        <w:t>go into</w:t>
      </w:r>
      <w:r w:rsidR="00FE3D26" w:rsidRPr="00793DF2">
        <w:t xml:space="preserve"> care</w:t>
      </w:r>
      <w:r w:rsidR="00826EC9" w:rsidRPr="00793DF2">
        <w:t xml:space="preserve"> for something they have done.</w:t>
      </w:r>
    </w:p>
    <w:p w14:paraId="6C25DCD9" w14:textId="51345172" w:rsidR="00793DF2" w:rsidRDefault="00793DF2" w:rsidP="00BB128C">
      <w:pPr>
        <w:pStyle w:val="BookQuote"/>
        <w:jc w:val="both"/>
      </w:pPr>
      <w:r w:rsidRPr="00793DF2">
        <w:t xml:space="preserve">“Often kids who're looked after is because it's their fault not like down to the parents”, and it's that- certainly then and still- it still continues, but more so I think then there was so much stigma against kids who were looked after and often people did think- you know it's my perception that like “Their fault” you'd hear that from kids at school “What've </w:t>
      </w:r>
      <w:proofErr w:type="gramStart"/>
      <w:r w:rsidRPr="00793DF2">
        <w:t>you</w:t>
      </w:r>
      <w:proofErr w:type="gramEnd"/>
      <w:r w:rsidRPr="00793DF2">
        <w:t xml:space="preserve"> done then? Why, you know, like what've you done?” type of thing … I just always remember saying, “I haven't done nothing, it's not my fault”</w:t>
      </w:r>
      <w:r w:rsidR="00564CFA">
        <w:t>.</w:t>
      </w:r>
    </w:p>
    <w:p w14:paraId="7E9EB796" w14:textId="764D610D" w:rsidR="00A606D9" w:rsidRPr="00BC4264" w:rsidRDefault="00826EC9" w:rsidP="00DC3FAD">
      <w:pPr>
        <w:pStyle w:val="Bookbodytext"/>
      </w:pPr>
      <w:r w:rsidRPr="00793DF2">
        <w:t>Rachel’s reflections on one hand illustrate the doxa of the mainstream</w:t>
      </w:r>
      <w:r w:rsidR="003101FE" w:rsidRPr="00793DF2">
        <w:t xml:space="preserve">: </w:t>
      </w:r>
      <w:r w:rsidRPr="00793DF2">
        <w:t>that children in care have done something wrong to warrant being placed in care</w:t>
      </w:r>
      <w:r w:rsidR="003101FE" w:rsidRPr="00793DF2">
        <w:t>. On the other hand, Rachel describes</w:t>
      </w:r>
      <w:r w:rsidRPr="00793DF2">
        <w:t xml:space="preserve"> how she attempted to disrupt the misrecognition she experienced by challenging it. The consequence of the doxa about children in care as criminal and deviant is important to consider as it can shape the social interactions and </w:t>
      </w:r>
      <w:r w:rsidR="00564CFA">
        <w:t xml:space="preserve">the </w:t>
      </w:r>
      <w:r w:rsidRPr="00793DF2">
        <w:t xml:space="preserve">experiences </w:t>
      </w:r>
      <w:r w:rsidR="00564CFA">
        <w:t xml:space="preserve">of </w:t>
      </w:r>
      <w:r w:rsidRPr="00793DF2">
        <w:t>people with</w:t>
      </w:r>
      <w:r w:rsidR="00564CFA">
        <w:t xml:space="preserve"> care </w:t>
      </w:r>
      <w:r w:rsidRPr="00793DF2">
        <w:t xml:space="preserve">experience. </w:t>
      </w:r>
      <w:r w:rsidR="00A606D9" w:rsidRPr="00793DF2">
        <w:t xml:space="preserve">This is </w:t>
      </w:r>
      <w:r w:rsidR="00564CFA">
        <w:t xml:space="preserve">also </w:t>
      </w:r>
      <w:r w:rsidR="00A606D9" w:rsidRPr="00793DF2">
        <w:t xml:space="preserve">illustrated by Sally, when she spoke about how </w:t>
      </w:r>
      <w:r w:rsidR="00564CFA">
        <w:t xml:space="preserve">one of </w:t>
      </w:r>
      <w:r w:rsidR="00A606D9" w:rsidRPr="00793DF2">
        <w:t>her foster placement</w:t>
      </w:r>
      <w:r w:rsidR="00564CFA">
        <w:t>s</w:t>
      </w:r>
      <w:r w:rsidR="00A606D9" w:rsidRPr="00793DF2">
        <w:t>:</w:t>
      </w:r>
      <w:r w:rsidR="00A606D9" w:rsidRPr="00793DF2" w:rsidDel="00A606D9">
        <w:t xml:space="preserve"> </w:t>
      </w:r>
    </w:p>
    <w:p w14:paraId="618567C4" w14:textId="327EE174" w:rsidR="00224C56" w:rsidRDefault="00C44481" w:rsidP="00BB128C">
      <w:pPr>
        <w:pStyle w:val="BookQuote"/>
        <w:jc w:val="both"/>
      </w:pPr>
      <w:r w:rsidRPr="00793DF2">
        <w:t>they'd had children that'd stole from them before, but everything in the kitchen was locked, so every cupboard was locked, the fridge was locked, the freezer was locked… you couldn't have any access to food unless they unlocked it.</w:t>
      </w:r>
    </w:p>
    <w:p w14:paraId="489BECD7" w14:textId="77777777" w:rsidR="00564CFA" w:rsidRPr="00793DF2" w:rsidRDefault="00564CFA" w:rsidP="00BB128C">
      <w:pPr>
        <w:pStyle w:val="BookQuote"/>
        <w:jc w:val="both"/>
      </w:pPr>
    </w:p>
    <w:p w14:paraId="15F37178" w14:textId="1B7679BD" w:rsidR="00873FEE" w:rsidRPr="00793DF2" w:rsidRDefault="00873FEE" w:rsidP="00DC3FAD">
      <w:pPr>
        <w:pStyle w:val="Bookbodytext"/>
      </w:pPr>
      <w:r w:rsidRPr="00793DF2">
        <w:t xml:space="preserve">In </w:t>
      </w:r>
      <w:r w:rsidR="00826EC9" w:rsidRPr="00793DF2">
        <w:t>sharing</w:t>
      </w:r>
      <w:r w:rsidRPr="00793DF2">
        <w:t xml:space="preserve"> stories of their lives </w:t>
      </w:r>
      <w:r w:rsidR="00826EC9" w:rsidRPr="00793DF2">
        <w:t>for the purpose of</w:t>
      </w:r>
      <w:r w:rsidRPr="00793DF2">
        <w:t xml:space="preserve"> research participants have been able to make visible</w:t>
      </w:r>
      <w:r w:rsidR="00826EC9" w:rsidRPr="00793DF2">
        <w:t xml:space="preserve"> to the wider public and professional spheres</w:t>
      </w:r>
      <w:r w:rsidRPr="00793DF2">
        <w:t xml:space="preserve"> the wider socio-economic contexts and </w:t>
      </w:r>
      <w:r w:rsidR="00D51BFC" w:rsidRPr="00793DF2">
        <w:t>demonstrate</w:t>
      </w:r>
      <w:r w:rsidRPr="00793DF2">
        <w:t xml:space="preserve"> how they are </w:t>
      </w:r>
      <w:r w:rsidR="00FC7354" w:rsidRPr="00793DF2">
        <w:t>negotiating assumptions about</w:t>
      </w:r>
      <w:r w:rsidRPr="00793DF2">
        <w:t xml:space="preserve"> </w:t>
      </w:r>
      <w:proofErr w:type="spellStart"/>
      <w:r w:rsidR="00FC7354" w:rsidRPr="00793DF2">
        <w:t>CiC</w:t>
      </w:r>
      <w:proofErr w:type="spellEnd"/>
      <w:r w:rsidRPr="00793DF2">
        <w:t xml:space="preserve"> as ‘deviant’, albeit negotiating these aspects of their lives</w:t>
      </w:r>
      <w:r w:rsidR="00826EC9" w:rsidRPr="00793DF2">
        <w:t xml:space="preserve"> differently to each other.</w:t>
      </w:r>
    </w:p>
    <w:p w14:paraId="24B3BAA4" w14:textId="6480C519" w:rsidR="006F7558" w:rsidRPr="00A63FD3" w:rsidRDefault="006F7558" w:rsidP="00DC3FAD">
      <w:pPr>
        <w:pStyle w:val="Bookbodytext"/>
      </w:pPr>
    </w:p>
    <w:p w14:paraId="590DA1B9" w14:textId="502ABC6F" w:rsidR="000E0712" w:rsidRPr="00793DF2" w:rsidRDefault="00A83319" w:rsidP="00BB128C">
      <w:pPr>
        <w:pStyle w:val="BookLevel2"/>
        <w:jc w:val="both"/>
      </w:pPr>
      <w:r w:rsidRPr="00793DF2">
        <w:t xml:space="preserve">Assessing Doxa </w:t>
      </w:r>
    </w:p>
    <w:p w14:paraId="5A3B07AD" w14:textId="1C5B581B" w:rsidR="007F51C0" w:rsidRPr="007F51C0" w:rsidRDefault="00F33FE1" w:rsidP="00DC3FAD">
      <w:pPr>
        <w:pStyle w:val="Bookbodytext"/>
      </w:pPr>
      <w:r w:rsidRPr="00055A09">
        <w:t xml:space="preserve">This </w:t>
      </w:r>
      <w:r w:rsidR="005E58FB" w:rsidRPr="00055A09">
        <w:t>chapter</w:t>
      </w:r>
      <w:r w:rsidRPr="00055A09">
        <w:t xml:space="preserve"> has focused upon the </w:t>
      </w:r>
      <w:r w:rsidR="005E58FB" w:rsidRPr="00055A09">
        <w:t xml:space="preserve">potential of </w:t>
      </w:r>
      <w:r w:rsidR="00AB5821" w:rsidRPr="00055A09">
        <w:t>t</w:t>
      </w:r>
      <w:r w:rsidR="005E58FB" w:rsidRPr="00055A09">
        <w:t xml:space="preserve">he </w:t>
      </w:r>
      <w:r w:rsidR="00AB5821" w:rsidRPr="00055A09">
        <w:t>life stories</w:t>
      </w:r>
      <w:r w:rsidR="005E58FB" w:rsidRPr="00055A09">
        <w:t xml:space="preserve"> </w:t>
      </w:r>
      <w:r w:rsidR="00AC1561">
        <w:t xml:space="preserve">of </w:t>
      </w:r>
      <w:r w:rsidR="005E58FB" w:rsidRPr="00055A09">
        <w:t>adults with care-</w:t>
      </w:r>
      <w:r w:rsidR="00AB5821" w:rsidRPr="00055A09">
        <w:t>experience</w:t>
      </w:r>
      <w:r w:rsidR="005E58FB" w:rsidRPr="00055A09">
        <w:t xml:space="preserve"> to disrupt doxa</w:t>
      </w:r>
      <w:r w:rsidR="00AB5821" w:rsidRPr="00055A09">
        <w:t>,</w:t>
      </w:r>
      <w:r w:rsidR="005E58FB" w:rsidRPr="00055A09">
        <w:t xml:space="preserve"> </w:t>
      </w:r>
      <w:r w:rsidR="00A0420D" w:rsidRPr="00055A09">
        <w:t>providing</w:t>
      </w:r>
      <w:r w:rsidR="005E58FB" w:rsidRPr="00055A09">
        <w:t xml:space="preserve"> counter narratives of what is known about </w:t>
      </w:r>
      <w:proofErr w:type="spellStart"/>
      <w:r w:rsidR="005E58FB" w:rsidRPr="00055A09">
        <w:t>CiC</w:t>
      </w:r>
      <w:proofErr w:type="spellEnd"/>
      <w:r w:rsidR="005E58FB" w:rsidRPr="00055A09">
        <w:t xml:space="preserve"> and adults who experience adversity as children. </w:t>
      </w:r>
      <w:r w:rsidR="007977AF" w:rsidRPr="005C4C95">
        <w:t>I suggest that the dominant understandings of adults and young people with care experience are problematic and, as the evidence from this in-depth qualitative study suggests, there is a</w:t>
      </w:r>
      <w:r w:rsidR="00010B5C">
        <w:t>n empirical</w:t>
      </w:r>
      <w:r w:rsidR="007977AF" w:rsidRPr="005C4C95">
        <w:t xml:space="preserve"> basis for disrupting doxa. </w:t>
      </w:r>
      <w:r w:rsidR="005E58FB" w:rsidRPr="00055A09">
        <w:t xml:space="preserve">Through the </w:t>
      </w:r>
      <w:r w:rsidR="00A0420D" w:rsidRPr="00055A09">
        <w:t>preceding</w:t>
      </w:r>
      <w:r w:rsidR="005E58FB" w:rsidRPr="00055A09">
        <w:t xml:space="preserve"> data and </w:t>
      </w:r>
      <w:r w:rsidR="007F51C0" w:rsidRPr="007F51C0">
        <w:t>discussion,</w:t>
      </w:r>
      <w:r w:rsidR="005E58FB" w:rsidRPr="00055A09">
        <w:t xml:space="preserve"> I have attempted to show how, by being aware of the possibilities and probabilities of doxa, that analytical attention is </w:t>
      </w:r>
      <w:proofErr w:type="spellStart"/>
      <w:r w:rsidR="005E58FB" w:rsidRPr="00055A09">
        <w:t>sensitised</w:t>
      </w:r>
      <w:proofErr w:type="spellEnd"/>
      <w:r w:rsidR="005E58FB" w:rsidRPr="00055A09">
        <w:t xml:space="preserve"> to </w:t>
      </w:r>
      <w:r w:rsidR="00A0420D" w:rsidRPr="00055A09">
        <w:t xml:space="preserve">dominant </w:t>
      </w:r>
      <w:r w:rsidR="005E58FB" w:rsidRPr="00055A09">
        <w:t>knowledges</w:t>
      </w:r>
      <w:r w:rsidR="00A74999" w:rsidRPr="00055A09">
        <w:t xml:space="preserve">. </w:t>
      </w:r>
      <w:r w:rsidR="00C5401A" w:rsidRPr="00055A09">
        <w:t>T</w:t>
      </w:r>
      <w:r w:rsidR="00A74999" w:rsidRPr="00055A09">
        <w:t>hese narrative excerpts provide researchers and practitioners insights into the lived life of people with care experience; often revealing a context that is far more complex than doxa accounts for.</w:t>
      </w:r>
      <w:r w:rsidR="007F51C0" w:rsidRPr="00C5401A">
        <w:t xml:space="preserve"> In demonstrating the ways that doxa obscures knowing, the data and discussion have</w:t>
      </w:r>
      <w:r w:rsidR="007F51C0" w:rsidRPr="007F51C0">
        <w:t xml:space="preserve"> enabled other potential understandings of non-normative childhood experiences. </w:t>
      </w:r>
    </w:p>
    <w:p w14:paraId="14387792" w14:textId="0FC82F88" w:rsidR="007F51C0" w:rsidRDefault="007F51C0" w:rsidP="00DC3FAD">
      <w:pPr>
        <w:pStyle w:val="Bookbodytext"/>
      </w:pPr>
    </w:p>
    <w:p w14:paraId="1EFC7B6C" w14:textId="096E6725" w:rsidR="00584705" w:rsidRDefault="00CE5791" w:rsidP="00DC3FAD">
      <w:pPr>
        <w:pStyle w:val="Bookbodytext"/>
      </w:pPr>
      <w:r>
        <w:t xml:space="preserve">I have </w:t>
      </w:r>
      <w:r w:rsidR="00584705">
        <w:t xml:space="preserve">illustrated how attention to doxa is valuable in </w:t>
      </w:r>
      <w:proofErr w:type="spellStart"/>
      <w:r w:rsidR="00584705">
        <w:t>analysing</w:t>
      </w:r>
      <w:proofErr w:type="spellEnd"/>
      <w:r w:rsidR="00584705">
        <w:t xml:space="preserve"> the life story data</w:t>
      </w:r>
      <w:r w:rsidR="00584705" w:rsidRPr="00136F21">
        <w:t>. In the sense that the stories people tell of their lives draw on social and cultural beliefs, in the evidence from the research participants drew on these beliefs in different ways to negotiate their sense of who they are, what actions they had taken and how others responded to them.</w:t>
      </w:r>
      <w:r w:rsidR="00584705">
        <w:t xml:space="preserve"> </w:t>
      </w:r>
      <w:r w:rsidR="00584705" w:rsidRPr="00BC4264">
        <w:t xml:space="preserve">In sharing the extracts from participants stories the potential for reflexivity and agency as concepts to </w:t>
      </w:r>
      <w:proofErr w:type="spellStart"/>
      <w:r w:rsidR="00584705" w:rsidRPr="00BC4264">
        <w:lastRenderedPageBreak/>
        <w:t>recognise</w:t>
      </w:r>
      <w:proofErr w:type="spellEnd"/>
      <w:r w:rsidR="00584705" w:rsidRPr="00BC4264">
        <w:t xml:space="preserve"> potential for stories that disrupt dominant narratives</w:t>
      </w:r>
      <w:r w:rsidR="00584705" w:rsidRPr="00136F21">
        <w:t xml:space="preserve">. As a result, the reader can see how </w:t>
      </w:r>
      <w:r w:rsidR="00584705">
        <w:t xml:space="preserve">doxas about </w:t>
      </w:r>
      <w:proofErr w:type="spellStart"/>
      <w:r w:rsidR="00584705">
        <w:t>CiC</w:t>
      </w:r>
      <w:proofErr w:type="spellEnd"/>
      <w:r w:rsidR="00584705">
        <w:t xml:space="preserve"> and their lives is contested and differently negotiated in the participants’ life stories. Moreover, there is some evidence that there are competing sets of ‘knowledge’ to understand that people draw on to make sense of their lives. </w:t>
      </w:r>
      <w:r w:rsidR="00E265D2">
        <w:t xml:space="preserve">The data showed how doxa was contested, often actively. Participants </w:t>
      </w:r>
      <w:r w:rsidR="00532B96">
        <w:t>accounts</w:t>
      </w:r>
      <w:r w:rsidR="00E265D2">
        <w:t xml:space="preserve"> also show the lived experience of doxa, misrecognition and the effect of symbolic violence. </w:t>
      </w:r>
    </w:p>
    <w:p w14:paraId="0DD42783" w14:textId="77777777" w:rsidR="00584705" w:rsidRDefault="00584705" w:rsidP="00DC3FAD">
      <w:pPr>
        <w:pStyle w:val="Bookbodytext"/>
      </w:pPr>
    </w:p>
    <w:p w14:paraId="3A59001C" w14:textId="6B77B946" w:rsidR="00FF79B5" w:rsidRDefault="007977AF" w:rsidP="00DC3FAD">
      <w:pPr>
        <w:pStyle w:val="Bookbodytext"/>
      </w:pPr>
      <w:r w:rsidRPr="00532B96">
        <w:t xml:space="preserve">The data </w:t>
      </w:r>
      <w:r w:rsidR="00CE5791">
        <w:t>brought to the fore</w:t>
      </w:r>
      <w:r w:rsidR="00CE5791" w:rsidRPr="00532B96">
        <w:t xml:space="preserve"> </w:t>
      </w:r>
      <w:r w:rsidRPr="00532B96">
        <w:t xml:space="preserve">how </w:t>
      </w:r>
      <w:r w:rsidR="00584705" w:rsidRPr="00532B96">
        <w:t>participants</w:t>
      </w:r>
      <w:r w:rsidRPr="00532B96">
        <w:t xml:space="preserve"> have interpreted re</w:t>
      </w:r>
      <w:r w:rsidR="00584705" w:rsidRPr="00532B96">
        <w:t>s</w:t>
      </w:r>
      <w:r w:rsidRPr="00532B96">
        <w:t>pon</w:t>
      </w:r>
      <w:r w:rsidR="00584705" w:rsidRPr="00532B96">
        <w:t>s</w:t>
      </w:r>
      <w:r w:rsidRPr="00532B96">
        <w:t>es to them as</w:t>
      </w:r>
      <w:r w:rsidR="00584705" w:rsidRPr="00532B96">
        <w:t xml:space="preserve"> </w:t>
      </w:r>
      <w:r w:rsidRPr="00532B96">
        <w:t xml:space="preserve">indicative of </w:t>
      </w:r>
      <w:r w:rsidR="00584705" w:rsidRPr="00532B96">
        <w:t>differential</w:t>
      </w:r>
      <w:r w:rsidRPr="00532B96">
        <w:t xml:space="preserve"> treatment from</w:t>
      </w:r>
      <w:r w:rsidR="007F51C0" w:rsidRPr="00532B96">
        <w:t xml:space="preserve"> other people</w:t>
      </w:r>
      <w:r w:rsidR="00010B5C">
        <w:t xml:space="preserve">, I argue this is the result </w:t>
      </w:r>
      <w:r w:rsidR="007F51C0" w:rsidRPr="00532B96">
        <w:t xml:space="preserve">of doxa. </w:t>
      </w:r>
      <w:r w:rsidR="00584705" w:rsidRPr="00532B96">
        <w:t xml:space="preserve">What is evident is that researchers and practitioners should be aware of the way that experiences are a part of a person’s embodied history, and through reflexive attention to everyday injustices different understandings and actions by people working with </w:t>
      </w:r>
      <w:proofErr w:type="spellStart"/>
      <w:r w:rsidR="00584705" w:rsidRPr="00532B96">
        <w:t>CiC</w:t>
      </w:r>
      <w:proofErr w:type="spellEnd"/>
      <w:r w:rsidR="00584705" w:rsidRPr="00532B96">
        <w:t xml:space="preserve"> could counter</w:t>
      </w:r>
      <w:r w:rsidR="00184B2E" w:rsidRPr="00532B96">
        <w:t xml:space="preserve"> </w:t>
      </w:r>
      <w:r w:rsidR="00584705" w:rsidRPr="00532B96">
        <w:t>misrecognition of individua</w:t>
      </w:r>
      <w:r w:rsidR="00184B2E" w:rsidRPr="00532B96">
        <w:t>ls with care experience</w:t>
      </w:r>
      <w:r w:rsidR="00584705" w:rsidRPr="00532B96">
        <w:t xml:space="preserve">. </w:t>
      </w:r>
      <w:r w:rsidR="007F51C0" w:rsidRPr="00532B96">
        <w:t xml:space="preserve">Further to this there is implicitly some evidence that wider systems associated with children’s and families social care might </w:t>
      </w:r>
      <w:r w:rsidR="00130D01" w:rsidRPr="00532B96">
        <w:t>affect</w:t>
      </w:r>
      <w:r w:rsidR="007F51C0" w:rsidRPr="00532B96">
        <w:t xml:space="preserve"> the lived </w:t>
      </w:r>
      <w:r w:rsidR="00584705" w:rsidRPr="00532B96">
        <w:t>experiences</w:t>
      </w:r>
      <w:r w:rsidR="007F51C0" w:rsidRPr="00532B96">
        <w:t xml:space="preserve"> of </w:t>
      </w:r>
      <w:proofErr w:type="spellStart"/>
      <w:r w:rsidR="007F51C0" w:rsidRPr="00532B96">
        <w:t>CiC</w:t>
      </w:r>
      <w:proofErr w:type="spellEnd"/>
      <w:r w:rsidR="007F51C0" w:rsidRPr="00532B96">
        <w:t xml:space="preserve">. </w:t>
      </w:r>
      <w:r w:rsidR="0000184E" w:rsidRPr="00532B96">
        <w:t>The absence of objective evidence about this is</w:t>
      </w:r>
      <w:r w:rsidR="007F51C0" w:rsidRPr="00532B96">
        <w:t xml:space="preserve"> a limitation </w:t>
      </w:r>
      <w:r w:rsidR="0000184E" w:rsidRPr="00532B96">
        <w:t>in</w:t>
      </w:r>
      <w:r w:rsidR="007F51C0" w:rsidRPr="00532B96">
        <w:t xml:space="preserve"> th</w:t>
      </w:r>
      <w:r w:rsidR="0000184E" w:rsidRPr="00532B96">
        <w:t>is</w:t>
      </w:r>
      <w:r w:rsidR="007F51C0" w:rsidRPr="00532B96">
        <w:t xml:space="preserve"> study, </w:t>
      </w:r>
      <w:r w:rsidR="0000184E" w:rsidRPr="00532B96">
        <w:t>as it undermines attempts to</w:t>
      </w:r>
      <w:r w:rsidR="007F51C0" w:rsidRPr="00532B96">
        <w:t xml:space="preserve"> systematically consider the fields of practice </w:t>
      </w:r>
      <w:r w:rsidR="00BA4B67">
        <w:t>that</w:t>
      </w:r>
      <w:r w:rsidR="007F51C0" w:rsidRPr="00532B96">
        <w:t xml:space="preserve"> participants </w:t>
      </w:r>
      <w:r w:rsidR="00BA4B67">
        <w:t>encountered</w:t>
      </w:r>
      <w:r w:rsidR="00184B2E" w:rsidRPr="00532B96">
        <w:t>.</w:t>
      </w:r>
      <w:r w:rsidR="0000184E" w:rsidRPr="00532B96">
        <w:t xml:space="preserve"> </w:t>
      </w:r>
      <w:r w:rsidR="00584705" w:rsidRPr="00532B96">
        <w:t>This is an area that would benefit from research that attends to how systems embody doxa and the symbolic violence and misrecognition associated with it.</w:t>
      </w:r>
      <w:r w:rsidR="0000184E" w:rsidRPr="00055A09">
        <w:t xml:space="preserve"> </w:t>
      </w:r>
      <w:r w:rsidR="000304E5">
        <w:t>Another</w:t>
      </w:r>
      <w:r w:rsidR="0000184E" w:rsidRPr="00055A09">
        <w:t xml:space="preserve"> limit, of doxa is how as a concept it lead</w:t>
      </w:r>
      <w:r w:rsidR="00B50A6C">
        <w:t>s</w:t>
      </w:r>
      <w:r w:rsidR="0000184E" w:rsidRPr="00055A09">
        <w:t xml:space="preserve"> to analytic understandings that differ from those of the subjective understandings of participants in a study (</w:t>
      </w:r>
      <w:proofErr w:type="spellStart"/>
      <w:r w:rsidR="0000184E" w:rsidRPr="00055A09">
        <w:t>Hugman</w:t>
      </w:r>
      <w:proofErr w:type="spellEnd"/>
      <w:r w:rsidR="0000184E" w:rsidRPr="00055A09">
        <w:t>, 2016). Hence, researchers using doxa need to remain mindful of how</w:t>
      </w:r>
      <w:r w:rsidR="00C5401A" w:rsidRPr="00055A09">
        <w:t xml:space="preserve"> it can</w:t>
      </w:r>
      <w:r w:rsidR="0000184E" w:rsidRPr="00055A09">
        <w:t xml:space="preserve"> </w:t>
      </w:r>
      <w:r w:rsidR="0034237A" w:rsidRPr="00C5401A">
        <w:t>perpetuate</w:t>
      </w:r>
      <w:r w:rsidR="0000184E" w:rsidRPr="00055A09">
        <w:t xml:space="preserve"> </w:t>
      </w:r>
      <w:r w:rsidR="0034237A" w:rsidRPr="00C5401A">
        <w:t xml:space="preserve">the </w:t>
      </w:r>
      <w:r w:rsidR="0000184E" w:rsidRPr="00055A09">
        <w:t>reproduc</w:t>
      </w:r>
      <w:r w:rsidR="0034237A" w:rsidRPr="00C5401A">
        <w:t xml:space="preserve">tion of </w:t>
      </w:r>
      <w:r w:rsidR="0000184E" w:rsidRPr="00055A09">
        <w:t>symbolic power and symbolic violence</w:t>
      </w:r>
      <w:r w:rsidR="0034237A" w:rsidRPr="00C5401A">
        <w:t xml:space="preserve"> effects</w:t>
      </w:r>
      <w:r w:rsidR="0000184E" w:rsidRPr="00055A09">
        <w:t>.</w:t>
      </w:r>
      <w:r w:rsidR="0000184E">
        <w:t xml:space="preserve"> </w:t>
      </w:r>
    </w:p>
    <w:p w14:paraId="2F1FF2AE" w14:textId="77777777" w:rsidR="00FF79B5" w:rsidRPr="00793DF2" w:rsidRDefault="00FF79B5" w:rsidP="00DC3FAD">
      <w:pPr>
        <w:pStyle w:val="Bookbodytext"/>
      </w:pPr>
    </w:p>
    <w:p w14:paraId="46E7E163" w14:textId="500561B6" w:rsidR="001234E7" w:rsidRPr="000933EE" w:rsidRDefault="001E03EE" w:rsidP="00BB128C">
      <w:pPr>
        <w:pStyle w:val="BookLevel1"/>
        <w:jc w:val="both"/>
      </w:pPr>
      <w:r w:rsidRPr="000933EE">
        <w:lastRenderedPageBreak/>
        <w:t>Conclusion</w:t>
      </w:r>
    </w:p>
    <w:p w14:paraId="368170B8" w14:textId="50F10DC3" w:rsidR="00883E42" w:rsidRPr="00793DF2" w:rsidRDefault="006A1557" w:rsidP="00DC3FAD">
      <w:pPr>
        <w:pStyle w:val="Bookbodytext"/>
      </w:pPr>
      <w:r w:rsidRPr="00793DF2">
        <w:t>T</w:t>
      </w:r>
      <w:r w:rsidR="00632B02" w:rsidRPr="00793DF2">
        <w:t>his chapter began by</w:t>
      </w:r>
      <w:r w:rsidRPr="00793DF2">
        <w:t xml:space="preserve"> outlining the sociological work on the family and childhood that informed the research</w:t>
      </w:r>
      <w:r w:rsidR="00C5401A" w:rsidRPr="00793DF2">
        <w:t>, this highlighted social norms and value of good parenting and good childhoods, and the supposed threat of difference</w:t>
      </w:r>
      <w:r w:rsidRPr="00793DF2">
        <w:t>. Following th</w:t>
      </w:r>
      <w:r w:rsidR="00C5401A" w:rsidRPr="00793DF2">
        <w:t xml:space="preserve">is, </w:t>
      </w:r>
      <w:r w:rsidRPr="00793DF2">
        <w:t>secondary data sources concerning the outcomes of children in care</w:t>
      </w:r>
      <w:r w:rsidR="00FF79B5" w:rsidRPr="00793DF2">
        <w:t xml:space="preserve"> were critically discussed, this highlighted possibilities about what had been made invisible by the data and the reliance on psychological explanations</w:t>
      </w:r>
      <w:r w:rsidRPr="00793DF2">
        <w:t xml:space="preserve">. This foregrounded the social norms and </w:t>
      </w:r>
      <w:proofErr w:type="spellStart"/>
      <w:r w:rsidRPr="00793DF2">
        <w:t>problemati</w:t>
      </w:r>
      <w:r w:rsidR="0008324E">
        <w:t>s</w:t>
      </w:r>
      <w:r w:rsidRPr="00793DF2">
        <w:t>ing</w:t>
      </w:r>
      <w:proofErr w:type="spellEnd"/>
      <w:r w:rsidRPr="00793DF2">
        <w:t xml:space="preserve"> of particular ways of being and doing family so as to </w:t>
      </w:r>
      <w:r w:rsidR="00632B02" w:rsidRPr="00793DF2">
        <w:t>situate th</w:t>
      </w:r>
      <w:r w:rsidRPr="00793DF2">
        <w:t>is</w:t>
      </w:r>
      <w:r w:rsidR="00632B02" w:rsidRPr="00793DF2">
        <w:t xml:space="preserve"> with</w:t>
      </w:r>
      <w:r w:rsidRPr="00793DF2">
        <w:t xml:space="preserve">in </w:t>
      </w:r>
      <w:r w:rsidR="00632B02" w:rsidRPr="00793DF2">
        <w:t xml:space="preserve">a framework integrating sociological work on narrative research with Bourdieusian concepts. This laid </w:t>
      </w:r>
      <w:r w:rsidRPr="00793DF2">
        <w:t xml:space="preserve">out the principles, concepts and approach </w:t>
      </w:r>
      <w:r w:rsidR="00B50A6C" w:rsidRPr="00793DF2">
        <w:t>informing</w:t>
      </w:r>
      <w:r w:rsidRPr="00793DF2">
        <w:t xml:space="preserve"> the discussion of the </w:t>
      </w:r>
      <w:r w:rsidR="00B50A6C" w:rsidRPr="00793DF2">
        <w:t xml:space="preserve">data from </w:t>
      </w:r>
      <w:r w:rsidRPr="00793DF2">
        <w:t xml:space="preserve">research into the life stories of care-experienced adults. </w:t>
      </w:r>
      <w:r w:rsidR="00883E42" w:rsidRPr="00793DF2">
        <w:t xml:space="preserve">The concept of doxa provides family researchers and practitioners with a sensitivity to the ways in which common sense understandings, doxa, are at play in care-experienced people’s life stories.  Doxas are not politically neutral, as they are premised on unequal power relations in wider society, for researchers this allows a critical consideration to what is known, by whom and for what purpose about groups that are </w:t>
      </w:r>
      <w:proofErr w:type="spellStart"/>
      <w:r w:rsidR="00883E42" w:rsidRPr="00793DF2">
        <w:t>problemati</w:t>
      </w:r>
      <w:r w:rsidR="0008324E">
        <w:t>s</w:t>
      </w:r>
      <w:r w:rsidR="00883E42" w:rsidRPr="00793DF2">
        <w:t>ed</w:t>
      </w:r>
      <w:proofErr w:type="spellEnd"/>
      <w:r w:rsidR="00883E42" w:rsidRPr="00793DF2">
        <w:t xml:space="preserve"> in wider society.</w:t>
      </w:r>
    </w:p>
    <w:p w14:paraId="2A7A5AA5" w14:textId="32F42377" w:rsidR="005A2994" w:rsidRPr="00793DF2" w:rsidRDefault="005A2994" w:rsidP="00DC3FAD">
      <w:pPr>
        <w:pStyle w:val="Bookbodytext"/>
      </w:pPr>
    </w:p>
    <w:p w14:paraId="16D07100" w14:textId="745CE24A" w:rsidR="00EC43FF" w:rsidRDefault="00B50A6C" w:rsidP="00DC3FAD">
      <w:pPr>
        <w:pStyle w:val="Bookbodytext"/>
      </w:pPr>
      <w:r w:rsidRPr="00793DF2">
        <w:t>T</w:t>
      </w:r>
      <w:r w:rsidR="005A2994" w:rsidRPr="00793DF2">
        <w:t>his chapter</w:t>
      </w:r>
      <w:r w:rsidR="00CE5791">
        <w:t xml:space="preserve"> </w:t>
      </w:r>
      <w:r w:rsidR="005A2994" w:rsidRPr="00793DF2">
        <w:t xml:space="preserve">has </w:t>
      </w:r>
      <w:r w:rsidR="00883E42" w:rsidRPr="00793DF2">
        <w:t>shown</w:t>
      </w:r>
      <w:r w:rsidR="005A2994" w:rsidRPr="00793DF2">
        <w:t xml:space="preserve"> that by widening research about children who are looked after and people with care experience to the broader life course there are opportunities to disrupt doxa and deterministic understandings of the life course of people with care experience. Methodologically, the use of unstructured and open-ended methods like BNIM, albeit with amended analysis, </w:t>
      </w:r>
      <w:r w:rsidRPr="00793DF2">
        <w:t xml:space="preserve">was useful as it </w:t>
      </w:r>
      <w:r w:rsidR="005A2994" w:rsidRPr="00793DF2">
        <w:t xml:space="preserve">offered </w:t>
      </w:r>
      <w:r w:rsidRPr="00793DF2">
        <w:t>opportunities</w:t>
      </w:r>
      <w:r w:rsidR="005A2994" w:rsidRPr="00793DF2">
        <w:t xml:space="preserve"> to explore individual subjectiv</w:t>
      </w:r>
      <w:r w:rsidRPr="00793DF2">
        <w:t>e understandings of life</w:t>
      </w:r>
      <w:r w:rsidR="005A2994" w:rsidRPr="00793DF2">
        <w:t xml:space="preserve"> events. </w:t>
      </w:r>
      <w:r w:rsidR="00402D1E">
        <w:t xml:space="preserve">Although </w:t>
      </w:r>
      <w:r w:rsidR="005A2994" w:rsidRPr="00793DF2">
        <w:t xml:space="preserve">this was a small qualitative study, this research with an older sample of people with care-experience has shown there is value in their participation, as their accounts </w:t>
      </w:r>
      <w:r w:rsidR="00C909B2" w:rsidRPr="00793DF2">
        <w:t xml:space="preserve">can: </w:t>
      </w:r>
      <w:r w:rsidR="005A2994" w:rsidRPr="00793DF2">
        <w:t xml:space="preserve">disrupt the determinism of poor outcomes in </w:t>
      </w:r>
      <w:r w:rsidR="00C909B2" w:rsidRPr="00793DF2">
        <w:t xml:space="preserve">adulthood; help to develop </w:t>
      </w:r>
      <w:r w:rsidR="00C909B2" w:rsidRPr="00793DF2">
        <w:lastRenderedPageBreak/>
        <w:t xml:space="preserve">the evidence base about the life course of adults with care-experience and enhance understandings by providing </w:t>
      </w:r>
      <w:r w:rsidR="00883E42" w:rsidRPr="00793DF2">
        <w:t xml:space="preserve">illuminating </w:t>
      </w:r>
      <w:r w:rsidR="00C909B2" w:rsidRPr="00793DF2">
        <w:t>context to actions</w:t>
      </w:r>
      <w:r w:rsidR="00883E42" w:rsidRPr="00793DF2">
        <w:t xml:space="preserve"> and</w:t>
      </w:r>
      <w:r w:rsidR="00C909B2" w:rsidRPr="00793DF2">
        <w:t xml:space="preserve"> experiences.</w:t>
      </w:r>
    </w:p>
    <w:p w14:paraId="51A2DA4F" w14:textId="2B27F843" w:rsidR="00B57180" w:rsidRDefault="00B57180" w:rsidP="007E7422">
      <w:pPr>
        <w:pStyle w:val="Bookbodytext"/>
      </w:pPr>
    </w:p>
    <w:p w14:paraId="35BCF124" w14:textId="77777777" w:rsidR="00010B5C" w:rsidRDefault="00B57180" w:rsidP="00BB128C">
      <w:pPr>
        <w:pStyle w:val="BookLevel1"/>
        <w:jc w:val="both"/>
      </w:pPr>
      <w:r>
        <w:t>References</w:t>
      </w:r>
    </w:p>
    <w:p w14:paraId="4932633B" w14:textId="2DA7B5F3" w:rsidR="00564CFA" w:rsidRPr="00564CFA" w:rsidRDefault="00564CFA" w:rsidP="00DC3FAD">
      <w:pPr>
        <w:pStyle w:val="Bookbodytext"/>
        <w:rPr>
          <w:lang w:eastAsia="en-GB"/>
        </w:rPr>
      </w:pPr>
      <w:r>
        <w:t>Abrahams,</w:t>
      </w:r>
      <w:r w:rsidR="00130D01">
        <w:t xml:space="preserve"> J.,</w:t>
      </w:r>
      <w:r>
        <w:t xml:space="preserve"> Ingram,</w:t>
      </w:r>
      <w:r w:rsidR="00130D01">
        <w:t xml:space="preserve"> N.,</w:t>
      </w:r>
      <w:r>
        <w:t xml:space="preserve"> Thatcher</w:t>
      </w:r>
      <w:r w:rsidR="00130D01">
        <w:t>, J.</w:t>
      </w:r>
      <w:r>
        <w:t xml:space="preserve"> and Burke, </w:t>
      </w:r>
      <w:r w:rsidR="00130D01">
        <w:t>C. (</w:t>
      </w:r>
      <w:r>
        <w:t>2016</w:t>
      </w:r>
      <w:r w:rsidR="00130D01">
        <w:t>)</w:t>
      </w:r>
      <w:r>
        <w:t xml:space="preserve"> Conclusion: Bourdieu- </w:t>
      </w:r>
      <w:r w:rsidR="00130D01">
        <w:t>t</w:t>
      </w:r>
      <w:r>
        <w:t xml:space="preserve">he </w:t>
      </w:r>
      <w:r w:rsidR="00130D01">
        <w:t>n</w:t>
      </w:r>
      <w:r>
        <w:t xml:space="preserve">ext </w:t>
      </w:r>
      <w:r w:rsidR="00130D01">
        <w:t>g</w:t>
      </w:r>
      <w:r>
        <w:t>eneration</w:t>
      </w:r>
      <w:r w:rsidR="00130D01">
        <w:t>. I</w:t>
      </w:r>
      <w:r>
        <w:t xml:space="preserve">n </w:t>
      </w:r>
      <w:r w:rsidRPr="00564CFA">
        <w:rPr>
          <w:lang w:eastAsia="en-GB"/>
        </w:rPr>
        <w:t xml:space="preserve">Thatcher, J., Ingram, N., Burke, C. and Abrahams, J. </w:t>
      </w:r>
      <w:r w:rsidR="00130D01">
        <w:rPr>
          <w:lang w:eastAsia="en-GB"/>
        </w:rPr>
        <w:t>(</w:t>
      </w:r>
      <w:r w:rsidRPr="00564CFA">
        <w:rPr>
          <w:lang w:eastAsia="en-GB"/>
        </w:rPr>
        <w:t>eds</w:t>
      </w:r>
      <w:r w:rsidR="00130D01">
        <w:rPr>
          <w:lang w:eastAsia="en-GB"/>
        </w:rPr>
        <w:t>)</w:t>
      </w:r>
      <w:r w:rsidRPr="00564CFA">
        <w:rPr>
          <w:lang w:eastAsia="en-GB"/>
        </w:rPr>
        <w:t> </w:t>
      </w:r>
      <w:r w:rsidRPr="00564CFA">
        <w:rPr>
          <w:i/>
          <w:iCs/>
          <w:lang w:eastAsia="en-GB"/>
        </w:rPr>
        <w:t>Bourdieu: the next generation: the development of Bourdieu's intellectual heritage in contemporary UK sociology</w:t>
      </w:r>
      <w:r w:rsidRPr="00564CFA">
        <w:rPr>
          <w:lang w:eastAsia="en-GB"/>
        </w:rPr>
        <w:t xml:space="preserve">. </w:t>
      </w:r>
      <w:r w:rsidR="00130D01" w:rsidRPr="00130D01">
        <w:t xml:space="preserve">Oxon: </w:t>
      </w:r>
      <w:r w:rsidRPr="00564CFA">
        <w:rPr>
          <w:lang w:eastAsia="en-GB"/>
        </w:rPr>
        <w:t>Routledge</w:t>
      </w:r>
      <w:r w:rsidR="00130D01">
        <w:rPr>
          <w:lang w:eastAsia="en-GB"/>
        </w:rPr>
        <w:t>, 157-164.</w:t>
      </w:r>
    </w:p>
    <w:p w14:paraId="6B878626" w14:textId="77777777" w:rsidR="00564CFA" w:rsidRDefault="00564CFA" w:rsidP="00DC3FAD">
      <w:pPr>
        <w:pStyle w:val="Bookbodytext"/>
      </w:pPr>
    </w:p>
    <w:p w14:paraId="51CC8B5D" w14:textId="7D6F972C" w:rsidR="00B57180" w:rsidRDefault="00B57180" w:rsidP="00DC3FAD">
      <w:pPr>
        <w:pStyle w:val="Bookbodytext"/>
      </w:pPr>
      <w:r w:rsidRPr="00AC7773">
        <w:t>Andrews, M. (2004) Memories of mother: Counter-narratives of early maternal influence</w:t>
      </w:r>
      <w:r w:rsidR="00130D01">
        <w:t>. I</w:t>
      </w:r>
      <w:r w:rsidRPr="00AC7773">
        <w:t xml:space="preserve">n Bamberg, M., </w:t>
      </w:r>
      <w:r w:rsidR="00130D01">
        <w:t>and</w:t>
      </w:r>
      <w:r w:rsidRPr="00AC7773">
        <w:t xml:space="preserve"> Andrews, M. (</w:t>
      </w:r>
      <w:r w:rsidR="00130D01">
        <w:t>eds</w:t>
      </w:r>
      <w:r w:rsidRPr="00AC7773">
        <w:t xml:space="preserve">) </w:t>
      </w:r>
      <w:r w:rsidRPr="00130D01">
        <w:rPr>
          <w:i/>
          <w:iCs/>
        </w:rPr>
        <w:t>Considering counter-narratives: Narrating, resisting, making sense</w:t>
      </w:r>
      <w:r w:rsidRPr="00AC7773">
        <w:t xml:space="preserve"> (Vol 4). </w:t>
      </w:r>
      <w:r w:rsidR="00130D01">
        <w:t xml:space="preserve">Amsterdam: </w:t>
      </w:r>
      <w:r w:rsidRPr="00AC7773">
        <w:t>John Benjamins Publishing, 7- 27.</w:t>
      </w:r>
    </w:p>
    <w:p w14:paraId="40A854D2" w14:textId="44C79EB0" w:rsidR="00010B5C" w:rsidRPr="00055A09" w:rsidRDefault="00010B5C" w:rsidP="00DC3FAD">
      <w:pPr>
        <w:pStyle w:val="Bookbodytext"/>
      </w:pPr>
    </w:p>
    <w:p w14:paraId="46C8FA8B" w14:textId="3D07749C" w:rsidR="00B57180" w:rsidRDefault="00B57180" w:rsidP="00DC3FAD">
      <w:pPr>
        <w:pStyle w:val="Bookbodytext"/>
      </w:pPr>
      <w:r w:rsidRPr="00AC7773">
        <w:t xml:space="preserve">Bamberg, M. (2004) Considering </w:t>
      </w:r>
      <w:r w:rsidR="00130D01">
        <w:t>c</w:t>
      </w:r>
      <w:r w:rsidRPr="00AC7773">
        <w:t xml:space="preserve">ounter </w:t>
      </w:r>
      <w:r w:rsidR="00130D01">
        <w:t>n</w:t>
      </w:r>
      <w:r w:rsidRPr="00AC7773">
        <w:t>arratives</w:t>
      </w:r>
      <w:r w:rsidR="00130D01">
        <w:t>. I</w:t>
      </w:r>
      <w:r w:rsidR="00130D01" w:rsidRPr="00AC7773">
        <w:t xml:space="preserve">n Bamberg, M., </w:t>
      </w:r>
      <w:r w:rsidR="00130D01">
        <w:t>and</w:t>
      </w:r>
      <w:r w:rsidR="00130D01" w:rsidRPr="00AC7773">
        <w:t xml:space="preserve"> Andrews, M. (</w:t>
      </w:r>
      <w:r w:rsidR="00130D01">
        <w:t>eds</w:t>
      </w:r>
      <w:r w:rsidR="00130D01" w:rsidRPr="00AC7773">
        <w:t xml:space="preserve">) </w:t>
      </w:r>
      <w:r w:rsidR="00130D01" w:rsidRPr="00130D01">
        <w:rPr>
          <w:i/>
          <w:iCs/>
        </w:rPr>
        <w:t>Considering counter-narratives: Narrating, resisting, making sense</w:t>
      </w:r>
      <w:r w:rsidR="00130D01" w:rsidRPr="00AC7773">
        <w:t xml:space="preserve"> (Vol 4). </w:t>
      </w:r>
      <w:r w:rsidR="00130D01">
        <w:t xml:space="preserve">Amsterdam: </w:t>
      </w:r>
      <w:r w:rsidR="00130D01" w:rsidRPr="00AC7773">
        <w:t xml:space="preserve">John Benjamins Publishing, </w:t>
      </w:r>
      <w:r w:rsidRPr="00AC7773">
        <w:t>351- 379.</w:t>
      </w:r>
    </w:p>
    <w:p w14:paraId="1C38F598" w14:textId="77777777" w:rsidR="00010B5C" w:rsidRPr="00AC7773" w:rsidRDefault="00010B5C" w:rsidP="00DC3FAD">
      <w:pPr>
        <w:pStyle w:val="Bookbodytext"/>
      </w:pPr>
    </w:p>
    <w:p w14:paraId="1595CD48" w14:textId="3F3FD89D" w:rsidR="00B57180" w:rsidRDefault="00B57180" w:rsidP="00DC3FAD">
      <w:pPr>
        <w:pStyle w:val="Bookbodytext"/>
      </w:pPr>
      <w:proofErr w:type="spellStart"/>
      <w:r w:rsidRPr="00AC7773">
        <w:t>Bano</w:t>
      </w:r>
      <w:proofErr w:type="spellEnd"/>
      <w:r w:rsidRPr="00AC7773">
        <w:t xml:space="preserve">, S., </w:t>
      </w:r>
      <w:r w:rsidR="00130D01">
        <w:t>and</w:t>
      </w:r>
      <w:r w:rsidRPr="00AC7773">
        <w:t xml:space="preserve"> Pierce, J. L. (2013) Personal Narratives, Social Justice, and the Law</w:t>
      </w:r>
      <w:r w:rsidR="00130D01">
        <w:t xml:space="preserve">. </w:t>
      </w:r>
      <w:r w:rsidRPr="00130D01">
        <w:rPr>
          <w:i/>
          <w:iCs/>
        </w:rPr>
        <w:t>Feminist Legal Studies</w:t>
      </w:r>
      <w:r w:rsidRPr="00AC7773">
        <w:t>, 21(3)</w:t>
      </w:r>
      <w:r w:rsidR="00130D01">
        <w:t xml:space="preserve">: </w:t>
      </w:r>
      <w:r w:rsidRPr="00AC7773">
        <w:t>225-239.</w:t>
      </w:r>
    </w:p>
    <w:p w14:paraId="0A8AFC65" w14:textId="77777777" w:rsidR="00010B5C" w:rsidRPr="00AC7773" w:rsidRDefault="00010B5C" w:rsidP="00DC3FAD">
      <w:pPr>
        <w:pStyle w:val="Bookbodytext"/>
      </w:pPr>
    </w:p>
    <w:p w14:paraId="70F56B32" w14:textId="31C98D34" w:rsidR="00B57180" w:rsidRDefault="00B57180" w:rsidP="00DC3FAD">
      <w:pPr>
        <w:pStyle w:val="Bookbodytext"/>
      </w:pPr>
      <w:r w:rsidRPr="00AC7773">
        <w:t xml:space="preserve">Bourdieu, P., </w:t>
      </w:r>
      <w:r w:rsidR="00130D01">
        <w:t>and</w:t>
      </w:r>
      <w:r w:rsidRPr="00AC7773">
        <w:t xml:space="preserve"> Eagleton, T. (1991) Doxa and common life</w:t>
      </w:r>
      <w:r w:rsidR="00130D01">
        <w:t>.</w:t>
      </w:r>
      <w:r w:rsidRPr="00AC7773">
        <w:t xml:space="preserve"> </w:t>
      </w:r>
      <w:r w:rsidRPr="00130D01">
        <w:rPr>
          <w:i/>
          <w:iCs/>
        </w:rPr>
        <w:t xml:space="preserve">New </w:t>
      </w:r>
      <w:r w:rsidR="00130D01">
        <w:rPr>
          <w:i/>
          <w:iCs/>
        </w:rPr>
        <w:t>L</w:t>
      </w:r>
      <w:r w:rsidRPr="00130D01">
        <w:rPr>
          <w:i/>
          <w:iCs/>
        </w:rPr>
        <w:t xml:space="preserve">eft </w:t>
      </w:r>
      <w:r w:rsidR="00130D01">
        <w:rPr>
          <w:i/>
          <w:iCs/>
        </w:rPr>
        <w:t>R</w:t>
      </w:r>
      <w:r w:rsidRPr="00130D01">
        <w:rPr>
          <w:i/>
          <w:iCs/>
        </w:rPr>
        <w:t>eview</w:t>
      </w:r>
      <w:r w:rsidRPr="00AC7773">
        <w:t>, 191(1)</w:t>
      </w:r>
      <w:r w:rsidR="00130D01">
        <w:t xml:space="preserve">: </w:t>
      </w:r>
      <w:r w:rsidRPr="00AC7773">
        <w:t>111-21.</w:t>
      </w:r>
    </w:p>
    <w:p w14:paraId="39567660" w14:textId="77777777" w:rsidR="00402D1E" w:rsidRPr="00AC7773" w:rsidRDefault="00402D1E" w:rsidP="00DC3FAD">
      <w:pPr>
        <w:pStyle w:val="Bookbodytext"/>
      </w:pPr>
    </w:p>
    <w:p w14:paraId="121E5D72" w14:textId="0478784A" w:rsidR="00B57180" w:rsidRDefault="00B57180" w:rsidP="00DC3FAD">
      <w:pPr>
        <w:pStyle w:val="Bookbodytext"/>
      </w:pPr>
      <w:r w:rsidRPr="00AC7773">
        <w:t xml:space="preserve">Bourdieu, P., &amp; </w:t>
      </w:r>
      <w:proofErr w:type="spellStart"/>
      <w:r w:rsidRPr="00AC7773">
        <w:t>Passeron</w:t>
      </w:r>
      <w:proofErr w:type="spellEnd"/>
      <w:r w:rsidRPr="00AC7773">
        <w:t xml:space="preserve">, J.C. (1990) </w:t>
      </w:r>
      <w:r w:rsidRPr="00130D01">
        <w:t>Reproduction in education, society and culture</w:t>
      </w:r>
      <w:r w:rsidR="004506A8">
        <w:t>. 2</w:t>
      </w:r>
      <w:r w:rsidR="004506A8" w:rsidRPr="004506A8">
        <w:rPr>
          <w:vertAlign w:val="superscript"/>
        </w:rPr>
        <w:t>nd</w:t>
      </w:r>
      <w:r w:rsidR="004506A8">
        <w:t xml:space="preserve"> Edition.</w:t>
      </w:r>
      <w:r w:rsidRPr="00AC7773">
        <w:t xml:space="preserve"> London: Sage.</w:t>
      </w:r>
    </w:p>
    <w:p w14:paraId="1B9ABBA9" w14:textId="77777777" w:rsidR="00010B5C" w:rsidRPr="00AC7773" w:rsidRDefault="00010B5C" w:rsidP="00DC3FAD">
      <w:pPr>
        <w:pStyle w:val="Bookbodytext"/>
      </w:pPr>
    </w:p>
    <w:p w14:paraId="3670D795" w14:textId="1C1D9C39" w:rsidR="00130D01" w:rsidRDefault="00B57180" w:rsidP="00DC3FAD">
      <w:pPr>
        <w:pStyle w:val="Bookbodytext"/>
      </w:pPr>
      <w:r w:rsidRPr="00055A09">
        <w:t>Brady, E. and Gilligan, R., (2018) The life course perspective: An integrative research paradigm for examining the educational experiences of adult care leavers? </w:t>
      </w:r>
      <w:r w:rsidR="00130D01" w:rsidRPr="00055A09">
        <w:rPr>
          <w:i/>
          <w:iCs/>
        </w:rPr>
        <w:t>Children and Youth Services Review</w:t>
      </w:r>
      <w:r w:rsidRPr="00055A09">
        <w:t>, </w:t>
      </w:r>
      <w:r w:rsidRPr="00055A09">
        <w:rPr>
          <w:i/>
          <w:iCs/>
        </w:rPr>
        <w:t>87</w:t>
      </w:r>
      <w:r w:rsidR="00130D01">
        <w:t>:</w:t>
      </w:r>
      <w:r w:rsidR="00130D01" w:rsidRPr="00055A09">
        <w:t xml:space="preserve"> </w:t>
      </w:r>
      <w:r w:rsidRPr="00055A09">
        <w:t>69-77.</w:t>
      </w:r>
      <w:r w:rsidR="00130D01">
        <w:t xml:space="preserve"> </w:t>
      </w:r>
      <w:r w:rsidR="00130D01" w:rsidRPr="00130D01">
        <w:t>DOI: </w:t>
      </w:r>
      <w:hyperlink r:id="rId9" w:tgtFrame="_blank" w:history="1">
        <w:r w:rsidR="00130D01" w:rsidRPr="00130D01">
          <w:rPr>
            <w:rStyle w:val="Hyperlink"/>
          </w:rPr>
          <w:t>10.1016/j.childyouth.2018.02.019</w:t>
        </w:r>
      </w:hyperlink>
    </w:p>
    <w:p w14:paraId="31F390B1" w14:textId="220B314B" w:rsidR="00B57180" w:rsidRDefault="00B57180" w:rsidP="00DC3FAD">
      <w:pPr>
        <w:pStyle w:val="Bookbodytext"/>
      </w:pPr>
    </w:p>
    <w:p w14:paraId="01005B68" w14:textId="240933C8" w:rsidR="00564CFA" w:rsidRPr="00564CFA" w:rsidRDefault="00564CFA" w:rsidP="00DC3FAD">
      <w:pPr>
        <w:pStyle w:val="Bookbodytext"/>
      </w:pPr>
      <w:r w:rsidRPr="003418AC">
        <w:t>van Breda, A. D. P. and Pinkerton, J. (2020) Raising African Voices in the Global Dialogue on Care-Leaving and Emerging Adulthood</w:t>
      </w:r>
      <w:r w:rsidR="00130D01">
        <w:t>.</w:t>
      </w:r>
      <w:r w:rsidRPr="003418AC">
        <w:rPr>
          <w:rStyle w:val="apple-converted-space"/>
        </w:rPr>
        <w:t> </w:t>
      </w:r>
      <w:r w:rsidRPr="00130D01">
        <w:rPr>
          <w:i/>
          <w:iCs/>
        </w:rPr>
        <w:t>Emerging Adulthood</w:t>
      </w:r>
      <w:r w:rsidRPr="003418AC">
        <w:t>, 8(1)</w:t>
      </w:r>
      <w:r w:rsidR="00130D01">
        <w:t xml:space="preserve">: </w:t>
      </w:r>
      <w:r w:rsidRPr="003418AC">
        <w:t xml:space="preserve">6–15. </w:t>
      </w:r>
      <w:r w:rsidR="00130D01">
        <w:t>D</w:t>
      </w:r>
      <w:r w:rsidRPr="003418AC">
        <w:t>oi:</w:t>
      </w:r>
      <w:r w:rsidRPr="003418AC">
        <w:rPr>
          <w:rStyle w:val="apple-converted-space"/>
        </w:rPr>
        <w:t> </w:t>
      </w:r>
      <w:hyperlink r:id="rId10" w:history="1">
        <w:r w:rsidRPr="003418AC">
          <w:rPr>
            <w:rStyle w:val="Hyperlink"/>
            <w:color w:val="000000" w:themeColor="text1"/>
            <w:u w:val="none"/>
          </w:rPr>
          <w:t>10.1177/2167696819870356</w:t>
        </w:r>
      </w:hyperlink>
      <w:r w:rsidRPr="003418AC">
        <w:t>.</w:t>
      </w:r>
    </w:p>
    <w:p w14:paraId="1E46A9BD" w14:textId="77777777" w:rsidR="00010B5C" w:rsidRPr="00AC7773" w:rsidRDefault="00010B5C" w:rsidP="00DC3FAD">
      <w:pPr>
        <w:pStyle w:val="Bookbodytext"/>
      </w:pPr>
    </w:p>
    <w:p w14:paraId="6802AB91" w14:textId="78812315" w:rsidR="00B57180" w:rsidRPr="004506A8" w:rsidRDefault="00B57180" w:rsidP="00DC3FAD">
      <w:pPr>
        <w:pStyle w:val="Bookbodytext"/>
      </w:pPr>
      <w:r w:rsidRPr="004506A8">
        <w:t>Care Leavers’ Association (2013)</w:t>
      </w:r>
      <w:r w:rsidR="004506A8" w:rsidRPr="004506A8">
        <w:rPr>
          <w:b/>
          <w:bCs/>
        </w:rPr>
        <w:t xml:space="preserve"> </w:t>
      </w:r>
      <w:r w:rsidR="004506A8" w:rsidRPr="004506A8">
        <w:rPr>
          <w:i/>
          <w:iCs/>
        </w:rPr>
        <w:t>What is a Care Leaver?</w:t>
      </w:r>
      <w:r w:rsidRPr="004506A8">
        <w:t xml:space="preserve"> Available at: </w:t>
      </w:r>
      <w:r w:rsidR="004506A8" w:rsidRPr="004506A8">
        <w:t xml:space="preserve">https://www.careleavers.com/who-we-are/what-is-a-care-leaver-2/ </w:t>
      </w:r>
      <w:r w:rsidRPr="004506A8">
        <w:t>(accessed 01/12/2014).</w:t>
      </w:r>
    </w:p>
    <w:p w14:paraId="58DCDF34" w14:textId="77777777" w:rsidR="00402D1E" w:rsidRPr="00AC7773" w:rsidRDefault="00402D1E" w:rsidP="00DC3FAD">
      <w:pPr>
        <w:pStyle w:val="Bookbodytext"/>
      </w:pPr>
    </w:p>
    <w:p w14:paraId="497CCEA3" w14:textId="745EB579" w:rsidR="00B57180" w:rsidRDefault="00B57180" w:rsidP="00DC3FAD">
      <w:pPr>
        <w:pStyle w:val="Bookbodytext"/>
      </w:pPr>
      <w:r w:rsidRPr="004506A8">
        <w:t xml:space="preserve">Casey, L. (2012) </w:t>
      </w:r>
      <w:r w:rsidRPr="004506A8">
        <w:rPr>
          <w:i/>
          <w:iCs/>
        </w:rPr>
        <w:t xml:space="preserve">Listening </w:t>
      </w:r>
      <w:r w:rsidR="00130D01" w:rsidRPr="004506A8">
        <w:rPr>
          <w:i/>
          <w:iCs/>
        </w:rPr>
        <w:t>to</w:t>
      </w:r>
      <w:r w:rsidRPr="004506A8">
        <w:rPr>
          <w:i/>
          <w:iCs/>
        </w:rPr>
        <w:t xml:space="preserve"> Troubled Families</w:t>
      </w:r>
      <w:r w:rsidRPr="004506A8">
        <w:t>. London: Troubled Families Unit.</w:t>
      </w:r>
    </w:p>
    <w:p w14:paraId="55F48FFD" w14:textId="77777777" w:rsidR="00010B5C" w:rsidRPr="00AC7773" w:rsidRDefault="00010B5C" w:rsidP="00DC3FAD">
      <w:pPr>
        <w:pStyle w:val="Bookbodytext"/>
      </w:pPr>
    </w:p>
    <w:p w14:paraId="0C53AFF0" w14:textId="38BE60D5" w:rsidR="00B57180" w:rsidRDefault="00B57180" w:rsidP="00DC3FAD">
      <w:pPr>
        <w:pStyle w:val="Bookbodytext"/>
      </w:pPr>
      <w:r w:rsidRPr="00AC7773">
        <w:t>Coy, M. (2008) Young Women, Local Authority Care and Selling Sex: Findings from Research</w:t>
      </w:r>
      <w:r w:rsidR="00130D01">
        <w:t xml:space="preserve">. </w:t>
      </w:r>
      <w:r w:rsidRPr="00130D01">
        <w:rPr>
          <w:i/>
          <w:iCs/>
        </w:rPr>
        <w:t>British Journal of Social Work</w:t>
      </w:r>
      <w:r w:rsidRPr="00AC7773">
        <w:t>, 38(7</w:t>
      </w:r>
      <w:r w:rsidR="00130D01">
        <w:t>):</w:t>
      </w:r>
      <w:r w:rsidRPr="00AC7773">
        <w:t>1408-1424. DOI: 10.1093/</w:t>
      </w:r>
      <w:proofErr w:type="spellStart"/>
      <w:r w:rsidRPr="00AC7773">
        <w:t>bjsw</w:t>
      </w:r>
      <w:proofErr w:type="spellEnd"/>
      <w:r w:rsidRPr="00AC7773">
        <w:t>/bcm049</w:t>
      </w:r>
    </w:p>
    <w:p w14:paraId="42B62351" w14:textId="77777777" w:rsidR="00010B5C" w:rsidRPr="00AC7773" w:rsidRDefault="00010B5C" w:rsidP="00DC3FAD">
      <w:pPr>
        <w:pStyle w:val="Bookbodytext"/>
      </w:pPr>
    </w:p>
    <w:p w14:paraId="01914695" w14:textId="27919A64" w:rsidR="00B57180" w:rsidRDefault="00B57180" w:rsidP="00DC3FAD">
      <w:pPr>
        <w:pStyle w:val="Bookbodytext"/>
      </w:pPr>
      <w:r w:rsidRPr="00AC7773">
        <w:t>Denison, J. (2016) Social theory and narrative research: A point of view</w:t>
      </w:r>
      <w:r w:rsidR="00130D01">
        <w:t>.</w:t>
      </w:r>
      <w:r w:rsidRPr="00AC7773">
        <w:t xml:space="preserve"> </w:t>
      </w:r>
      <w:r w:rsidRPr="00130D01">
        <w:rPr>
          <w:i/>
          <w:iCs/>
        </w:rPr>
        <w:t>Sport, Education and Society</w:t>
      </w:r>
      <w:r w:rsidRPr="00AC7773">
        <w:t>, 21(1)</w:t>
      </w:r>
      <w:r w:rsidR="00130D01">
        <w:t xml:space="preserve">: </w:t>
      </w:r>
      <w:r w:rsidRPr="00AC7773">
        <w:t>7-10.</w:t>
      </w:r>
    </w:p>
    <w:p w14:paraId="08AA37F5" w14:textId="77777777" w:rsidR="00010B5C" w:rsidRPr="00AC7773" w:rsidRDefault="00010B5C" w:rsidP="00DC3FAD">
      <w:pPr>
        <w:pStyle w:val="Bookbodytext"/>
      </w:pPr>
    </w:p>
    <w:p w14:paraId="7E10E121" w14:textId="5AAC30C8" w:rsidR="00793DF2" w:rsidRDefault="00B57180" w:rsidP="00DC3FAD">
      <w:pPr>
        <w:pStyle w:val="Bookbodytext"/>
        <w:rPr>
          <w:rStyle w:val="Hyperlink"/>
        </w:rPr>
      </w:pPr>
      <w:r w:rsidRPr="004506A8">
        <w:t>Department for Education (20</w:t>
      </w:r>
      <w:r w:rsidR="00793DF2" w:rsidRPr="004506A8">
        <w:t>20</w:t>
      </w:r>
      <w:r w:rsidR="004506A8">
        <w:t>a</w:t>
      </w:r>
      <w:r w:rsidRPr="004506A8">
        <w:t xml:space="preserve">) </w:t>
      </w:r>
      <w:r w:rsidRPr="004506A8">
        <w:rPr>
          <w:i/>
          <w:iCs/>
        </w:rPr>
        <w:t>Children looked after in England (including adoption), year ending 31 March 20</w:t>
      </w:r>
      <w:r w:rsidR="00793DF2" w:rsidRPr="004506A8">
        <w:rPr>
          <w:i/>
          <w:iCs/>
        </w:rPr>
        <w:t>20</w:t>
      </w:r>
      <w:r w:rsidRPr="004506A8">
        <w:t>. Available</w:t>
      </w:r>
      <w:r w:rsidRPr="00A63FD3">
        <w:t xml:space="preserve"> at:</w:t>
      </w:r>
      <w:r w:rsidRPr="00AC7773">
        <w:t xml:space="preserve"> </w:t>
      </w:r>
      <w:hyperlink r:id="rId11" w:history="1">
        <w:r w:rsidR="00793DF2" w:rsidRPr="00DC296F">
          <w:rPr>
            <w:rStyle w:val="Hyperlink"/>
          </w:rPr>
          <w:t>https://explore-education-statistics.service.gov.uk/find-statistics/children-looked-after-in-england-including-adoptions/2020</w:t>
        </w:r>
      </w:hyperlink>
    </w:p>
    <w:p w14:paraId="695BD0D6" w14:textId="77777777" w:rsidR="00402D1E" w:rsidRDefault="00402D1E" w:rsidP="00DC3FAD">
      <w:pPr>
        <w:pStyle w:val="Bookbodytext"/>
      </w:pPr>
    </w:p>
    <w:p w14:paraId="61F5B257" w14:textId="4864B623" w:rsidR="00B57180" w:rsidRDefault="00B57180" w:rsidP="00DC3FAD">
      <w:pPr>
        <w:pStyle w:val="Bookbodytext"/>
      </w:pPr>
      <w:r w:rsidRPr="004506A8">
        <w:lastRenderedPageBreak/>
        <w:t>Department for Education (2020</w:t>
      </w:r>
      <w:r w:rsidR="004506A8">
        <w:t>b</w:t>
      </w:r>
      <w:r w:rsidRPr="004506A8">
        <w:t xml:space="preserve">) </w:t>
      </w:r>
      <w:r w:rsidRPr="004506A8">
        <w:rPr>
          <w:i/>
          <w:iCs/>
        </w:rPr>
        <w:t>Outcomes for children looked after by local authorities in England, 31 March 2019</w:t>
      </w:r>
      <w:r w:rsidRPr="004506A8">
        <w:t>. Available at:</w:t>
      </w:r>
      <w:r w:rsidRPr="00074052">
        <w:t xml:space="preserve"> </w:t>
      </w:r>
      <w:hyperlink r:id="rId12" w:history="1">
        <w:r w:rsidR="00010B5C" w:rsidRPr="00DC296F">
          <w:rPr>
            <w:rStyle w:val="Hyperlink"/>
          </w:rPr>
          <w:t>https://assets.publishing.service.gov.uk/government/uploads/system/uploads/attachment_data/file/875529/CLA_Outcomes_Main_Text_2019.pdf</w:t>
        </w:r>
      </w:hyperlink>
    </w:p>
    <w:p w14:paraId="386F9EF5" w14:textId="77777777" w:rsidR="00010B5C" w:rsidRPr="00AC7773" w:rsidRDefault="00010B5C" w:rsidP="00DC3FAD">
      <w:pPr>
        <w:pStyle w:val="Bookbodytext"/>
      </w:pPr>
    </w:p>
    <w:p w14:paraId="6872F59C" w14:textId="4C0188DB" w:rsidR="00B57180" w:rsidRDefault="00B57180" w:rsidP="00DC3FAD">
      <w:pPr>
        <w:pStyle w:val="Bookbodytext"/>
      </w:pPr>
      <w:proofErr w:type="spellStart"/>
      <w:r w:rsidRPr="004506A8">
        <w:t>Duncalf</w:t>
      </w:r>
      <w:proofErr w:type="spellEnd"/>
      <w:r w:rsidRPr="004506A8">
        <w:t xml:space="preserve">, Z. (2010) </w:t>
      </w:r>
      <w:r w:rsidRPr="004506A8">
        <w:rPr>
          <w:i/>
          <w:iCs/>
        </w:rPr>
        <w:t>Listen up! Adult care leavers speak out: The views of 310 care leavers aged 17-78</w:t>
      </w:r>
      <w:r w:rsidR="004506A8" w:rsidRPr="004506A8">
        <w:rPr>
          <w:i/>
          <w:iCs/>
        </w:rPr>
        <w:t>.</w:t>
      </w:r>
      <w:r w:rsidRPr="004506A8">
        <w:t xml:space="preserve"> </w:t>
      </w:r>
      <w:r w:rsidR="004506A8" w:rsidRPr="004506A8">
        <w:t xml:space="preserve">Online: </w:t>
      </w:r>
      <w:r w:rsidRPr="004506A8">
        <w:t>Care Leavers' Association. Available at: http://strathprints.strath.ac.uk/27410/ (accessed 03/12/2012).</w:t>
      </w:r>
    </w:p>
    <w:p w14:paraId="3F27249E" w14:textId="77777777" w:rsidR="00010B5C" w:rsidRPr="00A63FD3" w:rsidRDefault="00010B5C" w:rsidP="00DC3FAD">
      <w:pPr>
        <w:pStyle w:val="Bookbodytext"/>
      </w:pPr>
    </w:p>
    <w:p w14:paraId="1D454687" w14:textId="4DD8F727" w:rsidR="00B57180" w:rsidRDefault="00B57180" w:rsidP="00DC3FAD">
      <w:pPr>
        <w:pStyle w:val="Bookbodytext"/>
      </w:pPr>
      <w:r w:rsidRPr="00055A09">
        <w:t xml:space="preserve">Featherstone, B., Morris, K., Daniel, B., </w:t>
      </w:r>
      <w:proofErr w:type="spellStart"/>
      <w:r w:rsidRPr="00055A09">
        <w:t>Bywaters</w:t>
      </w:r>
      <w:proofErr w:type="spellEnd"/>
      <w:r w:rsidRPr="00055A09">
        <w:t>, P., Brady, G., Bunting, L., Mason, W. and Mirza, N., (2017). Poverty, inequality, child abuse and neglect: Changing the conversation across the UK in child protection? </w:t>
      </w:r>
      <w:r w:rsidRPr="00055A09">
        <w:rPr>
          <w:i/>
          <w:iCs/>
        </w:rPr>
        <w:t>Children and Youth Services Review</w:t>
      </w:r>
      <w:r w:rsidRPr="00055A09">
        <w:t>, </w:t>
      </w:r>
      <w:r w:rsidRPr="00055A09">
        <w:rPr>
          <w:i/>
          <w:iCs/>
        </w:rPr>
        <w:t>97</w:t>
      </w:r>
      <w:r w:rsidR="00130D01">
        <w:t xml:space="preserve">: </w:t>
      </w:r>
      <w:r w:rsidRPr="00055A09">
        <w:t>127-133.</w:t>
      </w:r>
    </w:p>
    <w:p w14:paraId="0CF1E81A" w14:textId="77777777" w:rsidR="00010B5C" w:rsidRPr="00AC7773" w:rsidRDefault="00010B5C" w:rsidP="00DC3FAD">
      <w:pPr>
        <w:pStyle w:val="Bookbodytext"/>
      </w:pPr>
    </w:p>
    <w:p w14:paraId="364BCBA8" w14:textId="073B95E3" w:rsidR="00B57180" w:rsidRDefault="00B57180" w:rsidP="00DC3FAD">
      <w:pPr>
        <w:pStyle w:val="Bookbodytext"/>
      </w:pPr>
      <w:r w:rsidRPr="00AC7773">
        <w:t>Foster, K. R., &amp; Spencer, D. (2010) At risk of what? Possibilities over probabilities in the study of young lives</w:t>
      </w:r>
      <w:r w:rsidR="00130D01">
        <w:t>.</w:t>
      </w:r>
      <w:r w:rsidRPr="00AC7773">
        <w:t xml:space="preserve"> </w:t>
      </w:r>
      <w:r w:rsidRPr="00130D01">
        <w:rPr>
          <w:i/>
          <w:iCs/>
        </w:rPr>
        <w:t>Journal of Youth Studies</w:t>
      </w:r>
      <w:r w:rsidRPr="00AC7773">
        <w:t>, 14(1)</w:t>
      </w:r>
      <w:r w:rsidR="00130D01">
        <w:t xml:space="preserve">: </w:t>
      </w:r>
      <w:r w:rsidRPr="00AC7773">
        <w:t>125-143.</w:t>
      </w:r>
      <w:r w:rsidR="00130D01">
        <w:t xml:space="preserve"> </w:t>
      </w:r>
      <w:r w:rsidRPr="00AC7773">
        <w:t>DOI:10.1080/13676261.2010.506527</w:t>
      </w:r>
    </w:p>
    <w:p w14:paraId="4070455A" w14:textId="77777777" w:rsidR="00010B5C" w:rsidRPr="00AC7773" w:rsidRDefault="00010B5C" w:rsidP="00DC3FAD">
      <w:pPr>
        <w:pStyle w:val="Bookbodytext"/>
      </w:pPr>
    </w:p>
    <w:p w14:paraId="5431722C" w14:textId="5E9259F7" w:rsidR="004506A8" w:rsidRDefault="004506A8" w:rsidP="00DC3FAD">
      <w:pPr>
        <w:pStyle w:val="Bookbodytext"/>
        <w:rPr>
          <w:lang w:eastAsia="en-GB"/>
        </w:rPr>
      </w:pPr>
      <w:r w:rsidRPr="004506A8">
        <w:rPr>
          <w:lang w:eastAsia="en-GB"/>
        </w:rPr>
        <w:t>Garrett, P. M. (1999). Mapping child-care social work in the final years of the twentieth century: A critical response to the ‘Looking after children’</w:t>
      </w:r>
      <w:r>
        <w:rPr>
          <w:lang w:eastAsia="en-GB"/>
        </w:rPr>
        <w:t xml:space="preserve"> </w:t>
      </w:r>
      <w:r w:rsidRPr="004506A8">
        <w:rPr>
          <w:lang w:eastAsia="en-GB"/>
        </w:rPr>
        <w:t>system. </w:t>
      </w:r>
      <w:r w:rsidRPr="004506A8">
        <w:rPr>
          <w:i/>
          <w:iCs/>
          <w:lang w:eastAsia="en-GB"/>
        </w:rPr>
        <w:t>The British Journal of Social Work</w:t>
      </w:r>
      <w:r w:rsidRPr="004506A8">
        <w:rPr>
          <w:lang w:eastAsia="en-GB"/>
        </w:rPr>
        <w:t>, </w:t>
      </w:r>
      <w:r w:rsidRPr="004506A8">
        <w:rPr>
          <w:i/>
          <w:iCs/>
          <w:lang w:eastAsia="en-GB"/>
        </w:rPr>
        <w:t>29</w:t>
      </w:r>
      <w:r w:rsidRPr="004506A8">
        <w:rPr>
          <w:lang w:eastAsia="en-GB"/>
        </w:rPr>
        <w:t>(1)</w:t>
      </w:r>
      <w:r>
        <w:rPr>
          <w:lang w:eastAsia="en-GB"/>
        </w:rPr>
        <w:t>:</w:t>
      </w:r>
      <w:r w:rsidRPr="004506A8">
        <w:rPr>
          <w:lang w:eastAsia="en-GB"/>
        </w:rPr>
        <w:t>27-47.</w:t>
      </w:r>
    </w:p>
    <w:p w14:paraId="737159E3" w14:textId="77777777" w:rsidR="004506A8" w:rsidRPr="004506A8" w:rsidRDefault="004506A8" w:rsidP="00DC3FAD">
      <w:pPr>
        <w:pStyle w:val="Bookbodytext"/>
        <w:rPr>
          <w:lang w:eastAsia="en-GB"/>
        </w:rPr>
      </w:pPr>
    </w:p>
    <w:p w14:paraId="4F87D410" w14:textId="206A0F21" w:rsidR="004506A8" w:rsidRPr="004506A8" w:rsidRDefault="004506A8" w:rsidP="00DC3FAD">
      <w:pPr>
        <w:pStyle w:val="Bookbodytext"/>
        <w:rPr>
          <w:lang w:eastAsia="en-GB"/>
        </w:rPr>
      </w:pPr>
      <w:r w:rsidRPr="004506A8">
        <w:rPr>
          <w:lang w:eastAsia="en-GB"/>
        </w:rPr>
        <w:t>Garrett, P. M. (2005) Social work’s ‘electronic turn’: Notes on the deployment of information and communication technologies in social work with children and families. </w:t>
      </w:r>
      <w:r w:rsidRPr="004506A8">
        <w:rPr>
          <w:i/>
          <w:iCs/>
          <w:lang w:eastAsia="en-GB"/>
        </w:rPr>
        <w:t>Critical Social Policy</w:t>
      </w:r>
      <w:r w:rsidRPr="004506A8">
        <w:rPr>
          <w:lang w:eastAsia="en-GB"/>
        </w:rPr>
        <w:t>, </w:t>
      </w:r>
      <w:r w:rsidRPr="004506A8">
        <w:rPr>
          <w:i/>
          <w:iCs/>
          <w:lang w:eastAsia="en-GB"/>
        </w:rPr>
        <w:t>25</w:t>
      </w:r>
      <w:r w:rsidRPr="004506A8">
        <w:rPr>
          <w:lang w:eastAsia="en-GB"/>
        </w:rPr>
        <w:t>(4)</w:t>
      </w:r>
      <w:r>
        <w:rPr>
          <w:lang w:eastAsia="en-GB"/>
        </w:rPr>
        <w:t>:</w:t>
      </w:r>
      <w:r w:rsidRPr="004506A8">
        <w:rPr>
          <w:lang w:eastAsia="en-GB"/>
        </w:rPr>
        <w:t>529-553.</w:t>
      </w:r>
    </w:p>
    <w:p w14:paraId="43714E74" w14:textId="77777777" w:rsidR="00010B5C" w:rsidRPr="00AC7773" w:rsidRDefault="00010B5C" w:rsidP="00DC3FAD">
      <w:pPr>
        <w:pStyle w:val="Bookbodytext"/>
      </w:pPr>
    </w:p>
    <w:p w14:paraId="290744E4" w14:textId="3DBB02A4" w:rsidR="00B57180" w:rsidRDefault="00B57180" w:rsidP="00DC3FAD">
      <w:pPr>
        <w:pStyle w:val="Bookbodytext"/>
      </w:pPr>
      <w:r w:rsidRPr="00AC7773">
        <w:lastRenderedPageBreak/>
        <w:t xml:space="preserve">Giddens, A. (1991) </w:t>
      </w:r>
      <w:r w:rsidRPr="004506A8">
        <w:t>Modernity and self-identity: self and society in the late modern age</w:t>
      </w:r>
      <w:r w:rsidR="00130D01">
        <w:t>.</w:t>
      </w:r>
      <w:r w:rsidRPr="00AC7773">
        <w:t xml:space="preserve"> Cambridge: Polity.</w:t>
      </w:r>
    </w:p>
    <w:p w14:paraId="5E84BBE7" w14:textId="77777777" w:rsidR="00010B5C" w:rsidRPr="00AC7773" w:rsidRDefault="00010B5C" w:rsidP="00DC3FAD">
      <w:pPr>
        <w:pStyle w:val="Bookbodytext"/>
      </w:pPr>
    </w:p>
    <w:p w14:paraId="16EAAC88" w14:textId="298386C3" w:rsidR="00B57180" w:rsidRDefault="00B57180" w:rsidP="00DC3FAD">
      <w:pPr>
        <w:pStyle w:val="Bookbodytext"/>
      </w:pPr>
      <w:r w:rsidRPr="004506A8">
        <w:t xml:space="preserve">Gilbert, R., </w:t>
      </w:r>
      <w:proofErr w:type="spellStart"/>
      <w:r w:rsidRPr="004506A8">
        <w:t>Widom</w:t>
      </w:r>
      <w:proofErr w:type="spellEnd"/>
      <w:r w:rsidRPr="004506A8">
        <w:t>, C. S., Browne, K., Fergusson, D., Webb, E., &amp; Janson,</w:t>
      </w:r>
      <w:r w:rsidRPr="00AC7773">
        <w:t xml:space="preserve"> S. (2009) Burden and consequences of child maltreatment in high-income countries</w:t>
      </w:r>
      <w:r w:rsidR="00130D01">
        <w:t>.</w:t>
      </w:r>
      <w:r w:rsidRPr="00AC7773">
        <w:t xml:space="preserve"> </w:t>
      </w:r>
      <w:r w:rsidRPr="00130D01">
        <w:rPr>
          <w:i/>
          <w:iCs/>
        </w:rPr>
        <w:t xml:space="preserve">The </w:t>
      </w:r>
      <w:r w:rsidR="00130D01" w:rsidRPr="00130D01">
        <w:rPr>
          <w:i/>
          <w:iCs/>
        </w:rPr>
        <w:t>L</w:t>
      </w:r>
      <w:r w:rsidRPr="00130D01">
        <w:rPr>
          <w:i/>
          <w:iCs/>
        </w:rPr>
        <w:t>ancet</w:t>
      </w:r>
      <w:r w:rsidRPr="00AC7773">
        <w:t>, 373 (9657)</w:t>
      </w:r>
      <w:r w:rsidR="00130D01">
        <w:t>:</w:t>
      </w:r>
      <w:r w:rsidR="00130D01" w:rsidRPr="00AC7773">
        <w:t xml:space="preserve"> </w:t>
      </w:r>
      <w:r w:rsidRPr="00AC7773">
        <w:t>68-81.</w:t>
      </w:r>
    </w:p>
    <w:p w14:paraId="4DF1D85F" w14:textId="77777777" w:rsidR="00010B5C" w:rsidRPr="00AC7773" w:rsidRDefault="00010B5C" w:rsidP="00DC3FAD">
      <w:pPr>
        <w:pStyle w:val="Bookbodytext"/>
      </w:pPr>
    </w:p>
    <w:p w14:paraId="747BC7D8" w14:textId="6D86505F" w:rsidR="00B57180" w:rsidRPr="00130D01" w:rsidRDefault="00B57180" w:rsidP="00DC3FAD">
      <w:pPr>
        <w:pStyle w:val="Bookbodytext"/>
        <w:rPr>
          <w:lang w:val="en-GB"/>
        </w:rPr>
      </w:pPr>
      <w:r w:rsidRPr="00AC7773">
        <w:t>Gillies, V. (2011) From Function to Competence: Engaging with the New Politics of Family</w:t>
      </w:r>
      <w:r w:rsidR="00130D01">
        <w:t>.</w:t>
      </w:r>
      <w:r w:rsidRPr="00AC7773">
        <w:t xml:space="preserve"> </w:t>
      </w:r>
      <w:r w:rsidRPr="00130D01">
        <w:rPr>
          <w:i/>
          <w:iCs/>
        </w:rPr>
        <w:t>Sociological Research Online</w:t>
      </w:r>
      <w:r w:rsidRPr="00AC7773">
        <w:t>, 16(4)</w:t>
      </w:r>
      <w:r w:rsidR="00130D01">
        <w:t>:</w:t>
      </w:r>
      <w:r w:rsidRPr="00AC7773">
        <w:t xml:space="preserve"> 1</w:t>
      </w:r>
      <w:r w:rsidR="00130D01">
        <w:t>09-119</w:t>
      </w:r>
      <w:r w:rsidRPr="00AC7773">
        <w:t>.</w:t>
      </w:r>
      <w:r w:rsidR="00130D01">
        <w:t xml:space="preserve"> </w:t>
      </w:r>
      <w:hyperlink r:id="rId13" w:history="1">
        <w:r w:rsidR="00130D01" w:rsidRPr="00130D01">
          <w:rPr>
            <w:rStyle w:val="Hyperlink"/>
            <w:lang w:val="en-GB"/>
          </w:rPr>
          <w:t>https://doi.org/10.5153/sro.2393</w:t>
        </w:r>
      </w:hyperlink>
    </w:p>
    <w:p w14:paraId="5569B39F" w14:textId="77777777" w:rsidR="00402D1E" w:rsidRPr="00AC7773" w:rsidRDefault="00402D1E" w:rsidP="00DC3FAD">
      <w:pPr>
        <w:pStyle w:val="Bookbodytext"/>
      </w:pPr>
    </w:p>
    <w:p w14:paraId="130A77D7" w14:textId="77777777" w:rsidR="00130D01" w:rsidRPr="00130D01" w:rsidRDefault="00B57180" w:rsidP="00DC3FAD">
      <w:pPr>
        <w:pStyle w:val="Bookbodytext"/>
      </w:pPr>
      <w:r w:rsidRPr="00130D01">
        <w:t>Goodyer, A. (2013) Understanding looked-after childhoods</w:t>
      </w:r>
      <w:r w:rsidR="00130D01" w:rsidRPr="00130D01">
        <w:t>.</w:t>
      </w:r>
      <w:r w:rsidRPr="00130D01">
        <w:t xml:space="preserve"> </w:t>
      </w:r>
      <w:r w:rsidRPr="00130D01">
        <w:rPr>
          <w:i/>
          <w:iCs/>
        </w:rPr>
        <w:t>Child &amp; Family Social Work</w:t>
      </w:r>
      <w:r w:rsidRPr="00130D01">
        <w:t>, 18(4)</w:t>
      </w:r>
      <w:r w:rsidR="00130D01" w:rsidRPr="00130D01">
        <w:t xml:space="preserve">: </w:t>
      </w:r>
      <w:r w:rsidRPr="00130D01">
        <w:t>394-402.</w:t>
      </w:r>
      <w:r w:rsidR="00130D01" w:rsidRPr="00130D01">
        <w:t xml:space="preserve"> </w:t>
      </w:r>
      <w:hyperlink r:id="rId14" w:history="1">
        <w:r w:rsidR="00130D01" w:rsidRPr="00130D01">
          <w:rPr>
            <w:rStyle w:val="Hyperlink"/>
            <w:color w:val="000000" w:themeColor="text1"/>
            <w:u w:val="none"/>
          </w:rPr>
          <w:t>https://doi.org/10.1111/j.1365-2206.2012.00858.x</w:t>
        </w:r>
      </w:hyperlink>
    </w:p>
    <w:p w14:paraId="18D7D78F" w14:textId="77777777" w:rsidR="00010B5C" w:rsidRPr="00AC7773" w:rsidRDefault="00010B5C" w:rsidP="00DC3FAD">
      <w:pPr>
        <w:pStyle w:val="Bookbodytext"/>
      </w:pPr>
    </w:p>
    <w:p w14:paraId="4D0C3BB4" w14:textId="7BF24B9A" w:rsidR="00B57180" w:rsidRDefault="00B57180" w:rsidP="00DC3FAD">
      <w:pPr>
        <w:pStyle w:val="Bookbodytext"/>
      </w:pPr>
      <w:r w:rsidRPr="00AC7773">
        <w:t xml:space="preserve">Harding, J., Irving, A. and </w:t>
      </w:r>
      <w:proofErr w:type="spellStart"/>
      <w:r w:rsidRPr="00AC7773">
        <w:t>Whowell</w:t>
      </w:r>
      <w:proofErr w:type="spellEnd"/>
      <w:r w:rsidRPr="00AC7773">
        <w:t xml:space="preserve">, M. (2011) </w:t>
      </w:r>
      <w:r w:rsidRPr="00130D01">
        <w:rPr>
          <w:i/>
          <w:iCs/>
        </w:rPr>
        <w:t>Homelessness, Pathways to Exclusion and Opportunities for Intervention</w:t>
      </w:r>
      <w:r w:rsidRPr="00AC7773">
        <w:t xml:space="preserve">. </w:t>
      </w:r>
      <w:proofErr w:type="spellStart"/>
      <w:r w:rsidRPr="004506A8">
        <w:t>Northumbria</w:t>
      </w:r>
      <w:proofErr w:type="spellEnd"/>
      <w:r w:rsidRPr="004506A8">
        <w:t xml:space="preserve"> University: Arts and Social Sciences Press.</w:t>
      </w:r>
    </w:p>
    <w:p w14:paraId="194B3A93" w14:textId="77777777" w:rsidR="00564CFA" w:rsidRPr="00AC7773" w:rsidRDefault="00564CFA" w:rsidP="00DC3FAD">
      <w:pPr>
        <w:pStyle w:val="Bookbodytext"/>
      </w:pPr>
    </w:p>
    <w:p w14:paraId="2086616B" w14:textId="77777777" w:rsidR="00130D01" w:rsidRPr="00130D01" w:rsidRDefault="00B57180" w:rsidP="00DC3FAD">
      <w:pPr>
        <w:pStyle w:val="Bookbodytext"/>
        <w:rPr>
          <w:lang w:val="en-GB"/>
        </w:rPr>
      </w:pPr>
      <w:r w:rsidRPr="00130D01">
        <w:t>Hare, A. D., &amp; Bullock, R. (2006) Dispelling misconceptions about looked after children</w:t>
      </w:r>
      <w:r w:rsidR="00130D01" w:rsidRPr="00130D01">
        <w:t>.</w:t>
      </w:r>
      <w:r w:rsidRPr="00130D01">
        <w:t xml:space="preserve"> </w:t>
      </w:r>
      <w:r w:rsidRPr="00130D01">
        <w:rPr>
          <w:i/>
          <w:iCs/>
        </w:rPr>
        <w:t>Adoption &amp; Fostering Journal</w:t>
      </w:r>
      <w:r w:rsidRPr="00130D01">
        <w:t>, 30(4)</w:t>
      </w:r>
      <w:r w:rsidR="00130D01" w:rsidRPr="00130D01">
        <w:t xml:space="preserve">: </w:t>
      </w:r>
      <w:r w:rsidRPr="00130D01">
        <w:t>26-35.</w:t>
      </w:r>
      <w:r w:rsidR="00130D01" w:rsidRPr="00130D01">
        <w:t xml:space="preserve"> </w:t>
      </w:r>
      <w:hyperlink r:id="rId15" w:history="1">
        <w:r w:rsidR="00130D01" w:rsidRPr="00130D01">
          <w:rPr>
            <w:rStyle w:val="Hyperlink"/>
            <w:lang w:val="en-GB"/>
          </w:rPr>
          <w:t>https://doi.org/10.1177/030857590603000405</w:t>
        </w:r>
      </w:hyperlink>
    </w:p>
    <w:p w14:paraId="223C4AE6" w14:textId="77777777" w:rsidR="00010B5C" w:rsidRPr="00AC7773" w:rsidRDefault="00010B5C" w:rsidP="00DC3FAD">
      <w:pPr>
        <w:pStyle w:val="Bookbodytext"/>
      </w:pPr>
    </w:p>
    <w:p w14:paraId="00D8FAA9" w14:textId="77777777" w:rsidR="004506A8" w:rsidRPr="004506A8" w:rsidRDefault="004506A8" w:rsidP="00DC3FAD">
      <w:pPr>
        <w:pStyle w:val="Bookbodytext"/>
        <w:rPr>
          <w:lang w:eastAsia="en-GB"/>
        </w:rPr>
      </w:pPr>
      <w:r w:rsidRPr="004506A8">
        <w:rPr>
          <w:lang w:eastAsia="en-GB"/>
        </w:rPr>
        <w:t>Harrison, N. (2017) Moving on up: care leavers and care-experienced students’ pathways into and through higher education. Winchester: National Network for the Education of Care Leavers.</w:t>
      </w:r>
    </w:p>
    <w:p w14:paraId="7AC50A57" w14:textId="77777777" w:rsidR="00010B5C" w:rsidRPr="00AC7773" w:rsidRDefault="00010B5C" w:rsidP="00DC3FAD">
      <w:pPr>
        <w:pStyle w:val="Bookbodytext"/>
      </w:pPr>
    </w:p>
    <w:p w14:paraId="1EAE28F8" w14:textId="12D063B0" w:rsidR="00B57180" w:rsidRDefault="00B57180" w:rsidP="00DC3FAD">
      <w:pPr>
        <w:pStyle w:val="Bookbodytext"/>
      </w:pPr>
      <w:r w:rsidRPr="00A63FD3">
        <w:lastRenderedPageBreak/>
        <w:t>Harrison, N. (</w:t>
      </w:r>
      <w:r w:rsidRPr="004506A8">
        <w:t xml:space="preserve">2019) </w:t>
      </w:r>
      <w:r w:rsidRPr="004506A8">
        <w:rPr>
          <w:i/>
          <w:iCs/>
        </w:rPr>
        <w:t>Are care leavers really more likely to go to prison than university?</w:t>
      </w:r>
      <w:r w:rsidRPr="004506A8">
        <w:t xml:space="preserve"> </w:t>
      </w:r>
      <w:proofErr w:type="spellStart"/>
      <w:r w:rsidR="004506A8" w:rsidRPr="004506A8">
        <w:rPr>
          <w:i/>
          <w:iCs/>
        </w:rPr>
        <w:t>ExChange</w:t>
      </w:r>
      <w:proofErr w:type="spellEnd"/>
      <w:r w:rsidR="004506A8" w:rsidRPr="004506A8">
        <w:rPr>
          <w:i/>
          <w:iCs/>
        </w:rPr>
        <w:t xml:space="preserve">, </w:t>
      </w:r>
      <w:r w:rsidRPr="004506A8">
        <w:t>19</w:t>
      </w:r>
      <w:r w:rsidRPr="004506A8">
        <w:rPr>
          <w:vertAlign w:val="superscript"/>
        </w:rPr>
        <w:t>th</w:t>
      </w:r>
      <w:r w:rsidRPr="004506A8">
        <w:t xml:space="preserve"> August.</w:t>
      </w:r>
      <w:r w:rsidRPr="00AC7773">
        <w:t xml:space="preserve"> Available at: </w:t>
      </w:r>
      <w:hyperlink r:id="rId16" w:history="1">
        <w:r w:rsidR="004506A8" w:rsidRPr="00DC296F">
          <w:rPr>
            <w:rStyle w:val="Hyperlink"/>
          </w:rPr>
          <w:t>https://www.exchangewales.org/are-care-leavers-really-more-likely-to-go-to-prison-than-university/</w:t>
        </w:r>
      </w:hyperlink>
    </w:p>
    <w:p w14:paraId="071AC5DA" w14:textId="77777777" w:rsidR="00010B5C" w:rsidRPr="00A63FD3" w:rsidRDefault="00010B5C" w:rsidP="00DC3FAD">
      <w:pPr>
        <w:pStyle w:val="Bookbodytext"/>
      </w:pPr>
    </w:p>
    <w:p w14:paraId="4B5D33F0" w14:textId="49E420B8" w:rsidR="005D280D" w:rsidRDefault="00B57180" w:rsidP="00DC3FAD">
      <w:pPr>
        <w:pStyle w:val="Bookbodytext"/>
      </w:pPr>
      <w:r w:rsidRPr="00AC7773">
        <w:t>Hendrick, H. (1997) Constructions and Reconstructions of British Childhood</w:t>
      </w:r>
      <w:r w:rsidR="00130D01">
        <w:t>. I</w:t>
      </w:r>
      <w:r w:rsidRPr="00AC7773">
        <w:t xml:space="preserve">n </w:t>
      </w:r>
      <w:proofErr w:type="spellStart"/>
      <w:r w:rsidRPr="00AC7773">
        <w:t>Prout</w:t>
      </w:r>
      <w:proofErr w:type="spellEnd"/>
      <w:r w:rsidRPr="00AC7773">
        <w:t xml:space="preserve">, A. </w:t>
      </w:r>
      <w:r w:rsidR="00130D01">
        <w:t xml:space="preserve">and </w:t>
      </w:r>
      <w:r w:rsidRPr="00AC7773">
        <w:t xml:space="preserve">James, A. (Eds.) </w:t>
      </w:r>
      <w:r w:rsidRPr="00130D01">
        <w:rPr>
          <w:i/>
          <w:iCs/>
        </w:rPr>
        <w:t>Constructing and reconstructing childhood: contemporary issues in the sociological study of childhood</w:t>
      </w:r>
      <w:r w:rsidR="00130D01">
        <w:t>.</w:t>
      </w:r>
      <w:r w:rsidRPr="00AC7773">
        <w:t xml:space="preserve"> London: Routledge</w:t>
      </w:r>
      <w:r w:rsidR="00130D01">
        <w:t xml:space="preserve">, </w:t>
      </w:r>
      <w:r w:rsidRPr="00AC7773">
        <w:t>33-60.</w:t>
      </w:r>
    </w:p>
    <w:p w14:paraId="36C6ABF2" w14:textId="77777777" w:rsidR="00010B5C" w:rsidRPr="00AC7773" w:rsidRDefault="00010B5C" w:rsidP="00DC3FAD">
      <w:pPr>
        <w:pStyle w:val="Bookbodytext"/>
      </w:pPr>
    </w:p>
    <w:p w14:paraId="43B20A0F" w14:textId="16C04B29" w:rsidR="005D280D" w:rsidRPr="00AC7773" w:rsidRDefault="005D280D" w:rsidP="00DC3FAD">
      <w:pPr>
        <w:pStyle w:val="Bookbodytext"/>
      </w:pPr>
      <w:proofErr w:type="spellStart"/>
      <w:r w:rsidRPr="00AC7773">
        <w:t>Holligan</w:t>
      </w:r>
      <w:proofErr w:type="spellEnd"/>
      <w:r w:rsidRPr="00AC7773">
        <w:t xml:space="preserve">, C., Hanson, L., Henderson, G., </w:t>
      </w:r>
      <w:r w:rsidR="00130D01">
        <w:t>and</w:t>
      </w:r>
      <w:r w:rsidRPr="00AC7773">
        <w:t xml:space="preserve"> Adams, M. (2014) The 'Care' of Children in Need in Contemporary Scotland The Role of Positivism and Performance Indicators in Official Imaginings of Childhood and Wellbeing. </w:t>
      </w:r>
      <w:r w:rsidRPr="00AC7773">
        <w:rPr>
          <w:i/>
          <w:iCs/>
        </w:rPr>
        <w:t>Scottish Journal of Residential Child Care</w:t>
      </w:r>
      <w:r w:rsidRPr="00AC7773">
        <w:t>, </w:t>
      </w:r>
      <w:r w:rsidRPr="00AC7773">
        <w:rPr>
          <w:i/>
          <w:iCs/>
        </w:rPr>
        <w:t>13</w:t>
      </w:r>
      <w:r w:rsidRPr="00AC7773">
        <w:t>(1).</w:t>
      </w:r>
    </w:p>
    <w:p w14:paraId="530858E4" w14:textId="77777777" w:rsidR="005D280D" w:rsidRPr="00AC7773" w:rsidRDefault="005D280D" w:rsidP="00DC3FAD">
      <w:pPr>
        <w:pStyle w:val="Bookbodytext"/>
      </w:pPr>
    </w:p>
    <w:p w14:paraId="6A66A941" w14:textId="63FF8DE3" w:rsidR="00B57180" w:rsidRPr="004506A8" w:rsidRDefault="00B57180" w:rsidP="00DC3FAD">
      <w:pPr>
        <w:pStyle w:val="Bookbodytext"/>
      </w:pPr>
      <w:r w:rsidRPr="004506A8">
        <w:t xml:space="preserve">Home Office (2004) </w:t>
      </w:r>
      <w:r w:rsidRPr="004506A8">
        <w:rPr>
          <w:i/>
          <w:iCs/>
        </w:rPr>
        <w:t>Paying the Price: a consultation paper on prostitution. Home</w:t>
      </w:r>
      <w:r w:rsidR="00402D1E" w:rsidRPr="004506A8">
        <w:rPr>
          <w:i/>
          <w:iCs/>
        </w:rPr>
        <w:t xml:space="preserve"> </w:t>
      </w:r>
      <w:r w:rsidRPr="004506A8">
        <w:rPr>
          <w:i/>
          <w:iCs/>
        </w:rPr>
        <w:t>Office Communication Directorate</w:t>
      </w:r>
      <w:r w:rsidRPr="004506A8">
        <w:t>. Available at: http://webarchive.nationalarchives.gov.uk/20070206083404/http://www.womenandequalityunit.gov.uk/publications/paying_the_price.pdf. (accessed 13/02/2013).</w:t>
      </w:r>
    </w:p>
    <w:p w14:paraId="65896BF5" w14:textId="77777777" w:rsidR="00402D1E" w:rsidRPr="00130D01" w:rsidRDefault="00402D1E" w:rsidP="00DC3FAD">
      <w:pPr>
        <w:pStyle w:val="Bookbodytext"/>
        <w:rPr>
          <w:highlight w:val="cyan"/>
        </w:rPr>
      </w:pPr>
    </w:p>
    <w:p w14:paraId="7F780D15" w14:textId="34D8E54C" w:rsidR="00B57180" w:rsidRDefault="00B57180" w:rsidP="00DC3FAD">
      <w:pPr>
        <w:pStyle w:val="Bookbodytext"/>
      </w:pPr>
      <w:r w:rsidRPr="004506A8">
        <w:t xml:space="preserve">Howard League for Penal Reform (2017) Ending the </w:t>
      </w:r>
      <w:proofErr w:type="spellStart"/>
      <w:r w:rsidRPr="004506A8">
        <w:t>criminalisation</w:t>
      </w:r>
      <w:proofErr w:type="spellEnd"/>
      <w:r w:rsidRPr="004506A8">
        <w:t xml:space="preserve"> of children in residential care. Briefing three: Hearts and Heads – Good practice in children’s homes. Available at: </w:t>
      </w:r>
      <w:hyperlink r:id="rId17" w:history="1">
        <w:r w:rsidRPr="004506A8">
          <w:rPr>
            <w:rStyle w:val="Hyperlink"/>
            <w:color w:val="000000" w:themeColor="text1"/>
          </w:rPr>
          <w:t>https://howardleague.org/wp-content/uploads/2018/07/Hearts-and-Heads-briefing-three.pdf</w:t>
        </w:r>
      </w:hyperlink>
      <w:r w:rsidRPr="004506A8">
        <w:t xml:space="preserve"> (Accessed 1.11. 2019)</w:t>
      </w:r>
    </w:p>
    <w:p w14:paraId="7FE16F58" w14:textId="77777777" w:rsidR="00010B5C" w:rsidRPr="00AC7773" w:rsidRDefault="00010B5C" w:rsidP="00DC3FAD">
      <w:pPr>
        <w:pStyle w:val="Bookbodytext"/>
      </w:pPr>
    </w:p>
    <w:p w14:paraId="3B9AE31A" w14:textId="263E87DA" w:rsidR="00B57180" w:rsidRDefault="00B57180" w:rsidP="00DC3FAD">
      <w:pPr>
        <w:pStyle w:val="Bookbodytext"/>
      </w:pPr>
      <w:proofErr w:type="spellStart"/>
      <w:r w:rsidRPr="004506A8">
        <w:lastRenderedPageBreak/>
        <w:t>Hugman</w:t>
      </w:r>
      <w:proofErr w:type="spellEnd"/>
      <w:r w:rsidRPr="004506A8">
        <w:t xml:space="preserve">, C. </w:t>
      </w:r>
      <w:r w:rsidR="004506A8" w:rsidRPr="004506A8">
        <w:t>(</w:t>
      </w:r>
      <w:r w:rsidRPr="004506A8">
        <w:t>2016</w:t>
      </w:r>
      <w:r w:rsidR="004506A8" w:rsidRPr="004506A8">
        <w:t>)</w:t>
      </w:r>
      <w:r w:rsidRPr="004506A8">
        <w:t>. What's the story? Sociological explorations of the life course narratives of adults with care experience</w:t>
      </w:r>
      <w:r w:rsidR="004506A8" w:rsidRPr="004506A8">
        <w:t>.</w:t>
      </w:r>
      <w:r w:rsidR="004506A8">
        <w:t xml:space="preserve"> </w:t>
      </w:r>
      <w:r w:rsidR="004506A8">
        <w:rPr>
          <w:sz w:val="22"/>
          <w:szCs w:val="22"/>
        </w:rPr>
        <w:t>Unpublished doctoral thesis,</w:t>
      </w:r>
      <w:r w:rsidRPr="00055A09">
        <w:t xml:space="preserve"> </w:t>
      </w:r>
      <w:proofErr w:type="spellStart"/>
      <w:r w:rsidRPr="00055A09">
        <w:t>Northumbria</w:t>
      </w:r>
      <w:proofErr w:type="spellEnd"/>
      <w:r w:rsidRPr="00055A09">
        <w:t xml:space="preserve"> University</w:t>
      </w:r>
      <w:r w:rsidR="004506A8">
        <w:t>, Newcastle Upon Tyne</w:t>
      </w:r>
      <w:r w:rsidRPr="00055A09">
        <w:t>.</w:t>
      </w:r>
    </w:p>
    <w:p w14:paraId="366833D1" w14:textId="77777777" w:rsidR="00402D1E" w:rsidRDefault="00402D1E" w:rsidP="00DC3FAD">
      <w:pPr>
        <w:pStyle w:val="Bookbodytext"/>
      </w:pPr>
    </w:p>
    <w:p w14:paraId="7E792300" w14:textId="476EC353" w:rsidR="00010B5C" w:rsidRDefault="00402D1E" w:rsidP="00DC3FAD">
      <w:pPr>
        <w:pStyle w:val="Bookbodytext"/>
      </w:pPr>
      <w:r w:rsidRPr="00402D1E">
        <w:t xml:space="preserve">Ibrahim, R. W., </w:t>
      </w:r>
      <w:r w:rsidR="00130D01">
        <w:t>and</w:t>
      </w:r>
      <w:r w:rsidRPr="00402D1E">
        <w:t xml:space="preserve"> Howe, D. (2011) The experience of Jordanian care</w:t>
      </w:r>
      <w:r>
        <w:t xml:space="preserve"> </w:t>
      </w:r>
      <w:r w:rsidRPr="00402D1E">
        <w:t>leavers making the transition from residential care to adulthood:</w:t>
      </w:r>
      <w:r>
        <w:t xml:space="preserve"> </w:t>
      </w:r>
      <w:r w:rsidRPr="00402D1E">
        <w:t xml:space="preserve">The influence of a patriarchal and collectivist culture. </w:t>
      </w:r>
      <w:r w:rsidRPr="00130D01">
        <w:rPr>
          <w:i/>
          <w:iCs/>
        </w:rPr>
        <w:t>Children and Youth Services Review</w:t>
      </w:r>
      <w:r w:rsidRPr="00402D1E">
        <w:t>, 33</w:t>
      </w:r>
      <w:r w:rsidR="00130D01">
        <w:t>:</w:t>
      </w:r>
      <w:r w:rsidRPr="00402D1E">
        <w:t xml:space="preserve"> 2469–2474.</w:t>
      </w:r>
    </w:p>
    <w:p w14:paraId="7F4829D4" w14:textId="77777777" w:rsidR="004506A8" w:rsidRDefault="004506A8" w:rsidP="00DC3FAD">
      <w:pPr>
        <w:pStyle w:val="Bookbodytext"/>
      </w:pPr>
    </w:p>
    <w:p w14:paraId="708956E1" w14:textId="13D39DCD" w:rsidR="00B57180" w:rsidRDefault="00B57180" w:rsidP="00DC3FAD">
      <w:pPr>
        <w:pStyle w:val="Bookbodytext"/>
      </w:pPr>
      <w:r w:rsidRPr="004506A8">
        <w:t xml:space="preserve">Jenks, C. (2005) </w:t>
      </w:r>
      <w:r w:rsidRPr="004506A8">
        <w:rPr>
          <w:i/>
          <w:iCs/>
        </w:rPr>
        <w:t>Childhood</w:t>
      </w:r>
      <w:r w:rsidR="004506A8" w:rsidRPr="004506A8">
        <w:rPr>
          <w:i/>
          <w:iCs/>
        </w:rPr>
        <w:t>.</w:t>
      </w:r>
      <w:r w:rsidRPr="004506A8">
        <w:rPr>
          <w:i/>
          <w:iCs/>
        </w:rPr>
        <w:t xml:space="preserve"> </w:t>
      </w:r>
      <w:r w:rsidRPr="004506A8">
        <w:t>2nd Ed</w:t>
      </w:r>
      <w:r w:rsidR="004506A8" w:rsidRPr="004506A8">
        <w:t>ition.</w:t>
      </w:r>
      <w:r w:rsidRPr="004506A8">
        <w:t xml:space="preserve"> London, New York: Routledge.</w:t>
      </w:r>
    </w:p>
    <w:p w14:paraId="0B6855F3" w14:textId="77777777" w:rsidR="00010B5C" w:rsidRPr="00AC7773" w:rsidRDefault="00010B5C" w:rsidP="00DC3FAD">
      <w:pPr>
        <w:pStyle w:val="Bookbodytext"/>
      </w:pPr>
    </w:p>
    <w:p w14:paraId="5FD6D951" w14:textId="33708250" w:rsidR="00B57180" w:rsidRDefault="00B57180" w:rsidP="00DC3FAD">
      <w:pPr>
        <w:pStyle w:val="Bookbodytext"/>
      </w:pPr>
      <w:r w:rsidRPr="00AC7773">
        <w:t xml:space="preserve">Lee, N. (2001) </w:t>
      </w:r>
      <w:r w:rsidRPr="00130D01">
        <w:t>Childhood and society: growing up in an age of uncertainty</w:t>
      </w:r>
      <w:r w:rsidR="00130D01">
        <w:t>.</w:t>
      </w:r>
      <w:r w:rsidRPr="00AC7773">
        <w:t xml:space="preserve"> Buckingham: Open University.</w:t>
      </w:r>
    </w:p>
    <w:p w14:paraId="75D2D8ED" w14:textId="1431547E" w:rsidR="00010B5C" w:rsidRDefault="00010B5C" w:rsidP="00DC3FAD">
      <w:pPr>
        <w:pStyle w:val="Bookbodytext"/>
      </w:pPr>
    </w:p>
    <w:p w14:paraId="39716A65" w14:textId="77777777" w:rsidR="004506A8" w:rsidRDefault="004506A8" w:rsidP="00DC3FAD">
      <w:pPr>
        <w:pStyle w:val="Bookbodytext"/>
      </w:pPr>
      <w:r>
        <w:t>Lindsay, M. (2010) Care and prejudice: a review of recent findings. Available at:</w:t>
      </w:r>
    </w:p>
    <w:p w14:paraId="4F0B8712" w14:textId="77777777" w:rsidR="004506A8" w:rsidRDefault="004506A8" w:rsidP="00DC3FAD">
      <w:pPr>
        <w:pStyle w:val="Bookbodytext"/>
      </w:pPr>
      <w:r>
        <w:t>http://www.policyreview.tv/conference/416-supporting-young-people-leavin</w:t>
      </w:r>
    </w:p>
    <w:p w14:paraId="43830EFC" w14:textId="113F3BCC" w:rsidR="004506A8" w:rsidRDefault="004506A8" w:rsidP="00DC3FAD">
      <w:pPr>
        <w:pStyle w:val="Bookbodytext"/>
      </w:pPr>
      <w:r>
        <w:t>(accessed 02/02/2013).</w:t>
      </w:r>
    </w:p>
    <w:p w14:paraId="41E5C452" w14:textId="77777777" w:rsidR="004506A8" w:rsidRPr="00AC7773" w:rsidRDefault="004506A8" w:rsidP="00DC3FAD">
      <w:pPr>
        <w:pStyle w:val="Bookbodytext"/>
      </w:pPr>
    </w:p>
    <w:p w14:paraId="3260B758" w14:textId="77777777" w:rsidR="006E2958" w:rsidRPr="006E2958" w:rsidRDefault="00AC7773" w:rsidP="00DC3FAD">
      <w:pPr>
        <w:pStyle w:val="Bookbodytext"/>
        <w:rPr>
          <w:rFonts w:eastAsia="Times New Roman"/>
          <w:lang w:eastAsia="en-GB"/>
        </w:rPr>
      </w:pPr>
      <w:proofErr w:type="spellStart"/>
      <w:r w:rsidRPr="006E2958">
        <w:t>Mannay</w:t>
      </w:r>
      <w:proofErr w:type="spellEnd"/>
      <w:r w:rsidRPr="006E2958">
        <w:t xml:space="preserve">, D., Evans, R., Staples, E., Hallett, S., Roberts, L., Rees, A. and Andrews, D., </w:t>
      </w:r>
      <w:r w:rsidR="00402D1E" w:rsidRPr="006E2958">
        <w:t>(</w:t>
      </w:r>
      <w:r w:rsidRPr="006E2958">
        <w:t>2017</w:t>
      </w:r>
      <w:r w:rsidR="00402D1E" w:rsidRPr="006E2958">
        <w:t>)</w:t>
      </w:r>
      <w:r w:rsidRPr="006E2958">
        <w:t xml:space="preserve"> The consequences of being labelled ‘looked‐after’: Exploring the educational experiences of looked‐after children and young people in Wales. </w:t>
      </w:r>
      <w:r w:rsidRPr="006E2958">
        <w:rPr>
          <w:i/>
          <w:iCs/>
        </w:rPr>
        <w:t>British Educational Research Journal</w:t>
      </w:r>
      <w:r w:rsidRPr="006E2958">
        <w:t>, </w:t>
      </w:r>
      <w:r w:rsidRPr="006E2958">
        <w:rPr>
          <w:i/>
          <w:iCs/>
        </w:rPr>
        <w:t>43</w:t>
      </w:r>
      <w:r w:rsidRPr="006E2958">
        <w:t>(4)</w:t>
      </w:r>
      <w:r w:rsidR="006E2958" w:rsidRPr="006E2958">
        <w:t xml:space="preserve">: </w:t>
      </w:r>
      <w:r w:rsidRPr="006E2958">
        <w:t>683-699.</w:t>
      </w:r>
      <w:r w:rsidR="006E2958" w:rsidRPr="006E2958">
        <w:t xml:space="preserve"> Doi: </w:t>
      </w:r>
      <w:r w:rsidR="006E2958" w:rsidRPr="006E2958">
        <w:rPr>
          <w:rFonts w:eastAsia="Times New Roman"/>
          <w:lang w:eastAsia="en-GB"/>
        </w:rPr>
        <w:t>10.1080/13575279.2018.1521375</w:t>
      </w:r>
    </w:p>
    <w:p w14:paraId="6523BA08" w14:textId="03F8E94A" w:rsidR="00AC7773" w:rsidRDefault="00AC7773" w:rsidP="00DC3FAD">
      <w:pPr>
        <w:pStyle w:val="Bookbodytext"/>
      </w:pPr>
      <w:r w:rsidRPr="00AC7773">
        <w:br/>
      </w:r>
      <w:proofErr w:type="spellStart"/>
      <w:r w:rsidRPr="00AC7773">
        <w:t>Maynes</w:t>
      </w:r>
      <w:proofErr w:type="spellEnd"/>
      <w:r w:rsidRPr="00AC7773">
        <w:t xml:space="preserve">, M. J., </w:t>
      </w:r>
      <w:proofErr w:type="spellStart"/>
      <w:r w:rsidRPr="00AC7773">
        <w:t>Laslett</w:t>
      </w:r>
      <w:proofErr w:type="spellEnd"/>
      <w:r w:rsidRPr="00AC7773">
        <w:t xml:space="preserve">, B., </w:t>
      </w:r>
      <w:r w:rsidR="00280360">
        <w:t>and</w:t>
      </w:r>
      <w:r w:rsidRPr="00AC7773">
        <w:t xml:space="preserve"> Pierce, J. L. (2008) </w:t>
      </w:r>
      <w:r w:rsidRPr="006E2958">
        <w:rPr>
          <w:i/>
          <w:iCs/>
        </w:rPr>
        <w:t>Telling stories: the use of personal narratives in the social sciences and history</w:t>
      </w:r>
      <w:r w:rsidRPr="00AC7773">
        <w:t>. Ithaca: Cornell University Press.</w:t>
      </w:r>
    </w:p>
    <w:p w14:paraId="3D8E055E" w14:textId="77777777" w:rsidR="00402D1E" w:rsidRPr="00055A09" w:rsidRDefault="00402D1E" w:rsidP="00DC3FAD">
      <w:pPr>
        <w:pStyle w:val="Bookbodytext"/>
      </w:pPr>
    </w:p>
    <w:p w14:paraId="26A4A68A" w14:textId="0C70ACE9" w:rsidR="00AC7773" w:rsidRDefault="00AC7773" w:rsidP="00DC3FAD">
      <w:pPr>
        <w:pStyle w:val="Bookbodytext"/>
      </w:pPr>
      <w:r w:rsidRPr="00AC7773">
        <w:lastRenderedPageBreak/>
        <w:t xml:space="preserve">McKenzie, L. (2015) </w:t>
      </w:r>
      <w:r w:rsidRPr="006E2958">
        <w:t>Getting by: Estates, class and culture in austerity Britain</w:t>
      </w:r>
      <w:r w:rsidRPr="00AC7773">
        <w:t>. Bristol: Policy Press.</w:t>
      </w:r>
    </w:p>
    <w:p w14:paraId="59A61E3D" w14:textId="77777777" w:rsidR="00402D1E" w:rsidRPr="00AC7773" w:rsidRDefault="00402D1E" w:rsidP="00DC3FAD">
      <w:pPr>
        <w:pStyle w:val="Bookbodytext"/>
      </w:pPr>
    </w:p>
    <w:p w14:paraId="49B200C6" w14:textId="26A95502" w:rsidR="00B57180" w:rsidRDefault="00B57180" w:rsidP="00DC3FAD">
      <w:pPr>
        <w:pStyle w:val="Bookbodytext"/>
      </w:pPr>
      <w:r w:rsidRPr="00AC7773">
        <w:t>Murray, C. (2010) Conceptualizing Young People's Strategies of Resistance to Offending as ‘Active Resilience’</w:t>
      </w:r>
      <w:r w:rsidR="006E2958">
        <w:t>.</w:t>
      </w:r>
      <w:r w:rsidRPr="00AC7773">
        <w:t xml:space="preserve"> </w:t>
      </w:r>
      <w:r w:rsidRPr="006E2958">
        <w:rPr>
          <w:i/>
          <w:iCs/>
        </w:rPr>
        <w:t>British Journal of Social Work</w:t>
      </w:r>
      <w:r w:rsidRPr="00AC7773">
        <w:t>, 40(1)</w:t>
      </w:r>
      <w:r w:rsidR="006E2958">
        <w:t xml:space="preserve">: </w:t>
      </w:r>
      <w:r w:rsidRPr="00AC7773">
        <w:t>115- 132. DOI: 10.1093/</w:t>
      </w:r>
      <w:proofErr w:type="spellStart"/>
      <w:r w:rsidRPr="00AC7773">
        <w:t>bjsw</w:t>
      </w:r>
      <w:proofErr w:type="spellEnd"/>
      <w:r w:rsidRPr="00AC7773">
        <w:t>/bcn115</w:t>
      </w:r>
    </w:p>
    <w:p w14:paraId="492EF1B0" w14:textId="28FABD1D" w:rsidR="004506A8" w:rsidRDefault="004506A8" w:rsidP="00DC3FAD">
      <w:pPr>
        <w:pStyle w:val="Bookbodytext"/>
      </w:pPr>
    </w:p>
    <w:p w14:paraId="41C04DC1" w14:textId="77777777" w:rsidR="004506A8" w:rsidRDefault="004506A8" w:rsidP="00DC3FAD">
      <w:pPr>
        <w:pStyle w:val="Bookbodytext"/>
      </w:pPr>
      <w:proofErr w:type="spellStart"/>
      <w:r>
        <w:t>Ofsted</w:t>
      </w:r>
      <w:proofErr w:type="spellEnd"/>
      <w:r>
        <w:t xml:space="preserve"> (2009) </w:t>
      </w:r>
      <w:r w:rsidRPr="004506A8">
        <w:rPr>
          <w:i/>
          <w:iCs/>
        </w:rPr>
        <w:t>Care and Prejudice</w:t>
      </w:r>
      <w:r>
        <w:t>. Available at:</w:t>
      </w:r>
    </w:p>
    <w:p w14:paraId="0973C1A7" w14:textId="77777777" w:rsidR="004506A8" w:rsidRDefault="004506A8" w:rsidP="00DC3FAD">
      <w:pPr>
        <w:pStyle w:val="Bookbodytext"/>
      </w:pPr>
      <w:r>
        <w:t>http://webarchive.nationalarchives.gov.uk/20141124154759/http://www.ofstEd.gov.</w:t>
      </w:r>
    </w:p>
    <w:p w14:paraId="38D8E3A8" w14:textId="77777777" w:rsidR="004506A8" w:rsidRDefault="004506A8" w:rsidP="00DC3FAD">
      <w:pPr>
        <w:pStyle w:val="Bookbodytext"/>
      </w:pPr>
      <w:r>
        <w:t>uk/Ofsted-home/Publications-and-research/Browse-all-by/Documents-bytype/</w:t>
      </w:r>
    </w:p>
    <w:p w14:paraId="3635C2A6" w14:textId="73A28283" w:rsidR="004506A8" w:rsidRDefault="004506A8" w:rsidP="00DC3FAD">
      <w:pPr>
        <w:pStyle w:val="Bookbodytext"/>
      </w:pPr>
      <w:r>
        <w:t>Thematic-reports/Care-and-prejudice (accessed 01/05/2013).</w:t>
      </w:r>
    </w:p>
    <w:p w14:paraId="15CEFDE8" w14:textId="77777777" w:rsidR="00402D1E" w:rsidRPr="00AC7773" w:rsidRDefault="00402D1E" w:rsidP="00DC3FAD">
      <w:pPr>
        <w:pStyle w:val="Bookbodytext"/>
      </w:pPr>
    </w:p>
    <w:p w14:paraId="0F8FCE94" w14:textId="0C60B5C3" w:rsidR="00B57180" w:rsidRDefault="00B57180" w:rsidP="00DC3FAD">
      <w:pPr>
        <w:pStyle w:val="Bookbodytext"/>
      </w:pPr>
      <w:r w:rsidRPr="00AC7773">
        <w:t xml:space="preserve">Plummer, K. (2002). </w:t>
      </w:r>
      <w:r w:rsidRPr="00280360">
        <w:t>Telling sexual stories: Power, change and social worlds</w:t>
      </w:r>
      <w:r w:rsidRPr="00AC7773">
        <w:t>.</w:t>
      </w:r>
      <w:r w:rsidR="00280360">
        <w:t xml:space="preserve"> </w:t>
      </w:r>
      <w:r w:rsidR="004506A8" w:rsidRPr="004506A8">
        <w:t>London:</w:t>
      </w:r>
      <w:r w:rsidRPr="00AC7773">
        <w:t xml:space="preserve"> Routledge.</w:t>
      </w:r>
    </w:p>
    <w:p w14:paraId="78C8758A" w14:textId="77777777" w:rsidR="00402D1E" w:rsidRPr="00AC7773" w:rsidRDefault="00402D1E" w:rsidP="00DC3FAD">
      <w:pPr>
        <w:pStyle w:val="Bookbodytext"/>
      </w:pPr>
    </w:p>
    <w:p w14:paraId="187569B1" w14:textId="14B4FF22" w:rsidR="00AC7773" w:rsidRPr="006E2958" w:rsidRDefault="00AC7773" w:rsidP="00DC3FAD">
      <w:pPr>
        <w:pStyle w:val="Bookbodytext"/>
        <w:rPr>
          <w:i/>
          <w:iCs/>
        </w:rPr>
      </w:pPr>
      <w:r w:rsidRPr="00AC7773">
        <w:t>Reay, D. (2015) Habitus and the psychosocial: Bourdieu with feelings</w:t>
      </w:r>
      <w:r w:rsidR="006E2958">
        <w:t>.</w:t>
      </w:r>
      <w:r w:rsidRPr="00AC7773">
        <w:t xml:space="preserve"> </w:t>
      </w:r>
      <w:r w:rsidRPr="006E2958">
        <w:rPr>
          <w:i/>
          <w:iCs/>
        </w:rPr>
        <w:t>Cambridge</w:t>
      </w:r>
    </w:p>
    <w:p w14:paraId="6B645D6D" w14:textId="307EA897" w:rsidR="00AC7773" w:rsidRDefault="00AC7773" w:rsidP="00DC3FAD">
      <w:pPr>
        <w:pStyle w:val="Bookbodytext"/>
      </w:pPr>
      <w:r w:rsidRPr="006E2958">
        <w:t>Journal of Education</w:t>
      </w:r>
      <w:r w:rsidRPr="00AC7773">
        <w:t>, 45(1)</w:t>
      </w:r>
      <w:r w:rsidR="006E2958">
        <w:t xml:space="preserve">: </w:t>
      </w:r>
      <w:r w:rsidRPr="00AC7773">
        <w:t>9-23.</w:t>
      </w:r>
    </w:p>
    <w:p w14:paraId="392C31FD" w14:textId="157229B2" w:rsidR="00402D1E" w:rsidRPr="00AC7773" w:rsidRDefault="00402D1E" w:rsidP="00DC3FAD">
      <w:pPr>
        <w:pStyle w:val="Bookbodytext"/>
      </w:pPr>
    </w:p>
    <w:p w14:paraId="04610C4C" w14:textId="4DDC8DF2" w:rsidR="00AC7773" w:rsidRPr="00AC7773" w:rsidRDefault="00AC7773" w:rsidP="00DC3FAD">
      <w:pPr>
        <w:pStyle w:val="Bookbodytext"/>
      </w:pPr>
      <w:proofErr w:type="spellStart"/>
      <w:r w:rsidRPr="00AC7773">
        <w:t>Renold</w:t>
      </w:r>
      <w:proofErr w:type="spellEnd"/>
      <w:r w:rsidRPr="00AC7773">
        <w:t xml:space="preserve">, E. (2010) Fighting for an </w:t>
      </w:r>
      <w:r w:rsidR="00280360">
        <w:t>e</w:t>
      </w:r>
      <w:r w:rsidRPr="00AC7773">
        <w:t>ducation: Succeeding and surviving for girls in</w:t>
      </w:r>
    </w:p>
    <w:p w14:paraId="1A217017" w14:textId="0EB6139E" w:rsidR="00AC7773" w:rsidRPr="006E2958" w:rsidRDefault="00AC7773" w:rsidP="00DC3FAD">
      <w:pPr>
        <w:pStyle w:val="Bookbodytext"/>
        <w:rPr>
          <w:i/>
          <w:iCs/>
        </w:rPr>
      </w:pPr>
      <w:r w:rsidRPr="00AC7773">
        <w:t>care at school</w:t>
      </w:r>
      <w:r w:rsidR="006E2958">
        <w:t>. I</w:t>
      </w:r>
      <w:r w:rsidRPr="00AC7773">
        <w:t xml:space="preserve">n Jackson, C., </w:t>
      </w:r>
      <w:proofErr w:type="spellStart"/>
      <w:r w:rsidRPr="00AC7773">
        <w:t>Paechter</w:t>
      </w:r>
      <w:proofErr w:type="spellEnd"/>
      <w:r w:rsidRPr="00AC7773">
        <w:t xml:space="preserve">, C. and </w:t>
      </w:r>
      <w:proofErr w:type="spellStart"/>
      <w:r w:rsidRPr="00AC7773">
        <w:t>Renold</w:t>
      </w:r>
      <w:proofErr w:type="spellEnd"/>
      <w:r w:rsidRPr="00AC7773">
        <w:t>, E. (</w:t>
      </w:r>
      <w:r w:rsidR="006E2958">
        <w:t>eds</w:t>
      </w:r>
      <w:r w:rsidRPr="00AC7773">
        <w:t xml:space="preserve">) </w:t>
      </w:r>
      <w:r w:rsidRPr="006E2958">
        <w:rPr>
          <w:i/>
          <w:iCs/>
        </w:rPr>
        <w:t>Girls in</w:t>
      </w:r>
    </w:p>
    <w:p w14:paraId="0FD5E9D7" w14:textId="7240AD7B" w:rsidR="00AC7773" w:rsidRPr="00AC7773" w:rsidRDefault="00AC7773" w:rsidP="00DC3FAD">
      <w:pPr>
        <w:pStyle w:val="Bookbodytext"/>
      </w:pPr>
      <w:r w:rsidRPr="006E2958">
        <w:t>Education 3-16: Continuing Concerns, New Agendas.</w:t>
      </w:r>
      <w:r w:rsidRPr="00AC7773">
        <w:t xml:space="preserve"> </w:t>
      </w:r>
      <w:r w:rsidR="004506A8">
        <w:t xml:space="preserve">Maidenhead: </w:t>
      </w:r>
      <w:r w:rsidRPr="004506A8">
        <w:t>Open University Press,</w:t>
      </w:r>
    </w:p>
    <w:p w14:paraId="6EB7B3B0" w14:textId="7A1B4B78" w:rsidR="00AC7773" w:rsidRDefault="00AC7773" w:rsidP="00DC3FAD">
      <w:pPr>
        <w:pStyle w:val="Bookbodytext"/>
      </w:pPr>
      <w:r w:rsidRPr="00AC7773">
        <w:t>75-90.</w:t>
      </w:r>
    </w:p>
    <w:p w14:paraId="0FCB4E64" w14:textId="77777777" w:rsidR="00402D1E" w:rsidRPr="00AC7773" w:rsidRDefault="00402D1E" w:rsidP="00DC3FAD">
      <w:pPr>
        <w:pStyle w:val="Bookbodytext"/>
      </w:pPr>
    </w:p>
    <w:p w14:paraId="3A996683" w14:textId="06A436A8" w:rsidR="00B57180" w:rsidRDefault="00B57180" w:rsidP="00DC3FAD">
      <w:pPr>
        <w:pStyle w:val="Bookbodytext"/>
      </w:pPr>
      <w:proofErr w:type="spellStart"/>
      <w:r w:rsidRPr="00AC7773">
        <w:t>Riessman</w:t>
      </w:r>
      <w:proofErr w:type="spellEnd"/>
      <w:r w:rsidRPr="00AC7773">
        <w:t xml:space="preserve">, C. K. (2008) </w:t>
      </w:r>
      <w:r w:rsidRPr="006E2958">
        <w:rPr>
          <w:i/>
          <w:iCs/>
        </w:rPr>
        <w:t>Narrative methods for the human sciences</w:t>
      </w:r>
      <w:r w:rsidRPr="00AC7773">
        <w:t>. Los Angeles: Sage.</w:t>
      </w:r>
    </w:p>
    <w:p w14:paraId="64D16C73" w14:textId="77777777" w:rsidR="006E2958" w:rsidRPr="00AC7773" w:rsidRDefault="006E2958" w:rsidP="00DC3FAD">
      <w:pPr>
        <w:pStyle w:val="Bookbodytext"/>
      </w:pPr>
    </w:p>
    <w:p w14:paraId="29FE8E73" w14:textId="513A5211" w:rsidR="00B57180" w:rsidRDefault="00B57180" w:rsidP="00DC3FAD">
      <w:pPr>
        <w:pStyle w:val="Bookbodytext"/>
      </w:pPr>
      <w:r w:rsidRPr="00AC7773">
        <w:lastRenderedPageBreak/>
        <w:t xml:space="preserve">Roberts, B. (2002) </w:t>
      </w:r>
      <w:r w:rsidRPr="006E2958">
        <w:rPr>
          <w:i/>
          <w:iCs/>
        </w:rPr>
        <w:t>Biographical research</w:t>
      </w:r>
      <w:r w:rsidRPr="00AC7773">
        <w:t>. Buckingham, Philadelphia: Open University Press.</w:t>
      </w:r>
    </w:p>
    <w:p w14:paraId="42AC7306" w14:textId="77777777" w:rsidR="00402D1E" w:rsidRPr="00AC7773" w:rsidRDefault="00402D1E" w:rsidP="00DC3FAD">
      <w:pPr>
        <w:pStyle w:val="Bookbodytext"/>
      </w:pPr>
    </w:p>
    <w:p w14:paraId="43A378C4" w14:textId="456B2B4B" w:rsidR="00AC7773" w:rsidRPr="00AC7773" w:rsidRDefault="00AC7773" w:rsidP="00DC3FAD">
      <w:pPr>
        <w:pStyle w:val="Bookbodytext"/>
      </w:pPr>
      <w:r w:rsidRPr="00AC7773">
        <w:t>Samuel, C. (2013) Symbolic violence and collective identity: Pierre Bourdieu and</w:t>
      </w:r>
    </w:p>
    <w:p w14:paraId="137D0400" w14:textId="77777777" w:rsidR="004506A8" w:rsidRPr="004506A8" w:rsidRDefault="00AC7773" w:rsidP="00DC3FAD">
      <w:pPr>
        <w:pStyle w:val="Bookbodytext"/>
        <w:rPr>
          <w:lang w:val="en-GB"/>
        </w:rPr>
      </w:pPr>
      <w:r w:rsidRPr="00AC7773">
        <w:t>the ethics of resistance</w:t>
      </w:r>
      <w:r w:rsidR="006E2958">
        <w:t>.</w:t>
      </w:r>
      <w:r w:rsidRPr="00AC7773">
        <w:t xml:space="preserve"> </w:t>
      </w:r>
      <w:r w:rsidRPr="006E2958">
        <w:rPr>
          <w:i/>
          <w:iCs/>
        </w:rPr>
        <w:t>Social Movement Studies</w:t>
      </w:r>
      <w:r w:rsidRPr="00AC7773">
        <w:t>, 12(4)</w:t>
      </w:r>
      <w:r w:rsidR="006E2958">
        <w:t xml:space="preserve">: </w:t>
      </w:r>
      <w:r w:rsidRPr="00AC7773">
        <w:t>397-413.</w:t>
      </w:r>
      <w:r w:rsidR="004506A8">
        <w:t xml:space="preserve"> </w:t>
      </w:r>
      <w:r w:rsidR="004506A8" w:rsidRPr="004506A8">
        <w:rPr>
          <w:lang w:val="en-GB"/>
        </w:rPr>
        <w:t>DOI: </w:t>
      </w:r>
      <w:hyperlink r:id="rId18" w:history="1">
        <w:r w:rsidR="004506A8" w:rsidRPr="004506A8">
          <w:rPr>
            <w:rStyle w:val="Hyperlink"/>
            <w:lang w:val="en-GB"/>
          </w:rPr>
          <w:t>10.1080/14742837.2013.823345</w:t>
        </w:r>
      </w:hyperlink>
    </w:p>
    <w:p w14:paraId="415D62F9" w14:textId="77777777" w:rsidR="00564CFA" w:rsidRDefault="00564CFA" w:rsidP="00DC3FAD">
      <w:pPr>
        <w:pStyle w:val="Bookbodytext"/>
      </w:pPr>
    </w:p>
    <w:p w14:paraId="6D482734" w14:textId="02A2FF1F" w:rsidR="00402D1E" w:rsidRPr="00F81B3D" w:rsidRDefault="00402D1E" w:rsidP="00DC3FAD">
      <w:pPr>
        <w:pStyle w:val="Bookbodytext"/>
      </w:pPr>
      <w:r w:rsidRPr="00F81B3D">
        <w:t xml:space="preserve">Samuels, G. M. and J. M. Pryce (2008) </w:t>
      </w:r>
      <w:r w:rsidR="006E2958">
        <w:t>“</w:t>
      </w:r>
      <w:r w:rsidRPr="00F81B3D">
        <w:t>What doesn't kill you makes you stronger”: Survivalist self-reliance as resilience and risk among young adults aging out of foster care</w:t>
      </w:r>
      <w:r w:rsidR="006E2958">
        <w:t>.</w:t>
      </w:r>
      <w:r w:rsidRPr="00F81B3D">
        <w:t xml:space="preserve"> </w:t>
      </w:r>
      <w:r w:rsidRPr="00F81B3D">
        <w:rPr>
          <w:i/>
        </w:rPr>
        <w:t>Children and Youth Services Review,</w:t>
      </w:r>
      <w:r w:rsidRPr="00F81B3D">
        <w:t xml:space="preserve"> </w:t>
      </w:r>
      <w:r w:rsidRPr="00F81B3D">
        <w:rPr>
          <w:bCs/>
        </w:rPr>
        <w:t>30</w:t>
      </w:r>
      <w:r w:rsidRPr="00F81B3D">
        <w:t>(10)</w:t>
      </w:r>
      <w:r w:rsidR="006E2958">
        <w:t>:</w:t>
      </w:r>
      <w:r w:rsidRPr="00F81B3D">
        <w:t>1198-1210.</w:t>
      </w:r>
    </w:p>
    <w:p w14:paraId="709A5F55" w14:textId="77777777" w:rsidR="00402D1E" w:rsidRPr="00AC7773" w:rsidRDefault="00402D1E" w:rsidP="00DC3FAD">
      <w:pPr>
        <w:pStyle w:val="Bookbodytext"/>
      </w:pPr>
    </w:p>
    <w:p w14:paraId="4E26D855" w14:textId="0BE00AC3" w:rsidR="00B57180" w:rsidRDefault="00B57180" w:rsidP="00DC3FAD">
      <w:pPr>
        <w:pStyle w:val="Bookbodytext"/>
      </w:pPr>
      <w:r w:rsidRPr="00AC7773">
        <w:t xml:space="preserve">Silverman, D. (2006) </w:t>
      </w:r>
      <w:r w:rsidRPr="004506A8">
        <w:t>Interpreting qualitative data: methods for analyzing talk, text and interaction</w:t>
      </w:r>
      <w:r w:rsidR="004506A8" w:rsidRPr="004506A8">
        <w:t xml:space="preserve">. </w:t>
      </w:r>
      <w:r w:rsidRPr="004506A8">
        <w:t>3rd Ed</w:t>
      </w:r>
      <w:r w:rsidR="004506A8" w:rsidRPr="004506A8">
        <w:t>ition.</w:t>
      </w:r>
      <w:r w:rsidRPr="004506A8">
        <w:t xml:space="preserve"> London: SAGE.</w:t>
      </w:r>
    </w:p>
    <w:p w14:paraId="42F9414B" w14:textId="71A8E1F0" w:rsidR="00402D1E" w:rsidRPr="00AC7773" w:rsidRDefault="00402D1E" w:rsidP="00DC3FAD">
      <w:pPr>
        <w:pStyle w:val="Bookbodytext"/>
      </w:pPr>
    </w:p>
    <w:p w14:paraId="5254A747" w14:textId="2D0998BB" w:rsidR="00B57180" w:rsidRDefault="00B57180" w:rsidP="00DC3FAD">
      <w:pPr>
        <w:pStyle w:val="Bookbodytext"/>
      </w:pPr>
      <w:r w:rsidRPr="00055A09">
        <w:t>Taylor, C. (2003) Justice for Looked after Children?</w:t>
      </w:r>
      <w:r w:rsidRPr="00055A09">
        <w:rPr>
          <w:rStyle w:val="apple-converted-space"/>
          <w:rFonts w:eastAsiaTheme="majorEastAsia"/>
        </w:rPr>
        <w:t> </w:t>
      </w:r>
      <w:r w:rsidRPr="00055A09">
        <w:rPr>
          <w:i/>
          <w:iCs/>
        </w:rPr>
        <w:t>Probation Journal</w:t>
      </w:r>
      <w:r w:rsidR="00C171E2">
        <w:t xml:space="preserve">, </w:t>
      </w:r>
      <w:r w:rsidRPr="00055A09">
        <w:t>50(3)</w:t>
      </w:r>
      <w:r w:rsidR="00C171E2">
        <w:t>:</w:t>
      </w:r>
      <w:r w:rsidRPr="00055A09">
        <w:t xml:space="preserve"> 239</w:t>
      </w:r>
      <w:r w:rsidR="00C171E2">
        <w:t>-</w:t>
      </w:r>
      <w:r w:rsidRPr="00055A09">
        <w:t>251.</w:t>
      </w:r>
    </w:p>
    <w:p w14:paraId="1E8431D5" w14:textId="77777777" w:rsidR="00402D1E" w:rsidRPr="00AC7773" w:rsidRDefault="00402D1E" w:rsidP="00DC3FAD">
      <w:pPr>
        <w:pStyle w:val="Bookbodytext"/>
      </w:pPr>
    </w:p>
    <w:p w14:paraId="2BC1433E" w14:textId="50787BE3" w:rsidR="00B57180" w:rsidRDefault="00B57180" w:rsidP="00DC3FAD">
      <w:pPr>
        <w:pStyle w:val="Bookbodytext"/>
      </w:pPr>
      <w:proofErr w:type="spellStart"/>
      <w:r w:rsidRPr="00AC7773">
        <w:t>Wengraf</w:t>
      </w:r>
      <w:proofErr w:type="spellEnd"/>
      <w:r w:rsidRPr="00AC7773">
        <w:t xml:space="preserve">, T. (2001) </w:t>
      </w:r>
      <w:r w:rsidRPr="00C171E2">
        <w:t>Qualitative research interviewing: biographic narrative and semi-structured methods</w:t>
      </w:r>
      <w:r w:rsidRPr="00AC7773">
        <w:t>. London, Thousand Oaks, Calif: SAGE.</w:t>
      </w:r>
    </w:p>
    <w:p w14:paraId="3935A68E" w14:textId="77777777" w:rsidR="00402D1E" w:rsidRPr="00AC7773" w:rsidRDefault="00402D1E" w:rsidP="00DC3FAD">
      <w:pPr>
        <w:pStyle w:val="Bookbodytext"/>
      </w:pPr>
    </w:p>
    <w:p w14:paraId="303D5E5E" w14:textId="0482E9AF" w:rsidR="00B57180" w:rsidRDefault="00B57180" w:rsidP="00DC3FAD">
      <w:pPr>
        <w:pStyle w:val="Bookbodytext"/>
      </w:pPr>
      <w:proofErr w:type="spellStart"/>
      <w:r w:rsidRPr="004506A8">
        <w:t>Wengraf</w:t>
      </w:r>
      <w:proofErr w:type="spellEnd"/>
      <w:r w:rsidRPr="004506A8">
        <w:t>, T. (</w:t>
      </w:r>
      <w:r w:rsidR="004506A8" w:rsidRPr="00616038">
        <w:t>2012</w:t>
      </w:r>
      <w:r w:rsidR="004506A8">
        <w:t>)</w:t>
      </w:r>
      <w:r w:rsidR="004506A8" w:rsidRPr="00616038">
        <w:rPr>
          <w:i/>
        </w:rPr>
        <w:t xml:space="preserve"> BNIM Short Guide bound with </w:t>
      </w:r>
      <w:proofErr w:type="gramStart"/>
      <w:r w:rsidR="004506A8" w:rsidRPr="00616038">
        <w:rPr>
          <w:i/>
        </w:rPr>
        <w:t>the  BNIM</w:t>
      </w:r>
      <w:proofErr w:type="gramEnd"/>
      <w:r w:rsidR="004506A8">
        <w:rPr>
          <w:i/>
        </w:rPr>
        <w:t xml:space="preserve"> </w:t>
      </w:r>
      <w:r w:rsidR="004506A8" w:rsidRPr="00616038">
        <w:rPr>
          <w:i/>
        </w:rPr>
        <w:t>Detailed Manual</w:t>
      </w:r>
      <w:r w:rsidR="004506A8" w:rsidRPr="00616038">
        <w:rPr>
          <w:b/>
          <w:i/>
        </w:rPr>
        <w:t xml:space="preserve">. </w:t>
      </w:r>
      <w:r w:rsidR="004506A8" w:rsidRPr="004506A8">
        <w:t>Interviewing for life-histories, lived periods and situations, and ongoing personal experiencing using the Biographic-Narrative Interpretive Method (BNIM)</w:t>
      </w:r>
      <w:r w:rsidR="004506A8">
        <w:t xml:space="preserve">. </w:t>
      </w:r>
      <w:r w:rsidRPr="004506A8">
        <w:t>(</w:t>
      </w:r>
      <w:r w:rsidR="004506A8">
        <w:t>V</w:t>
      </w:r>
      <w:r w:rsidRPr="004506A8">
        <w:t>ersion</w:t>
      </w:r>
      <w:r w:rsidR="004506A8" w:rsidRPr="004506A8">
        <w:t xml:space="preserve"> 1212a</w:t>
      </w:r>
      <w:r w:rsidRPr="004506A8">
        <w:t>).</w:t>
      </w:r>
    </w:p>
    <w:p w14:paraId="70C9861C" w14:textId="77777777" w:rsidR="004506A8" w:rsidRDefault="004506A8" w:rsidP="00DC3FAD">
      <w:pPr>
        <w:pStyle w:val="Bookbodytext"/>
      </w:pPr>
    </w:p>
    <w:p w14:paraId="411EFE35" w14:textId="457A4F06" w:rsidR="00B57180" w:rsidRDefault="00B57180" w:rsidP="00DC3FAD">
      <w:pPr>
        <w:pStyle w:val="Bookbodytext"/>
      </w:pPr>
      <w:r w:rsidRPr="00AC7773">
        <w:t>Wilson, S. (2012) Thinking about sociological work on personal and family life in the light of research on young people’s experience of parental substance misuse</w:t>
      </w:r>
      <w:r w:rsidR="004506A8">
        <w:t>.</w:t>
      </w:r>
      <w:r w:rsidRPr="00AC7773">
        <w:t xml:space="preserve"> </w:t>
      </w:r>
      <w:r w:rsidR="004506A8">
        <w:t>I</w:t>
      </w:r>
      <w:r w:rsidRPr="00AC7773">
        <w:t xml:space="preserve">n </w:t>
      </w:r>
      <w:proofErr w:type="spellStart"/>
      <w:r w:rsidRPr="00AC7773">
        <w:t>Ribbens</w:t>
      </w:r>
      <w:proofErr w:type="spellEnd"/>
      <w:r w:rsidRPr="00AC7773">
        <w:t xml:space="preserve"> McCarthy, J., Hooper, C and Gillies, V. (Eds.) </w:t>
      </w:r>
      <w:r w:rsidRPr="004506A8">
        <w:rPr>
          <w:i/>
          <w:iCs/>
        </w:rPr>
        <w:t>Family Troubles?</w:t>
      </w:r>
      <w:r w:rsidRPr="00AC7773">
        <w:t xml:space="preserve"> Bristol: Policy Press, 163-172</w:t>
      </w:r>
      <w:r w:rsidR="00402D1E">
        <w:t>.</w:t>
      </w:r>
    </w:p>
    <w:p w14:paraId="5CB428EA" w14:textId="77777777" w:rsidR="00402D1E" w:rsidRPr="00AC7773" w:rsidRDefault="00402D1E" w:rsidP="00DC3FAD">
      <w:pPr>
        <w:pStyle w:val="Bookbodytext"/>
      </w:pPr>
    </w:p>
    <w:p w14:paraId="308A525D" w14:textId="42046E37" w:rsidR="00564CFA" w:rsidRDefault="00564CFA" w:rsidP="00DC3FAD">
      <w:pPr>
        <w:pStyle w:val="Bookbodytext"/>
      </w:pPr>
      <w:proofErr w:type="spellStart"/>
      <w:r w:rsidRPr="00AC7773">
        <w:t>Woodiwiss</w:t>
      </w:r>
      <w:proofErr w:type="spellEnd"/>
      <w:r w:rsidRPr="00AC7773">
        <w:t xml:space="preserve">, J. (2009) </w:t>
      </w:r>
      <w:r w:rsidRPr="004506A8">
        <w:t>Contesting Stories of Childhood Sexual Abuse</w:t>
      </w:r>
      <w:r w:rsidRPr="00AC7773">
        <w:t>. London: Palgrave.</w:t>
      </w:r>
    </w:p>
    <w:p w14:paraId="57BD4894" w14:textId="77777777" w:rsidR="00564CFA" w:rsidRDefault="00564CFA" w:rsidP="00DC3FAD">
      <w:pPr>
        <w:pStyle w:val="Bookbodytext"/>
      </w:pPr>
    </w:p>
    <w:p w14:paraId="085CCFFB" w14:textId="4023CF05" w:rsidR="00402D1E" w:rsidRDefault="00B57180" w:rsidP="00DC3FAD">
      <w:pPr>
        <w:pStyle w:val="Bookbodytext"/>
      </w:pPr>
      <w:proofErr w:type="spellStart"/>
      <w:r w:rsidRPr="00AC7773">
        <w:t>Woodiwiss</w:t>
      </w:r>
      <w:proofErr w:type="spellEnd"/>
      <w:r w:rsidRPr="00AC7773">
        <w:t>, J. (2014) ‘Beyond a single story: The importance of separating ‘harm’</w:t>
      </w:r>
      <w:r w:rsidR="003A443B" w:rsidRPr="00AC7773">
        <w:t xml:space="preserve"> </w:t>
      </w:r>
      <w:r w:rsidRPr="00AC7773">
        <w:t>from ‘wrongfulness’ and ‘sexual innocence’ from ‘childhood’ in contemporary</w:t>
      </w:r>
      <w:r w:rsidR="003A443B" w:rsidRPr="00AC7773">
        <w:t xml:space="preserve"> </w:t>
      </w:r>
      <w:r w:rsidRPr="00AC7773">
        <w:t xml:space="preserve">narratives of childhood sexual abuse’, </w:t>
      </w:r>
      <w:r w:rsidRPr="004506A8">
        <w:rPr>
          <w:i/>
          <w:iCs/>
        </w:rPr>
        <w:t>Sexualities</w:t>
      </w:r>
      <w:r w:rsidRPr="00AC7773">
        <w:t>, 17(1-2)</w:t>
      </w:r>
      <w:r w:rsidR="004506A8">
        <w:t>:</w:t>
      </w:r>
      <w:r w:rsidRPr="00AC7773">
        <w:t>139-158. DOI: 10.1177/1363460713511104</w:t>
      </w:r>
    </w:p>
    <w:p w14:paraId="5DE93EA8" w14:textId="76F0A913" w:rsidR="00564CFA" w:rsidRPr="00AC7773" w:rsidRDefault="00564CFA" w:rsidP="00DC3FAD">
      <w:pPr>
        <w:pStyle w:val="Bookbodytext"/>
      </w:pPr>
    </w:p>
    <w:p w14:paraId="7AC15970" w14:textId="64F8A86D" w:rsidR="009E0679" w:rsidRDefault="00B57180" w:rsidP="00DC3FAD">
      <w:pPr>
        <w:pStyle w:val="Bookbodytext"/>
      </w:pPr>
      <w:r w:rsidRPr="00AC7773">
        <w:t>Wright Mills, C. (1959) The Sociological Imagination. Reprint, New York: Oxford University Press [2000].</w:t>
      </w:r>
      <w:r w:rsidRPr="00D028AE">
        <w:t xml:space="preserve"> </w:t>
      </w:r>
    </w:p>
    <w:p w14:paraId="32624FCA" w14:textId="77777777" w:rsidR="00564CFA" w:rsidRDefault="00564CFA" w:rsidP="00DC3FAD">
      <w:pPr>
        <w:pStyle w:val="Bookbodytext"/>
      </w:pPr>
    </w:p>
    <w:p w14:paraId="043F5736" w14:textId="0CC8A3F5" w:rsidR="00D56A59" w:rsidRPr="00564CFA" w:rsidRDefault="00D56A59" w:rsidP="00DC3FAD">
      <w:pPr>
        <w:pStyle w:val="Bookbodytext"/>
      </w:pPr>
    </w:p>
    <w:p w14:paraId="73D43246" w14:textId="0F380E4B" w:rsidR="00564CFA" w:rsidRDefault="00564CFA" w:rsidP="00DC3FAD">
      <w:pPr>
        <w:pStyle w:val="Bookbodytext"/>
      </w:pPr>
    </w:p>
    <w:p w14:paraId="084694BF" w14:textId="77777777" w:rsidR="00D56A59" w:rsidRDefault="00D56A59" w:rsidP="00DC3FAD">
      <w:pPr>
        <w:pStyle w:val="Bookbodytext"/>
      </w:pPr>
    </w:p>
    <w:p w14:paraId="3CC324A3" w14:textId="7CE7ED52" w:rsidR="009E6B85" w:rsidRDefault="009E6B85" w:rsidP="00BB128C">
      <w:pPr>
        <w:autoSpaceDE w:val="0"/>
        <w:autoSpaceDN w:val="0"/>
        <w:adjustRightInd w:val="0"/>
        <w:spacing w:after="120"/>
        <w:jc w:val="both"/>
        <w:rPr>
          <w:rFonts w:cstheme="minorHAnsi"/>
        </w:rPr>
      </w:pPr>
    </w:p>
    <w:p w14:paraId="1FC17E5C" w14:textId="5D1951CF" w:rsidR="009E6B85" w:rsidRDefault="009E6B85" w:rsidP="00BB128C">
      <w:pPr>
        <w:autoSpaceDE w:val="0"/>
        <w:autoSpaceDN w:val="0"/>
        <w:adjustRightInd w:val="0"/>
        <w:spacing w:after="120"/>
        <w:jc w:val="both"/>
        <w:rPr>
          <w:rFonts w:cstheme="minorHAnsi"/>
        </w:rPr>
      </w:pPr>
    </w:p>
    <w:p w14:paraId="68798278" w14:textId="188F2624" w:rsidR="009E0679" w:rsidRDefault="009E0679" w:rsidP="00BB128C">
      <w:pPr>
        <w:autoSpaceDE w:val="0"/>
        <w:autoSpaceDN w:val="0"/>
        <w:adjustRightInd w:val="0"/>
        <w:spacing w:after="120"/>
        <w:jc w:val="both"/>
        <w:rPr>
          <w:rFonts w:cstheme="minorHAnsi"/>
          <w:color w:val="000000" w:themeColor="text1"/>
        </w:rPr>
      </w:pPr>
    </w:p>
    <w:p w14:paraId="0AA9A642" w14:textId="04B6D46A" w:rsidR="00360312" w:rsidRPr="00B57180" w:rsidRDefault="00D27CA8" w:rsidP="00BB128C">
      <w:pPr>
        <w:jc w:val="both"/>
        <w:rPr>
          <w:rFonts w:cstheme="minorHAnsi"/>
        </w:rPr>
      </w:pPr>
      <w:r>
        <w:br w:type="column"/>
      </w:r>
    </w:p>
    <w:sectPr w:rsidR="00360312" w:rsidRPr="00B57180" w:rsidSect="000E0712">
      <w:footerReference w:type="even" r:id="rId19"/>
      <w:footerReference w:type="default" r:id="rId20"/>
      <w:pgSz w:w="11906" w:h="16838"/>
      <w:pgMar w:top="1440" w:right="139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BD9F7B" w14:textId="77777777" w:rsidR="00AD1C8F" w:rsidRDefault="00AD1C8F" w:rsidP="00AB4DCD">
      <w:r>
        <w:separator/>
      </w:r>
    </w:p>
  </w:endnote>
  <w:endnote w:type="continuationSeparator" w:id="0">
    <w:p w14:paraId="538961F0" w14:textId="77777777" w:rsidR="00AD1C8F" w:rsidRDefault="00AD1C8F" w:rsidP="00AB4DCD">
      <w:r>
        <w:continuationSeparator/>
      </w:r>
    </w:p>
  </w:endnote>
  <w:endnote w:id="1">
    <w:p w14:paraId="4EBB6C2C" w14:textId="5E2D36E0" w:rsidR="006A1557" w:rsidRPr="000E0712" w:rsidRDefault="006A1557" w:rsidP="00793DF2">
      <w:pPr>
        <w:pStyle w:val="Footer"/>
        <w:rPr>
          <w:lang w:val="en-US"/>
        </w:rPr>
      </w:pPr>
      <w:r w:rsidRPr="00BE4506">
        <w:rPr>
          <w:rStyle w:val="EndnoteReference"/>
          <w:sz w:val="20"/>
          <w:szCs w:val="20"/>
        </w:rPr>
        <w:endnoteRef/>
      </w:r>
      <w:r w:rsidRPr="00BE4506">
        <w:t xml:space="preserve"> </w:t>
      </w:r>
      <w:r w:rsidRPr="00BE4506">
        <w:rPr>
          <w:lang w:val="en-US"/>
        </w:rPr>
        <w:t>This use of language has been critiqued elsewhere (see for example Renolds, 2010 and Mannay et al 2017).</w:t>
      </w:r>
    </w:p>
  </w:endnote>
  <w:endnote w:id="2">
    <w:p w14:paraId="0111B088" w14:textId="6720D128" w:rsidR="006A1557" w:rsidRDefault="006A1557" w:rsidP="00793DF2">
      <w:pPr>
        <w:pStyle w:val="Footer"/>
      </w:pPr>
      <w:r>
        <w:rPr>
          <w:rStyle w:val="EndnoteReference"/>
        </w:rPr>
        <w:endnoteRef/>
      </w:r>
      <w:r>
        <w:t xml:space="preserve"> </w:t>
      </w:r>
      <w:r w:rsidRPr="000550BB">
        <w:rPr>
          <w:lang w:val="en-US"/>
        </w:rPr>
        <w:t xml:space="preserve">The statutory definition, laid out in </w:t>
      </w:r>
      <w:r w:rsidRPr="000550BB">
        <w:t>Children (Leaving Care) Act 2000 is that a care leavers is a person who has spent over 14 weeks in the care of a local authority, in either residential or foster care, between the ages of 14 and 19 and make the transition to independent living from these environments (legislation.gov.uk).</w:t>
      </w:r>
    </w:p>
  </w:endnote>
  <w:endnote w:id="3">
    <w:p w14:paraId="77AD85AE" w14:textId="77777777" w:rsidR="006A1557" w:rsidRDefault="006A1557" w:rsidP="00F6447A">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838357048"/>
      <w:docPartObj>
        <w:docPartGallery w:val="Page Numbers (Bottom of Page)"/>
        <w:docPartUnique/>
      </w:docPartObj>
    </w:sdtPr>
    <w:sdtEndPr>
      <w:rPr>
        <w:rStyle w:val="PageNumber"/>
      </w:rPr>
    </w:sdtEndPr>
    <w:sdtContent>
      <w:p w14:paraId="2AE42D67" w14:textId="57FEC46A" w:rsidR="006A1557" w:rsidRDefault="006A1557" w:rsidP="00793DF2">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9FF0C2" w14:textId="77777777" w:rsidR="006A1557" w:rsidRDefault="006A1557" w:rsidP="00793D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490954276"/>
      <w:docPartObj>
        <w:docPartGallery w:val="Page Numbers (Bottom of Page)"/>
        <w:docPartUnique/>
      </w:docPartObj>
    </w:sdtPr>
    <w:sdtEndPr>
      <w:rPr>
        <w:rStyle w:val="PageNumber"/>
      </w:rPr>
    </w:sdtEndPr>
    <w:sdtContent>
      <w:p w14:paraId="69A336AD" w14:textId="09E7A926" w:rsidR="006A1557" w:rsidRPr="00793DF2" w:rsidRDefault="006A1557" w:rsidP="00793DF2">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F8B93A" w14:textId="77777777" w:rsidR="00AD1C8F" w:rsidRDefault="00AD1C8F" w:rsidP="00AB4DCD">
      <w:r>
        <w:separator/>
      </w:r>
    </w:p>
  </w:footnote>
  <w:footnote w:type="continuationSeparator" w:id="0">
    <w:p w14:paraId="5F464BDC" w14:textId="77777777" w:rsidR="00AD1C8F" w:rsidRDefault="00AD1C8F" w:rsidP="00AB4D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D62AF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081D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8467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29ECE8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1A60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624DD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CAE70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DF01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692656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C63D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657CA8"/>
    <w:multiLevelType w:val="hybridMultilevel"/>
    <w:tmpl w:val="16144B66"/>
    <w:lvl w:ilvl="0" w:tplc="2578E48A">
      <w:start w:val="2"/>
      <w:numFmt w:val="bullet"/>
      <w:lvlText w:val=""/>
      <w:lvlJc w:val="left"/>
      <w:pPr>
        <w:ind w:left="720" w:hanging="360"/>
      </w:pPr>
      <w:rPr>
        <w:rFonts w:ascii="Wingdings" w:eastAsiaTheme="minorHAnsi" w:hAnsi="Wingding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A46093"/>
    <w:multiLevelType w:val="hybridMultilevel"/>
    <w:tmpl w:val="8DC41DEC"/>
    <w:lvl w:ilvl="0" w:tplc="75E8D742">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E41D29"/>
    <w:multiLevelType w:val="hybridMultilevel"/>
    <w:tmpl w:val="110C7FEC"/>
    <w:lvl w:ilvl="0" w:tplc="7E4E024A">
      <w:start w:val="2"/>
      <w:numFmt w:val="bullet"/>
      <w:lvlText w:val=""/>
      <w:lvlJc w:val="left"/>
      <w:pPr>
        <w:ind w:left="720" w:hanging="360"/>
      </w:pPr>
      <w:rPr>
        <w:rFonts w:ascii="Wingdings" w:eastAsiaTheme="minorHAnsi" w:hAnsi="Wingding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2B553D"/>
    <w:multiLevelType w:val="hybridMultilevel"/>
    <w:tmpl w:val="782A6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ED0283"/>
    <w:multiLevelType w:val="hybridMultilevel"/>
    <w:tmpl w:val="F698DD44"/>
    <w:lvl w:ilvl="0" w:tplc="0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11"/>
  </w:num>
  <w:num w:numId="4">
    <w:abstractNumId w:val="12"/>
  </w:num>
  <w:num w:numId="5">
    <w:abstractNumId w:val="10"/>
  </w:num>
  <w:num w:numId="6">
    <w:abstractNumId w:val="0"/>
  </w:num>
  <w:num w:numId="7">
    <w:abstractNumId w:val="1"/>
  </w:num>
  <w:num w:numId="8">
    <w:abstractNumId w:val="2"/>
  </w:num>
  <w:num w:numId="9">
    <w:abstractNumId w:val="3"/>
  </w:num>
  <w:num w:numId="10">
    <w:abstractNumId w:val="8"/>
  </w:num>
  <w:num w:numId="11">
    <w:abstractNumId w:val="4"/>
  </w:num>
  <w:num w:numId="12">
    <w:abstractNumId w:val="5"/>
  </w:num>
  <w:num w:numId="13">
    <w:abstractNumId w:val="6"/>
  </w:num>
  <w:num w:numId="14">
    <w:abstractNumId w:val="7"/>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75F"/>
    <w:rsid w:val="0000184E"/>
    <w:rsid w:val="00003829"/>
    <w:rsid w:val="00007BA3"/>
    <w:rsid w:val="00010B5C"/>
    <w:rsid w:val="000110E6"/>
    <w:rsid w:val="00024687"/>
    <w:rsid w:val="000304E5"/>
    <w:rsid w:val="00032DF0"/>
    <w:rsid w:val="00033B6B"/>
    <w:rsid w:val="00037DB4"/>
    <w:rsid w:val="000550BB"/>
    <w:rsid w:val="00055A09"/>
    <w:rsid w:val="0005683B"/>
    <w:rsid w:val="000606DA"/>
    <w:rsid w:val="00062371"/>
    <w:rsid w:val="00067F96"/>
    <w:rsid w:val="00074052"/>
    <w:rsid w:val="0008324E"/>
    <w:rsid w:val="000843EC"/>
    <w:rsid w:val="00084597"/>
    <w:rsid w:val="000933EE"/>
    <w:rsid w:val="00095631"/>
    <w:rsid w:val="00095FA8"/>
    <w:rsid w:val="000A4E6B"/>
    <w:rsid w:val="000A55D5"/>
    <w:rsid w:val="000A775F"/>
    <w:rsid w:val="000B75F2"/>
    <w:rsid w:val="000D0077"/>
    <w:rsid w:val="000D48FE"/>
    <w:rsid w:val="000E0712"/>
    <w:rsid w:val="000E4F16"/>
    <w:rsid w:val="000E7244"/>
    <w:rsid w:val="000F5BFD"/>
    <w:rsid w:val="00101B91"/>
    <w:rsid w:val="00105981"/>
    <w:rsid w:val="00107E16"/>
    <w:rsid w:val="001234E7"/>
    <w:rsid w:val="0012434F"/>
    <w:rsid w:val="00126FDC"/>
    <w:rsid w:val="0012746D"/>
    <w:rsid w:val="00130D01"/>
    <w:rsid w:val="00131340"/>
    <w:rsid w:val="00141008"/>
    <w:rsid w:val="00143AC8"/>
    <w:rsid w:val="00164554"/>
    <w:rsid w:val="00166ECA"/>
    <w:rsid w:val="001739D6"/>
    <w:rsid w:val="00177478"/>
    <w:rsid w:val="00181D8E"/>
    <w:rsid w:val="001820DB"/>
    <w:rsid w:val="00184B2E"/>
    <w:rsid w:val="001911F9"/>
    <w:rsid w:val="001964DC"/>
    <w:rsid w:val="00196DC0"/>
    <w:rsid w:val="001A20CD"/>
    <w:rsid w:val="001B1625"/>
    <w:rsid w:val="001B62CD"/>
    <w:rsid w:val="001C023D"/>
    <w:rsid w:val="001C17F8"/>
    <w:rsid w:val="001C7CAC"/>
    <w:rsid w:val="001D7AA1"/>
    <w:rsid w:val="001E03EE"/>
    <w:rsid w:val="001E04FE"/>
    <w:rsid w:val="001E0807"/>
    <w:rsid w:val="001E1146"/>
    <w:rsid w:val="001E15E6"/>
    <w:rsid w:val="001F12E7"/>
    <w:rsid w:val="001F2889"/>
    <w:rsid w:val="001F6E9A"/>
    <w:rsid w:val="002013E5"/>
    <w:rsid w:val="002054F3"/>
    <w:rsid w:val="00207534"/>
    <w:rsid w:val="00212EDD"/>
    <w:rsid w:val="00213786"/>
    <w:rsid w:val="002214E6"/>
    <w:rsid w:val="00224C56"/>
    <w:rsid w:val="00225A74"/>
    <w:rsid w:val="00237580"/>
    <w:rsid w:val="00237EF3"/>
    <w:rsid w:val="0026244A"/>
    <w:rsid w:val="00265F44"/>
    <w:rsid w:val="00280360"/>
    <w:rsid w:val="00285FAF"/>
    <w:rsid w:val="00287605"/>
    <w:rsid w:val="00294E07"/>
    <w:rsid w:val="002A533A"/>
    <w:rsid w:val="002B47BE"/>
    <w:rsid w:val="002C1EF5"/>
    <w:rsid w:val="002C456B"/>
    <w:rsid w:val="002D5A56"/>
    <w:rsid w:val="002E0728"/>
    <w:rsid w:val="002F17C5"/>
    <w:rsid w:val="002F4997"/>
    <w:rsid w:val="002F4F64"/>
    <w:rsid w:val="003101FE"/>
    <w:rsid w:val="0031502F"/>
    <w:rsid w:val="00316294"/>
    <w:rsid w:val="0032427F"/>
    <w:rsid w:val="00334C6A"/>
    <w:rsid w:val="0034237A"/>
    <w:rsid w:val="003523D5"/>
    <w:rsid w:val="00356A26"/>
    <w:rsid w:val="0035705C"/>
    <w:rsid w:val="00360312"/>
    <w:rsid w:val="003616C4"/>
    <w:rsid w:val="00363368"/>
    <w:rsid w:val="00375F4B"/>
    <w:rsid w:val="003878E3"/>
    <w:rsid w:val="003922D0"/>
    <w:rsid w:val="003959E3"/>
    <w:rsid w:val="00395B66"/>
    <w:rsid w:val="003A350E"/>
    <w:rsid w:val="003A443B"/>
    <w:rsid w:val="003A7B28"/>
    <w:rsid w:val="003B4881"/>
    <w:rsid w:val="003B496A"/>
    <w:rsid w:val="003B76CF"/>
    <w:rsid w:val="003B7B36"/>
    <w:rsid w:val="003D15CF"/>
    <w:rsid w:val="003D2163"/>
    <w:rsid w:val="003D5691"/>
    <w:rsid w:val="003F6855"/>
    <w:rsid w:val="00402073"/>
    <w:rsid w:val="00402D1E"/>
    <w:rsid w:val="004165D6"/>
    <w:rsid w:val="00425CA0"/>
    <w:rsid w:val="00433A55"/>
    <w:rsid w:val="00435A02"/>
    <w:rsid w:val="00435F6F"/>
    <w:rsid w:val="0043635F"/>
    <w:rsid w:val="00437A77"/>
    <w:rsid w:val="00443347"/>
    <w:rsid w:val="0044477C"/>
    <w:rsid w:val="0044558F"/>
    <w:rsid w:val="00445BB6"/>
    <w:rsid w:val="004506A8"/>
    <w:rsid w:val="00453260"/>
    <w:rsid w:val="004736FE"/>
    <w:rsid w:val="00477825"/>
    <w:rsid w:val="004806F2"/>
    <w:rsid w:val="00487032"/>
    <w:rsid w:val="004A32E4"/>
    <w:rsid w:val="004A3EEA"/>
    <w:rsid w:val="004A7F2C"/>
    <w:rsid w:val="004B478E"/>
    <w:rsid w:val="004E2DB0"/>
    <w:rsid w:val="004E58B9"/>
    <w:rsid w:val="004E63A4"/>
    <w:rsid w:val="004E6787"/>
    <w:rsid w:val="004F4FC3"/>
    <w:rsid w:val="0050178C"/>
    <w:rsid w:val="00502E93"/>
    <w:rsid w:val="0050340D"/>
    <w:rsid w:val="005046EA"/>
    <w:rsid w:val="00505A05"/>
    <w:rsid w:val="005073B4"/>
    <w:rsid w:val="00513ACC"/>
    <w:rsid w:val="00526D70"/>
    <w:rsid w:val="00532B96"/>
    <w:rsid w:val="00532C08"/>
    <w:rsid w:val="00537C21"/>
    <w:rsid w:val="00564CFA"/>
    <w:rsid w:val="0057184D"/>
    <w:rsid w:val="00572A93"/>
    <w:rsid w:val="00573FC7"/>
    <w:rsid w:val="0057542B"/>
    <w:rsid w:val="00584519"/>
    <w:rsid w:val="00584705"/>
    <w:rsid w:val="00592EB2"/>
    <w:rsid w:val="00594DFA"/>
    <w:rsid w:val="005A10EC"/>
    <w:rsid w:val="005A2994"/>
    <w:rsid w:val="005A5DCF"/>
    <w:rsid w:val="005B3156"/>
    <w:rsid w:val="005B6A6D"/>
    <w:rsid w:val="005C07C6"/>
    <w:rsid w:val="005C1121"/>
    <w:rsid w:val="005C31AE"/>
    <w:rsid w:val="005C4488"/>
    <w:rsid w:val="005D24F6"/>
    <w:rsid w:val="005D280D"/>
    <w:rsid w:val="005D5C88"/>
    <w:rsid w:val="005D7BEC"/>
    <w:rsid w:val="005E436E"/>
    <w:rsid w:val="005E4D0D"/>
    <w:rsid w:val="005E58FB"/>
    <w:rsid w:val="0060035E"/>
    <w:rsid w:val="00604968"/>
    <w:rsid w:val="00604CB1"/>
    <w:rsid w:val="00605467"/>
    <w:rsid w:val="0060621C"/>
    <w:rsid w:val="00610B2B"/>
    <w:rsid w:val="00612E9C"/>
    <w:rsid w:val="00612FEB"/>
    <w:rsid w:val="00614994"/>
    <w:rsid w:val="00620A57"/>
    <w:rsid w:val="006271CE"/>
    <w:rsid w:val="00632B02"/>
    <w:rsid w:val="00657004"/>
    <w:rsid w:val="006647F2"/>
    <w:rsid w:val="00667D9D"/>
    <w:rsid w:val="0067143E"/>
    <w:rsid w:val="00683C03"/>
    <w:rsid w:val="006909D8"/>
    <w:rsid w:val="00690F32"/>
    <w:rsid w:val="0069207E"/>
    <w:rsid w:val="006A1557"/>
    <w:rsid w:val="006A4FAC"/>
    <w:rsid w:val="006B4EFC"/>
    <w:rsid w:val="006B7C55"/>
    <w:rsid w:val="006C2C5A"/>
    <w:rsid w:val="006E17F0"/>
    <w:rsid w:val="006E2958"/>
    <w:rsid w:val="006E3339"/>
    <w:rsid w:val="006F6CB8"/>
    <w:rsid w:val="006F7558"/>
    <w:rsid w:val="00704944"/>
    <w:rsid w:val="00720497"/>
    <w:rsid w:val="0072556A"/>
    <w:rsid w:val="007332C8"/>
    <w:rsid w:val="00737F86"/>
    <w:rsid w:val="00750A40"/>
    <w:rsid w:val="00756A10"/>
    <w:rsid w:val="007702BC"/>
    <w:rsid w:val="00772E15"/>
    <w:rsid w:val="00774E56"/>
    <w:rsid w:val="00775469"/>
    <w:rsid w:val="00784EB7"/>
    <w:rsid w:val="00793A4F"/>
    <w:rsid w:val="00793DF2"/>
    <w:rsid w:val="007977AF"/>
    <w:rsid w:val="007A0026"/>
    <w:rsid w:val="007B5CF8"/>
    <w:rsid w:val="007D02B6"/>
    <w:rsid w:val="007D23DD"/>
    <w:rsid w:val="007D2CC9"/>
    <w:rsid w:val="007D57BA"/>
    <w:rsid w:val="007D659F"/>
    <w:rsid w:val="007E0E5D"/>
    <w:rsid w:val="007E4019"/>
    <w:rsid w:val="007E7422"/>
    <w:rsid w:val="007F2225"/>
    <w:rsid w:val="007F22E6"/>
    <w:rsid w:val="007F257F"/>
    <w:rsid w:val="007F51C0"/>
    <w:rsid w:val="007F5625"/>
    <w:rsid w:val="007F6445"/>
    <w:rsid w:val="0080633A"/>
    <w:rsid w:val="0080748D"/>
    <w:rsid w:val="00816DFE"/>
    <w:rsid w:val="00820119"/>
    <w:rsid w:val="0082232A"/>
    <w:rsid w:val="00826EC9"/>
    <w:rsid w:val="00831368"/>
    <w:rsid w:val="00843966"/>
    <w:rsid w:val="0084564F"/>
    <w:rsid w:val="00847E73"/>
    <w:rsid w:val="00851178"/>
    <w:rsid w:val="00854F8E"/>
    <w:rsid w:val="008565C0"/>
    <w:rsid w:val="00857D12"/>
    <w:rsid w:val="00870A2B"/>
    <w:rsid w:val="00873AF0"/>
    <w:rsid w:val="00873FEE"/>
    <w:rsid w:val="00877C9B"/>
    <w:rsid w:val="00883E42"/>
    <w:rsid w:val="00886FD8"/>
    <w:rsid w:val="008929BA"/>
    <w:rsid w:val="0089457D"/>
    <w:rsid w:val="00894852"/>
    <w:rsid w:val="00894F34"/>
    <w:rsid w:val="008A5B30"/>
    <w:rsid w:val="008B19DD"/>
    <w:rsid w:val="008C0DA1"/>
    <w:rsid w:val="008C6E6F"/>
    <w:rsid w:val="008D5653"/>
    <w:rsid w:val="008D7891"/>
    <w:rsid w:val="008E3BA0"/>
    <w:rsid w:val="008E7481"/>
    <w:rsid w:val="008F0CAA"/>
    <w:rsid w:val="009045E9"/>
    <w:rsid w:val="0090654E"/>
    <w:rsid w:val="009153CF"/>
    <w:rsid w:val="0092511E"/>
    <w:rsid w:val="0092632D"/>
    <w:rsid w:val="00926BC4"/>
    <w:rsid w:val="00931334"/>
    <w:rsid w:val="009325AE"/>
    <w:rsid w:val="0093351A"/>
    <w:rsid w:val="009526DD"/>
    <w:rsid w:val="00954DC1"/>
    <w:rsid w:val="009559A1"/>
    <w:rsid w:val="00955B45"/>
    <w:rsid w:val="009719A6"/>
    <w:rsid w:val="00974F69"/>
    <w:rsid w:val="0098436C"/>
    <w:rsid w:val="0098572F"/>
    <w:rsid w:val="00986E09"/>
    <w:rsid w:val="00990593"/>
    <w:rsid w:val="00991C65"/>
    <w:rsid w:val="00992CE4"/>
    <w:rsid w:val="009A009A"/>
    <w:rsid w:val="009A09D0"/>
    <w:rsid w:val="009B4012"/>
    <w:rsid w:val="009C3DF1"/>
    <w:rsid w:val="009D3357"/>
    <w:rsid w:val="009D5175"/>
    <w:rsid w:val="009D6646"/>
    <w:rsid w:val="009D7B10"/>
    <w:rsid w:val="009E0679"/>
    <w:rsid w:val="009E6B85"/>
    <w:rsid w:val="009F1170"/>
    <w:rsid w:val="009F17B7"/>
    <w:rsid w:val="009F1983"/>
    <w:rsid w:val="009F36DB"/>
    <w:rsid w:val="00A0420D"/>
    <w:rsid w:val="00A05439"/>
    <w:rsid w:val="00A06B68"/>
    <w:rsid w:val="00A075ED"/>
    <w:rsid w:val="00A114F0"/>
    <w:rsid w:val="00A24843"/>
    <w:rsid w:val="00A24D88"/>
    <w:rsid w:val="00A2629E"/>
    <w:rsid w:val="00A30FEF"/>
    <w:rsid w:val="00A33287"/>
    <w:rsid w:val="00A418E1"/>
    <w:rsid w:val="00A46DD3"/>
    <w:rsid w:val="00A47B82"/>
    <w:rsid w:val="00A5778C"/>
    <w:rsid w:val="00A606D9"/>
    <w:rsid w:val="00A63FD3"/>
    <w:rsid w:val="00A65FD0"/>
    <w:rsid w:val="00A71DF0"/>
    <w:rsid w:val="00A74999"/>
    <w:rsid w:val="00A757E5"/>
    <w:rsid w:val="00A774F4"/>
    <w:rsid w:val="00A83319"/>
    <w:rsid w:val="00A84ACB"/>
    <w:rsid w:val="00A86A0F"/>
    <w:rsid w:val="00A963B9"/>
    <w:rsid w:val="00AA12EF"/>
    <w:rsid w:val="00AB4A49"/>
    <w:rsid w:val="00AB4B11"/>
    <w:rsid w:val="00AB4DCD"/>
    <w:rsid w:val="00AB5821"/>
    <w:rsid w:val="00AC1561"/>
    <w:rsid w:val="00AC52C9"/>
    <w:rsid w:val="00AC7773"/>
    <w:rsid w:val="00AD0BF3"/>
    <w:rsid w:val="00AD1C8F"/>
    <w:rsid w:val="00AE579D"/>
    <w:rsid w:val="00AF1540"/>
    <w:rsid w:val="00AF2DA1"/>
    <w:rsid w:val="00AF459A"/>
    <w:rsid w:val="00B062F6"/>
    <w:rsid w:val="00B06581"/>
    <w:rsid w:val="00B228A6"/>
    <w:rsid w:val="00B347C6"/>
    <w:rsid w:val="00B4239D"/>
    <w:rsid w:val="00B50A6C"/>
    <w:rsid w:val="00B57180"/>
    <w:rsid w:val="00B627B5"/>
    <w:rsid w:val="00B63EEC"/>
    <w:rsid w:val="00B67940"/>
    <w:rsid w:val="00B70B13"/>
    <w:rsid w:val="00B71F24"/>
    <w:rsid w:val="00B76950"/>
    <w:rsid w:val="00B948B2"/>
    <w:rsid w:val="00B956F1"/>
    <w:rsid w:val="00B975D0"/>
    <w:rsid w:val="00BA4B67"/>
    <w:rsid w:val="00BB128C"/>
    <w:rsid w:val="00BB43D9"/>
    <w:rsid w:val="00BB4EEB"/>
    <w:rsid w:val="00BC00B0"/>
    <w:rsid w:val="00BC1B9A"/>
    <w:rsid w:val="00BC2264"/>
    <w:rsid w:val="00BC4264"/>
    <w:rsid w:val="00BE4506"/>
    <w:rsid w:val="00C01801"/>
    <w:rsid w:val="00C10ABA"/>
    <w:rsid w:val="00C1500E"/>
    <w:rsid w:val="00C1670F"/>
    <w:rsid w:val="00C171E2"/>
    <w:rsid w:val="00C27258"/>
    <w:rsid w:val="00C27FEF"/>
    <w:rsid w:val="00C31B5C"/>
    <w:rsid w:val="00C32FB9"/>
    <w:rsid w:val="00C3419C"/>
    <w:rsid w:val="00C37DB9"/>
    <w:rsid w:val="00C43EC6"/>
    <w:rsid w:val="00C44481"/>
    <w:rsid w:val="00C4527A"/>
    <w:rsid w:val="00C5401A"/>
    <w:rsid w:val="00C55389"/>
    <w:rsid w:val="00C561BF"/>
    <w:rsid w:val="00C6048C"/>
    <w:rsid w:val="00C643E6"/>
    <w:rsid w:val="00C73A72"/>
    <w:rsid w:val="00C80A5A"/>
    <w:rsid w:val="00C828C8"/>
    <w:rsid w:val="00C909B2"/>
    <w:rsid w:val="00C93CB9"/>
    <w:rsid w:val="00C95B29"/>
    <w:rsid w:val="00CA01C2"/>
    <w:rsid w:val="00CB0570"/>
    <w:rsid w:val="00CB3FC5"/>
    <w:rsid w:val="00CD10C9"/>
    <w:rsid w:val="00CE0853"/>
    <w:rsid w:val="00CE2042"/>
    <w:rsid w:val="00CE5791"/>
    <w:rsid w:val="00CF29CE"/>
    <w:rsid w:val="00CF5F7A"/>
    <w:rsid w:val="00D00686"/>
    <w:rsid w:val="00D00FC6"/>
    <w:rsid w:val="00D06368"/>
    <w:rsid w:val="00D226B9"/>
    <w:rsid w:val="00D232E4"/>
    <w:rsid w:val="00D248E9"/>
    <w:rsid w:val="00D2601A"/>
    <w:rsid w:val="00D27CA8"/>
    <w:rsid w:val="00D41C84"/>
    <w:rsid w:val="00D44DCE"/>
    <w:rsid w:val="00D47D26"/>
    <w:rsid w:val="00D50CB5"/>
    <w:rsid w:val="00D51BFC"/>
    <w:rsid w:val="00D522F3"/>
    <w:rsid w:val="00D53BAE"/>
    <w:rsid w:val="00D56A59"/>
    <w:rsid w:val="00D57046"/>
    <w:rsid w:val="00D6178B"/>
    <w:rsid w:val="00D80006"/>
    <w:rsid w:val="00D803A9"/>
    <w:rsid w:val="00D806C5"/>
    <w:rsid w:val="00D87CE0"/>
    <w:rsid w:val="00D91DF6"/>
    <w:rsid w:val="00DA23F7"/>
    <w:rsid w:val="00DA5EB9"/>
    <w:rsid w:val="00DA66A6"/>
    <w:rsid w:val="00DB4666"/>
    <w:rsid w:val="00DB66E6"/>
    <w:rsid w:val="00DC3A06"/>
    <w:rsid w:val="00DC3FAD"/>
    <w:rsid w:val="00DC424B"/>
    <w:rsid w:val="00DD004B"/>
    <w:rsid w:val="00DE1137"/>
    <w:rsid w:val="00DE1DE4"/>
    <w:rsid w:val="00DF64A1"/>
    <w:rsid w:val="00E05C05"/>
    <w:rsid w:val="00E07000"/>
    <w:rsid w:val="00E14C3D"/>
    <w:rsid w:val="00E265D2"/>
    <w:rsid w:val="00E3549A"/>
    <w:rsid w:val="00E43D4D"/>
    <w:rsid w:val="00E475F2"/>
    <w:rsid w:val="00E5214E"/>
    <w:rsid w:val="00E54966"/>
    <w:rsid w:val="00E6083D"/>
    <w:rsid w:val="00E64C72"/>
    <w:rsid w:val="00E728A1"/>
    <w:rsid w:val="00E749F2"/>
    <w:rsid w:val="00E86E55"/>
    <w:rsid w:val="00E91878"/>
    <w:rsid w:val="00E94CCE"/>
    <w:rsid w:val="00E96260"/>
    <w:rsid w:val="00EA02F9"/>
    <w:rsid w:val="00EA72DF"/>
    <w:rsid w:val="00EB1E6A"/>
    <w:rsid w:val="00EB3BF6"/>
    <w:rsid w:val="00EB5460"/>
    <w:rsid w:val="00EB7173"/>
    <w:rsid w:val="00EC060F"/>
    <w:rsid w:val="00EC18A9"/>
    <w:rsid w:val="00EC2653"/>
    <w:rsid w:val="00EC43FF"/>
    <w:rsid w:val="00ED0987"/>
    <w:rsid w:val="00ED1F0B"/>
    <w:rsid w:val="00ED3769"/>
    <w:rsid w:val="00ED39D0"/>
    <w:rsid w:val="00EE6348"/>
    <w:rsid w:val="00EE6932"/>
    <w:rsid w:val="00EF13B0"/>
    <w:rsid w:val="00F00357"/>
    <w:rsid w:val="00F12609"/>
    <w:rsid w:val="00F21CE8"/>
    <w:rsid w:val="00F226A9"/>
    <w:rsid w:val="00F310EB"/>
    <w:rsid w:val="00F33FE1"/>
    <w:rsid w:val="00F368E5"/>
    <w:rsid w:val="00F4586D"/>
    <w:rsid w:val="00F534DB"/>
    <w:rsid w:val="00F5437F"/>
    <w:rsid w:val="00F56EB3"/>
    <w:rsid w:val="00F60035"/>
    <w:rsid w:val="00F62BDB"/>
    <w:rsid w:val="00F62E40"/>
    <w:rsid w:val="00F640D2"/>
    <w:rsid w:val="00F6447A"/>
    <w:rsid w:val="00F6515C"/>
    <w:rsid w:val="00F71916"/>
    <w:rsid w:val="00F73027"/>
    <w:rsid w:val="00F738C4"/>
    <w:rsid w:val="00F75DC5"/>
    <w:rsid w:val="00F77A94"/>
    <w:rsid w:val="00F83997"/>
    <w:rsid w:val="00F86632"/>
    <w:rsid w:val="00F87E8E"/>
    <w:rsid w:val="00F917C9"/>
    <w:rsid w:val="00F926BE"/>
    <w:rsid w:val="00F938E5"/>
    <w:rsid w:val="00FA56B9"/>
    <w:rsid w:val="00FA6E58"/>
    <w:rsid w:val="00FB0E12"/>
    <w:rsid w:val="00FB1E41"/>
    <w:rsid w:val="00FB4354"/>
    <w:rsid w:val="00FC7354"/>
    <w:rsid w:val="00FD0BCF"/>
    <w:rsid w:val="00FD7428"/>
    <w:rsid w:val="00FE197C"/>
    <w:rsid w:val="00FE3D26"/>
    <w:rsid w:val="00FF43F1"/>
    <w:rsid w:val="00FF71B4"/>
    <w:rsid w:val="00FF79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7BFC95"/>
  <w15:chartTrackingRefBased/>
  <w15:docId w15:val="{CED67370-D506-47A4-96FD-83DA60545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D1E"/>
    <w:pPr>
      <w:spacing w:after="0" w:line="240" w:lineRule="auto"/>
    </w:pPr>
    <w:rPr>
      <w:sz w:val="24"/>
      <w:szCs w:val="24"/>
    </w:rPr>
  </w:style>
  <w:style w:type="paragraph" w:styleId="Heading1">
    <w:name w:val="heading 1"/>
    <w:basedOn w:val="Normal"/>
    <w:next w:val="Normal"/>
    <w:link w:val="Heading1Char"/>
    <w:uiPriority w:val="9"/>
    <w:qFormat/>
    <w:rsid w:val="008565C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B4A4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565C0"/>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750A4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A775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775F"/>
    <w:rPr>
      <w:rFonts w:asciiTheme="majorHAnsi" w:eastAsiaTheme="majorEastAsia" w:hAnsiTheme="majorHAnsi" w:cstheme="majorBidi"/>
      <w:spacing w:val="-10"/>
      <w:kern w:val="28"/>
      <w:sz w:val="56"/>
      <w:szCs w:val="56"/>
    </w:rPr>
  </w:style>
  <w:style w:type="character" w:customStyle="1" w:styleId="apple-converted-space">
    <w:name w:val="apple-converted-space"/>
    <w:rsid w:val="000A775F"/>
    <w:rPr>
      <w:lang w:val="en-US"/>
    </w:rPr>
  </w:style>
  <w:style w:type="paragraph" w:styleId="ListParagraph">
    <w:name w:val="List Paragraph"/>
    <w:basedOn w:val="Normal"/>
    <w:uiPriority w:val="34"/>
    <w:qFormat/>
    <w:rsid w:val="001D7AA1"/>
    <w:pPr>
      <w:ind w:left="720"/>
      <w:contextualSpacing/>
    </w:pPr>
  </w:style>
  <w:style w:type="paragraph" w:styleId="EndnoteText">
    <w:name w:val="endnote text"/>
    <w:basedOn w:val="Normal"/>
    <w:link w:val="EndnoteTextChar"/>
    <w:uiPriority w:val="99"/>
    <w:semiHidden/>
    <w:unhideWhenUsed/>
    <w:rsid w:val="00AB4DCD"/>
    <w:rPr>
      <w:sz w:val="20"/>
      <w:szCs w:val="20"/>
    </w:rPr>
  </w:style>
  <w:style w:type="character" w:customStyle="1" w:styleId="EndnoteTextChar">
    <w:name w:val="Endnote Text Char"/>
    <w:basedOn w:val="DefaultParagraphFont"/>
    <w:link w:val="EndnoteText"/>
    <w:uiPriority w:val="99"/>
    <w:semiHidden/>
    <w:rsid w:val="00AB4DCD"/>
    <w:rPr>
      <w:sz w:val="20"/>
      <w:szCs w:val="20"/>
    </w:rPr>
  </w:style>
  <w:style w:type="character" w:styleId="EndnoteReference">
    <w:name w:val="endnote reference"/>
    <w:basedOn w:val="DefaultParagraphFont"/>
    <w:uiPriority w:val="99"/>
    <w:semiHidden/>
    <w:unhideWhenUsed/>
    <w:rsid w:val="00AB4DCD"/>
    <w:rPr>
      <w:vertAlign w:val="superscript"/>
    </w:rPr>
  </w:style>
  <w:style w:type="table" w:styleId="TableGrid">
    <w:name w:val="Table Grid"/>
    <w:basedOn w:val="TableNormal"/>
    <w:uiPriority w:val="59"/>
    <w:rsid w:val="00FA56B9"/>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75F4B"/>
    <w:rPr>
      <w:sz w:val="16"/>
      <w:szCs w:val="16"/>
    </w:rPr>
  </w:style>
  <w:style w:type="paragraph" w:styleId="CommentText">
    <w:name w:val="annotation text"/>
    <w:basedOn w:val="Normal"/>
    <w:link w:val="CommentTextChar"/>
    <w:uiPriority w:val="99"/>
    <w:unhideWhenUsed/>
    <w:rsid w:val="00375F4B"/>
    <w:rPr>
      <w:sz w:val="20"/>
      <w:szCs w:val="20"/>
    </w:rPr>
  </w:style>
  <w:style w:type="character" w:customStyle="1" w:styleId="CommentTextChar">
    <w:name w:val="Comment Text Char"/>
    <w:basedOn w:val="DefaultParagraphFont"/>
    <w:link w:val="CommentText"/>
    <w:uiPriority w:val="99"/>
    <w:rsid w:val="00375F4B"/>
    <w:rPr>
      <w:sz w:val="20"/>
      <w:szCs w:val="20"/>
    </w:rPr>
  </w:style>
  <w:style w:type="paragraph" w:styleId="CommentSubject">
    <w:name w:val="annotation subject"/>
    <w:basedOn w:val="CommentText"/>
    <w:next w:val="CommentText"/>
    <w:link w:val="CommentSubjectChar"/>
    <w:uiPriority w:val="99"/>
    <w:semiHidden/>
    <w:unhideWhenUsed/>
    <w:rsid w:val="00375F4B"/>
    <w:rPr>
      <w:b/>
      <w:bCs/>
    </w:rPr>
  </w:style>
  <w:style w:type="character" w:customStyle="1" w:styleId="CommentSubjectChar">
    <w:name w:val="Comment Subject Char"/>
    <w:basedOn w:val="CommentTextChar"/>
    <w:link w:val="CommentSubject"/>
    <w:uiPriority w:val="99"/>
    <w:semiHidden/>
    <w:rsid w:val="00375F4B"/>
    <w:rPr>
      <w:b/>
      <w:bCs/>
      <w:sz w:val="20"/>
      <w:szCs w:val="20"/>
    </w:rPr>
  </w:style>
  <w:style w:type="paragraph" w:styleId="BalloonText">
    <w:name w:val="Balloon Text"/>
    <w:basedOn w:val="Normal"/>
    <w:link w:val="BalloonTextChar"/>
    <w:uiPriority w:val="99"/>
    <w:semiHidden/>
    <w:unhideWhenUsed/>
    <w:rsid w:val="00375F4B"/>
    <w:rPr>
      <w:sz w:val="18"/>
      <w:szCs w:val="18"/>
    </w:rPr>
  </w:style>
  <w:style w:type="character" w:customStyle="1" w:styleId="BalloonTextChar">
    <w:name w:val="Balloon Text Char"/>
    <w:basedOn w:val="DefaultParagraphFont"/>
    <w:link w:val="BalloonText"/>
    <w:uiPriority w:val="99"/>
    <w:semiHidden/>
    <w:rsid w:val="00375F4B"/>
    <w:rPr>
      <w:rFonts w:ascii="Times New Roman" w:hAnsi="Times New Roman" w:cs="Times New Roman"/>
      <w:sz w:val="18"/>
      <w:szCs w:val="18"/>
    </w:rPr>
  </w:style>
  <w:style w:type="paragraph" w:styleId="NoSpacing">
    <w:name w:val="No Spacing"/>
    <w:uiPriority w:val="1"/>
    <w:qFormat/>
    <w:rsid w:val="006909D8"/>
    <w:pPr>
      <w:spacing w:after="0" w:line="240" w:lineRule="auto"/>
    </w:pPr>
  </w:style>
  <w:style w:type="character" w:customStyle="1" w:styleId="Heading1Char">
    <w:name w:val="Heading 1 Char"/>
    <w:basedOn w:val="DefaultParagraphFont"/>
    <w:link w:val="Heading1"/>
    <w:uiPriority w:val="9"/>
    <w:rsid w:val="008565C0"/>
    <w:rPr>
      <w:rFonts w:asciiTheme="majorHAnsi" w:eastAsiaTheme="majorEastAsia" w:hAnsiTheme="majorHAnsi" w:cstheme="majorBidi"/>
      <w:color w:val="2E74B5" w:themeColor="accent1" w:themeShade="BF"/>
      <w:sz w:val="32"/>
      <w:szCs w:val="32"/>
      <w:lang w:eastAsia="en-GB"/>
    </w:rPr>
  </w:style>
  <w:style w:type="character" w:customStyle="1" w:styleId="Heading2Char">
    <w:name w:val="Heading 2 Char"/>
    <w:basedOn w:val="DefaultParagraphFont"/>
    <w:link w:val="Heading2"/>
    <w:uiPriority w:val="9"/>
    <w:rsid w:val="00AB4A49"/>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8565C0"/>
    <w:rPr>
      <w:rFonts w:asciiTheme="majorHAnsi" w:eastAsiaTheme="majorEastAsia" w:hAnsiTheme="majorHAnsi" w:cstheme="majorBidi"/>
      <w:color w:val="1F4D78" w:themeColor="accent1" w:themeShade="7F"/>
      <w:sz w:val="24"/>
      <w:szCs w:val="24"/>
      <w:lang w:eastAsia="en-GB"/>
    </w:rPr>
  </w:style>
  <w:style w:type="character" w:customStyle="1" w:styleId="Hyperlink0">
    <w:name w:val="Hyperlink.0"/>
    <w:basedOn w:val="DefaultParagraphFont"/>
    <w:rsid w:val="00C6048C"/>
    <w:rPr>
      <w:color w:val="0000FF"/>
      <w:u w:val="single" w:color="0000FF"/>
      <w:lang w:val="en-US"/>
    </w:rPr>
  </w:style>
  <w:style w:type="paragraph" w:styleId="FootnoteText">
    <w:name w:val="footnote text"/>
    <w:basedOn w:val="Normal"/>
    <w:link w:val="FootnoteTextChar"/>
    <w:uiPriority w:val="99"/>
    <w:semiHidden/>
    <w:unhideWhenUsed/>
    <w:rsid w:val="00C6048C"/>
    <w:rPr>
      <w:sz w:val="20"/>
      <w:szCs w:val="20"/>
    </w:rPr>
  </w:style>
  <w:style w:type="character" w:customStyle="1" w:styleId="FootnoteTextChar">
    <w:name w:val="Footnote Text Char"/>
    <w:basedOn w:val="DefaultParagraphFont"/>
    <w:link w:val="FootnoteText"/>
    <w:uiPriority w:val="99"/>
    <w:semiHidden/>
    <w:rsid w:val="00C6048C"/>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C6048C"/>
    <w:rPr>
      <w:vertAlign w:val="superscript"/>
    </w:rPr>
  </w:style>
  <w:style w:type="character" w:customStyle="1" w:styleId="Heading4Char">
    <w:name w:val="Heading 4 Char"/>
    <w:basedOn w:val="DefaultParagraphFont"/>
    <w:link w:val="Heading4"/>
    <w:uiPriority w:val="9"/>
    <w:rsid w:val="00750A40"/>
    <w:rPr>
      <w:rFonts w:asciiTheme="majorHAnsi" w:eastAsiaTheme="majorEastAsia" w:hAnsiTheme="majorHAnsi" w:cstheme="majorBidi"/>
      <w:i/>
      <w:iCs/>
      <w:color w:val="2E74B5" w:themeColor="accent1" w:themeShade="BF"/>
      <w:sz w:val="24"/>
      <w:szCs w:val="24"/>
      <w:lang w:eastAsia="en-GB"/>
    </w:rPr>
  </w:style>
  <w:style w:type="paragraph" w:styleId="Quote">
    <w:name w:val="Quote"/>
    <w:basedOn w:val="Normal"/>
    <w:next w:val="Normal"/>
    <w:link w:val="QuoteChar"/>
    <w:uiPriority w:val="29"/>
    <w:qFormat/>
    <w:rsid w:val="001C17F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C17F8"/>
    <w:rPr>
      <w:rFonts w:ascii="Times New Roman" w:eastAsia="Times New Roman" w:hAnsi="Times New Roman" w:cs="Times New Roman"/>
      <w:i/>
      <w:iCs/>
      <w:color w:val="404040" w:themeColor="text1" w:themeTint="BF"/>
      <w:sz w:val="24"/>
      <w:szCs w:val="24"/>
      <w:lang w:eastAsia="en-GB"/>
    </w:rPr>
  </w:style>
  <w:style w:type="paragraph" w:styleId="NormalWeb">
    <w:name w:val="Normal (Web)"/>
    <w:basedOn w:val="Normal"/>
    <w:uiPriority w:val="99"/>
    <w:unhideWhenUsed/>
    <w:rsid w:val="004E6787"/>
    <w:pPr>
      <w:spacing w:before="100" w:beforeAutospacing="1" w:after="100" w:afterAutospacing="1"/>
    </w:pPr>
  </w:style>
  <w:style w:type="character" w:styleId="Hyperlink">
    <w:name w:val="Hyperlink"/>
    <w:basedOn w:val="DefaultParagraphFont"/>
    <w:uiPriority w:val="99"/>
    <w:unhideWhenUsed/>
    <w:rsid w:val="00B57180"/>
    <w:rPr>
      <w:color w:val="0563C1" w:themeColor="hyperlink"/>
      <w:u w:val="single"/>
    </w:rPr>
  </w:style>
  <w:style w:type="paragraph" w:styleId="Footer">
    <w:name w:val="footer"/>
    <w:aliases w:val="Book Footer"/>
    <w:basedOn w:val="Normal"/>
    <w:link w:val="FooterChar"/>
    <w:autoRedefine/>
    <w:uiPriority w:val="99"/>
    <w:unhideWhenUsed/>
    <w:qFormat/>
    <w:rsid w:val="00793DF2"/>
    <w:pPr>
      <w:tabs>
        <w:tab w:val="center" w:pos="4680"/>
        <w:tab w:val="right" w:pos="9360"/>
      </w:tabs>
      <w:ind w:right="360"/>
      <w:jc w:val="center"/>
    </w:pPr>
    <w:rPr>
      <w:rFonts w:ascii="Times New Roman" w:hAnsi="Times New Roman"/>
      <w:sz w:val="22"/>
      <w:szCs w:val="22"/>
    </w:rPr>
  </w:style>
  <w:style w:type="character" w:customStyle="1" w:styleId="FooterChar">
    <w:name w:val="Footer Char"/>
    <w:aliases w:val="Book Footer Char"/>
    <w:basedOn w:val="DefaultParagraphFont"/>
    <w:link w:val="Footer"/>
    <w:uiPriority w:val="99"/>
    <w:rsid w:val="00793DF2"/>
    <w:rPr>
      <w:rFonts w:ascii="Times New Roman" w:hAnsi="Times New Roman"/>
    </w:rPr>
  </w:style>
  <w:style w:type="character" w:styleId="PageNumber">
    <w:name w:val="page number"/>
    <w:basedOn w:val="DefaultParagraphFont"/>
    <w:unhideWhenUsed/>
    <w:rsid w:val="00AE579D"/>
  </w:style>
  <w:style w:type="paragraph" w:styleId="Revision">
    <w:name w:val="Revision"/>
    <w:hidden/>
    <w:uiPriority w:val="99"/>
    <w:semiHidden/>
    <w:rsid w:val="001E15E6"/>
    <w:pPr>
      <w:spacing w:after="0" w:line="240" w:lineRule="auto"/>
    </w:pPr>
    <w:rPr>
      <w:rFonts w:ascii="Times New Roman" w:eastAsia="Times New Roman" w:hAnsi="Times New Roman" w:cs="Times New Roman"/>
      <w:sz w:val="24"/>
      <w:szCs w:val="24"/>
      <w:lang w:eastAsia="en-GB"/>
    </w:rPr>
  </w:style>
  <w:style w:type="character" w:customStyle="1" w:styleId="orcid-id-https">
    <w:name w:val="orcid-id-https"/>
    <w:basedOn w:val="DefaultParagraphFont"/>
    <w:rsid w:val="00B062F6"/>
  </w:style>
  <w:style w:type="paragraph" w:customStyle="1" w:styleId="Bookbodytext">
    <w:name w:val="Book body text"/>
    <w:basedOn w:val="Normal"/>
    <w:autoRedefine/>
    <w:qFormat/>
    <w:rsid w:val="00DC3FAD"/>
    <w:pPr>
      <w:spacing w:line="480" w:lineRule="auto"/>
    </w:pPr>
    <w:rPr>
      <w:rFonts w:ascii="Times New Roman" w:hAnsi="Times New Roman" w:cs="Times New Roman"/>
      <w:color w:val="000000"/>
      <w:shd w:val="clear" w:color="auto" w:fill="FFFFFF"/>
      <w:lang w:val="en-US"/>
    </w:rPr>
  </w:style>
  <w:style w:type="paragraph" w:customStyle="1" w:styleId="BOOKChapTitle">
    <w:name w:val="BOOK Chap Title"/>
    <w:basedOn w:val="Heading1"/>
    <w:next w:val="Normal"/>
    <w:autoRedefine/>
    <w:qFormat/>
    <w:rsid w:val="00F917C9"/>
    <w:pPr>
      <w:spacing w:after="160" w:line="480" w:lineRule="auto"/>
    </w:pPr>
    <w:rPr>
      <w:rFonts w:ascii="Times New Roman" w:hAnsi="Times New Roman"/>
      <w:b/>
      <w:color w:val="000000" w:themeColor="text1"/>
      <w:sz w:val="28"/>
      <w:szCs w:val="22"/>
    </w:rPr>
  </w:style>
  <w:style w:type="paragraph" w:customStyle="1" w:styleId="BookLevel1">
    <w:name w:val="Book Level 1"/>
    <w:basedOn w:val="Heading2"/>
    <w:autoRedefine/>
    <w:qFormat/>
    <w:rsid w:val="00F4586D"/>
    <w:pPr>
      <w:spacing w:after="120" w:line="480" w:lineRule="auto"/>
    </w:pPr>
    <w:rPr>
      <w:rFonts w:ascii="Times New Roman" w:hAnsi="Times New Roman" w:cs="Times New Roman"/>
      <w:b/>
      <w:color w:val="000000"/>
    </w:rPr>
  </w:style>
  <w:style w:type="paragraph" w:customStyle="1" w:styleId="BookLevel2">
    <w:name w:val="Book Level 2"/>
    <w:basedOn w:val="Heading3"/>
    <w:next w:val="Bookbodytext"/>
    <w:autoRedefine/>
    <w:qFormat/>
    <w:rsid w:val="00F4586D"/>
    <w:pPr>
      <w:spacing w:line="480" w:lineRule="auto"/>
    </w:pPr>
    <w:rPr>
      <w:rFonts w:ascii="Times New Roman" w:hAnsi="Times New Roman"/>
      <w:i/>
      <w:color w:val="000000" w:themeColor="text1"/>
    </w:rPr>
  </w:style>
  <w:style w:type="paragraph" w:customStyle="1" w:styleId="BookLevel3">
    <w:name w:val="Book Level 3"/>
    <w:basedOn w:val="BookLevel1"/>
    <w:qFormat/>
    <w:rsid w:val="00B062F6"/>
    <w:rPr>
      <w:b w:val="0"/>
    </w:rPr>
  </w:style>
  <w:style w:type="paragraph" w:customStyle="1" w:styleId="BookQuote">
    <w:name w:val="Book Quote"/>
    <w:basedOn w:val="Normal"/>
    <w:qFormat/>
    <w:rsid w:val="00B062F6"/>
    <w:pPr>
      <w:spacing w:after="160" w:line="480" w:lineRule="auto"/>
      <w:ind w:left="720"/>
    </w:pPr>
    <w:rPr>
      <w:rFonts w:ascii="Times New Roman" w:hAnsi="Times New Roman" w:cs="Times New Roman"/>
      <w:color w:val="000000"/>
    </w:rPr>
  </w:style>
  <w:style w:type="character" w:styleId="UnresolvedMention">
    <w:name w:val="Unresolved Mention"/>
    <w:basedOn w:val="DefaultParagraphFont"/>
    <w:uiPriority w:val="99"/>
    <w:semiHidden/>
    <w:unhideWhenUsed/>
    <w:rsid w:val="00793DF2"/>
    <w:rPr>
      <w:color w:val="605E5C"/>
      <w:shd w:val="clear" w:color="auto" w:fill="E1DFDD"/>
    </w:rPr>
  </w:style>
  <w:style w:type="paragraph" w:styleId="Header">
    <w:name w:val="header"/>
    <w:basedOn w:val="Normal"/>
    <w:link w:val="HeaderChar"/>
    <w:uiPriority w:val="99"/>
    <w:unhideWhenUsed/>
    <w:rsid w:val="00793DF2"/>
    <w:pPr>
      <w:tabs>
        <w:tab w:val="center" w:pos="4680"/>
        <w:tab w:val="right" w:pos="9360"/>
      </w:tabs>
    </w:pPr>
  </w:style>
  <w:style w:type="character" w:customStyle="1" w:styleId="HeaderChar">
    <w:name w:val="Header Char"/>
    <w:basedOn w:val="DefaultParagraphFont"/>
    <w:link w:val="Header"/>
    <w:uiPriority w:val="99"/>
    <w:rsid w:val="00793DF2"/>
    <w:rPr>
      <w:sz w:val="24"/>
      <w:szCs w:val="24"/>
    </w:rPr>
  </w:style>
  <w:style w:type="character" w:customStyle="1" w:styleId="WW8Num22z0">
    <w:name w:val="WW8Num22z0"/>
    <w:rsid w:val="004506A8"/>
    <w:rPr>
      <w:rFonts w:ascii="Symbol" w:hAnsi="Symbol"/>
    </w:rPr>
  </w:style>
  <w:style w:type="character" w:styleId="FollowedHyperlink">
    <w:name w:val="FollowedHyperlink"/>
    <w:basedOn w:val="DefaultParagraphFont"/>
    <w:uiPriority w:val="99"/>
    <w:semiHidden/>
    <w:unhideWhenUsed/>
    <w:rsid w:val="004506A8"/>
    <w:rPr>
      <w:color w:val="954F72" w:themeColor="followedHyperlink"/>
      <w:u w:val="single"/>
    </w:rPr>
  </w:style>
  <w:style w:type="character" w:styleId="Emphasis">
    <w:name w:val="Emphasis"/>
    <w:basedOn w:val="DefaultParagraphFont"/>
    <w:uiPriority w:val="20"/>
    <w:qFormat/>
    <w:rsid w:val="004506A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16213">
      <w:bodyDiv w:val="1"/>
      <w:marLeft w:val="0"/>
      <w:marRight w:val="0"/>
      <w:marTop w:val="0"/>
      <w:marBottom w:val="0"/>
      <w:divBdr>
        <w:top w:val="none" w:sz="0" w:space="0" w:color="auto"/>
        <w:left w:val="none" w:sz="0" w:space="0" w:color="auto"/>
        <w:bottom w:val="none" w:sz="0" w:space="0" w:color="auto"/>
        <w:right w:val="none" w:sz="0" w:space="0" w:color="auto"/>
      </w:divBdr>
      <w:divsChild>
        <w:div w:id="1429693267">
          <w:marLeft w:val="0"/>
          <w:marRight w:val="0"/>
          <w:marTop w:val="0"/>
          <w:marBottom w:val="0"/>
          <w:divBdr>
            <w:top w:val="none" w:sz="0" w:space="0" w:color="auto"/>
            <w:left w:val="none" w:sz="0" w:space="0" w:color="auto"/>
            <w:bottom w:val="none" w:sz="0" w:space="0" w:color="auto"/>
            <w:right w:val="none" w:sz="0" w:space="0" w:color="auto"/>
          </w:divBdr>
          <w:divsChild>
            <w:div w:id="159977682">
              <w:marLeft w:val="0"/>
              <w:marRight w:val="0"/>
              <w:marTop w:val="0"/>
              <w:marBottom w:val="0"/>
              <w:divBdr>
                <w:top w:val="none" w:sz="0" w:space="0" w:color="auto"/>
                <w:left w:val="none" w:sz="0" w:space="0" w:color="auto"/>
                <w:bottom w:val="none" w:sz="0" w:space="0" w:color="auto"/>
                <w:right w:val="none" w:sz="0" w:space="0" w:color="auto"/>
              </w:divBdr>
              <w:divsChild>
                <w:div w:id="107840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52036">
      <w:bodyDiv w:val="1"/>
      <w:marLeft w:val="0"/>
      <w:marRight w:val="0"/>
      <w:marTop w:val="0"/>
      <w:marBottom w:val="0"/>
      <w:divBdr>
        <w:top w:val="none" w:sz="0" w:space="0" w:color="auto"/>
        <w:left w:val="none" w:sz="0" w:space="0" w:color="auto"/>
        <w:bottom w:val="none" w:sz="0" w:space="0" w:color="auto"/>
        <w:right w:val="none" w:sz="0" w:space="0" w:color="auto"/>
      </w:divBdr>
    </w:div>
    <w:div w:id="141821484">
      <w:bodyDiv w:val="1"/>
      <w:marLeft w:val="0"/>
      <w:marRight w:val="0"/>
      <w:marTop w:val="0"/>
      <w:marBottom w:val="0"/>
      <w:divBdr>
        <w:top w:val="none" w:sz="0" w:space="0" w:color="auto"/>
        <w:left w:val="none" w:sz="0" w:space="0" w:color="auto"/>
        <w:bottom w:val="none" w:sz="0" w:space="0" w:color="auto"/>
        <w:right w:val="none" w:sz="0" w:space="0" w:color="auto"/>
      </w:divBdr>
    </w:div>
    <w:div w:id="305207662">
      <w:bodyDiv w:val="1"/>
      <w:marLeft w:val="0"/>
      <w:marRight w:val="0"/>
      <w:marTop w:val="0"/>
      <w:marBottom w:val="0"/>
      <w:divBdr>
        <w:top w:val="none" w:sz="0" w:space="0" w:color="auto"/>
        <w:left w:val="none" w:sz="0" w:space="0" w:color="auto"/>
        <w:bottom w:val="none" w:sz="0" w:space="0" w:color="auto"/>
        <w:right w:val="none" w:sz="0" w:space="0" w:color="auto"/>
      </w:divBdr>
    </w:div>
    <w:div w:id="326330087">
      <w:bodyDiv w:val="1"/>
      <w:marLeft w:val="0"/>
      <w:marRight w:val="0"/>
      <w:marTop w:val="0"/>
      <w:marBottom w:val="0"/>
      <w:divBdr>
        <w:top w:val="none" w:sz="0" w:space="0" w:color="auto"/>
        <w:left w:val="none" w:sz="0" w:space="0" w:color="auto"/>
        <w:bottom w:val="none" w:sz="0" w:space="0" w:color="auto"/>
        <w:right w:val="none" w:sz="0" w:space="0" w:color="auto"/>
      </w:divBdr>
    </w:div>
    <w:div w:id="328139452">
      <w:bodyDiv w:val="1"/>
      <w:marLeft w:val="0"/>
      <w:marRight w:val="0"/>
      <w:marTop w:val="0"/>
      <w:marBottom w:val="0"/>
      <w:divBdr>
        <w:top w:val="none" w:sz="0" w:space="0" w:color="auto"/>
        <w:left w:val="none" w:sz="0" w:space="0" w:color="auto"/>
        <w:bottom w:val="none" w:sz="0" w:space="0" w:color="auto"/>
        <w:right w:val="none" w:sz="0" w:space="0" w:color="auto"/>
      </w:divBdr>
    </w:div>
    <w:div w:id="578448460">
      <w:bodyDiv w:val="1"/>
      <w:marLeft w:val="0"/>
      <w:marRight w:val="0"/>
      <w:marTop w:val="0"/>
      <w:marBottom w:val="0"/>
      <w:divBdr>
        <w:top w:val="none" w:sz="0" w:space="0" w:color="auto"/>
        <w:left w:val="none" w:sz="0" w:space="0" w:color="auto"/>
        <w:bottom w:val="none" w:sz="0" w:space="0" w:color="auto"/>
        <w:right w:val="none" w:sz="0" w:space="0" w:color="auto"/>
      </w:divBdr>
      <w:divsChild>
        <w:div w:id="1789927318">
          <w:marLeft w:val="0"/>
          <w:marRight w:val="0"/>
          <w:marTop w:val="0"/>
          <w:marBottom w:val="120"/>
          <w:divBdr>
            <w:top w:val="none" w:sz="0" w:space="0" w:color="auto"/>
            <w:left w:val="none" w:sz="0" w:space="0" w:color="auto"/>
            <w:bottom w:val="none" w:sz="0" w:space="0" w:color="auto"/>
            <w:right w:val="none" w:sz="0" w:space="0" w:color="auto"/>
          </w:divBdr>
        </w:div>
        <w:div w:id="1180894945">
          <w:marLeft w:val="0"/>
          <w:marRight w:val="0"/>
          <w:marTop w:val="0"/>
          <w:marBottom w:val="0"/>
          <w:divBdr>
            <w:top w:val="none" w:sz="0" w:space="0" w:color="auto"/>
            <w:left w:val="none" w:sz="0" w:space="0" w:color="auto"/>
            <w:bottom w:val="none" w:sz="0" w:space="0" w:color="auto"/>
            <w:right w:val="none" w:sz="0" w:space="0" w:color="auto"/>
          </w:divBdr>
        </w:div>
        <w:div w:id="1916545190">
          <w:marLeft w:val="0"/>
          <w:marRight w:val="0"/>
          <w:marTop w:val="0"/>
          <w:marBottom w:val="0"/>
          <w:divBdr>
            <w:top w:val="none" w:sz="0" w:space="0" w:color="auto"/>
            <w:left w:val="none" w:sz="0" w:space="0" w:color="auto"/>
            <w:bottom w:val="none" w:sz="0" w:space="0" w:color="auto"/>
            <w:right w:val="none" w:sz="0" w:space="0" w:color="auto"/>
          </w:divBdr>
        </w:div>
        <w:div w:id="117914586">
          <w:marLeft w:val="0"/>
          <w:marRight w:val="0"/>
          <w:marTop w:val="0"/>
          <w:marBottom w:val="0"/>
          <w:divBdr>
            <w:top w:val="none" w:sz="0" w:space="0" w:color="auto"/>
            <w:left w:val="none" w:sz="0" w:space="0" w:color="auto"/>
            <w:bottom w:val="none" w:sz="0" w:space="0" w:color="auto"/>
            <w:right w:val="none" w:sz="0" w:space="0" w:color="auto"/>
          </w:divBdr>
        </w:div>
      </w:divsChild>
    </w:div>
    <w:div w:id="586768094">
      <w:bodyDiv w:val="1"/>
      <w:marLeft w:val="0"/>
      <w:marRight w:val="0"/>
      <w:marTop w:val="0"/>
      <w:marBottom w:val="0"/>
      <w:divBdr>
        <w:top w:val="none" w:sz="0" w:space="0" w:color="auto"/>
        <w:left w:val="none" w:sz="0" w:space="0" w:color="auto"/>
        <w:bottom w:val="none" w:sz="0" w:space="0" w:color="auto"/>
        <w:right w:val="none" w:sz="0" w:space="0" w:color="auto"/>
      </w:divBdr>
    </w:div>
    <w:div w:id="617763983">
      <w:bodyDiv w:val="1"/>
      <w:marLeft w:val="0"/>
      <w:marRight w:val="0"/>
      <w:marTop w:val="0"/>
      <w:marBottom w:val="0"/>
      <w:divBdr>
        <w:top w:val="none" w:sz="0" w:space="0" w:color="auto"/>
        <w:left w:val="none" w:sz="0" w:space="0" w:color="auto"/>
        <w:bottom w:val="none" w:sz="0" w:space="0" w:color="auto"/>
        <w:right w:val="none" w:sz="0" w:space="0" w:color="auto"/>
      </w:divBdr>
    </w:div>
    <w:div w:id="775366815">
      <w:bodyDiv w:val="1"/>
      <w:marLeft w:val="0"/>
      <w:marRight w:val="0"/>
      <w:marTop w:val="0"/>
      <w:marBottom w:val="0"/>
      <w:divBdr>
        <w:top w:val="none" w:sz="0" w:space="0" w:color="auto"/>
        <w:left w:val="none" w:sz="0" w:space="0" w:color="auto"/>
        <w:bottom w:val="none" w:sz="0" w:space="0" w:color="auto"/>
        <w:right w:val="none" w:sz="0" w:space="0" w:color="auto"/>
      </w:divBdr>
    </w:div>
    <w:div w:id="840434709">
      <w:bodyDiv w:val="1"/>
      <w:marLeft w:val="0"/>
      <w:marRight w:val="0"/>
      <w:marTop w:val="0"/>
      <w:marBottom w:val="0"/>
      <w:divBdr>
        <w:top w:val="none" w:sz="0" w:space="0" w:color="auto"/>
        <w:left w:val="none" w:sz="0" w:space="0" w:color="auto"/>
        <w:bottom w:val="none" w:sz="0" w:space="0" w:color="auto"/>
        <w:right w:val="none" w:sz="0" w:space="0" w:color="auto"/>
      </w:divBdr>
    </w:div>
    <w:div w:id="967323963">
      <w:bodyDiv w:val="1"/>
      <w:marLeft w:val="0"/>
      <w:marRight w:val="0"/>
      <w:marTop w:val="0"/>
      <w:marBottom w:val="0"/>
      <w:divBdr>
        <w:top w:val="none" w:sz="0" w:space="0" w:color="auto"/>
        <w:left w:val="none" w:sz="0" w:space="0" w:color="auto"/>
        <w:bottom w:val="none" w:sz="0" w:space="0" w:color="auto"/>
        <w:right w:val="none" w:sz="0" w:space="0" w:color="auto"/>
      </w:divBdr>
    </w:div>
    <w:div w:id="1041630997">
      <w:bodyDiv w:val="1"/>
      <w:marLeft w:val="0"/>
      <w:marRight w:val="0"/>
      <w:marTop w:val="0"/>
      <w:marBottom w:val="0"/>
      <w:divBdr>
        <w:top w:val="none" w:sz="0" w:space="0" w:color="auto"/>
        <w:left w:val="none" w:sz="0" w:space="0" w:color="auto"/>
        <w:bottom w:val="none" w:sz="0" w:space="0" w:color="auto"/>
        <w:right w:val="none" w:sz="0" w:space="0" w:color="auto"/>
      </w:divBdr>
    </w:div>
    <w:div w:id="1054157009">
      <w:bodyDiv w:val="1"/>
      <w:marLeft w:val="0"/>
      <w:marRight w:val="0"/>
      <w:marTop w:val="0"/>
      <w:marBottom w:val="0"/>
      <w:divBdr>
        <w:top w:val="none" w:sz="0" w:space="0" w:color="auto"/>
        <w:left w:val="none" w:sz="0" w:space="0" w:color="auto"/>
        <w:bottom w:val="none" w:sz="0" w:space="0" w:color="auto"/>
        <w:right w:val="none" w:sz="0" w:space="0" w:color="auto"/>
      </w:divBdr>
    </w:div>
    <w:div w:id="1058093184">
      <w:bodyDiv w:val="1"/>
      <w:marLeft w:val="0"/>
      <w:marRight w:val="0"/>
      <w:marTop w:val="0"/>
      <w:marBottom w:val="0"/>
      <w:divBdr>
        <w:top w:val="none" w:sz="0" w:space="0" w:color="auto"/>
        <w:left w:val="none" w:sz="0" w:space="0" w:color="auto"/>
        <w:bottom w:val="none" w:sz="0" w:space="0" w:color="auto"/>
        <w:right w:val="none" w:sz="0" w:space="0" w:color="auto"/>
      </w:divBdr>
    </w:div>
    <w:div w:id="1086849304">
      <w:bodyDiv w:val="1"/>
      <w:marLeft w:val="0"/>
      <w:marRight w:val="0"/>
      <w:marTop w:val="0"/>
      <w:marBottom w:val="0"/>
      <w:divBdr>
        <w:top w:val="none" w:sz="0" w:space="0" w:color="auto"/>
        <w:left w:val="none" w:sz="0" w:space="0" w:color="auto"/>
        <w:bottom w:val="none" w:sz="0" w:space="0" w:color="auto"/>
        <w:right w:val="none" w:sz="0" w:space="0" w:color="auto"/>
      </w:divBdr>
    </w:div>
    <w:div w:id="1092582755">
      <w:bodyDiv w:val="1"/>
      <w:marLeft w:val="0"/>
      <w:marRight w:val="0"/>
      <w:marTop w:val="0"/>
      <w:marBottom w:val="0"/>
      <w:divBdr>
        <w:top w:val="none" w:sz="0" w:space="0" w:color="auto"/>
        <w:left w:val="none" w:sz="0" w:space="0" w:color="auto"/>
        <w:bottom w:val="none" w:sz="0" w:space="0" w:color="auto"/>
        <w:right w:val="none" w:sz="0" w:space="0" w:color="auto"/>
      </w:divBdr>
    </w:div>
    <w:div w:id="1225026837">
      <w:bodyDiv w:val="1"/>
      <w:marLeft w:val="0"/>
      <w:marRight w:val="0"/>
      <w:marTop w:val="0"/>
      <w:marBottom w:val="0"/>
      <w:divBdr>
        <w:top w:val="none" w:sz="0" w:space="0" w:color="auto"/>
        <w:left w:val="none" w:sz="0" w:space="0" w:color="auto"/>
        <w:bottom w:val="none" w:sz="0" w:space="0" w:color="auto"/>
        <w:right w:val="none" w:sz="0" w:space="0" w:color="auto"/>
      </w:divBdr>
    </w:div>
    <w:div w:id="1249925024">
      <w:bodyDiv w:val="1"/>
      <w:marLeft w:val="0"/>
      <w:marRight w:val="0"/>
      <w:marTop w:val="0"/>
      <w:marBottom w:val="0"/>
      <w:divBdr>
        <w:top w:val="none" w:sz="0" w:space="0" w:color="auto"/>
        <w:left w:val="none" w:sz="0" w:space="0" w:color="auto"/>
        <w:bottom w:val="none" w:sz="0" w:space="0" w:color="auto"/>
        <w:right w:val="none" w:sz="0" w:space="0" w:color="auto"/>
      </w:divBdr>
    </w:div>
    <w:div w:id="1316106115">
      <w:bodyDiv w:val="1"/>
      <w:marLeft w:val="0"/>
      <w:marRight w:val="0"/>
      <w:marTop w:val="0"/>
      <w:marBottom w:val="0"/>
      <w:divBdr>
        <w:top w:val="none" w:sz="0" w:space="0" w:color="auto"/>
        <w:left w:val="none" w:sz="0" w:space="0" w:color="auto"/>
        <w:bottom w:val="none" w:sz="0" w:space="0" w:color="auto"/>
        <w:right w:val="none" w:sz="0" w:space="0" w:color="auto"/>
      </w:divBdr>
    </w:div>
    <w:div w:id="1372918112">
      <w:bodyDiv w:val="1"/>
      <w:marLeft w:val="0"/>
      <w:marRight w:val="0"/>
      <w:marTop w:val="0"/>
      <w:marBottom w:val="0"/>
      <w:divBdr>
        <w:top w:val="none" w:sz="0" w:space="0" w:color="auto"/>
        <w:left w:val="none" w:sz="0" w:space="0" w:color="auto"/>
        <w:bottom w:val="none" w:sz="0" w:space="0" w:color="auto"/>
        <w:right w:val="none" w:sz="0" w:space="0" w:color="auto"/>
      </w:divBdr>
    </w:div>
    <w:div w:id="1500076807">
      <w:bodyDiv w:val="1"/>
      <w:marLeft w:val="0"/>
      <w:marRight w:val="0"/>
      <w:marTop w:val="0"/>
      <w:marBottom w:val="0"/>
      <w:divBdr>
        <w:top w:val="none" w:sz="0" w:space="0" w:color="auto"/>
        <w:left w:val="none" w:sz="0" w:space="0" w:color="auto"/>
        <w:bottom w:val="none" w:sz="0" w:space="0" w:color="auto"/>
        <w:right w:val="none" w:sz="0" w:space="0" w:color="auto"/>
      </w:divBdr>
    </w:div>
    <w:div w:id="1589729936">
      <w:bodyDiv w:val="1"/>
      <w:marLeft w:val="0"/>
      <w:marRight w:val="0"/>
      <w:marTop w:val="0"/>
      <w:marBottom w:val="0"/>
      <w:divBdr>
        <w:top w:val="none" w:sz="0" w:space="0" w:color="auto"/>
        <w:left w:val="none" w:sz="0" w:space="0" w:color="auto"/>
        <w:bottom w:val="none" w:sz="0" w:space="0" w:color="auto"/>
        <w:right w:val="none" w:sz="0" w:space="0" w:color="auto"/>
      </w:divBdr>
    </w:div>
    <w:div w:id="1663391553">
      <w:bodyDiv w:val="1"/>
      <w:marLeft w:val="0"/>
      <w:marRight w:val="0"/>
      <w:marTop w:val="0"/>
      <w:marBottom w:val="0"/>
      <w:divBdr>
        <w:top w:val="none" w:sz="0" w:space="0" w:color="auto"/>
        <w:left w:val="none" w:sz="0" w:space="0" w:color="auto"/>
        <w:bottom w:val="none" w:sz="0" w:space="0" w:color="auto"/>
        <w:right w:val="none" w:sz="0" w:space="0" w:color="auto"/>
      </w:divBdr>
    </w:div>
    <w:div w:id="1676881205">
      <w:bodyDiv w:val="1"/>
      <w:marLeft w:val="0"/>
      <w:marRight w:val="0"/>
      <w:marTop w:val="0"/>
      <w:marBottom w:val="0"/>
      <w:divBdr>
        <w:top w:val="none" w:sz="0" w:space="0" w:color="auto"/>
        <w:left w:val="none" w:sz="0" w:space="0" w:color="auto"/>
        <w:bottom w:val="none" w:sz="0" w:space="0" w:color="auto"/>
        <w:right w:val="none" w:sz="0" w:space="0" w:color="auto"/>
      </w:divBdr>
    </w:div>
    <w:div w:id="1853103287">
      <w:bodyDiv w:val="1"/>
      <w:marLeft w:val="0"/>
      <w:marRight w:val="0"/>
      <w:marTop w:val="0"/>
      <w:marBottom w:val="0"/>
      <w:divBdr>
        <w:top w:val="none" w:sz="0" w:space="0" w:color="auto"/>
        <w:left w:val="none" w:sz="0" w:space="0" w:color="auto"/>
        <w:bottom w:val="none" w:sz="0" w:space="0" w:color="auto"/>
        <w:right w:val="none" w:sz="0" w:space="0" w:color="auto"/>
      </w:divBdr>
    </w:div>
    <w:div w:id="1914972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8149-9493" TargetMode="External"/><Relationship Id="rId13" Type="http://schemas.openxmlformats.org/officeDocument/2006/relationships/hyperlink" Target="https://doi.org/10.5153%2Fsro.2393" TargetMode="External"/><Relationship Id="rId18" Type="http://schemas.openxmlformats.org/officeDocument/2006/relationships/hyperlink" Target="https://doi.org/10.1080/14742837.2013.823345"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assets.publishing.service.gov.uk/government/uploads/system/uploads/attachment_data/file/875529/CLA_Outcomes_Main_Text_2019.pdf" TargetMode="External"/><Relationship Id="rId17" Type="http://schemas.openxmlformats.org/officeDocument/2006/relationships/hyperlink" Target="https://howardleague.org/wp-content/uploads/2018/07/Hearts-and-Heads-briefing-three.pdf" TargetMode="External"/><Relationship Id="rId2" Type="http://schemas.openxmlformats.org/officeDocument/2006/relationships/numbering" Target="numbering.xml"/><Relationship Id="rId16" Type="http://schemas.openxmlformats.org/officeDocument/2006/relationships/hyperlink" Target="https://www.exchangewales.org/are-care-leavers-really-more-likely-to-go-to-prison-than-university/"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xplore-education-statistics.service.gov.uk/find-statistics/children-looked-after-in-england-including-adoptions/2020" TargetMode="External"/><Relationship Id="rId5" Type="http://schemas.openxmlformats.org/officeDocument/2006/relationships/webSettings" Target="webSettings.xml"/><Relationship Id="rId15" Type="http://schemas.openxmlformats.org/officeDocument/2006/relationships/hyperlink" Target="https://doi.org/10.1177%2F030857590603000405" TargetMode="External"/><Relationship Id="rId10" Type="http://schemas.openxmlformats.org/officeDocument/2006/relationships/hyperlink" Target="https://doi-org.ezproxy.hope.ac.uk/10.1177/2167696819870356"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researchgate.net/deref/http%3A%2F%2Fdx.doi.org%2F10.1016%2Fj.childyouth.2018.02.019" TargetMode="External"/><Relationship Id="rId14" Type="http://schemas.openxmlformats.org/officeDocument/2006/relationships/hyperlink" Target="https://doi.org/10.1111/j.1365-2206.2012.00858.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E2369-E1D2-164E-903A-BCB056C4F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31</Pages>
  <Words>7663</Words>
  <Characters>43682</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University of Cumbria</Company>
  <LinksUpToDate>false</LinksUpToDate>
  <CharactersWithSpaces>51243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Hugman, Catriona</dc:creator>
  <cp:keywords/>
  <dc:description/>
  <cp:lastModifiedBy>Hugman, Catriona</cp:lastModifiedBy>
  <cp:revision>3</cp:revision>
  <dcterms:created xsi:type="dcterms:W3CDTF">2021-05-18T09:40:00Z</dcterms:created>
  <dcterms:modified xsi:type="dcterms:W3CDTF">2021-05-18T13:47:00Z</dcterms:modified>
</cp:coreProperties>
</file>