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D16E2" w14:textId="46B7BF1A" w:rsidR="002F505C" w:rsidRPr="002F505C" w:rsidRDefault="005B63F0" w:rsidP="00D71090">
      <w:pPr>
        <w:jc w:val="both"/>
        <w:rPr>
          <w:b/>
        </w:rPr>
      </w:pPr>
      <w:r>
        <w:rPr>
          <w:b/>
        </w:rPr>
        <w:t xml:space="preserve">Guest </w:t>
      </w:r>
      <w:r w:rsidR="002F505C" w:rsidRPr="002F505C">
        <w:rPr>
          <w:b/>
        </w:rPr>
        <w:t>Editorial</w:t>
      </w:r>
    </w:p>
    <w:p w14:paraId="7BF3D4CF" w14:textId="77777777" w:rsidR="002F505C" w:rsidRDefault="002F505C" w:rsidP="00D71090">
      <w:pPr>
        <w:jc w:val="both"/>
      </w:pPr>
    </w:p>
    <w:p w14:paraId="2AEB40E6" w14:textId="198A191C" w:rsidR="00447DF5" w:rsidRPr="00651F6A" w:rsidRDefault="00651F6A" w:rsidP="00D71090">
      <w:pPr>
        <w:widowControl w:val="0"/>
        <w:autoSpaceDE w:val="0"/>
        <w:autoSpaceDN w:val="0"/>
        <w:adjustRightInd w:val="0"/>
        <w:jc w:val="both"/>
        <w:rPr>
          <w:color w:val="000000" w:themeColor="text1"/>
        </w:rPr>
      </w:pPr>
      <w:r w:rsidRPr="00447DF5">
        <w:t xml:space="preserve">In Plato’s </w:t>
      </w:r>
      <w:proofErr w:type="spellStart"/>
      <w:r w:rsidRPr="00447DF5">
        <w:rPr>
          <w:i/>
        </w:rPr>
        <w:t>Meno</w:t>
      </w:r>
      <w:proofErr w:type="spellEnd"/>
      <w:r w:rsidRPr="00447DF5">
        <w:t xml:space="preserve">, Socrates </w:t>
      </w:r>
      <w:r w:rsidR="00135717">
        <w:t>poses the following predicament</w:t>
      </w:r>
      <w:r w:rsidR="005B63F0">
        <w:t xml:space="preserve"> to</w:t>
      </w:r>
      <w:r w:rsidR="00D71090">
        <w:t xml:space="preserve"> an</w:t>
      </w:r>
      <w:r w:rsidR="00447DF5" w:rsidRPr="00447DF5">
        <w:t xml:space="preserve"> engrossed listener: </w:t>
      </w:r>
      <w:r w:rsidRPr="00447DF5">
        <w:t xml:space="preserve">Imagine that we want to travel from Athens to Larissa, but do not know the way. Should we trust a blind man to tell us the way to Larissa? </w:t>
      </w:r>
      <w:r w:rsidR="00135717">
        <w:t>Legacies</w:t>
      </w:r>
      <w:r w:rsidR="00447DF5">
        <w:t xml:space="preserve"> of the association of </w:t>
      </w:r>
      <w:r w:rsidR="00D71090">
        <w:t xml:space="preserve">reliable </w:t>
      </w:r>
      <w:r w:rsidR="00447DF5">
        <w:t>knowledge with sight</w:t>
      </w:r>
      <w:r w:rsidR="00135717">
        <w:t>, implicit in</w:t>
      </w:r>
      <w:r w:rsidR="005B63F0">
        <w:t xml:space="preserve"> Socrates’ framing of his </w:t>
      </w:r>
      <w:r w:rsidR="00365D4C">
        <w:t>conundrum</w:t>
      </w:r>
      <w:r w:rsidR="00135717">
        <w:t>, still abound</w:t>
      </w:r>
      <w:r w:rsidR="00365D4C">
        <w:t xml:space="preserve">. While misgivings about attributing epistemic or aesthetic credibility to the opinions volunteered by individuals with visual impairment persist, </w:t>
      </w:r>
      <w:r w:rsidR="00311C7F">
        <w:t xml:space="preserve">the inequity of the rationale informing them is clearly manifest </w:t>
      </w:r>
      <w:r w:rsidR="00365D4C">
        <w:t>within gallery environments</w:t>
      </w:r>
      <w:r w:rsidR="00311C7F">
        <w:t>, for example, where</w:t>
      </w:r>
      <w:r w:rsidR="00365D4C">
        <w:t xml:space="preserve"> these individuals are expected to ta</w:t>
      </w:r>
      <w:r w:rsidR="00135717">
        <w:t>ke on faith the descriptions,</w:t>
      </w:r>
      <w:r w:rsidR="00365D4C">
        <w:t xml:space="preserve"> instructions</w:t>
      </w:r>
      <w:r w:rsidR="00135717">
        <w:t xml:space="preserve"> and values</w:t>
      </w:r>
      <w:r w:rsidR="00365D4C">
        <w:t xml:space="preserve"> presented to them by fully sighted individuals in the name of access.</w:t>
      </w:r>
      <w:r w:rsidR="00CE4221">
        <w:t xml:space="preserve"> The bias informing these assumptions is exemplified by </w:t>
      </w:r>
      <w:r w:rsidR="00447DF5" w:rsidRPr="00651F6A">
        <w:rPr>
          <w:color w:val="000000" w:themeColor="text1"/>
        </w:rPr>
        <w:t>educational theorist R.T. Allen</w:t>
      </w:r>
      <w:r w:rsidR="00CE4221">
        <w:rPr>
          <w:color w:val="000000" w:themeColor="text1"/>
        </w:rPr>
        <w:t>’s (1987) citing of the case of</w:t>
      </w:r>
      <w:r w:rsidR="00447DF5" w:rsidRPr="00651F6A">
        <w:rPr>
          <w:color w:val="000000" w:themeColor="text1"/>
        </w:rPr>
        <w:t xml:space="preserve"> blindness as a means of justifying his argument that ‘those who l</w:t>
      </w:r>
      <w:r w:rsidR="00CE4221">
        <w:rPr>
          <w:color w:val="000000" w:themeColor="text1"/>
        </w:rPr>
        <w:t>ack normal capacities’ embody</w:t>
      </w:r>
      <w:r w:rsidR="00447DF5" w:rsidRPr="00651F6A">
        <w:rPr>
          <w:color w:val="000000" w:themeColor="text1"/>
        </w:rPr>
        <w:t xml:space="preserve"> the truth of the maxim that ‘no one possesses any original authority as a source of truth but only this relative authority in kn</w:t>
      </w:r>
      <w:r w:rsidR="00CE4221">
        <w:rPr>
          <w:color w:val="000000" w:themeColor="text1"/>
        </w:rPr>
        <w:t>owing … more than someone else.’ When his subsequent observation -- that</w:t>
      </w:r>
      <w:r w:rsidR="00447DF5" w:rsidRPr="00651F6A">
        <w:rPr>
          <w:color w:val="000000" w:themeColor="text1"/>
        </w:rPr>
        <w:t xml:space="preserve"> ‘what the authoritative person states is itself others’ evidence or reason for belief’</w:t>
      </w:r>
      <w:r w:rsidR="00CE4221">
        <w:rPr>
          <w:color w:val="000000" w:themeColor="text1"/>
        </w:rPr>
        <w:t xml:space="preserve"> – is considered in relation to Socrates’ question, </w:t>
      </w:r>
      <w:r w:rsidR="005B63F0">
        <w:rPr>
          <w:color w:val="000000" w:themeColor="text1"/>
        </w:rPr>
        <w:t>the intransigence of this prejudice over a period that spans</w:t>
      </w:r>
      <w:r w:rsidR="00887CDD">
        <w:rPr>
          <w:color w:val="000000" w:themeColor="text1"/>
        </w:rPr>
        <w:t xml:space="preserve"> the 5</w:t>
      </w:r>
      <w:r w:rsidR="00887CDD" w:rsidRPr="00887CDD">
        <w:rPr>
          <w:color w:val="000000" w:themeColor="text1"/>
          <w:vertAlign w:val="superscript"/>
        </w:rPr>
        <w:t>th</w:t>
      </w:r>
      <w:r w:rsidR="005B63F0">
        <w:rPr>
          <w:color w:val="000000" w:themeColor="text1"/>
        </w:rPr>
        <w:t xml:space="preserve"> century BC and the late 20</w:t>
      </w:r>
      <w:r w:rsidR="005B63F0" w:rsidRPr="005B63F0">
        <w:rPr>
          <w:color w:val="000000" w:themeColor="text1"/>
          <w:vertAlign w:val="superscript"/>
        </w:rPr>
        <w:t>th</w:t>
      </w:r>
      <w:r w:rsidR="005B63F0">
        <w:rPr>
          <w:color w:val="000000" w:themeColor="text1"/>
        </w:rPr>
        <w:t xml:space="preserve"> century becomes clear</w:t>
      </w:r>
      <w:r w:rsidR="00447DF5">
        <w:rPr>
          <w:rStyle w:val="EndnoteReference"/>
          <w:color w:val="000000" w:themeColor="text1"/>
        </w:rPr>
        <w:endnoteReference w:id="1"/>
      </w:r>
      <w:r w:rsidR="00887CDD">
        <w:rPr>
          <w:color w:val="000000" w:themeColor="text1"/>
        </w:rPr>
        <w:t>. There are signs, however, that progress has</w:t>
      </w:r>
      <w:r w:rsidR="005B63F0">
        <w:rPr>
          <w:color w:val="000000" w:themeColor="text1"/>
        </w:rPr>
        <w:t xml:space="preserve"> subsequently</w:t>
      </w:r>
      <w:r w:rsidR="00887CDD">
        <w:rPr>
          <w:color w:val="000000" w:themeColor="text1"/>
        </w:rPr>
        <w:t xml:space="preserve"> been made in this regard. The papers collected in this Special Issue of BJVI are highly suggestive that hopes that such change is currently afoot are well founded.</w:t>
      </w:r>
    </w:p>
    <w:p w14:paraId="1E256F9A" w14:textId="77777777" w:rsidR="00447DF5" w:rsidRDefault="00447DF5" w:rsidP="00D71090">
      <w:pPr>
        <w:widowControl w:val="0"/>
        <w:autoSpaceDE w:val="0"/>
        <w:autoSpaceDN w:val="0"/>
        <w:adjustRightInd w:val="0"/>
        <w:rPr>
          <w:sz w:val="21"/>
          <w:szCs w:val="21"/>
        </w:rPr>
      </w:pPr>
    </w:p>
    <w:p w14:paraId="25318DE0" w14:textId="11BCCF7F" w:rsidR="00D01111" w:rsidRPr="00D01111" w:rsidRDefault="00D01111" w:rsidP="00D71090">
      <w:pPr>
        <w:widowControl w:val="0"/>
        <w:autoSpaceDE w:val="0"/>
        <w:autoSpaceDN w:val="0"/>
        <w:adjustRightInd w:val="0"/>
        <w:jc w:val="both"/>
        <w:rPr>
          <w:rFonts w:cs="Times New Roman"/>
          <w:color w:val="000000"/>
          <w:lang w:val="en-US"/>
        </w:rPr>
      </w:pPr>
      <w:r w:rsidRPr="00D01111">
        <w:rPr>
          <w:rFonts w:cs="Times New Roman"/>
          <w:color w:val="000000"/>
          <w:lang w:val="en-US"/>
        </w:rPr>
        <w:t xml:space="preserve">Although the discipline of aesthetics has </w:t>
      </w:r>
      <w:proofErr w:type="spellStart"/>
      <w:r w:rsidRPr="00D01111">
        <w:rPr>
          <w:rFonts w:cs="Times New Roman"/>
          <w:color w:val="000000"/>
          <w:lang w:val="en-US"/>
        </w:rPr>
        <w:t>laboured</w:t>
      </w:r>
      <w:proofErr w:type="spellEnd"/>
      <w:r w:rsidRPr="00D01111">
        <w:rPr>
          <w:rFonts w:cs="Times New Roman"/>
          <w:color w:val="000000"/>
          <w:lang w:val="en-US"/>
        </w:rPr>
        <w:t xml:space="preserve"> long under the illusion of its own sociopolitical</w:t>
      </w:r>
      <w:r>
        <w:rPr>
          <w:rFonts w:cs="Times New Roman"/>
          <w:color w:val="000000"/>
          <w:lang w:val="en-US"/>
        </w:rPr>
        <w:t xml:space="preserve"> </w:t>
      </w:r>
      <w:r w:rsidRPr="00D01111">
        <w:rPr>
          <w:rFonts w:cs="Times New Roman"/>
          <w:color w:val="000000"/>
          <w:lang w:val="en-US"/>
        </w:rPr>
        <w:t>removal, increased emphasis on identity politics, individual difference, and inclusiveness has</w:t>
      </w:r>
      <w:r>
        <w:rPr>
          <w:rFonts w:cs="Times New Roman"/>
          <w:color w:val="000000"/>
          <w:lang w:val="en-US"/>
        </w:rPr>
        <w:t xml:space="preserve"> </w:t>
      </w:r>
      <w:r w:rsidRPr="00D01111">
        <w:rPr>
          <w:rFonts w:cs="Times New Roman"/>
          <w:color w:val="000000"/>
          <w:lang w:val="en-US"/>
        </w:rPr>
        <w:t>prompted widespread misgivings about the long-assumed social isolation and ideological neutrality</w:t>
      </w:r>
      <w:r>
        <w:rPr>
          <w:rFonts w:cs="Times New Roman"/>
          <w:color w:val="000000"/>
          <w:lang w:val="en-US"/>
        </w:rPr>
        <w:t xml:space="preserve"> </w:t>
      </w:r>
      <w:r w:rsidRPr="00D01111">
        <w:rPr>
          <w:rFonts w:cs="Times New Roman"/>
          <w:color w:val="000000"/>
          <w:lang w:val="en-US"/>
        </w:rPr>
        <w:t>of the discipline. While recent work within several disciplines within the arts, humanities,</w:t>
      </w:r>
      <w:r>
        <w:rPr>
          <w:rFonts w:cs="Times New Roman"/>
          <w:color w:val="000000"/>
          <w:lang w:val="en-US"/>
        </w:rPr>
        <w:t xml:space="preserve"> </w:t>
      </w:r>
      <w:r w:rsidRPr="00D01111">
        <w:rPr>
          <w:rFonts w:cs="Times New Roman"/>
          <w:color w:val="000000"/>
          <w:lang w:val="en-US"/>
        </w:rPr>
        <w:t>and sciences reflects this increased interest in differential and inclusionary aspects of aesthetic</w:t>
      </w:r>
      <w:r>
        <w:rPr>
          <w:rFonts w:cs="Times New Roman"/>
          <w:color w:val="000000"/>
          <w:lang w:val="en-US"/>
        </w:rPr>
        <w:t xml:space="preserve"> </w:t>
      </w:r>
      <w:r w:rsidRPr="00D01111">
        <w:rPr>
          <w:rFonts w:cs="Times New Roman"/>
          <w:color w:val="000000"/>
          <w:lang w:val="en-US"/>
        </w:rPr>
        <w:t>perception, the contribution of disability studies to this democratic enterprise resists easy demarcation.</w:t>
      </w:r>
    </w:p>
    <w:p w14:paraId="1370EA1F" w14:textId="77777777" w:rsidR="00D01111" w:rsidRDefault="00D01111" w:rsidP="00D71090">
      <w:pPr>
        <w:widowControl w:val="0"/>
        <w:autoSpaceDE w:val="0"/>
        <w:autoSpaceDN w:val="0"/>
        <w:adjustRightInd w:val="0"/>
        <w:jc w:val="both"/>
        <w:rPr>
          <w:rFonts w:cs="Times New Roman"/>
          <w:color w:val="000000"/>
          <w:lang w:val="en-US"/>
        </w:rPr>
      </w:pPr>
    </w:p>
    <w:p w14:paraId="50879FDD" w14:textId="4AD846A7" w:rsidR="00D01111" w:rsidRDefault="00D01111" w:rsidP="00D71090">
      <w:pPr>
        <w:widowControl w:val="0"/>
        <w:autoSpaceDE w:val="0"/>
        <w:autoSpaceDN w:val="0"/>
        <w:adjustRightInd w:val="0"/>
        <w:jc w:val="both"/>
        <w:rPr>
          <w:rFonts w:cs="Times New Roman"/>
          <w:color w:val="000000"/>
          <w:lang w:val="en-US"/>
        </w:rPr>
      </w:pPr>
      <w:r w:rsidRPr="00D01111">
        <w:rPr>
          <w:rFonts w:cs="Times New Roman"/>
          <w:color w:val="000000"/>
          <w:lang w:val="en-US"/>
        </w:rPr>
        <w:t xml:space="preserve">In 2002, </w:t>
      </w:r>
      <w:proofErr w:type="spellStart"/>
      <w:r w:rsidRPr="00D01111">
        <w:rPr>
          <w:rFonts w:cs="Times New Roman"/>
          <w:color w:val="000000"/>
          <w:lang w:val="en-US"/>
        </w:rPr>
        <w:t>Mairian</w:t>
      </w:r>
      <w:proofErr w:type="spellEnd"/>
      <w:r w:rsidRPr="00D01111">
        <w:rPr>
          <w:rFonts w:cs="Times New Roman"/>
          <w:color w:val="000000"/>
          <w:lang w:val="en-US"/>
        </w:rPr>
        <w:t xml:space="preserve"> Corker and Tom Shakespeare observed that disability theorists had been</w:t>
      </w:r>
      <w:r>
        <w:rPr>
          <w:rFonts w:cs="Times New Roman"/>
          <w:color w:val="000000"/>
          <w:lang w:val="en-US"/>
        </w:rPr>
        <w:t xml:space="preserve"> </w:t>
      </w:r>
      <w:r w:rsidRPr="00D01111">
        <w:rPr>
          <w:rFonts w:cs="Times New Roman"/>
          <w:color w:val="000000"/>
          <w:lang w:val="en-US"/>
        </w:rPr>
        <w:t>too slow to embrace the radical implications for their discipline that are latent in the postmodern</w:t>
      </w:r>
      <w:r>
        <w:rPr>
          <w:rFonts w:cs="Times New Roman"/>
          <w:color w:val="000000"/>
          <w:lang w:val="en-US"/>
        </w:rPr>
        <w:t xml:space="preserve"> </w:t>
      </w:r>
      <w:r w:rsidRPr="00D01111">
        <w:rPr>
          <w:rFonts w:cs="Times New Roman"/>
          <w:color w:val="000000"/>
          <w:lang w:val="en-US"/>
        </w:rPr>
        <w:t>perspective. The decade that has passed since Corker and Shakespeare volunteered their disapproving</w:t>
      </w:r>
      <w:r>
        <w:rPr>
          <w:rFonts w:cs="Times New Roman"/>
          <w:color w:val="000000"/>
          <w:lang w:val="en-US"/>
        </w:rPr>
        <w:t xml:space="preserve"> </w:t>
      </w:r>
      <w:r w:rsidRPr="00D01111">
        <w:rPr>
          <w:rFonts w:cs="Times New Roman"/>
          <w:color w:val="000000"/>
          <w:lang w:val="en-US"/>
        </w:rPr>
        <w:t>verdict has witnessed heightened levels of activity by disability theorists and practitioners</w:t>
      </w:r>
      <w:r>
        <w:rPr>
          <w:rFonts w:cs="Times New Roman"/>
          <w:color w:val="000000"/>
          <w:lang w:val="en-US"/>
        </w:rPr>
        <w:t xml:space="preserve"> </w:t>
      </w:r>
      <w:r w:rsidRPr="00D01111">
        <w:rPr>
          <w:rFonts w:cs="Times New Roman"/>
          <w:color w:val="000000"/>
          <w:lang w:val="en-US"/>
        </w:rPr>
        <w:t>within interdisciplinary explorations of inclusi</w:t>
      </w:r>
      <w:r w:rsidR="00F11B0F">
        <w:rPr>
          <w:rFonts w:cs="Times New Roman"/>
          <w:color w:val="000000"/>
          <w:lang w:val="en-US"/>
        </w:rPr>
        <w:t xml:space="preserve">onary approaches to aesthetics. This activity has generated </w:t>
      </w:r>
      <w:r w:rsidRPr="00D01111">
        <w:rPr>
          <w:rFonts w:cs="Times New Roman"/>
          <w:color w:val="000000"/>
          <w:lang w:val="en-US"/>
        </w:rPr>
        <w:t>increased</w:t>
      </w:r>
      <w:r>
        <w:rPr>
          <w:rFonts w:cs="Times New Roman"/>
          <w:color w:val="000000"/>
          <w:lang w:val="en-US"/>
        </w:rPr>
        <w:t xml:space="preserve"> </w:t>
      </w:r>
      <w:r w:rsidRPr="00D01111">
        <w:rPr>
          <w:rFonts w:cs="Times New Roman"/>
          <w:color w:val="000000"/>
          <w:lang w:val="en-US"/>
        </w:rPr>
        <w:t>awareness of the potential role of the arts within wider health and well-being agendas, and</w:t>
      </w:r>
      <w:r>
        <w:rPr>
          <w:rFonts w:cs="Times New Roman"/>
          <w:color w:val="000000"/>
          <w:lang w:val="en-US"/>
        </w:rPr>
        <w:t xml:space="preserve"> </w:t>
      </w:r>
      <w:r w:rsidRPr="00D01111">
        <w:rPr>
          <w:rFonts w:cs="Times New Roman"/>
          <w:color w:val="000000"/>
          <w:lang w:val="en-US"/>
        </w:rPr>
        <w:t>mounting critical interest in imaginative renderings of the experienc</w:t>
      </w:r>
      <w:r w:rsidR="00F11B0F">
        <w:rPr>
          <w:rFonts w:cs="Times New Roman"/>
          <w:color w:val="000000"/>
          <w:lang w:val="en-US"/>
        </w:rPr>
        <w:t xml:space="preserve">e of disability. This </w:t>
      </w:r>
      <w:r w:rsidRPr="00D01111">
        <w:rPr>
          <w:rFonts w:cs="Times New Roman"/>
          <w:color w:val="000000"/>
          <w:lang w:val="en-US"/>
        </w:rPr>
        <w:t>Special I</w:t>
      </w:r>
      <w:r w:rsidR="00F11B0F">
        <w:rPr>
          <w:rFonts w:cs="Times New Roman"/>
          <w:color w:val="000000"/>
          <w:lang w:val="en-US"/>
        </w:rPr>
        <w:t>ssue of BJVI</w:t>
      </w:r>
      <w:r w:rsidRPr="00D01111">
        <w:rPr>
          <w:rFonts w:cs="Times New Roman"/>
          <w:color w:val="000000"/>
          <w:lang w:val="en-US"/>
        </w:rPr>
        <w:t>, therefore,</w:t>
      </w:r>
      <w:r>
        <w:rPr>
          <w:rFonts w:cs="Times New Roman"/>
          <w:color w:val="000000"/>
          <w:lang w:val="en-US"/>
        </w:rPr>
        <w:t xml:space="preserve"> represents an opportune means </w:t>
      </w:r>
      <w:r w:rsidRPr="00D01111">
        <w:rPr>
          <w:rFonts w:cs="Times New Roman"/>
          <w:color w:val="000000"/>
          <w:lang w:val="en-US"/>
        </w:rPr>
        <w:t>to gauge the extent to which disability studies has overcome its</w:t>
      </w:r>
      <w:r>
        <w:rPr>
          <w:rFonts w:cs="Times New Roman"/>
          <w:color w:val="000000"/>
          <w:lang w:val="en-US"/>
        </w:rPr>
        <w:t xml:space="preserve"> </w:t>
      </w:r>
      <w:r w:rsidRPr="00D01111">
        <w:rPr>
          <w:rFonts w:cs="Times New Roman"/>
          <w:color w:val="000000"/>
          <w:lang w:val="en-US"/>
        </w:rPr>
        <w:t>earlier hesitancy to involve itself in the contemporary re</w:t>
      </w:r>
      <w:r w:rsidR="00F2115C">
        <w:rPr>
          <w:rFonts w:cs="Times New Roman"/>
          <w:color w:val="000000"/>
          <w:lang w:val="en-US"/>
        </w:rPr>
        <w:t>-politiciz</w:t>
      </w:r>
      <w:r w:rsidRPr="00D01111">
        <w:rPr>
          <w:rFonts w:cs="Times New Roman"/>
          <w:color w:val="000000"/>
          <w:lang w:val="en-US"/>
        </w:rPr>
        <w:t>ation of processes of art production</w:t>
      </w:r>
      <w:r>
        <w:rPr>
          <w:rFonts w:cs="Times New Roman"/>
          <w:color w:val="000000"/>
          <w:lang w:val="en-US"/>
        </w:rPr>
        <w:t xml:space="preserve"> </w:t>
      </w:r>
      <w:r w:rsidRPr="00D01111">
        <w:rPr>
          <w:rFonts w:cs="Times New Roman"/>
          <w:color w:val="000000"/>
          <w:lang w:val="en-US"/>
        </w:rPr>
        <w:t>and reception, to identify emerging trends in the fostering</w:t>
      </w:r>
      <w:r>
        <w:rPr>
          <w:rFonts w:cs="Times New Roman"/>
          <w:color w:val="000000"/>
          <w:lang w:val="en-US"/>
        </w:rPr>
        <w:t xml:space="preserve"> of innovative and inclusive art </w:t>
      </w:r>
      <w:r w:rsidRPr="00D01111">
        <w:rPr>
          <w:rFonts w:cs="Times New Roman"/>
          <w:color w:val="000000"/>
          <w:lang w:val="en-US"/>
        </w:rPr>
        <w:t>education and practice environments, and to take stock of work that remains to be done within</w:t>
      </w:r>
      <w:r>
        <w:rPr>
          <w:rFonts w:cs="Times New Roman"/>
          <w:color w:val="000000"/>
          <w:lang w:val="en-US"/>
        </w:rPr>
        <w:t xml:space="preserve"> </w:t>
      </w:r>
      <w:r w:rsidRPr="00D01111">
        <w:rPr>
          <w:rFonts w:cs="Times New Roman"/>
          <w:color w:val="000000"/>
          <w:lang w:val="en-US"/>
        </w:rPr>
        <w:t>this field before it can be meaningfully claimed that individuals with visual impairment have</w:t>
      </w:r>
      <w:r>
        <w:rPr>
          <w:rFonts w:cs="Times New Roman"/>
          <w:color w:val="000000"/>
          <w:lang w:val="en-US"/>
        </w:rPr>
        <w:t xml:space="preserve"> </w:t>
      </w:r>
      <w:r w:rsidR="00F11B0F">
        <w:rPr>
          <w:rFonts w:cs="Times New Roman"/>
          <w:color w:val="000000"/>
          <w:lang w:val="en-US"/>
        </w:rPr>
        <w:t>been meaningfully</w:t>
      </w:r>
      <w:r w:rsidRPr="00D01111">
        <w:rPr>
          <w:rFonts w:cs="Times New Roman"/>
          <w:color w:val="000000"/>
          <w:lang w:val="en-US"/>
        </w:rPr>
        <w:t xml:space="preserve"> included.</w:t>
      </w:r>
    </w:p>
    <w:p w14:paraId="109B4F7C" w14:textId="54E95D71" w:rsidR="00D01111" w:rsidRPr="00D01111" w:rsidRDefault="00D01111" w:rsidP="00D71090">
      <w:pPr>
        <w:widowControl w:val="0"/>
        <w:autoSpaceDE w:val="0"/>
        <w:autoSpaceDN w:val="0"/>
        <w:adjustRightInd w:val="0"/>
        <w:jc w:val="both"/>
        <w:rPr>
          <w:rFonts w:cs="Times New Roman"/>
          <w:color w:val="000000"/>
          <w:lang w:val="en-US"/>
        </w:rPr>
      </w:pPr>
      <w:r w:rsidRPr="00D01111">
        <w:rPr>
          <w:rFonts w:cs="Times New Roman"/>
          <w:color w:val="000000"/>
          <w:lang w:val="en-US"/>
        </w:rPr>
        <w:lastRenderedPageBreak/>
        <w:t>One aspect of the increased critical scrutiny to which traditional universal aesthetic principles</w:t>
      </w:r>
      <w:r>
        <w:rPr>
          <w:rFonts w:cs="Times New Roman"/>
          <w:color w:val="000000"/>
          <w:lang w:val="en-US"/>
        </w:rPr>
        <w:t xml:space="preserve"> </w:t>
      </w:r>
      <w:r w:rsidRPr="00D01111">
        <w:rPr>
          <w:rFonts w:cs="Times New Roman"/>
          <w:color w:val="000000"/>
          <w:lang w:val="en-US"/>
        </w:rPr>
        <w:t>continue to be subjected, is an increasingly widespread criticism of the privilege traditionally</w:t>
      </w:r>
      <w:r>
        <w:rPr>
          <w:rFonts w:cs="Times New Roman"/>
          <w:color w:val="000000"/>
          <w:lang w:val="en-US"/>
        </w:rPr>
        <w:t xml:space="preserve"> </w:t>
      </w:r>
      <w:r w:rsidRPr="00D01111">
        <w:rPr>
          <w:rFonts w:cs="Times New Roman"/>
          <w:color w:val="000000"/>
          <w:lang w:val="en-US"/>
        </w:rPr>
        <w:t>afforded to vision within art appreciation, the consequent passivity of the spectator, and the</w:t>
      </w:r>
      <w:r>
        <w:rPr>
          <w:rFonts w:cs="Times New Roman"/>
          <w:color w:val="000000"/>
          <w:lang w:val="en-US"/>
        </w:rPr>
        <w:t xml:space="preserve"> under-utiliz</w:t>
      </w:r>
      <w:r w:rsidRPr="00D01111">
        <w:rPr>
          <w:rFonts w:cs="Times New Roman"/>
          <w:color w:val="000000"/>
          <w:lang w:val="en-US"/>
        </w:rPr>
        <w:t>ation of the non-visual senses. Environmental aesthetics has also deviated from the</w:t>
      </w:r>
      <w:r>
        <w:rPr>
          <w:rFonts w:cs="Times New Roman"/>
          <w:color w:val="000000"/>
          <w:lang w:val="en-US"/>
        </w:rPr>
        <w:t xml:space="preserve"> </w:t>
      </w:r>
      <w:r w:rsidRPr="00D01111">
        <w:rPr>
          <w:rFonts w:cs="Times New Roman"/>
          <w:color w:val="000000"/>
          <w:lang w:val="en-US"/>
        </w:rPr>
        <w:t>motive of furthering understanding and appreciation of landscape and environmental engagement in</w:t>
      </w:r>
      <w:r>
        <w:rPr>
          <w:rFonts w:cs="Times New Roman"/>
          <w:color w:val="000000"/>
          <w:lang w:val="en-US"/>
        </w:rPr>
        <w:t xml:space="preserve"> ways that prioritiz</w:t>
      </w:r>
      <w:r w:rsidRPr="00D01111">
        <w:rPr>
          <w:rFonts w:cs="Times New Roman"/>
          <w:color w:val="000000"/>
          <w:lang w:val="en-US"/>
        </w:rPr>
        <w:t>e the visual as the modality through which our surroundings register their impression.</w:t>
      </w:r>
      <w:r w:rsidR="00F11B0F">
        <w:rPr>
          <w:rFonts w:cs="Times New Roman"/>
          <w:color w:val="000000"/>
          <w:lang w:val="en-US"/>
        </w:rPr>
        <w:t xml:space="preserve"> </w:t>
      </w:r>
      <w:r w:rsidRPr="00D01111">
        <w:rPr>
          <w:rFonts w:cs="Times New Roman"/>
          <w:color w:val="000000"/>
          <w:lang w:val="en-US"/>
        </w:rPr>
        <w:t>Increasing interest in phenomenology within a variety of disciplines has prompted a gradual</w:t>
      </w:r>
      <w:r>
        <w:rPr>
          <w:rFonts w:cs="Times New Roman"/>
          <w:color w:val="000000"/>
          <w:lang w:val="en-US"/>
        </w:rPr>
        <w:t xml:space="preserve"> </w:t>
      </w:r>
      <w:r w:rsidRPr="00D01111">
        <w:rPr>
          <w:rFonts w:cs="Times New Roman"/>
          <w:color w:val="000000"/>
          <w:lang w:val="en-US"/>
        </w:rPr>
        <w:t xml:space="preserve">displacement of concern for the </w:t>
      </w:r>
      <w:proofErr w:type="spellStart"/>
      <w:r w:rsidRPr="00D01111">
        <w:rPr>
          <w:rFonts w:cs="Times New Roman"/>
          <w:color w:val="000000"/>
          <w:lang w:val="en-US"/>
        </w:rPr>
        <w:t>spectatorial</w:t>
      </w:r>
      <w:proofErr w:type="spellEnd"/>
      <w:r w:rsidRPr="00D01111">
        <w:rPr>
          <w:rFonts w:cs="Times New Roman"/>
          <w:color w:val="000000"/>
          <w:lang w:val="en-US"/>
        </w:rPr>
        <w:t xml:space="preserve"> by that for the ‘immersive’ or ‘experiential’, while a</w:t>
      </w:r>
      <w:r>
        <w:rPr>
          <w:rFonts w:cs="Times New Roman"/>
          <w:color w:val="000000"/>
          <w:lang w:val="en-US"/>
        </w:rPr>
        <w:t xml:space="preserve"> </w:t>
      </w:r>
      <w:r w:rsidRPr="00D01111">
        <w:rPr>
          <w:rFonts w:cs="Times New Roman"/>
          <w:color w:val="000000"/>
          <w:lang w:val="en-US"/>
        </w:rPr>
        <w:t>corresponding burgeoning of interest in medical humanities has brought a number of traditionally</w:t>
      </w:r>
      <w:r>
        <w:rPr>
          <w:rFonts w:cs="Times New Roman"/>
          <w:color w:val="000000"/>
          <w:lang w:val="en-US"/>
        </w:rPr>
        <w:t xml:space="preserve"> </w:t>
      </w:r>
      <w:r w:rsidRPr="00D01111">
        <w:rPr>
          <w:rFonts w:cs="Times New Roman"/>
          <w:color w:val="000000"/>
          <w:lang w:val="en-US"/>
        </w:rPr>
        <w:t>remote disciplines into innovative forms of theoretical and experiential exchange in order to probe</w:t>
      </w:r>
      <w:r>
        <w:rPr>
          <w:rFonts w:cs="Times New Roman"/>
          <w:color w:val="000000"/>
          <w:lang w:val="en-US"/>
        </w:rPr>
        <w:t xml:space="preserve"> </w:t>
      </w:r>
      <w:r w:rsidRPr="00D01111">
        <w:rPr>
          <w:rFonts w:cs="Times New Roman"/>
          <w:color w:val="000000"/>
          <w:lang w:val="en-US"/>
        </w:rPr>
        <w:t>the interface between disability and art. At the same time, art education institutions and museums</w:t>
      </w:r>
      <w:r>
        <w:rPr>
          <w:rFonts w:cs="Times New Roman"/>
          <w:color w:val="000000"/>
          <w:lang w:val="en-US"/>
        </w:rPr>
        <w:t xml:space="preserve"> </w:t>
      </w:r>
      <w:r w:rsidRPr="00D01111">
        <w:rPr>
          <w:rFonts w:cs="Times New Roman"/>
          <w:color w:val="000000"/>
          <w:lang w:val="en-US"/>
        </w:rPr>
        <w:t>and galleries are beginning to assume greater responsibility for the development of inclusive and</w:t>
      </w:r>
      <w:r w:rsidRPr="00D01111">
        <w:rPr>
          <w:rFonts w:cs="Times New Roman"/>
          <w:lang w:val="en-US"/>
        </w:rPr>
        <w:t xml:space="preserve"> multisensory learning environments and strategies in order to facilitate inclusive art experiences</w:t>
      </w:r>
      <w:r>
        <w:rPr>
          <w:rFonts w:cs="Times New Roman"/>
          <w:color w:val="000000"/>
          <w:lang w:val="en-US"/>
        </w:rPr>
        <w:t xml:space="preserve"> </w:t>
      </w:r>
      <w:r w:rsidRPr="00D01111">
        <w:rPr>
          <w:rFonts w:cs="Times New Roman"/>
          <w:lang w:val="en-US"/>
        </w:rPr>
        <w:t>through greater use of sound, touch, movement, performance, olfaction, installation, and modes of</w:t>
      </w:r>
      <w:r>
        <w:rPr>
          <w:rFonts w:cs="Times New Roman"/>
          <w:color w:val="000000"/>
          <w:lang w:val="en-US"/>
        </w:rPr>
        <w:t xml:space="preserve"> </w:t>
      </w:r>
      <w:r w:rsidRPr="00D01111">
        <w:rPr>
          <w:rFonts w:cs="Times New Roman"/>
          <w:lang w:val="en-US"/>
        </w:rPr>
        <w:t>proprioceptive learning.</w:t>
      </w:r>
      <w:r w:rsidR="00F11B0F">
        <w:rPr>
          <w:rFonts w:cs="Times New Roman"/>
          <w:lang w:val="en-US"/>
        </w:rPr>
        <w:t xml:space="preserve"> The papers included here, having been submitted from California, Vilnius, Liverpool, Toronto, and the United Arab Emirates, and covering </w:t>
      </w:r>
      <w:r w:rsidR="00BE5BDF">
        <w:rPr>
          <w:rFonts w:cs="Times New Roman"/>
          <w:lang w:val="en-US"/>
        </w:rPr>
        <w:t>subjects as diverse as dance, imagery, and contemporary advertising, give a useful snapshot of the innovative work being carried out in different parts of the world to ensure the inclusion of individuals with visual impairment</w:t>
      </w:r>
      <w:r w:rsidR="00EC50F9">
        <w:rPr>
          <w:rFonts w:cs="Times New Roman"/>
          <w:lang w:val="en-US"/>
        </w:rPr>
        <w:t xml:space="preserve"> within the broader project of </w:t>
      </w:r>
      <w:r w:rsidR="00BE5BDF">
        <w:rPr>
          <w:rFonts w:cs="Times New Roman"/>
          <w:lang w:val="en-US"/>
        </w:rPr>
        <w:t>enhanced cultural access.</w:t>
      </w:r>
      <w:r w:rsidR="00F11B0F">
        <w:rPr>
          <w:rFonts w:cs="Times New Roman"/>
          <w:lang w:val="en-US"/>
        </w:rPr>
        <w:t xml:space="preserve"> </w:t>
      </w:r>
    </w:p>
    <w:p w14:paraId="6C36D591" w14:textId="77777777" w:rsidR="00651F6A" w:rsidRPr="00447DF5" w:rsidRDefault="00651F6A" w:rsidP="00D71090">
      <w:pPr>
        <w:jc w:val="both"/>
      </w:pPr>
    </w:p>
    <w:p w14:paraId="611F3E8A" w14:textId="560011F8" w:rsidR="00531999" w:rsidRDefault="002F505C" w:rsidP="00D71090">
      <w:pPr>
        <w:jc w:val="both"/>
      </w:pPr>
      <w:r>
        <w:t xml:space="preserve">Georgina </w:t>
      </w:r>
      <w:proofErr w:type="spellStart"/>
      <w:r>
        <w:t>Kleege’s</w:t>
      </w:r>
      <w:proofErr w:type="spellEnd"/>
      <w:r>
        <w:t xml:space="preserve"> paper </w:t>
      </w:r>
      <w:r w:rsidR="00145984">
        <w:t>addresses some of the limitations of audio descripti</w:t>
      </w:r>
      <w:r w:rsidR="008740F2">
        <w:t xml:space="preserve">on, as it is widely practiced, </w:t>
      </w:r>
      <w:r w:rsidR="00145984">
        <w:t xml:space="preserve">as a means of rendering dance performance meaningfully accessible and engaging for visually impaired audiences. </w:t>
      </w:r>
      <w:r w:rsidR="00BE5BDF">
        <w:t>In keeping with its appeal for the legitimacy of subjective components of audio description, t</w:t>
      </w:r>
      <w:r w:rsidR="000477A6">
        <w:t>he paper takes the form of personal reflection from the perspective of a person with a long history of involvement in dance, both as a performe</w:t>
      </w:r>
      <w:r w:rsidR="00BE5BDF">
        <w:t>r and an audience member, while remaining</w:t>
      </w:r>
      <w:r w:rsidR="005B5B2E">
        <w:t xml:space="preserve"> keenly cognizant</w:t>
      </w:r>
      <w:r w:rsidR="000477A6">
        <w:t xml:space="preserve"> of contemporary and historical acad</w:t>
      </w:r>
      <w:r w:rsidR="005B5B2E">
        <w:t>emic perspectives</w:t>
      </w:r>
      <w:r w:rsidR="000477A6">
        <w:t xml:space="preserve">. </w:t>
      </w:r>
      <w:r w:rsidR="00145984">
        <w:t>A brief comparison of dan</w:t>
      </w:r>
      <w:r w:rsidR="008740F2">
        <w:t>ce to other art f</w:t>
      </w:r>
      <w:r w:rsidR="00145984">
        <w:t>orms helps to account for the challenges that are particular to dance and for the ways in which words inevitably fall short of doing justice to the aesthetic significance of movement.</w:t>
      </w:r>
      <w:r w:rsidR="008740F2">
        <w:t xml:space="preserve"> The </w:t>
      </w:r>
      <w:r>
        <w:t xml:space="preserve">controversial </w:t>
      </w:r>
      <w:r w:rsidR="008740F2">
        <w:t>dictum that description of art should be devoid of subjective comment receives particular att</w:t>
      </w:r>
      <w:r w:rsidR="005B5B2E">
        <w:t>ention, and the suggestion is convincingly offered</w:t>
      </w:r>
      <w:r w:rsidR="005E56F3">
        <w:t xml:space="preserve"> that this stipulation can exercise</w:t>
      </w:r>
      <w:r w:rsidR="008740F2">
        <w:t xml:space="preserve"> a thwarting in</w:t>
      </w:r>
      <w:r w:rsidR="005B5B2E">
        <w:t>fluence on modes of</w:t>
      </w:r>
      <w:r>
        <w:t xml:space="preserve"> engagement that might </w:t>
      </w:r>
      <w:r w:rsidR="008740F2">
        <w:t>be</w:t>
      </w:r>
      <w:r>
        <w:t xml:space="preserve"> derived from </w:t>
      </w:r>
      <w:r w:rsidR="008740F2">
        <w:t>approaches to the task of rendering performance accessible</w:t>
      </w:r>
      <w:r>
        <w:t xml:space="preserve"> that are more in keeping with the creativity inherent in the media to which they relate</w:t>
      </w:r>
      <w:r w:rsidR="008740F2">
        <w:t>.</w:t>
      </w:r>
      <w:r w:rsidR="00EC50F9">
        <w:t xml:space="preserve"> </w:t>
      </w:r>
      <w:r w:rsidR="00531999">
        <w:t xml:space="preserve">Dance critics, choreographers and performers are consulted to supplement the author’s personal experience of dance – as a performer and audience member -- as a </w:t>
      </w:r>
      <w:r w:rsidR="00EC50F9">
        <w:t>means of identifying a range of innovative</w:t>
      </w:r>
      <w:r w:rsidR="00531999">
        <w:t xml:space="preserve"> ways of heightening engagement in dance performance. </w:t>
      </w:r>
      <w:r>
        <w:t>T</w:t>
      </w:r>
      <w:r w:rsidR="000477A6">
        <w:t>he</w:t>
      </w:r>
      <w:r>
        <w:t xml:space="preserve"> argument </w:t>
      </w:r>
      <w:r w:rsidR="000477A6">
        <w:t xml:space="preserve">for the factoring of </w:t>
      </w:r>
      <w:r w:rsidR="00F46828">
        <w:t>consider</w:t>
      </w:r>
      <w:r w:rsidR="000477A6">
        <w:t>ations of access</w:t>
      </w:r>
      <w:r w:rsidR="00F46828">
        <w:t xml:space="preserve"> into performance at an early stage, rather than appended after the performance has been fully choreographed b</w:t>
      </w:r>
      <w:r w:rsidR="005B5B2E">
        <w:t xml:space="preserve">y an access professional </w:t>
      </w:r>
      <w:r w:rsidR="00F46828">
        <w:t xml:space="preserve">inevitably positioned at a considerable remove from the vision of the artist, </w:t>
      </w:r>
      <w:r w:rsidR="000477A6">
        <w:t>is one that can be applied to a variety of art forms.</w:t>
      </w:r>
    </w:p>
    <w:p w14:paraId="16F56E85" w14:textId="77777777" w:rsidR="00567542" w:rsidRDefault="00567542" w:rsidP="00D71090">
      <w:pPr>
        <w:jc w:val="both"/>
      </w:pPr>
    </w:p>
    <w:p w14:paraId="78C706D7" w14:textId="77777777" w:rsidR="00E759BD" w:rsidRDefault="00E759BD" w:rsidP="00D71090">
      <w:pPr>
        <w:jc w:val="both"/>
      </w:pPr>
      <w:r>
        <w:t xml:space="preserve">Diana </w:t>
      </w:r>
      <w:proofErr w:type="spellStart"/>
      <w:r>
        <w:t>Raudoniene’s</w:t>
      </w:r>
      <w:proofErr w:type="spellEnd"/>
      <w:r>
        <w:t xml:space="preserve"> paper addresses a number of themes related to the roles of the different senses in the creation and perception of images, and analyses the consequences of its findings for the involvement of individuals with visual impairment, and for the assumed hegemony of vision within the domain of image creation and appreciation. All of he questions addressed are highly relevant to the task of furthering knowledge of the aesthetic experiences of individuals with visual impairment, making the theme of the paper tally with the objectives of this Special Issue. An insightful overview of existing work in this field prefaces an extended consideration of the multi-faceted interface between sensory perception and creative activity within the context of an historical overview of investigations of the relationship between memory, vision, and the non-visual senses. The yield of this historical overview is then usefully condensed and brought to bear on a contemporary case study of a blind artist. </w:t>
      </w:r>
    </w:p>
    <w:p w14:paraId="4650C2FD" w14:textId="77777777" w:rsidR="00567542" w:rsidRDefault="00567542" w:rsidP="00D71090">
      <w:pPr>
        <w:jc w:val="both"/>
      </w:pPr>
    </w:p>
    <w:p w14:paraId="420E1FD8" w14:textId="293D1FF3" w:rsidR="000574F2" w:rsidRDefault="005B5B2E" w:rsidP="00D71090">
      <w:pPr>
        <w:jc w:val="both"/>
      </w:pPr>
      <w:r>
        <w:t xml:space="preserve">David Bolt </w:t>
      </w:r>
      <w:r w:rsidR="000574F2">
        <w:t xml:space="preserve">critically addresses a contemporary advertising aesthetic by tracing its lineage through a brief commentary on the nature of disability imagery in twentieth century Anglo-American advertisements, before devising a practical tool for the critical analysis of advertisements, composed of five criteria: distortion; alterity; disclosure; segregation; and inclusion. Although significant advances on the treatment of disability in this medium are identified, the paper finds that the particular advertising campaign under review – Dove’s ‘Campaign for Real Beauty’ – is informed in a number of ways by the ableist aesthetic and </w:t>
      </w:r>
      <w:proofErr w:type="spellStart"/>
      <w:r w:rsidR="000574F2">
        <w:t>ocularcentric</w:t>
      </w:r>
      <w:proofErr w:type="spellEnd"/>
      <w:r w:rsidR="000574F2">
        <w:t xml:space="preserve"> approach which characterised many disability-related advertisements of the last</w:t>
      </w:r>
      <w:r w:rsidR="00627D90">
        <w:t xml:space="preserve"> century. The paper relays </w:t>
      </w:r>
      <w:r w:rsidR="000574F2">
        <w:t xml:space="preserve">observations that </w:t>
      </w:r>
      <w:r w:rsidR="00627D90">
        <w:t>are likely to generate further discussion and draws attention to features of contemporary advertising campaigns that will surely prove universally unacceptable</w:t>
      </w:r>
      <w:r w:rsidR="000574F2">
        <w:t>.</w:t>
      </w:r>
      <w:r w:rsidR="000574F2" w:rsidRPr="000574F2">
        <w:t xml:space="preserve"> </w:t>
      </w:r>
      <w:r w:rsidR="000B1A56">
        <w:t>Contemporary debates on the</w:t>
      </w:r>
      <w:r w:rsidR="000574F2" w:rsidRPr="005649A7">
        <w:t xml:space="preserve"> criteria according to which distinctions between favourable and unfavourable images </w:t>
      </w:r>
      <w:r w:rsidR="00627D90">
        <w:t xml:space="preserve">of disability </w:t>
      </w:r>
      <w:r w:rsidR="000574F2" w:rsidRPr="005649A7">
        <w:t xml:space="preserve">might be drawn and </w:t>
      </w:r>
      <w:r w:rsidR="000B1A56">
        <w:t xml:space="preserve">around </w:t>
      </w:r>
      <w:r w:rsidR="000574F2" w:rsidRPr="005649A7">
        <w:t>ways in which this distinction differs in the cases of images of individuals without disabilities</w:t>
      </w:r>
      <w:r w:rsidR="000B1A56">
        <w:t>, seem destined continue for some time. While the same can be said of discussions surrounding the i</w:t>
      </w:r>
      <w:r w:rsidR="000574F2">
        <w:t>ssues of representativeness, accuracy, and selected disability representation</w:t>
      </w:r>
      <w:r w:rsidR="000B1A56">
        <w:t>, it is difficult to imagine how the in</w:t>
      </w:r>
      <w:r w:rsidR="000574F2">
        <w:t>accessibility of advertising in various media</w:t>
      </w:r>
      <w:r w:rsidR="000B1A56">
        <w:t xml:space="preserve"> -- including the inaccessibility of campaign</w:t>
      </w:r>
      <w:r w:rsidR="00D377D2">
        <w:t>s that</w:t>
      </w:r>
      <w:r w:rsidR="00EC50F9">
        <w:t xml:space="preserve"> purportedly</w:t>
      </w:r>
      <w:r w:rsidR="000B1A56">
        <w:t xml:space="preserve"> represent an affirmative rendering of particular disabilities to individuals with those disabilities – might be defended.</w:t>
      </w:r>
    </w:p>
    <w:p w14:paraId="40EAB9F6" w14:textId="77777777" w:rsidR="00F15DFB" w:rsidRDefault="00F15DFB" w:rsidP="00D71090">
      <w:pPr>
        <w:jc w:val="both"/>
      </w:pPr>
    </w:p>
    <w:p w14:paraId="07ECEEFB" w14:textId="691B532E" w:rsidR="00F15DFB" w:rsidRPr="001C1CD8" w:rsidRDefault="00EC50F9" w:rsidP="00D71090">
      <w:pPr>
        <w:jc w:val="both"/>
      </w:pPr>
      <w:r>
        <w:t>John Kennedy</w:t>
      </w:r>
      <w:r w:rsidR="005B5B2E">
        <w:t xml:space="preserve"> </w:t>
      </w:r>
      <w:r w:rsidR="0067162B" w:rsidRPr="001C1CD8">
        <w:t xml:space="preserve">brings drawings of a couple waltzing, a guitar player, and a samba band, created by a woman totally blind since early infancy, into </w:t>
      </w:r>
      <w:r w:rsidR="00E001AC">
        <w:t>imaginative</w:t>
      </w:r>
      <w:r w:rsidR="005B5B2E">
        <w:t xml:space="preserve"> </w:t>
      </w:r>
      <w:r w:rsidR="0067162B" w:rsidRPr="001C1CD8">
        <w:t>service as instruments with which to probe the issues of aesthetics, lines and persp</w:t>
      </w:r>
      <w:r w:rsidR="001C1CD8">
        <w:t>ectives, and metaphoric forms as they are manifest in</w:t>
      </w:r>
      <w:r w:rsidR="0067162B" w:rsidRPr="001C1CD8">
        <w:t xml:space="preserve"> raised-line drawings.</w:t>
      </w:r>
      <w:r w:rsidR="001C1CD8" w:rsidRPr="001C1CD8">
        <w:rPr>
          <w:rFonts w:cs="Helvetica"/>
          <w:lang w:val="en-US"/>
        </w:rPr>
        <w:t xml:space="preserve"> </w:t>
      </w:r>
      <w:r w:rsidR="001C1CD8">
        <w:rPr>
          <w:rFonts w:cs="Helvetica"/>
          <w:lang w:val="en-US"/>
        </w:rPr>
        <w:t>The observations vol</w:t>
      </w:r>
      <w:r w:rsidR="006129D0">
        <w:rPr>
          <w:rFonts w:cs="Helvetica"/>
          <w:lang w:val="en-US"/>
        </w:rPr>
        <w:t xml:space="preserve">unteered in relation to the </w:t>
      </w:r>
      <w:r w:rsidR="001C1CD8">
        <w:rPr>
          <w:rFonts w:cs="Helvetica"/>
          <w:lang w:val="en-US"/>
        </w:rPr>
        <w:t>capacity of individuals without sight to produce sophisticated pictorial rende</w:t>
      </w:r>
      <w:r w:rsidR="00D377D2">
        <w:rPr>
          <w:rFonts w:cs="Helvetica"/>
          <w:lang w:val="en-US"/>
        </w:rPr>
        <w:t>rings of self-selected themes</w:t>
      </w:r>
      <w:r w:rsidR="005B5B2E">
        <w:rPr>
          <w:rFonts w:cs="Helvetica"/>
          <w:lang w:val="en-US"/>
        </w:rPr>
        <w:t>, the tendency of</w:t>
      </w:r>
      <w:r w:rsidR="00D377D2">
        <w:rPr>
          <w:rFonts w:cs="Helvetica"/>
          <w:lang w:val="en-US"/>
        </w:rPr>
        <w:t xml:space="preserve"> these depictions to betray </w:t>
      </w:r>
      <w:r w:rsidR="001C1CD8" w:rsidRPr="001C1CD8">
        <w:rPr>
          <w:rFonts w:cs="Helvetica"/>
          <w:lang w:val="en-US"/>
        </w:rPr>
        <w:t>reali</w:t>
      </w:r>
      <w:r w:rsidR="001C1CD8">
        <w:rPr>
          <w:rFonts w:cs="Helvetica"/>
          <w:lang w:val="en-US"/>
        </w:rPr>
        <w:t xml:space="preserve">stic and </w:t>
      </w:r>
      <w:r w:rsidR="001C1CD8" w:rsidRPr="001C1CD8">
        <w:rPr>
          <w:rFonts w:cs="Helvetica"/>
          <w:lang w:val="en-US"/>
        </w:rPr>
        <w:t>metaphoric</w:t>
      </w:r>
      <w:r w:rsidR="00D377D2">
        <w:rPr>
          <w:rFonts w:cs="Helvetica"/>
          <w:lang w:val="en-US"/>
        </w:rPr>
        <w:t xml:space="preserve"> qualities, the innovative denotative functions assumed by line in such images, and their incorporation of perspective, will undoubtedly surprise readers without </w:t>
      </w:r>
      <w:r w:rsidR="006129D0">
        <w:rPr>
          <w:rFonts w:cs="Helvetica"/>
          <w:lang w:val="en-US"/>
        </w:rPr>
        <w:t>extensive experience of visual impairment and art. Such readers will find this paper eminently comprehensi</w:t>
      </w:r>
      <w:r w:rsidR="00D71090">
        <w:rPr>
          <w:rFonts w:cs="Helvetica"/>
          <w:lang w:val="en-US"/>
        </w:rPr>
        <w:t xml:space="preserve">ble, however, because these observations are </w:t>
      </w:r>
      <w:r w:rsidR="00D71090">
        <w:rPr>
          <w:rFonts w:cs="Helvetica"/>
          <w:lang w:val="en-US"/>
        </w:rPr>
        <w:lastRenderedPageBreak/>
        <w:t>delivered with a clarity and approachability that belies the complexity of the themes</w:t>
      </w:r>
      <w:r w:rsidR="00E001AC">
        <w:rPr>
          <w:rFonts w:cs="Helvetica"/>
          <w:lang w:val="en-US"/>
        </w:rPr>
        <w:t>, capacities</w:t>
      </w:r>
      <w:r w:rsidR="00D71090">
        <w:rPr>
          <w:rFonts w:cs="Helvetica"/>
          <w:lang w:val="en-US"/>
        </w:rPr>
        <w:t xml:space="preserve"> </w:t>
      </w:r>
      <w:r w:rsidR="00E001AC">
        <w:rPr>
          <w:rFonts w:cs="Helvetica"/>
          <w:lang w:val="en-US"/>
        </w:rPr>
        <w:t xml:space="preserve">and experiences </w:t>
      </w:r>
      <w:r w:rsidR="00D71090">
        <w:rPr>
          <w:rFonts w:cs="Helvetica"/>
          <w:lang w:val="en-US"/>
        </w:rPr>
        <w:t>explored.</w:t>
      </w:r>
    </w:p>
    <w:p w14:paraId="419B0CC8" w14:textId="77777777" w:rsidR="000574F2" w:rsidRPr="001C1CD8" w:rsidRDefault="000574F2" w:rsidP="00D71090">
      <w:pPr>
        <w:jc w:val="both"/>
      </w:pPr>
    </w:p>
    <w:p w14:paraId="50CEDF9A" w14:textId="77777777" w:rsidR="00D71090" w:rsidRDefault="00D71090" w:rsidP="00D71090">
      <w:pPr>
        <w:jc w:val="both"/>
      </w:pPr>
      <w:r>
        <w:t xml:space="preserve">Simon </w:t>
      </w:r>
      <w:proofErr w:type="spellStart"/>
      <w:r>
        <w:t>Hayhoe’s</w:t>
      </w:r>
      <w:proofErr w:type="spellEnd"/>
      <w:r>
        <w:t xml:space="preserve"> paper provides a number of valuable insights into the art experiences of students at a School for the Blind, with particular emphasis on their learning experiences, motivations, and preferences for different forms of art engagement. The important distinction between active and passive forms of exclusion is particularly well observed and supported. Although these themes have come under increased critical scrutiny over the past decade or so, their inclusion in this Journal represents a new and welcome departure for BJVI. Part of the relevance of this particular paper lies in its illustration of the relevance of grounded theory to investigations of the art engagement experiences of individuals with low vision. In this way, the paper links neatly with the review of a monograph on grounded theory that appears elsewhere in this issue.</w:t>
      </w:r>
    </w:p>
    <w:p w14:paraId="2B7F6192" w14:textId="77777777" w:rsidR="00D71090" w:rsidRDefault="00D71090" w:rsidP="00D71090">
      <w:pPr>
        <w:jc w:val="both"/>
      </w:pPr>
    </w:p>
    <w:p w14:paraId="04A1770D" w14:textId="5852EC71" w:rsidR="009A0D83" w:rsidRDefault="00887CDD" w:rsidP="00D71090">
      <w:pPr>
        <w:jc w:val="both"/>
      </w:pPr>
      <w:r>
        <w:t xml:space="preserve">The reference, within </w:t>
      </w:r>
      <w:r w:rsidR="00D71090">
        <w:t>Simo</w:t>
      </w:r>
      <w:r>
        <w:t xml:space="preserve">n </w:t>
      </w:r>
      <w:proofErr w:type="spellStart"/>
      <w:r>
        <w:t>Hayhoe’s</w:t>
      </w:r>
      <w:proofErr w:type="spellEnd"/>
      <w:r>
        <w:t xml:space="preserve"> paper</w:t>
      </w:r>
      <w:r w:rsidR="00D71090">
        <w:t>, to research he conducted with visually impaired participants in New York’s Metropolitan Museum of Art takes me back to 2007, when, as an attendee of an Art Beyond Sight conference held in that institution, I listened to Caro Howell, then Head of Education and Public Events at Whitechapel Gallery, Lon</w:t>
      </w:r>
      <w:r w:rsidR="009E008F">
        <w:t xml:space="preserve">don, advocate the role of </w:t>
      </w:r>
      <w:r w:rsidR="00F2115C">
        <w:t>academic research</w:t>
      </w:r>
      <w:r w:rsidR="00D71090">
        <w:t xml:space="preserve"> within art access provision. Having just completed my doctoral studies on aesthetics a</w:t>
      </w:r>
      <w:r w:rsidR="00F2115C">
        <w:t>nd visual impairment</w:t>
      </w:r>
      <w:r w:rsidR="00EC50F9">
        <w:t>,</w:t>
      </w:r>
      <w:r w:rsidR="00F2115C">
        <w:t xml:space="preserve"> in the process of which I became increasingly</w:t>
      </w:r>
      <w:r w:rsidR="00D71090">
        <w:t xml:space="preserve"> mindful of the</w:t>
      </w:r>
      <w:r w:rsidR="00F2115C">
        <w:t xml:space="preserve"> widespread</w:t>
      </w:r>
      <w:r w:rsidR="00D71090">
        <w:t xml:space="preserve"> impatience w</w:t>
      </w:r>
      <w:r w:rsidR="00F2115C">
        <w:t>ith theory that I still occasionall</w:t>
      </w:r>
      <w:r w:rsidR="00D71090">
        <w:t>y encounter in my</w:t>
      </w:r>
      <w:r w:rsidR="00F2115C">
        <w:t xml:space="preserve"> current</w:t>
      </w:r>
      <w:r w:rsidR="00D71090">
        <w:t xml:space="preserve"> acce</w:t>
      </w:r>
      <w:r w:rsidR="00F2115C">
        <w:t>ss facilitation endeavours</w:t>
      </w:r>
      <w:r w:rsidR="002C717C">
        <w:t xml:space="preserve">, </w:t>
      </w:r>
      <w:r w:rsidR="009E008F">
        <w:t>these sentiments seemed to me to represent a lonely but welcome theoretic voice emanating from within a din of perfectly unresponsive grind</w:t>
      </w:r>
      <w:r w:rsidR="00F2115C">
        <w:t xml:space="preserve">. </w:t>
      </w:r>
      <w:r w:rsidR="009E008F">
        <w:t>That impression was misinformed then and it would be even less pardonably entertained today. I</w:t>
      </w:r>
      <w:r w:rsidR="00F2115C">
        <w:t xml:space="preserve">n my work with art institutions across Scotland, I </w:t>
      </w:r>
      <w:r w:rsidR="009E008F">
        <w:t>encounter on a daily basis</w:t>
      </w:r>
      <w:r w:rsidR="002C717C">
        <w:t xml:space="preserve"> an increased collective recognition that if we are to do justice to the aim of fostering imaginative and critical reflection on access practices, professionals working within this field need to entertain a broad and informed conception of the inclusive opportunities afforded by diverse art forms. </w:t>
      </w:r>
    </w:p>
    <w:p w14:paraId="3C1C79AB" w14:textId="77777777" w:rsidR="009A0D83" w:rsidRDefault="009A0D83" w:rsidP="00D71090">
      <w:pPr>
        <w:jc w:val="both"/>
      </w:pPr>
    </w:p>
    <w:p w14:paraId="7226DE62" w14:textId="4A9903AF" w:rsidR="00D71090" w:rsidRDefault="009A0D83" w:rsidP="00D71090">
      <w:pPr>
        <w:jc w:val="both"/>
      </w:pPr>
      <w:r>
        <w:t>Aesthetic theory has an important role to play</w:t>
      </w:r>
      <w:r w:rsidR="002C717C">
        <w:t xml:space="preserve"> </w:t>
      </w:r>
      <w:r>
        <w:t>in the promotion of this goal through the stimulation of</w:t>
      </w:r>
      <w:r w:rsidR="002C717C">
        <w:t xml:space="preserve"> reflection on the long-embedded assumptions and traditions that shape relationships between art institutions and their visitors. The role of theory in this regard is not to co</w:t>
      </w:r>
      <w:r w:rsidR="009E008F">
        <w:t>ncoct workable prescriptions from afar in the hope that</w:t>
      </w:r>
      <w:r w:rsidR="002C717C">
        <w:t xml:space="preserve"> access practitioners</w:t>
      </w:r>
      <w:r w:rsidR="00D71090">
        <w:t xml:space="preserve"> </w:t>
      </w:r>
      <w:r>
        <w:t xml:space="preserve">might elect </w:t>
      </w:r>
      <w:r w:rsidR="002C717C">
        <w:t>to implement</w:t>
      </w:r>
      <w:r w:rsidR="009E008F">
        <w:t xml:space="preserve"> them. Theorists and practitioners need to cultivate a symbiotic interrelationship that effects a considered </w:t>
      </w:r>
      <w:r>
        <w:t xml:space="preserve">and functional </w:t>
      </w:r>
      <w:r w:rsidR="009E008F">
        <w:t>fusion of their respective endeavour</w:t>
      </w:r>
      <w:r w:rsidR="004B1E04">
        <w:t xml:space="preserve"> and complementary resources</w:t>
      </w:r>
      <w:r w:rsidR="009E008F">
        <w:t xml:space="preserve">. </w:t>
      </w:r>
      <w:r w:rsidR="00CC61BE">
        <w:t>Emphasis</w:t>
      </w:r>
      <w:r w:rsidR="008B3594">
        <w:t xml:space="preserve"> on ‘reasonable adjustments’ and a</w:t>
      </w:r>
      <w:r w:rsidR="00CC61BE">
        <w:t>ppropriate materials rather to the exclusion of</w:t>
      </w:r>
      <w:r w:rsidR="008B3594">
        <w:t xml:space="preserve"> value questions, on how to improve performance and how this improvement</w:t>
      </w:r>
      <w:r w:rsidR="00CC61BE">
        <w:t xml:space="preserve"> can be measured, at the expense of informed deliberation on</w:t>
      </w:r>
      <w:r w:rsidR="008B3594">
        <w:t xml:space="preserve"> why performance needs to be improved, precludes the development of meaningful understanding of differences and similarities </w:t>
      </w:r>
      <w:r w:rsidR="00CC61BE">
        <w:t>and full awareness</w:t>
      </w:r>
      <w:r w:rsidR="008B3594">
        <w:t xml:space="preserve"> </w:t>
      </w:r>
      <w:r w:rsidR="00CC61BE">
        <w:t>of how these (dis)continuities might be approached i</w:t>
      </w:r>
      <w:r w:rsidR="002D34D4">
        <w:t>n effective and engaging ways. T</w:t>
      </w:r>
      <w:r w:rsidR="00CC61BE">
        <w:t>he papers collected here</w:t>
      </w:r>
      <w:r w:rsidR="002D34D4">
        <w:t>, reflecting contemporary concerns within the fields of</w:t>
      </w:r>
      <w:r w:rsidR="00EC50F9">
        <w:t xml:space="preserve"> </w:t>
      </w:r>
      <w:r w:rsidR="002D34D4">
        <w:t>disability theory</w:t>
      </w:r>
      <w:r w:rsidR="00EC50F9">
        <w:t xml:space="preserve">, </w:t>
      </w:r>
      <w:r w:rsidR="002D34D4">
        <w:t>art education, practice and access, socio-cultural commentary, and literary criticism,</w:t>
      </w:r>
      <w:r w:rsidR="00CC61BE">
        <w:t xml:space="preserve"> make</w:t>
      </w:r>
      <w:r w:rsidR="002D34D4">
        <w:t xml:space="preserve"> a </w:t>
      </w:r>
      <w:r w:rsidR="002D34D4">
        <w:lastRenderedPageBreak/>
        <w:t>distinct contribution within their</w:t>
      </w:r>
      <w:r w:rsidR="00CC61BE">
        <w:t xml:space="preserve"> respective sub-territories. Taken as a whole, these contributions are sugge</w:t>
      </w:r>
      <w:r w:rsidR="002D34D4">
        <w:t>stive of a collective recognition</w:t>
      </w:r>
      <w:r w:rsidR="00CC61BE">
        <w:t xml:space="preserve"> that</w:t>
      </w:r>
      <w:r w:rsidR="00860603">
        <w:t xml:space="preserve"> the collapsing of</w:t>
      </w:r>
      <w:r w:rsidR="00CC61BE">
        <w:t xml:space="preserve"> traditional dichotomies between theory and practice, conception and execution, </w:t>
      </w:r>
      <w:r w:rsidR="00860603">
        <w:t>heighten</w:t>
      </w:r>
      <w:r>
        <w:t>s the prospects of</w:t>
      </w:r>
      <w:r w:rsidR="00860603">
        <w:t xml:space="preserve"> </w:t>
      </w:r>
      <w:r>
        <w:t xml:space="preserve">a </w:t>
      </w:r>
      <w:r w:rsidR="00860603">
        <w:t>history of</w:t>
      </w:r>
      <w:r w:rsidR="00EC50F9">
        <w:t xml:space="preserve"> often</w:t>
      </w:r>
      <w:r w:rsidR="00860603">
        <w:t xml:space="preserve"> inadvertent </w:t>
      </w:r>
      <w:r w:rsidR="00EC50F9">
        <w:t xml:space="preserve">though ultimately </w:t>
      </w:r>
      <w:r>
        <w:t xml:space="preserve">incapacitating </w:t>
      </w:r>
      <w:r w:rsidR="00860603">
        <w:t>assumptions within aestheti</w:t>
      </w:r>
      <w:r w:rsidR="002D34D4">
        <w:t>c theory and the wider cultural domain</w:t>
      </w:r>
      <w:r>
        <w:t xml:space="preserve"> being rigorously subjected to fruitful </w:t>
      </w:r>
      <w:r w:rsidR="00860603">
        <w:t>and progressive</w:t>
      </w:r>
      <w:r w:rsidR="007B5175">
        <w:t xml:space="preserve"> forms of interdisciplinar</w:t>
      </w:r>
      <w:r w:rsidR="00EC50F9">
        <w:t>y</w:t>
      </w:r>
      <w:r w:rsidR="00860603">
        <w:t xml:space="preserve"> interrogation.</w:t>
      </w:r>
    </w:p>
    <w:p w14:paraId="53C58ED7" w14:textId="77777777" w:rsidR="009A0D83" w:rsidRDefault="009A0D83" w:rsidP="00D71090">
      <w:pPr>
        <w:jc w:val="both"/>
      </w:pPr>
    </w:p>
    <w:p w14:paraId="5D05B6A1" w14:textId="3F3C273D" w:rsidR="009A0D83" w:rsidRDefault="009A0D83" w:rsidP="00D71090">
      <w:pPr>
        <w:jc w:val="both"/>
      </w:pPr>
      <w:proofErr w:type="spellStart"/>
      <w:r>
        <w:t>Dr.</w:t>
      </w:r>
      <w:proofErr w:type="spellEnd"/>
      <w:r>
        <w:t xml:space="preserve"> David Feeney, Visual Impairment Scotland, University of Edinburgh.</w:t>
      </w:r>
    </w:p>
    <w:p w14:paraId="582E3D14" w14:textId="77777777" w:rsidR="00D71090" w:rsidRDefault="00D71090" w:rsidP="00D71090">
      <w:pPr>
        <w:jc w:val="both"/>
      </w:pPr>
    </w:p>
    <w:p w14:paraId="2B7FE349" w14:textId="77777777" w:rsidR="00D01111" w:rsidRDefault="00D01111" w:rsidP="00D71090">
      <w:pPr>
        <w:jc w:val="both"/>
      </w:pPr>
    </w:p>
    <w:p w14:paraId="467B7D48" w14:textId="77777777" w:rsidR="005E6B4D" w:rsidRDefault="005E6B4D" w:rsidP="00D71090">
      <w:pPr>
        <w:jc w:val="both"/>
      </w:pPr>
    </w:p>
    <w:p w14:paraId="00721B6C" w14:textId="77777777" w:rsidR="005E56F3" w:rsidRDefault="005E56F3" w:rsidP="00D71090">
      <w:pPr>
        <w:jc w:val="both"/>
      </w:pPr>
    </w:p>
    <w:p w14:paraId="7DF0B6EA" w14:textId="77777777" w:rsidR="00F85BF8" w:rsidRDefault="00F85BF8" w:rsidP="00D71090">
      <w:pPr>
        <w:jc w:val="both"/>
      </w:pPr>
    </w:p>
    <w:sectPr w:rsidR="00F85BF8" w:rsidSect="006802EB">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E08A8" w14:textId="77777777" w:rsidR="00B75508" w:rsidRDefault="00B75508" w:rsidP="00651F6A">
      <w:r>
        <w:separator/>
      </w:r>
    </w:p>
  </w:endnote>
  <w:endnote w:type="continuationSeparator" w:id="0">
    <w:p w14:paraId="110B47C8" w14:textId="77777777" w:rsidR="00B75508" w:rsidRDefault="00B75508" w:rsidP="00651F6A">
      <w:r>
        <w:continuationSeparator/>
      </w:r>
    </w:p>
  </w:endnote>
  <w:endnote w:id="1">
    <w:p w14:paraId="6AF9B97C" w14:textId="77777777" w:rsidR="002D34D4" w:rsidRDefault="002D34D4" w:rsidP="00447DF5">
      <w:pPr>
        <w:widowControl w:val="0"/>
        <w:autoSpaceDE w:val="0"/>
        <w:autoSpaceDN w:val="0"/>
        <w:adjustRightInd w:val="0"/>
        <w:jc w:val="both"/>
        <w:rPr>
          <w:sz w:val="20"/>
          <w:szCs w:val="20"/>
        </w:rPr>
      </w:pPr>
      <w:r>
        <w:rPr>
          <w:rStyle w:val="EndnoteReference"/>
        </w:rPr>
        <w:endnoteRef/>
      </w:r>
      <w:r>
        <w:t xml:space="preserve"> </w:t>
      </w:r>
      <w:r>
        <w:rPr>
          <w:sz w:val="21"/>
          <w:szCs w:val="21"/>
        </w:rPr>
        <w:t xml:space="preserve">R.T. Allen (2007). ‘Because I say so!’: Some limitations on the rationalization of authority, Journal </w:t>
      </w:r>
      <w:r>
        <w:rPr>
          <w:sz w:val="19"/>
          <w:szCs w:val="19"/>
        </w:rPr>
        <w:t xml:space="preserve">of </w:t>
      </w:r>
      <w:r>
        <w:rPr>
          <w:sz w:val="21"/>
          <w:szCs w:val="21"/>
        </w:rPr>
        <w:t xml:space="preserve">Philosophy </w:t>
      </w:r>
      <w:r>
        <w:rPr>
          <w:sz w:val="19"/>
          <w:szCs w:val="19"/>
        </w:rPr>
        <w:t xml:space="preserve">of </w:t>
      </w:r>
      <w:r>
        <w:rPr>
          <w:sz w:val="21"/>
          <w:szCs w:val="21"/>
        </w:rPr>
        <w:t xml:space="preserve">Education, 21 (I), </w:t>
      </w:r>
      <w:r>
        <w:rPr>
          <w:sz w:val="20"/>
          <w:szCs w:val="20"/>
        </w:rPr>
        <w:t>15-24</w:t>
      </w:r>
    </w:p>
    <w:p w14:paraId="094DAF21" w14:textId="77777777" w:rsidR="002D34D4" w:rsidRPr="00651F6A" w:rsidRDefault="002D34D4" w:rsidP="00447DF5">
      <w:pPr>
        <w:pStyle w:val="EndnoteText"/>
        <w:rPr>
          <w:lang w:val="en-US"/>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05C62" w14:textId="77777777" w:rsidR="00B75508" w:rsidRDefault="00B75508" w:rsidP="00651F6A">
      <w:r>
        <w:separator/>
      </w:r>
    </w:p>
  </w:footnote>
  <w:footnote w:type="continuationSeparator" w:id="0">
    <w:p w14:paraId="710F6FD1" w14:textId="77777777" w:rsidR="00B75508" w:rsidRDefault="00B75508" w:rsidP="00651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120B8"/>
    <w:multiLevelType w:val="hybridMultilevel"/>
    <w:tmpl w:val="400CA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84"/>
    <w:rsid w:val="00044C90"/>
    <w:rsid w:val="000477A6"/>
    <w:rsid w:val="000574F2"/>
    <w:rsid w:val="000B1A56"/>
    <w:rsid w:val="00135717"/>
    <w:rsid w:val="00145984"/>
    <w:rsid w:val="001C1CD8"/>
    <w:rsid w:val="001E4495"/>
    <w:rsid w:val="002126CA"/>
    <w:rsid w:val="002134F6"/>
    <w:rsid w:val="002C717C"/>
    <w:rsid w:val="002D34D4"/>
    <w:rsid w:val="002F505C"/>
    <w:rsid w:val="00311C7F"/>
    <w:rsid w:val="00365D4C"/>
    <w:rsid w:val="003933CA"/>
    <w:rsid w:val="00447DF5"/>
    <w:rsid w:val="00454B6B"/>
    <w:rsid w:val="004B1E04"/>
    <w:rsid w:val="0050028D"/>
    <w:rsid w:val="005306E5"/>
    <w:rsid w:val="00531999"/>
    <w:rsid w:val="00567542"/>
    <w:rsid w:val="005B5B2E"/>
    <w:rsid w:val="005B63F0"/>
    <w:rsid w:val="005E56F3"/>
    <w:rsid w:val="005E6B4D"/>
    <w:rsid w:val="005F699C"/>
    <w:rsid w:val="006129D0"/>
    <w:rsid w:val="00627D90"/>
    <w:rsid w:val="00637D10"/>
    <w:rsid w:val="006462EF"/>
    <w:rsid w:val="00651F6A"/>
    <w:rsid w:val="006560D3"/>
    <w:rsid w:val="0067162B"/>
    <w:rsid w:val="006802EB"/>
    <w:rsid w:val="006E07CA"/>
    <w:rsid w:val="006E16C6"/>
    <w:rsid w:val="007B5175"/>
    <w:rsid w:val="00860603"/>
    <w:rsid w:val="008740F2"/>
    <w:rsid w:val="00887CDD"/>
    <w:rsid w:val="008B3594"/>
    <w:rsid w:val="008C74C1"/>
    <w:rsid w:val="008F24C3"/>
    <w:rsid w:val="008F3835"/>
    <w:rsid w:val="00907C5D"/>
    <w:rsid w:val="009A0D83"/>
    <w:rsid w:val="009E008F"/>
    <w:rsid w:val="00B75508"/>
    <w:rsid w:val="00B96230"/>
    <w:rsid w:val="00BB78D2"/>
    <w:rsid w:val="00BE30F2"/>
    <w:rsid w:val="00BE5BDF"/>
    <w:rsid w:val="00C54E99"/>
    <w:rsid w:val="00CA5188"/>
    <w:rsid w:val="00CC3AF9"/>
    <w:rsid w:val="00CC61BE"/>
    <w:rsid w:val="00CE4221"/>
    <w:rsid w:val="00D01111"/>
    <w:rsid w:val="00D03A51"/>
    <w:rsid w:val="00D377D2"/>
    <w:rsid w:val="00D54F2B"/>
    <w:rsid w:val="00D71090"/>
    <w:rsid w:val="00DC5CD2"/>
    <w:rsid w:val="00E001AC"/>
    <w:rsid w:val="00E419F5"/>
    <w:rsid w:val="00E43E27"/>
    <w:rsid w:val="00E47B2F"/>
    <w:rsid w:val="00E759BD"/>
    <w:rsid w:val="00EC50F9"/>
    <w:rsid w:val="00EE418C"/>
    <w:rsid w:val="00F11B0F"/>
    <w:rsid w:val="00F15DFB"/>
    <w:rsid w:val="00F2115C"/>
    <w:rsid w:val="00F25451"/>
    <w:rsid w:val="00F324CC"/>
    <w:rsid w:val="00F46828"/>
    <w:rsid w:val="00F85B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E6831"/>
  <w14:defaultImageDpi w14:val="300"/>
  <w15:docId w15:val="{709A92C2-E624-7C4E-8656-5BCF9123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2EF"/>
    <w:pPr>
      <w:ind w:left="720"/>
      <w:contextualSpacing/>
    </w:pPr>
  </w:style>
  <w:style w:type="paragraph" w:styleId="NormalWeb">
    <w:name w:val="Normal (Web)"/>
    <w:basedOn w:val="Normal"/>
    <w:uiPriority w:val="99"/>
    <w:unhideWhenUsed/>
    <w:rsid w:val="00637D10"/>
    <w:pPr>
      <w:spacing w:before="100" w:beforeAutospacing="1" w:after="100" w:afterAutospacing="1"/>
    </w:pPr>
    <w:rPr>
      <w:rFonts w:ascii="Times" w:hAnsi="Times" w:cs="Times New Roman"/>
      <w:sz w:val="20"/>
      <w:szCs w:val="20"/>
    </w:rPr>
  </w:style>
  <w:style w:type="paragraph" w:styleId="EndnoteText">
    <w:name w:val="endnote text"/>
    <w:basedOn w:val="Normal"/>
    <w:link w:val="EndnoteTextChar"/>
    <w:uiPriority w:val="99"/>
    <w:unhideWhenUsed/>
    <w:rsid w:val="00651F6A"/>
  </w:style>
  <w:style w:type="character" w:customStyle="1" w:styleId="EndnoteTextChar">
    <w:name w:val="Endnote Text Char"/>
    <w:basedOn w:val="DefaultParagraphFont"/>
    <w:link w:val="EndnoteText"/>
    <w:uiPriority w:val="99"/>
    <w:rsid w:val="00651F6A"/>
  </w:style>
  <w:style w:type="character" w:styleId="EndnoteReference">
    <w:name w:val="endnote reference"/>
    <w:basedOn w:val="DefaultParagraphFont"/>
    <w:uiPriority w:val="99"/>
    <w:unhideWhenUsed/>
    <w:rsid w:val="00651F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2188</Words>
  <Characters>12475</Characters>
  <Application>Microsoft Office Word</Application>
  <DocSecurity>0</DocSecurity>
  <Lines>103</Lines>
  <Paragraphs>29</Paragraphs>
  <ScaleCrop>false</ScaleCrop>
  <Company>V.I. Scotland</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dfeeney2 feeney</dc:creator>
  <cp:keywords/>
  <dc:description/>
  <cp:lastModifiedBy>David Feeney</cp:lastModifiedBy>
  <cp:revision>2</cp:revision>
  <dcterms:created xsi:type="dcterms:W3CDTF">2019-03-04T12:14:00Z</dcterms:created>
  <dcterms:modified xsi:type="dcterms:W3CDTF">2019-03-04T12:14:00Z</dcterms:modified>
</cp:coreProperties>
</file>