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6C1C0" w14:textId="77777777" w:rsidR="00337D11" w:rsidRPr="004E7367" w:rsidRDefault="00337D11" w:rsidP="00CB1AD4">
      <w:pPr>
        <w:spacing w:line="360" w:lineRule="auto"/>
        <w:jc w:val="center"/>
        <w:rPr>
          <w:b/>
          <w:sz w:val="28"/>
          <w:szCs w:val="28"/>
        </w:rPr>
      </w:pPr>
      <w:bookmarkStart w:id="0" w:name="_GoBack"/>
      <w:bookmarkEnd w:id="0"/>
      <w:r w:rsidRPr="004E7367">
        <w:rPr>
          <w:b/>
          <w:sz w:val="28"/>
          <w:szCs w:val="28"/>
        </w:rPr>
        <w:t xml:space="preserve">The Bloody Code in Cheshire: </w:t>
      </w:r>
    </w:p>
    <w:p w14:paraId="1663A6A3" w14:textId="77777777" w:rsidR="00EC2429" w:rsidRPr="004E7367" w:rsidRDefault="00337D11" w:rsidP="00CB1AD4">
      <w:pPr>
        <w:spacing w:line="360" w:lineRule="auto"/>
        <w:jc w:val="center"/>
        <w:rPr>
          <w:b/>
          <w:sz w:val="28"/>
          <w:szCs w:val="28"/>
        </w:rPr>
      </w:pPr>
      <w:r w:rsidRPr="004E7367">
        <w:rPr>
          <w:b/>
          <w:sz w:val="28"/>
          <w:szCs w:val="28"/>
        </w:rPr>
        <w:t>The Cheshire Court of Great Sessions 1805-30</w:t>
      </w:r>
    </w:p>
    <w:p w14:paraId="3916E691" w14:textId="2CD29DD2" w:rsidR="004E7367" w:rsidRPr="004E7367" w:rsidRDefault="00CC1DD8" w:rsidP="00CB1AD4">
      <w:pPr>
        <w:spacing w:line="360" w:lineRule="auto"/>
        <w:jc w:val="center"/>
        <w:rPr>
          <w:b/>
          <w:sz w:val="28"/>
          <w:szCs w:val="28"/>
        </w:rPr>
      </w:pPr>
      <w:r>
        <w:rPr>
          <w:b/>
          <w:sz w:val="28"/>
          <w:szCs w:val="28"/>
        </w:rPr>
        <w:t>(Version 3</w:t>
      </w:r>
      <w:r w:rsidR="004E7367" w:rsidRPr="004E7367">
        <w:rPr>
          <w:b/>
          <w:sz w:val="28"/>
          <w:szCs w:val="28"/>
        </w:rPr>
        <w:t>)</w:t>
      </w:r>
    </w:p>
    <w:p w14:paraId="194A85B9" w14:textId="77777777" w:rsidR="000269FE" w:rsidRPr="004E7367" w:rsidRDefault="000269FE" w:rsidP="00CB1AD4">
      <w:pPr>
        <w:spacing w:line="360" w:lineRule="auto"/>
        <w:rPr>
          <w:color w:val="FF0000"/>
        </w:rPr>
      </w:pPr>
    </w:p>
    <w:p w14:paraId="6F931723" w14:textId="77777777" w:rsidR="00337D11" w:rsidRPr="004E7367" w:rsidRDefault="00337D11" w:rsidP="00CB1AD4">
      <w:pPr>
        <w:spacing w:line="360" w:lineRule="auto"/>
        <w:rPr>
          <w:b/>
          <w:sz w:val="28"/>
          <w:szCs w:val="28"/>
        </w:rPr>
      </w:pPr>
      <w:r w:rsidRPr="004E7367">
        <w:rPr>
          <w:b/>
          <w:sz w:val="28"/>
          <w:szCs w:val="28"/>
        </w:rPr>
        <w:t>Introduction</w:t>
      </w:r>
    </w:p>
    <w:p w14:paraId="6D1A4FF0" w14:textId="77777777" w:rsidR="00760104" w:rsidRPr="004E7367" w:rsidRDefault="00760104" w:rsidP="00CB1AD4">
      <w:pPr>
        <w:spacing w:line="360" w:lineRule="auto"/>
        <w:rPr>
          <w:color w:val="FF0000"/>
        </w:rPr>
      </w:pPr>
    </w:p>
    <w:p w14:paraId="7C3F4FC1" w14:textId="6503AFC4" w:rsidR="00670CB4" w:rsidRPr="004F6600" w:rsidRDefault="00760104" w:rsidP="00CB1AD4">
      <w:pPr>
        <w:spacing w:line="360" w:lineRule="auto"/>
        <w:jc w:val="both"/>
      </w:pPr>
      <w:r w:rsidRPr="004F6600">
        <w:t>The Bloody Code of the e</w:t>
      </w:r>
      <w:r w:rsidR="00DB572A" w:rsidRPr="004F6600">
        <w:t>ighteenth and early nineteenth century</w:t>
      </w:r>
      <w:r w:rsidRPr="004F6600">
        <w:t xml:space="preserve"> has generated a great deal of interest from historians of crime for a number of decades. Between 1688 and 1820, the number of capital statutes in England and Wales increased exponentially from fifty to over 220. The number of sentences of death also grew concomitantly, increasing by 300% </w:t>
      </w:r>
      <w:r w:rsidR="008A1DBB" w:rsidRPr="004F6600">
        <w:t>between 1805 and 1830 alone, although in practice most condemned felons did not expiate for their crime on the gallows</w:t>
      </w:r>
      <w:r w:rsidRPr="004F6600">
        <w:t>.</w:t>
      </w:r>
      <w:r w:rsidR="007A1331" w:rsidRPr="004F6600">
        <w:rPr>
          <w:rStyle w:val="EndnoteReference"/>
        </w:rPr>
        <w:endnoteReference w:id="1"/>
      </w:r>
      <w:r w:rsidR="008A1DBB" w:rsidRPr="004F6600">
        <w:t xml:space="preserve"> For historians adopting a Marxist interpretation, such as</w:t>
      </w:r>
      <w:r w:rsidR="004707E5" w:rsidRPr="004F6600">
        <w:t xml:space="preserve"> Douglas Hay and his c</w:t>
      </w:r>
      <w:r w:rsidR="005E5C6A" w:rsidRPr="004F6600">
        <w:t xml:space="preserve">olleagues, the Bloody Code was </w:t>
      </w:r>
      <w:r w:rsidR="00917429" w:rsidRPr="004F6600">
        <w:t xml:space="preserve">a </w:t>
      </w:r>
      <w:r w:rsidR="00A60C0C" w:rsidRPr="004F6600">
        <w:t xml:space="preserve">system of terror </w:t>
      </w:r>
      <w:r w:rsidR="002E6A68" w:rsidRPr="004F6600">
        <w:t xml:space="preserve">developed and maintained by members of the </w:t>
      </w:r>
      <w:r w:rsidR="00A60C0C" w:rsidRPr="004F6600">
        <w:t xml:space="preserve">elite to </w:t>
      </w:r>
      <w:r w:rsidR="002E6A68" w:rsidRPr="004F6600">
        <w:t>protect property from theft by the lower orders</w:t>
      </w:r>
      <w:r w:rsidR="005E5C6A" w:rsidRPr="004F6600">
        <w:t>.</w:t>
      </w:r>
      <w:r w:rsidR="005E5C6A" w:rsidRPr="004F6600">
        <w:rPr>
          <w:rStyle w:val="EndnoteReference"/>
        </w:rPr>
        <w:endnoteReference w:id="2"/>
      </w:r>
      <w:r w:rsidR="005E5C6A" w:rsidRPr="004F6600">
        <w:t xml:space="preserve"> </w:t>
      </w:r>
      <w:r w:rsidR="008A1DBB" w:rsidRPr="004F6600">
        <w:t xml:space="preserve">Others, most notably </w:t>
      </w:r>
      <w:r w:rsidR="004707E5" w:rsidRPr="004F6600">
        <w:t xml:space="preserve">Peter King and John Langbein, have challenged this interpretation, </w:t>
      </w:r>
      <w:r w:rsidR="009D705A" w:rsidRPr="004F6600">
        <w:t xml:space="preserve">pointing out the great deal of discretion that operated at all levels of the criminal justice system undermined the ability of any one group to use the courts </w:t>
      </w:r>
      <w:r w:rsidR="004F6600" w:rsidRPr="004F6600">
        <w:t xml:space="preserve">to </w:t>
      </w:r>
      <w:r w:rsidR="002E6A68" w:rsidRPr="004F6600">
        <w:t>pursue their own ends</w:t>
      </w:r>
      <w:r w:rsidR="005E5C6A" w:rsidRPr="004F6600">
        <w:t>.</w:t>
      </w:r>
      <w:r w:rsidR="005E5C6A" w:rsidRPr="004F6600">
        <w:rPr>
          <w:rStyle w:val="EndnoteReference"/>
        </w:rPr>
        <w:endnoteReference w:id="3"/>
      </w:r>
      <w:r w:rsidR="002E6A68" w:rsidRPr="004F6600">
        <w:t xml:space="preserve"> </w:t>
      </w:r>
      <w:r w:rsidR="004F6600" w:rsidRPr="004F6600">
        <w:t xml:space="preserve">Other </w:t>
      </w:r>
      <w:r w:rsidR="00670CB4" w:rsidRPr="004F6600">
        <w:t xml:space="preserve">historians have explored the reasons </w:t>
      </w:r>
      <w:r w:rsidR="005D402A" w:rsidRPr="004F6600">
        <w:t>behind the reform of</w:t>
      </w:r>
      <w:r w:rsidR="00670CB4" w:rsidRPr="004F6600">
        <w:t xml:space="preserve"> the Bloody Code </w:t>
      </w:r>
      <w:r w:rsidR="005D402A" w:rsidRPr="004F6600">
        <w:t xml:space="preserve">from </w:t>
      </w:r>
      <w:r w:rsidR="00CC6739" w:rsidRPr="004F6600">
        <w:t>the 1820s</w:t>
      </w:r>
      <w:r w:rsidR="00670CB4" w:rsidRPr="004F6600">
        <w:t xml:space="preserve"> onwards, </w:t>
      </w:r>
      <w:r w:rsidR="00CC6739" w:rsidRPr="004F6600">
        <w:t xml:space="preserve">exploring the influence of </w:t>
      </w:r>
      <w:r w:rsidR="005700EC" w:rsidRPr="004F6600">
        <w:t>controversy around</w:t>
      </w:r>
      <w:r w:rsidR="00CC6739" w:rsidRPr="004F6600">
        <w:t xml:space="preserve"> forgery convictions and the emergence of new notions of sympathy </w:t>
      </w:r>
      <w:r w:rsidR="005700EC" w:rsidRPr="004F6600">
        <w:t>on the movement for reform</w:t>
      </w:r>
      <w:r w:rsidR="005E5C6A" w:rsidRPr="004F6600">
        <w:t>.</w:t>
      </w:r>
      <w:r w:rsidR="005E5C6A" w:rsidRPr="004F6600">
        <w:rPr>
          <w:rStyle w:val="EndnoteReference"/>
        </w:rPr>
        <w:endnoteReference w:id="4"/>
      </w:r>
    </w:p>
    <w:p w14:paraId="3FA6A6D2" w14:textId="77777777" w:rsidR="00F52D2B" w:rsidRDefault="00F52D2B" w:rsidP="00CB1AD4">
      <w:pPr>
        <w:spacing w:line="360" w:lineRule="auto"/>
        <w:jc w:val="both"/>
        <w:rPr>
          <w:color w:val="FF0000"/>
        </w:rPr>
      </w:pPr>
    </w:p>
    <w:p w14:paraId="6E32DA72" w14:textId="1C1589E4" w:rsidR="00670CB4" w:rsidRPr="00F52D2B" w:rsidRDefault="00F52D2B" w:rsidP="00F52D2B">
      <w:pPr>
        <w:spacing w:line="360" w:lineRule="auto"/>
        <w:ind w:firstLine="720"/>
        <w:jc w:val="both"/>
      </w:pPr>
      <w:r>
        <w:t>To date, mos</w:t>
      </w:r>
      <w:r w:rsidRPr="00F52D2B">
        <w:t>t</w:t>
      </w:r>
      <w:r w:rsidRPr="004E7367">
        <w:rPr>
          <w:color w:val="FF0000"/>
        </w:rPr>
        <w:t xml:space="preserve"> </w:t>
      </w:r>
      <w:r w:rsidRPr="00791466">
        <w:t>research – most notably the magisterial studies by John Beattie and Peter King published in the 1980s – have focused on the South East of England and the Old Bailey.</w:t>
      </w:r>
      <w:r w:rsidRPr="00791466">
        <w:rPr>
          <w:rStyle w:val="EndnoteReference"/>
        </w:rPr>
        <w:endnoteReference w:id="5"/>
      </w:r>
      <w:r w:rsidRPr="00791466">
        <w:t xml:space="preserve">  However, more recently</w:t>
      </w:r>
      <w:r>
        <w:rPr>
          <w:color w:val="FF0000"/>
        </w:rPr>
        <w:t xml:space="preserve"> </w:t>
      </w:r>
      <w:r w:rsidRPr="00A86557">
        <w:t xml:space="preserve">several scholars have begun to explore the wide regional variations between </w:t>
      </w:r>
      <w:r>
        <w:t xml:space="preserve">the </w:t>
      </w:r>
      <w:r w:rsidRPr="00A86557">
        <w:t>centre and periphery in how the Bloody Code operated, or what has been termed the ‘Unbloody Code’.</w:t>
      </w:r>
      <w:r>
        <w:t xml:space="preserve"> </w:t>
      </w:r>
      <w:r w:rsidR="002B1D2E" w:rsidRPr="00A86557">
        <w:t xml:space="preserve">Focusing </w:t>
      </w:r>
      <w:r w:rsidR="002B1D2E" w:rsidRPr="00A86557">
        <w:lastRenderedPageBreak/>
        <w:t xml:space="preserve">on the mid to late eighteenth century, </w:t>
      </w:r>
      <w:r w:rsidR="00DC062D" w:rsidRPr="00A86557">
        <w:t xml:space="preserve">Peter King and his colleagues on the Harnessing the Power of the Criminal Corpse Project have </w:t>
      </w:r>
      <w:r w:rsidR="002B1D2E" w:rsidRPr="00A86557">
        <w:t xml:space="preserve">shown how capital conviction rates </w:t>
      </w:r>
      <w:r w:rsidR="001A44F5" w:rsidRPr="00A86557">
        <w:t xml:space="preserve">for property offenders </w:t>
      </w:r>
      <w:r w:rsidR="002B1D2E" w:rsidRPr="00A86557">
        <w:t xml:space="preserve">in Middlesex were over four times higher than in </w:t>
      </w:r>
      <w:r w:rsidR="001A44F5" w:rsidRPr="00A86557">
        <w:t xml:space="preserve">Wales and in English counties such as Northumberland and Cornwall. In addition, whereas just over half of those convicted of property offences in Middlesex were pardoned, almost 95% were pardoned in the latter counties. </w:t>
      </w:r>
      <w:r w:rsidR="00CE57A9" w:rsidRPr="00A86557">
        <w:t xml:space="preserve">More broadly, of the 1082 property offenders executed in </w:t>
      </w:r>
      <w:r w:rsidR="00A86557" w:rsidRPr="00A86557">
        <w:t>England, Wales and Scotland</w:t>
      </w:r>
      <w:r w:rsidR="00CE57A9" w:rsidRPr="00A86557">
        <w:t xml:space="preserve"> between 1755 and 1775, 98% were executed in England alone.</w:t>
      </w:r>
      <w:r w:rsidR="00CE57A9" w:rsidRPr="00A86557">
        <w:rPr>
          <w:rStyle w:val="EndnoteReference"/>
        </w:rPr>
        <w:endnoteReference w:id="6"/>
      </w:r>
      <w:r w:rsidR="00CE57A9" w:rsidRPr="00A86557">
        <w:t xml:space="preserve"> </w:t>
      </w:r>
      <w:r w:rsidR="00503950" w:rsidRPr="00EC158B">
        <w:t>Similarly, in their work on the Wales Great Sessions between 1805 and 1830, John Walliss and John Minkes have shown</w:t>
      </w:r>
      <w:r w:rsidR="00A86557" w:rsidRPr="00EC158B">
        <w:t xml:space="preserve"> how </w:t>
      </w:r>
      <w:r w:rsidR="00EC158B" w:rsidRPr="00EC158B">
        <w:t xml:space="preserve">just under a fifth </w:t>
      </w:r>
      <w:r w:rsidR="007A58D1">
        <w:t xml:space="preserve">of </w:t>
      </w:r>
      <w:r w:rsidR="00EC158B" w:rsidRPr="00EC158B">
        <w:t xml:space="preserve">indictments were dismissed as no True Bill or No Prosecution. Of those persons who were tried, </w:t>
      </w:r>
      <w:r w:rsidR="007A58D1" w:rsidRPr="007A58D1">
        <w:t>around two-thirds were found guilty</w:t>
      </w:r>
      <w:r w:rsidR="00EC158B" w:rsidRPr="007A58D1">
        <w:t>,</w:t>
      </w:r>
      <w:r w:rsidR="00EC158B" w:rsidRPr="00EC158B">
        <w:t xml:space="preserve"> the majority receiving a prison sentence of less than a year. Executions were relatively rare, with only 42 </w:t>
      </w:r>
      <w:r w:rsidR="00825624">
        <w:t xml:space="preserve">(or 2.5%) </w:t>
      </w:r>
      <w:r w:rsidR="00EC158B" w:rsidRPr="00EC158B">
        <w:t>of the 557 persons sentenced to death during the period dying on the gallows.</w:t>
      </w:r>
      <w:r w:rsidR="00EC158B" w:rsidRPr="00EC158B">
        <w:rPr>
          <w:rStyle w:val="EndnoteReference"/>
        </w:rPr>
        <w:endnoteReference w:id="7"/>
      </w:r>
      <w:r w:rsidR="00EC158B">
        <w:rPr>
          <w:color w:val="FF0000"/>
        </w:rPr>
        <w:t xml:space="preserve"> </w:t>
      </w:r>
    </w:p>
    <w:p w14:paraId="759DC049" w14:textId="77777777" w:rsidR="00503950" w:rsidRDefault="00503950" w:rsidP="00503950">
      <w:pPr>
        <w:spacing w:line="360" w:lineRule="auto"/>
        <w:jc w:val="both"/>
        <w:rPr>
          <w:color w:val="FF0000"/>
        </w:rPr>
      </w:pPr>
    </w:p>
    <w:p w14:paraId="6D1E940E" w14:textId="3BF4983D" w:rsidR="008D455F" w:rsidRDefault="00F52D2B" w:rsidP="00503950">
      <w:pPr>
        <w:spacing w:line="360" w:lineRule="auto"/>
        <w:jc w:val="both"/>
        <w:rPr>
          <w:lang w:val="en-GB"/>
        </w:rPr>
      </w:pPr>
      <w:r>
        <w:rPr>
          <w:color w:val="FF0000"/>
        </w:rPr>
        <w:tab/>
      </w:r>
      <w:r w:rsidRPr="004E7EB2">
        <w:t xml:space="preserve">The aim of this article is to contribute to this debate by exploring the operation of the Bloody Code in Cheshire between 1805 and 1830, </w:t>
      </w:r>
      <w:r w:rsidR="00791466" w:rsidRPr="004E7EB2">
        <w:t xml:space="preserve">the </w:t>
      </w:r>
      <w:r w:rsidR="00791466" w:rsidRPr="004E7EB2">
        <w:rPr>
          <w:lang w:val="en-GB"/>
        </w:rPr>
        <w:t>last quarter of a century of the Chester Great Sessions.</w:t>
      </w:r>
      <w:r w:rsidR="00791466" w:rsidRPr="004E7EB2">
        <w:rPr>
          <w:rStyle w:val="EndnoteReference"/>
          <w:lang w:val="en-GB"/>
        </w:rPr>
        <w:endnoteReference w:id="8"/>
      </w:r>
      <w:r w:rsidR="00791466" w:rsidRPr="004E7EB2">
        <w:rPr>
          <w:lang w:val="en-GB"/>
        </w:rPr>
        <w:t xml:space="preserve"> Previous research on the administration of justice in Cheshire has focused on the Quarter Sessions records, and to date there has been no analysis of the Great Sessions.</w:t>
      </w:r>
      <w:r w:rsidR="00791466" w:rsidRPr="004E7EB2">
        <w:rPr>
          <w:rStyle w:val="EndnoteReference"/>
          <w:lang w:val="en-GB"/>
        </w:rPr>
        <w:endnoteReference w:id="9"/>
      </w:r>
      <w:r w:rsidR="00EC158B">
        <w:rPr>
          <w:lang w:val="en-GB"/>
        </w:rPr>
        <w:t xml:space="preserve"> While not suggesting that Ches</w:t>
      </w:r>
      <w:r w:rsidR="007A58D1">
        <w:rPr>
          <w:lang w:val="en-GB"/>
        </w:rPr>
        <w:t xml:space="preserve">hire </w:t>
      </w:r>
      <w:r w:rsidR="00EC158B">
        <w:rPr>
          <w:lang w:val="en-GB"/>
        </w:rPr>
        <w:t xml:space="preserve">represents a distinct case in the operation of the Bloody Code, the article will use </w:t>
      </w:r>
      <w:r w:rsidR="00D33BDC">
        <w:rPr>
          <w:lang w:val="en-GB"/>
        </w:rPr>
        <w:t xml:space="preserve">the county </w:t>
      </w:r>
      <w:r w:rsidR="007B3864">
        <w:rPr>
          <w:lang w:val="en-GB"/>
        </w:rPr>
        <w:t>as a</w:t>
      </w:r>
      <w:r w:rsidR="00D33BDC">
        <w:rPr>
          <w:lang w:val="en-GB"/>
        </w:rPr>
        <w:t xml:space="preserve"> case study </w:t>
      </w:r>
      <w:r w:rsidR="007B3864">
        <w:rPr>
          <w:lang w:val="en-GB"/>
        </w:rPr>
        <w:t>in</w:t>
      </w:r>
      <w:r w:rsidR="00D33BDC">
        <w:rPr>
          <w:lang w:val="en-GB"/>
        </w:rPr>
        <w:t xml:space="preserve"> the operation of justice during the period away from the South East. The article will arg</w:t>
      </w:r>
      <w:r w:rsidR="00F43C54">
        <w:rPr>
          <w:lang w:val="en-GB"/>
        </w:rPr>
        <w:t>ue that, belying an image of a criminal justice system dripping in the blood of the condemned, the majority of those found guilty at the Chester Great Sessions were sentenced to periods of imprisonment. While sentences of death were passed in around a third of all cases, only 3% of those who received a sentence of death were subsequently executed. Those who subsequently expiated for their crimes on the gallows had typically been convicted of either a serious crime against the person or burglary, the latter crime being one where the Justices were keen to make examples of offenders. Males were also more likely to receive harsher</w:t>
      </w:r>
      <w:r w:rsidR="007C1D32">
        <w:rPr>
          <w:lang w:val="en-GB"/>
        </w:rPr>
        <w:t xml:space="preserve"> sentences, and be executed for a broader range of crimes than </w:t>
      </w:r>
      <w:r w:rsidR="00F27F61">
        <w:rPr>
          <w:lang w:val="en-GB"/>
        </w:rPr>
        <w:t>females</w:t>
      </w:r>
      <w:r w:rsidR="007A58D1">
        <w:rPr>
          <w:lang w:val="en-GB"/>
        </w:rPr>
        <w:t xml:space="preserve">, </w:t>
      </w:r>
      <w:r w:rsidR="007A58D1" w:rsidRPr="00BC3452">
        <w:rPr>
          <w:lang w:val="en-GB"/>
        </w:rPr>
        <w:t>even when convicted of the same offence</w:t>
      </w:r>
      <w:r w:rsidR="007C1D32" w:rsidRPr="00BC3452">
        <w:rPr>
          <w:lang w:val="en-GB"/>
        </w:rPr>
        <w:t xml:space="preserve">. </w:t>
      </w:r>
      <w:r w:rsidR="007C1D32">
        <w:rPr>
          <w:lang w:val="en-GB"/>
        </w:rPr>
        <w:lastRenderedPageBreak/>
        <w:t xml:space="preserve">To this end, the article will be structured </w:t>
      </w:r>
      <w:r w:rsidR="00B60B92">
        <w:rPr>
          <w:lang w:val="en-GB"/>
        </w:rPr>
        <w:t xml:space="preserve">so </w:t>
      </w:r>
      <w:r w:rsidR="00A52D7B">
        <w:rPr>
          <w:lang w:val="en-GB"/>
        </w:rPr>
        <w:t xml:space="preserve">as to trace </w:t>
      </w:r>
      <w:r w:rsidR="007C1D32">
        <w:rPr>
          <w:lang w:val="en-GB"/>
        </w:rPr>
        <w:t xml:space="preserve">the </w:t>
      </w:r>
      <w:r w:rsidR="008D455F">
        <w:rPr>
          <w:lang w:val="en-GB"/>
        </w:rPr>
        <w:t xml:space="preserve">criminal justice process, beginning first by examining the </w:t>
      </w:r>
      <w:r w:rsidR="00E73722">
        <w:rPr>
          <w:lang w:val="en-GB"/>
        </w:rPr>
        <w:t>patterns</w:t>
      </w:r>
      <w:r w:rsidR="008D455F">
        <w:rPr>
          <w:lang w:val="en-GB"/>
        </w:rPr>
        <w:t xml:space="preserve"> of indictments per year and by crime over the period. Having done this, it will then move on to examine the </w:t>
      </w:r>
      <w:r w:rsidR="00E73722">
        <w:rPr>
          <w:lang w:val="en-GB"/>
        </w:rPr>
        <w:t xml:space="preserve">outcomes of prosecutions; the </w:t>
      </w:r>
      <w:r w:rsidR="0084518C">
        <w:rPr>
          <w:lang w:val="en-GB"/>
        </w:rPr>
        <w:t xml:space="preserve">different </w:t>
      </w:r>
      <w:r w:rsidR="008D455F">
        <w:rPr>
          <w:lang w:val="en-GB"/>
        </w:rPr>
        <w:t xml:space="preserve">verdicts </w:t>
      </w:r>
      <w:r w:rsidR="0084518C">
        <w:rPr>
          <w:lang w:val="en-GB"/>
        </w:rPr>
        <w:t xml:space="preserve">passed for different offences and the sentences handed down. Finally, the analysis will narrow down to sentences of death, exploring the impact of gender and </w:t>
      </w:r>
      <w:r w:rsidR="007B3864">
        <w:rPr>
          <w:lang w:val="en-GB"/>
        </w:rPr>
        <w:t>the type of offence</w:t>
      </w:r>
      <w:r w:rsidR="0084518C">
        <w:rPr>
          <w:lang w:val="en-GB"/>
        </w:rPr>
        <w:t xml:space="preserve"> on whether or not a capitally convicted felon hanged.   </w:t>
      </w:r>
    </w:p>
    <w:p w14:paraId="3ECA4390" w14:textId="77777777" w:rsidR="004707E5" w:rsidRDefault="004707E5" w:rsidP="00CB1AD4">
      <w:pPr>
        <w:spacing w:line="360" w:lineRule="auto"/>
        <w:jc w:val="both"/>
        <w:rPr>
          <w:lang w:val="en-GB"/>
        </w:rPr>
      </w:pPr>
    </w:p>
    <w:p w14:paraId="4461B46B" w14:textId="77777777" w:rsidR="0084518C" w:rsidRPr="004E7367" w:rsidRDefault="0084518C" w:rsidP="00CB1AD4">
      <w:pPr>
        <w:spacing w:line="360" w:lineRule="auto"/>
        <w:jc w:val="both"/>
        <w:rPr>
          <w:color w:val="FF0000"/>
          <w:lang w:val="en-GB"/>
        </w:rPr>
      </w:pPr>
    </w:p>
    <w:p w14:paraId="0E581467" w14:textId="55D56294" w:rsidR="0000794C" w:rsidRPr="00981739" w:rsidRDefault="0000794C" w:rsidP="00CB1AD4">
      <w:pPr>
        <w:spacing w:line="360" w:lineRule="auto"/>
        <w:jc w:val="both"/>
        <w:rPr>
          <w:b/>
          <w:sz w:val="28"/>
          <w:szCs w:val="28"/>
          <w:lang w:val="en-GB"/>
        </w:rPr>
      </w:pPr>
      <w:r w:rsidRPr="00981739">
        <w:rPr>
          <w:b/>
          <w:sz w:val="28"/>
          <w:szCs w:val="28"/>
          <w:lang w:val="en-GB"/>
        </w:rPr>
        <w:t>Analysis</w:t>
      </w:r>
    </w:p>
    <w:p w14:paraId="2B9362FB" w14:textId="77777777" w:rsidR="00981739" w:rsidRDefault="00981739" w:rsidP="00D33BDC">
      <w:pPr>
        <w:spacing w:line="360" w:lineRule="auto"/>
        <w:jc w:val="both"/>
        <w:rPr>
          <w:color w:val="FF0000"/>
          <w:lang w:val="en-GB"/>
        </w:rPr>
      </w:pPr>
    </w:p>
    <w:p w14:paraId="7343705B" w14:textId="7823D749" w:rsidR="00D33BDC" w:rsidRPr="004E7367" w:rsidRDefault="00D33BDC" w:rsidP="00D33BDC">
      <w:pPr>
        <w:spacing w:line="360" w:lineRule="auto"/>
        <w:jc w:val="both"/>
        <w:rPr>
          <w:color w:val="FF0000"/>
          <w:lang w:val="en-GB"/>
        </w:rPr>
      </w:pPr>
      <w:r w:rsidRPr="00027E7C">
        <w:rPr>
          <w:lang w:val="en-GB"/>
        </w:rPr>
        <w:t>The documents that form the basis of analysis are the Criminal Registers for the Court of Great Sessions for the years 1805 to 1830.</w:t>
      </w:r>
      <w:r w:rsidRPr="00027E7C">
        <w:rPr>
          <w:rStyle w:val="EndnoteReference"/>
          <w:lang w:val="en-GB"/>
        </w:rPr>
        <w:endnoteReference w:id="10"/>
      </w:r>
      <w:r w:rsidRPr="00027E7C">
        <w:rPr>
          <w:lang w:val="en-GB"/>
        </w:rPr>
        <w:t xml:space="preserve"> Historians have long cautioned against both the uncritical reading of judicial records as a measure of crime in the past, as well as highlighting problems with the accuracy and reliability of some of the information that they contain.</w:t>
      </w:r>
      <w:r w:rsidRPr="00027E7C">
        <w:rPr>
          <w:rStyle w:val="EndnoteReference"/>
          <w:lang w:val="en-GB"/>
        </w:rPr>
        <w:endnoteReference w:id="11"/>
      </w:r>
      <w:r w:rsidRPr="00027E7C">
        <w:rPr>
          <w:lang w:val="en-GB"/>
        </w:rPr>
        <w:t xml:space="preserve"> Mindful of this, the present research makes no claims about levels of crime, capital or other, in Cheshire during the period but rather restricts itself to that information that can be obtained with some certainty</w:t>
      </w:r>
      <w:r w:rsidR="00027E7C" w:rsidRPr="00027E7C">
        <w:rPr>
          <w:lang w:val="en-GB"/>
        </w:rPr>
        <w:t xml:space="preserve"> from the Criminal Registers</w:t>
      </w:r>
      <w:r w:rsidRPr="00027E7C">
        <w:rPr>
          <w:lang w:val="en-GB"/>
        </w:rPr>
        <w:t xml:space="preserve">; namely the year in which the trial took place, the gender of the convict, the crime for which they were tried, the verdict, and whether they were executed or </w:t>
      </w:r>
      <w:r w:rsidR="007B3864">
        <w:rPr>
          <w:lang w:val="en-GB"/>
        </w:rPr>
        <w:t>pardoned</w:t>
      </w:r>
      <w:r w:rsidRPr="00027E7C">
        <w:rPr>
          <w:lang w:val="en-GB"/>
        </w:rPr>
        <w:t>.</w:t>
      </w:r>
      <w:r w:rsidRPr="004E7367">
        <w:rPr>
          <w:color w:val="FF0000"/>
          <w:lang w:val="en-GB"/>
        </w:rPr>
        <w:t xml:space="preserve"> </w:t>
      </w:r>
      <w:r w:rsidRPr="00E73722">
        <w:rPr>
          <w:lang w:val="en-GB"/>
        </w:rPr>
        <w:t>The Criminal Registers for the period were then coded and analysed via the statistical software package SPSS v.20</w:t>
      </w:r>
      <w:r w:rsidR="007A58D1">
        <w:rPr>
          <w:lang w:val="en-GB"/>
        </w:rPr>
        <w:t>.</w:t>
      </w:r>
      <w:r w:rsidRPr="00E73722">
        <w:rPr>
          <w:lang w:val="en-GB"/>
        </w:rPr>
        <w:t xml:space="preserve"> To simplify the analysis, the crimes for which convicts were tried were classified into t</w:t>
      </w:r>
      <w:r w:rsidR="00027E7C" w:rsidRPr="00E73722">
        <w:rPr>
          <w:lang w:val="en-GB"/>
        </w:rPr>
        <w:t>wenty-</w:t>
      </w:r>
      <w:r w:rsidR="00E31112">
        <w:rPr>
          <w:lang w:val="en-GB"/>
        </w:rPr>
        <w:t>three</w:t>
      </w:r>
      <w:r w:rsidR="00027E7C" w:rsidRPr="00E73722">
        <w:rPr>
          <w:lang w:val="en-GB"/>
        </w:rPr>
        <w:t xml:space="preserve"> broad offence groups.</w:t>
      </w:r>
      <w:r w:rsidR="00027E7C" w:rsidRPr="00E73722">
        <w:rPr>
          <w:rStyle w:val="EndnoteReference"/>
          <w:lang w:val="en-GB"/>
        </w:rPr>
        <w:endnoteReference w:id="12"/>
      </w:r>
    </w:p>
    <w:p w14:paraId="64135CA0" w14:textId="77777777" w:rsidR="0000794C" w:rsidRPr="004E7367" w:rsidRDefault="0000794C" w:rsidP="00CB1AD4">
      <w:pPr>
        <w:spacing w:line="360" w:lineRule="auto"/>
        <w:jc w:val="both"/>
        <w:rPr>
          <w:color w:val="FF0000"/>
          <w:lang w:val="en-GB"/>
        </w:rPr>
      </w:pPr>
    </w:p>
    <w:p w14:paraId="58EB57EF" w14:textId="5DB08816" w:rsidR="004E547F" w:rsidRPr="00E73722" w:rsidRDefault="004E547F" w:rsidP="00CB1AD4">
      <w:pPr>
        <w:spacing w:line="360" w:lineRule="auto"/>
        <w:jc w:val="both"/>
        <w:rPr>
          <w:i/>
          <w:sz w:val="28"/>
          <w:szCs w:val="28"/>
          <w:lang w:val="en-GB"/>
        </w:rPr>
      </w:pPr>
      <w:r w:rsidRPr="00E73722">
        <w:rPr>
          <w:i/>
          <w:sz w:val="28"/>
          <w:szCs w:val="28"/>
          <w:lang w:val="en-GB"/>
        </w:rPr>
        <w:t xml:space="preserve">Patterns of </w:t>
      </w:r>
      <w:r w:rsidR="00B2149F" w:rsidRPr="00E73722">
        <w:rPr>
          <w:i/>
          <w:sz w:val="28"/>
          <w:szCs w:val="28"/>
          <w:lang w:val="en-GB"/>
        </w:rPr>
        <w:t>Indictments</w:t>
      </w:r>
    </w:p>
    <w:p w14:paraId="6D3B0183" w14:textId="77777777" w:rsidR="00AE3A90" w:rsidRPr="004E7367" w:rsidRDefault="00AE3A90" w:rsidP="00CB1AD4">
      <w:pPr>
        <w:spacing w:line="360" w:lineRule="auto"/>
        <w:jc w:val="both"/>
        <w:rPr>
          <w:color w:val="FF0000"/>
          <w:lang w:val="en-GB"/>
        </w:rPr>
      </w:pPr>
    </w:p>
    <w:p w14:paraId="531CDB97" w14:textId="7F072FCB" w:rsidR="006D40D5" w:rsidRPr="00EA0665" w:rsidRDefault="00A1329D" w:rsidP="00CB1AD4">
      <w:pPr>
        <w:spacing w:line="360" w:lineRule="auto"/>
        <w:jc w:val="both"/>
        <w:rPr>
          <w:lang w:val="en-GB"/>
        </w:rPr>
      </w:pPr>
      <w:r w:rsidRPr="00EA0665">
        <w:rPr>
          <w:lang w:val="en-GB"/>
        </w:rPr>
        <w:lastRenderedPageBreak/>
        <w:t xml:space="preserve">Between 1805-1830, </w:t>
      </w:r>
      <w:r w:rsidR="006D40D5" w:rsidRPr="00EA0665">
        <w:rPr>
          <w:lang w:val="en-GB"/>
        </w:rPr>
        <w:t>2101</w:t>
      </w:r>
      <w:r w:rsidRPr="00EA0665">
        <w:rPr>
          <w:lang w:val="en-GB"/>
        </w:rPr>
        <w:t xml:space="preserve"> persons were </w:t>
      </w:r>
      <w:r w:rsidR="00371523" w:rsidRPr="00EA0665">
        <w:rPr>
          <w:lang w:val="en-GB"/>
        </w:rPr>
        <w:t>indicted at</w:t>
      </w:r>
      <w:r w:rsidRPr="00EA0665">
        <w:rPr>
          <w:lang w:val="en-GB"/>
        </w:rPr>
        <w:t xml:space="preserve"> the Chester Court of Great Sessions:</w:t>
      </w:r>
    </w:p>
    <w:p w14:paraId="51C17EB9" w14:textId="77777777" w:rsidR="00CB1AD4" w:rsidRDefault="00CB1AD4" w:rsidP="00CB1AD4">
      <w:pPr>
        <w:spacing w:line="360" w:lineRule="auto"/>
        <w:jc w:val="both"/>
        <w:rPr>
          <w:color w:val="FF0000"/>
          <w:lang w:val="en-GB"/>
        </w:rPr>
      </w:pPr>
    </w:p>
    <w:p w14:paraId="678C08D5" w14:textId="48905693" w:rsidR="004E7367" w:rsidRPr="004E7367" w:rsidRDefault="004E7367" w:rsidP="004E7367">
      <w:pPr>
        <w:spacing w:after="0" w:line="360" w:lineRule="auto"/>
        <w:jc w:val="both"/>
        <w:rPr>
          <w:lang w:val="en-GB"/>
        </w:rPr>
      </w:pPr>
      <w:r w:rsidRPr="004E7367">
        <w:rPr>
          <w:b/>
          <w:lang w:val="en-GB"/>
        </w:rPr>
        <w:t>Figure 1:</w:t>
      </w:r>
      <w:r w:rsidRPr="004E7367">
        <w:rPr>
          <w:lang w:val="en-GB"/>
        </w:rPr>
        <w:t xml:space="preserve"> the number of persons indicted at the Chester Great Sessions, 1805-30.</w:t>
      </w:r>
    </w:p>
    <w:p w14:paraId="1521044D" w14:textId="0E8D98DF" w:rsidR="006D40D5" w:rsidRPr="004E7367" w:rsidRDefault="004E547F" w:rsidP="00CB1AD4">
      <w:pPr>
        <w:spacing w:after="0" w:line="360" w:lineRule="auto"/>
        <w:jc w:val="both"/>
        <w:rPr>
          <w:color w:val="FF0000"/>
          <w:lang w:val="en-GB"/>
        </w:rPr>
      </w:pPr>
      <w:r w:rsidRPr="004E7367">
        <w:rPr>
          <w:rFonts w:ascii="Arial" w:hAnsi="Arial" w:cs="Arial"/>
          <w:noProof/>
          <w:color w:val="FF0000"/>
          <w:lang w:eastAsia="en-US"/>
        </w:rPr>
        <w:drawing>
          <wp:inline distT="0" distB="0" distL="0" distR="0" wp14:anchorId="692E6CBD" wp14:editId="0E6DDEEF">
            <wp:extent cx="5270500" cy="2893608"/>
            <wp:effectExtent l="0" t="0" r="12700" b="2794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0407CE" w14:textId="77777777" w:rsidR="006D40D5" w:rsidRPr="004E7367" w:rsidRDefault="006D40D5" w:rsidP="00CB1AD4">
      <w:pPr>
        <w:spacing w:after="0" w:line="360" w:lineRule="auto"/>
        <w:jc w:val="both"/>
        <w:rPr>
          <w:color w:val="FF0000"/>
          <w:lang w:val="en-GB"/>
        </w:rPr>
      </w:pPr>
    </w:p>
    <w:p w14:paraId="0125FD4A" w14:textId="77777777" w:rsidR="008E22FD" w:rsidRPr="004E7367" w:rsidRDefault="008E22FD" w:rsidP="00CB1AD4">
      <w:pPr>
        <w:spacing w:after="0" w:line="360" w:lineRule="auto"/>
        <w:jc w:val="both"/>
        <w:rPr>
          <w:color w:val="FF0000"/>
          <w:lang w:val="en-GB"/>
        </w:rPr>
      </w:pPr>
    </w:p>
    <w:p w14:paraId="16636B3B" w14:textId="2550945D" w:rsidR="007F6891" w:rsidRPr="00EA0665" w:rsidRDefault="008E22FD" w:rsidP="00CB1AD4">
      <w:pPr>
        <w:spacing w:after="0" w:line="360" w:lineRule="auto"/>
        <w:jc w:val="both"/>
        <w:rPr>
          <w:lang w:val="en-GB"/>
        </w:rPr>
      </w:pPr>
      <w:r w:rsidRPr="00EA0665">
        <w:rPr>
          <w:lang w:val="en-GB"/>
        </w:rPr>
        <w:t xml:space="preserve">The number of persons indicted </w:t>
      </w:r>
      <w:r w:rsidR="00DB572A" w:rsidRPr="00EA0665">
        <w:rPr>
          <w:lang w:val="en-GB"/>
        </w:rPr>
        <w:t>increased fourfold</w:t>
      </w:r>
      <w:r w:rsidRPr="00EA0665">
        <w:rPr>
          <w:lang w:val="en-GB"/>
        </w:rPr>
        <w:t xml:space="preserve"> over the period from 38 in 1805 to 153 in 1839. </w:t>
      </w:r>
      <w:r w:rsidR="007F6891" w:rsidRPr="00EA0665">
        <w:rPr>
          <w:lang w:val="en-GB"/>
        </w:rPr>
        <w:t>Until 1816, t</w:t>
      </w:r>
      <w:r w:rsidRPr="00EA0665">
        <w:rPr>
          <w:lang w:val="en-GB"/>
        </w:rPr>
        <w:t>he number of indictments remained below one hundred per yea</w:t>
      </w:r>
      <w:r w:rsidR="00274FCD" w:rsidRPr="00EA0665">
        <w:rPr>
          <w:lang w:val="en-GB"/>
        </w:rPr>
        <w:t xml:space="preserve">r, before reaching 143 in 1819. Between 1819 and 1823, the number of indictments then fell rapidly, before rising again between 1825 and 1829. </w:t>
      </w:r>
      <w:r w:rsidR="007F6891" w:rsidRPr="00EA0665">
        <w:rPr>
          <w:lang w:val="en-GB"/>
        </w:rPr>
        <w:t>Th</w:t>
      </w:r>
      <w:r w:rsidR="00371523" w:rsidRPr="00EA0665">
        <w:rPr>
          <w:lang w:val="en-GB"/>
        </w:rPr>
        <w:t>e</w:t>
      </w:r>
      <w:r w:rsidR="007F6891" w:rsidRPr="00EA0665">
        <w:rPr>
          <w:lang w:val="en-GB"/>
        </w:rPr>
        <w:t xml:space="preserve"> growth </w:t>
      </w:r>
      <w:r w:rsidR="00274FCD" w:rsidRPr="00EA0665">
        <w:rPr>
          <w:lang w:val="en-GB"/>
        </w:rPr>
        <w:t xml:space="preserve">after 1816 </w:t>
      </w:r>
      <w:r w:rsidR="007F6891" w:rsidRPr="00EA0665">
        <w:rPr>
          <w:lang w:val="en-GB"/>
        </w:rPr>
        <w:t>mirrors trends across England and Wales; the end of the Napoleonic Wars coupled with the shift in the economy from a war foo</w:t>
      </w:r>
      <w:r w:rsidR="00A06E50">
        <w:rPr>
          <w:lang w:val="en-GB"/>
        </w:rPr>
        <w:t>ting to peacetime production le</w:t>
      </w:r>
      <w:r w:rsidR="007F6891" w:rsidRPr="00EA0665">
        <w:rPr>
          <w:lang w:val="en-GB"/>
        </w:rPr>
        <w:t xml:space="preserve">d to a period of social and economic disruption, rising prices, and a rise in </w:t>
      </w:r>
      <w:r w:rsidR="00E80115" w:rsidRPr="00EA0665">
        <w:rPr>
          <w:lang w:val="en-GB"/>
        </w:rPr>
        <w:t xml:space="preserve">indictments for property offences </w:t>
      </w:r>
      <w:r w:rsidR="007F6891" w:rsidRPr="00EA0665">
        <w:rPr>
          <w:lang w:val="en-GB"/>
        </w:rPr>
        <w:t>across England and Wales.</w:t>
      </w:r>
      <w:r w:rsidR="00D440F0" w:rsidRPr="00EA0665">
        <w:rPr>
          <w:rStyle w:val="EndnoteReference"/>
          <w:lang w:val="en-GB"/>
        </w:rPr>
        <w:endnoteReference w:id="13"/>
      </w:r>
      <w:r w:rsidR="007F6891" w:rsidRPr="004E7367">
        <w:rPr>
          <w:color w:val="FF0000"/>
          <w:lang w:val="en-GB"/>
        </w:rPr>
        <w:t xml:space="preserve"> </w:t>
      </w:r>
      <w:r w:rsidR="00D440F0" w:rsidRPr="00EA0665">
        <w:rPr>
          <w:lang w:val="en-GB"/>
        </w:rPr>
        <w:t>The Justices that oversaw the Chester Great Sessions between 1816 and 1819 regularly commented with alarm during their opening address on the increase in the number of convicts that appeared before them, offering their own theories on its cause. When he opened the Summer 1816 Sessions, Chief Justice Garrow, for example, observed that “it is with deep regret…[that]…I perceive that in the Calendar which the Sherriff has put into my hands, there are so many names”.</w:t>
      </w:r>
      <w:r w:rsidR="00D440F0" w:rsidRPr="00EA0665">
        <w:rPr>
          <w:rStyle w:val="EndnoteReference"/>
          <w:lang w:val="en-GB"/>
        </w:rPr>
        <w:endnoteReference w:id="14"/>
      </w:r>
      <w:r w:rsidR="00D440F0" w:rsidRPr="00EA0665">
        <w:rPr>
          <w:lang w:val="en-GB"/>
        </w:rPr>
        <w:t xml:space="preserve"> For Garrow, this was symptomatic of the transition from peace to war; </w:t>
      </w:r>
    </w:p>
    <w:p w14:paraId="45FE8BF2" w14:textId="77777777" w:rsidR="00D440F0" w:rsidRPr="00EA0665" w:rsidRDefault="00D440F0" w:rsidP="00CB1AD4">
      <w:pPr>
        <w:spacing w:after="0" w:line="360" w:lineRule="auto"/>
        <w:jc w:val="both"/>
        <w:rPr>
          <w:lang w:val="en-GB"/>
        </w:rPr>
      </w:pPr>
    </w:p>
    <w:p w14:paraId="514B946F" w14:textId="35667144" w:rsidR="00D440F0" w:rsidRPr="00EA0665" w:rsidRDefault="00D440F0" w:rsidP="00CB1AD4">
      <w:pPr>
        <w:spacing w:after="0" w:line="360" w:lineRule="auto"/>
        <w:ind w:left="567" w:hanging="567"/>
        <w:jc w:val="both"/>
        <w:rPr>
          <w:lang w:val="en-GB"/>
        </w:rPr>
      </w:pPr>
      <w:r w:rsidRPr="00EA0665">
        <w:rPr>
          <w:lang w:val="en-GB"/>
        </w:rPr>
        <w:tab/>
      </w:r>
      <w:r w:rsidRPr="00EA0665">
        <w:t>We are yet in the very infancy of Peace; and it must be expected after the dreadful convulsions which we, in common with the world, have experienced, and the influx of so many persons which the war employed that the country cannot immediately return to a state of quiet and prosperity. The good sense, however, of the people of Great Britain, will no doubt compete against distress unavoidable, as it did against the late dangers of protracted war.</w:t>
      </w:r>
      <w:r w:rsidRPr="00EA0665">
        <w:rPr>
          <w:vertAlign w:val="superscript"/>
        </w:rPr>
        <w:endnoteReference w:id="15"/>
      </w:r>
    </w:p>
    <w:p w14:paraId="4C87E252" w14:textId="77777777" w:rsidR="00D440F0" w:rsidRPr="00EA0665" w:rsidRDefault="00D440F0" w:rsidP="00CB1AD4">
      <w:pPr>
        <w:spacing w:after="0" w:line="360" w:lineRule="auto"/>
        <w:jc w:val="both"/>
        <w:rPr>
          <w:lang w:val="en-GB"/>
        </w:rPr>
      </w:pPr>
    </w:p>
    <w:p w14:paraId="301FF863" w14:textId="7ECD1F88" w:rsidR="00D440F0" w:rsidRPr="004E7367" w:rsidRDefault="00D440F0" w:rsidP="00CB1AD4">
      <w:pPr>
        <w:spacing w:after="0" w:line="360" w:lineRule="auto"/>
        <w:ind w:firstLine="567"/>
        <w:jc w:val="both"/>
        <w:rPr>
          <w:color w:val="FF0000"/>
          <w:lang w:val="en-GB"/>
        </w:rPr>
      </w:pPr>
      <w:r w:rsidRPr="00EA0665">
        <w:rPr>
          <w:lang w:val="en-GB"/>
        </w:rPr>
        <w:t xml:space="preserve">The following </w:t>
      </w:r>
      <w:r w:rsidR="0017374B" w:rsidRPr="00EA0665">
        <w:rPr>
          <w:lang w:val="en-GB"/>
        </w:rPr>
        <w:t xml:space="preserve">Spring, W.D. Best Esq., Serjeant at Law, railed at how the </w:t>
      </w:r>
      <w:r w:rsidR="006755E3">
        <w:rPr>
          <w:lang w:val="en-GB"/>
        </w:rPr>
        <w:t>list if prisoners</w:t>
      </w:r>
      <w:r w:rsidR="0017374B" w:rsidRPr="00EA0665">
        <w:rPr>
          <w:lang w:val="en-GB"/>
        </w:rPr>
        <w:t xml:space="preserve"> before him “was a calendar of depravity, shocking to humanity, and could not be look at without fear, and the most painful sensations”, although he, like Garrow, explained the situation as consequence of ‘temporary causes’ which would soon dissipate.</w:t>
      </w:r>
      <w:r w:rsidR="0017374B" w:rsidRPr="00EA0665">
        <w:rPr>
          <w:rStyle w:val="EndnoteReference"/>
          <w:lang w:val="en-GB"/>
        </w:rPr>
        <w:endnoteReference w:id="16"/>
      </w:r>
      <w:r w:rsidR="0017374B" w:rsidRPr="00EA0665">
        <w:rPr>
          <w:lang w:val="en-GB"/>
        </w:rPr>
        <w:t xml:space="preserve"> An alternative interpretation was offered by Mr Justice Marshall at the opening of the Spring 1818 Great Session, who posited the cause of the continuing increase in size of the Calendar as “…the decline of moral rectitude, and the subversion of the foundations of honor, virtue and religion”.</w:t>
      </w:r>
      <w:r w:rsidR="0017374B" w:rsidRPr="00EA0665">
        <w:rPr>
          <w:rStyle w:val="EndnoteReference"/>
          <w:lang w:val="en-GB"/>
        </w:rPr>
        <w:endnoteReference w:id="17"/>
      </w:r>
      <w:r w:rsidR="0017374B" w:rsidRPr="004E7367">
        <w:rPr>
          <w:color w:val="FF0000"/>
          <w:lang w:val="en-GB"/>
        </w:rPr>
        <w:t xml:space="preserve"> </w:t>
      </w:r>
      <w:r w:rsidR="0017374B" w:rsidRPr="007C70E4">
        <w:rPr>
          <w:lang w:val="en-GB"/>
        </w:rPr>
        <w:t xml:space="preserve">Warming to </w:t>
      </w:r>
      <w:r w:rsidR="007C70E4" w:rsidRPr="007C70E4">
        <w:rPr>
          <w:lang w:val="en-GB"/>
        </w:rPr>
        <w:t xml:space="preserve">this theme, the following year </w:t>
      </w:r>
      <w:r w:rsidR="0017374B" w:rsidRPr="007C70E4">
        <w:rPr>
          <w:lang w:val="en-GB"/>
        </w:rPr>
        <w:t xml:space="preserve">Marshall embarked on a long discourse, </w:t>
      </w:r>
      <w:r w:rsidR="002E7B42" w:rsidRPr="007C70E4">
        <w:rPr>
          <w:lang w:val="en-GB"/>
        </w:rPr>
        <w:t>in which he argued that “the Calendar which now lies before me, affords a melancholy proof of the rapid growth of vice and depravity in this country”.</w:t>
      </w:r>
      <w:r w:rsidR="002E7B42" w:rsidRPr="007C70E4">
        <w:rPr>
          <w:rStyle w:val="EndnoteReference"/>
          <w:lang w:val="en-GB"/>
        </w:rPr>
        <w:endnoteReference w:id="18"/>
      </w:r>
      <w:r w:rsidR="002E7B42" w:rsidRPr="007C70E4">
        <w:rPr>
          <w:lang w:val="en-GB"/>
        </w:rPr>
        <w:t xml:space="preserve"> Rejecting that the claim that the increase could be ascribed to the disbanding of soldiers or stagnation in trade, he put the blame instead at the f</w:t>
      </w:r>
      <w:r w:rsidR="00DB572A" w:rsidRPr="007C70E4">
        <w:rPr>
          <w:lang w:val="en-GB"/>
        </w:rPr>
        <w:t>ee</w:t>
      </w:r>
      <w:r w:rsidR="002E7B42" w:rsidRPr="007C70E4">
        <w:rPr>
          <w:lang w:val="en-GB"/>
        </w:rPr>
        <w:t xml:space="preserve">t of radicals who wished to </w:t>
      </w:r>
      <w:r w:rsidR="00371523" w:rsidRPr="007C70E4">
        <w:rPr>
          <w:lang w:val="en-GB"/>
        </w:rPr>
        <w:t>overthrow the existing order.  The country</w:t>
      </w:r>
      <w:r w:rsidR="00274FCD" w:rsidRPr="007C70E4">
        <w:rPr>
          <w:lang w:val="en-GB"/>
        </w:rPr>
        <w:t xml:space="preserve">, he </w:t>
      </w:r>
      <w:r w:rsidR="000E4DDA">
        <w:rPr>
          <w:lang w:val="en-GB"/>
        </w:rPr>
        <w:t>bemoaned</w:t>
      </w:r>
      <w:r w:rsidR="00274FCD" w:rsidRPr="007C70E4">
        <w:rPr>
          <w:lang w:val="en-GB"/>
        </w:rPr>
        <w:t>,</w:t>
      </w:r>
      <w:r w:rsidR="00274FCD" w:rsidRPr="004E7367">
        <w:rPr>
          <w:color w:val="FF0000"/>
          <w:lang w:val="en-GB"/>
        </w:rPr>
        <w:t xml:space="preserve"> </w:t>
      </w:r>
    </w:p>
    <w:p w14:paraId="7214A1E9" w14:textId="77777777" w:rsidR="00274FCD" w:rsidRPr="004E7367" w:rsidRDefault="00274FCD" w:rsidP="00CB1AD4">
      <w:pPr>
        <w:spacing w:after="0" w:line="360" w:lineRule="auto"/>
        <w:ind w:firstLine="567"/>
        <w:jc w:val="both"/>
        <w:rPr>
          <w:color w:val="FF0000"/>
          <w:lang w:val="en-GB"/>
        </w:rPr>
      </w:pPr>
    </w:p>
    <w:p w14:paraId="7F229E47" w14:textId="3449F414" w:rsidR="00274FCD" w:rsidRPr="007C70E4" w:rsidRDefault="00274FCD" w:rsidP="00CB1AD4">
      <w:pPr>
        <w:spacing w:after="0" w:line="360" w:lineRule="auto"/>
        <w:ind w:left="567"/>
        <w:jc w:val="both"/>
        <w:rPr>
          <w:lang w:val="en-GB"/>
        </w:rPr>
      </w:pPr>
      <w:r w:rsidRPr="007C70E4">
        <w:t xml:space="preserve">has long been deluged with publications, suited to the capacities of the lower orders of the people, and sold at prices which they can easily afford. These publications are filled with blasphemy and profaneness, are calculated to sap the foundation of every moral and social virtue, to destroy all the distinctions between right and wrong, and to sow the seeds of disaffection, treason, and rebellion…A dark and gloomy cloud is made to hang continually over [the readers of this literature]; they are bereaved of all cheerfulness, enjoyment and comfort; they become sullen, morose and </w:t>
      </w:r>
      <w:r w:rsidRPr="007C70E4">
        <w:lastRenderedPageBreak/>
        <w:t>melancholy, till they finally resign themselves to the guidance of those who upon the watch to lead them into mischief, which almost constantly terminates in their ruin; while those perfidious leaders (unless they see some prospect of plundering) keep aloof, and le</w:t>
      </w:r>
      <w:r w:rsidR="00371523" w:rsidRPr="007C70E4">
        <w:t>ave them to their unhappy fates.</w:t>
      </w:r>
      <w:r w:rsidRPr="007C70E4">
        <w:rPr>
          <w:vertAlign w:val="superscript"/>
        </w:rPr>
        <w:endnoteReference w:id="19"/>
      </w:r>
    </w:p>
    <w:p w14:paraId="36030294" w14:textId="77777777" w:rsidR="00B2149F" w:rsidRDefault="00B2149F" w:rsidP="00CB1AD4">
      <w:pPr>
        <w:spacing w:line="360" w:lineRule="auto"/>
        <w:jc w:val="both"/>
        <w:rPr>
          <w:color w:val="FF0000"/>
          <w:lang w:val="en-GB"/>
        </w:rPr>
      </w:pPr>
    </w:p>
    <w:p w14:paraId="6A9A867E" w14:textId="624218CC" w:rsidR="007C70E4" w:rsidRPr="007C70E4" w:rsidRDefault="007C70E4" w:rsidP="007C70E4">
      <w:pPr>
        <w:spacing w:line="360" w:lineRule="auto"/>
        <w:jc w:val="both"/>
        <w:rPr>
          <w:lang w:val="en-GB"/>
        </w:rPr>
      </w:pPr>
      <w:r w:rsidRPr="007C70E4">
        <w:rPr>
          <w:lang w:val="en-GB"/>
        </w:rPr>
        <w:t xml:space="preserve">As noted above, </w:t>
      </w:r>
      <w:r w:rsidR="007A58D1">
        <w:rPr>
          <w:lang w:val="en-GB"/>
        </w:rPr>
        <w:t>Marshall</w:t>
      </w:r>
      <w:r w:rsidRPr="007C70E4">
        <w:rPr>
          <w:lang w:val="en-GB"/>
        </w:rPr>
        <w:t xml:space="preserve"> was correct in his assessment of the rise in indictments in Cheshire between 1816 and 181</w:t>
      </w:r>
      <w:r w:rsidR="007A58D1">
        <w:rPr>
          <w:lang w:val="en-GB"/>
        </w:rPr>
        <w:t>9</w:t>
      </w:r>
      <w:r w:rsidRPr="007C70E4">
        <w:rPr>
          <w:lang w:val="en-GB"/>
        </w:rPr>
        <w:t>, although the extent to which his views were reflected in sentences handed down is, as will be seen below, less easy to discern.</w:t>
      </w:r>
    </w:p>
    <w:p w14:paraId="4EF6B9AA" w14:textId="77777777" w:rsidR="007C70E4" w:rsidRDefault="007C70E4" w:rsidP="007C70E4">
      <w:pPr>
        <w:spacing w:line="360" w:lineRule="auto"/>
        <w:jc w:val="both"/>
        <w:rPr>
          <w:color w:val="FF0000"/>
          <w:lang w:val="en-GB"/>
        </w:rPr>
      </w:pPr>
    </w:p>
    <w:p w14:paraId="71DA5C46" w14:textId="32FDF0A2" w:rsidR="003B1BFE" w:rsidRDefault="004E7367" w:rsidP="003B1BFE">
      <w:pPr>
        <w:spacing w:line="360" w:lineRule="auto"/>
        <w:jc w:val="both"/>
        <w:rPr>
          <w:lang w:val="en-GB"/>
        </w:rPr>
      </w:pPr>
      <w:r w:rsidRPr="004E7367">
        <w:rPr>
          <w:b/>
          <w:lang w:val="en-GB"/>
        </w:rPr>
        <w:t>Figure 2:</w:t>
      </w:r>
      <w:r w:rsidRPr="004E7367">
        <w:rPr>
          <w:lang w:val="en-GB"/>
        </w:rPr>
        <w:t xml:space="preserve"> the number </w:t>
      </w:r>
      <w:r w:rsidR="00C006BE">
        <w:rPr>
          <w:lang w:val="en-GB"/>
        </w:rPr>
        <w:t xml:space="preserve">and percentage </w:t>
      </w:r>
      <w:r w:rsidRPr="004E7367">
        <w:rPr>
          <w:lang w:val="en-GB"/>
        </w:rPr>
        <w:t xml:space="preserve">of each crime type indicted </w:t>
      </w:r>
      <w:r w:rsidR="006009C1">
        <w:rPr>
          <w:lang w:val="en-GB"/>
        </w:rPr>
        <w:t xml:space="preserve">along with the gender of those indicted </w:t>
      </w:r>
      <w:r w:rsidRPr="004E7367">
        <w:rPr>
          <w:lang w:val="en-GB"/>
        </w:rPr>
        <w:t>at the Chester Great Sessions, 1805-30.</w:t>
      </w:r>
      <w:r w:rsidR="003B1BFE">
        <w:rPr>
          <w:rStyle w:val="EndnoteReference"/>
          <w:lang w:val="en-GB"/>
        </w:rPr>
        <w:endnoteReference w:id="20"/>
      </w:r>
    </w:p>
    <w:tbl>
      <w:tblPr>
        <w:tblStyle w:val="TableGrid"/>
        <w:tblW w:w="0" w:type="auto"/>
        <w:tblLook w:val="04A0" w:firstRow="1" w:lastRow="0" w:firstColumn="1" w:lastColumn="0" w:noHBand="0" w:noVBand="1"/>
      </w:tblPr>
      <w:tblGrid>
        <w:gridCol w:w="2774"/>
        <w:gridCol w:w="1449"/>
        <w:gridCol w:w="1437"/>
        <w:gridCol w:w="1428"/>
        <w:gridCol w:w="1428"/>
      </w:tblGrid>
      <w:tr w:rsidR="006009C1" w14:paraId="5E45CE12" w14:textId="77777777" w:rsidTr="006009C1">
        <w:tc>
          <w:tcPr>
            <w:tcW w:w="2774" w:type="dxa"/>
            <w:vMerge w:val="restart"/>
          </w:tcPr>
          <w:p w14:paraId="28CE0CE4" w14:textId="77777777" w:rsidR="006009C1" w:rsidRPr="0025015B" w:rsidRDefault="006009C1" w:rsidP="003B1BFE">
            <w:pPr>
              <w:jc w:val="center"/>
              <w:rPr>
                <w:b/>
              </w:rPr>
            </w:pPr>
            <w:r w:rsidRPr="0025015B">
              <w:rPr>
                <w:b/>
              </w:rPr>
              <w:t>Crime Type</w:t>
            </w:r>
          </w:p>
        </w:tc>
        <w:tc>
          <w:tcPr>
            <w:tcW w:w="1449" w:type="dxa"/>
            <w:vMerge w:val="restart"/>
          </w:tcPr>
          <w:p w14:paraId="03D15DF9" w14:textId="77777777" w:rsidR="006009C1" w:rsidRPr="0025015B" w:rsidRDefault="006009C1" w:rsidP="003B1BFE">
            <w:pPr>
              <w:jc w:val="center"/>
              <w:rPr>
                <w:b/>
              </w:rPr>
            </w:pPr>
            <w:r w:rsidRPr="0025015B">
              <w:rPr>
                <w:b/>
              </w:rPr>
              <w:t>Number of Indictments</w:t>
            </w:r>
          </w:p>
        </w:tc>
        <w:tc>
          <w:tcPr>
            <w:tcW w:w="1437" w:type="dxa"/>
            <w:vMerge w:val="restart"/>
          </w:tcPr>
          <w:p w14:paraId="5D20444C" w14:textId="061E7176" w:rsidR="006009C1" w:rsidRPr="0025015B" w:rsidRDefault="006009C1" w:rsidP="003B1BFE">
            <w:pPr>
              <w:jc w:val="center"/>
              <w:rPr>
                <w:b/>
              </w:rPr>
            </w:pPr>
            <w:r>
              <w:rPr>
                <w:b/>
              </w:rPr>
              <w:t>% of Indictments</w:t>
            </w:r>
          </w:p>
        </w:tc>
        <w:tc>
          <w:tcPr>
            <w:tcW w:w="2856" w:type="dxa"/>
            <w:gridSpan w:val="2"/>
          </w:tcPr>
          <w:p w14:paraId="120ED674" w14:textId="3A17B2B9" w:rsidR="006009C1" w:rsidRPr="0025015B" w:rsidRDefault="006009C1" w:rsidP="003B1BFE">
            <w:pPr>
              <w:jc w:val="center"/>
              <w:rPr>
                <w:b/>
              </w:rPr>
            </w:pPr>
            <w:r>
              <w:rPr>
                <w:b/>
              </w:rPr>
              <w:t>Gender</w:t>
            </w:r>
          </w:p>
        </w:tc>
      </w:tr>
      <w:tr w:rsidR="006009C1" w14:paraId="2BA75D7D" w14:textId="77777777" w:rsidTr="006009C1">
        <w:tc>
          <w:tcPr>
            <w:tcW w:w="2774" w:type="dxa"/>
            <w:vMerge/>
          </w:tcPr>
          <w:p w14:paraId="36FF6FA4" w14:textId="77777777" w:rsidR="006009C1" w:rsidRPr="0025015B" w:rsidRDefault="006009C1" w:rsidP="003B1BFE">
            <w:pPr>
              <w:jc w:val="center"/>
              <w:rPr>
                <w:b/>
              </w:rPr>
            </w:pPr>
          </w:p>
        </w:tc>
        <w:tc>
          <w:tcPr>
            <w:tcW w:w="1449" w:type="dxa"/>
            <w:vMerge/>
          </w:tcPr>
          <w:p w14:paraId="006ABE06" w14:textId="77777777" w:rsidR="006009C1" w:rsidRPr="0025015B" w:rsidRDefault="006009C1" w:rsidP="003B1BFE">
            <w:pPr>
              <w:jc w:val="center"/>
              <w:rPr>
                <w:b/>
              </w:rPr>
            </w:pPr>
          </w:p>
        </w:tc>
        <w:tc>
          <w:tcPr>
            <w:tcW w:w="1437" w:type="dxa"/>
            <w:vMerge/>
          </w:tcPr>
          <w:p w14:paraId="1A089EAF" w14:textId="007CEA60" w:rsidR="006009C1" w:rsidRPr="0025015B" w:rsidRDefault="006009C1" w:rsidP="003B1BFE">
            <w:pPr>
              <w:jc w:val="center"/>
              <w:rPr>
                <w:b/>
              </w:rPr>
            </w:pPr>
          </w:p>
        </w:tc>
        <w:tc>
          <w:tcPr>
            <w:tcW w:w="1428" w:type="dxa"/>
          </w:tcPr>
          <w:p w14:paraId="5C94B45B" w14:textId="2FA245BE" w:rsidR="006009C1" w:rsidRPr="0025015B" w:rsidRDefault="004F3352" w:rsidP="003B1BFE">
            <w:pPr>
              <w:jc w:val="center"/>
              <w:rPr>
                <w:b/>
              </w:rPr>
            </w:pPr>
            <w:r>
              <w:rPr>
                <w:b/>
              </w:rPr>
              <w:t>Female</w:t>
            </w:r>
          </w:p>
        </w:tc>
        <w:tc>
          <w:tcPr>
            <w:tcW w:w="1428" w:type="dxa"/>
          </w:tcPr>
          <w:p w14:paraId="6364C35B" w14:textId="485176FE" w:rsidR="006009C1" w:rsidRPr="0025015B" w:rsidRDefault="004F3352" w:rsidP="003B1BFE">
            <w:pPr>
              <w:jc w:val="center"/>
              <w:rPr>
                <w:b/>
              </w:rPr>
            </w:pPr>
            <w:r>
              <w:rPr>
                <w:b/>
              </w:rPr>
              <w:t>M</w:t>
            </w:r>
            <w:r w:rsidR="006009C1">
              <w:rPr>
                <w:b/>
              </w:rPr>
              <w:t>ale</w:t>
            </w:r>
          </w:p>
        </w:tc>
      </w:tr>
      <w:tr w:rsidR="006009C1" w14:paraId="4786A88D" w14:textId="77777777" w:rsidTr="006009C1">
        <w:tc>
          <w:tcPr>
            <w:tcW w:w="2774" w:type="dxa"/>
          </w:tcPr>
          <w:p w14:paraId="4EBA5FAC" w14:textId="77777777" w:rsidR="006009C1" w:rsidRDefault="006009C1" w:rsidP="003B1BFE">
            <w:pPr>
              <w:jc w:val="center"/>
            </w:pPr>
            <w:r>
              <w:t>Larceny</w:t>
            </w:r>
          </w:p>
        </w:tc>
        <w:tc>
          <w:tcPr>
            <w:tcW w:w="1449" w:type="dxa"/>
          </w:tcPr>
          <w:p w14:paraId="5EF52C77" w14:textId="77777777" w:rsidR="006009C1" w:rsidRPr="0072071E" w:rsidRDefault="006009C1" w:rsidP="003B1BFE">
            <w:pPr>
              <w:jc w:val="center"/>
            </w:pPr>
            <w:r w:rsidRPr="0072071E">
              <w:t>908</w:t>
            </w:r>
          </w:p>
          <w:p w14:paraId="7EB7A90B" w14:textId="601E7DA5" w:rsidR="006009C1" w:rsidRPr="0072071E" w:rsidRDefault="006009C1" w:rsidP="003B1BFE">
            <w:pPr>
              <w:jc w:val="center"/>
            </w:pPr>
          </w:p>
        </w:tc>
        <w:tc>
          <w:tcPr>
            <w:tcW w:w="1437" w:type="dxa"/>
          </w:tcPr>
          <w:p w14:paraId="4856FD09" w14:textId="12013CF0" w:rsidR="006009C1" w:rsidRPr="0072071E" w:rsidRDefault="006009C1" w:rsidP="003B1BFE">
            <w:pPr>
              <w:jc w:val="center"/>
            </w:pPr>
            <w:r w:rsidRPr="0072071E">
              <w:t>43.2%</w:t>
            </w:r>
          </w:p>
        </w:tc>
        <w:tc>
          <w:tcPr>
            <w:tcW w:w="1428" w:type="dxa"/>
          </w:tcPr>
          <w:p w14:paraId="2ECDC7BF" w14:textId="77777777" w:rsidR="006009C1" w:rsidRDefault="004F3352" w:rsidP="003B1BFE">
            <w:pPr>
              <w:jc w:val="center"/>
            </w:pPr>
            <w:r>
              <w:t>123</w:t>
            </w:r>
          </w:p>
          <w:p w14:paraId="75B5AD54" w14:textId="49EF7B5E" w:rsidR="004F3352" w:rsidRPr="0072071E" w:rsidRDefault="004F3352" w:rsidP="00EC6601">
            <w:pPr>
              <w:jc w:val="center"/>
            </w:pPr>
            <w:r>
              <w:t>(</w:t>
            </w:r>
            <w:r w:rsidR="0057598D">
              <w:t>53</w:t>
            </w:r>
            <w:r>
              <w:t>%)</w:t>
            </w:r>
          </w:p>
        </w:tc>
        <w:tc>
          <w:tcPr>
            <w:tcW w:w="1428" w:type="dxa"/>
          </w:tcPr>
          <w:p w14:paraId="441D47D0" w14:textId="77777777" w:rsidR="006009C1" w:rsidRDefault="004F3352" w:rsidP="003B1BFE">
            <w:pPr>
              <w:jc w:val="center"/>
            </w:pPr>
            <w:r>
              <w:t>785</w:t>
            </w:r>
          </w:p>
          <w:p w14:paraId="286F0E5C" w14:textId="7B4C19CC" w:rsidR="004F3352" w:rsidRPr="0072071E" w:rsidRDefault="004F3352" w:rsidP="00EC6601">
            <w:pPr>
              <w:jc w:val="center"/>
            </w:pPr>
            <w:r>
              <w:t>(</w:t>
            </w:r>
            <w:r w:rsidR="00C50B87">
              <w:t>42</w:t>
            </w:r>
            <w:r>
              <w:t>%)</w:t>
            </w:r>
          </w:p>
        </w:tc>
      </w:tr>
      <w:tr w:rsidR="006009C1" w14:paraId="5E745017" w14:textId="77777777" w:rsidTr="006009C1">
        <w:tc>
          <w:tcPr>
            <w:tcW w:w="2774" w:type="dxa"/>
          </w:tcPr>
          <w:p w14:paraId="13FD0DDB" w14:textId="77777777" w:rsidR="006009C1" w:rsidRDefault="006009C1" w:rsidP="003B1BFE">
            <w:pPr>
              <w:jc w:val="center"/>
            </w:pPr>
            <w:r>
              <w:t>Burglary</w:t>
            </w:r>
          </w:p>
        </w:tc>
        <w:tc>
          <w:tcPr>
            <w:tcW w:w="1449" w:type="dxa"/>
          </w:tcPr>
          <w:p w14:paraId="6E093BDC" w14:textId="77777777" w:rsidR="006009C1" w:rsidRPr="0072071E" w:rsidRDefault="006009C1" w:rsidP="003B1BFE">
            <w:pPr>
              <w:jc w:val="center"/>
            </w:pPr>
            <w:r w:rsidRPr="0072071E">
              <w:t>249</w:t>
            </w:r>
          </w:p>
          <w:p w14:paraId="734A54B0" w14:textId="0867C600" w:rsidR="006009C1" w:rsidRPr="0072071E" w:rsidRDefault="006009C1" w:rsidP="003B1BFE">
            <w:pPr>
              <w:jc w:val="center"/>
            </w:pPr>
          </w:p>
        </w:tc>
        <w:tc>
          <w:tcPr>
            <w:tcW w:w="1437" w:type="dxa"/>
          </w:tcPr>
          <w:p w14:paraId="629B43D7" w14:textId="548B8B31" w:rsidR="006009C1" w:rsidRPr="0072071E" w:rsidRDefault="006009C1" w:rsidP="003B1BFE">
            <w:pPr>
              <w:jc w:val="center"/>
            </w:pPr>
            <w:r>
              <w:t>11.9%</w:t>
            </w:r>
          </w:p>
        </w:tc>
        <w:tc>
          <w:tcPr>
            <w:tcW w:w="1428" w:type="dxa"/>
          </w:tcPr>
          <w:p w14:paraId="3E861164" w14:textId="77777777" w:rsidR="006009C1" w:rsidRDefault="0038279C" w:rsidP="003B1BFE">
            <w:pPr>
              <w:jc w:val="center"/>
            </w:pPr>
            <w:r>
              <w:t>9</w:t>
            </w:r>
          </w:p>
          <w:p w14:paraId="5BB3A111" w14:textId="46E157FF" w:rsidR="0038279C" w:rsidRPr="0072071E" w:rsidRDefault="0038279C" w:rsidP="00EC6601">
            <w:pPr>
              <w:jc w:val="center"/>
            </w:pPr>
            <w:r>
              <w:t>(</w:t>
            </w:r>
            <w:r w:rsidR="0057598D">
              <w:t>4</w:t>
            </w:r>
            <w:r>
              <w:t>%)</w:t>
            </w:r>
          </w:p>
        </w:tc>
        <w:tc>
          <w:tcPr>
            <w:tcW w:w="1428" w:type="dxa"/>
          </w:tcPr>
          <w:p w14:paraId="57067751" w14:textId="77777777" w:rsidR="006009C1" w:rsidRDefault="0038279C" w:rsidP="003B1BFE">
            <w:pPr>
              <w:jc w:val="center"/>
            </w:pPr>
            <w:r>
              <w:t>240</w:t>
            </w:r>
          </w:p>
          <w:p w14:paraId="512A4A61" w14:textId="3186946E" w:rsidR="0038279C" w:rsidRPr="0072071E" w:rsidRDefault="0038279C" w:rsidP="00EC6601">
            <w:pPr>
              <w:jc w:val="center"/>
            </w:pPr>
            <w:r>
              <w:t>(</w:t>
            </w:r>
            <w:r w:rsidR="00C50B87">
              <w:t>13</w:t>
            </w:r>
            <w:r>
              <w:t>%)</w:t>
            </w:r>
          </w:p>
        </w:tc>
      </w:tr>
      <w:tr w:rsidR="006009C1" w14:paraId="1CD5A5E6" w14:textId="77777777" w:rsidTr="006009C1">
        <w:tc>
          <w:tcPr>
            <w:tcW w:w="2774" w:type="dxa"/>
          </w:tcPr>
          <w:p w14:paraId="2F316EEE" w14:textId="77777777" w:rsidR="006009C1" w:rsidRDefault="006009C1" w:rsidP="003B1BFE">
            <w:pPr>
              <w:jc w:val="center"/>
            </w:pPr>
            <w:r>
              <w:t>Other</w:t>
            </w:r>
          </w:p>
        </w:tc>
        <w:tc>
          <w:tcPr>
            <w:tcW w:w="1449" w:type="dxa"/>
          </w:tcPr>
          <w:p w14:paraId="16795B82" w14:textId="77777777" w:rsidR="006009C1" w:rsidRPr="0072071E" w:rsidRDefault="006009C1" w:rsidP="003B1BFE">
            <w:pPr>
              <w:jc w:val="center"/>
            </w:pPr>
            <w:r w:rsidRPr="0072071E">
              <w:t>110</w:t>
            </w:r>
          </w:p>
          <w:p w14:paraId="48B842CC" w14:textId="3F67347B" w:rsidR="006009C1" w:rsidRPr="0072071E" w:rsidRDefault="006009C1" w:rsidP="003B1BFE">
            <w:pPr>
              <w:jc w:val="center"/>
            </w:pPr>
          </w:p>
        </w:tc>
        <w:tc>
          <w:tcPr>
            <w:tcW w:w="1437" w:type="dxa"/>
          </w:tcPr>
          <w:p w14:paraId="4C0B03C4" w14:textId="10239065" w:rsidR="006009C1" w:rsidRPr="0072071E" w:rsidRDefault="006009C1" w:rsidP="003B1BFE">
            <w:pPr>
              <w:jc w:val="center"/>
            </w:pPr>
            <w:r>
              <w:t>5.2%</w:t>
            </w:r>
          </w:p>
        </w:tc>
        <w:tc>
          <w:tcPr>
            <w:tcW w:w="1428" w:type="dxa"/>
          </w:tcPr>
          <w:p w14:paraId="6E03786A" w14:textId="77777777" w:rsidR="006009C1" w:rsidRDefault="004F3352" w:rsidP="003B1BFE">
            <w:pPr>
              <w:jc w:val="center"/>
            </w:pPr>
            <w:r>
              <w:t>8</w:t>
            </w:r>
          </w:p>
          <w:p w14:paraId="061578AD" w14:textId="124F7630" w:rsidR="004F3352" w:rsidRPr="0072071E" w:rsidRDefault="004F3352" w:rsidP="00EC6601">
            <w:pPr>
              <w:jc w:val="center"/>
            </w:pPr>
            <w:r>
              <w:t>(</w:t>
            </w:r>
            <w:r w:rsidR="0057598D">
              <w:t>3</w:t>
            </w:r>
            <w:r>
              <w:t>%)</w:t>
            </w:r>
          </w:p>
        </w:tc>
        <w:tc>
          <w:tcPr>
            <w:tcW w:w="1428" w:type="dxa"/>
          </w:tcPr>
          <w:p w14:paraId="35CB7224" w14:textId="77777777" w:rsidR="006009C1" w:rsidRDefault="004F3352" w:rsidP="003B1BFE">
            <w:pPr>
              <w:jc w:val="center"/>
            </w:pPr>
            <w:r>
              <w:t>102</w:t>
            </w:r>
          </w:p>
          <w:p w14:paraId="563A7CE1" w14:textId="12F91A67" w:rsidR="004F3352" w:rsidRPr="0072071E" w:rsidRDefault="004F3352" w:rsidP="00EC6601">
            <w:pPr>
              <w:jc w:val="center"/>
            </w:pPr>
            <w:r>
              <w:t>(</w:t>
            </w:r>
            <w:r w:rsidR="00C50B87">
              <w:t>5.5</w:t>
            </w:r>
            <w:r>
              <w:t>%)</w:t>
            </w:r>
          </w:p>
        </w:tc>
      </w:tr>
      <w:tr w:rsidR="006009C1" w14:paraId="37C13322" w14:textId="77777777" w:rsidTr="006009C1">
        <w:tc>
          <w:tcPr>
            <w:tcW w:w="2774" w:type="dxa"/>
          </w:tcPr>
          <w:p w14:paraId="4B4A1A15" w14:textId="77777777" w:rsidR="006009C1" w:rsidRDefault="006009C1" w:rsidP="003B1BFE">
            <w:pPr>
              <w:jc w:val="center"/>
            </w:pPr>
            <w:r>
              <w:t>Manslaughter</w:t>
            </w:r>
          </w:p>
        </w:tc>
        <w:tc>
          <w:tcPr>
            <w:tcW w:w="1449" w:type="dxa"/>
          </w:tcPr>
          <w:p w14:paraId="74D773F0" w14:textId="77777777" w:rsidR="006009C1" w:rsidRPr="0072071E" w:rsidRDefault="006009C1" w:rsidP="003B1BFE">
            <w:pPr>
              <w:jc w:val="center"/>
            </w:pPr>
            <w:r w:rsidRPr="0072071E">
              <w:t>95</w:t>
            </w:r>
          </w:p>
          <w:p w14:paraId="0887B600" w14:textId="5C9D44C0" w:rsidR="006009C1" w:rsidRPr="0072071E" w:rsidRDefault="006009C1" w:rsidP="003B1BFE">
            <w:pPr>
              <w:jc w:val="center"/>
            </w:pPr>
          </w:p>
        </w:tc>
        <w:tc>
          <w:tcPr>
            <w:tcW w:w="1437" w:type="dxa"/>
          </w:tcPr>
          <w:p w14:paraId="01C96983" w14:textId="75551897" w:rsidR="006009C1" w:rsidRPr="0072071E" w:rsidRDefault="006009C1" w:rsidP="003B1BFE">
            <w:pPr>
              <w:jc w:val="center"/>
            </w:pPr>
            <w:r>
              <w:t>4.5%</w:t>
            </w:r>
          </w:p>
        </w:tc>
        <w:tc>
          <w:tcPr>
            <w:tcW w:w="1428" w:type="dxa"/>
          </w:tcPr>
          <w:p w14:paraId="6112EFA1" w14:textId="77777777" w:rsidR="006009C1" w:rsidRDefault="004F3352" w:rsidP="003B1BFE">
            <w:pPr>
              <w:jc w:val="center"/>
            </w:pPr>
            <w:r>
              <w:t>4</w:t>
            </w:r>
          </w:p>
          <w:p w14:paraId="1D473826" w14:textId="5D5B4BB8" w:rsidR="004F3352" w:rsidRPr="0072071E" w:rsidRDefault="004F3352" w:rsidP="0057598D">
            <w:pPr>
              <w:jc w:val="center"/>
            </w:pPr>
            <w:r>
              <w:t>(</w:t>
            </w:r>
            <w:r w:rsidR="0057598D">
              <w:t>1.75</w:t>
            </w:r>
            <w:r>
              <w:t>%)</w:t>
            </w:r>
          </w:p>
        </w:tc>
        <w:tc>
          <w:tcPr>
            <w:tcW w:w="1428" w:type="dxa"/>
          </w:tcPr>
          <w:p w14:paraId="7B533A63" w14:textId="77777777" w:rsidR="006009C1" w:rsidRDefault="004F3352" w:rsidP="003B1BFE">
            <w:pPr>
              <w:jc w:val="center"/>
            </w:pPr>
            <w:r>
              <w:t>91</w:t>
            </w:r>
          </w:p>
          <w:p w14:paraId="097DBCD0" w14:textId="0A906EB5" w:rsidR="004F3352" w:rsidRPr="0072071E" w:rsidRDefault="004F3352" w:rsidP="00EC6601">
            <w:pPr>
              <w:jc w:val="center"/>
            </w:pPr>
            <w:r>
              <w:t>(</w:t>
            </w:r>
            <w:r w:rsidR="00C50B87">
              <w:t>5</w:t>
            </w:r>
            <w:r>
              <w:t>%)</w:t>
            </w:r>
          </w:p>
        </w:tc>
      </w:tr>
      <w:tr w:rsidR="006009C1" w14:paraId="01B848FB" w14:textId="77777777" w:rsidTr="006009C1">
        <w:tc>
          <w:tcPr>
            <w:tcW w:w="2774" w:type="dxa"/>
          </w:tcPr>
          <w:p w14:paraId="09D36257" w14:textId="77777777" w:rsidR="006009C1" w:rsidRDefault="006009C1" w:rsidP="003B1BFE">
            <w:pPr>
              <w:jc w:val="center"/>
            </w:pPr>
            <w:r>
              <w:t>Monetary Offences</w:t>
            </w:r>
          </w:p>
        </w:tc>
        <w:tc>
          <w:tcPr>
            <w:tcW w:w="1449" w:type="dxa"/>
          </w:tcPr>
          <w:p w14:paraId="0D7065EC" w14:textId="77777777" w:rsidR="006009C1" w:rsidRPr="0072071E" w:rsidRDefault="006009C1" w:rsidP="003B1BFE">
            <w:pPr>
              <w:jc w:val="center"/>
            </w:pPr>
            <w:r w:rsidRPr="0072071E">
              <w:t>89</w:t>
            </w:r>
          </w:p>
          <w:p w14:paraId="2C02B8B2" w14:textId="029B69AE" w:rsidR="006009C1" w:rsidRPr="0072071E" w:rsidRDefault="006009C1" w:rsidP="003B1BFE">
            <w:pPr>
              <w:jc w:val="center"/>
            </w:pPr>
          </w:p>
        </w:tc>
        <w:tc>
          <w:tcPr>
            <w:tcW w:w="1437" w:type="dxa"/>
          </w:tcPr>
          <w:p w14:paraId="2CBC5F29" w14:textId="1863692C" w:rsidR="006009C1" w:rsidRPr="0072071E" w:rsidRDefault="006009C1" w:rsidP="003B1BFE">
            <w:pPr>
              <w:jc w:val="center"/>
            </w:pPr>
            <w:r>
              <w:t>4.2%</w:t>
            </w:r>
          </w:p>
        </w:tc>
        <w:tc>
          <w:tcPr>
            <w:tcW w:w="1428" w:type="dxa"/>
          </w:tcPr>
          <w:p w14:paraId="503254DA" w14:textId="77777777" w:rsidR="006009C1" w:rsidRDefault="004F3352" w:rsidP="003B1BFE">
            <w:pPr>
              <w:jc w:val="center"/>
            </w:pPr>
            <w:r>
              <w:t>34</w:t>
            </w:r>
          </w:p>
          <w:p w14:paraId="3BED279E" w14:textId="7C80BD1F" w:rsidR="004F3352" w:rsidRPr="0072071E" w:rsidRDefault="004F3352" w:rsidP="0057598D">
            <w:pPr>
              <w:jc w:val="center"/>
            </w:pPr>
            <w:r>
              <w:t>(</w:t>
            </w:r>
            <w:r w:rsidR="0057598D">
              <w:t>14.75</w:t>
            </w:r>
            <w:r>
              <w:t>%)</w:t>
            </w:r>
          </w:p>
        </w:tc>
        <w:tc>
          <w:tcPr>
            <w:tcW w:w="1428" w:type="dxa"/>
          </w:tcPr>
          <w:p w14:paraId="0ADFCD49" w14:textId="77777777" w:rsidR="006009C1" w:rsidRDefault="004F3352" w:rsidP="003B1BFE">
            <w:pPr>
              <w:jc w:val="center"/>
            </w:pPr>
            <w:r>
              <w:t>55</w:t>
            </w:r>
          </w:p>
          <w:p w14:paraId="7920FDDF" w14:textId="79769E1B" w:rsidR="004F3352" w:rsidRPr="0072071E" w:rsidRDefault="004F3352" w:rsidP="00EC6601">
            <w:pPr>
              <w:jc w:val="center"/>
            </w:pPr>
            <w:r>
              <w:t>(</w:t>
            </w:r>
            <w:r w:rsidR="00C50B87">
              <w:t>3</w:t>
            </w:r>
            <w:r>
              <w:t>%)</w:t>
            </w:r>
          </w:p>
        </w:tc>
      </w:tr>
      <w:tr w:rsidR="006009C1" w14:paraId="7E2BA07C" w14:textId="77777777" w:rsidTr="006009C1">
        <w:tc>
          <w:tcPr>
            <w:tcW w:w="2774" w:type="dxa"/>
          </w:tcPr>
          <w:p w14:paraId="15D46721" w14:textId="77777777" w:rsidR="006009C1" w:rsidRDefault="006009C1" w:rsidP="003B1BFE">
            <w:pPr>
              <w:jc w:val="center"/>
            </w:pPr>
            <w:r>
              <w:t>Receiving Stolen Goods</w:t>
            </w:r>
          </w:p>
        </w:tc>
        <w:tc>
          <w:tcPr>
            <w:tcW w:w="1449" w:type="dxa"/>
          </w:tcPr>
          <w:p w14:paraId="10851B56" w14:textId="77777777" w:rsidR="006009C1" w:rsidRPr="0072071E" w:rsidRDefault="006009C1" w:rsidP="003B1BFE">
            <w:pPr>
              <w:jc w:val="center"/>
            </w:pPr>
            <w:r w:rsidRPr="0072071E">
              <w:t>85</w:t>
            </w:r>
          </w:p>
          <w:p w14:paraId="5D765B27" w14:textId="1F31F115" w:rsidR="006009C1" w:rsidRPr="0072071E" w:rsidRDefault="006009C1" w:rsidP="003B1BFE">
            <w:pPr>
              <w:jc w:val="center"/>
            </w:pPr>
          </w:p>
        </w:tc>
        <w:tc>
          <w:tcPr>
            <w:tcW w:w="1437" w:type="dxa"/>
          </w:tcPr>
          <w:p w14:paraId="6062EFC2" w14:textId="7D6080D9" w:rsidR="006009C1" w:rsidRPr="0072071E" w:rsidRDefault="006009C1" w:rsidP="003B1BFE">
            <w:pPr>
              <w:jc w:val="center"/>
            </w:pPr>
            <w:r>
              <w:t>4%</w:t>
            </w:r>
          </w:p>
        </w:tc>
        <w:tc>
          <w:tcPr>
            <w:tcW w:w="1428" w:type="dxa"/>
          </w:tcPr>
          <w:p w14:paraId="39D7E6F7" w14:textId="77777777" w:rsidR="006009C1" w:rsidRDefault="004F3352" w:rsidP="003B1BFE">
            <w:pPr>
              <w:jc w:val="center"/>
            </w:pPr>
            <w:r>
              <w:t>28</w:t>
            </w:r>
          </w:p>
          <w:p w14:paraId="7931912A" w14:textId="3318C97A" w:rsidR="004F3352" w:rsidRPr="0072071E" w:rsidRDefault="004F3352" w:rsidP="00EC6601">
            <w:pPr>
              <w:jc w:val="center"/>
            </w:pPr>
            <w:r>
              <w:t>(</w:t>
            </w:r>
            <w:r w:rsidR="0057598D">
              <w:t>12</w:t>
            </w:r>
            <w:r>
              <w:t>%)</w:t>
            </w:r>
          </w:p>
        </w:tc>
        <w:tc>
          <w:tcPr>
            <w:tcW w:w="1428" w:type="dxa"/>
          </w:tcPr>
          <w:p w14:paraId="489F7CE8" w14:textId="77777777" w:rsidR="006009C1" w:rsidRDefault="004F3352" w:rsidP="003B1BFE">
            <w:pPr>
              <w:jc w:val="center"/>
            </w:pPr>
            <w:r>
              <w:t>57</w:t>
            </w:r>
          </w:p>
          <w:p w14:paraId="55216BA6" w14:textId="4C81FF6E" w:rsidR="004F3352" w:rsidRPr="0072071E" w:rsidRDefault="004F3352" w:rsidP="00EC6601">
            <w:pPr>
              <w:jc w:val="center"/>
            </w:pPr>
            <w:r>
              <w:t>(</w:t>
            </w:r>
            <w:r w:rsidR="00E669D8">
              <w:t>3</w:t>
            </w:r>
            <w:r>
              <w:t>%)</w:t>
            </w:r>
          </w:p>
        </w:tc>
      </w:tr>
      <w:tr w:rsidR="006009C1" w14:paraId="122DFFA9" w14:textId="77777777" w:rsidTr="006009C1">
        <w:tc>
          <w:tcPr>
            <w:tcW w:w="2774" w:type="dxa"/>
          </w:tcPr>
          <w:p w14:paraId="6AB8A570" w14:textId="77777777" w:rsidR="006009C1" w:rsidRDefault="006009C1" w:rsidP="003B1BFE">
            <w:pPr>
              <w:jc w:val="center"/>
            </w:pPr>
            <w:r>
              <w:t>Larceny from the Person</w:t>
            </w:r>
          </w:p>
        </w:tc>
        <w:tc>
          <w:tcPr>
            <w:tcW w:w="1449" w:type="dxa"/>
          </w:tcPr>
          <w:p w14:paraId="48AFA536" w14:textId="77777777" w:rsidR="006009C1" w:rsidRPr="0072071E" w:rsidRDefault="006009C1" w:rsidP="003B1BFE">
            <w:pPr>
              <w:jc w:val="center"/>
            </w:pPr>
            <w:r w:rsidRPr="0072071E">
              <w:t>77</w:t>
            </w:r>
          </w:p>
          <w:p w14:paraId="1561D532" w14:textId="6D042BB8" w:rsidR="006009C1" w:rsidRPr="0072071E" w:rsidRDefault="006009C1" w:rsidP="003B1BFE">
            <w:pPr>
              <w:jc w:val="center"/>
            </w:pPr>
          </w:p>
        </w:tc>
        <w:tc>
          <w:tcPr>
            <w:tcW w:w="1437" w:type="dxa"/>
          </w:tcPr>
          <w:p w14:paraId="637B8517" w14:textId="7A3C0E79" w:rsidR="006009C1" w:rsidRPr="0072071E" w:rsidRDefault="006009C1" w:rsidP="003B1BFE">
            <w:pPr>
              <w:jc w:val="center"/>
            </w:pPr>
            <w:r>
              <w:t>3.7%</w:t>
            </w:r>
          </w:p>
        </w:tc>
        <w:tc>
          <w:tcPr>
            <w:tcW w:w="1428" w:type="dxa"/>
          </w:tcPr>
          <w:p w14:paraId="5188F943" w14:textId="77777777" w:rsidR="006009C1" w:rsidRDefault="004F3352" w:rsidP="003B1BFE">
            <w:pPr>
              <w:jc w:val="center"/>
            </w:pPr>
            <w:r>
              <w:t>5</w:t>
            </w:r>
          </w:p>
          <w:p w14:paraId="6AB4B875" w14:textId="0E5E1244" w:rsidR="004F3352" w:rsidRPr="0072071E" w:rsidRDefault="004F3352" w:rsidP="00EC6601">
            <w:pPr>
              <w:jc w:val="center"/>
            </w:pPr>
            <w:r>
              <w:t>(</w:t>
            </w:r>
            <w:r w:rsidR="0057598D">
              <w:t>2</w:t>
            </w:r>
            <w:r>
              <w:t>%)</w:t>
            </w:r>
          </w:p>
        </w:tc>
        <w:tc>
          <w:tcPr>
            <w:tcW w:w="1428" w:type="dxa"/>
          </w:tcPr>
          <w:p w14:paraId="4529B989" w14:textId="77777777" w:rsidR="006009C1" w:rsidRDefault="004F3352" w:rsidP="003B1BFE">
            <w:pPr>
              <w:jc w:val="center"/>
            </w:pPr>
            <w:r>
              <w:t>72</w:t>
            </w:r>
          </w:p>
          <w:p w14:paraId="051F05CB" w14:textId="4B8C664D" w:rsidR="004F3352" w:rsidRPr="0072071E" w:rsidRDefault="004F3352" w:rsidP="00EC6601">
            <w:pPr>
              <w:jc w:val="center"/>
            </w:pPr>
            <w:r>
              <w:t>(</w:t>
            </w:r>
            <w:r w:rsidR="00C50B87">
              <w:t>4</w:t>
            </w:r>
            <w:r>
              <w:t>%</w:t>
            </w:r>
            <w:r w:rsidR="00C50B87">
              <w:t>)</w:t>
            </w:r>
          </w:p>
        </w:tc>
      </w:tr>
      <w:tr w:rsidR="006009C1" w14:paraId="5E0EDACD" w14:textId="77777777" w:rsidTr="006009C1">
        <w:tc>
          <w:tcPr>
            <w:tcW w:w="2774" w:type="dxa"/>
          </w:tcPr>
          <w:p w14:paraId="09B5B1BE" w14:textId="77777777" w:rsidR="006009C1" w:rsidRDefault="006009C1" w:rsidP="003B1BFE">
            <w:pPr>
              <w:jc w:val="center"/>
            </w:pPr>
            <w:r>
              <w:t>Housebreaking</w:t>
            </w:r>
          </w:p>
        </w:tc>
        <w:tc>
          <w:tcPr>
            <w:tcW w:w="1449" w:type="dxa"/>
          </w:tcPr>
          <w:p w14:paraId="1A70741B" w14:textId="77777777" w:rsidR="006009C1" w:rsidRPr="0072071E" w:rsidRDefault="006009C1" w:rsidP="003B1BFE">
            <w:pPr>
              <w:jc w:val="center"/>
            </w:pPr>
            <w:r w:rsidRPr="0072071E">
              <w:t>66</w:t>
            </w:r>
          </w:p>
          <w:p w14:paraId="6722FE7B" w14:textId="3D8C2029" w:rsidR="006009C1" w:rsidRPr="0072071E" w:rsidRDefault="006009C1" w:rsidP="003B1BFE">
            <w:pPr>
              <w:jc w:val="center"/>
            </w:pPr>
          </w:p>
        </w:tc>
        <w:tc>
          <w:tcPr>
            <w:tcW w:w="1437" w:type="dxa"/>
          </w:tcPr>
          <w:p w14:paraId="70550C80" w14:textId="540E241C" w:rsidR="006009C1" w:rsidRPr="0072071E" w:rsidRDefault="006009C1" w:rsidP="003B1BFE">
            <w:pPr>
              <w:jc w:val="center"/>
            </w:pPr>
            <w:r>
              <w:t>3.1%</w:t>
            </w:r>
          </w:p>
        </w:tc>
        <w:tc>
          <w:tcPr>
            <w:tcW w:w="1428" w:type="dxa"/>
          </w:tcPr>
          <w:p w14:paraId="2D0DBEFD" w14:textId="77777777" w:rsidR="006009C1" w:rsidRDefault="004F3352" w:rsidP="003B1BFE">
            <w:pPr>
              <w:jc w:val="center"/>
            </w:pPr>
            <w:r>
              <w:t>2</w:t>
            </w:r>
          </w:p>
          <w:p w14:paraId="6A0915F2" w14:textId="279D10E1" w:rsidR="004F3352" w:rsidRPr="0072071E" w:rsidRDefault="004F3352" w:rsidP="00EC6601">
            <w:pPr>
              <w:jc w:val="center"/>
            </w:pPr>
            <w:r>
              <w:t>(</w:t>
            </w:r>
            <w:r w:rsidR="0057598D">
              <w:t>1</w:t>
            </w:r>
            <w:r>
              <w:t>%)</w:t>
            </w:r>
          </w:p>
        </w:tc>
        <w:tc>
          <w:tcPr>
            <w:tcW w:w="1428" w:type="dxa"/>
          </w:tcPr>
          <w:p w14:paraId="4B85C8F7" w14:textId="77777777" w:rsidR="006009C1" w:rsidRDefault="004F3352" w:rsidP="003B1BFE">
            <w:pPr>
              <w:jc w:val="center"/>
            </w:pPr>
            <w:r>
              <w:t>64</w:t>
            </w:r>
          </w:p>
          <w:p w14:paraId="287CFD51" w14:textId="1A1A4CA0" w:rsidR="004F3352" w:rsidRPr="0072071E" w:rsidRDefault="004F3352" w:rsidP="00EC6601">
            <w:pPr>
              <w:jc w:val="center"/>
            </w:pPr>
            <w:r>
              <w:t>(</w:t>
            </w:r>
            <w:r w:rsidR="00E669D8">
              <w:t>3.5</w:t>
            </w:r>
            <w:r>
              <w:t>%)</w:t>
            </w:r>
          </w:p>
        </w:tc>
      </w:tr>
      <w:tr w:rsidR="006009C1" w14:paraId="2FE5005B" w14:textId="77777777" w:rsidTr="006009C1">
        <w:tc>
          <w:tcPr>
            <w:tcW w:w="2774" w:type="dxa"/>
          </w:tcPr>
          <w:p w14:paraId="7AECC429" w14:textId="77777777" w:rsidR="006009C1" w:rsidRDefault="006009C1" w:rsidP="003B1BFE">
            <w:pPr>
              <w:jc w:val="center"/>
            </w:pPr>
            <w:r>
              <w:t>Horse Stealing</w:t>
            </w:r>
          </w:p>
        </w:tc>
        <w:tc>
          <w:tcPr>
            <w:tcW w:w="1449" w:type="dxa"/>
          </w:tcPr>
          <w:p w14:paraId="51CCEBE7" w14:textId="0FFDD411" w:rsidR="006009C1" w:rsidRDefault="006009C1" w:rsidP="006009C1">
            <w:pPr>
              <w:jc w:val="center"/>
            </w:pPr>
            <w:r>
              <w:t>62</w:t>
            </w:r>
          </w:p>
        </w:tc>
        <w:tc>
          <w:tcPr>
            <w:tcW w:w="1437" w:type="dxa"/>
          </w:tcPr>
          <w:p w14:paraId="635B1545" w14:textId="43BAA481" w:rsidR="006009C1" w:rsidRDefault="006009C1" w:rsidP="003B1BFE">
            <w:pPr>
              <w:jc w:val="center"/>
            </w:pPr>
            <w:r>
              <w:t>3%</w:t>
            </w:r>
          </w:p>
        </w:tc>
        <w:tc>
          <w:tcPr>
            <w:tcW w:w="1428" w:type="dxa"/>
          </w:tcPr>
          <w:p w14:paraId="139225D2" w14:textId="0EA1181B" w:rsidR="006009C1" w:rsidRDefault="0038279C" w:rsidP="003B1BFE">
            <w:pPr>
              <w:jc w:val="center"/>
            </w:pPr>
            <w:r>
              <w:t>0</w:t>
            </w:r>
          </w:p>
        </w:tc>
        <w:tc>
          <w:tcPr>
            <w:tcW w:w="1428" w:type="dxa"/>
          </w:tcPr>
          <w:p w14:paraId="55268B4A" w14:textId="77777777" w:rsidR="006009C1" w:rsidRDefault="0038279C" w:rsidP="003B1BFE">
            <w:pPr>
              <w:jc w:val="center"/>
            </w:pPr>
            <w:r>
              <w:t>62</w:t>
            </w:r>
          </w:p>
          <w:p w14:paraId="77310DA2" w14:textId="08FC2772" w:rsidR="0038279C" w:rsidRDefault="0038279C" w:rsidP="00EC6601">
            <w:pPr>
              <w:jc w:val="center"/>
            </w:pPr>
            <w:r>
              <w:t>(</w:t>
            </w:r>
            <w:r w:rsidR="00E669D8">
              <w:t>3</w:t>
            </w:r>
            <w:r>
              <w:t>%)</w:t>
            </w:r>
          </w:p>
        </w:tc>
      </w:tr>
      <w:tr w:rsidR="006009C1" w14:paraId="1B720545" w14:textId="77777777" w:rsidTr="006009C1">
        <w:tc>
          <w:tcPr>
            <w:tcW w:w="2774" w:type="dxa"/>
          </w:tcPr>
          <w:p w14:paraId="7F4B6A50" w14:textId="42BA7AA9" w:rsidR="006009C1" w:rsidRDefault="006009C1" w:rsidP="003B1BFE">
            <w:pPr>
              <w:jc w:val="center"/>
            </w:pPr>
            <w:r>
              <w:t>Highway Robbery</w:t>
            </w:r>
          </w:p>
        </w:tc>
        <w:tc>
          <w:tcPr>
            <w:tcW w:w="1449" w:type="dxa"/>
          </w:tcPr>
          <w:p w14:paraId="0B3A754E" w14:textId="77777777" w:rsidR="006009C1" w:rsidRDefault="006009C1" w:rsidP="003B1BFE">
            <w:pPr>
              <w:jc w:val="center"/>
            </w:pPr>
            <w:r>
              <w:t>57</w:t>
            </w:r>
          </w:p>
          <w:p w14:paraId="5CB2D6B9" w14:textId="556E5198" w:rsidR="006009C1" w:rsidRDefault="006009C1" w:rsidP="003B1BFE">
            <w:pPr>
              <w:jc w:val="center"/>
            </w:pPr>
          </w:p>
        </w:tc>
        <w:tc>
          <w:tcPr>
            <w:tcW w:w="1437" w:type="dxa"/>
          </w:tcPr>
          <w:p w14:paraId="7CB200BD" w14:textId="17BD54E3" w:rsidR="006009C1" w:rsidRDefault="006009C1" w:rsidP="003B1BFE">
            <w:pPr>
              <w:jc w:val="center"/>
            </w:pPr>
            <w:r>
              <w:t>2.7%</w:t>
            </w:r>
          </w:p>
        </w:tc>
        <w:tc>
          <w:tcPr>
            <w:tcW w:w="1428" w:type="dxa"/>
          </w:tcPr>
          <w:p w14:paraId="48697085" w14:textId="2B51573C" w:rsidR="006009C1" w:rsidRDefault="004F3352" w:rsidP="003B1BFE">
            <w:pPr>
              <w:jc w:val="center"/>
            </w:pPr>
            <w:r>
              <w:t>0</w:t>
            </w:r>
          </w:p>
        </w:tc>
        <w:tc>
          <w:tcPr>
            <w:tcW w:w="1428" w:type="dxa"/>
          </w:tcPr>
          <w:p w14:paraId="6A8C703C" w14:textId="77777777" w:rsidR="006009C1" w:rsidRDefault="004F3352" w:rsidP="003B1BFE">
            <w:pPr>
              <w:jc w:val="center"/>
            </w:pPr>
            <w:r>
              <w:t>57</w:t>
            </w:r>
          </w:p>
          <w:p w14:paraId="60403D06" w14:textId="0D93C9BC" w:rsidR="004F3352" w:rsidRDefault="004F3352" w:rsidP="00EC6601">
            <w:pPr>
              <w:jc w:val="center"/>
            </w:pPr>
            <w:r>
              <w:t>(</w:t>
            </w:r>
            <w:r w:rsidR="00C50B87">
              <w:t>3</w:t>
            </w:r>
            <w:r>
              <w:t>%)</w:t>
            </w:r>
          </w:p>
        </w:tc>
      </w:tr>
      <w:tr w:rsidR="006009C1" w14:paraId="6F74BBC5" w14:textId="77777777" w:rsidTr="006009C1">
        <w:tc>
          <w:tcPr>
            <w:tcW w:w="2774" w:type="dxa"/>
          </w:tcPr>
          <w:p w14:paraId="0040E5BD" w14:textId="28BAAD07" w:rsidR="006009C1" w:rsidRDefault="006009C1" w:rsidP="003B1BFE">
            <w:pPr>
              <w:jc w:val="center"/>
            </w:pPr>
            <w:r>
              <w:t>Fraud &amp; Forgery</w:t>
            </w:r>
          </w:p>
        </w:tc>
        <w:tc>
          <w:tcPr>
            <w:tcW w:w="1449" w:type="dxa"/>
          </w:tcPr>
          <w:p w14:paraId="54BA2394" w14:textId="77777777" w:rsidR="006009C1" w:rsidRDefault="006009C1" w:rsidP="003B1BFE">
            <w:pPr>
              <w:jc w:val="center"/>
            </w:pPr>
            <w:r>
              <w:t>42</w:t>
            </w:r>
          </w:p>
          <w:p w14:paraId="03F3CD25" w14:textId="36EF1480" w:rsidR="006009C1" w:rsidRDefault="006009C1" w:rsidP="003B1BFE">
            <w:pPr>
              <w:jc w:val="center"/>
            </w:pPr>
          </w:p>
        </w:tc>
        <w:tc>
          <w:tcPr>
            <w:tcW w:w="1437" w:type="dxa"/>
          </w:tcPr>
          <w:p w14:paraId="3416C988" w14:textId="043D18DA" w:rsidR="006009C1" w:rsidRDefault="006009C1" w:rsidP="003B1BFE">
            <w:pPr>
              <w:jc w:val="center"/>
            </w:pPr>
            <w:r>
              <w:t>2%</w:t>
            </w:r>
          </w:p>
        </w:tc>
        <w:tc>
          <w:tcPr>
            <w:tcW w:w="1428" w:type="dxa"/>
          </w:tcPr>
          <w:p w14:paraId="3B6F9F7B" w14:textId="77777777" w:rsidR="006009C1" w:rsidRDefault="004F3352" w:rsidP="003B1BFE">
            <w:pPr>
              <w:jc w:val="center"/>
            </w:pPr>
            <w:r>
              <w:t>4</w:t>
            </w:r>
          </w:p>
          <w:p w14:paraId="78E2EEF1" w14:textId="627BEA88" w:rsidR="004F3352" w:rsidRDefault="001D3D9F" w:rsidP="003B1BFE">
            <w:pPr>
              <w:jc w:val="center"/>
            </w:pPr>
            <w:r>
              <w:t>(</w:t>
            </w:r>
            <w:r w:rsidR="0057598D">
              <w:t>1.75</w:t>
            </w:r>
            <w:r w:rsidR="004F3352">
              <w:t>%)</w:t>
            </w:r>
          </w:p>
        </w:tc>
        <w:tc>
          <w:tcPr>
            <w:tcW w:w="1428" w:type="dxa"/>
          </w:tcPr>
          <w:p w14:paraId="4B2428A8" w14:textId="77777777" w:rsidR="006009C1" w:rsidRDefault="004F3352" w:rsidP="003B1BFE">
            <w:pPr>
              <w:jc w:val="center"/>
            </w:pPr>
            <w:r>
              <w:t>38</w:t>
            </w:r>
          </w:p>
          <w:p w14:paraId="5E3341EB" w14:textId="0E73BBE6" w:rsidR="004F3352" w:rsidRDefault="001D3D9F" w:rsidP="003B1BFE">
            <w:pPr>
              <w:jc w:val="center"/>
            </w:pPr>
            <w:r>
              <w:t>(</w:t>
            </w:r>
            <w:r w:rsidR="00E669D8">
              <w:t>2</w:t>
            </w:r>
            <w:r w:rsidR="0038279C">
              <w:t>%)</w:t>
            </w:r>
          </w:p>
        </w:tc>
      </w:tr>
      <w:tr w:rsidR="006009C1" w14:paraId="557F9825" w14:textId="77777777" w:rsidTr="006009C1">
        <w:tc>
          <w:tcPr>
            <w:tcW w:w="2774" w:type="dxa"/>
          </w:tcPr>
          <w:p w14:paraId="6C5467E1" w14:textId="77777777" w:rsidR="006009C1" w:rsidRDefault="006009C1" w:rsidP="003B1BFE">
            <w:pPr>
              <w:jc w:val="center"/>
            </w:pPr>
            <w:r>
              <w:t>Game Offences</w:t>
            </w:r>
          </w:p>
        </w:tc>
        <w:tc>
          <w:tcPr>
            <w:tcW w:w="1449" w:type="dxa"/>
          </w:tcPr>
          <w:p w14:paraId="7D22118E" w14:textId="77777777" w:rsidR="006009C1" w:rsidRDefault="006009C1" w:rsidP="003B1BFE">
            <w:pPr>
              <w:jc w:val="center"/>
            </w:pPr>
            <w:r>
              <w:t>38</w:t>
            </w:r>
          </w:p>
          <w:p w14:paraId="1F08674E" w14:textId="43A45717" w:rsidR="006009C1" w:rsidRDefault="006009C1" w:rsidP="003B1BFE">
            <w:pPr>
              <w:jc w:val="center"/>
            </w:pPr>
          </w:p>
        </w:tc>
        <w:tc>
          <w:tcPr>
            <w:tcW w:w="1437" w:type="dxa"/>
          </w:tcPr>
          <w:p w14:paraId="7CE7CD06" w14:textId="0CF239E9" w:rsidR="006009C1" w:rsidRDefault="006009C1" w:rsidP="003B1BFE">
            <w:pPr>
              <w:jc w:val="center"/>
            </w:pPr>
            <w:r>
              <w:t>1.8%</w:t>
            </w:r>
          </w:p>
        </w:tc>
        <w:tc>
          <w:tcPr>
            <w:tcW w:w="1428" w:type="dxa"/>
          </w:tcPr>
          <w:p w14:paraId="71426072" w14:textId="5B49CA4B" w:rsidR="006009C1" w:rsidRDefault="004F3352" w:rsidP="003B1BFE">
            <w:pPr>
              <w:jc w:val="center"/>
            </w:pPr>
            <w:r>
              <w:t>0</w:t>
            </w:r>
          </w:p>
        </w:tc>
        <w:tc>
          <w:tcPr>
            <w:tcW w:w="1428" w:type="dxa"/>
          </w:tcPr>
          <w:p w14:paraId="38E28EF7" w14:textId="77777777" w:rsidR="006009C1" w:rsidRDefault="004F3352" w:rsidP="003B1BFE">
            <w:pPr>
              <w:jc w:val="center"/>
            </w:pPr>
            <w:r>
              <w:t>38</w:t>
            </w:r>
          </w:p>
          <w:p w14:paraId="7807922C" w14:textId="79AEEBE3" w:rsidR="004F3352" w:rsidRDefault="001D3D9F" w:rsidP="003B1BFE">
            <w:pPr>
              <w:jc w:val="center"/>
            </w:pPr>
            <w:r>
              <w:t>(</w:t>
            </w:r>
            <w:r w:rsidR="00C50B87">
              <w:t>2</w:t>
            </w:r>
            <w:r w:rsidR="004F3352">
              <w:t>%)</w:t>
            </w:r>
          </w:p>
        </w:tc>
      </w:tr>
      <w:tr w:rsidR="006009C1" w14:paraId="56F5F5BA" w14:textId="77777777" w:rsidTr="006009C1">
        <w:tc>
          <w:tcPr>
            <w:tcW w:w="2774" w:type="dxa"/>
          </w:tcPr>
          <w:p w14:paraId="1AFCAE84" w14:textId="66936CE6" w:rsidR="006009C1" w:rsidRDefault="006009C1" w:rsidP="003B1BFE">
            <w:pPr>
              <w:jc w:val="center"/>
            </w:pPr>
            <w:r>
              <w:t>Sheep Stealing</w:t>
            </w:r>
          </w:p>
        </w:tc>
        <w:tc>
          <w:tcPr>
            <w:tcW w:w="1449" w:type="dxa"/>
          </w:tcPr>
          <w:p w14:paraId="6ABFC715" w14:textId="77777777" w:rsidR="006009C1" w:rsidRDefault="006009C1" w:rsidP="003B1BFE">
            <w:pPr>
              <w:jc w:val="center"/>
            </w:pPr>
            <w:r>
              <w:t>32</w:t>
            </w:r>
          </w:p>
          <w:p w14:paraId="5A455542" w14:textId="36EC9F6B" w:rsidR="006009C1" w:rsidRDefault="006009C1" w:rsidP="003B1BFE">
            <w:pPr>
              <w:jc w:val="center"/>
            </w:pPr>
          </w:p>
        </w:tc>
        <w:tc>
          <w:tcPr>
            <w:tcW w:w="1437" w:type="dxa"/>
          </w:tcPr>
          <w:p w14:paraId="4D5A2D59" w14:textId="12ADF715" w:rsidR="006009C1" w:rsidRDefault="006009C1" w:rsidP="003B1BFE">
            <w:pPr>
              <w:jc w:val="center"/>
            </w:pPr>
            <w:r>
              <w:t>1.5%</w:t>
            </w:r>
          </w:p>
        </w:tc>
        <w:tc>
          <w:tcPr>
            <w:tcW w:w="1428" w:type="dxa"/>
          </w:tcPr>
          <w:p w14:paraId="5ACCFB9B" w14:textId="77777777" w:rsidR="006009C1" w:rsidRDefault="004F3352" w:rsidP="003B1BFE">
            <w:pPr>
              <w:jc w:val="center"/>
            </w:pPr>
            <w:r>
              <w:t>1</w:t>
            </w:r>
          </w:p>
          <w:p w14:paraId="47709EF4" w14:textId="2CD84C76" w:rsidR="004F3352" w:rsidRDefault="001D3D9F" w:rsidP="003B1BFE">
            <w:pPr>
              <w:jc w:val="center"/>
            </w:pPr>
            <w:r>
              <w:t>(</w:t>
            </w:r>
            <w:r w:rsidR="0057598D">
              <w:t>0.5</w:t>
            </w:r>
            <w:r w:rsidR="004F3352">
              <w:t>%)</w:t>
            </w:r>
          </w:p>
        </w:tc>
        <w:tc>
          <w:tcPr>
            <w:tcW w:w="1428" w:type="dxa"/>
          </w:tcPr>
          <w:p w14:paraId="3ABB9411" w14:textId="77777777" w:rsidR="006009C1" w:rsidRDefault="004F3352" w:rsidP="003B1BFE">
            <w:pPr>
              <w:jc w:val="center"/>
            </w:pPr>
            <w:r>
              <w:t>31</w:t>
            </w:r>
          </w:p>
          <w:p w14:paraId="4A6D1CC8" w14:textId="3230EF96" w:rsidR="004F3352" w:rsidRDefault="001D3D9F" w:rsidP="003B1BFE">
            <w:pPr>
              <w:jc w:val="center"/>
            </w:pPr>
            <w:r>
              <w:t>(</w:t>
            </w:r>
            <w:r w:rsidR="00E669D8">
              <w:t>1.75</w:t>
            </w:r>
            <w:r w:rsidR="004F3352">
              <w:t>%)</w:t>
            </w:r>
          </w:p>
        </w:tc>
      </w:tr>
      <w:tr w:rsidR="006009C1" w14:paraId="063B0ED8" w14:textId="77777777" w:rsidTr="006009C1">
        <w:tc>
          <w:tcPr>
            <w:tcW w:w="2774" w:type="dxa"/>
          </w:tcPr>
          <w:p w14:paraId="34E0CEF1" w14:textId="77777777" w:rsidR="006009C1" w:rsidRDefault="006009C1" w:rsidP="003B1BFE">
            <w:pPr>
              <w:jc w:val="center"/>
            </w:pPr>
            <w:r>
              <w:t xml:space="preserve">Larceny in a Dwelling </w:t>
            </w:r>
            <w:r>
              <w:lastRenderedPageBreak/>
              <w:t>House</w:t>
            </w:r>
          </w:p>
        </w:tc>
        <w:tc>
          <w:tcPr>
            <w:tcW w:w="1449" w:type="dxa"/>
          </w:tcPr>
          <w:p w14:paraId="2F6FBC62" w14:textId="77777777" w:rsidR="006009C1" w:rsidRDefault="006009C1" w:rsidP="003B1BFE">
            <w:pPr>
              <w:jc w:val="center"/>
            </w:pPr>
            <w:r>
              <w:lastRenderedPageBreak/>
              <w:t>32</w:t>
            </w:r>
          </w:p>
          <w:p w14:paraId="6C9AC45B" w14:textId="319A3A90" w:rsidR="006009C1" w:rsidRDefault="006009C1" w:rsidP="003B1BFE">
            <w:pPr>
              <w:jc w:val="center"/>
            </w:pPr>
          </w:p>
        </w:tc>
        <w:tc>
          <w:tcPr>
            <w:tcW w:w="1437" w:type="dxa"/>
          </w:tcPr>
          <w:p w14:paraId="289340AD" w14:textId="2EACADF4" w:rsidR="006009C1" w:rsidRDefault="006009C1" w:rsidP="003B1BFE">
            <w:pPr>
              <w:jc w:val="center"/>
            </w:pPr>
            <w:r>
              <w:lastRenderedPageBreak/>
              <w:t>1.5%</w:t>
            </w:r>
          </w:p>
        </w:tc>
        <w:tc>
          <w:tcPr>
            <w:tcW w:w="1428" w:type="dxa"/>
          </w:tcPr>
          <w:p w14:paraId="53E5C6A6" w14:textId="77777777" w:rsidR="006009C1" w:rsidRDefault="004F3352" w:rsidP="003B1BFE">
            <w:pPr>
              <w:jc w:val="center"/>
            </w:pPr>
            <w:r>
              <w:t>3</w:t>
            </w:r>
          </w:p>
          <w:p w14:paraId="719299D9" w14:textId="1274BBB8" w:rsidR="004F3352" w:rsidRDefault="001D3D9F" w:rsidP="004F3352">
            <w:pPr>
              <w:jc w:val="center"/>
            </w:pPr>
            <w:r>
              <w:lastRenderedPageBreak/>
              <w:t>(</w:t>
            </w:r>
            <w:r w:rsidR="0057598D">
              <w:t>1</w:t>
            </w:r>
            <w:r w:rsidR="004F3352">
              <w:t>%)</w:t>
            </w:r>
          </w:p>
        </w:tc>
        <w:tc>
          <w:tcPr>
            <w:tcW w:w="1428" w:type="dxa"/>
          </w:tcPr>
          <w:p w14:paraId="4C8975AB" w14:textId="77777777" w:rsidR="006009C1" w:rsidRDefault="004F3352" w:rsidP="003B1BFE">
            <w:pPr>
              <w:jc w:val="center"/>
            </w:pPr>
            <w:r>
              <w:lastRenderedPageBreak/>
              <w:t>29</w:t>
            </w:r>
          </w:p>
          <w:p w14:paraId="12D81219" w14:textId="610B67A3" w:rsidR="004F3352" w:rsidRDefault="001D3D9F" w:rsidP="003B1BFE">
            <w:pPr>
              <w:jc w:val="center"/>
            </w:pPr>
            <w:r>
              <w:lastRenderedPageBreak/>
              <w:t>(</w:t>
            </w:r>
            <w:r w:rsidR="00C50B87">
              <w:t>1.75</w:t>
            </w:r>
            <w:r w:rsidR="004F3352">
              <w:t>%)</w:t>
            </w:r>
          </w:p>
        </w:tc>
      </w:tr>
      <w:tr w:rsidR="006009C1" w14:paraId="7FAF3484" w14:textId="77777777" w:rsidTr="006009C1">
        <w:tc>
          <w:tcPr>
            <w:tcW w:w="2774" w:type="dxa"/>
          </w:tcPr>
          <w:p w14:paraId="22B52C11" w14:textId="77777777" w:rsidR="006009C1" w:rsidRDefault="006009C1" w:rsidP="003B1BFE">
            <w:pPr>
              <w:jc w:val="center"/>
            </w:pPr>
            <w:r>
              <w:lastRenderedPageBreak/>
              <w:t>Rape</w:t>
            </w:r>
          </w:p>
        </w:tc>
        <w:tc>
          <w:tcPr>
            <w:tcW w:w="1449" w:type="dxa"/>
          </w:tcPr>
          <w:p w14:paraId="1B68597A" w14:textId="77777777" w:rsidR="006009C1" w:rsidRDefault="006009C1" w:rsidP="003B1BFE">
            <w:pPr>
              <w:jc w:val="center"/>
            </w:pPr>
            <w:r>
              <w:t>27</w:t>
            </w:r>
          </w:p>
          <w:p w14:paraId="0D3D53DF" w14:textId="28CF1E76" w:rsidR="006009C1" w:rsidRDefault="006009C1" w:rsidP="003B1BFE">
            <w:pPr>
              <w:jc w:val="center"/>
            </w:pPr>
          </w:p>
        </w:tc>
        <w:tc>
          <w:tcPr>
            <w:tcW w:w="1437" w:type="dxa"/>
          </w:tcPr>
          <w:p w14:paraId="6D1A8E8F" w14:textId="04C586C0" w:rsidR="006009C1" w:rsidRDefault="006009C1" w:rsidP="003B1BFE">
            <w:pPr>
              <w:jc w:val="center"/>
            </w:pPr>
            <w:r>
              <w:t>1.3%</w:t>
            </w:r>
          </w:p>
        </w:tc>
        <w:tc>
          <w:tcPr>
            <w:tcW w:w="1428" w:type="dxa"/>
          </w:tcPr>
          <w:p w14:paraId="2E2EEC49" w14:textId="53165D4F" w:rsidR="006009C1" w:rsidRDefault="004F3352" w:rsidP="003B1BFE">
            <w:pPr>
              <w:jc w:val="center"/>
            </w:pPr>
            <w:r>
              <w:t>0</w:t>
            </w:r>
          </w:p>
        </w:tc>
        <w:tc>
          <w:tcPr>
            <w:tcW w:w="1428" w:type="dxa"/>
          </w:tcPr>
          <w:p w14:paraId="1C0690FE" w14:textId="77777777" w:rsidR="006009C1" w:rsidRDefault="004F3352" w:rsidP="003B1BFE">
            <w:pPr>
              <w:jc w:val="center"/>
            </w:pPr>
            <w:r>
              <w:t>27</w:t>
            </w:r>
          </w:p>
          <w:p w14:paraId="363739BF" w14:textId="0A197A41" w:rsidR="004F3352" w:rsidRDefault="001D3D9F" w:rsidP="003B1BFE">
            <w:pPr>
              <w:jc w:val="center"/>
            </w:pPr>
            <w:r>
              <w:t>(</w:t>
            </w:r>
            <w:r w:rsidR="00E669D8">
              <w:t>1.5</w:t>
            </w:r>
            <w:r w:rsidR="004F3352">
              <w:t>%)</w:t>
            </w:r>
          </w:p>
        </w:tc>
      </w:tr>
      <w:tr w:rsidR="006009C1" w14:paraId="153C9639" w14:textId="77777777" w:rsidTr="006009C1">
        <w:tc>
          <w:tcPr>
            <w:tcW w:w="2774" w:type="dxa"/>
          </w:tcPr>
          <w:p w14:paraId="7F7EADE0" w14:textId="42F52C53" w:rsidR="006009C1" w:rsidRDefault="006009C1" w:rsidP="003B1BFE">
            <w:pPr>
              <w:jc w:val="center"/>
            </w:pPr>
            <w:r>
              <w:t>Shooting at</w:t>
            </w:r>
          </w:p>
        </w:tc>
        <w:tc>
          <w:tcPr>
            <w:tcW w:w="1449" w:type="dxa"/>
          </w:tcPr>
          <w:p w14:paraId="39E16961" w14:textId="77777777" w:rsidR="006009C1" w:rsidRDefault="006009C1" w:rsidP="003B1BFE">
            <w:pPr>
              <w:jc w:val="center"/>
            </w:pPr>
            <w:r>
              <w:t>26</w:t>
            </w:r>
          </w:p>
          <w:p w14:paraId="17948396" w14:textId="5087C634" w:rsidR="006009C1" w:rsidRDefault="006009C1" w:rsidP="003B1BFE">
            <w:pPr>
              <w:jc w:val="center"/>
            </w:pPr>
          </w:p>
        </w:tc>
        <w:tc>
          <w:tcPr>
            <w:tcW w:w="1437" w:type="dxa"/>
          </w:tcPr>
          <w:p w14:paraId="14555724" w14:textId="2CD05CE0" w:rsidR="006009C1" w:rsidRDefault="006009C1" w:rsidP="003B1BFE">
            <w:pPr>
              <w:jc w:val="center"/>
            </w:pPr>
            <w:r>
              <w:t>1.2%</w:t>
            </w:r>
          </w:p>
        </w:tc>
        <w:tc>
          <w:tcPr>
            <w:tcW w:w="1428" w:type="dxa"/>
          </w:tcPr>
          <w:p w14:paraId="75AD563A" w14:textId="45FF07AF" w:rsidR="006009C1" w:rsidRDefault="004F3352" w:rsidP="003B1BFE">
            <w:pPr>
              <w:jc w:val="center"/>
            </w:pPr>
            <w:r>
              <w:t>0</w:t>
            </w:r>
          </w:p>
        </w:tc>
        <w:tc>
          <w:tcPr>
            <w:tcW w:w="1428" w:type="dxa"/>
          </w:tcPr>
          <w:p w14:paraId="63D6A947" w14:textId="77777777" w:rsidR="006009C1" w:rsidRDefault="004F3352" w:rsidP="003B1BFE">
            <w:pPr>
              <w:jc w:val="center"/>
            </w:pPr>
            <w:r>
              <w:t>26</w:t>
            </w:r>
          </w:p>
          <w:p w14:paraId="1DE5D582" w14:textId="1A64120E" w:rsidR="004F3352" w:rsidRDefault="001D3D9F" w:rsidP="003B1BFE">
            <w:pPr>
              <w:jc w:val="center"/>
            </w:pPr>
            <w:r>
              <w:t>(</w:t>
            </w:r>
            <w:r w:rsidR="00E669D8">
              <w:t>1.5</w:t>
            </w:r>
            <w:r w:rsidR="004F3352">
              <w:t>%)</w:t>
            </w:r>
          </w:p>
        </w:tc>
      </w:tr>
      <w:tr w:rsidR="006009C1" w14:paraId="5E9667A1" w14:textId="77777777" w:rsidTr="006009C1">
        <w:tc>
          <w:tcPr>
            <w:tcW w:w="2774" w:type="dxa"/>
          </w:tcPr>
          <w:p w14:paraId="505BD2CF" w14:textId="3D28E76E" w:rsidR="006009C1" w:rsidRDefault="006009C1" w:rsidP="003B1BFE">
            <w:pPr>
              <w:jc w:val="center"/>
            </w:pPr>
            <w:r>
              <w:t>Cattle Stealing</w:t>
            </w:r>
          </w:p>
        </w:tc>
        <w:tc>
          <w:tcPr>
            <w:tcW w:w="1449" w:type="dxa"/>
          </w:tcPr>
          <w:p w14:paraId="6DB341B0" w14:textId="77777777" w:rsidR="006009C1" w:rsidRDefault="006009C1" w:rsidP="003B1BFE">
            <w:pPr>
              <w:jc w:val="center"/>
            </w:pPr>
            <w:r>
              <w:t>26</w:t>
            </w:r>
          </w:p>
          <w:p w14:paraId="10EBEBC2" w14:textId="36F93CE1" w:rsidR="006009C1" w:rsidRDefault="006009C1" w:rsidP="003B1BFE">
            <w:pPr>
              <w:jc w:val="center"/>
            </w:pPr>
          </w:p>
        </w:tc>
        <w:tc>
          <w:tcPr>
            <w:tcW w:w="1437" w:type="dxa"/>
          </w:tcPr>
          <w:p w14:paraId="7B10CB5F" w14:textId="03CBA803" w:rsidR="006009C1" w:rsidRDefault="006009C1" w:rsidP="003B1BFE">
            <w:pPr>
              <w:jc w:val="center"/>
            </w:pPr>
            <w:r>
              <w:t>1.2%</w:t>
            </w:r>
          </w:p>
        </w:tc>
        <w:tc>
          <w:tcPr>
            <w:tcW w:w="1428" w:type="dxa"/>
          </w:tcPr>
          <w:p w14:paraId="779461D4" w14:textId="77777777" w:rsidR="006009C1" w:rsidRDefault="004F3352" w:rsidP="003B1BFE">
            <w:pPr>
              <w:jc w:val="center"/>
            </w:pPr>
            <w:r>
              <w:t>1</w:t>
            </w:r>
          </w:p>
          <w:p w14:paraId="65391F7E" w14:textId="4F9D5969" w:rsidR="004F3352" w:rsidRDefault="001D3D9F" w:rsidP="003B1BFE">
            <w:pPr>
              <w:jc w:val="center"/>
            </w:pPr>
            <w:r>
              <w:t>(</w:t>
            </w:r>
            <w:r w:rsidR="0057598D">
              <w:t>0.5</w:t>
            </w:r>
            <w:r w:rsidR="004F3352">
              <w:t>%)</w:t>
            </w:r>
          </w:p>
        </w:tc>
        <w:tc>
          <w:tcPr>
            <w:tcW w:w="1428" w:type="dxa"/>
          </w:tcPr>
          <w:p w14:paraId="6A86749D" w14:textId="77777777" w:rsidR="006009C1" w:rsidRDefault="004F3352" w:rsidP="003B1BFE">
            <w:pPr>
              <w:jc w:val="center"/>
            </w:pPr>
            <w:r>
              <w:t>25</w:t>
            </w:r>
          </w:p>
          <w:p w14:paraId="701E89B9" w14:textId="7DFA659F" w:rsidR="004F3352" w:rsidRDefault="001D3D9F" w:rsidP="003B1BFE">
            <w:pPr>
              <w:jc w:val="center"/>
            </w:pPr>
            <w:r>
              <w:t>(</w:t>
            </w:r>
            <w:r w:rsidR="00E669D8">
              <w:t>1</w:t>
            </w:r>
            <w:r w:rsidR="004F3352">
              <w:t>%)</w:t>
            </w:r>
          </w:p>
        </w:tc>
      </w:tr>
      <w:tr w:rsidR="006009C1" w14:paraId="09D1FBF5" w14:textId="77777777" w:rsidTr="006009C1">
        <w:tc>
          <w:tcPr>
            <w:tcW w:w="2774" w:type="dxa"/>
          </w:tcPr>
          <w:p w14:paraId="4B127B35" w14:textId="77777777" w:rsidR="006009C1" w:rsidRDefault="006009C1" w:rsidP="003B1BFE">
            <w:pPr>
              <w:jc w:val="center"/>
            </w:pPr>
            <w:r>
              <w:t>Murder</w:t>
            </w:r>
          </w:p>
        </w:tc>
        <w:tc>
          <w:tcPr>
            <w:tcW w:w="1449" w:type="dxa"/>
          </w:tcPr>
          <w:p w14:paraId="1F0D736D" w14:textId="77777777" w:rsidR="006009C1" w:rsidRDefault="006009C1" w:rsidP="003B1BFE">
            <w:pPr>
              <w:jc w:val="center"/>
            </w:pPr>
            <w:r>
              <w:t>23</w:t>
            </w:r>
          </w:p>
          <w:p w14:paraId="6211E7E6" w14:textId="50932AD6" w:rsidR="006009C1" w:rsidRDefault="006009C1" w:rsidP="003B1BFE">
            <w:pPr>
              <w:jc w:val="center"/>
            </w:pPr>
          </w:p>
        </w:tc>
        <w:tc>
          <w:tcPr>
            <w:tcW w:w="1437" w:type="dxa"/>
          </w:tcPr>
          <w:p w14:paraId="15137C07" w14:textId="12A149A6" w:rsidR="006009C1" w:rsidRDefault="006009C1" w:rsidP="003B1BFE">
            <w:pPr>
              <w:jc w:val="center"/>
            </w:pPr>
            <w:r>
              <w:t>1.1%</w:t>
            </w:r>
          </w:p>
        </w:tc>
        <w:tc>
          <w:tcPr>
            <w:tcW w:w="1428" w:type="dxa"/>
          </w:tcPr>
          <w:p w14:paraId="47ACE6CF" w14:textId="77777777" w:rsidR="006009C1" w:rsidRDefault="004F3352" w:rsidP="003B1BFE">
            <w:pPr>
              <w:jc w:val="center"/>
            </w:pPr>
            <w:r>
              <w:t>5</w:t>
            </w:r>
          </w:p>
          <w:p w14:paraId="49BD90D4" w14:textId="23524E93" w:rsidR="004F3352" w:rsidRDefault="001D3D9F" w:rsidP="003B1BFE">
            <w:pPr>
              <w:jc w:val="center"/>
            </w:pPr>
            <w:r>
              <w:t>(</w:t>
            </w:r>
            <w:r w:rsidR="0057598D">
              <w:t>2</w:t>
            </w:r>
            <w:r w:rsidR="004F3352">
              <w:t>%)</w:t>
            </w:r>
          </w:p>
        </w:tc>
        <w:tc>
          <w:tcPr>
            <w:tcW w:w="1428" w:type="dxa"/>
          </w:tcPr>
          <w:p w14:paraId="0522593D" w14:textId="77777777" w:rsidR="006009C1" w:rsidRDefault="004F3352" w:rsidP="003B1BFE">
            <w:pPr>
              <w:jc w:val="center"/>
            </w:pPr>
            <w:r>
              <w:t>18</w:t>
            </w:r>
          </w:p>
          <w:p w14:paraId="3694E996" w14:textId="45DF144B" w:rsidR="004F3352" w:rsidRDefault="001D3D9F" w:rsidP="003B1BFE">
            <w:pPr>
              <w:jc w:val="center"/>
            </w:pPr>
            <w:r>
              <w:t>(</w:t>
            </w:r>
            <w:r w:rsidR="00E669D8">
              <w:t>1</w:t>
            </w:r>
            <w:r w:rsidR="004F3352">
              <w:t>%)</w:t>
            </w:r>
          </w:p>
        </w:tc>
      </w:tr>
      <w:tr w:rsidR="006009C1" w14:paraId="4A49E075" w14:textId="77777777" w:rsidTr="006009C1">
        <w:tc>
          <w:tcPr>
            <w:tcW w:w="2774" w:type="dxa"/>
          </w:tcPr>
          <w:p w14:paraId="57BB9F06" w14:textId="77777777" w:rsidR="006009C1" w:rsidRDefault="006009C1" w:rsidP="003B1BFE">
            <w:pPr>
              <w:jc w:val="center"/>
            </w:pPr>
            <w:r>
              <w:t>Robbery</w:t>
            </w:r>
          </w:p>
        </w:tc>
        <w:tc>
          <w:tcPr>
            <w:tcW w:w="1449" w:type="dxa"/>
          </w:tcPr>
          <w:p w14:paraId="53D08BC9" w14:textId="77777777" w:rsidR="006009C1" w:rsidRDefault="006009C1" w:rsidP="003B1BFE">
            <w:pPr>
              <w:jc w:val="center"/>
            </w:pPr>
            <w:r>
              <w:t>23</w:t>
            </w:r>
          </w:p>
          <w:p w14:paraId="028F795C" w14:textId="6820598E" w:rsidR="006009C1" w:rsidRDefault="006009C1" w:rsidP="003B1BFE">
            <w:pPr>
              <w:jc w:val="center"/>
            </w:pPr>
          </w:p>
        </w:tc>
        <w:tc>
          <w:tcPr>
            <w:tcW w:w="1437" w:type="dxa"/>
          </w:tcPr>
          <w:p w14:paraId="1A9B5A6D" w14:textId="38DF4329" w:rsidR="006009C1" w:rsidRDefault="006009C1" w:rsidP="003B1BFE">
            <w:pPr>
              <w:jc w:val="center"/>
            </w:pPr>
            <w:r>
              <w:t>1.1%</w:t>
            </w:r>
          </w:p>
        </w:tc>
        <w:tc>
          <w:tcPr>
            <w:tcW w:w="1428" w:type="dxa"/>
          </w:tcPr>
          <w:p w14:paraId="65396BD3" w14:textId="7960443C" w:rsidR="006009C1" w:rsidRDefault="004F3352" w:rsidP="003B1BFE">
            <w:pPr>
              <w:jc w:val="center"/>
            </w:pPr>
            <w:r>
              <w:t>0</w:t>
            </w:r>
          </w:p>
        </w:tc>
        <w:tc>
          <w:tcPr>
            <w:tcW w:w="1428" w:type="dxa"/>
          </w:tcPr>
          <w:p w14:paraId="7D26AB67" w14:textId="77777777" w:rsidR="006009C1" w:rsidRDefault="004F3352" w:rsidP="003B1BFE">
            <w:pPr>
              <w:jc w:val="center"/>
            </w:pPr>
            <w:r>
              <w:t>23</w:t>
            </w:r>
          </w:p>
          <w:p w14:paraId="24396E51" w14:textId="469C6551" w:rsidR="004F3352" w:rsidRDefault="001D3D9F" w:rsidP="003B1BFE">
            <w:pPr>
              <w:jc w:val="center"/>
            </w:pPr>
            <w:r>
              <w:t>(</w:t>
            </w:r>
            <w:r w:rsidR="00C50B87">
              <w:t>1</w:t>
            </w:r>
            <w:r w:rsidR="004F3352">
              <w:t>%)</w:t>
            </w:r>
          </w:p>
        </w:tc>
      </w:tr>
      <w:tr w:rsidR="006009C1" w14:paraId="151EFA78" w14:textId="77777777" w:rsidTr="006009C1">
        <w:tc>
          <w:tcPr>
            <w:tcW w:w="2774" w:type="dxa"/>
          </w:tcPr>
          <w:p w14:paraId="0F34C9D7" w14:textId="4F8A8720" w:rsidR="006009C1" w:rsidRDefault="006009C1" w:rsidP="003B1BFE">
            <w:pPr>
              <w:jc w:val="center"/>
            </w:pPr>
            <w:r>
              <w:t>Other Sexual Crimes</w:t>
            </w:r>
          </w:p>
        </w:tc>
        <w:tc>
          <w:tcPr>
            <w:tcW w:w="1449" w:type="dxa"/>
          </w:tcPr>
          <w:p w14:paraId="772FEEB4" w14:textId="77777777" w:rsidR="006009C1" w:rsidRDefault="006009C1" w:rsidP="003B1BFE">
            <w:pPr>
              <w:jc w:val="center"/>
            </w:pPr>
            <w:r>
              <w:t>15</w:t>
            </w:r>
          </w:p>
          <w:p w14:paraId="04E5790A" w14:textId="11CEC1E9" w:rsidR="006009C1" w:rsidRDefault="006009C1" w:rsidP="003B1BFE">
            <w:pPr>
              <w:jc w:val="center"/>
            </w:pPr>
          </w:p>
        </w:tc>
        <w:tc>
          <w:tcPr>
            <w:tcW w:w="1437" w:type="dxa"/>
          </w:tcPr>
          <w:p w14:paraId="126F6151" w14:textId="3C187860" w:rsidR="006009C1" w:rsidRDefault="006009C1" w:rsidP="003B1BFE">
            <w:pPr>
              <w:jc w:val="center"/>
            </w:pPr>
            <w:r>
              <w:t>0.7%</w:t>
            </w:r>
          </w:p>
        </w:tc>
        <w:tc>
          <w:tcPr>
            <w:tcW w:w="1428" w:type="dxa"/>
          </w:tcPr>
          <w:p w14:paraId="63379635" w14:textId="153705F9" w:rsidR="006009C1" w:rsidRDefault="004F3352" w:rsidP="003B1BFE">
            <w:pPr>
              <w:jc w:val="center"/>
            </w:pPr>
            <w:r>
              <w:t>0</w:t>
            </w:r>
          </w:p>
        </w:tc>
        <w:tc>
          <w:tcPr>
            <w:tcW w:w="1428" w:type="dxa"/>
          </w:tcPr>
          <w:p w14:paraId="7AECCB57" w14:textId="77777777" w:rsidR="006009C1" w:rsidRDefault="004F3352" w:rsidP="003B1BFE">
            <w:pPr>
              <w:jc w:val="center"/>
            </w:pPr>
            <w:r>
              <w:t>15</w:t>
            </w:r>
          </w:p>
          <w:p w14:paraId="1EFE1958" w14:textId="61F3CCF9" w:rsidR="004F3352" w:rsidRDefault="001D3D9F" w:rsidP="003B1BFE">
            <w:pPr>
              <w:jc w:val="center"/>
            </w:pPr>
            <w:r>
              <w:t>(</w:t>
            </w:r>
            <w:r w:rsidR="00C50B87">
              <w:t>1</w:t>
            </w:r>
            <w:r w:rsidR="004F3352">
              <w:t>%)</w:t>
            </w:r>
          </w:p>
        </w:tc>
      </w:tr>
      <w:tr w:rsidR="006009C1" w14:paraId="62A85621" w14:textId="77777777" w:rsidTr="006009C1">
        <w:tc>
          <w:tcPr>
            <w:tcW w:w="2774" w:type="dxa"/>
          </w:tcPr>
          <w:p w14:paraId="607B9B98" w14:textId="6941B70C" w:rsidR="006009C1" w:rsidRDefault="006009C1" w:rsidP="003B1BFE">
            <w:pPr>
              <w:jc w:val="center"/>
            </w:pPr>
            <w:r>
              <w:t>Stabbing, Cutting &amp; Wounding</w:t>
            </w:r>
          </w:p>
        </w:tc>
        <w:tc>
          <w:tcPr>
            <w:tcW w:w="1449" w:type="dxa"/>
          </w:tcPr>
          <w:p w14:paraId="010CF36F" w14:textId="77777777" w:rsidR="006009C1" w:rsidRDefault="006009C1" w:rsidP="003B1BFE">
            <w:pPr>
              <w:jc w:val="center"/>
            </w:pPr>
            <w:r>
              <w:t>9</w:t>
            </w:r>
          </w:p>
          <w:p w14:paraId="68E39B4D" w14:textId="2CC3D901" w:rsidR="006009C1" w:rsidRDefault="006009C1" w:rsidP="003B1BFE">
            <w:pPr>
              <w:jc w:val="center"/>
            </w:pPr>
          </w:p>
        </w:tc>
        <w:tc>
          <w:tcPr>
            <w:tcW w:w="1437" w:type="dxa"/>
          </w:tcPr>
          <w:p w14:paraId="1BC0C87C" w14:textId="43F1C29D" w:rsidR="006009C1" w:rsidRDefault="006009C1" w:rsidP="003B1BFE">
            <w:pPr>
              <w:jc w:val="center"/>
            </w:pPr>
            <w:r>
              <w:t>0.4%</w:t>
            </w:r>
          </w:p>
        </w:tc>
        <w:tc>
          <w:tcPr>
            <w:tcW w:w="1428" w:type="dxa"/>
          </w:tcPr>
          <w:p w14:paraId="7A1970D7" w14:textId="0DF3257C" w:rsidR="006009C1" w:rsidRDefault="004F3352" w:rsidP="003B1BFE">
            <w:pPr>
              <w:jc w:val="center"/>
            </w:pPr>
            <w:r>
              <w:t>0</w:t>
            </w:r>
          </w:p>
        </w:tc>
        <w:tc>
          <w:tcPr>
            <w:tcW w:w="1428" w:type="dxa"/>
          </w:tcPr>
          <w:p w14:paraId="43F1B853" w14:textId="77777777" w:rsidR="006009C1" w:rsidRDefault="004F3352" w:rsidP="003B1BFE">
            <w:pPr>
              <w:jc w:val="center"/>
            </w:pPr>
            <w:r>
              <w:t>9</w:t>
            </w:r>
          </w:p>
          <w:p w14:paraId="0B0F3D1E" w14:textId="24B9E4EF" w:rsidR="004F3352" w:rsidRDefault="001D3D9F" w:rsidP="003B1BFE">
            <w:pPr>
              <w:jc w:val="center"/>
            </w:pPr>
            <w:r>
              <w:t>(</w:t>
            </w:r>
            <w:r w:rsidR="00C50B87">
              <w:t>0.5</w:t>
            </w:r>
            <w:r w:rsidR="004F3352">
              <w:t>%)</w:t>
            </w:r>
          </w:p>
        </w:tc>
      </w:tr>
      <w:tr w:rsidR="006009C1" w14:paraId="0919D61C" w14:textId="77777777" w:rsidTr="006009C1">
        <w:tc>
          <w:tcPr>
            <w:tcW w:w="2774" w:type="dxa"/>
          </w:tcPr>
          <w:p w14:paraId="6EFD0C99" w14:textId="2B391D6C" w:rsidR="006009C1" w:rsidRDefault="006009C1" w:rsidP="003B1BFE">
            <w:pPr>
              <w:jc w:val="center"/>
            </w:pPr>
            <w:r>
              <w:t>Concealing the Birth of a Child</w:t>
            </w:r>
          </w:p>
        </w:tc>
        <w:tc>
          <w:tcPr>
            <w:tcW w:w="1449" w:type="dxa"/>
          </w:tcPr>
          <w:p w14:paraId="7CD936E6" w14:textId="77777777" w:rsidR="006009C1" w:rsidRDefault="006009C1" w:rsidP="003B1BFE">
            <w:pPr>
              <w:jc w:val="center"/>
            </w:pPr>
            <w:r>
              <w:t>6</w:t>
            </w:r>
          </w:p>
          <w:p w14:paraId="341C165C" w14:textId="7C726F7B" w:rsidR="006009C1" w:rsidRDefault="006009C1" w:rsidP="003B1BFE">
            <w:pPr>
              <w:jc w:val="center"/>
            </w:pPr>
          </w:p>
        </w:tc>
        <w:tc>
          <w:tcPr>
            <w:tcW w:w="1437" w:type="dxa"/>
          </w:tcPr>
          <w:p w14:paraId="73E60B30" w14:textId="7068B847" w:rsidR="006009C1" w:rsidRDefault="006009C1" w:rsidP="003B1BFE">
            <w:pPr>
              <w:jc w:val="center"/>
            </w:pPr>
            <w:r>
              <w:t>0.3%</w:t>
            </w:r>
          </w:p>
        </w:tc>
        <w:tc>
          <w:tcPr>
            <w:tcW w:w="1428" w:type="dxa"/>
          </w:tcPr>
          <w:p w14:paraId="23FAA666" w14:textId="77777777" w:rsidR="006009C1" w:rsidRDefault="004F3352" w:rsidP="003B1BFE">
            <w:pPr>
              <w:jc w:val="center"/>
            </w:pPr>
            <w:r>
              <w:t>6</w:t>
            </w:r>
          </w:p>
          <w:p w14:paraId="08A1ABF2" w14:textId="11E4D1C0" w:rsidR="004F3352" w:rsidRDefault="001D3D9F" w:rsidP="0057598D">
            <w:pPr>
              <w:jc w:val="center"/>
            </w:pPr>
            <w:r>
              <w:t>(</w:t>
            </w:r>
            <w:r w:rsidR="0057598D">
              <w:t>2.75</w:t>
            </w:r>
            <w:r w:rsidR="004F3352">
              <w:t>%)</w:t>
            </w:r>
          </w:p>
        </w:tc>
        <w:tc>
          <w:tcPr>
            <w:tcW w:w="1428" w:type="dxa"/>
          </w:tcPr>
          <w:p w14:paraId="14D34C11" w14:textId="57564750" w:rsidR="006009C1" w:rsidRDefault="004F3352" w:rsidP="003B1BFE">
            <w:pPr>
              <w:jc w:val="center"/>
            </w:pPr>
            <w:r>
              <w:t>0</w:t>
            </w:r>
          </w:p>
        </w:tc>
      </w:tr>
      <w:tr w:rsidR="006009C1" w14:paraId="7822EFE6" w14:textId="77777777" w:rsidTr="006009C1">
        <w:tc>
          <w:tcPr>
            <w:tcW w:w="2774" w:type="dxa"/>
          </w:tcPr>
          <w:p w14:paraId="3F37B0E9" w14:textId="77777777" w:rsidR="006009C1" w:rsidRDefault="006009C1" w:rsidP="003B1BFE">
            <w:pPr>
              <w:jc w:val="center"/>
            </w:pPr>
            <w:r>
              <w:t>Arson</w:t>
            </w:r>
          </w:p>
        </w:tc>
        <w:tc>
          <w:tcPr>
            <w:tcW w:w="1449" w:type="dxa"/>
          </w:tcPr>
          <w:p w14:paraId="568AB216" w14:textId="77777777" w:rsidR="006009C1" w:rsidRDefault="006009C1" w:rsidP="003B1BFE">
            <w:pPr>
              <w:jc w:val="center"/>
            </w:pPr>
            <w:r>
              <w:t>4</w:t>
            </w:r>
          </w:p>
          <w:p w14:paraId="21DECEDC" w14:textId="1F95176D" w:rsidR="006009C1" w:rsidRDefault="006009C1" w:rsidP="003B1BFE">
            <w:pPr>
              <w:jc w:val="center"/>
            </w:pPr>
          </w:p>
        </w:tc>
        <w:tc>
          <w:tcPr>
            <w:tcW w:w="1437" w:type="dxa"/>
          </w:tcPr>
          <w:p w14:paraId="0C8D9B89" w14:textId="4D2BACE8" w:rsidR="006009C1" w:rsidRDefault="006009C1" w:rsidP="003B1BFE">
            <w:pPr>
              <w:jc w:val="center"/>
            </w:pPr>
            <w:r>
              <w:t>0.2%</w:t>
            </w:r>
          </w:p>
        </w:tc>
        <w:tc>
          <w:tcPr>
            <w:tcW w:w="1428" w:type="dxa"/>
          </w:tcPr>
          <w:p w14:paraId="40420C9D" w14:textId="784ED419" w:rsidR="006009C1" w:rsidRDefault="004F3352" w:rsidP="003B1BFE">
            <w:pPr>
              <w:jc w:val="center"/>
            </w:pPr>
            <w:r>
              <w:t>0</w:t>
            </w:r>
          </w:p>
        </w:tc>
        <w:tc>
          <w:tcPr>
            <w:tcW w:w="1428" w:type="dxa"/>
          </w:tcPr>
          <w:p w14:paraId="032BBD85" w14:textId="77777777" w:rsidR="006009C1" w:rsidRDefault="004F3352" w:rsidP="003B1BFE">
            <w:pPr>
              <w:jc w:val="center"/>
            </w:pPr>
            <w:r>
              <w:t>4</w:t>
            </w:r>
          </w:p>
          <w:p w14:paraId="1B110CC0" w14:textId="2FB2E8DF" w:rsidR="004F3352" w:rsidRDefault="001D3D9F" w:rsidP="003B1BFE">
            <w:pPr>
              <w:jc w:val="center"/>
            </w:pPr>
            <w:r>
              <w:t>(</w:t>
            </w:r>
            <w:r w:rsidR="00E64B44">
              <w:t>0.25</w:t>
            </w:r>
            <w:r w:rsidR="004F3352">
              <w:t>%)</w:t>
            </w:r>
          </w:p>
        </w:tc>
      </w:tr>
      <w:tr w:rsidR="0038279C" w14:paraId="614AB60A" w14:textId="77777777" w:rsidTr="006C57D8">
        <w:tc>
          <w:tcPr>
            <w:tcW w:w="2774" w:type="dxa"/>
          </w:tcPr>
          <w:p w14:paraId="6F5A35B3" w14:textId="4012434D" w:rsidR="0038279C" w:rsidRPr="0025015B" w:rsidRDefault="0038279C" w:rsidP="003B1BFE">
            <w:pPr>
              <w:jc w:val="right"/>
              <w:rPr>
                <w:b/>
              </w:rPr>
            </w:pPr>
            <w:r w:rsidRPr="0025015B">
              <w:rPr>
                <w:b/>
              </w:rPr>
              <w:t>Total</w:t>
            </w:r>
          </w:p>
        </w:tc>
        <w:tc>
          <w:tcPr>
            <w:tcW w:w="2886" w:type="dxa"/>
            <w:gridSpan w:val="2"/>
          </w:tcPr>
          <w:p w14:paraId="53C3B7BC" w14:textId="77777777" w:rsidR="0038279C" w:rsidRDefault="0038279C" w:rsidP="003B1BFE">
            <w:pPr>
              <w:jc w:val="center"/>
            </w:pPr>
            <w:r>
              <w:t>2101</w:t>
            </w:r>
          </w:p>
          <w:p w14:paraId="74B4E8A2" w14:textId="5A277E75" w:rsidR="0038279C" w:rsidRDefault="0038279C" w:rsidP="003B1BFE">
            <w:pPr>
              <w:jc w:val="center"/>
            </w:pPr>
            <w:r>
              <w:t>(100%)</w:t>
            </w:r>
          </w:p>
        </w:tc>
        <w:tc>
          <w:tcPr>
            <w:tcW w:w="1428" w:type="dxa"/>
          </w:tcPr>
          <w:p w14:paraId="382B2ECA" w14:textId="77777777" w:rsidR="0038279C" w:rsidRDefault="0038279C" w:rsidP="003B1BFE">
            <w:pPr>
              <w:jc w:val="center"/>
            </w:pPr>
            <w:r>
              <w:t>233</w:t>
            </w:r>
          </w:p>
          <w:p w14:paraId="18EDF88C" w14:textId="214CF627" w:rsidR="0038279C" w:rsidRDefault="001D3D9F" w:rsidP="003B1BFE">
            <w:pPr>
              <w:jc w:val="center"/>
            </w:pPr>
            <w:r>
              <w:t>(100</w:t>
            </w:r>
            <w:r w:rsidR="0038279C">
              <w:t>%)</w:t>
            </w:r>
          </w:p>
        </w:tc>
        <w:tc>
          <w:tcPr>
            <w:tcW w:w="1428" w:type="dxa"/>
          </w:tcPr>
          <w:p w14:paraId="22B4B6D5" w14:textId="77777777" w:rsidR="0038279C" w:rsidRDefault="0038279C" w:rsidP="003B1BFE">
            <w:pPr>
              <w:jc w:val="center"/>
            </w:pPr>
            <w:r>
              <w:t>1868</w:t>
            </w:r>
          </w:p>
          <w:p w14:paraId="6A6FE255" w14:textId="334A0835" w:rsidR="0038279C" w:rsidRDefault="0038279C" w:rsidP="001D3D9F">
            <w:pPr>
              <w:jc w:val="center"/>
            </w:pPr>
            <w:r>
              <w:t>(</w:t>
            </w:r>
            <w:r w:rsidR="001D3D9F">
              <w:t>100</w:t>
            </w:r>
            <w:r>
              <w:t>%)</w:t>
            </w:r>
          </w:p>
        </w:tc>
      </w:tr>
    </w:tbl>
    <w:p w14:paraId="4064F246" w14:textId="6A3D8586" w:rsidR="00DC4AE7" w:rsidRPr="004E7367" w:rsidRDefault="00DC4AE7" w:rsidP="003B1BFE">
      <w:pPr>
        <w:spacing w:line="360" w:lineRule="auto"/>
        <w:jc w:val="both"/>
        <w:rPr>
          <w:color w:val="FF0000"/>
          <w:lang w:val="en-GB"/>
        </w:rPr>
      </w:pPr>
    </w:p>
    <w:p w14:paraId="7BAF31C1" w14:textId="1C45C04F" w:rsidR="00DC4AE7" w:rsidRDefault="00BD6D7E" w:rsidP="00CB1AD4">
      <w:pPr>
        <w:spacing w:line="360" w:lineRule="auto"/>
        <w:jc w:val="both"/>
        <w:rPr>
          <w:color w:val="FF0000"/>
          <w:lang w:val="en-GB"/>
        </w:rPr>
      </w:pPr>
      <w:r>
        <w:rPr>
          <w:lang w:val="en-GB"/>
        </w:rPr>
        <w:t>As can be seen from figure 2, t</w:t>
      </w:r>
      <w:r w:rsidR="00DC4AE7" w:rsidRPr="00EF0583">
        <w:rPr>
          <w:lang w:val="en-GB"/>
        </w:rPr>
        <w:t>he vast majority of persons indicted be</w:t>
      </w:r>
      <w:r w:rsidR="00371523" w:rsidRPr="00EF0583">
        <w:rPr>
          <w:lang w:val="en-GB"/>
        </w:rPr>
        <w:t>fore the Chester Great Sessions, were indicted for forms of</w:t>
      </w:r>
      <w:r w:rsidR="00DC4AE7" w:rsidRPr="00EF0583">
        <w:rPr>
          <w:lang w:val="en-GB"/>
        </w:rPr>
        <w:t xml:space="preserve"> property crime</w:t>
      </w:r>
      <w:r w:rsidR="002908C4" w:rsidRPr="00EF0583">
        <w:rPr>
          <w:lang w:val="en-GB"/>
        </w:rPr>
        <w:t xml:space="preserve"> (85%), chiefly larceny and burglary </w:t>
      </w:r>
      <w:r w:rsidR="00825624">
        <w:rPr>
          <w:lang w:val="en-GB"/>
        </w:rPr>
        <w:t>which</w:t>
      </w:r>
      <w:r w:rsidR="002908C4" w:rsidRPr="00EF0583">
        <w:rPr>
          <w:lang w:val="en-GB"/>
        </w:rPr>
        <w:t xml:space="preserve"> comprised 43% and almost 12% respectively of all cases. </w:t>
      </w:r>
      <w:r w:rsidR="007C70E4" w:rsidRPr="00EF0583">
        <w:rPr>
          <w:lang w:val="en-GB"/>
        </w:rPr>
        <w:t>This</w:t>
      </w:r>
      <w:r w:rsidR="002908C4" w:rsidRPr="00EF0583">
        <w:rPr>
          <w:lang w:val="en-GB"/>
        </w:rPr>
        <w:t xml:space="preserve"> </w:t>
      </w:r>
      <w:r w:rsidR="00812E6A" w:rsidRPr="00EF0583">
        <w:rPr>
          <w:lang w:val="en-GB"/>
        </w:rPr>
        <w:t xml:space="preserve">again </w:t>
      </w:r>
      <w:r w:rsidR="002908C4" w:rsidRPr="00EF0583">
        <w:rPr>
          <w:lang w:val="en-GB"/>
        </w:rPr>
        <w:t>mirror</w:t>
      </w:r>
      <w:r w:rsidR="007C70E4" w:rsidRPr="00EF0583">
        <w:rPr>
          <w:lang w:val="en-GB"/>
        </w:rPr>
        <w:t>s</w:t>
      </w:r>
      <w:r w:rsidR="002908C4" w:rsidRPr="00EF0583">
        <w:rPr>
          <w:lang w:val="en-GB"/>
        </w:rPr>
        <w:t xml:space="preserve"> </w:t>
      </w:r>
      <w:r w:rsidR="00812E6A" w:rsidRPr="00EF0583">
        <w:rPr>
          <w:lang w:val="en-GB"/>
        </w:rPr>
        <w:t xml:space="preserve">national trends, </w:t>
      </w:r>
      <w:r w:rsidR="001768C8" w:rsidRPr="00EF0583">
        <w:rPr>
          <w:lang w:val="en-GB"/>
        </w:rPr>
        <w:t xml:space="preserve">where indictments for property crime rose from the turn of the century until the 1850s, and comprised </w:t>
      </w:r>
      <w:r w:rsidR="00812E6A" w:rsidRPr="00EF0583">
        <w:rPr>
          <w:lang w:val="en-GB"/>
        </w:rPr>
        <w:t xml:space="preserve">around 80% of all </w:t>
      </w:r>
      <w:r w:rsidR="00371523" w:rsidRPr="00EF0583">
        <w:rPr>
          <w:lang w:val="en-GB"/>
        </w:rPr>
        <w:t>indictments</w:t>
      </w:r>
      <w:r w:rsidR="00812E6A" w:rsidRPr="00EF0583">
        <w:rPr>
          <w:lang w:val="en-GB"/>
        </w:rPr>
        <w:t xml:space="preserve"> until 1857.</w:t>
      </w:r>
      <w:r w:rsidR="00812E6A" w:rsidRPr="00EF0583">
        <w:rPr>
          <w:rStyle w:val="EndnoteReference"/>
          <w:lang w:val="en-GB"/>
        </w:rPr>
        <w:endnoteReference w:id="21"/>
      </w:r>
      <w:r w:rsidR="00812E6A" w:rsidRPr="00EF0583">
        <w:rPr>
          <w:lang w:val="en-GB"/>
        </w:rPr>
        <w:t xml:space="preserve"> This</w:t>
      </w:r>
      <w:r w:rsidR="002908C4" w:rsidRPr="00EF0583">
        <w:rPr>
          <w:lang w:val="en-GB"/>
        </w:rPr>
        <w:t xml:space="preserve"> could be interpreted as evidence of a large number of larcenies having being committed, but it could</w:t>
      </w:r>
      <w:r w:rsidR="007C70E4" w:rsidRPr="00EF0583">
        <w:rPr>
          <w:lang w:val="en-GB"/>
        </w:rPr>
        <w:t xml:space="preserve"> equally</w:t>
      </w:r>
      <w:r w:rsidR="002908C4" w:rsidRPr="00EF0583">
        <w:rPr>
          <w:lang w:val="en-GB"/>
        </w:rPr>
        <w:t>, as Gwenda Morgan and Peter Rushton have observed in relation to North East England, reflect the relative ease by which this crime, compared to some others such as murder, sexual crimes or infanticide, would be detected or prosecuted.</w:t>
      </w:r>
      <w:r w:rsidR="00812E6A" w:rsidRPr="00EF0583">
        <w:rPr>
          <w:rStyle w:val="EndnoteReference"/>
          <w:lang w:val="en-GB"/>
        </w:rPr>
        <w:endnoteReference w:id="22"/>
      </w:r>
      <w:r w:rsidR="002908C4" w:rsidRPr="004E7367">
        <w:rPr>
          <w:color w:val="FF0000"/>
          <w:lang w:val="en-GB"/>
        </w:rPr>
        <w:t xml:space="preserve"> </w:t>
      </w:r>
      <w:r w:rsidR="00C3328E" w:rsidRPr="00BD6D7E">
        <w:rPr>
          <w:lang w:val="en-GB"/>
        </w:rPr>
        <w:t xml:space="preserve">In either case, </w:t>
      </w:r>
      <w:r w:rsidR="008F7FC2" w:rsidRPr="00BD6D7E">
        <w:rPr>
          <w:lang w:val="en-GB"/>
        </w:rPr>
        <w:t>it is more than likely that a number of less serious indictable offences were either not pursued by victims or were dealt with informally before they could be brought before the courts, and that</w:t>
      </w:r>
      <w:r w:rsidRPr="00BD6D7E">
        <w:rPr>
          <w:lang w:val="en-GB"/>
        </w:rPr>
        <w:t xml:space="preserve"> </w:t>
      </w:r>
      <w:r w:rsidR="008F7FC2" w:rsidRPr="00BD6D7E">
        <w:rPr>
          <w:lang w:val="en-GB"/>
        </w:rPr>
        <w:t xml:space="preserve">the number of </w:t>
      </w:r>
      <w:r w:rsidRPr="00BD6D7E">
        <w:rPr>
          <w:lang w:val="en-GB"/>
        </w:rPr>
        <w:t>offenders who were indicted represented a fraction of those who could have been indicted.</w:t>
      </w:r>
      <w:r w:rsidRPr="00BD6D7E">
        <w:rPr>
          <w:rStyle w:val="EndnoteReference"/>
          <w:lang w:val="en-GB"/>
        </w:rPr>
        <w:endnoteReference w:id="23"/>
      </w:r>
      <w:r w:rsidRPr="00BD6D7E">
        <w:rPr>
          <w:lang w:val="en-GB"/>
        </w:rPr>
        <w:t xml:space="preserve"> </w:t>
      </w:r>
      <w:r w:rsidR="00812E6A" w:rsidRPr="00BD6D7E">
        <w:rPr>
          <w:lang w:val="en-GB"/>
        </w:rPr>
        <w:t xml:space="preserve">In contrast, only 195 persons (or 9%) were indicted for a crime against the person, just over a quarter of the number indicted for larceny alone. Of the crimes against the person, the largest number were indicted for manslaughter, the </w:t>
      </w:r>
      <w:r w:rsidR="00812E6A" w:rsidRPr="00BD6D7E">
        <w:rPr>
          <w:lang w:val="en-GB"/>
        </w:rPr>
        <w:lastRenderedPageBreak/>
        <w:t>number indicted for this one offence being four times the number indicted for murder.</w:t>
      </w:r>
      <w:r w:rsidR="002908C4" w:rsidRPr="004E7367">
        <w:rPr>
          <w:color w:val="FF0000"/>
          <w:lang w:val="en-GB"/>
        </w:rPr>
        <w:t xml:space="preserve"> </w:t>
      </w:r>
    </w:p>
    <w:p w14:paraId="7D9C7073" w14:textId="5E6B73EF" w:rsidR="00E64B44" w:rsidRDefault="00BD6D7E" w:rsidP="00BD6D7E">
      <w:pPr>
        <w:spacing w:line="360" w:lineRule="auto"/>
        <w:jc w:val="both"/>
        <w:rPr>
          <w:lang w:val="en-GB"/>
        </w:rPr>
      </w:pPr>
      <w:r>
        <w:rPr>
          <w:color w:val="FF0000"/>
          <w:lang w:val="en-GB"/>
        </w:rPr>
        <w:tab/>
      </w:r>
      <w:r w:rsidRPr="00373B6A">
        <w:rPr>
          <w:lang w:val="en-GB"/>
        </w:rPr>
        <w:t xml:space="preserve">Figure 2 also shows that the vast majority of those indicted were unsurprisingly male. Males constituted 89% of those indicted (1868), the number increasing by almost 400% from 30 in 1805 to 148 in 1829 (an average of </w:t>
      </w:r>
      <w:r w:rsidR="006755E3">
        <w:rPr>
          <w:lang w:val="en-GB"/>
        </w:rPr>
        <w:t>75</w:t>
      </w:r>
      <w:r w:rsidRPr="00373B6A">
        <w:rPr>
          <w:lang w:val="en-GB"/>
        </w:rPr>
        <w:t xml:space="preserve"> per year). In contrast, whether because females genuinely committed less crime than males or because victims of crime were reluctant to prosecute females,</w:t>
      </w:r>
      <w:r w:rsidRPr="00373B6A">
        <w:rPr>
          <w:rStyle w:val="EndnoteReference"/>
          <w:lang w:val="en-GB"/>
        </w:rPr>
        <w:endnoteReference w:id="24"/>
      </w:r>
      <w:r w:rsidRPr="00373B6A">
        <w:rPr>
          <w:lang w:val="en-GB"/>
        </w:rPr>
        <w:t xml:space="preserve"> only 233 females were indicted over the period, the number ranging between a low of two (1806) and a high of 22 (1816).</w:t>
      </w:r>
      <w:r w:rsidRPr="004E7367">
        <w:rPr>
          <w:color w:val="FF0000"/>
          <w:lang w:val="en-GB"/>
        </w:rPr>
        <w:t xml:space="preserve"> </w:t>
      </w:r>
      <w:r w:rsidRPr="00373B6A">
        <w:rPr>
          <w:lang w:val="en-GB"/>
        </w:rPr>
        <w:t xml:space="preserve">The number of males indicted outnumbered the number of females for all forms of crime, with the exception of concealing the birth of a child. Indeed, more males were indicted for burglary alone (240) than the total number of females indicted for all crimes over the period. </w:t>
      </w:r>
    </w:p>
    <w:p w14:paraId="2023518E" w14:textId="77141F60" w:rsidR="00E64B44" w:rsidRDefault="00E64B44" w:rsidP="00BD6D7E">
      <w:pPr>
        <w:spacing w:line="360" w:lineRule="auto"/>
        <w:jc w:val="both"/>
        <w:rPr>
          <w:lang w:val="en-GB"/>
        </w:rPr>
      </w:pPr>
      <w:r>
        <w:rPr>
          <w:lang w:val="en-GB"/>
        </w:rPr>
        <w:tab/>
      </w:r>
    </w:p>
    <w:p w14:paraId="49E85A1F" w14:textId="5E5D6EA3" w:rsidR="00BD6D7E" w:rsidRPr="004E7367" w:rsidRDefault="00E64B44" w:rsidP="00960E0D">
      <w:pPr>
        <w:spacing w:line="360" w:lineRule="auto"/>
        <w:jc w:val="both"/>
        <w:rPr>
          <w:color w:val="FF0000"/>
          <w:lang w:val="en-GB"/>
        </w:rPr>
      </w:pPr>
      <w:r>
        <w:rPr>
          <w:lang w:val="en-GB"/>
        </w:rPr>
        <w:tab/>
        <w:t>The majority of both genders were indicted for larceny, although a higher proportion of females were indicted for this crime than males.</w:t>
      </w:r>
      <w:r w:rsidR="00A53A24">
        <w:rPr>
          <w:rStyle w:val="EndnoteReference"/>
          <w:lang w:val="en-GB"/>
        </w:rPr>
        <w:endnoteReference w:id="25"/>
      </w:r>
      <w:r>
        <w:rPr>
          <w:lang w:val="en-GB"/>
        </w:rPr>
        <w:t xml:space="preserve"> </w:t>
      </w:r>
      <w:r w:rsidR="00424F9A">
        <w:rPr>
          <w:lang w:val="en-GB"/>
        </w:rPr>
        <w:t xml:space="preserve">On the whole, the forms of property crime that females were indicted for tended to be those which involved more guile than violence, such as larceny, monetary offences and receiving stolen goods. The </w:t>
      </w:r>
      <w:r>
        <w:rPr>
          <w:lang w:val="en-GB"/>
        </w:rPr>
        <w:t xml:space="preserve">higher proportion of females indicted for </w:t>
      </w:r>
      <w:r w:rsidR="00424F9A">
        <w:rPr>
          <w:lang w:val="en-GB"/>
        </w:rPr>
        <w:t>the latter two offences in particular</w:t>
      </w:r>
      <w:r>
        <w:rPr>
          <w:lang w:val="en-GB"/>
        </w:rPr>
        <w:t xml:space="preserve"> may </w:t>
      </w:r>
      <w:r w:rsidR="008C0938">
        <w:rPr>
          <w:lang w:val="en-GB"/>
        </w:rPr>
        <w:t xml:space="preserve">reflect the </w:t>
      </w:r>
      <w:r w:rsidR="00C905D0">
        <w:rPr>
          <w:lang w:val="en-GB"/>
        </w:rPr>
        <w:t xml:space="preserve">greater </w:t>
      </w:r>
      <w:r w:rsidR="008C0938">
        <w:rPr>
          <w:lang w:val="en-GB"/>
        </w:rPr>
        <w:t xml:space="preserve">difficulties </w:t>
      </w:r>
      <w:r w:rsidR="00C905D0">
        <w:rPr>
          <w:lang w:val="en-GB"/>
        </w:rPr>
        <w:t>faced (and therefore the greater likelihood of being caught) by females trying to pass on stolen goods</w:t>
      </w:r>
      <w:r w:rsidR="00F67B47">
        <w:rPr>
          <w:lang w:val="en-GB"/>
        </w:rPr>
        <w:t xml:space="preserve"> than males.</w:t>
      </w:r>
      <w:r w:rsidR="00A06E50">
        <w:rPr>
          <w:rStyle w:val="EndnoteReference"/>
          <w:lang w:val="en-GB"/>
        </w:rPr>
        <w:endnoteReference w:id="26"/>
      </w:r>
      <w:r w:rsidR="00F67B47">
        <w:rPr>
          <w:lang w:val="en-GB"/>
        </w:rPr>
        <w:t xml:space="preserve"> </w:t>
      </w:r>
      <w:r w:rsidR="00424F9A">
        <w:rPr>
          <w:lang w:val="en-GB"/>
        </w:rPr>
        <w:t>Males, in contrast, tended to be indicted for crimes against property that both involved some d</w:t>
      </w:r>
      <w:r w:rsidR="006755E3">
        <w:rPr>
          <w:lang w:val="en-GB"/>
        </w:rPr>
        <w:t>egree of violence or physical strength</w:t>
      </w:r>
      <w:r w:rsidR="00424F9A">
        <w:rPr>
          <w:lang w:val="en-GB"/>
        </w:rPr>
        <w:t xml:space="preserve">, such as burglary, larceny from the person, horse stealing and highway robbery, and which were taken extremely seriously by contemporaries. Males also, again tended to be indicted more often for crimes against the person, such as manslaughter, shooting and stabbing, cutting and wounding, although a slightly higher proportion of </w:t>
      </w:r>
      <w:r w:rsidR="00960E0D">
        <w:rPr>
          <w:lang w:val="en-GB"/>
        </w:rPr>
        <w:t>females</w:t>
      </w:r>
      <w:r w:rsidR="00424F9A">
        <w:rPr>
          <w:lang w:val="en-GB"/>
        </w:rPr>
        <w:t xml:space="preserve"> were indicted for murder than </w:t>
      </w:r>
      <w:r w:rsidR="00960E0D">
        <w:rPr>
          <w:lang w:val="en-GB"/>
        </w:rPr>
        <w:t>males.</w:t>
      </w:r>
      <w:r w:rsidR="00424F9A">
        <w:rPr>
          <w:lang w:val="en-GB"/>
        </w:rPr>
        <w:t xml:space="preserve"> </w:t>
      </w:r>
      <w:r w:rsidR="00960E0D">
        <w:rPr>
          <w:lang w:val="en-GB"/>
        </w:rPr>
        <w:t xml:space="preserve">Again, the number of indictments for forms of violence, particularly male on male violence, undoubtedly reflects the tip of an iceberg, with many ‘victims’ being either unwilling to prosecute, not considering the act as a crime, or, as Beattie suggests, </w:t>
      </w:r>
      <w:r w:rsidR="00960E0D">
        <w:rPr>
          <w:lang w:val="en-GB"/>
        </w:rPr>
        <w:lastRenderedPageBreak/>
        <w:t>they and their families found other, informal ways of exacting revenge on the attacker.</w:t>
      </w:r>
      <w:r w:rsidR="00960E0D">
        <w:rPr>
          <w:rStyle w:val="EndnoteReference"/>
          <w:lang w:val="en-GB"/>
        </w:rPr>
        <w:endnoteReference w:id="27"/>
      </w:r>
      <w:r w:rsidR="00960E0D">
        <w:rPr>
          <w:lang w:val="en-GB"/>
        </w:rPr>
        <w:t xml:space="preserve"> </w:t>
      </w:r>
    </w:p>
    <w:p w14:paraId="2C86CA99" w14:textId="77777777" w:rsidR="00B2149F" w:rsidRDefault="00B2149F" w:rsidP="00CB1AD4">
      <w:pPr>
        <w:spacing w:line="360" w:lineRule="auto"/>
        <w:jc w:val="both"/>
        <w:rPr>
          <w:lang w:val="en-GB"/>
        </w:rPr>
      </w:pPr>
    </w:p>
    <w:p w14:paraId="60E5072A" w14:textId="77777777" w:rsidR="00CF4212" w:rsidRPr="008E7AA4" w:rsidRDefault="00CF4212" w:rsidP="00CB1AD4">
      <w:pPr>
        <w:spacing w:line="360" w:lineRule="auto"/>
        <w:jc w:val="both"/>
        <w:rPr>
          <w:lang w:val="en-GB"/>
        </w:rPr>
      </w:pPr>
    </w:p>
    <w:p w14:paraId="21276C07" w14:textId="6488312F" w:rsidR="00B2149F" w:rsidRPr="008E7AA4" w:rsidRDefault="00B2149F" w:rsidP="00CB1AD4">
      <w:pPr>
        <w:spacing w:line="360" w:lineRule="auto"/>
        <w:jc w:val="both"/>
        <w:rPr>
          <w:i/>
          <w:sz w:val="28"/>
          <w:szCs w:val="28"/>
          <w:lang w:val="en-GB"/>
        </w:rPr>
      </w:pPr>
      <w:r w:rsidRPr="008E7AA4">
        <w:rPr>
          <w:i/>
          <w:sz w:val="28"/>
          <w:szCs w:val="28"/>
          <w:lang w:val="en-GB"/>
        </w:rPr>
        <w:t>Outcomes of Prosecutions</w:t>
      </w:r>
    </w:p>
    <w:p w14:paraId="3A95C4FC" w14:textId="77777777" w:rsidR="00395BA3" w:rsidRPr="008E7AA4" w:rsidRDefault="00395BA3" w:rsidP="00CB1AD4">
      <w:pPr>
        <w:spacing w:line="360" w:lineRule="auto"/>
        <w:jc w:val="both"/>
        <w:rPr>
          <w:i/>
          <w:sz w:val="28"/>
          <w:szCs w:val="28"/>
          <w:lang w:val="en-GB"/>
        </w:rPr>
      </w:pPr>
    </w:p>
    <w:p w14:paraId="6AB3A26E" w14:textId="6C5730B6" w:rsidR="000179BB" w:rsidRDefault="00395BA3" w:rsidP="00CB1AD4">
      <w:pPr>
        <w:spacing w:line="360" w:lineRule="auto"/>
        <w:jc w:val="both"/>
        <w:rPr>
          <w:lang w:val="en-GB"/>
        </w:rPr>
      </w:pPr>
      <w:r>
        <w:rPr>
          <w:lang w:val="en-GB"/>
        </w:rPr>
        <w:t xml:space="preserve">The vast majority of those who were indicted at the Chester Great Sessions subsequently stood trial (84%), with only 8% and 4% of indictments being dismissed </w:t>
      </w:r>
      <w:r w:rsidR="007A58D1">
        <w:rPr>
          <w:lang w:val="en-GB"/>
        </w:rPr>
        <w:t xml:space="preserve">before trial </w:t>
      </w:r>
      <w:r>
        <w:rPr>
          <w:lang w:val="en-GB"/>
        </w:rPr>
        <w:t xml:space="preserve">as No True Bill or No Prosecution respectively. </w:t>
      </w:r>
      <w:r w:rsidR="000179BB">
        <w:rPr>
          <w:lang w:val="en-GB"/>
        </w:rPr>
        <w:t>Overall, slightly more males were found guilty than females (63% to 57%), although the percentage of both genders found not guilty was almost identical (22 to 21% female/male). Females, however, were more likely than males not to have stood trial, with almost double the percentage of females indicted having their cases dismissed because a victim failed to appear to prosecute (7% to 4%). Females were also more likely than males to leave the court free because a Grand Jury was unable to return a True Bill against them (11 to 8% respectively).</w:t>
      </w:r>
      <w:r w:rsidR="000179BB">
        <w:rPr>
          <w:rStyle w:val="EndnoteReference"/>
          <w:lang w:val="en-GB"/>
        </w:rPr>
        <w:endnoteReference w:id="28"/>
      </w:r>
      <w:r w:rsidR="000179BB">
        <w:rPr>
          <w:lang w:val="en-GB"/>
        </w:rPr>
        <w:t xml:space="preserve"> </w:t>
      </w:r>
    </w:p>
    <w:p w14:paraId="667A39AB" w14:textId="77777777" w:rsidR="000179BB" w:rsidRDefault="000179BB" w:rsidP="00CB1AD4">
      <w:pPr>
        <w:spacing w:line="360" w:lineRule="auto"/>
        <w:jc w:val="both"/>
        <w:rPr>
          <w:lang w:val="en-GB"/>
        </w:rPr>
      </w:pPr>
    </w:p>
    <w:p w14:paraId="10A0CEFB" w14:textId="086B47B5" w:rsidR="00C175D5" w:rsidRPr="008E7AA4" w:rsidRDefault="008E7AA4" w:rsidP="000179BB">
      <w:pPr>
        <w:spacing w:line="360" w:lineRule="auto"/>
        <w:ind w:firstLine="720"/>
        <w:jc w:val="both"/>
        <w:rPr>
          <w:lang w:val="en-GB"/>
        </w:rPr>
      </w:pPr>
      <w:r w:rsidRPr="008E7AA4">
        <w:rPr>
          <w:lang w:val="en-GB"/>
        </w:rPr>
        <w:t>The verdicts handed down for the different crime types are shown in figure 3 below:</w:t>
      </w:r>
    </w:p>
    <w:p w14:paraId="6594EAA0" w14:textId="77777777" w:rsidR="008E7AA4" w:rsidRDefault="008E7AA4" w:rsidP="00CB1AD4">
      <w:pPr>
        <w:spacing w:line="360" w:lineRule="auto"/>
        <w:jc w:val="both"/>
        <w:rPr>
          <w:color w:val="FF0000"/>
          <w:lang w:val="en-GB"/>
        </w:rPr>
      </w:pPr>
    </w:p>
    <w:p w14:paraId="792355FB" w14:textId="488EF7BB" w:rsidR="008438E9" w:rsidRDefault="008E7AA4" w:rsidP="00CB1AD4">
      <w:pPr>
        <w:spacing w:line="360" w:lineRule="auto"/>
        <w:jc w:val="both"/>
        <w:rPr>
          <w:lang w:val="en-GB"/>
        </w:rPr>
      </w:pPr>
      <w:r w:rsidRPr="008E7AA4">
        <w:rPr>
          <w:b/>
          <w:lang w:val="en-GB"/>
        </w:rPr>
        <w:t>Figure 3:</w:t>
      </w:r>
      <w:r w:rsidRPr="008E7AA4">
        <w:rPr>
          <w:lang w:val="en-GB"/>
        </w:rPr>
        <w:t xml:space="preserve"> the n</w:t>
      </w:r>
      <w:r w:rsidR="00AB77A6">
        <w:rPr>
          <w:lang w:val="en-GB"/>
        </w:rPr>
        <w:t xml:space="preserve">umber and Percentage of Guilty and </w:t>
      </w:r>
      <w:r w:rsidRPr="008E7AA4">
        <w:rPr>
          <w:lang w:val="en-GB"/>
        </w:rPr>
        <w:t>Non-Guilty Verdicts by Crime Type at the Chester Great Sessions, 1805-30.</w:t>
      </w:r>
      <w:r w:rsidRPr="008E7AA4">
        <w:rPr>
          <w:rStyle w:val="EndnoteReference"/>
          <w:lang w:val="en-GB"/>
        </w:rPr>
        <w:endnoteReference w:id="29"/>
      </w:r>
    </w:p>
    <w:tbl>
      <w:tblPr>
        <w:tblStyle w:val="TableGrid"/>
        <w:tblW w:w="0" w:type="auto"/>
        <w:tblLook w:val="04A0" w:firstRow="1" w:lastRow="0" w:firstColumn="1" w:lastColumn="0" w:noHBand="0" w:noVBand="1"/>
      </w:tblPr>
      <w:tblGrid>
        <w:gridCol w:w="4518"/>
        <w:gridCol w:w="1999"/>
        <w:gridCol w:w="1999"/>
      </w:tblGrid>
      <w:tr w:rsidR="00327CED" w14:paraId="54E14C9B" w14:textId="77777777" w:rsidTr="0064451D">
        <w:tc>
          <w:tcPr>
            <w:tcW w:w="4518" w:type="dxa"/>
            <w:vMerge w:val="restart"/>
          </w:tcPr>
          <w:p w14:paraId="5143F00D" w14:textId="7E57B5E8" w:rsidR="00327CED" w:rsidRPr="00327CED" w:rsidRDefault="00327CED" w:rsidP="00327CED">
            <w:pPr>
              <w:spacing w:line="360" w:lineRule="auto"/>
              <w:jc w:val="center"/>
              <w:rPr>
                <w:b/>
                <w:lang w:val="en-GB"/>
              </w:rPr>
            </w:pPr>
            <w:r w:rsidRPr="00327CED">
              <w:rPr>
                <w:b/>
                <w:lang w:val="en-GB"/>
              </w:rPr>
              <w:t>Crime Type</w:t>
            </w:r>
          </w:p>
        </w:tc>
        <w:tc>
          <w:tcPr>
            <w:tcW w:w="3998" w:type="dxa"/>
            <w:gridSpan w:val="2"/>
          </w:tcPr>
          <w:p w14:paraId="79BFF9DB" w14:textId="05EA7707" w:rsidR="00327CED" w:rsidRPr="00327CED" w:rsidRDefault="00327CED" w:rsidP="00327CED">
            <w:pPr>
              <w:spacing w:line="360" w:lineRule="auto"/>
              <w:jc w:val="center"/>
              <w:rPr>
                <w:b/>
                <w:lang w:val="en-GB"/>
              </w:rPr>
            </w:pPr>
            <w:r w:rsidRPr="00327CED">
              <w:rPr>
                <w:b/>
                <w:lang w:val="en-GB"/>
              </w:rPr>
              <w:t>Verdict</w:t>
            </w:r>
          </w:p>
        </w:tc>
      </w:tr>
      <w:tr w:rsidR="008438E9" w14:paraId="5D9F9A22" w14:textId="77777777" w:rsidTr="008438E9">
        <w:tc>
          <w:tcPr>
            <w:tcW w:w="4518" w:type="dxa"/>
            <w:vMerge/>
          </w:tcPr>
          <w:p w14:paraId="6244AE7F" w14:textId="77777777" w:rsidR="008438E9" w:rsidRPr="00327CED" w:rsidRDefault="008438E9" w:rsidP="00327CED">
            <w:pPr>
              <w:spacing w:line="360" w:lineRule="auto"/>
              <w:jc w:val="center"/>
              <w:rPr>
                <w:b/>
                <w:lang w:val="en-GB"/>
              </w:rPr>
            </w:pPr>
          </w:p>
        </w:tc>
        <w:tc>
          <w:tcPr>
            <w:tcW w:w="1999" w:type="dxa"/>
          </w:tcPr>
          <w:p w14:paraId="1DAE3C75" w14:textId="405204D5" w:rsidR="008438E9" w:rsidRPr="00327CED" w:rsidRDefault="008438E9" w:rsidP="00327CED">
            <w:pPr>
              <w:spacing w:line="360" w:lineRule="auto"/>
              <w:jc w:val="center"/>
              <w:rPr>
                <w:b/>
                <w:lang w:val="en-GB"/>
              </w:rPr>
            </w:pPr>
            <w:r>
              <w:rPr>
                <w:b/>
                <w:lang w:val="en-GB"/>
              </w:rPr>
              <w:t>Guilty</w:t>
            </w:r>
          </w:p>
        </w:tc>
        <w:tc>
          <w:tcPr>
            <w:tcW w:w="1999" w:type="dxa"/>
          </w:tcPr>
          <w:p w14:paraId="1337C57A" w14:textId="25903F4A" w:rsidR="008438E9" w:rsidRPr="00327CED" w:rsidRDefault="008438E9" w:rsidP="00327CED">
            <w:pPr>
              <w:spacing w:line="360" w:lineRule="auto"/>
              <w:jc w:val="center"/>
              <w:rPr>
                <w:b/>
                <w:lang w:val="en-GB"/>
              </w:rPr>
            </w:pPr>
            <w:r>
              <w:rPr>
                <w:b/>
                <w:lang w:val="en-GB"/>
              </w:rPr>
              <w:t>Not Guilty</w:t>
            </w:r>
          </w:p>
        </w:tc>
      </w:tr>
      <w:tr w:rsidR="00EC10A4" w14:paraId="3D7B787C" w14:textId="77777777" w:rsidTr="008438E9">
        <w:tc>
          <w:tcPr>
            <w:tcW w:w="4518" w:type="dxa"/>
          </w:tcPr>
          <w:p w14:paraId="7922F66F" w14:textId="4DEB21A1" w:rsidR="00EC10A4" w:rsidRDefault="00EC10A4" w:rsidP="00CB1AD4">
            <w:pPr>
              <w:spacing w:line="360" w:lineRule="auto"/>
              <w:jc w:val="both"/>
              <w:rPr>
                <w:lang w:val="en-GB"/>
              </w:rPr>
            </w:pPr>
            <w:r>
              <w:rPr>
                <w:lang w:val="en-GB"/>
              </w:rPr>
              <w:t>Concealing the Birth of a Child</w:t>
            </w:r>
          </w:p>
        </w:tc>
        <w:tc>
          <w:tcPr>
            <w:tcW w:w="1999" w:type="dxa"/>
          </w:tcPr>
          <w:p w14:paraId="5075F860" w14:textId="77777777" w:rsidR="00EC10A4" w:rsidRDefault="00EC10A4" w:rsidP="00EC10A4">
            <w:pPr>
              <w:spacing w:line="360" w:lineRule="auto"/>
              <w:jc w:val="center"/>
              <w:rPr>
                <w:lang w:val="en-GB"/>
              </w:rPr>
            </w:pPr>
            <w:r>
              <w:rPr>
                <w:lang w:val="en-GB"/>
              </w:rPr>
              <w:t>3</w:t>
            </w:r>
          </w:p>
          <w:p w14:paraId="4D54F0F1" w14:textId="58C66160" w:rsidR="00EC10A4" w:rsidRDefault="00EC10A4" w:rsidP="00327CED">
            <w:pPr>
              <w:spacing w:line="360" w:lineRule="auto"/>
              <w:jc w:val="center"/>
              <w:rPr>
                <w:lang w:val="en-GB"/>
              </w:rPr>
            </w:pPr>
            <w:r>
              <w:rPr>
                <w:lang w:val="en-GB"/>
              </w:rPr>
              <w:t>(100%)</w:t>
            </w:r>
          </w:p>
        </w:tc>
        <w:tc>
          <w:tcPr>
            <w:tcW w:w="1999" w:type="dxa"/>
          </w:tcPr>
          <w:p w14:paraId="4EAC27B0" w14:textId="4D928C4C" w:rsidR="00EC10A4" w:rsidRDefault="00EC10A4" w:rsidP="00327CED">
            <w:pPr>
              <w:spacing w:line="360" w:lineRule="auto"/>
              <w:jc w:val="center"/>
              <w:rPr>
                <w:lang w:val="en-GB"/>
              </w:rPr>
            </w:pPr>
            <w:r>
              <w:rPr>
                <w:lang w:val="en-GB"/>
              </w:rPr>
              <w:t>0</w:t>
            </w:r>
          </w:p>
        </w:tc>
      </w:tr>
      <w:tr w:rsidR="00EC10A4" w14:paraId="574C4207" w14:textId="77777777" w:rsidTr="008438E9">
        <w:tc>
          <w:tcPr>
            <w:tcW w:w="4518" w:type="dxa"/>
          </w:tcPr>
          <w:p w14:paraId="143E6676" w14:textId="736F859A" w:rsidR="00EC10A4" w:rsidRDefault="00EC10A4" w:rsidP="00CB1AD4">
            <w:pPr>
              <w:spacing w:line="360" w:lineRule="auto"/>
              <w:jc w:val="both"/>
              <w:rPr>
                <w:lang w:val="en-GB"/>
              </w:rPr>
            </w:pPr>
            <w:r>
              <w:rPr>
                <w:lang w:val="en-GB"/>
              </w:rPr>
              <w:t>Game Offences</w:t>
            </w:r>
          </w:p>
        </w:tc>
        <w:tc>
          <w:tcPr>
            <w:tcW w:w="1999" w:type="dxa"/>
          </w:tcPr>
          <w:p w14:paraId="18654AB3" w14:textId="77777777" w:rsidR="00EC10A4" w:rsidRDefault="00EC10A4" w:rsidP="00EC10A4">
            <w:pPr>
              <w:spacing w:line="360" w:lineRule="auto"/>
              <w:jc w:val="center"/>
              <w:rPr>
                <w:lang w:val="en-GB"/>
              </w:rPr>
            </w:pPr>
            <w:r>
              <w:rPr>
                <w:lang w:val="en-GB"/>
              </w:rPr>
              <w:t>17</w:t>
            </w:r>
          </w:p>
          <w:p w14:paraId="38ED8A58" w14:textId="00EF8248" w:rsidR="00EC10A4" w:rsidRDefault="00EC10A4" w:rsidP="00327CED">
            <w:pPr>
              <w:spacing w:line="360" w:lineRule="auto"/>
              <w:jc w:val="center"/>
              <w:rPr>
                <w:lang w:val="en-GB"/>
              </w:rPr>
            </w:pPr>
            <w:r>
              <w:rPr>
                <w:lang w:val="en-GB"/>
              </w:rPr>
              <w:t>(100%)</w:t>
            </w:r>
          </w:p>
        </w:tc>
        <w:tc>
          <w:tcPr>
            <w:tcW w:w="1999" w:type="dxa"/>
          </w:tcPr>
          <w:p w14:paraId="0BE124C5" w14:textId="7F65C20B" w:rsidR="00EC10A4" w:rsidRDefault="00EC10A4" w:rsidP="00327CED">
            <w:pPr>
              <w:spacing w:line="360" w:lineRule="auto"/>
              <w:jc w:val="center"/>
              <w:rPr>
                <w:lang w:val="en-GB"/>
              </w:rPr>
            </w:pPr>
            <w:r>
              <w:rPr>
                <w:lang w:val="en-GB"/>
              </w:rPr>
              <w:t>0</w:t>
            </w:r>
          </w:p>
        </w:tc>
      </w:tr>
      <w:tr w:rsidR="00EC10A4" w14:paraId="3D3723A9" w14:textId="77777777" w:rsidTr="008438E9">
        <w:tc>
          <w:tcPr>
            <w:tcW w:w="4518" w:type="dxa"/>
          </w:tcPr>
          <w:p w14:paraId="4EE8E8C3" w14:textId="36A208F9" w:rsidR="00EC10A4" w:rsidRDefault="00EC10A4" w:rsidP="00CB1AD4">
            <w:pPr>
              <w:spacing w:line="360" w:lineRule="auto"/>
              <w:jc w:val="both"/>
              <w:rPr>
                <w:lang w:val="en-GB"/>
              </w:rPr>
            </w:pPr>
            <w:r>
              <w:rPr>
                <w:lang w:val="en-GB"/>
              </w:rPr>
              <w:lastRenderedPageBreak/>
              <w:t>Cattle Stealing</w:t>
            </w:r>
          </w:p>
        </w:tc>
        <w:tc>
          <w:tcPr>
            <w:tcW w:w="1999" w:type="dxa"/>
          </w:tcPr>
          <w:p w14:paraId="36319052" w14:textId="77777777" w:rsidR="00EC10A4" w:rsidRDefault="00EC10A4" w:rsidP="00327CED">
            <w:pPr>
              <w:spacing w:line="360" w:lineRule="auto"/>
              <w:jc w:val="center"/>
              <w:rPr>
                <w:lang w:val="en-GB"/>
              </w:rPr>
            </w:pPr>
            <w:r>
              <w:rPr>
                <w:lang w:val="en-GB"/>
              </w:rPr>
              <w:t>23</w:t>
            </w:r>
          </w:p>
          <w:p w14:paraId="305650AF" w14:textId="267A6984" w:rsidR="00EC10A4" w:rsidRDefault="00EC10A4" w:rsidP="00327CED">
            <w:pPr>
              <w:spacing w:line="360" w:lineRule="auto"/>
              <w:jc w:val="center"/>
              <w:rPr>
                <w:lang w:val="en-GB"/>
              </w:rPr>
            </w:pPr>
            <w:r>
              <w:rPr>
                <w:lang w:val="en-GB"/>
              </w:rPr>
              <w:t>(88%)</w:t>
            </w:r>
          </w:p>
        </w:tc>
        <w:tc>
          <w:tcPr>
            <w:tcW w:w="1999" w:type="dxa"/>
          </w:tcPr>
          <w:p w14:paraId="412EAA9F" w14:textId="77777777" w:rsidR="00EC10A4" w:rsidRDefault="00EC10A4" w:rsidP="00327CED">
            <w:pPr>
              <w:spacing w:line="360" w:lineRule="auto"/>
              <w:jc w:val="center"/>
              <w:rPr>
                <w:lang w:val="en-GB"/>
              </w:rPr>
            </w:pPr>
            <w:r>
              <w:rPr>
                <w:lang w:val="en-GB"/>
              </w:rPr>
              <w:t>3</w:t>
            </w:r>
          </w:p>
          <w:p w14:paraId="0B39A337" w14:textId="36545C0C" w:rsidR="00EC10A4" w:rsidRDefault="00EC10A4" w:rsidP="00327CED">
            <w:pPr>
              <w:spacing w:line="360" w:lineRule="auto"/>
              <w:jc w:val="center"/>
              <w:rPr>
                <w:lang w:val="en-GB"/>
              </w:rPr>
            </w:pPr>
            <w:r>
              <w:rPr>
                <w:lang w:val="en-GB"/>
              </w:rPr>
              <w:t>(12%)</w:t>
            </w:r>
          </w:p>
        </w:tc>
      </w:tr>
      <w:tr w:rsidR="00EC10A4" w14:paraId="72AE01C9" w14:textId="77777777" w:rsidTr="008438E9">
        <w:tc>
          <w:tcPr>
            <w:tcW w:w="4518" w:type="dxa"/>
          </w:tcPr>
          <w:p w14:paraId="075FEA75" w14:textId="11EF7B33" w:rsidR="00EC10A4" w:rsidRDefault="00EC10A4" w:rsidP="00327CED">
            <w:pPr>
              <w:spacing w:line="360" w:lineRule="auto"/>
              <w:jc w:val="both"/>
              <w:rPr>
                <w:lang w:val="en-GB"/>
              </w:rPr>
            </w:pPr>
            <w:r>
              <w:rPr>
                <w:lang w:val="en-GB"/>
              </w:rPr>
              <w:t>Larceny in a dwelling house</w:t>
            </w:r>
          </w:p>
        </w:tc>
        <w:tc>
          <w:tcPr>
            <w:tcW w:w="1999" w:type="dxa"/>
          </w:tcPr>
          <w:p w14:paraId="5D5BFA5F" w14:textId="77777777" w:rsidR="00EC10A4" w:rsidRDefault="00EC10A4" w:rsidP="00327CED">
            <w:pPr>
              <w:spacing w:line="360" w:lineRule="auto"/>
              <w:jc w:val="center"/>
              <w:rPr>
                <w:lang w:val="en-GB"/>
              </w:rPr>
            </w:pPr>
            <w:r>
              <w:rPr>
                <w:lang w:val="en-GB"/>
              </w:rPr>
              <w:t>24</w:t>
            </w:r>
          </w:p>
          <w:p w14:paraId="2BFB7E76" w14:textId="2CA0E954" w:rsidR="00EC10A4" w:rsidRDefault="00EC10A4" w:rsidP="00327CED">
            <w:pPr>
              <w:spacing w:line="360" w:lineRule="auto"/>
              <w:jc w:val="center"/>
              <w:rPr>
                <w:lang w:val="en-GB"/>
              </w:rPr>
            </w:pPr>
            <w:r>
              <w:rPr>
                <w:lang w:val="en-GB"/>
              </w:rPr>
              <w:t>(83%)</w:t>
            </w:r>
          </w:p>
        </w:tc>
        <w:tc>
          <w:tcPr>
            <w:tcW w:w="1999" w:type="dxa"/>
          </w:tcPr>
          <w:p w14:paraId="3423F4B0" w14:textId="77777777" w:rsidR="00EC10A4" w:rsidRDefault="00EC10A4" w:rsidP="00327CED">
            <w:pPr>
              <w:spacing w:line="360" w:lineRule="auto"/>
              <w:jc w:val="center"/>
              <w:rPr>
                <w:lang w:val="en-GB"/>
              </w:rPr>
            </w:pPr>
            <w:r>
              <w:rPr>
                <w:lang w:val="en-GB"/>
              </w:rPr>
              <w:t>5</w:t>
            </w:r>
          </w:p>
          <w:p w14:paraId="26179B50" w14:textId="626ECE1D" w:rsidR="00EC10A4" w:rsidRDefault="00EC10A4" w:rsidP="00327CED">
            <w:pPr>
              <w:spacing w:line="360" w:lineRule="auto"/>
              <w:jc w:val="center"/>
              <w:rPr>
                <w:lang w:val="en-GB"/>
              </w:rPr>
            </w:pPr>
            <w:r>
              <w:rPr>
                <w:lang w:val="en-GB"/>
              </w:rPr>
              <w:t>(17%)</w:t>
            </w:r>
          </w:p>
        </w:tc>
      </w:tr>
      <w:tr w:rsidR="00EC10A4" w14:paraId="4F43F385" w14:textId="77777777" w:rsidTr="008438E9">
        <w:tc>
          <w:tcPr>
            <w:tcW w:w="4518" w:type="dxa"/>
          </w:tcPr>
          <w:p w14:paraId="66C7C32C" w14:textId="13BB280B" w:rsidR="00EC10A4" w:rsidRDefault="00EC10A4" w:rsidP="00CB1AD4">
            <w:pPr>
              <w:spacing w:line="360" w:lineRule="auto"/>
              <w:jc w:val="both"/>
              <w:rPr>
                <w:lang w:val="en-GB"/>
              </w:rPr>
            </w:pPr>
            <w:r>
              <w:rPr>
                <w:lang w:val="en-GB"/>
              </w:rPr>
              <w:t>Monetary Offences</w:t>
            </w:r>
          </w:p>
        </w:tc>
        <w:tc>
          <w:tcPr>
            <w:tcW w:w="1999" w:type="dxa"/>
          </w:tcPr>
          <w:p w14:paraId="0DFBF28F" w14:textId="77777777" w:rsidR="00EC10A4" w:rsidRDefault="00EC10A4" w:rsidP="002F1E81">
            <w:pPr>
              <w:spacing w:line="360" w:lineRule="auto"/>
              <w:jc w:val="center"/>
              <w:rPr>
                <w:lang w:val="en-GB"/>
              </w:rPr>
            </w:pPr>
            <w:r>
              <w:rPr>
                <w:lang w:val="en-GB"/>
              </w:rPr>
              <w:t>61</w:t>
            </w:r>
          </w:p>
          <w:p w14:paraId="18975AA9" w14:textId="15951325" w:rsidR="00EC10A4" w:rsidRDefault="00EC10A4" w:rsidP="00327CED">
            <w:pPr>
              <w:spacing w:line="360" w:lineRule="auto"/>
              <w:jc w:val="center"/>
              <w:rPr>
                <w:lang w:val="en-GB"/>
              </w:rPr>
            </w:pPr>
            <w:r>
              <w:rPr>
                <w:lang w:val="en-GB"/>
              </w:rPr>
              <w:t>(85%)</w:t>
            </w:r>
          </w:p>
        </w:tc>
        <w:tc>
          <w:tcPr>
            <w:tcW w:w="1999" w:type="dxa"/>
          </w:tcPr>
          <w:p w14:paraId="130C38F4" w14:textId="77777777" w:rsidR="00EC10A4" w:rsidRDefault="00EC10A4" w:rsidP="002F1E81">
            <w:pPr>
              <w:spacing w:line="360" w:lineRule="auto"/>
              <w:jc w:val="center"/>
              <w:rPr>
                <w:lang w:val="en-GB"/>
              </w:rPr>
            </w:pPr>
            <w:r>
              <w:rPr>
                <w:lang w:val="en-GB"/>
              </w:rPr>
              <w:t>11</w:t>
            </w:r>
          </w:p>
          <w:p w14:paraId="017DB98C" w14:textId="56F19931" w:rsidR="00EC10A4" w:rsidRDefault="00EC10A4" w:rsidP="00327CED">
            <w:pPr>
              <w:spacing w:line="360" w:lineRule="auto"/>
              <w:jc w:val="center"/>
              <w:rPr>
                <w:lang w:val="en-GB"/>
              </w:rPr>
            </w:pPr>
            <w:r>
              <w:rPr>
                <w:lang w:val="en-GB"/>
              </w:rPr>
              <w:t>(15%)</w:t>
            </w:r>
          </w:p>
        </w:tc>
      </w:tr>
      <w:tr w:rsidR="00EC10A4" w14:paraId="65948139" w14:textId="77777777" w:rsidTr="008438E9">
        <w:tc>
          <w:tcPr>
            <w:tcW w:w="4518" w:type="dxa"/>
          </w:tcPr>
          <w:p w14:paraId="18875EED" w14:textId="695007EF" w:rsidR="00EC10A4" w:rsidRDefault="00EC10A4" w:rsidP="00CB1AD4">
            <w:pPr>
              <w:spacing w:line="360" w:lineRule="auto"/>
              <w:jc w:val="both"/>
              <w:rPr>
                <w:lang w:val="en-GB"/>
              </w:rPr>
            </w:pPr>
            <w:r>
              <w:rPr>
                <w:lang w:val="en-GB"/>
              </w:rPr>
              <w:t>Horse Stealing</w:t>
            </w:r>
          </w:p>
        </w:tc>
        <w:tc>
          <w:tcPr>
            <w:tcW w:w="1999" w:type="dxa"/>
          </w:tcPr>
          <w:p w14:paraId="4FE627FE" w14:textId="77777777" w:rsidR="00EC10A4" w:rsidRDefault="00EC10A4" w:rsidP="00327CED">
            <w:pPr>
              <w:spacing w:line="360" w:lineRule="auto"/>
              <w:jc w:val="center"/>
              <w:rPr>
                <w:lang w:val="en-GB"/>
              </w:rPr>
            </w:pPr>
            <w:r>
              <w:rPr>
                <w:lang w:val="en-GB"/>
              </w:rPr>
              <w:t>46</w:t>
            </w:r>
          </w:p>
          <w:p w14:paraId="7F69E737" w14:textId="4B9925F9" w:rsidR="00EC10A4" w:rsidRDefault="00EC10A4" w:rsidP="00327CED">
            <w:pPr>
              <w:spacing w:line="360" w:lineRule="auto"/>
              <w:jc w:val="center"/>
              <w:rPr>
                <w:lang w:val="en-GB"/>
              </w:rPr>
            </w:pPr>
            <w:r>
              <w:rPr>
                <w:lang w:val="en-GB"/>
              </w:rPr>
              <w:t>(81%)</w:t>
            </w:r>
          </w:p>
        </w:tc>
        <w:tc>
          <w:tcPr>
            <w:tcW w:w="1999" w:type="dxa"/>
          </w:tcPr>
          <w:p w14:paraId="4D528E1C" w14:textId="77777777" w:rsidR="00EC10A4" w:rsidRDefault="00EC10A4" w:rsidP="00327CED">
            <w:pPr>
              <w:spacing w:line="360" w:lineRule="auto"/>
              <w:jc w:val="center"/>
              <w:rPr>
                <w:lang w:val="en-GB"/>
              </w:rPr>
            </w:pPr>
            <w:r>
              <w:rPr>
                <w:lang w:val="en-GB"/>
              </w:rPr>
              <w:t>11</w:t>
            </w:r>
          </w:p>
          <w:p w14:paraId="05E2B709" w14:textId="73229B0A" w:rsidR="00EC10A4" w:rsidRDefault="00EC10A4" w:rsidP="00327CED">
            <w:pPr>
              <w:spacing w:line="360" w:lineRule="auto"/>
              <w:jc w:val="center"/>
              <w:rPr>
                <w:lang w:val="en-GB"/>
              </w:rPr>
            </w:pPr>
            <w:r>
              <w:rPr>
                <w:lang w:val="en-GB"/>
              </w:rPr>
              <w:t>(19%)</w:t>
            </w:r>
          </w:p>
        </w:tc>
      </w:tr>
      <w:tr w:rsidR="00EC10A4" w14:paraId="55646FB3" w14:textId="77777777" w:rsidTr="008438E9">
        <w:tc>
          <w:tcPr>
            <w:tcW w:w="4518" w:type="dxa"/>
          </w:tcPr>
          <w:p w14:paraId="509AF552" w14:textId="6BEA28B2" w:rsidR="00EC10A4" w:rsidRDefault="00EC10A4" w:rsidP="00CB1AD4">
            <w:pPr>
              <w:spacing w:line="360" w:lineRule="auto"/>
              <w:jc w:val="both"/>
              <w:rPr>
                <w:lang w:val="en-GB"/>
              </w:rPr>
            </w:pPr>
            <w:r>
              <w:rPr>
                <w:lang w:val="en-GB"/>
              </w:rPr>
              <w:t>Housebreaking</w:t>
            </w:r>
          </w:p>
        </w:tc>
        <w:tc>
          <w:tcPr>
            <w:tcW w:w="1999" w:type="dxa"/>
          </w:tcPr>
          <w:p w14:paraId="1128256F" w14:textId="77777777" w:rsidR="00EC10A4" w:rsidRDefault="00EC10A4" w:rsidP="00EC10A4">
            <w:pPr>
              <w:spacing w:line="360" w:lineRule="auto"/>
              <w:jc w:val="center"/>
              <w:rPr>
                <w:lang w:val="en-GB"/>
              </w:rPr>
            </w:pPr>
            <w:r>
              <w:rPr>
                <w:lang w:val="en-GB"/>
              </w:rPr>
              <w:t>44</w:t>
            </w:r>
          </w:p>
          <w:p w14:paraId="63C23AF4" w14:textId="4C30D509" w:rsidR="00EC10A4" w:rsidRDefault="00EC10A4" w:rsidP="00EC10A4">
            <w:pPr>
              <w:spacing w:line="360" w:lineRule="auto"/>
              <w:jc w:val="center"/>
              <w:rPr>
                <w:lang w:val="en-GB"/>
              </w:rPr>
            </w:pPr>
            <w:r>
              <w:rPr>
                <w:lang w:val="en-GB"/>
              </w:rPr>
              <w:t>(81%)</w:t>
            </w:r>
          </w:p>
        </w:tc>
        <w:tc>
          <w:tcPr>
            <w:tcW w:w="1999" w:type="dxa"/>
          </w:tcPr>
          <w:p w14:paraId="08699F94" w14:textId="77777777" w:rsidR="00EC10A4" w:rsidRDefault="00EC10A4" w:rsidP="00EC10A4">
            <w:pPr>
              <w:spacing w:line="360" w:lineRule="auto"/>
              <w:jc w:val="center"/>
              <w:rPr>
                <w:lang w:val="en-GB"/>
              </w:rPr>
            </w:pPr>
            <w:r>
              <w:rPr>
                <w:lang w:val="en-GB"/>
              </w:rPr>
              <w:t>10</w:t>
            </w:r>
          </w:p>
          <w:p w14:paraId="2D5C9F9F" w14:textId="571B940E" w:rsidR="00EC10A4" w:rsidRDefault="00EC10A4" w:rsidP="00EC10A4">
            <w:pPr>
              <w:spacing w:line="360" w:lineRule="auto"/>
              <w:jc w:val="center"/>
              <w:rPr>
                <w:lang w:val="en-GB"/>
              </w:rPr>
            </w:pPr>
            <w:r>
              <w:rPr>
                <w:lang w:val="en-GB"/>
              </w:rPr>
              <w:t>(29%)</w:t>
            </w:r>
          </w:p>
        </w:tc>
      </w:tr>
      <w:tr w:rsidR="00EC10A4" w14:paraId="1BE66C16" w14:textId="77777777" w:rsidTr="008438E9">
        <w:tc>
          <w:tcPr>
            <w:tcW w:w="4518" w:type="dxa"/>
          </w:tcPr>
          <w:p w14:paraId="57E358C6" w14:textId="6AC5799C" w:rsidR="00EC10A4" w:rsidRDefault="00EC10A4" w:rsidP="00CB1AD4">
            <w:pPr>
              <w:spacing w:line="360" w:lineRule="auto"/>
              <w:jc w:val="both"/>
              <w:rPr>
                <w:lang w:val="en-GB"/>
              </w:rPr>
            </w:pPr>
            <w:r>
              <w:rPr>
                <w:lang w:val="en-GB"/>
              </w:rPr>
              <w:t>Other</w:t>
            </w:r>
          </w:p>
        </w:tc>
        <w:tc>
          <w:tcPr>
            <w:tcW w:w="1999" w:type="dxa"/>
          </w:tcPr>
          <w:p w14:paraId="34D7476A" w14:textId="77777777" w:rsidR="00EC10A4" w:rsidRDefault="00EC10A4" w:rsidP="00EC10A4">
            <w:pPr>
              <w:spacing w:line="360" w:lineRule="auto"/>
              <w:jc w:val="center"/>
              <w:rPr>
                <w:lang w:val="en-GB"/>
              </w:rPr>
            </w:pPr>
            <w:r>
              <w:rPr>
                <w:lang w:val="en-GB"/>
              </w:rPr>
              <w:t>65</w:t>
            </w:r>
          </w:p>
          <w:p w14:paraId="47D18184" w14:textId="41DB7D28" w:rsidR="00EC10A4" w:rsidRDefault="00EC10A4" w:rsidP="00EC10A4">
            <w:pPr>
              <w:spacing w:line="360" w:lineRule="auto"/>
              <w:jc w:val="center"/>
              <w:rPr>
                <w:lang w:val="en-GB"/>
              </w:rPr>
            </w:pPr>
            <w:r>
              <w:rPr>
                <w:lang w:val="en-GB"/>
              </w:rPr>
              <w:t>(81%)</w:t>
            </w:r>
          </w:p>
        </w:tc>
        <w:tc>
          <w:tcPr>
            <w:tcW w:w="1999" w:type="dxa"/>
          </w:tcPr>
          <w:p w14:paraId="1C5D4498" w14:textId="77777777" w:rsidR="00EC10A4" w:rsidRDefault="00EC10A4" w:rsidP="00EC10A4">
            <w:pPr>
              <w:spacing w:line="360" w:lineRule="auto"/>
              <w:jc w:val="center"/>
              <w:rPr>
                <w:lang w:val="en-GB"/>
              </w:rPr>
            </w:pPr>
            <w:r>
              <w:rPr>
                <w:lang w:val="en-GB"/>
              </w:rPr>
              <w:t>15</w:t>
            </w:r>
          </w:p>
          <w:p w14:paraId="4B6279C6" w14:textId="411D459F" w:rsidR="00EC10A4" w:rsidRDefault="00EC10A4" w:rsidP="00EC10A4">
            <w:pPr>
              <w:spacing w:line="360" w:lineRule="auto"/>
              <w:jc w:val="center"/>
              <w:rPr>
                <w:lang w:val="en-GB"/>
              </w:rPr>
            </w:pPr>
            <w:r>
              <w:rPr>
                <w:lang w:val="en-GB"/>
              </w:rPr>
              <w:t>(19%)</w:t>
            </w:r>
          </w:p>
        </w:tc>
      </w:tr>
      <w:tr w:rsidR="00EC10A4" w14:paraId="17231233" w14:textId="77777777" w:rsidTr="008438E9">
        <w:tc>
          <w:tcPr>
            <w:tcW w:w="4518" w:type="dxa"/>
          </w:tcPr>
          <w:p w14:paraId="369166C1" w14:textId="721D8291" w:rsidR="00EC10A4" w:rsidRDefault="00EC10A4" w:rsidP="00CB1AD4">
            <w:pPr>
              <w:spacing w:line="360" w:lineRule="auto"/>
              <w:jc w:val="both"/>
              <w:rPr>
                <w:lang w:val="en-GB"/>
              </w:rPr>
            </w:pPr>
            <w:r>
              <w:rPr>
                <w:lang w:val="en-GB"/>
              </w:rPr>
              <w:t>Larceny</w:t>
            </w:r>
          </w:p>
        </w:tc>
        <w:tc>
          <w:tcPr>
            <w:tcW w:w="1999" w:type="dxa"/>
          </w:tcPr>
          <w:p w14:paraId="7126E118" w14:textId="77777777" w:rsidR="00EC10A4" w:rsidRDefault="00EC10A4" w:rsidP="00EC10A4">
            <w:pPr>
              <w:spacing w:line="360" w:lineRule="auto"/>
              <w:jc w:val="center"/>
              <w:rPr>
                <w:lang w:val="en-GB"/>
              </w:rPr>
            </w:pPr>
            <w:r>
              <w:rPr>
                <w:lang w:val="en-GB"/>
              </w:rPr>
              <w:t>610</w:t>
            </w:r>
          </w:p>
          <w:p w14:paraId="031FC45F" w14:textId="7B964FA0" w:rsidR="00EC10A4" w:rsidRDefault="00EC10A4" w:rsidP="00327CED">
            <w:pPr>
              <w:spacing w:line="360" w:lineRule="auto"/>
              <w:jc w:val="center"/>
              <w:rPr>
                <w:lang w:val="en-GB"/>
              </w:rPr>
            </w:pPr>
            <w:r>
              <w:rPr>
                <w:lang w:val="en-GB"/>
              </w:rPr>
              <w:t>(79%)</w:t>
            </w:r>
          </w:p>
        </w:tc>
        <w:tc>
          <w:tcPr>
            <w:tcW w:w="1999" w:type="dxa"/>
          </w:tcPr>
          <w:p w14:paraId="50799B58" w14:textId="77777777" w:rsidR="00EC10A4" w:rsidRDefault="00EC10A4" w:rsidP="00EC10A4">
            <w:pPr>
              <w:spacing w:line="360" w:lineRule="auto"/>
              <w:jc w:val="center"/>
              <w:rPr>
                <w:lang w:val="en-GB"/>
              </w:rPr>
            </w:pPr>
            <w:r>
              <w:rPr>
                <w:lang w:val="en-GB"/>
              </w:rPr>
              <w:t>164</w:t>
            </w:r>
          </w:p>
          <w:p w14:paraId="74BD2436" w14:textId="6449604C" w:rsidR="00EC10A4" w:rsidRDefault="00EC10A4" w:rsidP="00327CED">
            <w:pPr>
              <w:spacing w:line="360" w:lineRule="auto"/>
              <w:jc w:val="center"/>
              <w:rPr>
                <w:lang w:val="en-GB"/>
              </w:rPr>
            </w:pPr>
            <w:r>
              <w:rPr>
                <w:lang w:val="en-GB"/>
              </w:rPr>
              <w:t>(21%)</w:t>
            </w:r>
          </w:p>
        </w:tc>
      </w:tr>
      <w:tr w:rsidR="00EC10A4" w14:paraId="2BCD2C76" w14:textId="77777777" w:rsidTr="008438E9">
        <w:tc>
          <w:tcPr>
            <w:tcW w:w="4518" w:type="dxa"/>
          </w:tcPr>
          <w:p w14:paraId="0D2E6750" w14:textId="44A7E137" w:rsidR="00EC10A4" w:rsidRDefault="00EC10A4" w:rsidP="00CB1AD4">
            <w:pPr>
              <w:spacing w:line="360" w:lineRule="auto"/>
              <w:jc w:val="both"/>
              <w:rPr>
                <w:lang w:val="en-GB"/>
              </w:rPr>
            </w:pPr>
            <w:r>
              <w:rPr>
                <w:lang w:val="en-GB"/>
              </w:rPr>
              <w:t>Larceny from the person</w:t>
            </w:r>
          </w:p>
        </w:tc>
        <w:tc>
          <w:tcPr>
            <w:tcW w:w="1999" w:type="dxa"/>
          </w:tcPr>
          <w:p w14:paraId="11A2CACB" w14:textId="77777777" w:rsidR="00EC10A4" w:rsidRDefault="00EC10A4" w:rsidP="00327CED">
            <w:pPr>
              <w:spacing w:line="360" w:lineRule="auto"/>
              <w:jc w:val="center"/>
              <w:rPr>
                <w:lang w:val="en-GB"/>
              </w:rPr>
            </w:pPr>
            <w:r>
              <w:rPr>
                <w:lang w:val="en-GB"/>
              </w:rPr>
              <w:t>54</w:t>
            </w:r>
          </w:p>
          <w:p w14:paraId="11D04ABB" w14:textId="2D4A8079" w:rsidR="00EC10A4" w:rsidRDefault="00EC10A4" w:rsidP="00327CED">
            <w:pPr>
              <w:spacing w:line="360" w:lineRule="auto"/>
              <w:jc w:val="center"/>
              <w:rPr>
                <w:lang w:val="en-GB"/>
              </w:rPr>
            </w:pPr>
            <w:r>
              <w:rPr>
                <w:lang w:val="en-GB"/>
              </w:rPr>
              <w:t>(77%)</w:t>
            </w:r>
          </w:p>
        </w:tc>
        <w:tc>
          <w:tcPr>
            <w:tcW w:w="1999" w:type="dxa"/>
          </w:tcPr>
          <w:p w14:paraId="7A9627AF" w14:textId="77777777" w:rsidR="00EC10A4" w:rsidRDefault="00EC10A4" w:rsidP="00327CED">
            <w:pPr>
              <w:spacing w:line="360" w:lineRule="auto"/>
              <w:jc w:val="center"/>
              <w:rPr>
                <w:lang w:val="en-GB"/>
              </w:rPr>
            </w:pPr>
            <w:r>
              <w:rPr>
                <w:lang w:val="en-GB"/>
              </w:rPr>
              <w:t>16</w:t>
            </w:r>
          </w:p>
          <w:p w14:paraId="239F27F8" w14:textId="6D7D538A" w:rsidR="00EC10A4" w:rsidRDefault="00EC10A4" w:rsidP="00327CED">
            <w:pPr>
              <w:spacing w:line="360" w:lineRule="auto"/>
              <w:jc w:val="center"/>
              <w:rPr>
                <w:lang w:val="en-GB"/>
              </w:rPr>
            </w:pPr>
            <w:r>
              <w:rPr>
                <w:lang w:val="en-GB"/>
              </w:rPr>
              <w:t>(23%)</w:t>
            </w:r>
          </w:p>
        </w:tc>
      </w:tr>
      <w:tr w:rsidR="00EC10A4" w14:paraId="18224EBB" w14:textId="77777777" w:rsidTr="008438E9">
        <w:tc>
          <w:tcPr>
            <w:tcW w:w="4518" w:type="dxa"/>
          </w:tcPr>
          <w:p w14:paraId="31485155" w14:textId="303A2EEB" w:rsidR="00EC10A4" w:rsidRDefault="00EC10A4" w:rsidP="00CB1AD4">
            <w:pPr>
              <w:spacing w:line="360" w:lineRule="auto"/>
              <w:jc w:val="both"/>
              <w:rPr>
                <w:lang w:val="en-GB"/>
              </w:rPr>
            </w:pPr>
            <w:r>
              <w:rPr>
                <w:lang w:val="en-GB"/>
              </w:rPr>
              <w:t>Stabbing, Cutting, Wounding</w:t>
            </w:r>
          </w:p>
        </w:tc>
        <w:tc>
          <w:tcPr>
            <w:tcW w:w="1999" w:type="dxa"/>
          </w:tcPr>
          <w:p w14:paraId="78062F3E" w14:textId="77777777" w:rsidR="00EC10A4" w:rsidRDefault="00EC10A4" w:rsidP="00327CED">
            <w:pPr>
              <w:spacing w:line="360" w:lineRule="auto"/>
              <w:jc w:val="center"/>
              <w:rPr>
                <w:lang w:val="en-GB"/>
              </w:rPr>
            </w:pPr>
            <w:r>
              <w:rPr>
                <w:lang w:val="en-GB"/>
              </w:rPr>
              <w:t>6</w:t>
            </w:r>
          </w:p>
          <w:p w14:paraId="21E085F8" w14:textId="204F5722" w:rsidR="00EC10A4" w:rsidRDefault="00EC10A4" w:rsidP="00327CED">
            <w:pPr>
              <w:spacing w:line="360" w:lineRule="auto"/>
              <w:jc w:val="center"/>
              <w:rPr>
                <w:lang w:val="en-GB"/>
              </w:rPr>
            </w:pPr>
            <w:r>
              <w:rPr>
                <w:lang w:val="en-GB"/>
              </w:rPr>
              <w:t>(75%)</w:t>
            </w:r>
          </w:p>
        </w:tc>
        <w:tc>
          <w:tcPr>
            <w:tcW w:w="1999" w:type="dxa"/>
          </w:tcPr>
          <w:p w14:paraId="1ECE85B3" w14:textId="77777777" w:rsidR="00EC10A4" w:rsidRDefault="00EC10A4" w:rsidP="00327CED">
            <w:pPr>
              <w:spacing w:line="360" w:lineRule="auto"/>
              <w:jc w:val="center"/>
              <w:rPr>
                <w:lang w:val="en-GB"/>
              </w:rPr>
            </w:pPr>
            <w:r>
              <w:rPr>
                <w:lang w:val="en-GB"/>
              </w:rPr>
              <w:t>2</w:t>
            </w:r>
          </w:p>
          <w:p w14:paraId="15772DBC" w14:textId="73EBEF67" w:rsidR="00EC10A4" w:rsidRDefault="00EC10A4" w:rsidP="00327CED">
            <w:pPr>
              <w:spacing w:line="360" w:lineRule="auto"/>
              <w:jc w:val="center"/>
              <w:rPr>
                <w:lang w:val="en-GB"/>
              </w:rPr>
            </w:pPr>
            <w:r>
              <w:rPr>
                <w:lang w:val="en-GB"/>
              </w:rPr>
              <w:t>(25%)</w:t>
            </w:r>
          </w:p>
        </w:tc>
      </w:tr>
      <w:tr w:rsidR="00EC10A4" w14:paraId="123163FE" w14:textId="77777777" w:rsidTr="008438E9">
        <w:tc>
          <w:tcPr>
            <w:tcW w:w="4518" w:type="dxa"/>
          </w:tcPr>
          <w:p w14:paraId="64F51AB7" w14:textId="5F1130D5" w:rsidR="00EC10A4" w:rsidRDefault="00EC10A4" w:rsidP="00CB1AD4">
            <w:pPr>
              <w:spacing w:line="360" w:lineRule="auto"/>
              <w:jc w:val="both"/>
              <w:rPr>
                <w:lang w:val="en-GB"/>
              </w:rPr>
            </w:pPr>
            <w:r>
              <w:rPr>
                <w:lang w:val="en-GB"/>
              </w:rPr>
              <w:t>Burglary</w:t>
            </w:r>
          </w:p>
        </w:tc>
        <w:tc>
          <w:tcPr>
            <w:tcW w:w="1999" w:type="dxa"/>
          </w:tcPr>
          <w:p w14:paraId="565CE2C9" w14:textId="77777777" w:rsidR="00EC10A4" w:rsidRDefault="00EC10A4" w:rsidP="00327CED">
            <w:pPr>
              <w:spacing w:line="360" w:lineRule="auto"/>
              <w:jc w:val="center"/>
              <w:rPr>
                <w:lang w:val="en-GB"/>
              </w:rPr>
            </w:pPr>
            <w:r>
              <w:rPr>
                <w:lang w:val="en-GB"/>
              </w:rPr>
              <w:t>156</w:t>
            </w:r>
          </w:p>
          <w:p w14:paraId="1E704502" w14:textId="44752C7C" w:rsidR="00EC10A4" w:rsidRDefault="00EC10A4" w:rsidP="00327CED">
            <w:pPr>
              <w:spacing w:line="360" w:lineRule="auto"/>
              <w:jc w:val="center"/>
              <w:rPr>
                <w:lang w:val="en-GB"/>
              </w:rPr>
            </w:pPr>
            <w:r>
              <w:rPr>
                <w:lang w:val="en-GB"/>
              </w:rPr>
              <w:t>(73%)</w:t>
            </w:r>
          </w:p>
        </w:tc>
        <w:tc>
          <w:tcPr>
            <w:tcW w:w="1999" w:type="dxa"/>
          </w:tcPr>
          <w:p w14:paraId="5E38675D" w14:textId="77777777" w:rsidR="00EC10A4" w:rsidRDefault="00EC10A4" w:rsidP="00327CED">
            <w:pPr>
              <w:spacing w:line="360" w:lineRule="auto"/>
              <w:jc w:val="center"/>
              <w:rPr>
                <w:lang w:val="en-GB"/>
              </w:rPr>
            </w:pPr>
            <w:r>
              <w:rPr>
                <w:lang w:val="en-GB"/>
              </w:rPr>
              <w:t>58</w:t>
            </w:r>
          </w:p>
          <w:p w14:paraId="0AA5B585" w14:textId="34E23E37" w:rsidR="00EC10A4" w:rsidRDefault="00EC10A4" w:rsidP="00327CED">
            <w:pPr>
              <w:spacing w:line="360" w:lineRule="auto"/>
              <w:jc w:val="center"/>
              <w:rPr>
                <w:lang w:val="en-GB"/>
              </w:rPr>
            </w:pPr>
            <w:r>
              <w:rPr>
                <w:lang w:val="en-GB"/>
              </w:rPr>
              <w:t>(27%)</w:t>
            </w:r>
          </w:p>
        </w:tc>
      </w:tr>
      <w:tr w:rsidR="00EC10A4" w14:paraId="467AA27A" w14:textId="77777777" w:rsidTr="008438E9">
        <w:tc>
          <w:tcPr>
            <w:tcW w:w="4518" w:type="dxa"/>
          </w:tcPr>
          <w:p w14:paraId="52727AEE" w14:textId="38671C1E" w:rsidR="00EC10A4" w:rsidRDefault="00EC10A4" w:rsidP="00CB1AD4">
            <w:pPr>
              <w:spacing w:line="360" w:lineRule="auto"/>
              <w:jc w:val="both"/>
              <w:rPr>
                <w:lang w:val="en-GB"/>
              </w:rPr>
            </w:pPr>
            <w:r>
              <w:rPr>
                <w:lang w:val="en-GB"/>
              </w:rPr>
              <w:t>Sheep Stealing</w:t>
            </w:r>
          </w:p>
        </w:tc>
        <w:tc>
          <w:tcPr>
            <w:tcW w:w="1999" w:type="dxa"/>
          </w:tcPr>
          <w:p w14:paraId="66AE7DFE" w14:textId="77777777" w:rsidR="00EC10A4" w:rsidRDefault="00EC10A4" w:rsidP="00EC10A4">
            <w:pPr>
              <w:spacing w:line="360" w:lineRule="auto"/>
              <w:jc w:val="center"/>
              <w:rPr>
                <w:lang w:val="en-GB"/>
              </w:rPr>
            </w:pPr>
            <w:r>
              <w:rPr>
                <w:lang w:val="en-GB"/>
              </w:rPr>
              <w:t>19</w:t>
            </w:r>
          </w:p>
          <w:p w14:paraId="0CE2E12B" w14:textId="4F2463F9" w:rsidR="00EC10A4" w:rsidRDefault="00EC10A4" w:rsidP="00327CED">
            <w:pPr>
              <w:spacing w:line="360" w:lineRule="auto"/>
              <w:jc w:val="center"/>
              <w:rPr>
                <w:lang w:val="en-GB"/>
              </w:rPr>
            </w:pPr>
            <w:r>
              <w:rPr>
                <w:lang w:val="en-GB"/>
              </w:rPr>
              <w:t>(73%)</w:t>
            </w:r>
          </w:p>
        </w:tc>
        <w:tc>
          <w:tcPr>
            <w:tcW w:w="1999" w:type="dxa"/>
          </w:tcPr>
          <w:p w14:paraId="421C141C" w14:textId="77777777" w:rsidR="00EC10A4" w:rsidRDefault="00EC10A4" w:rsidP="00EC10A4">
            <w:pPr>
              <w:spacing w:line="360" w:lineRule="auto"/>
              <w:jc w:val="center"/>
              <w:rPr>
                <w:lang w:val="en-GB"/>
              </w:rPr>
            </w:pPr>
            <w:r>
              <w:rPr>
                <w:lang w:val="en-GB"/>
              </w:rPr>
              <w:t>7</w:t>
            </w:r>
          </w:p>
          <w:p w14:paraId="76E4E6E4" w14:textId="4A3C490B" w:rsidR="00EC10A4" w:rsidRDefault="00EC10A4" w:rsidP="00327CED">
            <w:pPr>
              <w:spacing w:line="360" w:lineRule="auto"/>
              <w:jc w:val="center"/>
              <w:rPr>
                <w:lang w:val="en-GB"/>
              </w:rPr>
            </w:pPr>
            <w:r>
              <w:rPr>
                <w:lang w:val="en-GB"/>
              </w:rPr>
              <w:t>(27%)</w:t>
            </w:r>
          </w:p>
        </w:tc>
      </w:tr>
      <w:tr w:rsidR="00EC10A4" w14:paraId="10DA5C6D" w14:textId="77777777" w:rsidTr="008438E9">
        <w:tc>
          <w:tcPr>
            <w:tcW w:w="4518" w:type="dxa"/>
          </w:tcPr>
          <w:p w14:paraId="5BB08069" w14:textId="23DADF5C" w:rsidR="00EC10A4" w:rsidRDefault="00EC10A4" w:rsidP="00CB1AD4">
            <w:pPr>
              <w:spacing w:line="360" w:lineRule="auto"/>
              <w:jc w:val="both"/>
              <w:rPr>
                <w:lang w:val="en-GB"/>
              </w:rPr>
            </w:pPr>
            <w:r>
              <w:rPr>
                <w:lang w:val="en-GB"/>
              </w:rPr>
              <w:t>Fraud and Forgery</w:t>
            </w:r>
          </w:p>
        </w:tc>
        <w:tc>
          <w:tcPr>
            <w:tcW w:w="1999" w:type="dxa"/>
          </w:tcPr>
          <w:p w14:paraId="66799F3E" w14:textId="77777777" w:rsidR="00EC10A4" w:rsidRDefault="00EC10A4" w:rsidP="00327CED">
            <w:pPr>
              <w:spacing w:line="360" w:lineRule="auto"/>
              <w:jc w:val="center"/>
              <w:rPr>
                <w:lang w:val="en-GB"/>
              </w:rPr>
            </w:pPr>
            <w:r>
              <w:rPr>
                <w:lang w:val="en-GB"/>
              </w:rPr>
              <w:t>26</w:t>
            </w:r>
          </w:p>
          <w:p w14:paraId="1FBEFA52" w14:textId="62DEF080" w:rsidR="00EC10A4" w:rsidRDefault="00EC10A4" w:rsidP="00327CED">
            <w:pPr>
              <w:spacing w:line="360" w:lineRule="auto"/>
              <w:jc w:val="center"/>
              <w:rPr>
                <w:lang w:val="en-GB"/>
              </w:rPr>
            </w:pPr>
            <w:r>
              <w:rPr>
                <w:lang w:val="en-GB"/>
              </w:rPr>
              <w:t>(72%)</w:t>
            </w:r>
          </w:p>
        </w:tc>
        <w:tc>
          <w:tcPr>
            <w:tcW w:w="1999" w:type="dxa"/>
          </w:tcPr>
          <w:p w14:paraId="1DBD5CAF" w14:textId="77777777" w:rsidR="00EC10A4" w:rsidRDefault="00EC10A4" w:rsidP="00327CED">
            <w:pPr>
              <w:spacing w:line="360" w:lineRule="auto"/>
              <w:jc w:val="center"/>
              <w:rPr>
                <w:lang w:val="en-GB"/>
              </w:rPr>
            </w:pPr>
            <w:r>
              <w:rPr>
                <w:lang w:val="en-GB"/>
              </w:rPr>
              <w:t>10</w:t>
            </w:r>
          </w:p>
          <w:p w14:paraId="34CF541B" w14:textId="0499548F" w:rsidR="00EC10A4" w:rsidRDefault="00EC10A4" w:rsidP="00327CED">
            <w:pPr>
              <w:spacing w:line="360" w:lineRule="auto"/>
              <w:jc w:val="center"/>
              <w:rPr>
                <w:lang w:val="en-GB"/>
              </w:rPr>
            </w:pPr>
            <w:r>
              <w:rPr>
                <w:lang w:val="en-GB"/>
              </w:rPr>
              <w:t>(28%)</w:t>
            </w:r>
          </w:p>
        </w:tc>
      </w:tr>
      <w:tr w:rsidR="00EC10A4" w14:paraId="61100E97" w14:textId="77777777" w:rsidTr="008438E9">
        <w:tc>
          <w:tcPr>
            <w:tcW w:w="4518" w:type="dxa"/>
          </w:tcPr>
          <w:p w14:paraId="4FC37679" w14:textId="35A70B8F" w:rsidR="00EC10A4" w:rsidRDefault="00EC10A4" w:rsidP="00CB1AD4">
            <w:pPr>
              <w:spacing w:line="360" w:lineRule="auto"/>
              <w:jc w:val="both"/>
              <w:rPr>
                <w:lang w:val="en-GB"/>
              </w:rPr>
            </w:pPr>
            <w:r>
              <w:rPr>
                <w:lang w:val="en-GB"/>
              </w:rPr>
              <w:t>Shooting at</w:t>
            </w:r>
          </w:p>
        </w:tc>
        <w:tc>
          <w:tcPr>
            <w:tcW w:w="1999" w:type="dxa"/>
          </w:tcPr>
          <w:p w14:paraId="76A40CB6" w14:textId="77777777" w:rsidR="00EC10A4" w:rsidRDefault="00EC10A4" w:rsidP="00327CED">
            <w:pPr>
              <w:spacing w:line="360" w:lineRule="auto"/>
              <w:jc w:val="center"/>
              <w:rPr>
                <w:lang w:val="en-GB"/>
              </w:rPr>
            </w:pPr>
            <w:r>
              <w:rPr>
                <w:lang w:val="en-GB"/>
              </w:rPr>
              <w:t>15</w:t>
            </w:r>
          </w:p>
          <w:p w14:paraId="03DC80B4" w14:textId="2A241CFC" w:rsidR="00EC10A4" w:rsidRDefault="00EC10A4" w:rsidP="00327CED">
            <w:pPr>
              <w:spacing w:line="360" w:lineRule="auto"/>
              <w:jc w:val="center"/>
              <w:rPr>
                <w:lang w:val="en-GB"/>
              </w:rPr>
            </w:pPr>
            <w:r>
              <w:rPr>
                <w:lang w:val="en-GB"/>
              </w:rPr>
              <w:t>(62.5%)</w:t>
            </w:r>
          </w:p>
        </w:tc>
        <w:tc>
          <w:tcPr>
            <w:tcW w:w="1999" w:type="dxa"/>
          </w:tcPr>
          <w:p w14:paraId="4678B53B" w14:textId="77777777" w:rsidR="00EC10A4" w:rsidRDefault="00EC10A4" w:rsidP="00327CED">
            <w:pPr>
              <w:spacing w:line="360" w:lineRule="auto"/>
              <w:jc w:val="center"/>
              <w:rPr>
                <w:lang w:val="en-GB"/>
              </w:rPr>
            </w:pPr>
            <w:r>
              <w:rPr>
                <w:lang w:val="en-GB"/>
              </w:rPr>
              <w:t>9</w:t>
            </w:r>
          </w:p>
          <w:p w14:paraId="32722C08" w14:textId="1FCD6F6D" w:rsidR="00EC10A4" w:rsidRDefault="00EC10A4" w:rsidP="00327CED">
            <w:pPr>
              <w:spacing w:line="360" w:lineRule="auto"/>
              <w:jc w:val="center"/>
              <w:rPr>
                <w:lang w:val="en-GB"/>
              </w:rPr>
            </w:pPr>
            <w:r>
              <w:rPr>
                <w:lang w:val="en-GB"/>
              </w:rPr>
              <w:t>(37.5%)</w:t>
            </w:r>
          </w:p>
        </w:tc>
      </w:tr>
      <w:tr w:rsidR="00EC10A4" w14:paraId="0EC94664" w14:textId="77777777" w:rsidTr="008438E9">
        <w:tc>
          <w:tcPr>
            <w:tcW w:w="4518" w:type="dxa"/>
          </w:tcPr>
          <w:p w14:paraId="6EA8D9C3" w14:textId="1858E3A2" w:rsidR="00EC10A4" w:rsidRDefault="00EC10A4" w:rsidP="00CB1AD4">
            <w:pPr>
              <w:spacing w:line="360" w:lineRule="auto"/>
              <w:jc w:val="both"/>
              <w:rPr>
                <w:lang w:val="en-GB"/>
              </w:rPr>
            </w:pPr>
            <w:r>
              <w:rPr>
                <w:lang w:val="en-GB"/>
              </w:rPr>
              <w:t>Rape</w:t>
            </w:r>
          </w:p>
        </w:tc>
        <w:tc>
          <w:tcPr>
            <w:tcW w:w="1999" w:type="dxa"/>
          </w:tcPr>
          <w:p w14:paraId="25218A2B" w14:textId="77777777" w:rsidR="00EC10A4" w:rsidRDefault="00EC10A4" w:rsidP="00EC10A4">
            <w:pPr>
              <w:spacing w:line="360" w:lineRule="auto"/>
              <w:jc w:val="center"/>
              <w:rPr>
                <w:lang w:val="en-GB"/>
              </w:rPr>
            </w:pPr>
            <w:r>
              <w:rPr>
                <w:lang w:val="en-GB"/>
              </w:rPr>
              <w:t>12</w:t>
            </w:r>
          </w:p>
          <w:p w14:paraId="5EB6F158" w14:textId="12BE5A52" w:rsidR="00EC10A4" w:rsidRDefault="00EC10A4" w:rsidP="00EC10A4">
            <w:pPr>
              <w:spacing w:line="360" w:lineRule="auto"/>
              <w:jc w:val="center"/>
              <w:rPr>
                <w:lang w:val="en-GB"/>
              </w:rPr>
            </w:pPr>
            <w:r>
              <w:rPr>
                <w:lang w:val="en-GB"/>
              </w:rPr>
              <w:t>(60%)</w:t>
            </w:r>
          </w:p>
        </w:tc>
        <w:tc>
          <w:tcPr>
            <w:tcW w:w="1999" w:type="dxa"/>
          </w:tcPr>
          <w:p w14:paraId="2B9BAA95" w14:textId="77777777" w:rsidR="00EC10A4" w:rsidRDefault="00EC10A4" w:rsidP="00EC10A4">
            <w:pPr>
              <w:spacing w:line="360" w:lineRule="auto"/>
              <w:jc w:val="center"/>
              <w:rPr>
                <w:lang w:val="en-GB"/>
              </w:rPr>
            </w:pPr>
            <w:r>
              <w:rPr>
                <w:lang w:val="en-GB"/>
              </w:rPr>
              <w:t>8</w:t>
            </w:r>
          </w:p>
          <w:p w14:paraId="2B559F34" w14:textId="0DEBED76" w:rsidR="00EC10A4" w:rsidRDefault="00EC10A4" w:rsidP="00EC10A4">
            <w:pPr>
              <w:spacing w:line="360" w:lineRule="auto"/>
              <w:jc w:val="center"/>
              <w:rPr>
                <w:lang w:val="en-GB"/>
              </w:rPr>
            </w:pPr>
            <w:r>
              <w:rPr>
                <w:lang w:val="en-GB"/>
              </w:rPr>
              <w:t>(40%)</w:t>
            </w:r>
          </w:p>
        </w:tc>
      </w:tr>
      <w:tr w:rsidR="00EC10A4" w14:paraId="4561D8CE" w14:textId="77777777" w:rsidTr="008438E9">
        <w:tc>
          <w:tcPr>
            <w:tcW w:w="4518" w:type="dxa"/>
          </w:tcPr>
          <w:p w14:paraId="613498D4" w14:textId="12428312" w:rsidR="00EC10A4" w:rsidRDefault="00EC10A4" w:rsidP="00CB1AD4">
            <w:pPr>
              <w:spacing w:line="360" w:lineRule="auto"/>
              <w:jc w:val="both"/>
              <w:rPr>
                <w:lang w:val="en-GB"/>
              </w:rPr>
            </w:pPr>
            <w:r>
              <w:rPr>
                <w:lang w:val="en-GB"/>
              </w:rPr>
              <w:t>Highway Robbery</w:t>
            </w:r>
          </w:p>
        </w:tc>
        <w:tc>
          <w:tcPr>
            <w:tcW w:w="1999" w:type="dxa"/>
          </w:tcPr>
          <w:p w14:paraId="1CAB0C61" w14:textId="77777777" w:rsidR="00EC10A4" w:rsidRDefault="00EC10A4" w:rsidP="00EC10A4">
            <w:pPr>
              <w:spacing w:line="360" w:lineRule="auto"/>
              <w:jc w:val="center"/>
              <w:rPr>
                <w:lang w:val="en-GB"/>
              </w:rPr>
            </w:pPr>
            <w:r>
              <w:rPr>
                <w:lang w:val="en-GB"/>
              </w:rPr>
              <w:t>29</w:t>
            </w:r>
          </w:p>
          <w:p w14:paraId="39D7ED7C" w14:textId="6906999C" w:rsidR="00EC10A4" w:rsidRDefault="00EC10A4" w:rsidP="00327CED">
            <w:pPr>
              <w:spacing w:line="360" w:lineRule="auto"/>
              <w:jc w:val="center"/>
              <w:rPr>
                <w:lang w:val="en-GB"/>
              </w:rPr>
            </w:pPr>
            <w:r>
              <w:rPr>
                <w:lang w:val="en-GB"/>
              </w:rPr>
              <w:t>(59%)</w:t>
            </w:r>
          </w:p>
        </w:tc>
        <w:tc>
          <w:tcPr>
            <w:tcW w:w="1999" w:type="dxa"/>
          </w:tcPr>
          <w:p w14:paraId="3D3FF49A" w14:textId="77777777" w:rsidR="00EC10A4" w:rsidRDefault="00EC10A4" w:rsidP="00EC10A4">
            <w:pPr>
              <w:spacing w:line="360" w:lineRule="auto"/>
              <w:jc w:val="center"/>
              <w:rPr>
                <w:lang w:val="en-GB"/>
              </w:rPr>
            </w:pPr>
            <w:r>
              <w:rPr>
                <w:lang w:val="en-GB"/>
              </w:rPr>
              <w:t>20</w:t>
            </w:r>
          </w:p>
          <w:p w14:paraId="2BBE7A2D" w14:textId="5997863F" w:rsidR="00EC10A4" w:rsidRDefault="00EC10A4" w:rsidP="00327CED">
            <w:pPr>
              <w:spacing w:line="360" w:lineRule="auto"/>
              <w:jc w:val="center"/>
              <w:rPr>
                <w:lang w:val="en-GB"/>
              </w:rPr>
            </w:pPr>
            <w:r>
              <w:rPr>
                <w:lang w:val="en-GB"/>
              </w:rPr>
              <w:t>(41%)</w:t>
            </w:r>
          </w:p>
        </w:tc>
      </w:tr>
      <w:tr w:rsidR="00EC10A4" w14:paraId="43887403" w14:textId="77777777" w:rsidTr="008438E9">
        <w:tc>
          <w:tcPr>
            <w:tcW w:w="4518" w:type="dxa"/>
          </w:tcPr>
          <w:p w14:paraId="4F7036F6" w14:textId="2188FE65" w:rsidR="00EC10A4" w:rsidRDefault="00EC10A4" w:rsidP="00CB1AD4">
            <w:pPr>
              <w:spacing w:line="360" w:lineRule="auto"/>
              <w:jc w:val="both"/>
              <w:rPr>
                <w:lang w:val="en-GB"/>
              </w:rPr>
            </w:pPr>
            <w:r>
              <w:rPr>
                <w:lang w:val="en-GB"/>
              </w:rPr>
              <w:t>Other Sexual Crimes</w:t>
            </w:r>
          </w:p>
        </w:tc>
        <w:tc>
          <w:tcPr>
            <w:tcW w:w="1999" w:type="dxa"/>
          </w:tcPr>
          <w:p w14:paraId="27387E05" w14:textId="77777777" w:rsidR="00EC10A4" w:rsidRDefault="00EC10A4" w:rsidP="00327CED">
            <w:pPr>
              <w:spacing w:line="360" w:lineRule="auto"/>
              <w:jc w:val="center"/>
              <w:rPr>
                <w:lang w:val="en-GB"/>
              </w:rPr>
            </w:pPr>
            <w:r>
              <w:rPr>
                <w:lang w:val="en-GB"/>
              </w:rPr>
              <w:t>8</w:t>
            </w:r>
          </w:p>
          <w:p w14:paraId="0675AA29" w14:textId="3D473BFD" w:rsidR="00EC10A4" w:rsidRDefault="00EC10A4" w:rsidP="00327CED">
            <w:pPr>
              <w:spacing w:line="360" w:lineRule="auto"/>
              <w:jc w:val="center"/>
              <w:rPr>
                <w:lang w:val="en-GB"/>
              </w:rPr>
            </w:pPr>
            <w:r>
              <w:rPr>
                <w:lang w:val="en-GB"/>
              </w:rPr>
              <w:t>(57%)</w:t>
            </w:r>
          </w:p>
        </w:tc>
        <w:tc>
          <w:tcPr>
            <w:tcW w:w="1999" w:type="dxa"/>
          </w:tcPr>
          <w:p w14:paraId="70D53F42" w14:textId="77777777" w:rsidR="00EC10A4" w:rsidRDefault="00EC10A4" w:rsidP="00327CED">
            <w:pPr>
              <w:spacing w:line="360" w:lineRule="auto"/>
              <w:jc w:val="center"/>
              <w:rPr>
                <w:lang w:val="en-GB"/>
              </w:rPr>
            </w:pPr>
            <w:r>
              <w:rPr>
                <w:lang w:val="en-GB"/>
              </w:rPr>
              <w:t>6</w:t>
            </w:r>
          </w:p>
          <w:p w14:paraId="55B2B2F6" w14:textId="3FE8CBD3" w:rsidR="00EC10A4" w:rsidRDefault="00EC10A4" w:rsidP="00327CED">
            <w:pPr>
              <w:spacing w:line="360" w:lineRule="auto"/>
              <w:jc w:val="center"/>
              <w:rPr>
                <w:lang w:val="en-GB"/>
              </w:rPr>
            </w:pPr>
            <w:r>
              <w:rPr>
                <w:lang w:val="en-GB"/>
              </w:rPr>
              <w:t>(43%)</w:t>
            </w:r>
          </w:p>
        </w:tc>
      </w:tr>
      <w:tr w:rsidR="00EC10A4" w14:paraId="546825F5" w14:textId="77777777" w:rsidTr="008438E9">
        <w:tc>
          <w:tcPr>
            <w:tcW w:w="4518" w:type="dxa"/>
          </w:tcPr>
          <w:p w14:paraId="755AE962" w14:textId="2B12CEFD" w:rsidR="00EC10A4" w:rsidRDefault="00EC10A4" w:rsidP="00CB1AD4">
            <w:pPr>
              <w:spacing w:line="360" w:lineRule="auto"/>
              <w:jc w:val="both"/>
              <w:rPr>
                <w:lang w:val="en-GB"/>
              </w:rPr>
            </w:pPr>
            <w:r>
              <w:rPr>
                <w:lang w:val="en-GB"/>
              </w:rPr>
              <w:t>Manslaughter</w:t>
            </w:r>
          </w:p>
        </w:tc>
        <w:tc>
          <w:tcPr>
            <w:tcW w:w="1999" w:type="dxa"/>
          </w:tcPr>
          <w:p w14:paraId="1D5F0027" w14:textId="77777777" w:rsidR="00EC10A4" w:rsidRDefault="00EC10A4" w:rsidP="00327CED">
            <w:pPr>
              <w:spacing w:line="360" w:lineRule="auto"/>
              <w:jc w:val="center"/>
              <w:rPr>
                <w:lang w:val="en-GB"/>
              </w:rPr>
            </w:pPr>
            <w:r>
              <w:rPr>
                <w:lang w:val="en-GB"/>
              </w:rPr>
              <w:t>45</w:t>
            </w:r>
          </w:p>
          <w:p w14:paraId="7D9F9353" w14:textId="6095875F" w:rsidR="00EC10A4" w:rsidRDefault="00EC10A4" w:rsidP="00327CED">
            <w:pPr>
              <w:spacing w:line="360" w:lineRule="auto"/>
              <w:jc w:val="center"/>
              <w:rPr>
                <w:lang w:val="en-GB"/>
              </w:rPr>
            </w:pPr>
            <w:r>
              <w:rPr>
                <w:lang w:val="en-GB"/>
              </w:rPr>
              <w:t>(55.5%)</w:t>
            </w:r>
          </w:p>
        </w:tc>
        <w:tc>
          <w:tcPr>
            <w:tcW w:w="1999" w:type="dxa"/>
          </w:tcPr>
          <w:p w14:paraId="637731FC" w14:textId="77777777" w:rsidR="00EC10A4" w:rsidRDefault="00EC10A4" w:rsidP="00327CED">
            <w:pPr>
              <w:spacing w:line="360" w:lineRule="auto"/>
              <w:jc w:val="center"/>
              <w:rPr>
                <w:lang w:val="en-GB"/>
              </w:rPr>
            </w:pPr>
            <w:r>
              <w:rPr>
                <w:lang w:val="en-GB"/>
              </w:rPr>
              <w:t>36</w:t>
            </w:r>
          </w:p>
          <w:p w14:paraId="64BA269C" w14:textId="6EC56EA7" w:rsidR="00EC10A4" w:rsidRDefault="00EC10A4" w:rsidP="00327CED">
            <w:pPr>
              <w:spacing w:line="360" w:lineRule="auto"/>
              <w:jc w:val="center"/>
              <w:rPr>
                <w:lang w:val="en-GB"/>
              </w:rPr>
            </w:pPr>
            <w:r>
              <w:rPr>
                <w:lang w:val="en-GB"/>
              </w:rPr>
              <w:t>(44.5%)</w:t>
            </w:r>
          </w:p>
        </w:tc>
      </w:tr>
      <w:tr w:rsidR="00EC10A4" w14:paraId="07BFDDA4" w14:textId="77777777" w:rsidTr="008438E9">
        <w:tc>
          <w:tcPr>
            <w:tcW w:w="4518" w:type="dxa"/>
          </w:tcPr>
          <w:p w14:paraId="139CEE23" w14:textId="3BC5C27E" w:rsidR="00EC10A4" w:rsidRDefault="00EC10A4" w:rsidP="00CB1AD4">
            <w:pPr>
              <w:spacing w:line="360" w:lineRule="auto"/>
              <w:jc w:val="both"/>
              <w:rPr>
                <w:lang w:val="en-GB"/>
              </w:rPr>
            </w:pPr>
            <w:r>
              <w:rPr>
                <w:lang w:val="en-GB"/>
              </w:rPr>
              <w:t>Robbery</w:t>
            </w:r>
          </w:p>
        </w:tc>
        <w:tc>
          <w:tcPr>
            <w:tcW w:w="1999" w:type="dxa"/>
          </w:tcPr>
          <w:p w14:paraId="6DF2D887" w14:textId="77777777" w:rsidR="00EC10A4" w:rsidRDefault="00EC10A4" w:rsidP="00327CED">
            <w:pPr>
              <w:spacing w:line="360" w:lineRule="auto"/>
              <w:jc w:val="center"/>
              <w:rPr>
                <w:lang w:val="en-GB"/>
              </w:rPr>
            </w:pPr>
            <w:r>
              <w:rPr>
                <w:lang w:val="en-GB"/>
              </w:rPr>
              <w:t>10</w:t>
            </w:r>
          </w:p>
          <w:p w14:paraId="17E8732B" w14:textId="1869ADEE" w:rsidR="00EC10A4" w:rsidRDefault="00EC10A4" w:rsidP="00327CED">
            <w:pPr>
              <w:spacing w:line="360" w:lineRule="auto"/>
              <w:jc w:val="center"/>
              <w:rPr>
                <w:lang w:val="en-GB"/>
              </w:rPr>
            </w:pPr>
            <w:r>
              <w:rPr>
                <w:lang w:val="en-GB"/>
              </w:rPr>
              <w:lastRenderedPageBreak/>
              <w:t>(55.5%)</w:t>
            </w:r>
          </w:p>
        </w:tc>
        <w:tc>
          <w:tcPr>
            <w:tcW w:w="1999" w:type="dxa"/>
          </w:tcPr>
          <w:p w14:paraId="294232BE" w14:textId="77777777" w:rsidR="00EC10A4" w:rsidRDefault="00EC10A4" w:rsidP="00327CED">
            <w:pPr>
              <w:spacing w:line="360" w:lineRule="auto"/>
              <w:jc w:val="center"/>
              <w:rPr>
                <w:lang w:val="en-GB"/>
              </w:rPr>
            </w:pPr>
            <w:r>
              <w:rPr>
                <w:lang w:val="en-GB"/>
              </w:rPr>
              <w:lastRenderedPageBreak/>
              <w:t>8</w:t>
            </w:r>
          </w:p>
          <w:p w14:paraId="2BFC43C0" w14:textId="6BA16E19" w:rsidR="00EC10A4" w:rsidRDefault="00EC10A4" w:rsidP="00327CED">
            <w:pPr>
              <w:spacing w:line="360" w:lineRule="auto"/>
              <w:jc w:val="center"/>
              <w:rPr>
                <w:lang w:val="en-GB"/>
              </w:rPr>
            </w:pPr>
            <w:r>
              <w:rPr>
                <w:lang w:val="en-GB"/>
              </w:rPr>
              <w:lastRenderedPageBreak/>
              <w:t>(45.5%)</w:t>
            </w:r>
          </w:p>
        </w:tc>
      </w:tr>
      <w:tr w:rsidR="00EC10A4" w14:paraId="270EB5D6" w14:textId="77777777" w:rsidTr="008438E9">
        <w:tc>
          <w:tcPr>
            <w:tcW w:w="4518" w:type="dxa"/>
          </w:tcPr>
          <w:p w14:paraId="3C67994D" w14:textId="76AEFFCF" w:rsidR="00EC10A4" w:rsidRDefault="00EC10A4" w:rsidP="00CB1AD4">
            <w:pPr>
              <w:spacing w:line="360" w:lineRule="auto"/>
              <w:jc w:val="both"/>
              <w:rPr>
                <w:lang w:val="en-GB"/>
              </w:rPr>
            </w:pPr>
            <w:r>
              <w:rPr>
                <w:lang w:val="en-GB"/>
              </w:rPr>
              <w:lastRenderedPageBreak/>
              <w:t>Receiving Stolen Goods</w:t>
            </w:r>
          </w:p>
        </w:tc>
        <w:tc>
          <w:tcPr>
            <w:tcW w:w="1999" w:type="dxa"/>
          </w:tcPr>
          <w:p w14:paraId="2B09B570" w14:textId="77777777" w:rsidR="00EC10A4" w:rsidRDefault="00EC10A4" w:rsidP="00327CED">
            <w:pPr>
              <w:spacing w:line="360" w:lineRule="auto"/>
              <w:jc w:val="center"/>
              <w:rPr>
                <w:lang w:val="en-GB"/>
              </w:rPr>
            </w:pPr>
            <w:r>
              <w:rPr>
                <w:lang w:val="en-GB"/>
              </w:rPr>
              <w:t>30</w:t>
            </w:r>
          </w:p>
          <w:p w14:paraId="4F453BF0" w14:textId="2E824302" w:rsidR="00EC10A4" w:rsidRDefault="00EC10A4" w:rsidP="00327CED">
            <w:pPr>
              <w:spacing w:line="360" w:lineRule="auto"/>
              <w:jc w:val="center"/>
              <w:rPr>
                <w:lang w:val="en-GB"/>
              </w:rPr>
            </w:pPr>
            <w:r>
              <w:rPr>
                <w:lang w:val="en-GB"/>
              </w:rPr>
              <w:t>(46%)</w:t>
            </w:r>
          </w:p>
        </w:tc>
        <w:tc>
          <w:tcPr>
            <w:tcW w:w="1999" w:type="dxa"/>
          </w:tcPr>
          <w:p w14:paraId="56517BD7" w14:textId="77777777" w:rsidR="00EC10A4" w:rsidRDefault="00EC10A4" w:rsidP="00327CED">
            <w:pPr>
              <w:spacing w:line="360" w:lineRule="auto"/>
              <w:jc w:val="center"/>
              <w:rPr>
                <w:lang w:val="en-GB"/>
              </w:rPr>
            </w:pPr>
            <w:r>
              <w:rPr>
                <w:lang w:val="en-GB"/>
              </w:rPr>
              <w:t>35</w:t>
            </w:r>
          </w:p>
          <w:p w14:paraId="2F1A828A" w14:textId="0F08D853" w:rsidR="00EC10A4" w:rsidRDefault="00EC10A4" w:rsidP="00327CED">
            <w:pPr>
              <w:spacing w:line="360" w:lineRule="auto"/>
              <w:jc w:val="center"/>
              <w:rPr>
                <w:lang w:val="en-GB"/>
              </w:rPr>
            </w:pPr>
            <w:r>
              <w:rPr>
                <w:lang w:val="en-GB"/>
              </w:rPr>
              <w:t>(54%)</w:t>
            </w:r>
          </w:p>
        </w:tc>
      </w:tr>
      <w:tr w:rsidR="00EC10A4" w14:paraId="7EFA9464" w14:textId="77777777" w:rsidTr="008438E9">
        <w:tc>
          <w:tcPr>
            <w:tcW w:w="4518" w:type="dxa"/>
          </w:tcPr>
          <w:p w14:paraId="18CB1410" w14:textId="7C6E617D" w:rsidR="00EC10A4" w:rsidRDefault="00EC10A4" w:rsidP="00CB1AD4">
            <w:pPr>
              <w:spacing w:line="360" w:lineRule="auto"/>
              <w:jc w:val="both"/>
              <w:rPr>
                <w:lang w:val="en-GB"/>
              </w:rPr>
            </w:pPr>
            <w:r>
              <w:rPr>
                <w:lang w:val="en-GB"/>
              </w:rPr>
              <w:t>Arson</w:t>
            </w:r>
          </w:p>
        </w:tc>
        <w:tc>
          <w:tcPr>
            <w:tcW w:w="1999" w:type="dxa"/>
          </w:tcPr>
          <w:p w14:paraId="319EE91A" w14:textId="77777777" w:rsidR="00EC10A4" w:rsidRDefault="00EC10A4" w:rsidP="00EC10A4">
            <w:pPr>
              <w:spacing w:line="360" w:lineRule="auto"/>
              <w:jc w:val="center"/>
              <w:rPr>
                <w:lang w:val="en-GB"/>
              </w:rPr>
            </w:pPr>
            <w:r>
              <w:rPr>
                <w:lang w:val="en-GB"/>
              </w:rPr>
              <w:t>1</w:t>
            </w:r>
          </w:p>
          <w:p w14:paraId="41CD5785" w14:textId="38616B7A" w:rsidR="00EC10A4" w:rsidRDefault="00EC10A4" w:rsidP="00327CED">
            <w:pPr>
              <w:spacing w:line="360" w:lineRule="auto"/>
              <w:jc w:val="center"/>
              <w:rPr>
                <w:lang w:val="en-GB"/>
              </w:rPr>
            </w:pPr>
            <w:r>
              <w:rPr>
                <w:lang w:val="en-GB"/>
              </w:rPr>
              <w:t>(33%)</w:t>
            </w:r>
          </w:p>
        </w:tc>
        <w:tc>
          <w:tcPr>
            <w:tcW w:w="1999" w:type="dxa"/>
          </w:tcPr>
          <w:p w14:paraId="0C6509C8" w14:textId="77777777" w:rsidR="00EC10A4" w:rsidRDefault="00EC10A4" w:rsidP="00EC10A4">
            <w:pPr>
              <w:spacing w:line="360" w:lineRule="auto"/>
              <w:jc w:val="center"/>
              <w:rPr>
                <w:lang w:val="en-GB"/>
              </w:rPr>
            </w:pPr>
            <w:r>
              <w:rPr>
                <w:lang w:val="en-GB"/>
              </w:rPr>
              <w:t>2</w:t>
            </w:r>
          </w:p>
          <w:p w14:paraId="7DA35B82" w14:textId="1B34E4B2" w:rsidR="00EC10A4" w:rsidRDefault="00EC10A4" w:rsidP="00327CED">
            <w:pPr>
              <w:spacing w:line="360" w:lineRule="auto"/>
              <w:jc w:val="center"/>
              <w:rPr>
                <w:lang w:val="en-GB"/>
              </w:rPr>
            </w:pPr>
            <w:r>
              <w:rPr>
                <w:lang w:val="en-GB"/>
              </w:rPr>
              <w:t>(67%)</w:t>
            </w:r>
          </w:p>
        </w:tc>
      </w:tr>
      <w:tr w:rsidR="00EC10A4" w14:paraId="551C5A6C" w14:textId="77777777" w:rsidTr="008438E9">
        <w:tc>
          <w:tcPr>
            <w:tcW w:w="4518" w:type="dxa"/>
          </w:tcPr>
          <w:p w14:paraId="22548D3A" w14:textId="77FF330B" w:rsidR="00EC10A4" w:rsidRDefault="00EC10A4" w:rsidP="00CB1AD4">
            <w:pPr>
              <w:spacing w:line="360" w:lineRule="auto"/>
              <w:jc w:val="both"/>
              <w:rPr>
                <w:lang w:val="en-GB"/>
              </w:rPr>
            </w:pPr>
            <w:r>
              <w:rPr>
                <w:lang w:val="en-GB"/>
              </w:rPr>
              <w:t>Murder</w:t>
            </w:r>
          </w:p>
        </w:tc>
        <w:tc>
          <w:tcPr>
            <w:tcW w:w="1999" w:type="dxa"/>
          </w:tcPr>
          <w:p w14:paraId="615FAD3C" w14:textId="77777777" w:rsidR="00EC10A4" w:rsidRDefault="00EC10A4" w:rsidP="00327CED">
            <w:pPr>
              <w:spacing w:line="360" w:lineRule="auto"/>
              <w:jc w:val="center"/>
              <w:rPr>
                <w:lang w:val="en-GB"/>
              </w:rPr>
            </w:pPr>
            <w:r>
              <w:rPr>
                <w:lang w:val="en-GB"/>
              </w:rPr>
              <w:t>6</w:t>
            </w:r>
          </w:p>
          <w:p w14:paraId="548CA054" w14:textId="2E85C2C5" w:rsidR="00EC10A4" w:rsidRDefault="00EC10A4" w:rsidP="00327CED">
            <w:pPr>
              <w:spacing w:line="360" w:lineRule="auto"/>
              <w:jc w:val="center"/>
              <w:rPr>
                <w:lang w:val="en-GB"/>
              </w:rPr>
            </w:pPr>
            <w:r>
              <w:rPr>
                <w:lang w:val="en-GB"/>
              </w:rPr>
              <w:t>(30%)</w:t>
            </w:r>
          </w:p>
        </w:tc>
        <w:tc>
          <w:tcPr>
            <w:tcW w:w="1999" w:type="dxa"/>
          </w:tcPr>
          <w:p w14:paraId="5C8DCF97" w14:textId="77777777" w:rsidR="00EC10A4" w:rsidRDefault="00EC10A4" w:rsidP="00327CED">
            <w:pPr>
              <w:spacing w:line="360" w:lineRule="auto"/>
              <w:jc w:val="center"/>
              <w:rPr>
                <w:lang w:val="en-GB"/>
              </w:rPr>
            </w:pPr>
            <w:r>
              <w:rPr>
                <w:lang w:val="en-GB"/>
              </w:rPr>
              <w:t>14</w:t>
            </w:r>
          </w:p>
          <w:p w14:paraId="56DF71C4" w14:textId="4761AD65" w:rsidR="00EC10A4" w:rsidRDefault="00EC10A4" w:rsidP="00327CED">
            <w:pPr>
              <w:spacing w:line="360" w:lineRule="auto"/>
              <w:jc w:val="center"/>
              <w:rPr>
                <w:lang w:val="en-GB"/>
              </w:rPr>
            </w:pPr>
            <w:r>
              <w:rPr>
                <w:lang w:val="en-GB"/>
              </w:rPr>
              <w:t>(70%)</w:t>
            </w:r>
          </w:p>
        </w:tc>
      </w:tr>
      <w:tr w:rsidR="00EC10A4" w14:paraId="5400C0A7" w14:textId="77777777" w:rsidTr="008438E9">
        <w:tc>
          <w:tcPr>
            <w:tcW w:w="4518" w:type="dxa"/>
          </w:tcPr>
          <w:p w14:paraId="126BFB0E" w14:textId="3BEBAA2C" w:rsidR="00EC10A4" w:rsidRPr="0064451D" w:rsidRDefault="00EC10A4" w:rsidP="0064451D">
            <w:pPr>
              <w:spacing w:line="360" w:lineRule="auto"/>
              <w:jc w:val="right"/>
              <w:rPr>
                <w:b/>
                <w:lang w:val="en-GB"/>
              </w:rPr>
            </w:pPr>
            <w:r w:rsidRPr="0064451D">
              <w:rPr>
                <w:b/>
                <w:lang w:val="en-GB"/>
              </w:rPr>
              <w:t>Total</w:t>
            </w:r>
          </w:p>
        </w:tc>
        <w:tc>
          <w:tcPr>
            <w:tcW w:w="1999" w:type="dxa"/>
          </w:tcPr>
          <w:p w14:paraId="3F55551E" w14:textId="77777777" w:rsidR="00EC10A4" w:rsidRDefault="00EC10A4" w:rsidP="00327CED">
            <w:pPr>
              <w:spacing w:line="360" w:lineRule="auto"/>
              <w:jc w:val="center"/>
              <w:rPr>
                <w:lang w:val="en-GB"/>
              </w:rPr>
            </w:pPr>
            <w:r>
              <w:rPr>
                <w:lang w:val="en-GB"/>
              </w:rPr>
              <w:t>1310</w:t>
            </w:r>
          </w:p>
          <w:p w14:paraId="34FE32C7" w14:textId="47AF2DF9" w:rsidR="00EC10A4" w:rsidRDefault="00EC10A4" w:rsidP="00327CED">
            <w:pPr>
              <w:spacing w:line="360" w:lineRule="auto"/>
              <w:jc w:val="center"/>
              <w:rPr>
                <w:lang w:val="en-GB"/>
              </w:rPr>
            </w:pPr>
            <w:r>
              <w:rPr>
                <w:lang w:val="en-GB"/>
              </w:rPr>
              <w:t>(74%)</w:t>
            </w:r>
          </w:p>
        </w:tc>
        <w:tc>
          <w:tcPr>
            <w:tcW w:w="1999" w:type="dxa"/>
          </w:tcPr>
          <w:p w14:paraId="26838DA3" w14:textId="77777777" w:rsidR="00EC10A4" w:rsidRDefault="00EC10A4" w:rsidP="00327CED">
            <w:pPr>
              <w:spacing w:line="360" w:lineRule="auto"/>
              <w:jc w:val="center"/>
              <w:rPr>
                <w:lang w:val="en-GB"/>
              </w:rPr>
            </w:pPr>
            <w:r>
              <w:rPr>
                <w:lang w:val="en-GB"/>
              </w:rPr>
              <w:t>450</w:t>
            </w:r>
          </w:p>
          <w:p w14:paraId="0D7B733E" w14:textId="1FDD7A70" w:rsidR="00EC10A4" w:rsidRDefault="00EC10A4" w:rsidP="00327CED">
            <w:pPr>
              <w:spacing w:line="360" w:lineRule="auto"/>
              <w:jc w:val="center"/>
              <w:rPr>
                <w:lang w:val="en-GB"/>
              </w:rPr>
            </w:pPr>
            <w:r>
              <w:rPr>
                <w:lang w:val="en-GB"/>
              </w:rPr>
              <w:t>(26%)</w:t>
            </w:r>
          </w:p>
        </w:tc>
      </w:tr>
    </w:tbl>
    <w:p w14:paraId="08F57B37" w14:textId="77777777" w:rsidR="008E7AA4" w:rsidRDefault="008E7AA4" w:rsidP="00CB1AD4">
      <w:pPr>
        <w:spacing w:line="360" w:lineRule="auto"/>
        <w:jc w:val="both"/>
        <w:rPr>
          <w:lang w:val="en-GB"/>
        </w:rPr>
      </w:pPr>
    </w:p>
    <w:p w14:paraId="4F0C7F85" w14:textId="196D693C" w:rsidR="008F1897" w:rsidRDefault="00413973" w:rsidP="00BC14AE">
      <w:pPr>
        <w:spacing w:line="360" w:lineRule="auto"/>
        <w:jc w:val="both"/>
        <w:rPr>
          <w:lang w:val="en-GB"/>
        </w:rPr>
      </w:pPr>
      <w:r>
        <w:rPr>
          <w:lang w:val="en-GB"/>
        </w:rPr>
        <w:t xml:space="preserve">As can be seen, </w:t>
      </w:r>
      <w:r w:rsidR="008438E9">
        <w:rPr>
          <w:lang w:val="en-GB"/>
        </w:rPr>
        <w:t xml:space="preserve">of those persons who stood trial, </w:t>
      </w:r>
      <w:r w:rsidR="00EC10A4">
        <w:rPr>
          <w:lang w:val="en-GB"/>
        </w:rPr>
        <w:t>around three-quarters were convicted, the proportion of guilty verdicts by crime type ranging from 100% for concealing the birth of a child and game o</w:t>
      </w:r>
      <w:r w:rsidR="00AB77A6">
        <w:rPr>
          <w:lang w:val="en-GB"/>
        </w:rPr>
        <w:t xml:space="preserve">ffences down to 30% for murder. </w:t>
      </w:r>
      <w:r w:rsidR="006F37B4">
        <w:rPr>
          <w:lang w:val="en-GB"/>
        </w:rPr>
        <w:t>Indictments</w:t>
      </w:r>
      <w:r w:rsidR="00BC14AE">
        <w:rPr>
          <w:lang w:val="en-GB"/>
        </w:rPr>
        <w:t xml:space="preserve"> for </w:t>
      </w:r>
      <w:r w:rsidR="00A05693">
        <w:rPr>
          <w:lang w:val="en-GB"/>
        </w:rPr>
        <w:t xml:space="preserve">property crimes </w:t>
      </w:r>
      <w:r w:rsidR="00BC14AE">
        <w:rPr>
          <w:lang w:val="en-GB"/>
        </w:rPr>
        <w:t xml:space="preserve">were more likely to </w:t>
      </w:r>
      <w:r w:rsidR="00A05693">
        <w:rPr>
          <w:lang w:val="en-GB"/>
        </w:rPr>
        <w:t>result in a conviction</w:t>
      </w:r>
      <w:r w:rsidR="00BC14AE">
        <w:rPr>
          <w:lang w:val="en-GB"/>
        </w:rPr>
        <w:t xml:space="preserve"> than indictments for </w:t>
      </w:r>
      <w:r w:rsidR="00A05693">
        <w:rPr>
          <w:lang w:val="en-GB"/>
        </w:rPr>
        <w:t>crimes against the person</w:t>
      </w:r>
      <w:r w:rsidR="00BC14AE">
        <w:rPr>
          <w:lang w:val="en-GB"/>
        </w:rPr>
        <w:t xml:space="preserve">, </w:t>
      </w:r>
      <w:r w:rsidR="00A05693">
        <w:rPr>
          <w:lang w:val="en-GB"/>
        </w:rPr>
        <w:t xml:space="preserve">with 76% of the former compared to 55% of the latter leading to a guilty verdict. Of </w:t>
      </w:r>
      <w:r w:rsidR="00BC14AE">
        <w:rPr>
          <w:lang w:val="en-GB"/>
        </w:rPr>
        <w:t xml:space="preserve">those crime types where a guilty verdict lead to a sentence of death - </w:t>
      </w:r>
      <w:r w:rsidR="00474E8C" w:rsidRPr="00AB77A6">
        <w:rPr>
          <w:lang w:val="en-GB"/>
        </w:rPr>
        <w:t xml:space="preserve">murder, shooting at, sheep, cattle, </w:t>
      </w:r>
      <w:r w:rsidR="00BC14AE" w:rsidRPr="00AB77A6">
        <w:rPr>
          <w:lang w:val="en-GB"/>
        </w:rPr>
        <w:t xml:space="preserve">and </w:t>
      </w:r>
      <w:r w:rsidR="00474E8C" w:rsidRPr="00AB77A6">
        <w:rPr>
          <w:lang w:val="en-GB"/>
        </w:rPr>
        <w:t>horse</w:t>
      </w:r>
      <w:r w:rsidR="00BC14AE" w:rsidRPr="00AB77A6">
        <w:rPr>
          <w:lang w:val="en-GB"/>
        </w:rPr>
        <w:t xml:space="preserve"> theft</w:t>
      </w:r>
      <w:r w:rsidR="00474E8C" w:rsidRPr="00AB77A6">
        <w:rPr>
          <w:lang w:val="en-GB"/>
        </w:rPr>
        <w:t>, housebreak</w:t>
      </w:r>
      <w:r w:rsidR="00BC14AE" w:rsidRPr="00AB77A6">
        <w:rPr>
          <w:lang w:val="en-GB"/>
        </w:rPr>
        <w:t>ing</w:t>
      </w:r>
      <w:r w:rsidR="00474E8C" w:rsidRPr="00AB77A6">
        <w:rPr>
          <w:lang w:val="en-GB"/>
        </w:rPr>
        <w:t>, robbery, highway ro</w:t>
      </w:r>
      <w:r w:rsidR="00BC14AE" w:rsidRPr="00AB77A6">
        <w:rPr>
          <w:lang w:val="en-GB"/>
        </w:rPr>
        <w:t xml:space="preserve">bbery and </w:t>
      </w:r>
      <w:r w:rsidR="00474E8C" w:rsidRPr="00AB77A6">
        <w:rPr>
          <w:lang w:val="en-GB"/>
        </w:rPr>
        <w:t>arson</w:t>
      </w:r>
      <w:r w:rsidR="00BC14AE" w:rsidRPr="00AB77A6">
        <w:rPr>
          <w:lang w:val="en-GB"/>
        </w:rPr>
        <w:t xml:space="preserve"> – a guilty verdict was returned </w:t>
      </w:r>
      <w:r w:rsidR="00933BA2" w:rsidRPr="00AB77A6">
        <w:rPr>
          <w:lang w:val="en-GB"/>
        </w:rPr>
        <w:t xml:space="preserve">for </w:t>
      </w:r>
      <w:r w:rsidR="00A05693" w:rsidRPr="00AB77A6">
        <w:rPr>
          <w:lang w:val="en-GB"/>
        </w:rPr>
        <w:t>70</w:t>
      </w:r>
      <w:r w:rsidR="00933BA2" w:rsidRPr="00AB77A6">
        <w:rPr>
          <w:lang w:val="en-GB"/>
        </w:rPr>
        <w:t>% of indictments.</w:t>
      </w:r>
      <w:r w:rsidR="00933BA2">
        <w:rPr>
          <w:b/>
          <w:lang w:val="en-GB"/>
        </w:rPr>
        <w:t xml:space="preserve"> </w:t>
      </w:r>
      <w:r w:rsidR="007B3864" w:rsidRPr="007B3864">
        <w:rPr>
          <w:lang w:val="en-GB"/>
        </w:rPr>
        <w:t>That said,</w:t>
      </w:r>
      <w:r w:rsidR="007B3864">
        <w:rPr>
          <w:b/>
          <w:lang w:val="en-GB"/>
        </w:rPr>
        <w:t xml:space="preserve"> </w:t>
      </w:r>
      <w:r w:rsidR="007B3864">
        <w:rPr>
          <w:lang w:val="en-GB"/>
        </w:rPr>
        <w:t xml:space="preserve">it </w:t>
      </w:r>
      <w:r w:rsidR="00933BA2" w:rsidRPr="008F1897">
        <w:rPr>
          <w:lang w:val="en-GB"/>
        </w:rPr>
        <w:t xml:space="preserve">is particularly noteworthy </w:t>
      </w:r>
      <w:r w:rsidR="007B3864">
        <w:rPr>
          <w:lang w:val="en-GB"/>
        </w:rPr>
        <w:t>that in the case of</w:t>
      </w:r>
      <w:r w:rsidR="00933BA2" w:rsidRPr="008F1897">
        <w:rPr>
          <w:lang w:val="en-GB"/>
        </w:rPr>
        <w:t xml:space="preserve"> the most serious crime that the Great Sessions tried, murder, </w:t>
      </w:r>
      <w:r w:rsidR="007B3864">
        <w:rPr>
          <w:lang w:val="en-GB"/>
        </w:rPr>
        <w:t xml:space="preserve">only </w:t>
      </w:r>
      <w:r w:rsidR="008F1897" w:rsidRPr="008F1897">
        <w:rPr>
          <w:lang w:val="en-GB"/>
        </w:rPr>
        <w:t>just under a third of those who were tried (or a quarter of the total indicted) were found guilty</w:t>
      </w:r>
      <w:r w:rsidR="008F1897">
        <w:rPr>
          <w:lang w:val="en-GB"/>
        </w:rPr>
        <w:t xml:space="preserve">. Similarly with rape, although 60% of those who were tried were subsequently found guilty, these persons represented a mere 44% of those indicted for the crime. </w:t>
      </w:r>
    </w:p>
    <w:p w14:paraId="01F1987D" w14:textId="77777777" w:rsidR="008F1897" w:rsidRDefault="008F1897" w:rsidP="00BC14AE">
      <w:pPr>
        <w:spacing w:line="360" w:lineRule="auto"/>
        <w:jc w:val="both"/>
        <w:rPr>
          <w:lang w:val="en-GB"/>
        </w:rPr>
      </w:pPr>
    </w:p>
    <w:p w14:paraId="18EE647A" w14:textId="172F2F10" w:rsidR="00413973" w:rsidRDefault="008F1897" w:rsidP="008F1897">
      <w:pPr>
        <w:spacing w:line="360" w:lineRule="auto"/>
        <w:jc w:val="both"/>
        <w:rPr>
          <w:lang w:val="en-GB"/>
        </w:rPr>
      </w:pPr>
      <w:r>
        <w:rPr>
          <w:lang w:val="en-GB"/>
        </w:rPr>
        <w:tab/>
        <w:t>Turning next to sentencing patterns, the various sentences passed by the Chester Great Sessions are summarised in figure 4:</w:t>
      </w:r>
    </w:p>
    <w:p w14:paraId="082D3D13" w14:textId="77777777" w:rsidR="008F1897" w:rsidRPr="008F1897" w:rsidRDefault="008F1897" w:rsidP="008F1897">
      <w:pPr>
        <w:spacing w:line="360" w:lineRule="auto"/>
        <w:jc w:val="both"/>
        <w:rPr>
          <w:lang w:val="en-GB"/>
        </w:rPr>
      </w:pPr>
    </w:p>
    <w:p w14:paraId="51D2D763" w14:textId="0E826A43" w:rsidR="006C57D8" w:rsidRPr="008F1897" w:rsidRDefault="004E7367" w:rsidP="008F1897">
      <w:pPr>
        <w:rPr>
          <w:b/>
          <w:lang w:val="en-GB"/>
        </w:rPr>
      </w:pPr>
      <w:r w:rsidRPr="006B45C8">
        <w:rPr>
          <w:b/>
          <w:lang w:val="en-GB"/>
        </w:rPr>
        <w:t xml:space="preserve">Figure </w:t>
      </w:r>
      <w:r w:rsidR="00D10C3C">
        <w:rPr>
          <w:b/>
          <w:lang w:val="en-GB"/>
        </w:rPr>
        <w:t>4</w:t>
      </w:r>
      <w:r w:rsidRPr="006B45C8">
        <w:rPr>
          <w:b/>
          <w:lang w:val="en-GB"/>
        </w:rPr>
        <w:t>:</w:t>
      </w:r>
      <w:r w:rsidRPr="006B45C8">
        <w:rPr>
          <w:lang w:val="en-GB"/>
        </w:rPr>
        <w:t xml:space="preserve"> the sentences passed by the Chester Great Sessions, 1805-30</w:t>
      </w:r>
      <w:r w:rsidR="006B45C8" w:rsidRPr="006B45C8">
        <w:rPr>
          <w:lang w:val="en-GB"/>
        </w:rPr>
        <w:t>.</w:t>
      </w:r>
    </w:p>
    <w:tbl>
      <w:tblPr>
        <w:tblStyle w:val="TableGrid"/>
        <w:tblW w:w="0" w:type="auto"/>
        <w:tblLayout w:type="fixed"/>
        <w:tblLook w:val="04A0" w:firstRow="1" w:lastRow="0" w:firstColumn="1" w:lastColumn="0" w:noHBand="0" w:noVBand="1"/>
      </w:tblPr>
      <w:tblGrid>
        <w:gridCol w:w="3085"/>
        <w:gridCol w:w="1276"/>
        <w:gridCol w:w="1843"/>
        <w:gridCol w:w="1134"/>
        <w:gridCol w:w="1178"/>
      </w:tblGrid>
      <w:tr w:rsidR="006C57D8" w14:paraId="7143304F" w14:textId="77777777" w:rsidTr="006C57D8">
        <w:tc>
          <w:tcPr>
            <w:tcW w:w="3085" w:type="dxa"/>
            <w:vMerge w:val="restart"/>
          </w:tcPr>
          <w:p w14:paraId="209DC569" w14:textId="77777777" w:rsidR="006C57D8" w:rsidRPr="00475C6B" w:rsidRDefault="006C57D8" w:rsidP="006C57D8">
            <w:pPr>
              <w:jc w:val="center"/>
              <w:rPr>
                <w:b/>
              </w:rPr>
            </w:pPr>
            <w:r w:rsidRPr="00475C6B">
              <w:rPr>
                <w:b/>
              </w:rPr>
              <w:t>Sentence</w:t>
            </w:r>
          </w:p>
        </w:tc>
        <w:tc>
          <w:tcPr>
            <w:tcW w:w="1276" w:type="dxa"/>
            <w:vMerge w:val="restart"/>
          </w:tcPr>
          <w:p w14:paraId="5FAB1BD1" w14:textId="77777777" w:rsidR="006C57D8" w:rsidRPr="00475C6B" w:rsidRDefault="006C57D8" w:rsidP="006C57D8">
            <w:pPr>
              <w:jc w:val="center"/>
              <w:rPr>
                <w:b/>
              </w:rPr>
            </w:pPr>
            <w:r w:rsidRPr="00475C6B">
              <w:rPr>
                <w:b/>
              </w:rPr>
              <w:t xml:space="preserve">Number &amp; </w:t>
            </w:r>
            <w:r>
              <w:rPr>
                <w:b/>
              </w:rPr>
              <w:t>%</w:t>
            </w:r>
          </w:p>
        </w:tc>
        <w:tc>
          <w:tcPr>
            <w:tcW w:w="1843" w:type="dxa"/>
            <w:vMerge w:val="restart"/>
          </w:tcPr>
          <w:p w14:paraId="4257167D" w14:textId="77777777" w:rsidR="006C57D8" w:rsidRPr="00475C6B" w:rsidRDefault="006C57D8" w:rsidP="006C57D8">
            <w:pPr>
              <w:jc w:val="center"/>
              <w:rPr>
                <w:b/>
              </w:rPr>
            </w:pPr>
            <w:r w:rsidRPr="00475C6B">
              <w:rPr>
                <w:b/>
              </w:rPr>
              <w:t xml:space="preserve">Number &amp; Percentage for Punishment </w:t>
            </w:r>
            <w:r w:rsidRPr="00475C6B">
              <w:rPr>
                <w:b/>
              </w:rPr>
              <w:lastRenderedPageBreak/>
              <w:t>Type</w:t>
            </w:r>
          </w:p>
        </w:tc>
        <w:tc>
          <w:tcPr>
            <w:tcW w:w="2312" w:type="dxa"/>
            <w:gridSpan w:val="2"/>
          </w:tcPr>
          <w:p w14:paraId="22069307" w14:textId="77777777" w:rsidR="006C57D8" w:rsidRPr="00475C6B" w:rsidRDefault="006C57D8" w:rsidP="006C57D8">
            <w:pPr>
              <w:jc w:val="center"/>
              <w:rPr>
                <w:b/>
              </w:rPr>
            </w:pPr>
            <w:r w:rsidRPr="00475C6B">
              <w:rPr>
                <w:b/>
              </w:rPr>
              <w:lastRenderedPageBreak/>
              <w:t>Gender</w:t>
            </w:r>
          </w:p>
        </w:tc>
      </w:tr>
      <w:tr w:rsidR="006C57D8" w14:paraId="148A88E9" w14:textId="77777777" w:rsidTr="006C57D8">
        <w:tc>
          <w:tcPr>
            <w:tcW w:w="3085" w:type="dxa"/>
            <w:vMerge/>
          </w:tcPr>
          <w:p w14:paraId="39A12C74" w14:textId="77777777" w:rsidR="006C57D8" w:rsidRPr="00475C6B" w:rsidRDefault="006C57D8" w:rsidP="006C57D8">
            <w:pPr>
              <w:jc w:val="center"/>
              <w:rPr>
                <w:b/>
              </w:rPr>
            </w:pPr>
          </w:p>
        </w:tc>
        <w:tc>
          <w:tcPr>
            <w:tcW w:w="1276" w:type="dxa"/>
            <w:vMerge/>
          </w:tcPr>
          <w:p w14:paraId="77332B63" w14:textId="77777777" w:rsidR="006C57D8" w:rsidRPr="00475C6B" w:rsidRDefault="006C57D8" w:rsidP="006C57D8">
            <w:pPr>
              <w:jc w:val="center"/>
              <w:rPr>
                <w:b/>
              </w:rPr>
            </w:pPr>
          </w:p>
        </w:tc>
        <w:tc>
          <w:tcPr>
            <w:tcW w:w="1843" w:type="dxa"/>
            <w:vMerge/>
          </w:tcPr>
          <w:p w14:paraId="01147F96" w14:textId="77777777" w:rsidR="006C57D8" w:rsidRPr="00475C6B" w:rsidRDefault="006C57D8" w:rsidP="006C57D8">
            <w:pPr>
              <w:jc w:val="center"/>
              <w:rPr>
                <w:b/>
              </w:rPr>
            </w:pPr>
          </w:p>
        </w:tc>
        <w:tc>
          <w:tcPr>
            <w:tcW w:w="1134" w:type="dxa"/>
          </w:tcPr>
          <w:p w14:paraId="0A6F5278" w14:textId="77777777" w:rsidR="006C57D8" w:rsidRPr="00475C6B" w:rsidRDefault="006C57D8" w:rsidP="006C57D8">
            <w:pPr>
              <w:jc w:val="center"/>
              <w:rPr>
                <w:b/>
              </w:rPr>
            </w:pPr>
            <w:r w:rsidRPr="00475C6B">
              <w:rPr>
                <w:b/>
              </w:rPr>
              <w:t>Female</w:t>
            </w:r>
          </w:p>
        </w:tc>
        <w:tc>
          <w:tcPr>
            <w:tcW w:w="1178" w:type="dxa"/>
          </w:tcPr>
          <w:p w14:paraId="6BBB892E" w14:textId="77777777" w:rsidR="006C57D8" w:rsidRPr="00475C6B" w:rsidRDefault="006C57D8" w:rsidP="006C57D8">
            <w:pPr>
              <w:jc w:val="center"/>
              <w:rPr>
                <w:b/>
              </w:rPr>
            </w:pPr>
            <w:r w:rsidRPr="00475C6B">
              <w:rPr>
                <w:b/>
              </w:rPr>
              <w:t>Male</w:t>
            </w:r>
          </w:p>
        </w:tc>
      </w:tr>
      <w:tr w:rsidR="006C57D8" w14:paraId="2E3E93AF" w14:textId="77777777" w:rsidTr="006C57D8">
        <w:tc>
          <w:tcPr>
            <w:tcW w:w="3085" w:type="dxa"/>
          </w:tcPr>
          <w:p w14:paraId="21B310C3" w14:textId="77777777" w:rsidR="006C57D8" w:rsidRDefault="006C57D8" w:rsidP="006C57D8">
            <w:r>
              <w:t>Death and Executed</w:t>
            </w:r>
          </w:p>
        </w:tc>
        <w:tc>
          <w:tcPr>
            <w:tcW w:w="1276" w:type="dxa"/>
          </w:tcPr>
          <w:p w14:paraId="6D96D291" w14:textId="77777777" w:rsidR="006C57D8" w:rsidRDefault="006C57D8" w:rsidP="006C57D8">
            <w:pPr>
              <w:jc w:val="center"/>
            </w:pPr>
            <w:r>
              <w:t>38</w:t>
            </w:r>
          </w:p>
          <w:p w14:paraId="4E18FAB0" w14:textId="77777777" w:rsidR="006C57D8" w:rsidRDefault="006C57D8" w:rsidP="006C57D8">
            <w:pPr>
              <w:jc w:val="center"/>
            </w:pPr>
            <w:r>
              <w:t>(3%)</w:t>
            </w:r>
          </w:p>
        </w:tc>
        <w:tc>
          <w:tcPr>
            <w:tcW w:w="1843" w:type="dxa"/>
            <w:vMerge w:val="restart"/>
          </w:tcPr>
          <w:p w14:paraId="2F560F13" w14:textId="77777777" w:rsidR="006C57D8" w:rsidRDefault="006C57D8" w:rsidP="006C57D8">
            <w:pPr>
              <w:jc w:val="center"/>
            </w:pPr>
            <w:r>
              <w:t>440</w:t>
            </w:r>
          </w:p>
          <w:p w14:paraId="138D1D47" w14:textId="584560EB" w:rsidR="006C57D8" w:rsidRDefault="006B45C8" w:rsidP="006C57D8">
            <w:pPr>
              <w:jc w:val="center"/>
            </w:pPr>
            <w:r>
              <w:t>(</w:t>
            </w:r>
            <w:r w:rsidR="006C57D8">
              <w:t>33.5%)</w:t>
            </w:r>
          </w:p>
        </w:tc>
        <w:tc>
          <w:tcPr>
            <w:tcW w:w="1134" w:type="dxa"/>
          </w:tcPr>
          <w:p w14:paraId="27A8EA50" w14:textId="77777777" w:rsidR="006C57D8" w:rsidRDefault="006C57D8" w:rsidP="006C57D8">
            <w:pPr>
              <w:jc w:val="center"/>
            </w:pPr>
            <w:r>
              <w:t>1</w:t>
            </w:r>
          </w:p>
          <w:p w14:paraId="1631B769" w14:textId="77777777" w:rsidR="006C57D8" w:rsidRDefault="006C57D8" w:rsidP="006C57D8">
            <w:pPr>
              <w:jc w:val="center"/>
            </w:pPr>
            <w:r>
              <w:t>(1%)</w:t>
            </w:r>
          </w:p>
          <w:p w14:paraId="0C560167" w14:textId="77777777" w:rsidR="006C57D8" w:rsidRDefault="006C57D8" w:rsidP="006C57D8">
            <w:pPr>
              <w:jc w:val="center"/>
            </w:pPr>
          </w:p>
        </w:tc>
        <w:tc>
          <w:tcPr>
            <w:tcW w:w="1178" w:type="dxa"/>
          </w:tcPr>
          <w:p w14:paraId="5A80801E" w14:textId="77777777" w:rsidR="006C57D8" w:rsidRDefault="006C57D8" w:rsidP="006C57D8">
            <w:pPr>
              <w:jc w:val="center"/>
            </w:pPr>
            <w:r>
              <w:t>37</w:t>
            </w:r>
          </w:p>
          <w:p w14:paraId="0EBFE57B" w14:textId="77777777" w:rsidR="006C57D8" w:rsidRDefault="006C57D8" w:rsidP="006C57D8">
            <w:pPr>
              <w:jc w:val="center"/>
            </w:pPr>
            <w:r>
              <w:t>(3%)</w:t>
            </w:r>
          </w:p>
          <w:p w14:paraId="72D34658" w14:textId="77777777" w:rsidR="006C57D8" w:rsidRDefault="006C57D8" w:rsidP="006C57D8">
            <w:pPr>
              <w:jc w:val="center"/>
            </w:pPr>
          </w:p>
        </w:tc>
      </w:tr>
      <w:tr w:rsidR="006C57D8" w14:paraId="1611C14D" w14:textId="77777777" w:rsidTr="006C57D8">
        <w:tc>
          <w:tcPr>
            <w:tcW w:w="3085" w:type="dxa"/>
          </w:tcPr>
          <w:p w14:paraId="31B461D7" w14:textId="77777777" w:rsidR="006C57D8" w:rsidRDefault="006C57D8" w:rsidP="006C57D8">
            <w:r>
              <w:t>Death and Reprieved</w:t>
            </w:r>
          </w:p>
        </w:tc>
        <w:tc>
          <w:tcPr>
            <w:tcW w:w="1276" w:type="dxa"/>
          </w:tcPr>
          <w:p w14:paraId="701A3099" w14:textId="77777777" w:rsidR="006C57D8" w:rsidRDefault="006C57D8" w:rsidP="006C57D8">
            <w:pPr>
              <w:jc w:val="center"/>
            </w:pPr>
            <w:r>
              <w:t>402</w:t>
            </w:r>
          </w:p>
          <w:p w14:paraId="37C73FF7" w14:textId="77777777" w:rsidR="006C57D8" w:rsidRDefault="006C57D8" w:rsidP="006C57D8">
            <w:pPr>
              <w:jc w:val="center"/>
            </w:pPr>
            <w:r>
              <w:t>(30.5%)</w:t>
            </w:r>
          </w:p>
        </w:tc>
        <w:tc>
          <w:tcPr>
            <w:tcW w:w="1843" w:type="dxa"/>
            <w:vMerge/>
          </w:tcPr>
          <w:p w14:paraId="71EDAD3C" w14:textId="77777777" w:rsidR="006C57D8" w:rsidRDefault="006C57D8" w:rsidP="006C57D8">
            <w:pPr>
              <w:jc w:val="center"/>
            </w:pPr>
          </w:p>
        </w:tc>
        <w:tc>
          <w:tcPr>
            <w:tcW w:w="1134" w:type="dxa"/>
          </w:tcPr>
          <w:p w14:paraId="461BD414" w14:textId="77777777" w:rsidR="006C57D8" w:rsidRDefault="006C57D8" w:rsidP="006C57D8">
            <w:pPr>
              <w:jc w:val="center"/>
            </w:pPr>
            <w:r>
              <w:t>22</w:t>
            </w:r>
          </w:p>
          <w:p w14:paraId="34A3D1B7" w14:textId="77777777" w:rsidR="006C57D8" w:rsidRDefault="006C57D8" w:rsidP="006C57D8">
            <w:pPr>
              <w:jc w:val="center"/>
            </w:pPr>
            <w:r>
              <w:t>(16.5)</w:t>
            </w:r>
          </w:p>
          <w:p w14:paraId="0BB13A24" w14:textId="77777777" w:rsidR="006C57D8" w:rsidRDefault="006C57D8" w:rsidP="006C57D8">
            <w:pPr>
              <w:jc w:val="center"/>
            </w:pPr>
          </w:p>
        </w:tc>
        <w:tc>
          <w:tcPr>
            <w:tcW w:w="1178" w:type="dxa"/>
          </w:tcPr>
          <w:p w14:paraId="291036B2" w14:textId="77777777" w:rsidR="006C57D8" w:rsidRDefault="006C57D8" w:rsidP="006C57D8">
            <w:pPr>
              <w:jc w:val="center"/>
            </w:pPr>
            <w:r>
              <w:t>380</w:t>
            </w:r>
          </w:p>
          <w:p w14:paraId="6E0F064E" w14:textId="77777777" w:rsidR="006C57D8" w:rsidRDefault="006C57D8" w:rsidP="006C57D8">
            <w:pPr>
              <w:jc w:val="center"/>
            </w:pPr>
            <w:r>
              <w:t>(32%)</w:t>
            </w:r>
          </w:p>
          <w:p w14:paraId="5171CEA7" w14:textId="77777777" w:rsidR="006C57D8" w:rsidRDefault="006C57D8" w:rsidP="006C57D8">
            <w:pPr>
              <w:jc w:val="center"/>
            </w:pPr>
          </w:p>
        </w:tc>
      </w:tr>
      <w:tr w:rsidR="006C57D8" w14:paraId="5A9CDFF2" w14:textId="77777777" w:rsidTr="006C57D8">
        <w:tc>
          <w:tcPr>
            <w:tcW w:w="3085" w:type="dxa"/>
          </w:tcPr>
          <w:p w14:paraId="42315847" w14:textId="77777777" w:rsidR="006C57D8" w:rsidRDefault="006C57D8" w:rsidP="006C57D8">
            <w:r>
              <w:t>Transportation for Life</w:t>
            </w:r>
          </w:p>
        </w:tc>
        <w:tc>
          <w:tcPr>
            <w:tcW w:w="1276" w:type="dxa"/>
          </w:tcPr>
          <w:p w14:paraId="7A146332" w14:textId="77777777" w:rsidR="006C57D8" w:rsidRDefault="006C57D8" w:rsidP="006C57D8">
            <w:pPr>
              <w:jc w:val="center"/>
            </w:pPr>
            <w:r>
              <w:t>14</w:t>
            </w:r>
          </w:p>
          <w:p w14:paraId="7B2E7956" w14:textId="77777777" w:rsidR="006C57D8" w:rsidRDefault="006C57D8" w:rsidP="006C57D8">
            <w:pPr>
              <w:jc w:val="center"/>
            </w:pPr>
            <w:r>
              <w:t>(1%)</w:t>
            </w:r>
          </w:p>
        </w:tc>
        <w:tc>
          <w:tcPr>
            <w:tcW w:w="1843" w:type="dxa"/>
            <w:vMerge w:val="restart"/>
          </w:tcPr>
          <w:p w14:paraId="40F1C1F7" w14:textId="77777777" w:rsidR="006C57D8" w:rsidRDefault="006C57D8" w:rsidP="006C57D8">
            <w:pPr>
              <w:jc w:val="center"/>
            </w:pPr>
            <w:r>
              <w:t>329</w:t>
            </w:r>
          </w:p>
          <w:p w14:paraId="15AB05F6" w14:textId="77777777" w:rsidR="006C57D8" w:rsidRDefault="006C57D8" w:rsidP="006C57D8">
            <w:pPr>
              <w:jc w:val="center"/>
            </w:pPr>
            <w:r>
              <w:t>(25%)</w:t>
            </w:r>
          </w:p>
        </w:tc>
        <w:tc>
          <w:tcPr>
            <w:tcW w:w="1134" w:type="dxa"/>
          </w:tcPr>
          <w:p w14:paraId="5D10710D" w14:textId="77777777" w:rsidR="006C57D8" w:rsidRDefault="006C57D8" w:rsidP="006C57D8">
            <w:pPr>
              <w:jc w:val="center"/>
            </w:pPr>
            <w:r>
              <w:t>0</w:t>
            </w:r>
          </w:p>
        </w:tc>
        <w:tc>
          <w:tcPr>
            <w:tcW w:w="1178" w:type="dxa"/>
          </w:tcPr>
          <w:p w14:paraId="5ACDF2E3" w14:textId="77777777" w:rsidR="006C57D8" w:rsidRDefault="006C57D8" w:rsidP="006C57D8">
            <w:pPr>
              <w:jc w:val="center"/>
            </w:pPr>
            <w:r>
              <w:t>14</w:t>
            </w:r>
          </w:p>
          <w:p w14:paraId="29EBCF46" w14:textId="77777777" w:rsidR="006C57D8" w:rsidRDefault="006C57D8" w:rsidP="006C57D8">
            <w:pPr>
              <w:jc w:val="center"/>
            </w:pPr>
            <w:r>
              <w:t>(1%)</w:t>
            </w:r>
          </w:p>
          <w:p w14:paraId="567B7DFB" w14:textId="77777777" w:rsidR="006C57D8" w:rsidRDefault="006C57D8" w:rsidP="006C57D8">
            <w:pPr>
              <w:jc w:val="center"/>
            </w:pPr>
          </w:p>
        </w:tc>
      </w:tr>
      <w:tr w:rsidR="006C57D8" w14:paraId="3A15B4E7" w14:textId="77777777" w:rsidTr="006C57D8">
        <w:tc>
          <w:tcPr>
            <w:tcW w:w="3085" w:type="dxa"/>
          </w:tcPr>
          <w:p w14:paraId="4F4837FB" w14:textId="77777777" w:rsidR="006C57D8" w:rsidRDefault="006C57D8" w:rsidP="006C57D8">
            <w:r>
              <w:t>Transportation for 14 years</w:t>
            </w:r>
          </w:p>
        </w:tc>
        <w:tc>
          <w:tcPr>
            <w:tcW w:w="1276" w:type="dxa"/>
          </w:tcPr>
          <w:p w14:paraId="209875B2" w14:textId="77777777" w:rsidR="006C57D8" w:rsidRDefault="006C57D8" w:rsidP="006C57D8">
            <w:pPr>
              <w:jc w:val="center"/>
            </w:pPr>
            <w:r>
              <w:t>63</w:t>
            </w:r>
          </w:p>
          <w:p w14:paraId="13E7FB84" w14:textId="77777777" w:rsidR="006C57D8" w:rsidRDefault="006C57D8" w:rsidP="006C57D8">
            <w:pPr>
              <w:jc w:val="center"/>
            </w:pPr>
            <w:r>
              <w:t>(5%)</w:t>
            </w:r>
          </w:p>
        </w:tc>
        <w:tc>
          <w:tcPr>
            <w:tcW w:w="1843" w:type="dxa"/>
            <w:vMerge/>
          </w:tcPr>
          <w:p w14:paraId="45A8C63A" w14:textId="77777777" w:rsidR="006C57D8" w:rsidRDefault="006C57D8" w:rsidP="006C57D8">
            <w:pPr>
              <w:jc w:val="center"/>
            </w:pPr>
          </w:p>
        </w:tc>
        <w:tc>
          <w:tcPr>
            <w:tcW w:w="1134" w:type="dxa"/>
          </w:tcPr>
          <w:p w14:paraId="76C97FA6" w14:textId="77777777" w:rsidR="006C57D8" w:rsidRDefault="006C57D8" w:rsidP="006C57D8">
            <w:pPr>
              <w:jc w:val="center"/>
            </w:pPr>
            <w:r>
              <w:t>9</w:t>
            </w:r>
          </w:p>
          <w:p w14:paraId="2B3308AE" w14:textId="77777777" w:rsidR="006C57D8" w:rsidRDefault="006C57D8" w:rsidP="006C57D8">
            <w:pPr>
              <w:jc w:val="center"/>
            </w:pPr>
            <w:r>
              <w:t>(7%)</w:t>
            </w:r>
          </w:p>
          <w:p w14:paraId="5FE0BAF9" w14:textId="77777777" w:rsidR="006C57D8" w:rsidRDefault="006C57D8" w:rsidP="006C57D8">
            <w:pPr>
              <w:jc w:val="center"/>
            </w:pPr>
          </w:p>
        </w:tc>
        <w:tc>
          <w:tcPr>
            <w:tcW w:w="1178" w:type="dxa"/>
          </w:tcPr>
          <w:p w14:paraId="4B71D266" w14:textId="77777777" w:rsidR="006C57D8" w:rsidRDefault="006C57D8" w:rsidP="006C57D8">
            <w:pPr>
              <w:jc w:val="center"/>
            </w:pPr>
            <w:r>
              <w:t>54</w:t>
            </w:r>
          </w:p>
          <w:p w14:paraId="68A17B21" w14:textId="77777777" w:rsidR="006C57D8" w:rsidRDefault="006C57D8" w:rsidP="006C57D8">
            <w:pPr>
              <w:jc w:val="center"/>
            </w:pPr>
            <w:r>
              <w:t>(5%)</w:t>
            </w:r>
          </w:p>
          <w:p w14:paraId="15FD864B" w14:textId="77777777" w:rsidR="006C57D8" w:rsidRDefault="006C57D8" w:rsidP="006C57D8">
            <w:pPr>
              <w:jc w:val="center"/>
            </w:pPr>
          </w:p>
        </w:tc>
      </w:tr>
      <w:tr w:rsidR="006C57D8" w14:paraId="2D97893F" w14:textId="77777777" w:rsidTr="006C57D8">
        <w:tc>
          <w:tcPr>
            <w:tcW w:w="3085" w:type="dxa"/>
          </w:tcPr>
          <w:p w14:paraId="6DC9CA99" w14:textId="77777777" w:rsidR="006C57D8" w:rsidRDefault="006C57D8" w:rsidP="006C57D8">
            <w:r>
              <w:t>Transportation for 7 years</w:t>
            </w:r>
          </w:p>
        </w:tc>
        <w:tc>
          <w:tcPr>
            <w:tcW w:w="1276" w:type="dxa"/>
          </w:tcPr>
          <w:p w14:paraId="716E30C3" w14:textId="77777777" w:rsidR="006C57D8" w:rsidRDefault="006C57D8" w:rsidP="006C57D8">
            <w:pPr>
              <w:jc w:val="center"/>
            </w:pPr>
            <w:r>
              <w:t>252</w:t>
            </w:r>
          </w:p>
          <w:p w14:paraId="2B51994F" w14:textId="77777777" w:rsidR="006C57D8" w:rsidRDefault="006C57D8" w:rsidP="006C57D8">
            <w:pPr>
              <w:jc w:val="center"/>
            </w:pPr>
            <w:r>
              <w:t>(19%)</w:t>
            </w:r>
          </w:p>
        </w:tc>
        <w:tc>
          <w:tcPr>
            <w:tcW w:w="1843" w:type="dxa"/>
            <w:vMerge/>
          </w:tcPr>
          <w:p w14:paraId="747337E6" w14:textId="77777777" w:rsidR="006C57D8" w:rsidRDefault="006C57D8" w:rsidP="006C57D8">
            <w:pPr>
              <w:jc w:val="center"/>
            </w:pPr>
          </w:p>
        </w:tc>
        <w:tc>
          <w:tcPr>
            <w:tcW w:w="1134" w:type="dxa"/>
          </w:tcPr>
          <w:p w14:paraId="03346859" w14:textId="77777777" w:rsidR="006C57D8" w:rsidRDefault="006C57D8" w:rsidP="006C57D8">
            <w:pPr>
              <w:jc w:val="center"/>
            </w:pPr>
            <w:r>
              <w:t>8</w:t>
            </w:r>
          </w:p>
          <w:p w14:paraId="0C93C021" w14:textId="77777777" w:rsidR="006C57D8" w:rsidRDefault="006C57D8" w:rsidP="006C57D8">
            <w:pPr>
              <w:jc w:val="center"/>
            </w:pPr>
            <w:r>
              <w:t>(6%)</w:t>
            </w:r>
          </w:p>
          <w:p w14:paraId="1B3E6266" w14:textId="77777777" w:rsidR="006C57D8" w:rsidRDefault="006C57D8" w:rsidP="006C57D8">
            <w:pPr>
              <w:jc w:val="center"/>
            </w:pPr>
          </w:p>
        </w:tc>
        <w:tc>
          <w:tcPr>
            <w:tcW w:w="1178" w:type="dxa"/>
          </w:tcPr>
          <w:p w14:paraId="43519433" w14:textId="77777777" w:rsidR="006C57D8" w:rsidRDefault="006C57D8" w:rsidP="006C57D8">
            <w:pPr>
              <w:jc w:val="center"/>
            </w:pPr>
            <w:r>
              <w:t>244</w:t>
            </w:r>
          </w:p>
          <w:p w14:paraId="2BAF391D" w14:textId="77777777" w:rsidR="006C57D8" w:rsidRDefault="006C57D8" w:rsidP="006C57D8">
            <w:pPr>
              <w:jc w:val="center"/>
            </w:pPr>
            <w:r>
              <w:t>(21%)</w:t>
            </w:r>
          </w:p>
          <w:p w14:paraId="7C2EE1C0" w14:textId="77777777" w:rsidR="006C57D8" w:rsidRDefault="006C57D8" w:rsidP="006C57D8">
            <w:pPr>
              <w:jc w:val="center"/>
            </w:pPr>
          </w:p>
        </w:tc>
      </w:tr>
      <w:tr w:rsidR="006C57D8" w14:paraId="67B6C326" w14:textId="77777777" w:rsidTr="006C57D8">
        <w:tc>
          <w:tcPr>
            <w:tcW w:w="3085" w:type="dxa"/>
          </w:tcPr>
          <w:p w14:paraId="29791187" w14:textId="77777777" w:rsidR="006C57D8" w:rsidRDefault="006C57D8" w:rsidP="006C57D8">
            <w:r>
              <w:t>Imprisonment for 24 months and over</w:t>
            </w:r>
          </w:p>
        </w:tc>
        <w:tc>
          <w:tcPr>
            <w:tcW w:w="1276" w:type="dxa"/>
          </w:tcPr>
          <w:p w14:paraId="24A22124" w14:textId="77777777" w:rsidR="006C57D8" w:rsidRDefault="006C57D8" w:rsidP="006C57D8">
            <w:pPr>
              <w:jc w:val="center"/>
            </w:pPr>
            <w:r>
              <w:t>110</w:t>
            </w:r>
          </w:p>
          <w:p w14:paraId="7ADE2549" w14:textId="77777777" w:rsidR="006C57D8" w:rsidRDefault="006C57D8" w:rsidP="006C57D8">
            <w:pPr>
              <w:jc w:val="center"/>
            </w:pPr>
            <w:r>
              <w:t>(8.5%)</w:t>
            </w:r>
          </w:p>
        </w:tc>
        <w:tc>
          <w:tcPr>
            <w:tcW w:w="1843" w:type="dxa"/>
            <w:vMerge w:val="restart"/>
          </w:tcPr>
          <w:p w14:paraId="37495F1A" w14:textId="77777777" w:rsidR="006C57D8" w:rsidRDefault="006C57D8" w:rsidP="006C57D8">
            <w:pPr>
              <w:jc w:val="center"/>
            </w:pPr>
            <w:r>
              <w:t>531</w:t>
            </w:r>
          </w:p>
          <w:p w14:paraId="14D22C69" w14:textId="77777777" w:rsidR="006C57D8" w:rsidRDefault="006C57D8" w:rsidP="006C57D8">
            <w:pPr>
              <w:jc w:val="center"/>
            </w:pPr>
            <w:r>
              <w:t>(40.5%)</w:t>
            </w:r>
          </w:p>
        </w:tc>
        <w:tc>
          <w:tcPr>
            <w:tcW w:w="1134" w:type="dxa"/>
          </w:tcPr>
          <w:p w14:paraId="5DFE61F4" w14:textId="77777777" w:rsidR="006C57D8" w:rsidRDefault="006C57D8" w:rsidP="006C57D8">
            <w:pPr>
              <w:jc w:val="center"/>
            </w:pPr>
            <w:r>
              <w:t>10</w:t>
            </w:r>
          </w:p>
          <w:p w14:paraId="0300B51F" w14:textId="77777777" w:rsidR="006C57D8" w:rsidRDefault="006C57D8" w:rsidP="006C57D8">
            <w:pPr>
              <w:jc w:val="center"/>
            </w:pPr>
            <w:r>
              <w:t>(7.5%)</w:t>
            </w:r>
          </w:p>
          <w:p w14:paraId="4D3113D1" w14:textId="77777777" w:rsidR="006C57D8" w:rsidRDefault="006C57D8" w:rsidP="006C57D8">
            <w:pPr>
              <w:jc w:val="center"/>
            </w:pPr>
          </w:p>
        </w:tc>
        <w:tc>
          <w:tcPr>
            <w:tcW w:w="1178" w:type="dxa"/>
          </w:tcPr>
          <w:p w14:paraId="6ED2238C" w14:textId="77777777" w:rsidR="006C57D8" w:rsidRDefault="006C57D8" w:rsidP="006C57D8">
            <w:pPr>
              <w:jc w:val="center"/>
            </w:pPr>
            <w:r>
              <w:t>100</w:t>
            </w:r>
          </w:p>
          <w:p w14:paraId="0EAAB4EA" w14:textId="77777777" w:rsidR="006C57D8" w:rsidRDefault="006C57D8" w:rsidP="006C57D8">
            <w:pPr>
              <w:jc w:val="center"/>
            </w:pPr>
            <w:r>
              <w:t>(8.5%)</w:t>
            </w:r>
          </w:p>
          <w:p w14:paraId="45EB1CA5" w14:textId="77777777" w:rsidR="006C57D8" w:rsidRDefault="006C57D8" w:rsidP="006C57D8">
            <w:pPr>
              <w:jc w:val="center"/>
            </w:pPr>
          </w:p>
        </w:tc>
      </w:tr>
      <w:tr w:rsidR="006C57D8" w14:paraId="1A035E61" w14:textId="77777777" w:rsidTr="006C57D8">
        <w:tc>
          <w:tcPr>
            <w:tcW w:w="3085" w:type="dxa"/>
          </w:tcPr>
          <w:p w14:paraId="69698782" w14:textId="77777777" w:rsidR="006C57D8" w:rsidRDefault="006C57D8" w:rsidP="006C57D8">
            <w:r>
              <w:t>Imprisonment for 12-18 months</w:t>
            </w:r>
          </w:p>
        </w:tc>
        <w:tc>
          <w:tcPr>
            <w:tcW w:w="1276" w:type="dxa"/>
          </w:tcPr>
          <w:p w14:paraId="108065FD" w14:textId="77777777" w:rsidR="006C57D8" w:rsidRDefault="006C57D8" w:rsidP="006C57D8">
            <w:pPr>
              <w:jc w:val="center"/>
            </w:pPr>
            <w:r>
              <w:t>137</w:t>
            </w:r>
          </w:p>
          <w:p w14:paraId="28D553A2" w14:textId="77777777" w:rsidR="006C57D8" w:rsidRDefault="006C57D8" w:rsidP="006C57D8">
            <w:pPr>
              <w:jc w:val="center"/>
            </w:pPr>
            <w:r>
              <w:t>(10%)</w:t>
            </w:r>
          </w:p>
        </w:tc>
        <w:tc>
          <w:tcPr>
            <w:tcW w:w="1843" w:type="dxa"/>
            <w:vMerge/>
          </w:tcPr>
          <w:p w14:paraId="1AF63496" w14:textId="77777777" w:rsidR="006C57D8" w:rsidRDefault="006C57D8" w:rsidP="006C57D8">
            <w:pPr>
              <w:jc w:val="center"/>
            </w:pPr>
          </w:p>
        </w:tc>
        <w:tc>
          <w:tcPr>
            <w:tcW w:w="1134" w:type="dxa"/>
          </w:tcPr>
          <w:p w14:paraId="724C23F3" w14:textId="77777777" w:rsidR="006C57D8" w:rsidRDefault="006C57D8" w:rsidP="006C57D8">
            <w:pPr>
              <w:jc w:val="center"/>
            </w:pPr>
            <w:r>
              <w:t>26</w:t>
            </w:r>
          </w:p>
          <w:p w14:paraId="6E0C09BA" w14:textId="77777777" w:rsidR="006C57D8" w:rsidRDefault="006C57D8" w:rsidP="006C57D8">
            <w:pPr>
              <w:jc w:val="center"/>
            </w:pPr>
            <w:r>
              <w:t>(19.5%)</w:t>
            </w:r>
          </w:p>
        </w:tc>
        <w:tc>
          <w:tcPr>
            <w:tcW w:w="1178" w:type="dxa"/>
          </w:tcPr>
          <w:p w14:paraId="5EDE0680" w14:textId="77777777" w:rsidR="006C57D8" w:rsidRDefault="006C57D8" w:rsidP="006C57D8">
            <w:pPr>
              <w:jc w:val="center"/>
            </w:pPr>
            <w:r>
              <w:t>111</w:t>
            </w:r>
          </w:p>
          <w:p w14:paraId="06AC45EE" w14:textId="77777777" w:rsidR="006C57D8" w:rsidRDefault="006C57D8" w:rsidP="006C57D8">
            <w:pPr>
              <w:jc w:val="center"/>
            </w:pPr>
            <w:r>
              <w:t>(9%)</w:t>
            </w:r>
          </w:p>
        </w:tc>
      </w:tr>
      <w:tr w:rsidR="006C57D8" w14:paraId="6185C4EA" w14:textId="77777777" w:rsidTr="006C57D8">
        <w:tc>
          <w:tcPr>
            <w:tcW w:w="3085" w:type="dxa"/>
          </w:tcPr>
          <w:p w14:paraId="0E487B72" w14:textId="77777777" w:rsidR="006C57D8" w:rsidRDefault="006C57D8" w:rsidP="006C57D8">
            <w:pPr>
              <w:jc w:val="both"/>
            </w:pPr>
            <w:r>
              <w:t>Imprisonment for less than a year</w:t>
            </w:r>
          </w:p>
        </w:tc>
        <w:tc>
          <w:tcPr>
            <w:tcW w:w="1276" w:type="dxa"/>
          </w:tcPr>
          <w:p w14:paraId="0DB46D7A" w14:textId="77777777" w:rsidR="006C57D8" w:rsidRDefault="006C57D8" w:rsidP="006C57D8">
            <w:pPr>
              <w:jc w:val="center"/>
            </w:pPr>
            <w:r>
              <w:t>284</w:t>
            </w:r>
          </w:p>
          <w:p w14:paraId="5DD8A97A" w14:textId="77777777" w:rsidR="006C57D8" w:rsidRDefault="006C57D8" w:rsidP="006C57D8">
            <w:pPr>
              <w:jc w:val="center"/>
            </w:pPr>
            <w:r>
              <w:t>(22%)</w:t>
            </w:r>
          </w:p>
        </w:tc>
        <w:tc>
          <w:tcPr>
            <w:tcW w:w="1843" w:type="dxa"/>
            <w:vMerge/>
          </w:tcPr>
          <w:p w14:paraId="5BEA8416" w14:textId="77777777" w:rsidR="006C57D8" w:rsidRDefault="006C57D8" w:rsidP="006C57D8">
            <w:pPr>
              <w:jc w:val="center"/>
            </w:pPr>
          </w:p>
        </w:tc>
        <w:tc>
          <w:tcPr>
            <w:tcW w:w="1134" w:type="dxa"/>
          </w:tcPr>
          <w:p w14:paraId="4EDA26DE" w14:textId="77777777" w:rsidR="006C57D8" w:rsidRDefault="006C57D8" w:rsidP="006C57D8">
            <w:pPr>
              <w:jc w:val="center"/>
            </w:pPr>
            <w:r>
              <w:t>55</w:t>
            </w:r>
          </w:p>
          <w:p w14:paraId="2211FB8D" w14:textId="77777777" w:rsidR="006C57D8" w:rsidRDefault="006C57D8" w:rsidP="006C57D8">
            <w:pPr>
              <w:jc w:val="center"/>
            </w:pPr>
            <w:r>
              <w:t>(41%)</w:t>
            </w:r>
          </w:p>
          <w:p w14:paraId="26EC0F17" w14:textId="77777777" w:rsidR="006C57D8" w:rsidRDefault="006C57D8" w:rsidP="006C57D8">
            <w:pPr>
              <w:jc w:val="center"/>
            </w:pPr>
          </w:p>
        </w:tc>
        <w:tc>
          <w:tcPr>
            <w:tcW w:w="1178" w:type="dxa"/>
          </w:tcPr>
          <w:p w14:paraId="490BA80B" w14:textId="77777777" w:rsidR="006C57D8" w:rsidRDefault="006C57D8" w:rsidP="006C57D8">
            <w:pPr>
              <w:jc w:val="center"/>
            </w:pPr>
            <w:r>
              <w:t>229</w:t>
            </w:r>
          </w:p>
          <w:p w14:paraId="5F3A7ACC" w14:textId="77777777" w:rsidR="006C57D8" w:rsidRDefault="006C57D8" w:rsidP="006C57D8">
            <w:pPr>
              <w:jc w:val="center"/>
            </w:pPr>
            <w:r>
              <w:t>(19%)</w:t>
            </w:r>
          </w:p>
        </w:tc>
      </w:tr>
      <w:tr w:rsidR="006C57D8" w14:paraId="14A859A7" w14:textId="77777777" w:rsidTr="006C57D8">
        <w:tc>
          <w:tcPr>
            <w:tcW w:w="3085" w:type="dxa"/>
          </w:tcPr>
          <w:p w14:paraId="63E038EC" w14:textId="77777777" w:rsidR="006C57D8" w:rsidRDefault="006C57D8" w:rsidP="006C57D8">
            <w:pPr>
              <w:jc w:val="both"/>
            </w:pPr>
            <w:r>
              <w:t>Other</w:t>
            </w:r>
          </w:p>
        </w:tc>
        <w:tc>
          <w:tcPr>
            <w:tcW w:w="1276" w:type="dxa"/>
          </w:tcPr>
          <w:p w14:paraId="2BF48F80" w14:textId="77777777" w:rsidR="006C57D8" w:rsidRDefault="006C57D8" w:rsidP="006C57D8">
            <w:pPr>
              <w:jc w:val="center"/>
            </w:pPr>
            <w:r>
              <w:t>10</w:t>
            </w:r>
          </w:p>
          <w:p w14:paraId="6031EC34" w14:textId="77777777" w:rsidR="006C57D8" w:rsidRDefault="006C57D8" w:rsidP="006C57D8">
            <w:pPr>
              <w:jc w:val="center"/>
            </w:pPr>
            <w:r>
              <w:t>(1%)</w:t>
            </w:r>
          </w:p>
        </w:tc>
        <w:tc>
          <w:tcPr>
            <w:tcW w:w="1843" w:type="dxa"/>
          </w:tcPr>
          <w:p w14:paraId="763F6466" w14:textId="77777777" w:rsidR="006C57D8" w:rsidRDefault="006C57D8" w:rsidP="006C57D8">
            <w:pPr>
              <w:jc w:val="center"/>
            </w:pPr>
            <w:r>
              <w:t>10</w:t>
            </w:r>
          </w:p>
          <w:p w14:paraId="78FB9144" w14:textId="77777777" w:rsidR="006C57D8" w:rsidRDefault="006C57D8" w:rsidP="006C57D8">
            <w:pPr>
              <w:jc w:val="center"/>
            </w:pPr>
            <w:r>
              <w:t>(1%)</w:t>
            </w:r>
          </w:p>
        </w:tc>
        <w:tc>
          <w:tcPr>
            <w:tcW w:w="1134" w:type="dxa"/>
          </w:tcPr>
          <w:p w14:paraId="6600D36A" w14:textId="77777777" w:rsidR="006C57D8" w:rsidRDefault="006C57D8" w:rsidP="006C57D8">
            <w:pPr>
              <w:jc w:val="center"/>
            </w:pPr>
            <w:r>
              <w:t>2</w:t>
            </w:r>
          </w:p>
          <w:p w14:paraId="48BB7122" w14:textId="77777777" w:rsidR="006C57D8" w:rsidRDefault="006C57D8" w:rsidP="006C57D8">
            <w:pPr>
              <w:jc w:val="center"/>
            </w:pPr>
            <w:r>
              <w:t>(1.5%)</w:t>
            </w:r>
          </w:p>
        </w:tc>
        <w:tc>
          <w:tcPr>
            <w:tcW w:w="1178" w:type="dxa"/>
          </w:tcPr>
          <w:p w14:paraId="59F00735" w14:textId="77777777" w:rsidR="006C57D8" w:rsidRDefault="006C57D8" w:rsidP="006C57D8">
            <w:pPr>
              <w:jc w:val="center"/>
            </w:pPr>
            <w:r>
              <w:t>8</w:t>
            </w:r>
          </w:p>
          <w:p w14:paraId="68515EA2" w14:textId="77777777" w:rsidR="006C57D8" w:rsidRDefault="006C57D8" w:rsidP="006C57D8">
            <w:pPr>
              <w:jc w:val="center"/>
            </w:pPr>
            <w:r>
              <w:t>(1%)</w:t>
            </w:r>
          </w:p>
        </w:tc>
      </w:tr>
      <w:tr w:rsidR="006C57D8" w14:paraId="49AE0324" w14:textId="77777777" w:rsidTr="006C57D8">
        <w:tc>
          <w:tcPr>
            <w:tcW w:w="3085" w:type="dxa"/>
          </w:tcPr>
          <w:p w14:paraId="19840541" w14:textId="77777777" w:rsidR="006C57D8" w:rsidRPr="00475C6B" w:rsidRDefault="006C57D8" w:rsidP="006C57D8">
            <w:pPr>
              <w:jc w:val="right"/>
              <w:rPr>
                <w:b/>
              </w:rPr>
            </w:pPr>
            <w:r w:rsidRPr="00475C6B">
              <w:rPr>
                <w:b/>
              </w:rPr>
              <w:t>Total</w:t>
            </w:r>
          </w:p>
        </w:tc>
        <w:tc>
          <w:tcPr>
            <w:tcW w:w="1276" w:type="dxa"/>
          </w:tcPr>
          <w:p w14:paraId="78CA612E" w14:textId="77777777" w:rsidR="006C57D8" w:rsidRDefault="006C57D8" w:rsidP="006C57D8">
            <w:pPr>
              <w:jc w:val="center"/>
            </w:pPr>
            <w:r>
              <w:t>1310</w:t>
            </w:r>
          </w:p>
          <w:p w14:paraId="06FF285C" w14:textId="77777777" w:rsidR="006C57D8" w:rsidRDefault="006C57D8" w:rsidP="006C57D8">
            <w:pPr>
              <w:jc w:val="center"/>
            </w:pPr>
            <w:r>
              <w:t>(100%)</w:t>
            </w:r>
          </w:p>
        </w:tc>
        <w:tc>
          <w:tcPr>
            <w:tcW w:w="1843" w:type="dxa"/>
          </w:tcPr>
          <w:p w14:paraId="05BC14A3" w14:textId="77777777" w:rsidR="006C57D8" w:rsidRDefault="006C57D8" w:rsidP="006C57D8">
            <w:pPr>
              <w:jc w:val="center"/>
            </w:pPr>
            <w:r>
              <w:t>1310</w:t>
            </w:r>
          </w:p>
          <w:p w14:paraId="1B706212" w14:textId="77777777" w:rsidR="006C57D8" w:rsidRDefault="006C57D8" w:rsidP="006C57D8">
            <w:pPr>
              <w:jc w:val="center"/>
            </w:pPr>
            <w:r>
              <w:t>(100%)</w:t>
            </w:r>
          </w:p>
        </w:tc>
        <w:tc>
          <w:tcPr>
            <w:tcW w:w="1134" w:type="dxa"/>
          </w:tcPr>
          <w:p w14:paraId="416F1080" w14:textId="77777777" w:rsidR="006C57D8" w:rsidRDefault="006C57D8" w:rsidP="006C57D8">
            <w:pPr>
              <w:jc w:val="center"/>
            </w:pPr>
            <w:r>
              <w:t>133</w:t>
            </w:r>
          </w:p>
          <w:p w14:paraId="5CD8CEAC" w14:textId="77777777" w:rsidR="006C57D8" w:rsidRDefault="006C57D8" w:rsidP="006C57D8">
            <w:pPr>
              <w:jc w:val="center"/>
            </w:pPr>
            <w:r>
              <w:t>(100%)</w:t>
            </w:r>
          </w:p>
        </w:tc>
        <w:tc>
          <w:tcPr>
            <w:tcW w:w="1178" w:type="dxa"/>
          </w:tcPr>
          <w:p w14:paraId="047D83F7" w14:textId="77777777" w:rsidR="006C57D8" w:rsidRDefault="006C57D8" w:rsidP="006C57D8">
            <w:pPr>
              <w:jc w:val="center"/>
            </w:pPr>
            <w:r>
              <w:t>1177</w:t>
            </w:r>
          </w:p>
          <w:p w14:paraId="5E3C4849" w14:textId="77777777" w:rsidR="006C57D8" w:rsidRDefault="006C57D8" w:rsidP="006C57D8">
            <w:pPr>
              <w:jc w:val="center"/>
            </w:pPr>
            <w:r>
              <w:t>(100%)</w:t>
            </w:r>
          </w:p>
        </w:tc>
      </w:tr>
    </w:tbl>
    <w:p w14:paraId="3BE908B0" w14:textId="5676D940" w:rsidR="00550AD2" w:rsidRPr="004E7367" w:rsidRDefault="00550AD2" w:rsidP="006C57D8">
      <w:pPr>
        <w:spacing w:after="0" w:line="360" w:lineRule="auto"/>
        <w:jc w:val="both"/>
        <w:rPr>
          <w:color w:val="FF0000"/>
          <w:lang w:val="en-GB"/>
        </w:rPr>
      </w:pPr>
    </w:p>
    <w:p w14:paraId="75B2CBF6" w14:textId="452F99CE" w:rsidR="00DB3E10" w:rsidRPr="00DB3E10" w:rsidRDefault="008F1897" w:rsidP="00DB3E10">
      <w:pPr>
        <w:spacing w:after="0" w:line="360" w:lineRule="auto"/>
        <w:jc w:val="both"/>
        <w:rPr>
          <w:lang w:val="en-GB"/>
        </w:rPr>
      </w:pPr>
      <w:r w:rsidRPr="007A58D1">
        <w:rPr>
          <w:lang w:val="en-GB"/>
        </w:rPr>
        <w:t xml:space="preserve">The most notable feature of figure </w:t>
      </w:r>
      <w:r w:rsidR="007A58D1" w:rsidRPr="007A58D1">
        <w:rPr>
          <w:lang w:val="en-GB"/>
        </w:rPr>
        <w:t xml:space="preserve">4 </w:t>
      </w:r>
      <w:r w:rsidR="009D7D5A">
        <w:rPr>
          <w:lang w:val="en-GB"/>
        </w:rPr>
        <w:t>is</w:t>
      </w:r>
      <w:r w:rsidR="007A58D1" w:rsidRPr="007A58D1">
        <w:rPr>
          <w:lang w:val="en-GB"/>
        </w:rPr>
        <w:t xml:space="preserve"> the relatively low numbers of persons both sentenced to death and, most importantly, executed. Of the sentences passed by the Chester Great Sessions, 40.5% were for periods of imprisonment, most often for a period of less than a year. In contrast, s</w:t>
      </w:r>
      <w:r w:rsidR="00026A95" w:rsidRPr="007A58D1">
        <w:rPr>
          <w:lang w:val="en-GB"/>
        </w:rPr>
        <w:t>entences of transportation and death were passed less often</w:t>
      </w:r>
      <w:r w:rsidR="00FE0715">
        <w:rPr>
          <w:lang w:val="en-GB"/>
        </w:rPr>
        <w:t xml:space="preserve"> (25% and 33.5% respectively)</w:t>
      </w:r>
      <w:r w:rsidR="00026A95" w:rsidRPr="007A58D1">
        <w:rPr>
          <w:lang w:val="en-GB"/>
        </w:rPr>
        <w:t xml:space="preserve">, </w:t>
      </w:r>
      <w:r w:rsidR="007A6523" w:rsidRPr="007A58D1">
        <w:rPr>
          <w:lang w:val="en-GB"/>
        </w:rPr>
        <w:t xml:space="preserve">and broadly there was an inverse relationship between the severity of sentence and the number of </w:t>
      </w:r>
      <w:r w:rsidR="00FE0715">
        <w:rPr>
          <w:lang w:val="en-GB"/>
        </w:rPr>
        <w:t xml:space="preserve">persons on whom it was passed. Thus, </w:t>
      </w:r>
      <w:r w:rsidR="006755E3">
        <w:rPr>
          <w:lang w:val="en-GB"/>
        </w:rPr>
        <w:t>over two-and-a-half times</w:t>
      </w:r>
      <w:r w:rsidR="007A6523" w:rsidRPr="007A58D1">
        <w:rPr>
          <w:lang w:val="en-GB"/>
        </w:rPr>
        <w:t xml:space="preserve"> as many persons received a sentence of imprisonment of one year or less than of two years or more, </w:t>
      </w:r>
      <w:r w:rsidR="006755E3">
        <w:rPr>
          <w:lang w:val="en-GB"/>
        </w:rPr>
        <w:t>eighteen</w:t>
      </w:r>
      <w:r w:rsidR="007A6523" w:rsidRPr="007A58D1">
        <w:rPr>
          <w:lang w:val="en-GB"/>
        </w:rPr>
        <w:t xml:space="preserve">-times more were transported for seven years than for life, and, as will be discussed further below, </w:t>
      </w:r>
      <w:r w:rsidR="00DB572A" w:rsidRPr="007A58D1">
        <w:rPr>
          <w:lang w:val="en-GB"/>
        </w:rPr>
        <w:t>less than a tenth</w:t>
      </w:r>
      <w:r w:rsidR="007A6523" w:rsidRPr="007A58D1">
        <w:rPr>
          <w:lang w:val="en-GB"/>
        </w:rPr>
        <w:t xml:space="preserve"> of those sentenced to death were subsequently executed.</w:t>
      </w:r>
      <w:r w:rsidR="007A58D1">
        <w:rPr>
          <w:lang w:val="en-GB"/>
        </w:rPr>
        <w:t xml:space="preserve"> </w:t>
      </w:r>
      <w:r w:rsidR="00520506" w:rsidRPr="00DB3E10">
        <w:rPr>
          <w:lang w:val="en-GB"/>
        </w:rPr>
        <w:t xml:space="preserve">This should not, however, be seen as evidence of leniency on the part of the Justices, but, rather, reflects the types of offence for which </w:t>
      </w:r>
      <w:r w:rsidR="00F27F61">
        <w:rPr>
          <w:lang w:val="en-GB"/>
        </w:rPr>
        <w:t>males</w:t>
      </w:r>
      <w:r w:rsidR="00520506" w:rsidRPr="00DB3E10">
        <w:rPr>
          <w:lang w:val="en-GB"/>
        </w:rPr>
        <w:t xml:space="preserve"> and </w:t>
      </w:r>
      <w:r w:rsidR="00F27F61">
        <w:rPr>
          <w:lang w:val="en-GB"/>
        </w:rPr>
        <w:t>females</w:t>
      </w:r>
      <w:r w:rsidR="00520506" w:rsidRPr="00DB3E10">
        <w:rPr>
          <w:lang w:val="en-GB"/>
        </w:rPr>
        <w:t xml:space="preserve"> were most commonly tried in the county. Almost all of those convicted of the </w:t>
      </w:r>
      <w:r w:rsidR="00DB3E10" w:rsidRPr="00DB3E10">
        <w:rPr>
          <w:lang w:val="en-GB"/>
        </w:rPr>
        <w:t xml:space="preserve">larceny, an offence that, as noted previously, comprised just over 43% of indictments, were sentenced to either a </w:t>
      </w:r>
      <w:r w:rsidR="00DB3E10" w:rsidRPr="00DB3E10">
        <w:rPr>
          <w:lang w:val="en-GB"/>
        </w:rPr>
        <w:lastRenderedPageBreak/>
        <w:t xml:space="preserve">period of imprisonment or transportation (58.5% and 37% respectively). Similarly, 80% and 50% of those convicted of manslaughter and larceny from the person </w:t>
      </w:r>
      <w:r w:rsidR="00F4404C">
        <w:rPr>
          <w:lang w:val="en-GB"/>
        </w:rPr>
        <w:t xml:space="preserve">respectively </w:t>
      </w:r>
      <w:r w:rsidR="00DB3E10" w:rsidRPr="00DB3E10">
        <w:rPr>
          <w:lang w:val="en-GB"/>
        </w:rPr>
        <w:t xml:space="preserve">received a sentence of imprisonment. </w:t>
      </w:r>
    </w:p>
    <w:p w14:paraId="012859B6" w14:textId="04065C62" w:rsidR="00520506" w:rsidRPr="004E7367" w:rsidRDefault="00520506" w:rsidP="00CB1AD4">
      <w:pPr>
        <w:spacing w:after="0" w:line="360" w:lineRule="auto"/>
        <w:jc w:val="both"/>
        <w:rPr>
          <w:color w:val="FF0000"/>
          <w:lang w:val="en-GB"/>
        </w:rPr>
      </w:pPr>
    </w:p>
    <w:p w14:paraId="6D94C19F" w14:textId="13AA128B" w:rsidR="00B52BBF" w:rsidRDefault="00F97B24" w:rsidP="00594556">
      <w:pPr>
        <w:spacing w:after="0" w:line="360" w:lineRule="auto"/>
        <w:jc w:val="both"/>
        <w:rPr>
          <w:lang w:val="en-GB"/>
        </w:rPr>
      </w:pPr>
      <w:r>
        <w:rPr>
          <w:color w:val="FF0000"/>
          <w:lang w:val="en-GB"/>
        </w:rPr>
        <w:tab/>
      </w:r>
      <w:r w:rsidRPr="00030ADB">
        <w:rPr>
          <w:lang w:val="en-GB"/>
        </w:rPr>
        <w:t>Another significant trend illustrated in the figure is difference in the sentences passed on males and females respectively.</w:t>
      </w:r>
      <w:r w:rsidR="00030ADB" w:rsidRPr="00030ADB">
        <w:rPr>
          <w:lang w:val="en-GB"/>
        </w:rPr>
        <w:t xml:space="preserve"> </w:t>
      </w:r>
      <w:r w:rsidR="000651D4" w:rsidRPr="00030ADB">
        <w:rPr>
          <w:lang w:val="en-GB"/>
        </w:rPr>
        <w:t xml:space="preserve">68% of females received a prison sentence, the majority (41%) for less than a year. In contrast, only </w:t>
      </w:r>
      <w:r w:rsidR="006755E3">
        <w:rPr>
          <w:lang w:val="en-GB"/>
        </w:rPr>
        <w:t>36.5</w:t>
      </w:r>
      <w:r w:rsidR="000651D4" w:rsidRPr="00030ADB">
        <w:rPr>
          <w:lang w:val="en-GB"/>
        </w:rPr>
        <w:t>% of males received a prison sentence, although, again, most were imprisoned for less than a year. Males were also significantly more likely to receive a sentence of transportation, with double the percentage of males being transported than that of females. Finally, as will be discussed below, males were also more likely to both receive a sentence of death and be executed than females.</w:t>
      </w:r>
      <w:r w:rsidR="00D47E3E" w:rsidRPr="00030ADB">
        <w:rPr>
          <w:lang w:val="en-GB"/>
        </w:rPr>
        <w:t xml:space="preserve"> </w:t>
      </w:r>
      <w:r w:rsidR="00E619DE">
        <w:rPr>
          <w:lang w:val="en-GB"/>
        </w:rPr>
        <w:t xml:space="preserve">On one level, this discrepancy could be explained in relation to the different types of offences for which males and females were </w:t>
      </w:r>
      <w:r w:rsidR="004E44C5">
        <w:rPr>
          <w:lang w:val="en-GB"/>
        </w:rPr>
        <w:t xml:space="preserve">indicted and convicted. As noted previously, males were typically indicted </w:t>
      </w:r>
      <w:r w:rsidR="00111269">
        <w:rPr>
          <w:lang w:val="en-GB"/>
        </w:rPr>
        <w:t>for those offences which caused most concern among contemporaries and which consequently attracted the heaviest sentences, such as burglary, housebreaking, robbery and horse stealing.</w:t>
      </w:r>
      <w:r w:rsidR="00111269">
        <w:rPr>
          <w:rStyle w:val="EndnoteReference"/>
          <w:lang w:val="en-GB"/>
        </w:rPr>
        <w:endnoteReference w:id="30"/>
      </w:r>
      <w:r w:rsidR="00111269">
        <w:rPr>
          <w:lang w:val="en-GB"/>
        </w:rPr>
        <w:t xml:space="preserve"> Of the 400 persons indicted for these four offences, less than 3% were females. Similarly, males made up the majority </w:t>
      </w:r>
      <w:r w:rsidR="00594556">
        <w:rPr>
          <w:lang w:val="en-GB"/>
        </w:rPr>
        <w:t xml:space="preserve">(95%) </w:t>
      </w:r>
      <w:r w:rsidR="00111269">
        <w:rPr>
          <w:lang w:val="en-GB"/>
        </w:rPr>
        <w:t>of those indicted for crimes against the person</w:t>
      </w:r>
      <w:r w:rsidR="00594556">
        <w:rPr>
          <w:lang w:val="en-GB"/>
        </w:rPr>
        <w:t>. That said, however, there is evidence to suggest that even when convicted of the same offence, females</w:t>
      </w:r>
      <w:r w:rsidR="00D47E3E" w:rsidRPr="004E7367">
        <w:rPr>
          <w:color w:val="FF0000"/>
          <w:lang w:val="en-GB"/>
        </w:rPr>
        <w:t xml:space="preserve"> </w:t>
      </w:r>
      <w:r w:rsidR="00A07B6C" w:rsidRPr="00C17633">
        <w:rPr>
          <w:lang w:val="en-GB"/>
        </w:rPr>
        <w:t>tended to receive</w:t>
      </w:r>
      <w:r w:rsidR="00D47E3E" w:rsidRPr="00C17633">
        <w:rPr>
          <w:lang w:val="en-GB"/>
        </w:rPr>
        <w:t xml:space="preserve"> lighter sentences than males.</w:t>
      </w:r>
      <w:r w:rsidR="009D7D5A">
        <w:rPr>
          <w:rStyle w:val="EndnoteReference"/>
          <w:lang w:val="en-GB"/>
        </w:rPr>
        <w:endnoteReference w:id="31"/>
      </w:r>
      <w:r w:rsidR="00D47E3E" w:rsidRPr="00C17633">
        <w:rPr>
          <w:lang w:val="en-GB"/>
        </w:rPr>
        <w:t xml:space="preserve"> </w:t>
      </w:r>
      <w:r w:rsidR="00D47E3E" w:rsidRPr="00030ADB">
        <w:rPr>
          <w:lang w:val="en-GB"/>
        </w:rPr>
        <w:t xml:space="preserve">Thus, </w:t>
      </w:r>
      <w:r w:rsidR="006016FC" w:rsidRPr="00030ADB">
        <w:rPr>
          <w:lang w:val="en-GB"/>
        </w:rPr>
        <w:t xml:space="preserve">of the 24 females convicted of monetary offences, 71% were sentenced to a period of imprisonment compared to 19% of males, while 29% were sentenced to transportation compared to 32% of </w:t>
      </w:r>
      <w:r w:rsidR="00F27F61">
        <w:rPr>
          <w:lang w:val="en-GB"/>
        </w:rPr>
        <w:t>males</w:t>
      </w:r>
      <w:r w:rsidR="006016FC" w:rsidRPr="00030ADB">
        <w:rPr>
          <w:lang w:val="en-GB"/>
        </w:rPr>
        <w:t xml:space="preserve">. No females were sentenced to death for this crime, although eighteen </w:t>
      </w:r>
      <w:r w:rsidR="00F27F61">
        <w:rPr>
          <w:lang w:val="en-GB"/>
        </w:rPr>
        <w:t>males</w:t>
      </w:r>
      <w:r w:rsidR="006016FC" w:rsidRPr="00030ADB">
        <w:rPr>
          <w:lang w:val="en-GB"/>
        </w:rPr>
        <w:t xml:space="preserve"> were thus sentenced, with one subsequently being executed.</w:t>
      </w:r>
      <w:r w:rsidR="006016FC">
        <w:rPr>
          <w:lang w:val="en-GB"/>
        </w:rPr>
        <w:t xml:space="preserve"> Similarly, </w:t>
      </w:r>
      <w:r w:rsidR="00D47E3E" w:rsidRPr="00030ADB">
        <w:rPr>
          <w:lang w:val="en-GB"/>
        </w:rPr>
        <w:t xml:space="preserve">of the </w:t>
      </w:r>
      <w:r w:rsidR="00E2125D" w:rsidRPr="00030ADB">
        <w:rPr>
          <w:lang w:val="en-GB"/>
        </w:rPr>
        <w:t>78</w:t>
      </w:r>
      <w:r w:rsidR="00D47E3E" w:rsidRPr="00030ADB">
        <w:rPr>
          <w:lang w:val="en-GB"/>
        </w:rPr>
        <w:t xml:space="preserve"> females convicted of larceny, </w:t>
      </w:r>
      <w:r w:rsidR="00E2125D" w:rsidRPr="00030ADB">
        <w:rPr>
          <w:lang w:val="en-GB"/>
        </w:rPr>
        <w:t>70.5</w:t>
      </w:r>
      <w:r w:rsidR="00D47E3E" w:rsidRPr="00030ADB">
        <w:rPr>
          <w:lang w:val="en-GB"/>
        </w:rPr>
        <w:t xml:space="preserve">% were sentenced to a period of imprisonment, </w:t>
      </w:r>
      <w:r w:rsidR="00C2268B" w:rsidRPr="00030ADB">
        <w:rPr>
          <w:lang w:val="en-GB"/>
        </w:rPr>
        <w:t>10</w:t>
      </w:r>
      <w:r w:rsidR="00D47E3E" w:rsidRPr="00030ADB">
        <w:rPr>
          <w:lang w:val="en-GB"/>
        </w:rPr>
        <w:t xml:space="preserve">% to transportation, and </w:t>
      </w:r>
      <w:r w:rsidR="00C2268B" w:rsidRPr="00030ADB">
        <w:rPr>
          <w:lang w:val="en-GB"/>
        </w:rPr>
        <w:t>17</w:t>
      </w:r>
      <w:r w:rsidR="00D47E3E" w:rsidRPr="00030ADB">
        <w:rPr>
          <w:lang w:val="en-GB"/>
        </w:rPr>
        <w:t xml:space="preserve">% to death. </w:t>
      </w:r>
      <w:r w:rsidR="00A07B6C" w:rsidRPr="00030ADB">
        <w:rPr>
          <w:lang w:val="en-GB"/>
        </w:rPr>
        <w:t xml:space="preserve">In contrast, of the </w:t>
      </w:r>
      <w:r w:rsidR="00C2268B" w:rsidRPr="00030ADB">
        <w:rPr>
          <w:lang w:val="en-GB"/>
        </w:rPr>
        <w:t>610</w:t>
      </w:r>
      <w:r w:rsidR="00D47E3E" w:rsidRPr="00030ADB">
        <w:rPr>
          <w:lang w:val="en-GB"/>
        </w:rPr>
        <w:t xml:space="preserve"> males convicted of this crime </w:t>
      </w:r>
      <w:r w:rsidR="00C2268B" w:rsidRPr="00030ADB">
        <w:rPr>
          <w:lang w:val="en-GB"/>
        </w:rPr>
        <w:t>57</w:t>
      </w:r>
      <w:r w:rsidR="00D47E3E" w:rsidRPr="00030ADB">
        <w:rPr>
          <w:lang w:val="en-GB"/>
        </w:rPr>
        <w:t xml:space="preserve">% were sentenced to a period of imprisonment, </w:t>
      </w:r>
      <w:r w:rsidR="00C2268B" w:rsidRPr="00030ADB">
        <w:rPr>
          <w:lang w:val="en-GB"/>
        </w:rPr>
        <w:t>41</w:t>
      </w:r>
      <w:r w:rsidR="00D47E3E" w:rsidRPr="00030ADB">
        <w:rPr>
          <w:lang w:val="en-GB"/>
        </w:rPr>
        <w:t xml:space="preserve">% to transportation and </w:t>
      </w:r>
      <w:r w:rsidR="00C2268B" w:rsidRPr="00030ADB">
        <w:rPr>
          <w:lang w:val="en-GB"/>
        </w:rPr>
        <w:t>10</w:t>
      </w:r>
      <w:r w:rsidR="00D47E3E" w:rsidRPr="00030ADB">
        <w:rPr>
          <w:lang w:val="en-GB"/>
        </w:rPr>
        <w:t xml:space="preserve">% to death. </w:t>
      </w:r>
      <w:r w:rsidR="006016FC">
        <w:rPr>
          <w:lang w:val="en-GB"/>
        </w:rPr>
        <w:t xml:space="preserve">No one, however, was subsequently executed for this crime. </w:t>
      </w:r>
      <w:r w:rsidR="00843C2D">
        <w:rPr>
          <w:lang w:val="en-GB"/>
        </w:rPr>
        <w:t xml:space="preserve">The same can be said for the crime of receiving stolen goods, where of the four </w:t>
      </w:r>
      <w:r w:rsidR="00F27F61">
        <w:rPr>
          <w:lang w:val="en-GB"/>
        </w:rPr>
        <w:t>females</w:t>
      </w:r>
      <w:r w:rsidR="00843C2D">
        <w:rPr>
          <w:lang w:val="en-GB"/>
        </w:rPr>
        <w:t xml:space="preserve"> found guilty</w:t>
      </w:r>
      <w:r w:rsidR="000F5BC8">
        <w:rPr>
          <w:lang w:val="en-GB"/>
        </w:rPr>
        <w:t xml:space="preserve">, </w:t>
      </w:r>
      <w:r w:rsidR="007B3864">
        <w:rPr>
          <w:lang w:val="en-GB"/>
        </w:rPr>
        <w:t xml:space="preserve">two were imprisoned and two </w:t>
      </w:r>
      <w:r w:rsidR="000F5BC8">
        <w:rPr>
          <w:lang w:val="en-GB"/>
        </w:rPr>
        <w:t xml:space="preserve">transported. In contrast, of the 26 males convicted of this offence, 81% were sentenced to a period of </w:t>
      </w:r>
      <w:r w:rsidR="000F5BC8">
        <w:rPr>
          <w:lang w:val="en-GB"/>
        </w:rPr>
        <w:lastRenderedPageBreak/>
        <w:t xml:space="preserve">transportation. </w:t>
      </w:r>
      <w:r w:rsidR="003F67CB">
        <w:rPr>
          <w:lang w:val="en-GB"/>
        </w:rPr>
        <w:t>Several reasons may be suggested for why this was the case. Primarily, the relatively few females who appeared before the Great Sessions were typically tried for low level forms of property crime, and not for crimes against the person or those forms of property crime that generated alarm among contemporaries. They were thus, as King suggests, less likely to be seen as ‘troublesome’, and more likely to be se</w:t>
      </w:r>
      <w:r w:rsidR="00B52BBF">
        <w:rPr>
          <w:lang w:val="en-GB"/>
        </w:rPr>
        <w:t>en as ‘troubled’: “</w:t>
      </w:r>
      <w:r w:rsidR="003F67CB">
        <w:rPr>
          <w:lang w:val="en-GB"/>
        </w:rPr>
        <w:t xml:space="preserve">as more vulnerable </w:t>
      </w:r>
      <w:r w:rsidR="00B52BBF">
        <w:rPr>
          <w:lang w:val="en-GB"/>
        </w:rPr>
        <w:t>and more motivated by economic difficulties not of their own making”.</w:t>
      </w:r>
      <w:r w:rsidR="00B52BBF">
        <w:rPr>
          <w:rStyle w:val="EndnoteReference"/>
          <w:lang w:val="en-GB"/>
        </w:rPr>
        <w:endnoteReference w:id="32"/>
      </w:r>
      <w:r w:rsidR="00B52BBF">
        <w:rPr>
          <w:lang w:val="en-GB"/>
        </w:rPr>
        <w:t xml:space="preserve"> More broadly, again following King, female offenders may have benefitted from what he terms “a distinctly gendered set of attitudes and policy decisions” during this period, characterised by an increasing sensitivity to the use of physical punishment and concomitant increase in sympathy </w:t>
      </w:r>
      <w:r w:rsidR="00711E1E">
        <w:rPr>
          <w:lang w:val="en-GB"/>
        </w:rPr>
        <w:t>towards the accused; this latter trend “manifest[ing] itself particularly early and particularly strongly in relation to female offenders”.</w:t>
      </w:r>
      <w:r w:rsidR="00711E1E">
        <w:rPr>
          <w:rStyle w:val="EndnoteReference"/>
          <w:lang w:val="en-GB"/>
        </w:rPr>
        <w:endnoteReference w:id="33"/>
      </w:r>
    </w:p>
    <w:p w14:paraId="37B0D8BB" w14:textId="77777777" w:rsidR="00711E1E" w:rsidRDefault="00711E1E" w:rsidP="00594556">
      <w:pPr>
        <w:spacing w:after="0" w:line="360" w:lineRule="auto"/>
        <w:jc w:val="both"/>
        <w:rPr>
          <w:lang w:val="en-GB"/>
        </w:rPr>
      </w:pPr>
    </w:p>
    <w:p w14:paraId="3BCF2379" w14:textId="77777777" w:rsidR="006B5C2F" w:rsidRDefault="006B5C2F" w:rsidP="00CB1AD4">
      <w:pPr>
        <w:spacing w:after="0" w:line="360" w:lineRule="auto"/>
        <w:jc w:val="both"/>
        <w:rPr>
          <w:i/>
          <w:color w:val="FF0000"/>
          <w:sz w:val="28"/>
          <w:szCs w:val="28"/>
          <w:lang w:val="en-GB"/>
        </w:rPr>
      </w:pPr>
    </w:p>
    <w:p w14:paraId="3A479C5E" w14:textId="484D8D92" w:rsidR="004E547F" w:rsidRPr="00E25EF5" w:rsidRDefault="004E547F" w:rsidP="00CB1AD4">
      <w:pPr>
        <w:spacing w:after="0" w:line="360" w:lineRule="auto"/>
        <w:jc w:val="both"/>
        <w:rPr>
          <w:i/>
          <w:sz w:val="28"/>
          <w:szCs w:val="28"/>
          <w:lang w:val="en-GB"/>
        </w:rPr>
      </w:pPr>
      <w:r w:rsidRPr="00E25EF5">
        <w:rPr>
          <w:i/>
          <w:sz w:val="28"/>
          <w:szCs w:val="28"/>
          <w:lang w:val="en-GB"/>
        </w:rPr>
        <w:t>Death Sentences</w:t>
      </w:r>
    </w:p>
    <w:p w14:paraId="22B2DAD4" w14:textId="77777777" w:rsidR="004E547F" w:rsidRDefault="004E547F" w:rsidP="00CB1AD4">
      <w:pPr>
        <w:spacing w:after="0" w:line="360" w:lineRule="auto"/>
        <w:jc w:val="both"/>
        <w:rPr>
          <w:color w:val="FF0000"/>
          <w:lang w:val="en-GB"/>
        </w:rPr>
      </w:pPr>
    </w:p>
    <w:p w14:paraId="2E41CA3B" w14:textId="6D8F7A78" w:rsidR="005F6060" w:rsidRDefault="007B3864" w:rsidP="00CB1AD4">
      <w:pPr>
        <w:spacing w:after="0" w:line="360" w:lineRule="auto"/>
        <w:jc w:val="both"/>
        <w:rPr>
          <w:lang w:val="en-GB"/>
        </w:rPr>
      </w:pPr>
      <w:r>
        <w:rPr>
          <w:lang w:val="en-GB"/>
        </w:rPr>
        <w:t xml:space="preserve">Only </w:t>
      </w:r>
      <w:r w:rsidR="00825624">
        <w:rPr>
          <w:lang w:val="en-GB"/>
        </w:rPr>
        <w:t>a</w:t>
      </w:r>
      <w:r w:rsidR="005F6060">
        <w:rPr>
          <w:lang w:val="en-GB"/>
        </w:rPr>
        <w:t xml:space="preserve">round one-third of the persons convicted at the Chester Great Sessions, then, received a sentence of death, </w:t>
      </w:r>
      <w:r w:rsidR="001D4589">
        <w:rPr>
          <w:lang w:val="en-GB"/>
        </w:rPr>
        <w:t>less than one in ten</w:t>
      </w:r>
      <w:r w:rsidR="005F6060">
        <w:rPr>
          <w:lang w:val="en-GB"/>
        </w:rPr>
        <w:t xml:space="preserve"> of whom were subsequently executed</w:t>
      </w:r>
      <w:r w:rsidR="001D4589">
        <w:rPr>
          <w:lang w:val="en-GB"/>
        </w:rPr>
        <w:t xml:space="preserve"> (9%). The number of persons sentenced to death or </w:t>
      </w:r>
      <w:r w:rsidR="00825624">
        <w:rPr>
          <w:lang w:val="en-GB"/>
        </w:rPr>
        <w:t>pardoned</w:t>
      </w:r>
      <w:r w:rsidR="001D4589">
        <w:rPr>
          <w:lang w:val="en-GB"/>
        </w:rPr>
        <w:t xml:space="preserve"> by year is shown in figure 5 below:</w:t>
      </w:r>
    </w:p>
    <w:p w14:paraId="5ACEEC09" w14:textId="77777777" w:rsidR="00E25EF5" w:rsidRPr="004E7367" w:rsidRDefault="00E25EF5" w:rsidP="00CB1AD4">
      <w:pPr>
        <w:spacing w:after="0" w:line="360" w:lineRule="auto"/>
        <w:jc w:val="both"/>
        <w:rPr>
          <w:color w:val="FF0000"/>
          <w:lang w:val="en-GB"/>
        </w:rPr>
      </w:pPr>
    </w:p>
    <w:p w14:paraId="7820077A" w14:textId="0A0145B1" w:rsidR="004E547F" w:rsidRPr="005F6060" w:rsidRDefault="004E7367" w:rsidP="005F6060">
      <w:pPr>
        <w:spacing w:after="0" w:line="360" w:lineRule="auto"/>
        <w:jc w:val="both"/>
        <w:rPr>
          <w:lang w:val="en-GB"/>
        </w:rPr>
      </w:pPr>
      <w:r w:rsidRPr="005F6060">
        <w:rPr>
          <w:b/>
          <w:lang w:val="en-GB"/>
        </w:rPr>
        <w:t xml:space="preserve">Figure </w:t>
      </w:r>
      <w:r w:rsidR="00D10C3C" w:rsidRPr="005F6060">
        <w:rPr>
          <w:b/>
          <w:lang w:val="en-GB"/>
        </w:rPr>
        <w:t>5</w:t>
      </w:r>
      <w:r w:rsidRPr="005F6060">
        <w:rPr>
          <w:b/>
          <w:lang w:val="en-GB"/>
        </w:rPr>
        <w:t>:</w:t>
      </w:r>
      <w:r w:rsidRPr="005F6060">
        <w:rPr>
          <w:lang w:val="en-GB"/>
        </w:rPr>
        <w:t xml:space="preserve"> the number of criminals sentenced to death executed or </w:t>
      </w:r>
      <w:r w:rsidR="00825624">
        <w:rPr>
          <w:lang w:val="en-GB"/>
        </w:rPr>
        <w:t>pardoned</w:t>
      </w:r>
      <w:r w:rsidRPr="005F6060">
        <w:rPr>
          <w:lang w:val="en-GB"/>
        </w:rPr>
        <w:t xml:space="preserve"> at the Chester Great Sessions, 1805-30</w:t>
      </w:r>
    </w:p>
    <w:p w14:paraId="7FCBBCE4" w14:textId="77777777" w:rsidR="004E547F" w:rsidRPr="004E7367" w:rsidRDefault="004E547F" w:rsidP="00CB1AD4">
      <w:pPr>
        <w:spacing w:after="0" w:line="360" w:lineRule="auto"/>
        <w:jc w:val="both"/>
        <w:rPr>
          <w:i/>
          <w:color w:val="FF0000"/>
          <w:lang w:val="en-GB"/>
        </w:rPr>
      </w:pPr>
      <w:r w:rsidRPr="004E7367">
        <w:rPr>
          <w:i/>
          <w:noProof/>
          <w:color w:val="FF0000"/>
          <w:lang w:eastAsia="en-US"/>
        </w:rPr>
        <w:lastRenderedPageBreak/>
        <w:drawing>
          <wp:inline distT="0" distB="0" distL="0" distR="0" wp14:anchorId="3C1DB9BE" wp14:editId="09E9FB35">
            <wp:extent cx="5486400" cy="3015049"/>
            <wp:effectExtent l="0" t="0" r="25400" b="33020"/>
            <wp:docPr id="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300888" w14:textId="77777777" w:rsidR="004E547F" w:rsidRPr="004E7367" w:rsidRDefault="004E547F" w:rsidP="00CB1AD4">
      <w:pPr>
        <w:spacing w:after="0" w:line="360" w:lineRule="auto"/>
        <w:jc w:val="both"/>
        <w:rPr>
          <w:color w:val="FF0000"/>
          <w:lang w:val="en-GB"/>
        </w:rPr>
      </w:pPr>
    </w:p>
    <w:p w14:paraId="0C2354A9" w14:textId="3BF491E8" w:rsidR="00A967F2" w:rsidRPr="009D7859" w:rsidRDefault="001D4589" w:rsidP="00CB1AD4">
      <w:pPr>
        <w:spacing w:after="0" w:line="360" w:lineRule="auto"/>
        <w:jc w:val="both"/>
        <w:rPr>
          <w:lang w:val="en-GB"/>
        </w:rPr>
      </w:pPr>
      <w:r w:rsidRPr="001D4589">
        <w:rPr>
          <w:lang w:val="en-GB"/>
        </w:rPr>
        <w:t xml:space="preserve">As can be seen, </w:t>
      </w:r>
      <w:r w:rsidR="00A967F2" w:rsidRPr="001D4589">
        <w:rPr>
          <w:lang w:val="en-GB"/>
        </w:rPr>
        <w:t>the number of capital convictions increas</w:t>
      </w:r>
      <w:r w:rsidR="004C3924">
        <w:rPr>
          <w:lang w:val="en-GB"/>
        </w:rPr>
        <w:t xml:space="preserve">ed </w:t>
      </w:r>
      <w:r w:rsidR="00A967F2" w:rsidRPr="001D4589">
        <w:rPr>
          <w:lang w:val="en-GB"/>
        </w:rPr>
        <w:t xml:space="preserve">over the period </w:t>
      </w:r>
      <w:r w:rsidR="00FB131F" w:rsidRPr="001D4589">
        <w:rPr>
          <w:lang w:val="en-GB"/>
        </w:rPr>
        <w:t xml:space="preserve">more than tenfold </w:t>
      </w:r>
      <w:r w:rsidR="00A967F2" w:rsidRPr="001D4589">
        <w:rPr>
          <w:lang w:val="en-GB"/>
        </w:rPr>
        <w:t xml:space="preserve">from </w:t>
      </w:r>
      <w:r w:rsidR="00FB131F" w:rsidRPr="001D4589">
        <w:rPr>
          <w:lang w:val="en-GB"/>
        </w:rPr>
        <w:t>five in 1805 to 54 in 1829.</w:t>
      </w:r>
      <w:r w:rsidR="00445986" w:rsidRPr="001D4589">
        <w:rPr>
          <w:lang w:val="en-GB"/>
        </w:rPr>
        <w:t xml:space="preserve"> The number of capital convictions </w:t>
      </w:r>
      <w:r w:rsidR="00026A0F">
        <w:rPr>
          <w:lang w:val="en-GB"/>
        </w:rPr>
        <w:t xml:space="preserve">in Cheshire </w:t>
      </w:r>
      <w:r w:rsidR="00445986" w:rsidRPr="001D4589">
        <w:rPr>
          <w:lang w:val="en-GB"/>
        </w:rPr>
        <w:t xml:space="preserve">remained below twenty per year between 1805 and 1818, staying in single figures for eight of these fourteen years. In 1819, </w:t>
      </w:r>
      <w:r w:rsidRPr="001D4589">
        <w:rPr>
          <w:lang w:val="en-GB"/>
        </w:rPr>
        <w:t xml:space="preserve">the year in which Justice Marshall excoriated against what he claimed was ‘the rapid growth of vice and depravity in this county’, </w:t>
      </w:r>
      <w:r w:rsidR="00445986" w:rsidRPr="001D4589">
        <w:rPr>
          <w:lang w:val="en-GB"/>
        </w:rPr>
        <w:t xml:space="preserve">the number of capital convictions then rose rapidly to thirty, before falling again down to sixteen in 1820. Between 1821 and 1829, the number then fluctuated between a low of 15 (1821) and a high of 55 (1829). </w:t>
      </w:r>
      <w:r w:rsidR="004C3924">
        <w:rPr>
          <w:lang w:val="en-GB"/>
        </w:rPr>
        <w:t>The number of persons executed, however, remained relatively low throughout the period, ranging between a minimum of no executions and a maximum of six (in 1813) per year</w:t>
      </w:r>
      <w:r w:rsidR="009D7859">
        <w:rPr>
          <w:lang w:val="en-GB"/>
        </w:rPr>
        <w:t>.</w:t>
      </w:r>
      <w:r w:rsidR="009D7859" w:rsidRPr="00DE48F0">
        <w:rPr>
          <w:lang w:val="en-GB"/>
        </w:rPr>
        <w:t xml:space="preserve"> </w:t>
      </w:r>
      <w:r w:rsidR="00445986" w:rsidRPr="00DE48F0">
        <w:rPr>
          <w:lang w:val="en-GB"/>
        </w:rPr>
        <w:t xml:space="preserve">Indeed, even in the two peak years of capital convictions, there was not a commensurate increase in the number of executions, with only </w:t>
      </w:r>
      <w:r w:rsidR="0046092A" w:rsidRPr="00DE48F0">
        <w:rPr>
          <w:lang w:val="en-GB"/>
        </w:rPr>
        <w:t>three people being executed in 1822 out of 41 capital convictions and four persons being executed in 1829 out of 50 capital convictions</w:t>
      </w:r>
      <w:r w:rsidR="00445986" w:rsidRPr="00DE48F0">
        <w:rPr>
          <w:lang w:val="en-GB"/>
        </w:rPr>
        <w:t xml:space="preserve"> (</w:t>
      </w:r>
      <w:r w:rsidR="0046092A" w:rsidRPr="00DE48F0">
        <w:rPr>
          <w:lang w:val="en-GB"/>
        </w:rPr>
        <w:t>or 7% and 8% respectively</w:t>
      </w:r>
      <w:r w:rsidR="00445986" w:rsidRPr="00DE48F0">
        <w:rPr>
          <w:lang w:val="en-GB"/>
        </w:rPr>
        <w:t>)</w:t>
      </w:r>
      <w:r w:rsidR="00D338A0" w:rsidRPr="00DE48F0">
        <w:rPr>
          <w:lang w:val="en-GB"/>
        </w:rPr>
        <w:t>.</w:t>
      </w:r>
      <w:r w:rsidR="009D7859" w:rsidRPr="00DE48F0">
        <w:rPr>
          <w:lang w:val="en-GB"/>
        </w:rPr>
        <w:t xml:space="preserve"> </w:t>
      </w:r>
    </w:p>
    <w:p w14:paraId="421B8B40" w14:textId="77777777" w:rsidR="004E547F" w:rsidRDefault="004E547F" w:rsidP="00CB1AD4">
      <w:pPr>
        <w:spacing w:after="0" w:line="360" w:lineRule="auto"/>
        <w:jc w:val="both"/>
        <w:rPr>
          <w:color w:val="FF0000"/>
          <w:lang w:val="en-GB"/>
        </w:rPr>
      </w:pPr>
    </w:p>
    <w:p w14:paraId="44BAF010" w14:textId="764448D3" w:rsidR="00890178" w:rsidRDefault="00DE48F0" w:rsidP="00890178">
      <w:pPr>
        <w:spacing w:after="0" w:line="360" w:lineRule="auto"/>
        <w:jc w:val="both"/>
        <w:rPr>
          <w:lang w:val="en-GB"/>
        </w:rPr>
      </w:pPr>
      <w:r>
        <w:rPr>
          <w:color w:val="FF0000"/>
          <w:lang w:val="en-GB"/>
        </w:rPr>
        <w:tab/>
      </w:r>
      <w:r w:rsidRPr="00DE48F0">
        <w:rPr>
          <w:lang w:val="en-GB"/>
        </w:rPr>
        <w:t>This state of affairs was in no way peculiar to Cheshire, and</w:t>
      </w:r>
      <w:r w:rsidR="00264A30">
        <w:rPr>
          <w:lang w:val="en-GB"/>
        </w:rPr>
        <w:t>, in many ways, reflected trends across England and Wales</w:t>
      </w:r>
      <w:r w:rsidR="00331178">
        <w:rPr>
          <w:lang w:val="en-GB"/>
        </w:rPr>
        <w:t>, where b</w:t>
      </w:r>
      <w:r w:rsidR="008C03AC">
        <w:rPr>
          <w:lang w:val="en-GB"/>
        </w:rPr>
        <w:t>etween 1805 and 1830,</w:t>
      </w:r>
      <w:r w:rsidR="00450FB1">
        <w:rPr>
          <w:lang w:val="en-GB"/>
        </w:rPr>
        <w:t xml:space="preserve"> the number of capital convictions grew rapidly, increasing by over </w:t>
      </w:r>
      <w:r w:rsidR="004F380F">
        <w:rPr>
          <w:lang w:val="en-GB"/>
        </w:rPr>
        <w:t>300% from 320 to 1884</w:t>
      </w:r>
      <w:r w:rsidR="00331178">
        <w:rPr>
          <w:lang w:val="en-GB"/>
        </w:rPr>
        <w:t xml:space="preserve">. </w:t>
      </w:r>
      <w:r w:rsidR="005B50C7">
        <w:rPr>
          <w:lang w:val="en-GB"/>
        </w:rPr>
        <w:t xml:space="preserve">Indeed, at both the national level and in Cheshire, the majority of capital </w:t>
      </w:r>
      <w:r w:rsidR="005B50C7">
        <w:rPr>
          <w:lang w:val="en-GB"/>
        </w:rPr>
        <w:lastRenderedPageBreak/>
        <w:t xml:space="preserve">convictions took place after Peel began to rationalise the Bloody Code in 1823. Thus, the seven years between 1823 and 1830 saw </w:t>
      </w:r>
      <w:r w:rsidR="00890178">
        <w:rPr>
          <w:lang w:val="en-GB"/>
        </w:rPr>
        <w:t xml:space="preserve">just over half (51%) and around a quarter (23%) of the number of capital convictions and executions respectively across England and Wales for the entire twenty-five year period. In Cheshire, the same period witnessed 47% of all capital convictions and 26% of executions. Put another way, in a period of relative reform of the capital code, </w:t>
      </w:r>
      <w:r w:rsidR="00615068">
        <w:rPr>
          <w:lang w:val="en-GB"/>
        </w:rPr>
        <w:t xml:space="preserve">courts in </w:t>
      </w:r>
      <w:r w:rsidR="00890178">
        <w:rPr>
          <w:lang w:val="en-GB"/>
        </w:rPr>
        <w:t xml:space="preserve">England and Wales were still sending around a quarter of those capitally convicted to the gallows, and </w:t>
      </w:r>
      <w:r w:rsidR="00615068">
        <w:rPr>
          <w:lang w:val="en-GB"/>
        </w:rPr>
        <w:t xml:space="preserve">the </w:t>
      </w:r>
      <w:r w:rsidR="00890178">
        <w:rPr>
          <w:lang w:val="en-GB"/>
        </w:rPr>
        <w:t>Cheshire</w:t>
      </w:r>
      <w:r w:rsidR="00615068">
        <w:rPr>
          <w:lang w:val="en-GB"/>
        </w:rPr>
        <w:t xml:space="preserve"> Great Sessions</w:t>
      </w:r>
      <w:r w:rsidR="00890178">
        <w:rPr>
          <w:lang w:val="en-GB"/>
        </w:rPr>
        <w:t xml:space="preserve">, while condemning a slightly lower percentage of persons than the national level, nevertheless executed a slightly higher </w:t>
      </w:r>
      <w:r w:rsidR="00615068">
        <w:rPr>
          <w:lang w:val="en-GB"/>
        </w:rPr>
        <w:t>percentage of felons.</w:t>
      </w:r>
      <w:r w:rsidR="00615068">
        <w:rPr>
          <w:rStyle w:val="EndnoteReference"/>
          <w:lang w:val="en-GB"/>
        </w:rPr>
        <w:endnoteReference w:id="34"/>
      </w:r>
      <w:r w:rsidR="00615068">
        <w:rPr>
          <w:lang w:val="en-GB"/>
        </w:rPr>
        <w:t xml:space="preserve"> </w:t>
      </w:r>
    </w:p>
    <w:p w14:paraId="77210E1F" w14:textId="77777777" w:rsidR="005B50C7" w:rsidRDefault="005B50C7" w:rsidP="00CB1AD4">
      <w:pPr>
        <w:spacing w:after="0" w:line="360" w:lineRule="auto"/>
        <w:jc w:val="both"/>
        <w:rPr>
          <w:lang w:val="en-GB"/>
        </w:rPr>
      </w:pPr>
    </w:p>
    <w:p w14:paraId="576423B2" w14:textId="1A3F36E5" w:rsidR="00907FC9" w:rsidRDefault="00615068" w:rsidP="003E1512">
      <w:pPr>
        <w:spacing w:after="0" w:line="360" w:lineRule="auto"/>
        <w:ind w:firstLine="720"/>
        <w:jc w:val="both"/>
        <w:rPr>
          <w:lang w:val="en-GB"/>
        </w:rPr>
      </w:pPr>
      <w:r>
        <w:rPr>
          <w:lang w:val="en-GB"/>
        </w:rPr>
        <w:t xml:space="preserve">Similarly, </w:t>
      </w:r>
      <w:r w:rsidR="00331178">
        <w:rPr>
          <w:lang w:val="en-GB"/>
        </w:rPr>
        <w:t xml:space="preserve">the 91% of capitally convicted felons who escaped the </w:t>
      </w:r>
      <w:r w:rsidR="007B3864">
        <w:rPr>
          <w:lang w:val="en-GB"/>
        </w:rPr>
        <w:t>gallows</w:t>
      </w:r>
      <w:r w:rsidR="00331178">
        <w:rPr>
          <w:lang w:val="en-GB"/>
        </w:rPr>
        <w:t xml:space="preserve"> </w:t>
      </w:r>
      <w:r w:rsidR="00156B3C">
        <w:rPr>
          <w:lang w:val="en-GB"/>
        </w:rPr>
        <w:t xml:space="preserve">in the county </w:t>
      </w:r>
      <w:r w:rsidR="00331178">
        <w:rPr>
          <w:lang w:val="en-GB"/>
        </w:rPr>
        <w:t xml:space="preserve">is not out of step with pardoning patterns across England and Wales. </w:t>
      </w:r>
      <w:r>
        <w:rPr>
          <w:lang w:val="en-GB"/>
        </w:rPr>
        <w:t>Between 1805 and 1830</w:t>
      </w:r>
      <w:r w:rsidR="004F380F">
        <w:rPr>
          <w:lang w:val="en-GB"/>
        </w:rPr>
        <w:t xml:space="preserve">, </w:t>
      </w:r>
      <w:r w:rsidR="00331178">
        <w:rPr>
          <w:lang w:val="en-GB"/>
        </w:rPr>
        <w:t xml:space="preserve">around 9% of capitally convicted </w:t>
      </w:r>
      <w:r w:rsidR="00156B3C">
        <w:rPr>
          <w:lang w:val="en-GB"/>
        </w:rPr>
        <w:t xml:space="preserve">felons </w:t>
      </w:r>
      <w:r w:rsidR="00331178">
        <w:rPr>
          <w:lang w:val="en-GB"/>
        </w:rPr>
        <w:t xml:space="preserve">expiated for their crimes on the gallows, the estimated number of pardons across </w:t>
      </w:r>
      <w:r>
        <w:rPr>
          <w:lang w:val="en-GB"/>
        </w:rPr>
        <w:t>England a</w:t>
      </w:r>
      <w:r w:rsidR="00156B3C">
        <w:rPr>
          <w:lang w:val="en-GB"/>
        </w:rPr>
        <w:t xml:space="preserve">nd Wales increasing </w:t>
      </w:r>
      <w:r>
        <w:rPr>
          <w:lang w:val="en-GB"/>
        </w:rPr>
        <w:t>from 81 to 95%</w:t>
      </w:r>
      <w:r w:rsidR="00156B3C">
        <w:rPr>
          <w:lang w:val="en-GB"/>
        </w:rPr>
        <w:t>.</w:t>
      </w:r>
      <w:r w:rsidR="00AD1218">
        <w:rPr>
          <w:rStyle w:val="EndnoteReference"/>
          <w:lang w:val="en-GB"/>
        </w:rPr>
        <w:endnoteReference w:id="35"/>
      </w:r>
      <w:r w:rsidR="00AD1218">
        <w:rPr>
          <w:lang w:val="en-GB"/>
        </w:rPr>
        <w:t xml:space="preserve"> Over the same period, Cornwall and Kent, for example,</w:t>
      </w:r>
      <w:r w:rsidR="008C03AC">
        <w:rPr>
          <w:lang w:val="en-GB"/>
        </w:rPr>
        <w:t xml:space="preserve"> saw a higher level of pardons </w:t>
      </w:r>
      <w:r w:rsidR="00AD1218">
        <w:rPr>
          <w:lang w:val="en-GB"/>
        </w:rPr>
        <w:t>(10.5% and 10% respectively)</w:t>
      </w:r>
      <w:r w:rsidR="006755E3">
        <w:rPr>
          <w:lang w:val="en-GB"/>
        </w:rPr>
        <w:t xml:space="preserve">, while others such as Norfolk and Northumberland </w:t>
      </w:r>
      <w:r w:rsidR="00B8424D">
        <w:rPr>
          <w:lang w:val="en-GB"/>
        </w:rPr>
        <w:t>saw a lower level</w:t>
      </w:r>
      <w:r w:rsidR="00AD1218">
        <w:rPr>
          <w:lang w:val="en-GB"/>
        </w:rPr>
        <w:t xml:space="preserve"> (5% and 8.5% respectively)</w:t>
      </w:r>
      <w:r w:rsidR="00B8424D">
        <w:rPr>
          <w:lang w:val="en-GB"/>
        </w:rPr>
        <w:t>.</w:t>
      </w:r>
      <w:r w:rsidR="00B8424D">
        <w:rPr>
          <w:rStyle w:val="EndnoteReference"/>
          <w:lang w:val="en-GB"/>
        </w:rPr>
        <w:endnoteReference w:id="36"/>
      </w:r>
      <w:r w:rsidR="00AD1218">
        <w:rPr>
          <w:lang w:val="en-GB"/>
        </w:rPr>
        <w:t xml:space="preserve"> </w:t>
      </w:r>
      <w:r w:rsidR="00B8424D">
        <w:rPr>
          <w:lang w:val="en-GB"/>
        </w:rPr>
        <w:t xml:space="preserve">The percentage of convicts pardoned at the Old Bailey also increased slightly over a similar period (1806-1830 inclusive) from 88% to 90%, while in Wales 92% of those sentenced to death </w:t>
      </w:r>
      <w:r w:rsidR="00907FC9">
        <w:rPr>
          <w:lang w:val="en-GB"/>
        </w:rPr>
        <w:t xml:space="preserve">between 1805 and 1830 </w:t>
      </w:r>
      <w:r w:rsidR="00B8424D">
        <w:rPr>
          <w:lang w:val="en-GB"/>
        </w:rPr>
        <w:t>were pardoned.</w:t>
      </w:r>
      <w:r w:rsidR="00B8424D">
        <w:rPr>
          <w:rStyle w:val="EndnoteReference"/>
          <w:lang w:val="en-GB"/>
        </w:rPr>
        <w:endnoteReference w:id="37"/>
      </w:r>
      <w:r w:rsidR="00B8424D">
        <w:rPr>
          <w:lang w:val="en-GB"/>
        </w:rPr>
        <w:t xml:space="preserve"> </w:t>
      </w:r>
      <w:r w:rsidR="003E1512">
        <w:rPr>
          <w:lang w:val="en-GB"/>
        </w:rPr>
        <w:t>This would suggest that</w:t>
      </w:r>
      <w:r w:rsidR="00B8424D">
        <w:rPr>
          <w:lang w:val="en-GB"/>
        </w:rPr>
        <w:t xml:space="preserve">, </w:t>
      </w:r>
      <w:r w:rsidR="00B8424D" w:rsidRPr="00B8424D">
        <w:rPr>
          <w:i/>
          <w:lang w:val="en-GB"/>
        </w:rPr>
        <w:t>pace</w:t>
      </w:r>
      <w:r w:rsidR="00B8424D">
        <w:rPr>
          <w:lang w:val="en-GB"/>
        </w:rPr>
        <w:t xml:space="preserve"> King on the Unbloody Code, </w:t>
      </w:r>
      <w:r w:rsidR="00907FC9">
        <w:rPr>
          <w:lang w:val="en-GB"/>
        </w:rPr>
        <w:t xml:space="preserve">while there was a degree of regional variation in pardoning rates, it was by no means a stark one and would appear to have </w:t>
      </w:r>
      <w:r w:rsidR="003E1512">
        <w:rPr>
          <w:lang w:val="en-GB"/>
        </w:rPr>
        <w:t xml:space="preserve">narrowed </w:t>
      </w:r>
      <w:r w:rsidR="00933C7D">
        <w:rPr>
          <w:lang w:val="en-GB"/>
        </w:rPr>
        <w:t xml:space="preserve">significantly between the mid-eighteenth century and 1830. Indeed, it could be argued that the centre was coming to align with the practice of high pardoning rates </w:t>
      </w:r>
      <w:r w:rsidR="00FA3331">
        <w:rPr>
          <w:lang w:val="en-GB"/>
        </w:rPr>
        <w:t xml:space="preserve">found </w:t>
      </w:r>
      <w:r w:rsidR="00933C7D">
        <w:rPr>
          <w:lang w:val="en-GB"/>
        </w:rPr>
        <w:t xml:space="preserve">in the periphery. </w:t>
      </w:r>
      <w:r w:rsidR="00FA3331">
        <w:rPr>
          <w:lang w:val="en-GB"/>
        </w:rPr>
        <w:t>Thus, a</w:t>
      </w:r>
      <w:r w:rsidR="00933C7D">
        <w:rPr>
          <w:lang w:val="en-GB"/>
        </w:rPr>
        <w:t>s Gatrell has shown, between 1701 and 1725, around a third of capitally convicted felons at the Old Bailey were executed. By 1801-05, this had fallen to just 11%, and by 1826-30</w:t>
      </w:r>
      <w:r w:rsidR="003B397B">
        <w:rPr>
          <w:lang w:val="en-GB"/>
        </w:rPr>
        <w:t xml:space="preserve"> inclusive</w:t>
      </w:r>
      <w:r w:rsidR="00933C7D">
        <w:rPr>
          <w:lang w:val="en-GB"/>
        </w:rPr>
        <w:t>, only one in ten died on the gallows.</w:t>
      </w:r>
      <w:r w:rsidR="003B397B">
        <w:rPr>
          <w:rStyle w:val="EndnoteReference"/>
          <w:lang w:val="en-GB"/>
        </w:rPr>
        <w:endnoteReference w:id="38"/>
      </w:r>
    </w:p>
    <w:p w14:paraId="0037DFA2" w14:textId="77777777" w:rsidR="00907FC9" w:rsidRDefault="00907FC9" w:rsidP="00CB1AD4">
      <w:pPr>
        <w:spacing w:after="0" w:line="360" w:lineRule="auto"/>
        <w:jc w:val="both"/>
        <w:rPr>
          <w:lang w:val="en-GB"/>
        </w:rPr>
      </w:pPr>
    </w:p>
    <w:p w14:paraId="6BCF8994" w14:textId="59739A72" w:rsidR="00DE48F0" w:rsidRDefault="00907FC9" w:rsidP="00CB1AD4">
      <w:pPr>
        <w:spacing w:after="0" w:line="360" w:lineRule="auto"/>
        <w:jc w:val="both"/>
        <w:rPr>
          <w:lang w:val="en-GB"/>
        </w:rPr>
      </w:pPr>
      <w:r>
        <w:rPr>
          <w:lang w:val="en-GB"/>
        </w:rPr>
        <w:tab/>
        <w:t xml:space="preserve">Figure 6 below shows the number and percentage of persons executed or pardoned for each crime type at the Chester Great Sessions:  </w:t>
      </w:r>
    </w:p>
    <w:p w14:paraId="5BC294AA" w14:textId="77777777" w:rsidR="00907FC9" w:rsidRPr="004E7367" w:rsidRDefault="00907FC9" w:rsidP="00CB1AD4">
      <w:pPr>
        <w:spacing w:after="0" w:line="360" w:lineRule="auto"/>
        <w:jc w:val="both"/>
        <w:rPr>
          <w:color w:val="FF0000"/>
          <w:lang w:val="en-GB"/>
        </w:rPr>
      </w:pPr>
    </w:p>
    <w:p w14:paraId="09E739EF" w14:textId="658DAE91" w:rsidR="0046092A" w:rsidRPr="00907FC9" w:rsidRDefault="004E7367" w:rsidP="00CB1AD4">
      <w:pPr>
        <w:spacing w:after="0" w:line="360" w:lineRule="auto"/>
        <w:jc w:val="both"/>
        <w:rPr>
          <w:lang w:val="en-GB"/>
        </w:rPr>
      </w:pPr>
      <w:r w:rsidRPr="00907FC9">
        <w:rPr>
          <w:b/>
          <w:lang w:val="en-GB"/>
        </w:rPr>
        <w:t xml:space="preserve">Figure </w:t>
      </w:r>
      <w:r w:rsidR="00D10C3C" w:rsidRPr="00907FC9">
        <w:rPr>
          <w:b/>
          <w:lang w:val="en-GB"/>
        </w:rPr>
        <w:t>6</w:t>
      </w:r>
      <w:r w:rsidRPr="00907FC9">
        <w:rPr>
          <w:b/>
          <w:lang w:val="en-GB"/>
        </w:rPr>
        <w:t xml:space="preserve">: </w:t>
      </w:r>
      <w:r w:rsidRPr="00907FC9">
        <w:rPr>
          <w:lang w:val="en-GB"/>
        </w:rPr>
        <w:t xml:space="preserve">the number and percentage of those executed or </w:t>
      </w:r>
      <w:r w:rsidR="00B432C2" w:rsidRPr="00907FC9">
        <w:rPr>
          <w:lang w:val="en-GB"/>
        </w:rPr>
        <w:t>pardoned</w:t>
      </w:r>
      <w:r w:rsidRPr="00907FC9">
        <w:rPr>
          <w:lang w:val="en-GB"/>
        </w:rPr>
        <w:t xml:space="preserve"> for different crimes at the Chester Great Sessions, 1805-30.</w:t>
      </w:r>
    </w:p>
    <w:tbl>
      <w:tblPr>
        <w:tblStyle w:val="TableGrid"/>
        <w:tblW w:w="0" w:type="auto"/>
        <w:tblLook w:val="04A0" w:firstRow="1" w:lastRow="0" w:firstColumn="1" w:lastColumn="0" w:noHBand="0" w:noVBand="1"/>
      </w:tblPr>
      <w:tblGrid>
        <w:gridCol w:w="2733"/>
        <w:gridCol w:w="2014"/>
        <w:gridCol w:w="2081"/>
        <w:gridCol w:w="1688"/>
      </w:tblGrid>
      <w:tr w:rsidR="004E547F" w:rsidRPr="00907FC9" w14:paraId="4A649AF2" w14:textId="77777777" w:rsidTr="00B040ED">
        <w:tc>
          <w:tcPr>
            <w:tcW w:w="2733" w:type="dxa"/>
          </w:tcPr>
          <w:p w14:paraId="35B9F6AF" w14:textId="77777777" w:rsidR="004E547F" w:rsidRPr="00907FC9" w:rsidRDefault="004E547F" w:rsidP="00CB1AD4">
            <w:pPr>
              <w:spacing w:line="360" w:lineRule="auto"/>
              <w:jc w:val="both"/>
              <w:rPr>
                <w:b/>
                <w:lang w:val="en-GB"/>
              </w:rPr>
            </w:pPr>
            <w:r w:rsidRPr="00907FC9">
              <w:rPr>
                <w:b/>
                <w:lang w:val="en-GB"/>
              </w:rPr>
              <w:t>Crime Type</w:t>
            </w:r>
          </w:p>
        </w:tc>
        <w:tc>
          <w:tcPr>
            <w:tcW w:w="2014" w:type="dxa"/>
          </w:tcPr>
          <w:p w14:paraId="3A3968A6" w14:textId="5AED5D56" w:rsidR="004E547F" w:rsidRPr="00907FC9" w:rsidRDefault="00A2264D" w:rsidP="00CB1AD4">
            <w:pPr>
              <w:spacing w:line="360" w:lineRule="auto"/>
              <w:jc w:val="center"/>
              <w:rPr>
                <w:b/>
                <w:lang w:val="en-GB"/>
              </w:rPr>
            </w:pPr>
            <w:r>
              <w:rPr>
                <w:b/>
                <w:lang w:val="en-GB"/>
              </w:rPr>
              <w:t>Executed</w:t>
            </w:r>
          </w:p>
        </w:tc>
        <w:tc>
          <w:tcPr>
            <w:tcW w:w="2081" w:type="dxa"/>
          </w:tcPr>
          <w:p w14:paraId="47707050" w14:textId="4B2DFD69" w:rsidR="004E547F" w:rsidRPr="00907FC9" w:rsidRDefault="00A2264D" w:rsidP="00CB1AD4">
            <w:pPr>
              <w:spacing w:line="360" w:lineRule="auto"/>
              <w:jc w:val="center"/>
              <w:rPr>
                <w:b/>
                <w:lang w:val="en-GB"/>
              </w:rPr>
            </w:pPr>
            <w:r>
              <w:rPr>
                <w:b/>
                <w:lang w:val="en-GB"/>
              </w:rPr>
              <w:t>Pardoned</w:t>
            </w:r>
          </w:p>
        </w:tc>
        <w:tc>
          <w:tcPr>
            <w:tcW w:w="1688" w:type="dxa"/>
          </w:tcPr>
          <w:p w14:paraId="3F9175E5" w14:textId="77777777" w:rsidR="004E547F" w:rsidRPr="00907FC9" w:rsidRDefault="004E547F" w:rsidP="00CB1AD4">
            <w:pPr>
              <w:spacing w:line="360" w:lineRule="auto"/>
              <w:jc w:val="center"/>
              <w:rPr>
                <w:b/>
                <w:lang w:val="en-GB"/>
              </w:rPr>
            </w:pPr>
            <w:r w:rsidRPr="00907FC9">
              <w:rPr>
                <w:b/>
                <w:lang w:val="en-GB"/>
              </w:rPr>
              <w:t>Total</w:t>
            </w:r>
          </w:p>
        </w:tc>
      </w:tr>
      <w:tr w:rsidR="004E547F" w:rsidRPr="00907FC9" w14:paraId="3C8D0B8D" w14:textId="77777777" w:rsidTr="00B040ED">
        <w:tc>
          <w:tcPr>
            <w:tcW w:w="2733" w:type="dxa"/>
          </w:tcPr>
          <w:p w14:paraId="10991E11" w14:textId="3E5F8FB1" w:rsidR="004E547F" w:rsidRPr="00907FC9" w:rsidRDefault="00A2264D" w:rsidP="00CB1AD4">
            <w:pPr>
              <w:spacing w:line="360" w:lineRule="auto"/>
              <w:rPr>
                <w:lang w:val="en-GB"/>
              </w:rPr>
            </w:pPr>
            <w:r>
              <w:rPr>
                <w:lang w:val="en-GB"/>
              </w:rPr>
              <w:t>Arson</w:t>
            </w:r>
          </w:p>
        </w:tc>
        <w:tc>
          <w:tcPr>
            <w:tcW w:w="2014" w:type="dxa"/>
          </w:tcPr>
          <w:p w14:paraId="72425D7E" w14:textId="77777777" w:rsidR="00A2264D" w:rsidRDefault="001A5A67" w:rsidP="00CB1AD4">
            <w:pPr>
              <w:spacing w:line="360" w:lineRule="auto"/>
              <w:jc w:val="center"/>
              <w:rPr>
                <w:lang w:val="en-GB"/>
              </w:rPr>
            </w:pPr>
            <w:r>
              <w:rPr>
                <w:lang w:val="en-GB"/>
              </w:rPr>
              <w:t>1</w:t>
            </w:r>
          </w:p>
          <w:p w14:paraId="2B2B6987" w14:textId="7709A7D3" w:rsidR="00510B80" w:rsidRPr="00907FC9" w:rsidRDefault="00510B80" w:rsidP="00CB1AD4">
            <w:pPr>
              <w:spacing w:line="360" w:lineRule="auto"/>
              <w:jc w:val="center"/>
              <w:rPr>
                <w:lang w:val="en-GB"/>
              </w:rPr>
            </w:pPr>
            <w:r>
              <w:rPr>
                <w:lang w:val="en-GB"/>
              </w:rPr>
              <w:t>(100%)</w:t>
            </w:r>
          </w:p>
        </w:tc>
        <w:tc>
          <w:tcPr>
            <w:tcW w:w="2081" w:type="dxa"/>
          </w:tcPr>
          <w:p w14:paraId="254181BF" w14:textId="3CFFA68E" w:rsidR="00E658F4" w:rsidRPr="00907FC9" w:rsidRDefault="001A5A67" w:rsidP="00CB1AD4">
            <w:pPr>
              <w:spacing w:line="360" w:lineRule="auto"/>
              <w:jc w:val="center"/>
              <w:rPr>
                <w:lang w:val="en-GB"/>
              </w:rPr>
            </w:pPr>
            <w:r>
              <w:rPr>
                <w:lang w:val="en-GB"/>
              </w:rPr>
              <w:t>0</w:t>
            </w:r>
          </w:p>
        </w:tc>
        <w:tc>
          <w:tcPr>
            <w:tcW w:w="1688" w:type="dxa"/>
          </w:tcPr>
          <w:p w14:paraId="37BDA3EB" w14:textId="77777777" w:rsidR="006C1F60" w:rsidRDefault="001A5A67" w:rsidP="00CB1AD4">
            <w:pPr>
              <w:spacing w:line="360" w:lineRule="auto"/>
              <w:jc w:val="center"/>
              <w:rPr>
                <w:lang w:val="en-GB"/>
              </w:rPr>
            </w:pPr>
            <w:r>
              <w:rPr>
                <w:lang w:val="en-GB"/>
              </w:rPr>
              <w:t>1</w:t>
            </w:r>
          </w:p>
          <w:p w14:paraId="7752BF97" w14:textId="01463076" w:rsidR="00B03781" w:rsidRPr="00907FC9" w:rsidRDefault="00B03781" w:rsidP="00CB1AD4">
            <w:pPr>
              <w:spacing w:line="360" w:lineRule="auto"/>
              <w:jc w:val="center"/>
              <w:rPr>
                <w:lang w:val="en-GB"/>
              </w:rPr>
            </w:pPr>
            <w:r>
              <w:rPr>
                <w:lang w:val="en-GB"/>
              </w:rPr>
              <w:t>(0.33%)</w:t>
            </w:r>
          </w:p>
        </w:tc>
      </w:tr>
      <w:tr w:rsidR="004E547F" w:rsidRPr="00907FC9" w14:paraId="1176701B" w14:textId="77777777" w:rsidTr="00B040ED">
        <w:tc>
          <w:tcPr>
            <w:tcW w:w="2733" w:type="dxa"/>
          </w:tcPr>
          <w:p w14:paraId="0A00F844" w14:textId="5A52A84D" w:rsidR="004E547F" w:rsidRPr="00907FC9" w:rsidRDefault="00A2264D" w:rsidP="00CB1AD4">
            <w:pPr>
              <w:spacing w:line="360" w:lineRule="auto"/>
              <w:rPr>
                <w:lang w:val="en-GB"/>
              </w:rPr>
            </w:pPr>
            <w:r>
              <w:rPr>
                <w:lang w:val="en-GB"/>
              </w:rPr>
              <w:t>Murder</w:t>
            </w:r>
          </w:p>
        </w:tc>
        <w:tc>
          <w:tcPr>
            <w:tcW w:w="2014" w:type="dxa"/>
          </w:tcPr>
          <w:p w14:paraId="48785000" w14:textId="77777777" w:rsidR="00A2264D" w:rsidRDefault="001A5A67" w:rsidP="00CB1AD4">
            <w:pPr>
              <w:spacing w:line="360" w:lineRule="auto"/>
              <w:jc w:val="center"/>
              <w:rPr>
                <w:lang w:val="en-GB"/>
              </w:rPr>
            </w:pPr>
            <w:r>
              <w:rPr>
                <w:lang w:val="en-GB"/>
              </w:rPr>
              <w:t>5</w:t>
            </w:r>
          </w:p>
          <w:p w14:paraId="748CC60F" w14:textId="4AA1DDB3" w:rsidR="00510B80" w:rsidRPr="00907FC9" w:rsidRDefault="00510B80" w:rsidP="00CB1AD4">
            <w:pPr>
              <w:spacing w:line="360" w:lineRule="auto"/>
              <w:jc w:val="center"/>
              <w:rPr>
                <w:lang w:val="en-GB"/>
              </w:rPr>
            </w:pPr>
            <w:r>
              <w:rPr>
                <w:lang w:val="en-GB"/>
              </w:rPr>
              <w:t>(83%)</w:t>
            </w:r>
          </w:p>
        </w:tc>
        <w:tc>
          <w:tcPr>
            <w:tcW w:w="2081" w:type="dxa"/>
          </w:tcPr>
          <w:p w14:paraId="3EC303BA" w14:textId="77777777" w:rsidR="00A2264D" w:rsidRDefault="001A5A67" w:rsidP="00CB1AD4">
            <w:pPr>
              <w:spacing w:line="360" w:lineRule="auto"/>
              <w:jc w:val="center"/>
              <w:rPr>
                <w:lang w:val="en-GB"/>
              </w:rPr>
            </w:pPr>
            <w:r>
              <w:rPr>
                <w:lang w:val="en-GB"/>
              </w:rPr>
              <w:t>1</w:t>
            </w:r>
          </w:p>
          <w:p w14:paraId="5797190C" w14:textId="5A72DF65" w:rsidR="00510B80" w:rsidRPr="00907FC9" w:rsidRDefault="00510B80" w:rsidP="00CB1AD4">
            <w:pPr>
              <w:spacing w:line="360" w:lineRule="auto"/>
              <w:jc w:val="center"/>
              <w:rPr>
                <w:lang w:val="en-GB"/>
              </w:rPr>
            </w:pPr>
            <w:r>
              <w:rPr>
                <w:lang w:val="en-GB"/>
              </w:rPr>
              <w:t>(17%)</w:t>
            </w:r>
          </w:p>
        </w:tc>
        <w:tc>
          <w:tcPr>
            <w:tcW w:w="1688" w:type="dxa"/>
          </w:tcPr>
          <w:p w14:paraId="7CBDDA48" w14:textId="77777777" w:rsidR="006C1F60" w:rsidRDefault="001A5A67" w:rsidP="00CB1AD4">
            <w:pPr>
              <w:spacing w:line="360" w:lineRule="auto"/>
              <w:jc w:val="center"/>
              <w:rPr>
                <w:lang w:val="en-GB"/>
              </w:rPr>
            </w:pPr>
            <w:r>
              <w:rPr>
                <w:lang w:val="en-GB"/>
              </w:rPr>
              <w:t>6</w:t>
            </w:r>
          </w:p>
          <w:p w14:paraId="1530F011" w14:textId="1A6BFDF0" w:rsidR="00B03781" w:rsidRPr="00907FC9" w:rsidRDefault="00B03781" w:rsidP="00CB1AD4">
            <w:pPr>
              <w:spacing w:line="360" w:lineRule="auto"/>
              <w:jc w:val="center"/>
              <w:rPr>
                <w:lang w:val="en-GB"/>
              </w:rPr>
            </w:pPr>
            <w:r>
              <w:rPr>
                <w:lang w:val="en-GB"/>
              </w:rPr>
              <w:t>(1.5%)</w:t>
            </w:r>
          </w:p>
        </w:tc>
      </w:tr>
      <w:tr w:rsidR="004E547F" w:rsidRPr="00907FC9" w14:paraId="73FB271B" w14:textId="77777777" w:rsidTr="00B040ED">
        <w:tc>
          <w:tcPr>
            <w:tcW w:w="2733" w:type="dxa"/>
          </w:tcPr>
          <w:p w14:paraId="07B76A91" w14:textId="13F45F32" w:rsidR="004E547F" w:rsidRPr="00907FC9" w:rsidRDefault="00FC1075" w:rsidP="00CB1AD4">
            <w:pPr>
              <w:spacing w:line="360" w:lineRule="auto"/>
              <w:rPr>
                <w:lang w:val="en-GB"/>
              </w:rPr>
            </w:pPr>
            <w:r>
              <w:rPr>
                <w:lang w:val="en-GB"/>
              </w:rPr>
              <w:t>Rape</w:t>
            </w:r>
          </w:p>
        </w:tc>
        <w:tc>
          <w:tcPr>
            <w:tcW w:w="2014" w:type="dxa"/>
          </w:tcPr>
          <w:p w14:paraId="03F103F5" w14:textId="77777777" w:rsidR="00FC1075" w:rsidRDefault="001A5A67" w:rsidP="00C82552">
            <w:pPr>
              <w:spacing w:line="360" w:lineRule="auto"/>
              <w:jc w:val="center"/>
              <w:rPr>
                <w:lang w:val="en-GB"/>
              </w:rPr>
            </w:pPr>
            <w:r>
              <w:rPr>
                <w:lang w:val="en-GB"/>
              </w:rPr>
              <w:t>6</w:t>
            </w:r>
          </w:p>
          <w:p w14:paraId="2326C315" w14:textId="50316E72" w:rsidR="00510B80" w:rsidRPr="00907FC9" w:rsidRDefault="00510B80" w:rsidP="00C82552">
            <w:pPr>
              <w:spacing w:line="360" w:lineRule="auto"/>
              <w:jc w:val="center"/>
              <w:rPr>
                <w:lang w:val="en-GB"/>
              </w:rPr>
            </w:pPr>
            <w:r>
              <w:rPr>
                <w:lang w:val="en-GB"/>
              </w:rPr>
              <w:t>(60%)</w:t>
            </w:r>
          </w:p>
        </w:tc>
        <w:tc>
          <w:tcPr>
            <w:tcW w:w="2081" w:type="dxa"/>
          </w:tcPr>
          <w:p w14:paraId="1366FE35" w14:textId="77777777" w:rsidR="00FC1075" w:rsidRDefault="001A5A67" w:rsidP="00C82552">
            <w:pPr>
              <w:spacing w:line="360" w:lineRule="auto"/>
              <w:jc w:val="center"/>
              <w:rPr>
                <w:lang w:val="en-GB"/>
              </w:rPr>
            </w:pPr>
            <w:r>
              <w:rPr>
                <w:lang w:val="en-GB"/>
              </w:rPr>
              <w:t>4</w:t>
            </w:r>
          </w:p>
          <w:p w14:paraId="7EE7880C" w14:textId="7132F538" w:rsidR="00510B80" w:rsidRPr="00907FC9" w:rsidRDefault="00510B80" w:rsidP="00C82552">
            <w:pPr>
              <w:spacing w:line="360" w:lineRule="auto"/>
              <w:jc w:val="center"/>
              <w:rPr>
                <w:lang w:val="en-GB"/>
              </w:rPr>
            </w:pPr>
            <w:r>
              <w:rPr>
                <w:lang w:val="en-GB"/>
              </w:rPr>
              <w:t>(40%)</w:t>
            </w:r>
          </w:p>
        </w:tc>
        <w:tc>
          <w:tcPr>
            <w:tcW w:w="1688" w:type="dxa"/>
          </w:tcPr>
          <w:p w14:paraId="3BF98FEB" w14:textId="77777777" w:rsidR="006C1F60" w:rsidRDefault="001A5A67" w:rsidP="00CB1AD4">
            <w:pPr>
              <w:spacing w:line="360" w:lineRule="auto"/>
              <w:jc w:val="center"/>
              <w:rPr>
                <w:lang w:val="en-GB"/>
              </w:rPr>
            </w:pPr>
            <w:r>
              <w:rPr>
                <w:lang w:val="en-GB"/>
              </w:rPr>
              <w:t>10</w:t>
            </w:r>
          </w:p>
          <w:p w14:paraId="29F9ECB8" w14:textId="7012F8E5" w:rsidR="00B03781" w:rsidRPr="00907FC9" w:rsidRDefault="00B03781" w:rsidP="00CB1AD4">
            <w:pPr>
              <w:spacing w:line="360" w:lineRule="auto"/>
              <w:jc w:val="center"/>
              <w:rPr>
                <w:lang w:val="en-GB"/>
              </w:rPr>
            </w:pPr>
            <w:r>
              <w:rPr>
                <w:lang w:val="en-GB"/>
              </w:rPr>
              <w:t>(2%)</w:t>
            </w:r>
          </w:p>
        </w:tc>
      </w:tr>
      <w:tr w:rsidR="004E547F" w:rsidRPr="00907FC9" w14:paraId="5DB59848" w14:textId="77777777" w:rsidTr="00B040ED">
        <w:tc>
          <w:tcPr>
            <w:tcW w:w="2733" w:type="dxa"/>
          </w:tcPr>
          <w:p w14:paraId="051835F7" w14:textId="7EB1D4B3" w:rsidR="004E547F" w:rsidRPr="00907FC9" w:rsidRDefault="00FC1075" w:rsidP="00CB1AD4">
            <w:pPr>
              <w:spacing w:line="360" w:lineRule="auto"/>
              <w:rPr>
                <w:lang w:val="en-GB"/>
              </w:rPr>
            </w:pPr>
            <w:r>
              <w:rPr>
                <w:lang w:val="en-GB"/>
              </w:rPr>
              <w:t>Shooting at</w:t>
            </w:r>
          </w:p>
        </w:tc>
        <w:tc>
          <w:tcPr>
            <w:tcW w:w="2014" w:type="dxa"/>
          </w:tcPr>
          <w:p w14:paraId="4AF64780" w14:textId="77777777" w:rsidR="00FC1075" w:rsidRDefault="001A5A67" w:rsidP="00CB1AD4">
            <w:pPr>
              <w:spacing w:line="360" w:lineRule="auto"/>
              <w:jc w:val="center"/>
              <w:rPr>
                <w:lang w:val="en-GB"/>
              </w:rPr>
            </w:pPr>
            <w:r>
              <w:rPr>
                <w:lang w:val="en-GB"/>
              </w:rPr>
              <w:t>4</w:t>
            </w:r>
          </w:p>
          <w:p w14:paraId="0CDB01A7" w14:textId="6521D18A" w:rsidR="00510B80" w:rsidRPr="00907FC9" w:rsidRDefault="00510B80" w:rsidP="00CB1AD4">
            <w:pPr>
              <w:spacing w:line="360" w:lineRule="auto"/>
              <w:jc w:val="center"/>
              <w:rPr>
                <w:lang w:val="en-GB"/>
              </w:rPr>
            </w:pPr>
            <w:r>
              <w:rPr>
                <w:lang w:val="en-GB"/>
              </w:rPr>
              <w:t>(27%)</w:t>
            </w:r>
          </w:p>
        </w:tc>
        <w:tc>
          <w:tcPr>
            <w:tcW w:w="2081" w:type="dxa"/>
          </w:tcPr>
          <w:p w14:paraId="5D708561" w14:textId="77777777" w:rsidR="00FC1075" w:rsidRDefault="001A5A67" w:rsidP="00CB1AD4">
            <w:pPr>
              <w:spacing w:line="360" w:lineRule="auto"/>
              <w:jc w:val="center"/>
              <w:rPr>
                <w:lang w:val="en-GB"/>
              </w:rPr>
            </w:pPr>
            <w:r>
              <w:rPr>
                <w:lang w:val="en-GB"/>
              </w:rPr>
              <w:t>11</w:t>
            </w:r>
          </w:p>
          <w:p w14:paraId="1633ADB7" w14:textId="40B9C9CF" w:rsidR="00510B80" w:rsidRPr="00907FC9" w:rsidRDefault="00510B80" w:rsidP="00CB1AD4">
            <w:pPr>
              <w:spacing w:line="360" w:lineRule="auto"/>
              <w:jc w:val="center"/>
              <w:rPr>
                <w:lang w:val="en-GB"/>
              </w:rPr>
            </w:pPr>
            <w:r>
              <w:rPr>
                <w:lang w:val="en-GB"/>
              </w:rPr>
              <w:t>(73%)</w:t>
            </w:r>
          </w:p>
        </w:tc>
        <w:tc>
          <w:tcPr>
            <w:tcW w:w="1688" w:type="dxa"/>
          </w:tcPr>
          <w:p w14:paraId="22E350D2" w14:textId="77777777" w:rsidR="006C1F60" w:rsidRDefault="001A5A67" w:rsidP="00CB1AD4">
            <w:pPr>
              <w:spacing w:line="360" w:lineRule="auto"/>
              <w:jc w:val="center"/>
              <w:rPr>
                <w:lang w:val="en-GB"/>
              </w:rPr>
            </w:pPr>
            <w:r>
              <w:rPr>
                <w:lang w:val="en-GB"/>
              </w:rPr>
              <w:t>15</w:t>
            </w:r>
          </w:p>
          <w:p w14:paraId="15404577" w14:textId="05A043DC" w:rsidR="00B03781" w:rsidRPr="00907FC9" w:rsidRDefault="00B03781" w:rsidP="00CB1AD4">
            <w:pPr>
              <w:spacing w:line="360" w:lineRule="auto"/>
              <w:jc w:val="center"/>
              <w:rPr>
                <w:lang w:val="en-GB"/>
              </w:rPr>
            </w:pPr>
            <w:r>
              <w:rPr>
                <w:lang w:val="en-GB"/>
              </w:rPr>
              <w:t>(3.5%)</w:t>
            </w:r>
          </w:p>
        </w:tc>
      </w:tr>
      <w:tr w:rsidR="006C1F60" w:rsidRPr="00907FC9" w14:paraId="118FBC8E" w14:textId="77777777" w:rsidTr="00B040ED">
        <w:tc>
          <w:tcPr>
            <w:tcW w:w="2733" w:type="dxa"/>
          </w:tcPr>
          <w:p w14:paraId="3F3AC72D" w14:textId="44A53716" w:rsidR="006C1F60" w:rsidRPr="00907FC9" w:rsidRDefault="00FC1075" w:rsidP="00CB1AD4">
            <w:pPr>
              <w:spacing w:line="360" w:lineRule="auto"/>
              <w:rPr>
                <w:lang w:val="en-GB"/>
              </w:rPr>
            </w:pPr>
            <w:r>
              <w:rPr>
                <w:lang w:val="en-GB"/>
              </w:rPr>
              <w:t>Larceny from the Person</w:t>
            </w:r>
          </w:p>
        </w:tc>
        <w:tc>
          <w:tcPr>
            <w:tcW w:w="2014" w:type="dxa"/>
          </w:tcPr>
          <w:p w14:paraId="327FCF6F" w14:textId="77777777" w:rsidR="00FC1075" w:rsidRDefault="001A5A67" w:rsidP="00CB1AD4">
            <w:pPr>
              <w:spacing w:line="360" w:lineRule="auto"/>
              <w:jc w:val="center"/>
              <w:rPr>
                <w:lang w:val="en-GB"/>
              </w:rPr>
            </w:pPr>
            <w:r>
              <w:rPr>
                <w:lang w:val="en-GB"/>
              </w:rPr>
              <w:t>1</w:t>
            </w:r>
          </w:p>
          <w:p w14:paraId="4CF7E390" w14:textId="6C45A8DE" w:rsidR="00510B80" w:rsidRPr="00907FC9" w:rsidRDefault="00510B80" w:rsidP="00CB1AD4">
            <w:pPr>
              <w:spacing w:line="360" w:lineRule="auto"/>
              <w:jc w:val="center"/>
              <w:rPr>
                <w:lang w:val="en-GB"/>
              </w:rPr>
            </w:pPr>
            <w:r>
              <w:rPr>
                <w:lang w:val="en-GB"/>
              </w:rPr>
              <w:t>(17%)</w:t>
            </w:r>
          </w:p>
        </w:tc>
        <w:tc>
          <w:tcPr>
            <w:tcW w:w="2081" w:type="dxa"/>
          </w:tcPr>
          <w:p w14:paraId="476C3ACB" w14:textId="77777777" w:rsidR="00FC1075" w:rsidRDefault="001A5A67" w:rsidP="00CB1AD4">
            <w:pPr>
              <w:spacing w:line="360" w:lineRule="auto"/>
              <w:jc w:val="center"/>
              <w:rPr>
                <w:lang w:val="en-GB"/>
              </w:rPr>
            </w:pPr>
            <w:r>
              <w:rPr>
                <w:lang w:val="en-GB"/>
              </w:rPr>
              <w:t>5</w:t>
            </w:r>
          </w:p>
          <w:p w14:paraId="5CE1D976" w14:textId="1E185830" w:rsidR="00510B80" w:rsidRPr="00907FC9" w:rsidRDefault="00510B80" w:rsidP="00CB1AD4">
            <w:pPr>
              <w:spacing w:line="360" w:lineRule="auto"/>
              <w:jc w:val="center"/>
              <w:rPr>
                <w:lang w:val="en-GB"/>
              </w:rPr>
            </w:pPr>
            <w:r>
              <w:rPr>
                <w:lang w:val="en-GB"/>
              </w:rPr>
              <w:t>(83%)</w:t>
            </w:r>
          </w:p>
        </w:tc>
        <w:tc>
          <w:tcPr>
            <w:tcW w:w="1688" w:type="dxa"/>
          </w:tcPr>
          <w:p w14:paraId="705811E8" w14:textId="77777777" w:rsidR="006C1F60" w:rsidRDefault="001A5A67" w:rsidP="00CB1AD4">
            <w:pPr>
              <w:spacing w:line="360" w:lineRule="auto"/>
              <w:jc w:val="center"/>
              <w:rPr>
                <w:lang w:val="en-GB"/>
              </w:rPr>
            </w:pPr>
            <w:r>
              <w:rPr>
                <w:lang w:val="en-GB"/>
              </w:rPr>
              <w:t>6</w:t>
            </w:r>
          </w:p>
          <w:p w14:paraId="5F606F03" w14:textId="7DB3D9F4" w:rsidR="00B03781" w:rsidRPr="00907FC9" w:rsidRDefault="00B03781" w:rsidP="00CB1AD4">
            <w:pPr>
              <w:spacing w:line="360" w:lineRule="auto"/>
              <w:jc w:val="center"/>
              <w:rPr>
                <w:lang w:val="en-GB"/>
              </w:rPr>
            </w:pPr>
            <w:r>
              <w:rPr>
                <w:lang w:val="en-GB"/>
              </w:rPr>
              <w:t>(1.5%)</w:t>
            </w:r>
          </w:p>
        </w:tc>
      </w:tr>
      <w:tr w:rsidR="004E547F" w:rsidRPr="00907FC9" w14:paraId="22F9191A" w14:textId="77777777" w:rsidTr="00B040ED">
        <w:tc>
          <w:tcPr>
            <w:tcW w:w="2733" w:type="dxa"/>
          </w:tcPr>
          <w:p w14:paraId="1A9FE8E3" w14:textId="0A98B216" w:rsidR="004E547F" w:rsidRPr="00907FC9" w:rsidRDefault="00FC1075" w:rsidP="00CB1AD4">
            <w:pPr>
              <w:spacing w:line="360" w:lineRule="auto"/>
              <w:rPr>
                <w:lang w:val="en-GB"/>
              </w:rPr>
            </w:pPr>
            <w:r>
              <w:rPr>
                <w:lang w:val="en-GB"/>
              </w:rPr>
              <w:t>Highway Robbery</w:t>
            </w:r>
          </w:p>
        </w:tc>
        <w:tc>
          <w:tcPr>
            <w:tcW w:w="2014" w:type="dxa"/>
          </w:tcPr>
          <w:p w14:paraId="26FBE622" w14:textId="77777777" w:rsidR="00FC1075" w:rsidRDefault="001A5A67" w:rsidP="00CB1AD4">
            <w:pPr>
              <w:spacing w:line="360" w:lineRule="auto"/>
              <w:jc w:val="center"/>
              <w:rPr>
                <w:lang w:val="en-GB"/>
              </w:rPr>
            </w:pPr>
            <w:r>
              <w:rPr>
                <w:lang w:val="en-GB"/>
              </w:rPr>
              <w:t>5</w:t>
            </w:r>
          </w:p>
          <w:p w14:paraId="7853B048" w14:textId="28B85EC6" w:rsidR="00510B80" w:rsidRPr="00907FC9" w:rsidRDefault="00510B80" w:rsidP="00CB1AD4">
            <w:pPr>
              <w:spacing w:line="360" w:lineRule="auto"/>
              <w:jc w:val="center"/>
              <w:rPr>
                <w:lang w:val="en-GB"/>
              </w:rPr>
            </w:pPr>
            <w:r>
              <w:rPr>
                <w:lang w:val="en-GB"/>
              </w:rPr>
              <w:t>(17%)</w:t>
            </w:r>
          </w:p>
        </w:tc>
        <w:tc>
          <w:tcPr>
            <w:tcW w:w="2081" w:type="dxa"/>
          </w:tcPr>
          <w:p w14:paraId="4418A327" w14:textId="77777777" w:rsidR="00FC1075" w:rsidRDefault="001A5A67" w:rsidP="00CB1AD4">
            <w:pPr>
              <w:spacing w:line="360" w:lineRule="auto"/>
              <w:jc w:val="center"/>
              <w:rPr>
                <w:lang w:val="en-GB"/>
              </w:rPr>
            </w:pPr>
            <w:r>
              <w:rPr>
                <w:lang w:val="en-GB"/>
              </w:rPr>
              <w:t>24</w:t>
            </w:r>
          </w:p>
          <w:p w14:paraId="09CB365A" w14:textId="0037E51D" w:rsidR="00510B80" w:rsidRPr="00907FC9" w:rsidRDefault="00510B80" w:rsidP="00CB1AD4">
            <w:pPr>
              <w:spacing w:line="360" w:lineRule="auto"/>
              <w:jc w:val="center"/>
              <w:rPr>
                <w:lang w:val="en-GB"/>
              </w:rPr>
            </w:pPr>
            <w:r>
              <w:rPr>
                <w:lang w:val="en-GB"/>
              </w:rPr>
              <w:t>(83%)</w:t>
            </w:r>
          </w:p>
        </w:tc>
        <w:tc>
          <w:tcPr>
            <w:tcW w:w="1688" w:type="dxa"/>
          </w:tcPr>
          <w:p w14:paraId="77BD5C66" w14:textId="77777777" w:rsidR="006C1F60" w:rsidRDefault="001A5A67" w:rsidP="00CB1AD4">
            <w:pPr>
              <w:spacing w:line="360" w:lineRule="auto"/>
              <w:jc w:val="center"/>
              <w:rPr>
                <w:lang w:val="en-GB"/>
              </w:rPr>
            </w:pPr>
            <w:r>
              <w:rPr>
                <w:lang w:val="en-GB"/>
              </w:rPr>
              <w:t>29</w:t>
            </w:r>
          </w:p>
          <w:p w14:paraId="599ACEB7" w14:textId="368EB183" w:rsidR="00B03781" w:rsidRPr="00907FC9" w:rsidRDefault="00B03781" w:rsidP="00CB1AD4">
            <w:pPr>
              <w:spacing w:line="360" w:lineRule="auto"/>
              <w:jc w:val="center"/>
              <w:rPr>
                <w:lang w:val="en-GB"/>
              </w:rPr>
            </w:pPr>
            <w:r>
              <w:rPr>
                <w:lang w:val="en-GB"/>
              </w:rPr>
              <w:t>(7%)</w:t>
            </w:r>
          </w:p>
        </w:tc>
      </w:tr>
      <w:tr w:rsidR="004E547F" w:rsidRPr="00907FC9" w14:paraId="477AC270" w14:textId="77777777" w:rsidTr="00B040ED">
        <w:tc>
          <w:tcPr>
            <w:tcW w:w="2733" w:type="dxa"/>
          </w:tcPr>
          <w:p w14:paraId="4944AD06" w14:textId="0F31D617" w:rsidR="004E547F" w:rsidRPr="00907FC9" w:rsidRDefault="00FC1075" w:rsidP="00CB1AD4">
            <w:pPr>
              <w:spacing w:line="360" w:lineRule="auto"/>
              <w:rPr>
                <w:lang w:val="en-GB"/>
              </w:rPr>
            </w:pPr>
            <w:r>
              <w:rPr>
                <w:lang w:val="en-GB"/>
              </w:rPr>
              <w:t>Burglary</w:t>
            </w:r>
          </w:p>
        </w:tc>
        <w:tc>
          <w:tcPr>
            <w:tcW w:w="2014" w:type="dxa"/>
          </w:tcPr>
          <w:p w14:paraId="7B5D4A1F" w14:textId="77777777" w:rsidR="00FC1075" w:rsidRDefault="001A5A67" w:rsidP="00CB1AD4">
            <w:pPr>
              <w:spacing w:line="360" w:lineRule="auto"/>
              <w:jc w:val="center"/>
              <w:rPr>
                <w:lang w:val="en-GB"/>
              </w:rPr>
            </w:pPr>
            <w:r>
              <w:rPr>
                <w:lang w:val="en-GB"/>
              </w:rPr>
              <w:t>14</w:t>
            </w:r>
          </w:p>
          <w:p w14:paraId="44EF607C" w14:textId="44F17722" w:rsidR="00510B80" w:rsidRPr="00907FC9" w:rsidRDefault="00510B80" w:rsidP="00CB1AD4">
            <w:pPr>
              <w:spacing w:line="360" w:lineRule="auto"/>
              <w:jc w:val="center"/>
              <w:rPr>
                <w:lang w:val="en-GB"/>
              </w:rPr>
            </w:pPr>
            <w:r>
              <w:rPr>
                <w:lang w:val="en-GB"/>
              </w:rPr>
              <w:t>(10%)</w:t>
            </w:r>
          </w:p>
        </w:tc>
        <w:tc>
          <w:tcPr>
            <w:tcW w:w="2081" w:type="dxa"/>
          </w:tcPr>
          <w:p w14:paraId="7E741C8E" w14:textId="77777777" w:rsidR="00FC1075" w:rsidRDefault="001A5A67" w:rsidP="00CB1AD4">
            <w:pPr>
              <w:spacing w:line="360" w:lineRule="auto"/>
              <w:jc w:val="center"/>
              <w:rPr>
                <w:lang w:val="en-GB"/>
              </w:rPr>
            </w:pPr>
            <w:r>
              <w:rPr>
                <w:lang w:val="en-GB"/>
              </w:rPr>
              <w:t>129</w:t>
            </w:r>
          </w:p>
          <w:p w14:paraId="2E553EC7" w14:textId="47785F2F" w:rsidR="00510B80" w:rsidRPr="00907FC9" w:rsidRDefault="00510B80" w:rsidP="00CB1AD4">
            <w:pPr>
              <w:spacing w:line="360" w:lineRule="auto"/>
              <w:jc w:val="center"/>
              <w:rPr>
                <w:lang w:val="en-GB"/>
              </w:rPr>
            </w:pPr>
            <w:r>
              <w:rPr>
                <w:lang w:val="en-GB"/>
              </w:rPr>
              <w:t>(90%)</w:t>
            </w:r>
          </w:p>
        </w:tc>
        <w:tc>
          <w:tcPr>
            <w:tcW w:w="1688" w:type="dxa"/>
          </w:tcPr>
          <w:p w14:paraId="1B3CBD31" w14:textId="77777777" w:rsidR="006C1F60" w:rsidRDefault="001A5A67" w:rsidP="00CB1AD4">
            <w:pPr>
              <w:spacing w:line="360" w:lineRule="auto"/>
              <w:jc w:val="center"/>
              <w:rPr>
                <w:lang w:val="en-GB"/>
              </w:rPr>
            </w:pPr>
            <w:r>
              <w:rPr>
                <w:lang w:val="en-GB"/>
              </w:rPr>
              <w:t>143</w:t>
            </w:r>
          </w:p>
          <w:p w14:paraId="5F47259C" w14:textId="46E61755" w:rsidR="00B03781" w:rsidRPr="00907FC9" w:rsidRDefault="00B03781" w:rsidP="00B03781">
            <w:pPr>
              <w:spacing w:line="360" w:lineRule="auto"/>
              <w:jc w:val="center"/>
              <w:rPr>
                <w:lang w:val="en-GB"/>
              </w:rPr>
            </w:pPr>
            <w:r>
              <w:rPr>
                <w:lang w:val="en-GB"/>
              </w:rPr>
              <w:t>(32.5%)</w:t>
            </w:r>
          </w:p>
        </w:tc>
      </w:tr>
      <w:tr w:rsidR="004E547F" w:rsidRPr="00907FC9" w14:paraId="7F7CE654" w14:textId="77777777" w:rsidTr="00B040ED">
        <w:tc>
          <w:tcPr>
            <w:tcW w:w="2733" w:type="dxa"/>
          </w:tcPr>
          <w:p w14:paraId="4B822AB0" w14:textId="05EEDFDD" w:rsidR="004E547F" w:rsidRPr="00907FC9" w:rsidRDefault="00FC1075" w:rsidP="00CB1AD4">
            <w:pPr>
              <w:spacing w:line="360" w:lineRule="auto"/>
              <w:rPr>
                <w:lang w:val="en-GB"/>
              </w:rPr>
            </w:pPr>
            <w:r>
              <w:rPr>
                <w:lang w:val="en-GB"/>
              </w:rPr>
              <w:t>Robbery</w:t>
            </w:r>
          </w:p>
        </w:tc>
        <w:tc>
          <w:tcPr>
            <w:tcW w:w="2014" w:type="dxa"/>
          </w:tcPr>
          <w:p w14:paraId="6FE8619E" w14:textId="77777777" w:rsidR="00FC1075" w:rsidRDefault="001A5A67" w:rsidP="00CB1AD4">
            <w:pPr>
              <w:spacing w:line="360" w:lineRule="auto"/>
              <w:jc w:val="center"/>
              <w:rPr>
                <w:lang w:val="en-GB"/>
              </w:rPr>
            </w:pPr>
            <w:r>
              <w:rPr>
                <w:lang w:val="en-GB"/>
              </w:rPr>
              <w:t>1</w:t>
            </w:r>
          </w:p>
          <w:p w14:paraId="03C1CB36" w14:textId="40F5D88B" w:rsidR="00510B80" w:rsidRPr="00907FC9" w:rsidRDefault="00510B80" w:rsidP="00CB1AD4">
            <w:pPr>
              <w:spacing w:line="360" w:lineRule="auto"/>
              <w:jc w:val="center"/>
              <w:rPr>
                <w:lang w:val="en-GB"/>
              </w:rPr>
            </w:pPr>
            <w:r>
              <w:rPr>
                <w:lang w:val="en-GB"/>
              </w:rPr>
              <w:t>(10%)</w:t>
            </w:r>
          </w:p>
        </w:tc>
        <w:tc>
          <w:tcPr>
            <w:tcW w:w="2081" w:type="dxa"/>
          </w:tcPr>
          <w:p w14:paraId="328126F0" w14:textId="77777777" w:rsidR="00FC1075" w:rsidRDefault="001A5A67" w:rsidP="00CB1AD4">
            <w:pPr>
              <w:spacing w:line="360" w:lineRule="auto"/>
              <w:jc w:val="center"/>
              <w:rPr>
                <w:lang w:val="en-GB"/>
              </w:rPr>
            </w:pPr>
            <w:r>
              <w:rPr>
                <w:lang w:val="en-GB"/>
              </w:rPr>
              <w:t>9</w:t>
            </w:r>
          </w:p>
          <w:p w14:paraId="0026EAA8" w14:textId="1FBF81E2" w:rsidR="00510B80" w:rsidRPr="00907FC9" w:rsidRDefault="00510B80" w:rsidP="00CB1AD4">
            <w:pPr>
              <w:spacing w:line="360" w:lineRule="auto"/>
              <w:jc w:val="center"/>
              <w:rPr>
                <w:lang w:val="en-GB"/>
              </w:rPr>
            </w:pPr>
            <w:r>
              <w:rPr>
                <w:lang w:val="en-GB"/>
              </w:rPr>
              <w:t>(90%)</w:t>
            </w:r>
          </w:p>
        </w:tc>
        <w:tc>
          <w:tcPr>
            <w:tcW w:w="1688" w:type="dxa"/>
          </w:tcPr>
          <w:p w14:paraId="041A0128" w14:textId="77777777" w:rsidR="006C1F60" w:rsidRDefault="001A5A67" w:rsidP="00CB1AD4">
            <w:pPr>
              <w:spacing w:line="360" w:lineRule="auto"/>
              <w:jc w:val="center"/>
              <w:rPr>
                <w:lang w:val="en-GB"/>
              </w:rPr>
            </w:pPr>
            <w:r>
              <w:rPr>
                <w:lang w:val="en-GB"/>
              </w:rPr>
              <w:t>10</w:t>
            </w:r>
          </w:p>
          <w:p w14:paraId="072A5EA0" w14:textId="74AB16DF" w:rsidR="00B03781" w:rsidRPr="00907FC9" w:rsidRDefault="00B03781" w:rsidP="00CB1AD4">
            <w:pPr>
              <w:spacing w:line="360" w:lineRule="auto"/>
              <w:jc w:val="center"/>
              <w:rPr>
                <w:lang w:val="en-GB"/>
              </w:rPr>
            </w:pPr>
            <w:r>
              <w:rPr>
                <w:lang w:val="en-GB"/>
              </w:rPr>
              <w:t>(2%)</w:t>
            </w:r>
          </w:p>
        </w:tc>
      </w:tr>
      <w:tr w:rsidR="004E547F" w:rsidRPr="00907FC9" w14:paraId="1F69C530" w14:textId="77777777" w:rsidTr="00B040ED">
        <w:tc>
          <w:tcPr>
            <w:tcW w:w="2733" w:type="dxa"/>
          </w:tcPr>
          <w:p w14:paraId="759D2C48" w14:textId="4774C354" w:rsidR="004E547F" w:rsidRPr="00907FC9" w:rsidRDefault="00FC1075" w:rsidP="00CB1AD4">
            <w:pPr>
              <w:spacing w:line="360" w:lineRule="auto"/>
              <w:rPr>
                <w:lang w:val="en-GB"/>
              </w:rPr>
            </w:pPr>
            <w:r>
              <w:rPr>
                <w:lang w:val="en-GB"/>
              </w:rPr>
              <w:t>Monetary Offences</w:t>
            </w:r>
          </w:p>
        </w:tc>
        <w:tc>
          <w:tcPr>
            <w:tcW w:w="2014" w:type="dxa"/>
          </w:tcPr>
          <w:p w14:paraId="10E67387" w14:textId="77777777" w:rsidR="00FC1075" w:rsidRDefault="001A5A67" w:rsidP="00CB1AD4">
            <w:pPr>
              <w:spacing w:line="360" w:lineRule="auto"/>
              <w:jc w:val="center"/>
              <w:rPr>
                <w:lang w:val="en-GB"/>
              </w:rPr>
            </w:pPr>
            <w:r>
              <w:rPr>
                <w:lang w:val="en-GB"/>
              </w:rPr>
              <w:t>1</w:t>
            </w:r>
          </w:p>
          <w:p w14:paraId="31620060" w14:textId="73EAACE6" w:rsidR="00510B80" w:rsidRPr="00907FC9" w:rsidRDefault="00510B80" w:rsidP="00CB1AD4">
            <w:pPr>
              <w:spacing w:line="360" w:lineRule="auto"/>
              <w:jc w:val="center"/>
              <w:rPr>
                <w:lang w:val="en-GB"/>
              </w:rPr>
            </w:pPr>
            <w:r>
              <w:rPr>
                <w:lang w:val="en-GB"/>
              </w:rPr>
              <w:t>(6%)</w:t>
            </w:r>
          </w:p>
        </w:tc>
        <w:tc>
          <w:tcPr>
            <w:tcW w:w="2081" w:type="dxa"/>
          </w:tcPr>
          <w:p w14:paraId="0CF7EFDD" w14:textId="77777777" w:rsidR="00FC1075" w:rsidRDefault="001A5A67" w:rsidP="00CB1AD4">
            <w:pPr>
              <w:spacing w:line="360" w:lineRule="auto"/>
              <w:jc w:val="center"/>
              <w:rPr>
                <w:lang w:val="en-GB"/>
              </w:rPr>
            </w:pPr>
            <w:r>
              <w:rPr>
                <w:lang w:val="en-GB"/>
              </w:rPr>
              <w:t>17</w:t>
            </w:r>
          </w:p>
          <w:p w14:paraId="17B5378C" w14:textId="1EB9B1F3" w:rsidR="00510B80" w:rsidRPr="00907FC9" w:rsidRDefault="00510B80" w:rsidP="00CB1AD4">
            <w:pPr>
              <w:spacing w:line="360" w:lineRule="auto"/>
              <w:jc w:val="center"/>
              <w:rPr>
                <w:lang w:val="en-GB"/>
              </w:rPr>
            </w:pPr>
            <w:r>
              <w:rPr>
                <w:lang w:val="en-GB"/>
              </w:rPr>
              <w:t>(94%)</w:t>
            </w:r>
          </w:p>
        </w:tc>
        <w:tc>
          <w:tcPr>
            <w:tcW w:w="1688" w:type="dxa"/>
          </w:tcPr>
          <w:p w14:paraId="629963D1" w14:textId="77777777" w:rsidR="006C1F60" w:rsidRDefault="001A5A67" w:rsidP="00CB1AD4">
            <w:pPr>
              <w:spacing w:line="360" w:lineRule="auto"/>
              <w:jc w:val="center"/>
              <w:rPr>
                <w:lang w:val="en-GB"/>
              </w:rPr>
            </w:pPr>
            <w:r>
              <w:rPr>
                <w:lang w:val="en-GB"/>
              </w:rPr>
              <w:t>18</w:t>
            </w:r>
          </w:p>
          <w:p w14:paraId="6782C919" w14:textId="6A841CF7" w:rsidR="00B03781" w:rsidRPr="00907FC9" w:rsidRDefault="00B03781" w:rsidP="00B03781">
            <w:pPr>
              <w:spacing w:line="360" w:lineRule="auto"/>
              <w:jc w:val="center"/>
              <w:rPr>
                <w:lang w:val="en-GB"/>
              </w:rPr>
            </w:pPr>
            <w:r>
              <w:rPr>
                <w:lang w:val="en-GB"/>
              </w:rPr>
              <w:t>(4%)</w:t>
            </w:r>
          </w:p>
        </w:tc>
      </w:tr>
      <w:tr w:rsidR="004E547F" w:rsidRPr="00907FC9" w14:paraId="59B25383" w14:textId="77777777" w:rsidTr="00B040ED">
        <w:tc>
          <w:tcPr>
            <w:tcW w:w="2733" w:type="dxa"/>
          </w:tcPr>
          <w:p w14:paraId="37BE74A4" w14:textId="4023D269" w:rsidR="004E547F" w:rsidRPr="00907FC9" w:rsidRDefault="00FC1075" w:rsidP="00CB1AD4">
            <w:pPr>
              <w:spacing w:line="360" w:lineRule="auto"/>
              <w:rPr>
                <w:lang w:val="en-GB"/>
              </w:rPr>
            </w:pPr>
            <w:r>
              <w:rPr>
                <w:lang w:val="en-GB"/>
              </w:rPr>
              <w:t>Stabbing, Cutting &amp; Wounding</w:t>
            </w:r>
          </w:p>
        </w:tc>
        <w:tc>
          <w:tcPr>
            <w:tcW w:w="2014" w:type="dxa"/>
          </w:tcPr>
          <w:p w14:paraId="7055DB75" w14:textId="6A848B16" w:rsidR="006C1F60" w:rsidRPr="00907FC9" w:rsidRDefault="001A5A67" w:rsidP="00CB1AD4">
            <w:pPr>
              <w:spacing w:line="360" w:lineRule="auto"/>
              <w:jc w:val="center"/>
              <w:rPr>
                <w:lang w:val="en-GB"/>
              </w:rPr>
            </w:pPr>
            <w:r>
              <w:rPr>
                <w:lang w:val="en-GB"/>
              </w:rPr>
              <w:t>0</w:t>
            </w:r>
          </w:p>
        </w:tc>
        <w:tc>
          <w:tcPr>
            <w:tcW w:w="2081" w:type="dxa"/>
          </w:tcPr>
          <w:p w14:paraId="54EC87C0" w14:textId="77777777" w:rsidR="00FC1075" w:rsidRDefault="001A5A67" w:rsidP="00CB1AD4">
            <w:pPr>
              <w:spacing w:line="360" w:lineRule="auto"/>
              <w:jc w:val="center"/>
              <w:rPr>
                <w:lang w:val="en-GB"/>
              </w:rPr>
            </w:pPr>
            <w:r>
              <w:rPr>
                <w:lang w:val="en-GB"/>
              </w:rPr>
              <w:t>4</w:t>
            </w:r>
          </w:p>
          <w:p w14:paraId="28D105BA" w14:textId="1120ADBD" w:rsidR="00510B80" w:rsidRPr="00907FC9" w:rsidRDefault="00510B80" w:rsidP="00CB1AD4">
            <w:pPr>
              <w:spacing w:line="360" w:lineRule="auto"/>
              <w:jc w:val="center"/>
              <w:rPr>
                <w:lang w:val="en-GB"/>
              </w:rPr>
            </w:pPr>
            <w:r>
              <w:rPr>
                <w:lang w:val="en-GB"/>
              </w:rPr>
              <w:t>(100%)</w:t>
            </w:r>
          </w:p>
        </w:tc>
        <w:tc>
          <w:tcPr>
            <w:tcW w:w="1688" w:type="dxa"/>
          </w:tcPr>
          <w:p w14:paraId="6958133C" w14:textId="77777777" w:rsidR="006C1F60" w:rsidRDefault="001A5A67" w:rsidP="00CB1AD4">
            <w:pPr>
              <w:spacing w:line="360" w:lineRule="auto"/>
              <w:jc w:val="center"/>
              <w:rPr>
                <w:lang w:val="en-GB"/>
              </w:rPr>
            </w:pPr>
            <w:r>
              <w:rPr>
                <w:lang w:val="en-GB"/>
              </w:rPr>
              <w:t>4</w:t>
            </w:r>
          </w:p>
          <w:p w14:paraId="178B651A" w14:textId="72E6C706" w:rsidR="00B03781" w:rsidRPr="00907FC9" w:rsidRDefault="00B03781" w:rsidP="00CB1AD4">
            <w:pPr>
              <w:spacing w:line="360" w:lineRule="auto"/>
              <w:jc w:val="center"/>
              <w:rPr>
                <w:lang w:val="en-GB"/>
              </w:rPr>
            </w:pPr>
            <w:r>
              <w:rPr>
                <w:lang w:val="en-GB"/>
              </w:rPr>
              <w:t>(1%)</w:t>
            </w:r>
          </w:p>
        </w:tc>
      </w:tr>
      <w:tr w:rsidR="004E547F" w:rsidRPr="00907FC9" w14:paraId="043687ED" w14:textId="77777777" w:rsidTr="00B040ED">
        <w:tc>
          <w:tcPr>
            <w:tcW w:w="2733" w:type="dxa"/>
          </w:tcPr>
          <w:p w14:paraId="293AA3DB" w14:textId="6EE84DBF" w:rsidR="004E547F" w:rsidRPr="00907FC9" w:rsidRDefault="00FC1075" w:rsidP="00CB1AD4">
            <w:pPr>
              <w:spacing w:line="360" w:lineRule="auto"/>
              <w:rPr>
                <w:lang w:val="en-GB"/>
              </w:rPr>
            </w:pPr>
            <w:r>
              <w:rPr>
                <w:lang w:val="en-GB"/>
              </w:rPr>
              <w:t>Other Sexual Crimes</w:t>
            </w:r>
          </w:p>
        </w:tc>
        <w:tc>
          <w:tcPr>
            <w:tcW w:w="2014" w:type="dxa"/>
          </w:tcPr>
          <w:p w14:paraId="0415272B" w14:textId="0BEFBEE9" w:rsidR="006C1F60" w:rsidRPr="00907FC9" w:rsidRDefault="001A5A67" w:rsidP="00CB1AD4">
            <w:pPr>
              <w:spacing w:line="360" w:lineRule="auto"/>
              <w:jc w:val="center"/>
              <w:rPr>
                <w:lang w:val="en-GB"/>
              </w:rPr>
            </w:pPr>
            <w:r>
              <w:rPr>
                <w:lang w:val="en-GB"/>
              </w:rPr>
              <w:t>0</w:t>
            </w:r>
          </w:p>
        </w:tc>
        <w:tc>
          <w:tcPr>
            <w:tcW w:w="2081" w:type="dxa"/>
          </w:tcPr>
          <w:p w14:paraId="2DB5EF19" w14:textId="77777777" w:rsidR="00FC1075" w:rsidRDefault="001A5A67" w:rsidP="00CB1AD4">
            <w:pPr>
              <w:spacing w:line="360" w:lineRule="auto"/>
              <w:jc w:val="center"/>
              <w:rPr>
                <w:lang w:val="en-GB"/>
              </w:rPr>
            </w:pPr>
            <w:r>
              <w:rPr>
                <w:lang w:val="en-GB"/>
              </w:rPr>
              <w:t>1</w:t>
            </w:r>
          </w:p>
          <w:p w14:paraId="3A8C4B9A" w14:textId="37A257D7" w:rsidR="00510B80" w:rsidRPr="00907FC9" w:rsidRDefault="00510B80" w:rsidP="00CB1AD4">
            <w:pPr>
              <w:spacing w:line="360" w:lineRule="auto"/>
              <w:jc w:val="center"/>
              <w:rPr>
                <w:lang w:val="en-GB"/>
              </w:rPr>
            </w:pPr>
            <w:r>
              <w:rPr>
                <w:lang w:val="en-GB"/>
              </w:rPr>
              <w:t>(100%)</w:t>
            </w:r>
          </w:p>
        </w:tc>
        <w:tc>
          <w:tcPr>
            <w:tcW w:w="1688" w:type="dxa"/>
          </w:tcPr>
          <w:p w14:paraId="1A6E3668" w14:textId="77777777" w:rsidR="006C1F60" w:rsidRDefault="001A5A67" w:rsidP="00CB1AD4">
            <w:pPr>
              <w:spacing w:line="360" w:lineRule="auto"/>
              <w:jc w:val="center"/>
              <w:rPr>
                <w:lang w:val="en-GB"/>
              </w:rPr>
            </w:pPr>
            <w:r>
              <w:rPr>
                <w:lang w:val="en-GB"/>
              </w:rPr>
              <w:t>1</w:t>
            </w:r>
          </w:p>
          <w:p w14:paraId="4C481410" w14:textId="1129E5C3" w:rsidR="00B03781" w:rsidRPr="00907FC9" w:rsidRDefault="00B03781" w:rsidP="00CB1AD4">
            <w:pPr>
              <w:spacing w:line="360" w:lineRule="auto"/>
              <w:jc w:val="center"/>
              <w:rPr>
                <w:lang w:val="en-GB"/>
              </w:rPr>
            </w:pPr>
            <w:r>
              <w:rPr>
                <w:lang w:val="en-GB"/>
              </w:rPr>
              <w:t>(0.33%)</w:t>
            </w:r>
          </w:p>
        </w:tc>
      </w:tr>
      <w:tr w:rsidR="004E547F" w:rsidRPr="00907FC9" w14:paraId="04C77A4D" w14:textId="77777777" w:rsidTr="00B040ED">
        <w:tc>
          <w:tcPr>
            <w:tcW w:w="2733" w:type="dxa"/>
          </w:tcPr>
          <w:p w14:paraId="3B0947F8" w14:textId="0032FDD3" w:rsidR="004E547F" w:rsidRPr="00907FC9" w:rsidRDefault="00FC1075" w:rsidP="00CB1AD4">
            <w:pPr>
              <w:spacing w:line="360" w:lineRule="auto"/>
              <w:rPr>
                <w:lang w:val="en-GB"/>
              </w:rPr>
            </w:pPr>
            <w:r>
              <w:rPr>
                <w:lang w:val="en-GB"/>
              </w:rPr>
              <w:t>Sheep Stealing</w:t>
            </w:r>
          </w:p>
        </w:tc>
        <w:tc>
          <w:tcPr>
            <w:tcW w:w="2014" w:type="dxa"/>
          </w:tcPr>
          <w:p w14:paraId="14BB216C" w14:textId="6ED32381" w:rsidR="006C1F60" w:rsidRPr="00907FC9" w:rsidRDefault="001A5A67" w:rsidP="00CB1AD4">
            <w:pPr>
              <w:spacing w:line="360" w:lineRule="auto"/>
              <w:jc w:val="center"/>
              <w:rPr>
                <w:lang w:val="en-GB"/>
              </w:rPr>
            </w:pPr>
            <w:r>
              <w:rPr>
                <w:lang w:val="en-GB"/>
              </w:rPr>
              <w:t>0</w:t>
            </w:r>
          </w:p>
        </w:tc>
        <w:tc>
          <w:tcPr>
            <w:tcW w:w="2081" w:type="dxa"/>
          </w:tcPr>
          <w:p w14:paraId="6A10B110" w14:textId="77777777" w:rsidR="00FC1075" w:rsidRDefault="001A5A67" w:rsidP="00CB1AD4">
            <w:pPr>
              <w:spacing w:line="360" w:lineRule="auto"/>
              <w:jc w:val="center"/>
              <w:rPr>
                <w:lang w:val="en-GB"/>
              </w:rPr>
            </w:pPr>
            <w:r>
              <w:rPr>
                <w:lang w:val="en-GB"/>
              </w:rPr>
              <w:t>19</w:t>
            </w:r>
          </w:p>
          <w:p w14:paraId="4DCC4026" w14:textId="1D65AA7A" w:rsidR="00510B80" w:rsidRPr="00907FC9" w:rsidRDefault="00510B80" w:rsidP="00CB1AD4">
            <w:pPr>
              <w:spacing w:line="360" w:lineRule="auto"/>
              <w:jc w:val="center"/>
              <w:rPr>
                <w:lang w:val="en-GB"/>
              </w:rPr>
            </w:pPr>
            <w:r>
              <w:rPr>
                <w:lang w:val="en-GB"/>
              </w:rPr>
              <w:t>(100%)</w:t>
            </w:r>
          </w:p>
        </w:tc>
        <w:tc>
          <w:tcPr>
            <w:tcW w:w="1688" w:type="dxa"/>
          </w:tcPr>
          <w:p w14:paraId="0F60233D" w14:textId="77777777" w:rsidR="006C1F60" w:rsidRDefault="001A5A67" w:rsidP="00CB1AD4">
            <w:pPr>
              <w:spacing w:line="360" w:lineRule="auto"/>
              <w:jc w:val="center"/>
              <w:rPr>
                <w:lang w:val="en-GB"/>
              </w:rPr>
            </w:pPr>
            <w:r>
              <w:rPr>
                <w:lang w:val="en-GB"/>
              </w:rPr>
              <w:t>19</w:t>
            </w:r>
          </w:p>
          <w:p w14:paraId="763493E1" w14:textId="5A1A0BD5" w:rsidR="00B03781" w:rsidRDefault="00B03781" w:rsidP="00CB1AD4">
            <w:pPr>
              <w:spacing w:line="360" w:lineRule="auto"/>
              <w:jc w:val="center"/>
              <w:rPr>
                <w:lang w:val="en-GB"/>
              </w:rPr>
            </w:pPr>
            <w:r>
              <w:rPr>
                <w:lang w:val="en-GB"/>
              </w:rPr>
              <w:t>(4.5%)</w:t>
            </w:r>
          </w:p>
          <w:p w14:paraId="515353ED" w14:textId="434642B8" w:rsidR="00B03781" w:rsidRPr="00907FC9" w:rsidRDefault="00B03781" w:rsidP="00CB1AD4">
            <w:pPr>
              <w:spacing w:line="360" w:lineRule="auto"/>
              <w:jc w:val="center"/>
              <w:rPr>
                <w:lang w:val="en-GB"/>
              </w:rPr>
            </w:pPr>
          </w:p>
        </w:tc>
      </w:tr>
      <w:tr w:rsidR="004E547F" w:rsidRPr="00907FC9" w14:paraId="53FEAAFA" w14:textId="77777777" w:rsidTr="00B040ED">
        <w:tc>
          <w:tcPr>
            <w:tcW w:w="2733" w:type="dxa"/>
          </w:tcPr>
          <w:p w14:paraId="73AB8F39" w14:textId="3EC215B8" w:rsidR="004E547F" w:rsidRPr="00907FC9" w:rsidRDefault="00FC1075" w:rsidP="00CB1AD4">
            <w:pPr>
              <w:spacing w:line="360" w:lineRule="auto"/>
              <w:rPr>
                <w:lang w:val="en-GB"/>
              </w:rPr>
            </w:pPr>
            <w:r>
              <w:rPr>
                <w:lang w:val="en-GB"/>
              </w:rPr>
              <w:t>Cattle Stealing</w:t>
            </w:r>
          </w:p>
        </w:tc>
        <w:tc>
          <w:tcPr>
            <w:tcW w:w="2014" w:type="dxa"/>
          </w:tcPr>
          <w:p w14:paraId="4B69D792" w14:textId="797A5286" w:rsidR="00E658F4" w:rsidRPr="00907FC9" w:rsidRDefault="001A5A67" w:rsidP="00CB1AD4">
            <w:pPr>
              <w:spacing w:line="360" w:lineRule="auto"/>
              <w:jc w:val="center"/>
              <w:rPr>
                <w:lang w:val="en-GB"/>
              </w:rPr>
            </w:pPr>
            <w:r>
              <w:rPr>
                <w:lang w:val="en-GB"/>
              </w:rPr>
              <w:t>0</w:t>
            </w:r>
          </w:p>
        </w:tc>
        <w:tc>
          <w:tcPr>
            <w:tcW w:w="2081" w:type="dxa"/>
          </w:tcPr>
          <w:p w14:paraId="6049C0DE" w14:textId="77777777" w:rsidR="00FC1075" w:rsidRDefault="001A5A67" w:rsidP="00CB1AD4">
            <w:pPr>
              <w:spacing w:line="360" w:lineRule="auto"/>
              <w:jc w:val="center"/>
              <w:rPr>
                <w:lang w:val="en-GB"/>
              </w:rPr>
            </w:pPr>
            <w:r>
              <w:rPr>
                <w:lang w:val="en-GB"/>
              </w:rPr>
              <w:t>23</w:t>
            </w:r>
          </w:p>
          <w:p w14:paraId="605F945E" w14:textId="0878E77C" w:rsidR="00510B80" w:rsidRPr="00907FC9" w:rsidRDefault="00510B80" w:rsidP="00CB1AD4">
            <w:pPr>
              <w:spacing w:line="360" w:lineRule="auto"/>
              <w:jc w:val="center"/>
              <w:rPr>
                <w:lang w:val="en-GB"/>
              </w:rPr>
            </w:pPr>
            <w:r>
              <w:rPr>
                <w:lang w:val="en-GB"/>
              </w:rPr>
              <w:t>(100%)</w:t>
            </w:r>
          </w:p>
        </w:tc>
        <w:tc>
          <w:tcPr>
            <w:tcW w:w="1688" w:type="dxa"/>
          </w:tcPr>
          <w:p w14:paraId="3444D634" w14:textId="77777777" w:rsidR="006C1F60" w:rsidRDefault="001A5A67" w:rsidP="00CB1AD4">
            <w:pPr>
              <w:spacing w:line="360" w:lineRule="auto"/>
              <w:jc w:val="center"/>
              <w:rPr>
                <w:lang w:val="en-GB"/>
              </w:rPr>
            </w:pPr>
            <w:r>
              <w:rPr>
                <w:lang w:val="en-GB"/>
              </w:rPr>
              <w:t>23</w:t>
            </w:r>
          </w:p>
          <w:p w14:paraId="1C431162" w14:textId="4FDA4AFA" w:rsidR="00B03781" w:rsidRPr="00907FC9" w:rsidRDefault="00B03781" w:rsidP="00CB1AD4">
            <w:pPr>
              <w:spacing w:line="360" w:lineRule="auto"/>
              <w:jc w:val="center"/>
              <w:rPr>
                <w:lang w:val="en-GB"/>
              </w:rPr>
            </w:pPr>
            <w:r>
              <w:rPr>
                <w:lang w:val="en-GB"/>
              </w:rPr>
              <w:t>(5%)</w:t>
            </w:r>
          </w:p>
        </w:tc>
      </w:tr>
      <w:tr w:rsidR="004E547F" w:rsidRPr="00907FC9" w14:paraId="37EE826C" w14:textId="77777777" w:rsidTr="00B040ED">
        <w:tc>
          <w:tcPr>
            <w:tcW w:w="2733" w:type="dxa"/>
          </w:tcPr>
          <w:p w14:paraId="6BF21282" w14:textId="2016297B" w:rsidR="004E547F" w:rsidRPr="00907FC9" w:rsidRDefault="00FC1075" w:rsidP="00CB1AD4">
            <w:pPr>
              <w:spacing w:line="360" w:lineRule="auto"/>
              <w:rPr>
                <w:lang w:val="en-GB"/>
              </w:rPr>
            </w:pPr>
            <w:r>
              <w:rPr>
                <w:lang w:val="en-GB"/>
              </w:rPr>
              <w:t>Horse Stealing</w:t>
            </w:r>
          </w:p>
        </w:tc>
        <w:tc>
          <w:tcPr>
            <w:tcW w:w="2014" w:type="dxa"/>
          </w:tcPr>
          <w:p w14:paraId="2B3624C9" w14:textId="34D98E58" w:rsidR="00E658F4" w:rsidRPr="00907FC9" w:rsidRDefault="001A5A67" w:rsidP="00CB1AD4">
            <w:pPr>
              <w:spacing w:line="360" w:lineRule="auto"/>
              <w:jc w:val="center"/>
              <w:rPr>
                <w:lang w:val="en-GB"/>
              </w:rPr>
            </w:pPr>
            <w:r>
              <w:rPr>
                <w:lang w:val="en-GB"/>
              </w:rPr>
              <w:t>0</w:t>
            </w:r>
          </w:p>
        </w:tc>
        <w:tc>
          <w:tcPr>
            <w:tcW w:w="2081" w:type="dxa"/>
          </w:tcPr>
          <w:p w14:paraId="21552391" w14:textId="77777777" w:rsidR="00FC1075" w:rsidRDefault="001A5A67" w:rsidP="00CB1AD4">
            <w:pPr>
              <w:spacing w:line="360" w:lineRule="auto"/>
              <w:jc w:val="center"/>
              <w:rPr>
                <w:lang w:val="en-GB"/>
              </w:rPr>
            </w:pPr>
            <w:r>
              <w:rPr>
                <w:lang w:val="en-GB"/>
              </w:rPr>
              <w:t>46</w:t>
            </w:r>
          </w:p>
          <w:p w14:paraId="1AD5DAEF" w14:textId="5A4228E6" w:rsidR="00510B80" w:rsidRPr="00907FC9" w:rsidRDefault="00510B80" w:rsidP="00CB1AD4">
            <w:pPr>
              <w:spacing w:line="360" w:lineRule="auto"/>
              <w:jc w:val="center"/>
              <w:rPr>
                <w:lang w:val="en-GB"/>
              </w:rPr>
            </w:pPr>
            <w:r>
              <w:rPr>
                <w:lang w:val="en-GB"/>
              </w:rPr>
              <w:t>(100%)</w:t>
            </w:r>
          </w:p>
        </w:tc>
        <w:tc>
          <w:tcPr>
            <w:tcW w:w="1688" w:type="dxa"/>
          </w:tcPr>
          <w:p w14:paraId="047B3A9B" w14:textId="77777777" w:rsidR="00FC1075" w:rsidRDefault="001A5A67" w:rsidP="00FC1075">
            <w:pPr>
              <w:spacing w:line="360" w:lineRule="auto"/>
              <w:jc w:val="center"/>
              <w:rPr>
                <w:lang w:val="en-GB"/>
              </w:rPr>
            </w:pPr>
            <w:r>
              <w:rPr>
                <w:lang w:val="en-GB"/>
              </w:rPr>
              <w:t>46</w:t>
            </w:r>
          </w:p>
          <w:p w14:paraId="4D43AA71" w14:textId="370D7665" w:rsidR="00B03781" w:rsidRPr="00907FC9" w:rsidRDefault="00B03781" w:rsidP="00B03781">
            <w:pPr>
              <w:spacing w:line="360" w:lineRule="auto"/>
              <w:jc w:val="center"/>
              <w:rPr>
                <w:lang w:val="en-GB"/>
              </w:rPr>
            </w:pPr>
            <w:r>
              <w:rPr>
                <w:lang w:val="en-GB"/>
              </w:rPr>
              <w:t>(10.5%)</w:t>
            </w:r>
          </w:p>
        </w:tc>
      </w:tr>
      <w:tr w:rsidR="004E547F" w:rsidRPr="00907FC9" w14:paraId="0B1BAF25" w14:textId="77777777" w:rsidTr="00B040ED">
        <w:tc>
          <w:tcPr>
            <w:tcW w:w="2733" w:type="dxa"/>
          </w:tcPr>
          <w:p w14:paraId="540E4D1D" w14:textId="1C35EB29" w:rsidR="004E547F" w:rsidRPr="00907FC9" w:rsidRDefault="00FC1075" w:rsidP="00CB1AD4">
            <w:pPr>
              <w:spacing w:line="360" w:lineRule="auto"/>
              <w:rPr>
                <w:lang w:val="en-GB"/>
              </w:rPr>
            </w:pPr>
            <w:r>
              <w:rPr>
                <w:lang w:val="en-GB"/>
              </w:rPr>
              <w:t>Larceny</w:t>
            </w:r>
          </w:p>
        </w:tc>
        <w:tc>
          <w:tcPr>
            <w:tcW w:w="2014" w:type="dxa"/>
          </w:tcPr>
          <w:p w14:paraId="7F94AB23" w14:textId="7AF32D27" w:rsidR="006C1F60" w:rsidRPr="00907FC9" w:rsidRDefault="001A5A67" w:rsidP="00CB1AD4">
            <w:pPr>
              <w:spacing w:line="360" w:lineRule="auto"/>
              <w:jc w:val="center"/>
              <w:rPr>
                <w:lang w:val="en-GB"/>
              </w:rPr>
            </w:pPr>
            <w:r>
              <w:rPr>
                <w:lang w:val="en-GB"/>
              </w:rPr>
              <w:t>0</w:t>
            </w:r>
          </w:p>
        </w:tc>
        <w:tc>
          <w:tcPr>
            <w:tcW w:w="2081" w:type="dxa"/>
          </w:tcPr>
          <w:p w14:paraId="3727D460" w14:textId="77777777" w:rsidR="00FC1075" w:rsidRDefault="001A5A67" w:rsidP="00CB1AD4">
            <w:pPr>
              <w:spacing w:line="360" w:lineRule="auto"/>
              <w:jc w:val="center"/>
              <w:rPr>
                <w:lang w:val="en-GB"/>
              </w:rPr>
            </w:pPr>
            <w:r>
              <w:rPr>
                <w:lang w:val="en-GB"/>
              </w:rPr>
              <w:t>23</w:t>
            </w:r>
          </w:p>
          <w:p w14:paraId="290671CE" w14:textId="0E0B3208" w:rsidR="00510B80" w:rsidRPr="00907FC9" w:rsidRDefault="00510B80" w:rsidP="00CB1AD4">
            <w:pPr>
              <w:spacing w:line="360" w:lineRule="auto"/>
              <w:jc w:val="center"/>
              <w:rPr>
                <w:lang w:val="en-GB"/>
              </w:rPr>
            </w:pPr>
            <w:r>
              <w:rPr>
                <w:lang w:val="en-GB"/>
              </w:rPr>
              <w:t>(100%)</w:t>
            </w:r>
          </w:p>
        </w:tc>
        <w:tc>
          <w:tcPr>
            <w:tcW w:w="1688" w:type="dxa"/>
          </w:tcPr>
          <w:p w14:paraId="1A83D6C9" w14:textId="77777777" w:rsidR="004E547F" w:rsidRDefault="001A5A67" w:rsidP="00CB1AD4">
            <w:pPr>
              <w:spacing w:line="360" w:lineRule="auto"/>
              <w:jc w:val="center"/>
              <w:rPr>
                <w:lang w:val="en-GB"/>
              </w:rPr>
            </w:pPr>
            <w:r>
              <w:rPr>
                <w:lang w:val="en-GB"/>
              </w:rPr>
              <w:t>23</w:t>
            </w:r>
          </w:p>
          <w:p w14:paraId="3DFF6D94" w14:textId="4ED3AB8B" w:rsidR="00B03781" w:rsidRPr="00907FC9" w:rsidRDefault="00B03781" w:rsidP="00CB1AD4">
            <w:pPr>
              <w:spacing w:line="360" w:lineRule="auto"/>
              <w:jc w:val="center"/>
              <w:rPr>
                <w:lang w:val="en-GB"/>
              </w:rPr>
            </w:pPr>
            <w:r>
              <w:rPr>
                <w:lang w:val="en-GB"/>
              </w:rPr>
              <w:t>(5%)</w:t>
            </w:r>
          </w:p>
        </w:tc>
      </w:tr>
      <w:tr w:rsidR="004E547F" w:rsidRPr="00907FC9" w14:paraId="4B36B2D5" w14:textId="77777777" w:rsidTr="00B040ED">
        <w:tc>
          <w:tcPr>
            <w:tcW w:w="2733" w:type="dxa"/>
          </w:tcPr>
          <w:p w14:paraId="401AD2E4" w14:textId="3C5ABC53" w:rsidR="004E547F" w:rsidRPr="00907FC9" w:rsidRDefault="00FC1075" w:rsidP="00CB1AD4">
            <w:pPr>
              <w:spacing w:line="360" w:lineRule="auto"/>
              <w:rPr>
                <w:lang w:val="en-GB"/>
              </w:rPr>
            </w:pPr>
            <w:r>
              <w:rPr>
                <w:lang w:val="en-GB"/>
              </w:rPr>
              <w:lastRenderedPageBreak/>
              <w:t>Larceny in a dwelling house</w:t>
            </w:r>
          </w:p>
        </w:tc>
        <w:tc>
          <w:tcPr>
            <w:tcW w:w="2014" w:type="dxa"/>
          </w:tcPr>
          <w:p w14:paraId="46C63DF7" w14:textId="2CB9312A" w:rsidR="006C1F60" w:rsidRPr="00907FC9" w:rsidRDefault="001A5A67" w:rsidP="00CB1AD4">
            <w:pPr>
              <w:spacing w:line="360" w:lineRule="auto"/>
              <w:jc w:val="center"/>
              <w:rPr>
                <w:lang w:val="en-GB"/>
              </w:rPr>
            </w:pPr>
            <w:r>
              <w:rPr>
                <w:lang w:val="en-GB"/>
              </w:rPr>
              <w:t>0</w:t>
            </w:r>
          </w:p>
        </w:tc>
        <w:tc>
          <w:tcPr>
            <w:tcW w:w="2081" w:type="dxa"/>
          </w:tcPr>
          <w:p w14:paraId="5E8B1780" w14:textId="77777777" w:rsidR="00FC1075" w:rsidRDefault="001A5A67" w:rsidP="00CB1AD4">
            <w:pPr>
              <w:spacing w:line="360" w:lineRule="auto"/>
              <w:jc w:val="center"/>
              <w:rPr>
                <w:lang w:val="en-GB"/>
              </w:rPr>
            </w:pPr>
            <w:r>
              <w:rPr>
                <w:lang w:val="en-GB"/>
              </w:rPr>
              <w:t>23</w:t>
            </w:r>
          </w:p>
          <w:p w14:paraId="51BA2C59" w14:textId="191164FD" w:rsidR="00510B80" w:rsidRPr="00907FC9" w:rsidRDefault="00510B80" w:rsidP="00CB1AD4">
            <w:pPr>
              <w:spacing w:line="360" w:lineRule="auto"/>
              <w:jc w:val="center"/>
              <w:rPr>
                <w:lang w:val="en-GB"/>
              </w:rPr>
            </w:pPr>
            <w:r>
              <w:rPr>
                <w:lang w:val="en-GB"/>
              </w:rPr>
              <w:t>(100%)</w:t>
            </w:r>
          </w:p>
        </w:tc>
        <w:tc>
          <w:tcPr>
            <w:tcW w:w="1688" w:type="dxa"/>
          </w:tcPr>
          <w:p w14:paraId="2968DB20" w14:textId="77777777" w:rsidR="006C1F60" w:rsidRDefault="001A5A67" w:rsidP="00CB1AD4">
            <w:pPr>
              <w:spacing w:line="360" w:lineRule="auto"/>
              <w:jc w:val="center"/>
              <w:rPr>
                <w:lang w:val="en-GB"/>
              </w:rPr>
            </w:pPr>
            <w:r>
              <w:rPr>
                <w:lang w:val="en-GB"/>
              </w:rPr>
              <w:t>23</w:t>
            </w:r>
          </w:p>
          <w:p w14:paraId="4C253A34" w14:textId="36AB161E" w:rsidR="00B03781" w:rsidRPr="00907FC9" w:rsidRDefault="00B03781" w:rsidP="00CB1AD4">
            <w:pPr>
              <w:spacing w:line="360" w:lineRule="auto"/>
              <w:jc w:val="center"/>
              <w:rPr>
                <w:lang w:val="en-GB"/>
              </w:rPr>
            </w:pPr>
            <w:r>
              <w:rPr>
                <w:lang w:val="en-GB"/>
              </w:rPr>
              <w:t>(5%)</w:t>
            </w:r>
          </w:p>
        </w:tc>
      </w:tr>
      <w:tr w:rsidR="004E547F" w:rsidRPr="00907FC9" w14:paraId="79277F7C" w14:textId="77777777" w:rsidTr="00B040ED">
        <w:tc>
          <w:tcPr>
            <w:tcW w:w="2733" w:type="dxa"/>
          </w:tcPr>
          <w:p w14:paraId="0C777C55" w14:textId="759754A8" w:rsidR="004E547F" w:rsidRPr="00907FC9" w:rsidRDefault="00FC1075" w:rsidP="00CB1AD4">
            <w:pPr>
              <w:spacing w:line="360" w:lineRule="auto"/>
              <w:rPr>
                <w:lang w:val="en-GB"/>
              </w:rPr>
            </w:pPr>
            <w:r>
              <w:rPr>
                <w:lang w:val="en-GB"/>
              </w:rPr>
              <w:t>Housebreaking</w:t>
            </w:r>
          </w:p>
        </w:tc>
        <w:tc>
          <w:tcPr>
            <w:tcW w:w="2014" w:type="dxa"/>
          </w:tcPr>
          <w:p w14:paraId="41A19AB5" w14:textId="28D776F7" w:rsidR="00E658F4" w:rsidRPr="00907FC9" w:rsidRDefault="001A5A67" w:rsidP="00CB1AD4">
            <w:pPr>
              <w:spacing w:line="360" w:lineRule="auto"/>
              <w:jc w:val="center"/>
              <w:rPr>
                <w:lang w:val="en-GB"/>
              </w:rPr>
            </w:pPr>
            <w:r>
              <w:rPr>
                <w:lang w:val="en-GB"/>
              </w:rPr>
              <w:t>0</w:t>
            </w:r>
          </w:p>
        </w:tc>
        <w:tc>
          <w:tcPr>
            <w:tcW w:w="2081" w:type="dxa"/>
          </w:tcPr>
          <w:p w14:paraId="4B5C0F6F" w14:textId="77777777" w:rsidR="00FC1075" w:rsidRDefault="001A5A67" w:rsidP="00CB1AD4">
            <w:pPr>
              <w:spacing w:line="360" w:lineRule="auto"/>
              <w:jc w:val="center"/>
              <w:rPr>
                <w:lang w:val="en-GB"/>
              </w:rPr>
            </w:pPr>
            <w:r>
              <w:rPr>
                <w:lang w:val="en-GB"/>
              </w:rPr>
              <w:t>44</w:t>
            </w:r>
          </w:p>
          <w:p w14:paraId="6FB8FB2D" w14:textId="25C8E0C7" w:rsidR="00510B80" w:rsidRPr="00907FC9" w:rsidRDefault="00510B80" w:rsidP="00CB1AD4">
            <w:pPr>
              <w:spacing w:line="360" w:lineRule="auto"/>
              <w:jc w:val="center"/>
              <w:rPr>
                <w:lang w:val="en-GB"/>
              </w:rPr>
            </w:pPr>
            <w:r>
              <w:rPr>
                <w:lang w:val="en-GB"/>
              </w:rPr>
              <w:t>(100%)</w:t>
            </w:r>
          </w:p>
        </w:tc>
        <w:tc>
          <w:tcPr>
            <w:tcW w:w="1688" w:type="dxa"/>
          </w:tcPr>
          <w:p w14:paraId="5C7C5F47" w14:textId="77777777" w:rsidR="006C1F60" w:rsidRDefault="001A5A67" w:rsidP="00CB1AD4">
            <w:pPr>
              <w:spacing w:line="360" w:lineRule="auto"/>
              <w:jc w:val="center"/>
              <w:rPr>
                <w:lang w:val="en-GB"/>
              </w:rPr>
            </w:pPr>
            <w:r>
              <w:rPr>
                <w:lang w:val="en-GB"/>
              </w:rPr>
              <w:t>44</w:t>
            </w:r>
          </w:p>
          <w:p w14:paraId="6B92C89F" w14:textId="2A601397" w:rsidR="00B03781" w:rsidRPr="00907FC9" w:rsidRDefault="00B03781" w:rsidP="00CB1AD4">
            <w:pPr>
              <w:spacing w:line="360" w:lineRule="auto"/>
              <w:jc w:val="center"/>
              <w:rPr>
                <w:lang w:val="en-GB"/>
              </w:rPr>
            </w:pPr>
            <w:r>
              <w:rPr>
                <w:lang w:val="en-GB"/>
              </w:rPr>
              <w:t>(10%)</w:t>
            </w:r>
          </w:p>
        </w:tc>
      </w:tr>
      <w:tr w:rsidR="00726B55" w:rsidRPr="00907FC9" w14:paraId="03967F35" w14:textId="77777777" w:rsidTr="00B040ED">
        <w:tc>
          <w:tcPr>
            <w:tcW w:w="2733" w:type="dxa"/>
          </w:tcPr>
          <w:p w14:paraId="2D5ACEFA" w14:textId="3F9AD930" w:rsidR="00726B55" w:rsidRDefault="00726B55" w:rsidP="00CB1AD4">
            <w:pPr>
              <w:spacing w:line="360" w:lineRule="auto"/>
              <w:rPr>
                <w:lang w:val="en-GB"/>
              </w:rPr>
            </w:pPr>
            <w:r>
              <w:rPr>
                <w:lang w:val="en-GB"/>
              </w:rPr>
              <w:t>Game Offences</w:t>
            </w:r>
          </w:p>
        </w:tc>
        <w:tc>
          <w:tcPr>
            <w:tcW w:w="2014" w:type="dxa"/>
          </w:tcPr>
          <w:p w14:paraId="0FC31EA5" w14:textId="328AE479" w:rsidR="00726B55" w:rsidRDefault="00726B55" w:rsidP="00CB1AD4">
            <w:pPr>
              <w:spacing w:line="360" w:lineRule="auto"/>
              <w:jc w:val="center"/>
              <w:rPr>
                <w:lang w:val="en-GB"/>
              </w:rPr>
            </w:pPr>
            <w:r>
              <w:rPr>
                <w:lang w:val="en-GB"/>
              </w:rPr>
              <w:t>0</w:t>
            </w:r>
          </w:p>
        </w:tc>
        <w:tc>
          <w:tcPr>
            <w:tcW w:w="2081" w:type="dxa"/>
          </w:tcPr>
          <w:p w14:paraId="266408C3" w14:textId="77777777" w:rsidR="00726B55" w:rsidRDefault="00726B55" w:rsidP="00CB1AD4">
            <w:pPr>
              <w:spacing w:line="360" w:lineRule="auto"/>
              <w:jc w:val="center"/>
              <w:rPr>
                <w:lang w:val="en-GB"/>
              </w:rPr>
            </w:pPr>
            <w:r>
              <w:rPr>
                <w:lang w:val="en-GB"/>
              </w:rPr>
              <w:t>1</w:t>
            </w:r>
          </w:p>
          <w:p w14:paraId="4B7B60E7" w14:textId="66B0EBD7" w:rsidR="00510B80" w:rsidRDefault="00510B80" w:rsidP="00CB1AD4">
            <w:pPr>
              <w:spacing w:line="360" w:lineRule="auto"/>
              <w:jc w:val="center"/>
              <w:rPr>
                <w:lang w:val="en-GB"/>
              </w:rPr>
            </w:pPr>
            <w:r>
              <w:rPr>
                <w:lang w:val="en-GB"/>
              </w:rPr>
              <w:t>(100%)</w:t>
            </w:r>
          </w:p>
        </w:tc>
        <w:tc>
          <w:tcPr>
            <w:tcW w:w="1688" w:type="dxa"/>
          </w:tcPr>
          <w:p w14:paraId="42DC57CE" w14:textId="77777777" w:rsidR="00726B55" w:rsidRDefault="00726B55" w:rsidP="00CB1AD4">
            <w:pPr>
              <w:spacing w:line="360" w:lineRule="auto"/>
              <w:jc w:val="center"/>
              <w:rPr>
                <w:lang w:val="en-GB"/>
              </w:rPr>
            </w:pPr>
            <w:r>
              <w:rPr>
                <w:lang w:val="en-GB"/>
              </w:rPr>
              <w:t>1</w:t>
            </w:r>
          </w:p>
          <w:p w14:paraId="57416A43" w14:textId="1A214C69" w:rsidR="00B03781" w:rsidRDefault="00B03781" w:rsidP="00CB1AD4">
            <w:pPr>
              <w:spacing w:line="360" w:lineRule="auto"/>
              <w:jc w:val="center"/>
              <w:rPr>
                <w:lang w:val="en-GB"/>
              </w:rPr>
            </w:pPr>
            <w:r>
              <w:rPr>
                <w:lang w:val="en-GB"/>
              </w:rPr>
              <w:t>(0.33%)</w:t>
            </w:r>
          </w:p>
        </w:tc>
      </w:tr>
      <w:tr w:rsidR="004E547F" w:rsidRPr="00907FC9" w14:paraId="10FFEBA4" w14:textId="77777777" w:rsidTr="00B040ED">
        <w:tc>
          <w:tcPr>
            <w:tcW w:w="2733" w:type="dxa"/>
          </w:tcPr>
          <w:p w14:paraId="7B529E78" w14:textId="664E1390" w:rsidR="004E547F" w:rsidRPr="00907FC9" w:rsidRDefault="00FC1075" w:rsidP="00CB1AD4">
            <w:pPr>
              <w:spacing w:line="360" w:lineRule="auto"/>
              <w:rPr>
                <w:lang w:val="en-GB"/>
              </w:rPr>
            </w:pPr>
            <w:r>
              <w:rPr>
                <w:lang w:val="en-GB"/>
              </w:rPr>
              <w:t>Fraud &amp; Forgery</w:t>
            </w:r>
          </w:p>
        </w:tc>
        <w:tc>
          <w:tcPr>
            <w:tcW w:w="2014" w:type="dxa"/>
          </w:tcPr>
          <w:p w14:paraId="44F30CAE" w14:textId="011CECE2" w:rsidR="004E547F" w:rsidRPr="00907FC9" w:rsidRDefault="001A5A67" w:rsidP="00CB1AD4">
            <w:pPr>
              <w:spacing w:line="360" w:lineRule="auto"/>
              <w:jc w:val="center"/>
              <w:rPr>
                <w:lang w:val="en-GB"/>
              </w:rPr>
            </w:pPr>
            <w:r>
              <w:rPr>
                <w:lang w:val="en-GB"/>
              </w:rPr>
              <w:t>0</w:t>
            </w:r>
          </w:p>
        </w:tc>
        <w:tc>
          <w:tcPr>
            <w:tcW w:w="2081" w:type="dxa"/>
          </w:tcPr>
          <w:p w14:paraId="2C54907E" w14:textId="77777777" w:rsidR="00FC1075" w:rsidRDefault="001A5A67" w:rsidP="00CB1AD4">
            <w:pPr>
              <w:spacing w:line="360" w:lineRule="auto"/>
              <w:jc w:val="center"/>
              <w:rPr>
                <w:lang w:val="en-GB"/>
              </w:rPr>
            </w:pPr>
            <w:r>
              <w:rPr>
                <w:lang w:val="en-GB"/>
              </w:rPr>
              <w:t>10</w:t>
            </w:r>
          </w:p>
          <w:p w14:paraId="3B3A58DC" w14:textId="4337EF24" w:rsidR="00510B80" w:rsidRPr="00907FC9" w:rsidRDefault="00510B80" w:rsidP="00CB1AD4">
            <w:pPr>
              <w:spacing w:line="360" w:lineRule="auto"/>
              <w:jc w:val="center"/>
              <w:rPr>
                <w:lang w:val="en-GB"/>
              </w:rPr>
            </w:pPr>
            <w:r>
              <w:rPr>
                <w:lang w:val="en-GB"/>
              </w:rPr>
              <w:t>(100%)</w:t>
            </w:r>
          </w:p>
        </w:tc>
        <w:tc>
          <w:tcPr>
            <w:tcW w:w="1688" w:type="dxa"/>
          </w:tcPr>
          <w:p w14:paraId="0A7D1211" w14:textId="77777777" w:rsidR="006C1F60" w:rsidRDefault="001A5A67" w:rsidP="00CB1AD4">
            <w:pPr>
              <w:spacing w:line="360" w:lineRule="auto"/>
              <w:jc w:val="center"/>
              <w:rPr>
                <w:lang w:val="en-GB"/>
              </w:rPr>
            </w:pPr>
            <w:r>
              <w:rPr>
                <w:lang w:val="en-GB"/>
              </w:rPr>
              <w:t>10</w:t>
            </w:r>
          </w:p>
          <w:p w14:paraId="0442C804" w14:textId="7B2AD94F" w:rsidR="00B03781" w:rsidRPr="00907FC9" w:rsidRDefault="00B03781" w:rsidP="00CB1AD4">
            <w:pPr>
              <w:spacing w:line="360" w:lineRule="auto"/>
              <w:jc w:val="center"/>
              <w:rPr>
                <w:lang w:val="en-GB"/>
              </w:rPr>
            </w:pPr>
            <w:r>
              <w:rPr>
                <w:lang w:val="en-GB"/>
              </w:rPr>
              <w:t>(2%)</w:t>
            </w:r>
          </w:p>
        </w:tc>
      </w:tr>
      <w:tr w:rsidR="004E547F" w:rsidRPr="00907FC9" w14:paraId="0B55FFF5" w14:textId="77777777" w:rsidTr="00B040ED">
        <w:tc>
          <w:tcPr>
            <w:tcW w:w="2733" w:type="dxa"/>
          </w:tcPr>
          <w:p w14:paraId="416B4F2C" w14:textId="7AF341C1" w:rsidR="004E547F" w:rsidRPr="00907FC9" w:rsidRDefault="00FC1075" w:rsidP="00CB1AD4">
            <w:pPr>
              <w:spacing w:line="360" w:lineRule="auto"/>
              <w:rPr>
                <w:lang w:val="en-GB"/>
              </w:rPr>
            </w:pPr>
            <w:r>
              <w:rPr>
                <w:lang w:val="en-GB"/>
              </w:rPr>
              <w:t>Other</w:t>
            </w:r>
          </w:p>
        </w:tc>
        <w:tc>
          <w:tcPr>
            <w:tcW w:w="2014" w:type="dxa"/>
          </w:tcPr>
          <w:p w14:paraId="5D906D90" w14:textId="424CB1CD" w:rsidR="006C1F60" w:rsidRPr="00907FC9" w:rsidRDefault="001A5A67" w:rsidP="00CB1AD4">
            <w:pPr>
              <w:spacing w:line="360" w:lineRule="auto"/>
              <w:jc w:val="center"/>
              <w:rPr>
                <w:lang w:val="en-GB"/>
              </w:rPr>
            </w:pPr>
            <w:r>
              <w:rPr>
                <w:lang w:val="en-GB"/>
              </w:rPr>
              <w:t>0</w:t>
            </w:r>
          </w:p>
        </w:tc>
        <w:tc>
          <w:tcPr>
            <w:tcW w:w="2081" w:type="dxa"/>
          </w:tcPr>
          <w:p w14:paraId="53DE08DA" w14:textId="77777777" w:rsidR="00FC1075" w:rsidRDefault="001A5A67" w:rsidP="00CB1AD4">
            <w:pPr>
              <w:spacing w:line="360" w:lineRule="auto"/>
              <w:jc w:val="center"/>
              <w:rPr>
                <w:lang w:val="en-GB"/>
              </w:rPr>
            </w:pPr>
            <w:r>
              <w:rPr>
                <w:lang w:val="en-GB"/>
              </w:rPr>
              <w:t>8</w:t>
            </w:r>
          </w:p>
          <w:p w14:paraId="08C80A4D" w14:textId="080665B2" w:rsidR="00510B80" w:rsidRPr="00907FC9" w:rsidRDefault="00510B80" w:rsidP="00CB1AD4">
            <w:pPr>
              <w:spacing w:line="360" w:lineRule="auto"/>
              <w:jc w:val="center"/>
              <w:rPr>
                <w:lang w:val="en-GB"/>
              </w:rPr>
            </w:pPr>
            <w:r>
              <w:rPr>
                <w:lang w:val="en-GB"/>
              </w:rPr>
              <w:t>(100%)</w:t>
            </w:r>
          </w:p>
        </w:tc>
        <w:tc>
          <w:tcPr>
            <w:tcW w:w="1688" w:type="dxa"/>
          </w:tcPr>
          <w:p w14:paraId="35DFA250" w14:textId="77777777" w:rsidR="006C1F60" w:rsidRDefault="001A5A67" w:rsidP="00CB1AD4">
            <w:pPr>
              <w:spacing w:line="360" w:lineRule="auto"/>
              <w:jc w:val="center"/>
              <w:rPr>
                <w:lang w:val="en-GB"/>
              </w:rPr>
            </w:pPr>
            <w:r>
              <w:rPr>
                <w:lang w:val="en-GB"/>
              </w:rPr>
              <w:t>8</w:t>
            </w:r>
          </w:p>
          <w:p w14:paraId="18D054E8" w14:textId="5F629F38" w:rsidR="00B03781" w:rsidRPr="00907FC9" w:rsidRDefault="00B03781" w:rsidP="00CB1AD4">
            <w:pPr>
              <w:spacing w:line="360" w:lineRule="auto"/>
              <w:jc w:val="center"/>
              <w:rPr>
                <w:lang w:val="en-GB"/>
              </w:rPr>
            </w:pPr>
            <w:r>
              <w:rPr>
                <w:lang w:val="en-GB"/>
              </w:rPr>
              <w:t>(2%)</w:t>
            </w:r>
          </w:p>
        </w:tc>
      </w:tr>
      <w:tr w:rsidR="004E547F" w:rsidRPr="00907FC9" w14:paraId="43552863" w14:textId="77777777" w:rsidTr="00B040ED">
        <w:tc>
          <w:tcPr>
            <w:tcW w:w="2733" w:type="dxa"/>
          </w:tcPr>
          <w:p w14:paraId="7D490BE7" w14:textId="007A3E83" w:rsidR="004E547F" w:rsidRPr="00907FC9" w:rsidRDefault="00FC1075" w:rsidP="00FC1075">
            <w:pPr>
              <w:spacing w:line="360" w:lineRule="auto"/>
              <w:jc w:val="right"/>
              <w:rPr>
                <w:b/>
                <w:lang w:val="en-GB"/>
              </w:rPr>
            </w:pPr>
            <w:r>
              <w:rPr>
                <w:b/>
                <w:lang w:val="en-GB"/>
              </w:rPr>
              <w:t>Total</w:t>
            </w:r>
          </w:p>
        </w:tc>
        <w:tc>
          <w:tcPr>
            <w:tcW w:w="2014" w:type="dxa"/>
          </w:tcPr>
          <w:p w14:paraId="639D558A" w14:textId="77777777" w:rsidR="00FC1075" w:rsidRDefault="00617AC5" w:rsidP="00CB1AD4">
            <w:pPr>
              <w:spacing w:line="360" w:lineRule="auto"/>
              <w:jc w:val="center"/>
              <w:rPr>
                <w:lang w:val="en-GB"/>
              </w:rPr>
            </w:pPr>
            <w:r>
              <w:rPr>
                <w:lang w:val="en-GB"/>
              </w:rPr>
              <w:t>38</w:t>
            </w:r>
          </w:p>
          <w:p w14:paraId="0D2241D3" w14:textId="25E77DE1" w:rsidR="00617AC5" w:rsidRPr="00907FC9" w:rsidRDefault="00617AC5" w:rsidP="00CB1AD4">
            <w:pPr>
              <w:spacing w:line="360" w:lineRule="auto"/>
              <w:jc w:val="center"/>
              <w:rPr>
                <w:lang w:val="en-GB"/>
              </w:rPr>
            </w:pPr>
            <w:r>
              <w:rPr>
                <w:lang w:val="en-GB"/>
              </w:rPr>
              <w:t>(9%)</w:t>
            </w:r>
          </w:p>
        </w:tc>
        <w:tc>
          <w:tcPr>
            <w:tcW w:w="2081" w:type="dxa"/>
          </w:tcPr>
          <w:p w14:paraId="3CD4E60C" w14:textId="77777777" w:rsidR="00FC1075" w:rsidRDefault="00617AC5" w:rsidP="00CB1AD4">
            <w:pPr>
              <w:spacing w:line="360" w:lineRule="auto"/>
              <w:jc w:val="center"/>
              <w:rPr>
                <w:lang w:val="en-GB"/>
              </w:rPr>
            </w:pPr>
            <w:r>
              <w:rPr>
                <w:lang w:val="en-GB"/>
              </w:rPr>
              <w:t>402</w:t>
            </w:r>
          </w:p>
          <w:p w14:paraId="255C6C21" w14:textId="4E8A34DF" w:rsidR="00617AC5" w:rsidRPr="00907FC9" w:rsidRDefault="00617AC5" w:rsidP="00CB1AD4">
            <w:pPr>
              <w:spacing w:line="360" w:lineRule="auto"/>
              <w:jc w:val="center"/>
              <w:rPr>
                <w:lang w:val="en-GB"/>
              </w:rPr>
            </w:pPr>
            <w:r>
              <w:rPr>
                <w:lang w:val="en-GB"/>
              </w:rPr>
              <w:t>(91%)</w:t>
            </w:r>
          </w:p>
        </w:tc>
        <w:tc>
          <w:tcPr>
            <w:tcW w:w="1688" w:type="dxa"/>
          </w:tcPr>
          <w:p w14:paraId="25F68231" w14:textId="77777777" w:rsidR="00FC1075" w:rsidRDefault="00617AC5" w:rsidP="00CB1AD4">
            <w:pPr>
              <w:spacing w:line="360" w:lineRule="auto"/>
              <w:jc w:val="center"/>
              <w:rPr>
                <w:lang w:val="en-GB"/>
              </w:rPr>
            </w:pPr>
            <w:r>
              <w:rPr>
                <w:lang w:val="en-GB"/>
              </w:rPr>
              <w:t>440</w:t>
            </w:r>
          </w:p>
          <w:p w14:paraId="3909AD96" w14:textId="39F41383" w:rsidR="00617AC5" w:rsidRPr="00907FC9" w:rsidRDefault="00617AC5" w:rsidP="00CB1AD4">
            <w:pPr>
              <w:spacing w:line="360" w:lineRule="auto"/>
              <w:jc w:val="center"/>
              <w:rPr>
                <w:lang w:val="en-GB"/>
              </w:rPr>
            </w:pPr>
            <w:r>
              <w:rPr>
                <w:lang w:val="en-GB"/>
              </w:rPr>
              <w:t>(100%)</w:t>
            </w:r>
          </w:p>
        </w:tc>
      </w:tr>
    </w:tbl>
    <w:p w14:paraId="5BE5DD0E" w14:textId="7CED62CB" w:rsidR="004E547F" w:rsidRDefault="004E547F" w:rsidP="00CB1AD4">
      <w:pPr>
        <w:spacing w:after="0" w:line="360" w:lineRule="auto"/>
        <w:jc w:val="both"/>
        <w:rPr>
          <w:color w:val="FF0000"/>
          <w:lang w:val="en-GB"/>
        </w:rPr>
      </w:pPr>
    </w:p>
    <w:p w14:paraId="06A64E82" w14:textId="12E4B6ED" w:rsidR="0046092A" w:rsidRPr="00235F95" w:rsidRDefault="00907FC9" w:rsidP="00CB1AD4">
      <w:pPr>
        <w:spacing w:after="0" w:line="360" w:lineRule="auto"/>
        <w:jc w:val="both"/>
        <w:rPr>
          <w:lang w:val="en-GB"/>
        </w:rPr>
      </w:pPr>
      <w:r w:rsidRPr="00235F95">
        <w:rPr>
          <w:lang w:val="en-GB"/>
        </w:rPr>
        <w:t>As discussed in the introduction, for Marxist historians such as Douglas Hay and his colleagues, the Bloody Code was a</w:t>
      </w:r>
      <w:r w:rsidR="008E6DCB" w:rsidRPr="00235F95">
        <w:rPr>
          <w:lang w:val="en-GB"/>
        </w:rPr>
        <w:t>n instrument of terror</w:t>
      </w:r>
      <w:r w:rsidRPr="00235F95">
        <w:rPr>
          <w:lang w:val="en-GB"/>
        </w:rPr>
        <w:t xml:space="preserve"> used by the elite to maintain </w:t>
      </w:r>
      <w:r w:rsidR="008E6DCB" w:rsidRPr="00235F95">
        <w:rPr>
          <w:lang w:val="en-GB"/>
        </w:rPr>
        <w:t xml:space="preserve">order and protect property. By tempering justice (the gallows) with mercy (the pardon), Hay argued, the elite were able to maintain their hegemonic position, by hanging only those deemed to be irredeemable or whose crimes warranted an example </w:t>
      </w:r>
      <w:r w:rsidR="00385414" w:rsidRPr="00235F95">
        <w:rPr>
          <w:lang w:val="en-GB"/>
        </w:rPr>
        <w:t>being made.</w:t>
      </w:r>
      <w:r w:rsidR="00385414" w:rsidRPr="00235F95">
        <w:rPr>
          <w:rStyle w:val="EndnoteReference"/>
          <w:lang w:val="en-GB"/>
        </w:rPr>
        <w:endnoteReference w:id="39"/>
      </w:r>
      <w:r w:rsidR="00385414" w:rsidRPr="00235F95">
        <w:rPr>
          <w:lang w:val="en-GB"/>
        </w:rPr>
        <w:t xml:space="preserve"> On one level, the evidence from the Chester Great Sessions seem</w:t>
      </w:r>
      <w:r w:rsidR="0041609B" w:rsidRPr="00235F95">
        <w:rPr>
          <w:lang w:val="en-GB"/>
        </w:rPr>
        <w:t>s</w:t>
      </w:r>
      <w:r w:rsidR="00385414" w:rsidRPr="00235F95">
        <w:rPr>
          <w:lang w:val="en-GB"/>
        </w:rPr>
        <w:t xml:space="preserve"> to support Hay’s claims. </w:t>
      </w:r>
      <w:r w:rsidR="00941826" w:rsidRPr="00235F95">
        <w:rPr>
          <w:lang w:val="en-GB"/>
        </w:rPr>
        <w:t>T</w:t>
      </w:r>
      <w:r w:rsidR="00302779" w:rsidRPr="00235F95">
        <w:rPr>
          <w:lang w:val="en-GB"/>
        </w:rPr>
        <w:t>he</w:t>
      </w:r>
      <w:r w:rsidR="00041FB8" w:rsidRPr="00235F95">
        <w:rPr>
          <w:lang w:val="en-GB"/>
        </w:rPr>
        <w:t xml:space="preserve"> vast majority of capital convictions at the Chester Great Sessions were for property crimes, most notably </w:t>
      </w:r>
      <w:r w:rsidR="00101810" w:rsidRPr="00235F95">
        <w:rPr>
          <w:lang w:val="en-GB"/>
        </w:rPr>
        <w:t xml:space="preserve">burglary (143 convictions), </w:t>
      </w:r>
      <w:r w:rsidR="00041FB8" w:rsidRPr="00235F95">
        <w:rPr>
          <w:lang w:val="en-GB"/>
        </w:rPr>
        <w:t>horse stealing</w:t>
      </w:r>
      <w:r w:rsidR="00101810" w:rsidRPr="00235F95">
        <w:rPr>
          <w:lang w:val="en-GB"/>
        </w:rPr>
        <w:t xml:space="preserve"> (46 convictions) and </w:t>
      </w:r>
      <w:r w:rsidR="00041FB8" w:rsidRPr="00235F95">
        <w:rPr>
          <w:lang w:val="en-GB"/>
        </w:rPr>
        <w:t>housebreaking (44 convictions)</w:t>
      </w:r>
      <w:r w:rsidR="00101810" w:rsidRPr="00235F95">
        <w:rPr>
          <w:lang w:val="en-GB"/>
        </w:rPr>
        <w:t>. Indeed, convictions for these three offences alone made up 53% of the total number during the period. In contrast, crimes against the person such as murder comprised just 1% of capital convictions, shooting at a person comprised 3%, and rape 2%. Indeed, if the number of capital convictions for shooting with intent and stabbing, cutting and wounding are added to those for murder, the combined total is still almost six-times less than the number of those receiving a</w:t>
      </w:r>
      <w:r w:rsidR="00371523" w:rsidRPr="00235F95">
        <w:rPr>
          <w:lang w:val="en-GB"/>
        </w:rPr>
        <w:t xml:space="preserve"> sentence of death for burglary alone.</w:t>
      </w:r>
    </w:p>
    <w:p w14:paraId="4232F3B7" w14:textId="77777777" w:rsidR="00101810" w:rsidRPr="00235F95" w:rsidRDefault="00101810" w:rsidP="00CB1AD4">
      <w:pPr>
        <w:spacing w:after="0" w:line="360" w:lineRule="auto"/>
        <w:jc w:val="both"/>
        <w:rPr>
          <w:lang w:val="en-GB"/>
        </w:rPr>
      </w:pPr>
    </w:p>
    <w:p w14:paraId="37A7A642" w14:textId="079FBCCB" w:rsidR="0092195B" w:rsidRPr="0040189D" w:rsidRDefault="00101810" w:rsidP="00CB1AD4">
      <w:pPr>
        <w:spacing w:after="0" w:line="360" w:lineRule="auto"/>
        <w:jc w:val="both"/>
        <w:rPr>
          <w:lang w:val="en-GB"/>
        </w:rPr>
      </w:pPr>
      <w:r w:rsidRPr="00235F95">
        <w:rPr>
          <w:lang w:val="en-GB"/>
        </w:rPr>
        <w:tab/>
        <w:t>It was, however, for crimes against the person</w:t>
      </w:r>
      <w:r w:rsidR="0041609B" w:rsidRPr="00235F95">
        <w:rPr>
          <w:lang w:val="en-GB"/>
        </w:rPr>
        <w:t xml:space="preserve">, and not property </w:t>
      </w:r>
      <w:r w:rsidR="004A6622" w:rsidRPr="00235F95">
        <w:rPr>
          <w:lang w:val="en-GB"/>
        </w:rPr>
        <w:t xml:space="preserve">crimes, </w:t>
      </w:r>
      <w:r w:rsidR="004A6622">
        <w:rPr>
          <w:lang w:val="en-GB"/>
        </w:rPr>
        <w:t>that</w:t>
      </w:r>
      <w:r w:rsidRPr="00235F95">
        <w:rPr>
          <w:lang w:val="en-GB"/>
        </w:rPr>
        <w:t xml:space="preserve"> the majority of those sentenced to death were subsequently executed. </w:t>
      </w:r>
      <w:r w:rsidR="00237FED" w:rsidRPr="00235F95">
        <w:rPr>
          <w:lang w:val="en-GB"/>
        </w:rPr>
        <w:t>Murder in particular was a crime for which, as in courts across England and Wa</w:t>
      </w:r>
      <w:r w:rsidR="00112DB8" w:rsidRPr="00235F95">
        <w:rPr>
          <w:lang w:val="en-GB"/>
        </w:rPr>
        <w:t xml:space="preserve">les, that the Chester Sessions </w:t>
      </w:r>
      <w:r w:rsidR="00237FED" w:rsidRPr="00235F95">
        <w:rPr>
          <w:lang w:val="en-GB"/>
        </w:rPr>
        <w:t>showed little mercy</w:t>
      </w:r>
      <w:r w:rsidR="003B397B">
        <w:rPr>
          <w:lang w:val="en-GB"/>
        </w:rPr>
        <w:t xml:space="preserve">. Between 1805 and 1830, </w:t>
      </w:r>
      <w:r w:rsidR="003B397B">
        <w:rPr>
          <w:lang w:val="en-GB"/>
        </w:rPr>
        <w:lastRenderedPageBreak/>
        <w:t>the proportion of convicted murderers across England and Wales who were executed was always high, ranging between 71% and 100%. Of the 24 years of the period for which there is published data, seven saw all those thus convicted dying on the gallows.</w:t>
      </w:r>
      <w:r w:rsidR="003B397B">
        <w:rPr>
          <w:rStyle w:val="EndnoteReference"/>
          <w:lang w:val="en-GB"/>
        </w:rPr>
        <w:endnoteReference w:id="40"/>
      </w:r>
      <w:r w:rsidR="003B397B">
        <w:rPr>
          <w:lang w:val="en-GB"/>
        </w:rPr>
        <w:t xml:space="preserve"> O</w:t>
      </w:r>
      <w:r w:rsidR="00237FED" w:rsidRPr="00235F95">
        <w:rPr>
          <w:lang w:val="en-GB"/>
        </w:rPr>
        <w:t xml:space="preserve">nly one of the six persons, John Grattan, who were sentenced to death </w:t>
      </w:r>
      <w:r w:rsidR="0040189D">
        <w:rPr>
          <w:lang w:val="en-GB"/>
        </w:rPr>
        <w:t xml:space="preserve">at the Chester Great Sessions </w:t>
      </w:r>
      <w:r w:rsidR="00237FED" w:rsidRPr="00235F95">
        <w:rPr>
          <w:lang w:val="en-GB"/>
        </w:rPr>
        <w:t xml:space="preserve">for murder </w:t>
      </w:r>
      <w:r w:rsidR="006755E3">
        <w:rPr>
          <w:lang w:val="en-GB"/>
        </w:rPr>
        <w:t>were not executed</w:t>
      </w:r>
      <w:r w:rsidR="00237FED" w:rsidRPr="00235F95">
        <w:rPr>
          <w:lang w:val="en-GB"/>
        </w:rPr>
        <w:t xml:space="preserve">. Grattan had been indicted </w:t>
      </w:r>
      <w:r w:rsidR="00775B49" w:rsidRPr="00235F95">
        <w:rPr>
          <w:lang w:val="en-GB"/>
        </w:rPr>
        <w:t xml:space="preserve">in 1826 </w:t>
      </w:r>
      <w:r w:rsidR="00237FED" w:rsidRPr="00235F95">
        <w:rPr>
          <w:lang w:val="en-GB"/>
        </w:rPr>
        <w:t>for the wilful murder of one John Milb</w:t>
      </w:r>
      <w:r w:rsidR="00775B49" w:rsidRPr="00235F95">
        <w:rPr>
          <w:lang w:val="en-GB"/>
        </w:rPr>
        <w:t xml:space="preserve">urne in April 1824 by throwing him into the Huddersfield Canal near Stayley Bridge. Although found guilty at his trial, his execution was respited and </w:t>
      </w:r>
      <w:r w:rsidR="00371523" w:rsidRPr="00235F95">
        <w:rPr>
          <w:lang w:val="en-GB"/>
        </w:rPr>
        <w:t xml:space="preserve">he </w:t>
      </w:r>
      <w:r w:rsidR="00775B49" w:rsidRPr="00235F95">
        <w:rPr>
          <w:lang w:val="en-GB"/>
        </w:rPr>
        <w:t xml:space="preserve">then received a reprieve when the Attorney General entered a verdict of </w:t>
      </w:r>
      <w:r w:rsidR="00775B49" w:rsidRPr="00235F95">
        <w:rPr>
          <w:bCs/>
          <w:i/>
          <w:lang w:val="en-GB"/>
        </w:rPr>
        <w:t>Nolle Prosequi</w:t>
      </w:r>
      <w:r w:rsidR="00775B49" w:rsidRPr="00235F95">
        <w:rPr>
          <w:bCs/>
          <w:lang w:val="en-GB"/>
        </w:rPr>
        <w:t xml:space="preserve"> on the indictment found against him because of issues with the evidence on which he was convicted. </w:t>
      </w:r>
      <w:r w:rsidR="00EB6E04" w:rsidRPr="00235F95">
        <w:rPr>
          <w:bCs/>
          <w:lang w:val="en-GB"/>
        </w:rPr>
        <w:t xml:space="preserve">It was also a conviction of murder that </w:t>
      </w:r>
      <w:r w:rsidR="00941826" w:rsidRPr="00235F95">
        <w:rPr>
          <w:bCs/>
          <w:lang w:val="en-GB"/>
        </w:rPr>
        <w:t>led to the only female being executed in Chester during the period; Edith Morrey who was executed in 1813 for the murder of her husband.</w:t>
      </w:r>
      <w:r w:rsidR="00941826" w:rsidRPr="00235F95">
        <w:rPr>
          <w:rStyle w:val="EndnoteReference"/>
          <w:bCs/>
          <w:lang w:val="en-GB"/>
        </w:rPr>
        <w:endnoteReference w:id="41"/>
      </w:r>
      <w:r w:rsidR="00941826" w:rsidRPr="00235F95">
        <w:rPr>
          <w:bCs/>
          <w:lang w:val="en-GB"/>
        </w:rPr>
        <w:t xml:space="preserve"> </w:t>
      </w:r>
      <w:r w:rsidR="0092195B" w:rsidRPr="00235F95">
        <w:rPr>
          <w:bCs/>
          <w:lang w:val="en-GB"/>
        </w:rPr>
        <w:t xml:space="preserve">Likewise, four of the fifteen persons convicted of shooting at a person and six of the ten persons convicted of rape died on the gallows. </w:t>
      </w:r>
    </w:p>
    <w:p w14:paraId="221CC016" w14:textId="77777777" w:rsidR="0092195B" w:rsidRPr="00235F95" w:rsidRDefault="0092195B" w:rsidP="00CB1AD4">
      <w:pPr>
        <w:spacing w:after="0" w:line="360" w:lineRule="auto"/>
        <w:jc w:val="both"/>
        <w:rPr>
          <w:bCs/>
          <w:lang w:val="en-GB"/>
        </w:rPr>
      </w:pPr>
    </w:p>
    <w:p w14:paraId="6BF232B3" w14:textId="668B36A5" w:rsidR="00F93A48" w:rsidRPr="00235F95" w:rsidRDefault="0041609B" w:rsidP="00CB1AD4">
      <w:pPr>
        <w:spacing w:after="0" w:line="360" w:lineRule="auto"/>
        <w:ind w:firstLine="720"/>
        <w:jc w:val="both"/>
        <w:rPr>
          <w:bCs/>
        </w:rPr>
      </w:pPr>
      <w:r w:rsidRPr="00235F95">
        <w:rPr>
          <w:bCs/>
          <w:lang w:val="en-GB"/>
        </w:rPr>
        <w:t>That said, however, t</w:t>
      </w:r>
      <w:r w:rsidR="0092195B" w:rsidRPr="00235F95">
        <w:rPr>
          <w:bCs/>
          <w:lang w:val="en-GB"/>
        </w:rPr>
        <w:t xml:space="preserve">he majority of persons who </w:t>
      </w:r>
      <w:r w:rsidRPr="00235F95">
        <w:rPr>
          <w:bCs/>
          <w:lang w:val="en-GB"/>
        </w:rPr>
        <w:t xml:space="preserve">were </w:t>
      </w:r>
      <w:r w:rsidR="0092195B" w:rsidRPr="00235F95">
        <w:rPr>
          <w:bCs/>
          <w:lang w:val="en-GB"/>
        </w:rPr>
        <w:t xml:space="preserve">executed after being capitally convicted at the Chester Great Sessions had been convicted of </w:t>
      </w:r>
      <w:r w:rsidR="0040189D">
        <w:rPr>
          <w:bCs/>
          <w:lang w:val="en-GB"/>
        </w:rPr>
        <w:t xml:space="preserve">a single property offence: </w:t>
      </w:r>
      <w:r w:rsidR="0092195B" w:rsidRPr="00235F95">
        <w:rPr>
          <w:bCs/>
          <w:lang w:val="en-GB"/>
        </w:rPr>
        <w:t xml:space="preserve">burglary. Between 1805 and 1829, fourteen persons were executed for this one crime, only slightly fewer than the total number executed for murder, shooting at a person and stabbing, cutting and wounding combined. </w:t>
      </w:r>
      <w:r w:rsidR="00B63272" w:rsidRPr="00235F95">
        <w:rPr>
          <w:bCs/>
          <w:lang w:val="en-GB"/>
        </w:rPr>
        <w:t>It is clear, not l</w:t>
      </w:r>
      <w:r w:rsidR="00371523" w:rsidRPr="00235F95">
        <w:rPr>
          <w:bCs/>
          <w:lang w:val="en-GB"/>
        </w:rPr>
        <w:t xml:space="preserve">east from reading the addresses </w:t>
      </w:r>
      <w:r w:rsidR="00AF1352" w:rsidRPr="00235F95">
        <w:rPr>
          <w:bCs/>
          <w:lang w:val="en-GB"/>
        </w:rPr>
        <w:t>made</w:t>
      </w:r>
      <w:r w:rsidR="00B63272" w:rsidRPr="00235F95">
        <w:rPr>
          <w:bCs/>
          <w:lang w:val="en-GB"/>
        </w:rPr>
        <w:t xml:space="preserve"> to those whom they had sentenced to death for this crime, that </w:t>
      </w:r>
      <w:r w:rsidR="00AF1352" w:rsidRPr="00235F95">
        <w:rPr>
          <w:bCs/>
          <w:lang w:val="en-GB"/>
        </w:rPr>
        <w:t>the Justices</w:t>
      </w:r>
      <w:r w:rsidR="00B63272" w:rsidRPr="00235F95">
        <w:rPr>
          <w:bCs/>
          <w:lang w:val="en-GB"/>
        </w:rPr>
        <w:t xml:space="preserve"> wished to make an example </w:t>
      </w:r>
      <w:r w:rsidR="00AF1352" w:rsidRPr="00235F95">
        <w:rPr>
          <w:bCs/>
          <w:lang w:val="en-GB"/>
        </w:rPr>
        <w:t xml:space="preserve">of them to deter others. </w:t>
      </w:r>
      <w:r w:rsidR="005F3FDD" w:rsidRPr="00235F95">
        <w:rPr>
          <w:bCs/>
          <w:lang w:val="en-GB"/>
        </w:rPr>
        <w:t xml:space="preserve">Sentencing William Ricklington to death in the Summer 1820 Great Sessions for breaking into the house of Unwin Clarke, Archdeacon of Chester, </w:t>
      </w:r>
      <w:r w:rsidR="00F93A48" w:rsidRPr="00235F95">
        <w:rPr>
          <w:bCs/>
          <w:lang w:val="en-GB"/>
        </w:rPr>
        <w:t>the Hon. Charles Warren</w:t>
      </w:r>
      <w:r w:rsidR="005F3FDD" w:rsidRPr="00235F95">
        <w:rPr>
          <w:bCs/>
          <w:lang w:val="en-GB"/>
        </w:rPr>
        <w:t xml:space="preserve"> bemoaned how “it is truly painful to see so many cases of burglary committed in this county”, adding </w:t>
      </w:r>
      <w:r w:rsidR="00F93A48" w:rsidRPr="00235F95">
        <w:rPr>
          <w:bCs/>
          <w:lang w:val="en-GB"/>
        </w:rPr>
        <w:t>that “a more cruel case, a case in which were combined more circumstances of malice, and barbarity, never before was inquired into by a Court of Justice”.</w:t>
      </w:r>
      <w:r w:rsidR="00F93A48" w:rsidRPr="00235F95">
        <w:rPr>
          <w:rStyle w:val="EndnoteReference"/>
          <w:bCs/>
          <w:lang w:val="en-GB"/>
        </w:rPr>
        <w:endnoteReference w:id="42"/>
      </w:r>
      <w:r w:rsidR="00F93A48" w:rsidRPr="00235F95">
        <w:rPr>
          <w:bCs/>
          <w:lang w:val="en-GB"/>
        </w:rPr>
        <w:t xml:space="preserve"> Donning the black cap, he concluded by telling Ricklington that, “</w:t>
      </w:r>
      <w:r w:rsidR="00F93A48" w:rsidRPr="00235F95">
        <w:rPr>
          <w:bCs/>
        </w:rPr>
        <w:t xml:space="preserve">the cruelty of your offence is almost without parallel” and that “it would be trifling with Justice, we should be sitting here in vain were a crime of such enormous magnitude to </w:t>
      </w:r>
      <w:r w:rsidR="00F93A48" w:rsidRPr="00235F95">
        <w:rPr>
          <w:bCs/>
        </w:rPr>
        <w:lastRenderedPageBreak/>
        <w:t>escape the deserved and well merited punishment of DEATH”</w:t>
      </w:r>
      <w:r w:rsidR="00F93A48" w:rsidRPr="00235F95">
        <w:rPr>
          <w:rStyle w:val="EndnoteReference"/>
          <w:bCs/>
        </w:rPr>
        <w:endnoteReference w:id="43"/>
      </w:r>
      <w:r w:rsidR="00F93A48" w:rsidRPr="00235F95">
        <w:rPr>
          <w:bCs/>
        </w:rPr>
        <w:t xml:space="preserve"> Almost a decade later, sentencing John Leir to death, </w:t>
      </w:r>
      <w:r w:rsidR="00C35F13" w:rsidRPr="00235F95">
        <w:rPr>
          <w:bCs/>
        </w:rPr>
        <w:t>Mr Justice Johnson</w:t>
      </w:r>
      <w:r w:rsidR="00F93A48" w:rsidRPr="00235F95">
        <w:rPr>
          <w:bCs/>
        </w:rPr>
        <w:t xml:space="preserve"> observed; </w:t>
      </w:r>
    </w:p>
    <w:p w14:paraId="3E68C3F9" w14:textId="77777777" w:rsidR="00F93A48" w:rsidRPr="00235F95" w:rsidRDefault="00F93A48" w:rsidP="00CB1AD4">
      <w:pPr>
        <w:spacing w:after="0" w:line="360" w:lineRule="auto"/>
        <w:ind w:firstLine="720"/>
        <w:jc w:val="both"/>
        <w:rPr>
          <w:bCs/>
        </w:rPr>
      </w:pPr>
    </w:p>
    <w:p w14:paraId="10CD016B" w14:textId="3BE798F1" w:rsidR="00F93A48" w:rsidRPr="00235F95" w:rsidRDefault="00F93A48" w:rsidP="00CB1AD4">
      <w:pPr>
        <w:spacing w:after="0" w:line="360" w:lineRule="auto"/>
        <w:ind w:left="709"/>
        <w:jc w:val="both"/>
        <w:rPr>
          <w:bCs/>
        </w:rPr>
      </w:pPr>
      <w:r w:rsidRPr="00235F95">
        <w:rPr>
          <w:bCs/>
        </w:rPr>
        <w:t>…that he and the Chief Justice had long since made up their minds, that whenever a conviction for [burglary] attended with circumstances of personal violence, should take place before them, they would certainly inflict the extreme penalty of the law upon the culprit.</w:t>
      </w:r>
      <w:r w:rsidRPr="00235F95">
        <w:rPr>
          <w:rStyle w:val="EndnoteReference"/>
          <w:bCs/>
        </w:rPr>
        <w:endnoteReference w:id="44"/>
      </w:r>
    </w:p>
    <w:p w14:paraId="04C5DEBF" w14:textId="77777777" w:rsidR="00F93A48" w:rsidRPr="00235F95" w:rsidRDefault="00F93A48" w:rsidP="00CB1AD4">
      <w:pPr>
        <w:spacing w:after="0" w:line="360" w:lineRule="auto"/>
        <w:jc w:val="both"/>
        <w:rPr>
          <w:bCs/>
        </w:rPr>
      </w:pPr>
    </w:p>
    <w:p w14:paraId="79B1A7A5" w14:textId="24AD0AEC" w:rsidR="00C35F13" w:rsidRDefault="00C35F13" w:rsidP="00CB1AD4">
      <w:pPr>
        <w:spacing w:after="0" w:line="360" w:lineRule="auto"/>
        <w:jc w:val="both"/>
        <w:rPr>
          <w:bCs/>
        </w:rPr>
      </w:pPr>
      <w:r w:rsidRPr="00235F95">
        <w:rPr>
          <w:bCs/>
        </w:rPr>
        <w:t xml:space="preserve">Likewise, in the same year, Justice Warren told John Proudlove that the aggravated nature of his crime “imposes upon the Court the painful duty of making a public example of you – </w:t>
      </w:r>
      <w:r w:rsidRPr="00235F95">
        <w:rPr>
          <w:bCs/>
          <w:i/>
        </w:rPr>
        <w:t>not so much for the punishment of the individual, but for the prevention of crime</w:t>
      </w:r>
      <w:r w:rsidRPr="00235F95">
        <w:rPr>
          <w:bCs/>
        </w:rPr>
        <w:t>”.</w:t>
      </w:r>
      <w:r w:rsidRPr="00235F95">
        <w:rPr>
          <w:rStyle w:val="EndnoteReference"/>
          <w:bCs/>
        </w:rPr>
        <w:endnoteReference w:id="45"/>
      </w:r>
    </w:p>
    <w:p w14:paraId="5901869A" w14:textId="77777777" w:rsidR="003C4925" w:rsidRDefault="003C4925" w:rsidP="00CB1AD4">
      <w:pPr>
        <w:spacing w:after="0" w:line="360" w:lineRule="auto"/>
        <w:jc w:val="both"/>
        <w:rPr>
          <w:bCs/>
        </w:rPr>
      </w:pPr>
    </w:p>
    <w:p w14:paraId="05CFCF9E" w14:textId="026E0BEA" w:rsidR="003C4925" w:rsidRDefault="003C4925" w:rsidP="00CB1AD4">
      <w:pPr>
        <w:spacing w:after="0" w:line="360" w:lineRule="auto"/>
        <w:jc w:val="both"/>
        <w:rPr>
          <w:bCs/>
        </w:rPr>
      </w:pPr>
      <w:r>
        <w:rPr>
          <w:bCs/>
        </w:rPr>
        <w:tab/>
        <w:t xml:space="preserve">Those burglars, such as Proudlove and Ricklington, that were hanged nevertheless only comprised a small proportion of those capitally convicted of this crime. The vast majority of those sentenced to death for </w:t>
      </w:r>
      <w:r w:rsidR="000E4DDA">
        <w:rPr>
          <w:bCs/>
        </w:rPr>
        <w:t>burglary</w:t>
      </w:r>
      <w:r>
        <w:rPr>
          <w:bCs/>
        </w:rPr>
        <w:t xml:space="preserve"> (90%) received a lesser sentence. Put another way, if the same proportion of convicted burglars had been hanged as convicted murderers, then around 119 would have been executed, or around five per year. More broadly, if the same proportion of those convicted of any form of property crime had been hanged as those convicted of a crime against the person, then Cheshire would have had to execute 129 felons, rather than the 23 that it did over the period. While burglary, then, was taken very seriously by juries and Justices, the latter being keen to pass sentences of death where the crime had involved violence or </w:t>
      </w:r>
      <w:r w:rsidR="00A2264D">
        <w:rPr>
          <w:bCs/>
        </w:rPr>
        <w:t>where an execution would serve as an example, crimes against the person were taken much more seriously, and where a life had been taken was punished to utmost extent.</w:t>
      </w:r>
    </w:p>
    <w:p w14:paraId="4B56E1E6" w14:textId="77777777" w:rsidR="003C4925" w:rsidRDefault="003C4925" w:rsidP="00CB1AD4">
      <w:pPr>
        <w:spacing w:after="0" w:line="360" w:lineRule="auto"/>
        <w:jc w:val="both"/>
        <w:rPr>
          <w:bCs/>
        </w:rPr>
      </w:pPr>
    </w:p>
    <w:p w14:paraId="353A60BF" w14:textId="77777777" w:rsidR="003C4925" w:rsidRDefault="003C4925" w:rsidP="00CB1AD4">
      <w:pPr>
        <w:spacing w:after="0" w:line="360" w:lineRule="auto"/>
        <w:jc w:val="both"/>
        <w:rPr>
          <w:bCs/>
        </w:rPr>
      </w:pPr>
    </w:p>
    <w:p w14:paraId="1DF71DD4" w14:textId="7FED5C25" w:rsidR="003C4925" w:rsidRPr="00235F95" w:rsidRDefault="003C4925" w:rsidP="00CB1AD4">
      <w:pPr>
        <w:spacing w:after="0" w:line="360" w:lineRule="auto"/>
        <w:jc w:val="both"/>
        <w:rPr>
          <w:bCs/>
        </w:rPr>
      </w:pPr>
      <w:r>
        <w:rPr>
          <w:bCs/>
        </w:rPr>
        <w:t xml:space="preserve"> </w:t>
      </w:r>
    </w:p>
    <w:p w14:paraId="7FD5065D" w14:textId="77777777" w:rsidR="00041FB8" w:rsidRPr="004E7367" w:rsidRDefault="00041FB8" w:rsidP="00CB1AD4">
      <w:pPr>
        <w:spacing w:after="0" w:line="360" w:lineRule="auto"/>
        <w:jc w:val="both"/>
        <w:rPr>
          <w:color w:val="FF0000"/>
          <w:lang w:val="en-GB"/>
        </w:rPr>
      </w:pPr>
    </w:p>
    <w:p w14:paraId="2A621D2A" w14:textId="571733E7" w:rsidR="00041FB8" w:rsidRPr="004E7367" w:rsidRDefault="00C35F13" w:rsidP="00CB1AD4">
      <w:pPr>
        <w:spacing w:after="0" w:line="360" w:lineRule="auto"/>
        <w:jc w:val="both"/>
        <w:rPr>
          <w:color w:val="FF0000"/>
          <w:lang w:val="en-GB"/>
        </w:rPr>
      </w:pPr>
      <w:r w:rsidRPr="004E7367">
        <w:rPr>
          <w:color w:val="FF0000"/>
          <w:lang w:val="en-GB"/>
        </w:rPr>
        <w:tab/>
      </w:r>
    </w:p>
    <w:p w14:paraId="79B3D77F" w14:textId="77777777" w:rsidR="00825624" w:rsidRDefault="00825624">
      <w:pPr>
        <w:rPr>
          <w:b/>
          <w:color w:val="FF0000"/>
          <w:sz w:val="28"/>
          <w:szCs w:val="28"/>
          <w:lang w:val="en-GB"/>
        </w:rPr>
      </w:pPr>
      <w:r>
        <w:rPr>
          <w:b/>
          <w:color w:val="FF0000"/>
          <w:sz w:val="28"/>
          <w:szCs w:val="28"/>
          <w:lang w:val="en-GB"/>
        </w:rPr>
        <w:br w:type="page"/>
      </w:r>
    </w:p>
    <w:p w14:paraId="46EAB77C" w14:textId="5278A737" w:rsidR="00041FB8" w:rsidRPr="00103497" w:rsidRDefault="00256877" w:rsidP="00CB1AD4">
      <w:pPr>
        <w:spacing w:after="0" w:line="360" w:lineRule="auto"/>
        <w:jc w:val="both"/>
        <w:rPr>
          <w:b/>
          <w:sz w:val="28"/>
          <w:szCs w:val="28"/>
          <w:lang w:val="en-GB"/>
        </w:rPr>
      </w:pPr>
      <w:r w:rsidRPr="00103497">
        <w:rPr>
          <w:b/>
          <w:sz w:val="28"/>
          <w:szCs w:val="28"/>
          <w:lang w:val="en-GB"/>
        </w:rPr>
        <w:lastRenderedPageBreak/>
        <w:t>Conclusion</w:t>
      </w:r>
    </w:p>
    <w:p w14:paraId="358DE47E" w14:textId="77777777" w:rsidR="00041FB8" w:rsidRPr="00103497" w:rsidRDefault="00041FB8" w:rsidP="00CB1AD4">
      <w:pPr>
        <w:spacing w:after="0" w:line="360" w:lineRule="auto"/>
        <w:jc w:val="both"/>
        <w:rPr>
          <w:lang w:val="en-GB"/>
        </w:rPr>
      </w:pPr>
    </w:p>
    <w:p w14:paraId="7321B473" w14:textId="14434855" w:rsidR="00354926" w:rsidRPr="00103497" w:rsidRDefault="007B3864" w:rsidP="00CB1AD4">
      <w:pPr>
        <w:spacing w:after="0" w:line="360" w:lineRule="auto"/>
        <w:jc w:val="both"/>
        <w:rPr>
          <w:lang w:val="en-GB"/>
        </w:rPr>
      </w:pPr>
      <w:r w:rsidRPr="00103497">
        <w:rPr>
          <w:lang w:val="en-GB"/>
        </w:rPr>
        <w:t>To conclude, the operation of Justice in Cheshire during the period of the Bloody Code may be imagined as a funnelling process that only in minority of cases led to the gallows. Although, as one commentator observed in 1857 of the period, “every page of our statute-book smelt of blood”,</w:t>
      </w:r>
      <w:r w:rsidRPr="00103497">
        <w:rPr>
          <w:rStyle w:val="EndnoteReference"/>
          <w:lang w:val="en-GB"/>
        </w:rPr>
        <w:endnoteReference w:id="46"/>
      </w:r>
      <w:r w:rsidRPr="00103497">
        <w:rPr>
          <w:lang w:val="en-GB"/>
        </w:rPr>
        <w:t xml:space="preserve"> in practice death was only reserved for a limited number of </w:t>
      </w:r>
      <w:r w:rsidR="006755E3">
        <w:rPr>
          <w:lang w:val="en-GB"/>
        </w:rPr>
        <w:t xml:space="preserve">the most serious </w:t>
      </w:r>
      <w:r w:rsidRPr="00103497">
        <w:rPr>
          <w:lang w:val="en-GB"/>
        </w:rPr>
        <w:t xml:space="preserve">cases. As has been shown, at every stage of the legal process, more and more persons were filtered out until all that remained to be hanged were those who had been convicted of the most serious crimes against the person, or who had committed an aggravated form of property crime. </w:t>
      </w:r>
      <w:r w:rsidR="006755E3">
        <w:rPr>
          <w:lang w:val="en-GB"/>
        </w:rPr>
        <w:t>Five</w:t>
      </w:r>
      <w:r w:rsidRPr="00103497">
        <w:rPr>
          <w:lang w:val="en-GB"/>
        </w:rPr>
        <w:t xml:space="preserve"> stages in this funnelling process may be observed. The first occurred before indict</w:t>
      </w:r>
      <w:r w:rsidR="00412E26" w:rsidRPr="00103497">
        <w:rPr>
          <w:lang w:val="en-GB"/>
        </w:rPr>
        <w:t xml:space="preserve">ment, where an unknowable, but presumably large, number of potential indictments were dealt with informally within the community between victim and offender. This would have filtered out many less serious offences, offences that were unlikely to ever lead to a capital conviction, as well as many female or young offenders who victims were, for various reasons, reluctant to prosecute. At the start of the Session, a small number of offenders (16%) had their indictments dismissed as no true bill, because the victim did not turn up to prosecute, or because the offender turned evidence against associates or agreed to join the forces instead. Again, at this stage, more </w:t>
      </w:r>
      <w:r w:rsidR="00F27F61">
        <w:rPr>
          <w:lang w:val="en-GB"/>
        </w:rPr>
        <w:t xml:space="preserve">females </w:t>
      </w:r>
      <w:r w:rsidR="004A71AF" w:rsidRPr="00103497">
        <w:rPr>
          <w:lang w:val="en-GB"/>
        </w:rPr>
        <w:t>would be filter</w:t>
      </w:r>
      <w:r w:rsidR="00354926" w:rsidRPr="00103497">
        <w:rPr>
          <w:lang w:val="en-GB"/>
        </w:rPr>
        <w:t xml:space="preserve">ed out. </w:t>
      </w:r>
    </w:p>
    <w:p w14:paraId="022B15E3" w14:textId="77777777" w:rsidR="00354926" w:rsidRDefault="00354926" w:rsidP="00CB1AD4">
      <w:pPr>
        <w:spacing w:after="0" w:line="360" w:lineRule="auto"/>
        <w:jc w:val="both"/>
        <w:rPr>
          <w:color w:val="FF0000"/>
          <w:lang w:val="en-GB"/>
        </w:rPr>
      </w:pPr>
    </w:p>
    <w:p w14:paraId="0D2665A0" w14:textId="6F115278" w:rsidR="007B3864" w:rsidRDefault="00354926" w:rsidP="00354926">
      <w:pPr>
        <w:spacing w:after="0" w:line="360" w:lineRule="auto"/>
        <w:ind w:firstLine="720"/>
        <w:jc w:val="both"/>
        <w:rPr>
          <w:lang w:val="en-GB"/>
        </w:rPr>
      </w:pPr>
      <w:r w:rsidRPr="00103497">
        <w:rPr>
          <w:lang w:val="en-GB"/>
        </w:rPr>
        <w:t xml:space="preserve">Once indicted and tried, the funnel </w:t>
      </w:r>
      <w:r w:rsidR="00942E54" w:rsidRPr="00103497">
        <w:rPr>
          <w:lang w:val="en-GB"/>
        </w:rPr>
        <w:t>then began</w:t>
      </w:r>
      <w:r w:rsidRPr="00103497">
        <w:rPr>
          <w:lang w:val="en-GB"/>
        </w:rPr>
        <w:t xml:space="preserve"> to narrow significantly, with around three-quarters of those indicted being found guilty, with 70% of those convicted of capital offences </w:t>
      </w:r>
      <w:r w:rsidR="00942E54" w:rsidRPr="00103497">
        <w:rPr>
          <w:lang w:val="en-GB"/>
        </w:rPr>
        <w:t xml:space="preserve">for </w:t>
      </w:r>
      <w:r w:rsidRPr="00103497">
        <w:rPr>
          <w:lang w:val="en-GB"/>
        </w:rPr>
        <w:t xml:space="preserve">which they stood a strong likelihood of being executed being found guilty. </w:t>
      </w:r>
      <w:r w:rsidR="00103497" w:rsidRPr="00103497">
        <w:rPr>
          <w:lang w:val="en-GB"/>
        </w:rPr>
        <w:t xml:space="preserve">That said, however, only around half of those indicted for a crime against the person were found guilty. </w:t>
      </w:r>
      <w:r w:rsidR="006755E3">
        <w:rPr>
          <w:lang w:val="en-GB"/>
        </w:rPr>
        <w:t>At this point, g</w:t>
      </w:r>
      <w:r w:rsidRPr="00103497">
        <w:rPr>
          <w:lang w:val="en-GB"/>
        </w:rPr>
        <w:t>ender cease</w:t>
      </w:r>
      <w:r w:rsidR="006755E3">
        <w:rPr>
          <w:lang w:val="en-GB"/>
        </w:rPr>
        <w:t>d</w:t>
      </w:r>
      <w:r w:rsidRPr="00103497">
        <w:rPr>
          <w:lang w:val="en-GB"/>
        </w:rPr>
        <w:t xml:space="preserve"> momentarily to play a role, with a roughly equal number of guilty verdicts being handed down to males and females. </w:t>
      </w:r>
      <w:r w:rsidR="00103497" w:rsidRPr="00103497">
        <w:rPr>
          <w:lang w:val="en-GB"/>
        </w:rPr>
        <w:t xml:space="preserve">Of those found guilty, the majority (40.5%) received a sentence of imprisonment, most often for less than a year. Here, again, gender played a role, with females typically receiving more lenient sentences than </w:t>
      </w:r>
      <w:r w:rsidR="000E4DDA">
        <w:rPr>
          <w:lang w:val="en-GB"/>
        </w:rPr>
        <w:t>males</w:t>
      </w:r>
      <w:r w:rsidR="00103497" w:rsidRPr="00103497">
        <w:rPr>
          <w:lang w:val="en-GB"/>
        </w:rPr>
        <w:t xml:space="preserve">, even when convicted of the same type of offence. In contrast, sentences of transportation and death were reserved most often for </w:t>
      </w:r>
      <w:r w:rsidR="00103497" w:rsidRPr="00103497">
        <w:rPr>
          <w:lang w:val="en-GB"/>
        </w:rPr>
        <w:lastRenderedPageBreak/>
        <w:t xml:space="preserve">males, largely as a consequence of the types of crimes that they had committed – namely crimes against the person and serious forms of property crime, often involving violence. </w:t>
      </w:r>
    </w:p>
    <w:p w14:paraId="0BB93E23" w14:textId="77777777" w:rsidR="00103497" w:rsidRDefault="00103497" w:rsidP="00354926">
      <w:pPr>
        <w:spacing w:after="0" w:line="360" w:lineRule="auto"/>
        <w:ind w:firstLine="720"/>
        <w:jc w:val="both"/>
        <w:rPr>
          <w:lang w:val="en-GB"/>
        </w:rPr>
      </w:pPr>
    </w:p>
    <w:p w14:paraId="4E2F1D47" w14:textId="7B915E12" w:rsidR="001979DA" w:rsidRDefault="00103497" w:rsidP="001979DA">
      <w:pPr>
        <w:spacing w:after="0" w:line="360" w:lineRule="auto"/>
        <w:ind w:firstLine="720"/>
        <w:jc w:val="both"/>
        <w:rPr>
          <w:lang w:val="en-GB"/>
        </w:rPr>
      </w:pPr>
      <w:r>
        <w:rPr>
          <w:lang w:val="en-GB"/>
        </w:rPr>
        <w:t xml:space="preserve">At the final stage of the funnel, </w:t>
      </w:r>
      <w:r w:rsidR="002B135E">
        <w:rPr>
          <w:lang w:val="en-GB"/>
        </w:rPr>
        <w:t>then, only around a third of those found guilty (and a fifth of those who stood trial) remained facing the gallows. Here the nature of the offence largely determined who hanged, with almost all of those convicted of the most serious crime against the person, murder, expiating for their crime on the gallows</w:t>
      </w:r>
      <w:r w:rsidR="00313EFD">
        <w:rPr>
          <w:lang w:val="en-GB"/>
        </w:rPr>
        <w:t>,</w:t>
      </w:r>
      <w:r w:rsidR="002B135E">
        <w:rPr>
          <w:lang w:val="en-GB"/>
        </w:rPr>
        <w:t xml:space="preserve"> </w:t>
      </w:r>
      <w:r w:rsidR="00313EFD">
        <w:rPr>
          <w:lang w:val="en-GB"/>
        </w:rPr>
        <w:t xml:space="preserve">60% of convicted rapists, and a just over a quarter of those convicted of shooting at a person meeting the same fate. In contrast, the majority of </w:t>
      </w:r>
      <w:r w:rsidR="001979DA">
        <w:rPr>
          <w:lang w:val="en-GB"/>
        </w:rPr>
        <w:t>those receiving death sentences</w:t>
      </w:r>
      <w:r w:rsidR="00313EFD">
        <w:rPr>
          <w:lang w:val="en-GB"/>
        </w:rPr>
        <w:t xml:space="preserve"> for </w:t>
      </w:r>
      <w:r w:rsidR="006755E3">
        <w:rPr>
          <w:lang w:val="en-GB"/>
        </w:rPr>
        <w:t>property crimes</w:t>
      </w:r>
      <w:r w:rsidR="00313EFD">
        <w:rPr>
          <w:lang w:val="en-GB"/>
        </w:rPr>
        <w:t xml:space="preserve"> were pardoned, with only 5% of these fel</w:t>
      </w:r>
      <w:r w:rsidR="001979DA">
        <w:rPr>
          <w:lang w:val="en-GB"/>
        </w:rPr>
        <w:t xml:space="preserve">ons being executed. Here again the issue of whether violence was involved would seem to have played a significant role in the decision of who would hang. Thus, of the twenty-three </w:t>
      </w:r>
      <w:r w:rsidR="00F27F61">
        <w:rPr>
          <w:lang w:val="en-GB"/>
        </w:rPr>
        <w:t>males</w:t>
      </w:r>
      <w:r w:rsidR="001979DA">
        <w:rPr>
          <w:lang w:val="en-GB"/>
        </w:rPr>
        <w:t xml:space="preserve"> who were sentenced to death for a property crime, all but two had been convicted of one that involved actual or threatened violence such as larceny from the person, highway robbery, rob</w:t>
      </w:r>
      <w:r w:rsidR="00D80C05">
        <w:rPr>
          <w:lang w:val="en-GB"/>
        </w:rPr>
        <w:t xml:space="preserve">bery or burglary. </w:t>
      </w:r>
    </w:p>
    <w:p w14:paraId="1614CA28" w14:textId="77777777" w:rsidR="00FC5812" w:rsidRPr="004E7367" w:rsidRDefault="00FC5812" w:rsidP="00CB1AD4">
      <w:pPr>
        <w:spacing w:after="0" w:line="360" w:lineRule="auto"/>
        <w:jc w:val="both"/>
        <w:rPr>
          <w:color w:val="FF0000"/>
          <w:lang w:val="en-GB"/>
        </w:rPr>
      </w:pPr>
    </w:p>
    <w:p w14:paraId="0E0D67F5" w14:textId="58DC2E18" w:rsidR="002270CB" w:rsidRPr="00947251" w:rsidRDefault="00FC5812" w:rsidP="00947251">
      <w:pPr>
        <w:spacing w:after="0" w:line="360" w:lineRule="auto"/>
        <w:jc w:val="both"/>
        <w:rPr>
          <w:lang w:val="en-GB"/>
        </w:rPr>
      </w:pPr>
      <w:r w:rsidRPr="004E7367">
        <w:rPr>
          <w:color w:val="FF0000"/>
          <w:lang w:val="en-GB"/>
        </w:rPr>
        <w:tab/>
      </w:r>
      <w:r w:rsidRPr="00947251">
        <w:rPr>
          <w:lang w:val="en-GB"/>
        </w:rPr>
        <w:t>The evidence from the Chester Great Sessions thus paints</w:t>
      </w:r>
      <w:r w:rsidR="00417FC9" w:rsidRPr="00947251">
        <w:rPr>
          <w:lang w:val="en-GB"/>
        </w:rPr>
        <w:t xml:space="preserve"> a picture of a system in which, if the accused made it into the court, he or she faced a high likelihood of being found guilty. More than likely, the offence for which they had been indicted would have been a property offence, most likely larceny, for which they would receive a brief period of imprisonment. The gender of the accused would appear to have had little bearing on the verdict of the jury, although it would on the sentence. If they were a female and had been convicted of any crime but murder, then it was extremely unlikely that they would die on the gallows. Males, in contrast, could find themselves on the gallows after being convicted of</w:t>
      </w:r>
      <w:r w:rsidR="002270CB" w:rsidRPr="00947251">
        <w:rPr>
          <w:lang w:val="en-GB"/>
        </w:rPr>
        <w:t xml:space="preserve"> a far wider range of offences, the Justices believing that the execution of these male offenders would serve as a salutary lesson, and would have a degree of public support that the execution of females would not.</w:t>
      </w:r>
      <w:r w:rsidR="002270CB" w:rsidRPr="00947251">
        <w:rPr>
          <w:rStyle w:val="EndnoteReference"/>
          <w:lang w:val="en-GB"/>
        </w:rPr>
        <w:endnoteReference w:id="47"/>
      </w:r>
      <w:r w:rsidR="002270CB" w:rsidRPr="00947251">
        <w:rPr>
          <w:lang w:val="en-GB"/>
        </w:rPr>
        <w:t xml:space="preserve"> </w:t>
      </w:r>
      <w:r w:rsidR="00947251" w:rsidRPr="00947251">
        <w:rPr>
          <w:lang w:val="en-GB"/>
        </w:rPr>
        <w:t xml:space="preserve">In these ways, </w:t>
      </w:r>
      <w:r w:rsidR="002270CB" w:rsidRPr="00947251">
        <w:rPr>
          <w:lang w:val="en-GB"/>
        </w:rPr>
        <w:t xml:space="preserve">the patterns of indictments, verdicts and sentencing at the Chester Great Sessions parallel broader national trends </w:t>
      </w:r>
      <w:r w:rsidR="000269FE" w:rsidRPr="00947251">
        <w:rPr>
          <w:lang w:val="en-GB"/>
        </w:rPr>
        <w:t xml:space="preserve">during the period. As at the national level, the operation of the Bloody Code in Chester balanced the threat of the gallows for a wide range of offences, but only executed those convicted of the most serious crimes against the person such as rape and murder or those who had committed a property crime that the Justices wished to make an example of to deter others.  </w:t>
      </w:r>
    </w:p>
    <w:p w14:paraId="1959B61B" w14:textId="77777777" w:rsidR="002270CB" w:rsidRPr="004E7367" w:rsidRDefault="002270CB" w:rsidP="00CB1AD4">
      <w:pPr>
        <w:spacing w:after="0" w:line="360" w:lineRule="auto"/>
        <w:jc w:val="both"/>
        <w:rPr>
          <w:color w:val="FF0000"/>
          <w:lang w:val="en-GB"/>
        </w:rPr>
      </w:pPr>
    </w:p>
    <w:p w14:paraId="369C0C84" w14:textId="72FAF6F7" w:rsidR="00FC5812" w:rsidRPr="004E7367" w:rsidRDefault="00FC5812" w:rsidP="00CB1AD4">
      <w:pPr>
        <w:spacing w:after="0" w:line="360" w:lineRule="auto"/>
        <w:jc w:val="both"/>
        <w:rPr>
          <w:color w:val="FF0000"/>
          <w:lang w:val="en-GB"/>
        </w:rPr>
      </w:pPr>
    </w:p>
    <w:p w14:paraId="3D2EA530" w14:textId="77777777" w:rsidR="00417FC9" w:rsidRPr="004E7367" w:rsidRDefault="00417FC9" w:rsidP="00CB1AD4">
      <w:pPr>
        <w:spacing w:after="0" w:line="360" w:lineRule="auto"/>
        <w:jc w:val="both"/>
        <w:rPr>
          <w:color w:val="FF0000"/>
          <w:lang w:val="en-GB"/>
        </w:rPr>
      </w:pPr>
    </w:p>
    <w:p w14:paraId="7DB094E0" w14:textId="77777777" w:rsidR="0021474E" w:rsidRPr="004E7367" w:rsidRDefault="0021474E" w:rsidP="00CB1AD4">
      <w:pPr>
        <w:spacing w:after="0" w:line="360" w:lineRule="auto"/>
        <w:jc w:val="both"/>
        <w:rPr>
          <w:color w:val="FF0000"/>
          <w:lang w:val="en-GB"/>
        </w:rPr>
      </w:pPr>
    </w:p>
    <w:p w14:paraId="7A4C5B45" w14:textId="7ABE37D6" w:rsidR="0021474E" w:rsidRPr="004E7367" w:rsidRDefault="0021474E" w:rsidP="00CB1AD4">
      <w:pPr>
        <w:spacing w:after="0" w:line="360" w:lineRule="auto"/>
        <w:jc w:val="both"/>
        <w:rPr>
          <w:color w:val="FF0000"/>
          <w:lang w:val="en-GB"/>
        </w:rPr>
      </w:pPr>
      <w:r w:rsidRPr="004E7367">
        <w:rPr>
          <w:color w:val="FF0000"/>
          <w:lang w:val="en-GB"/>
        </w:rPr>
        <w:tab/>
        <w:t xml:space="preserve"> </w:t>
      </w:r>
    </w:p>
    <w:p w14:paraId="71519EC6" w14:textId="77777777" w:rsidR="00256877" w:rsidRPr="004E7367" w:rsidRDefault="00256877" w:rsidP="00CB1AD4">
      <w:pPr>
        <w:spacing w:after="0" w:line="360" w:lineRule="auto"/>
        <w:jc w:val="both"/>
        <w:rPr>
          <w:color w:val="FF0000"/>
          <w:lang w:val="en-GB"/>
        </w:rPr>
      </w:pPr>
    </w:p>
    <w:p w14:paraId="6B6F7C20" w14:textId="1F4F7C30" w:rsidR="00F33729" w:rsidRPr="004E7367" w:rsidRDefault="00F33729" w:rsidP="00CB1AD4">
      <w:pPr>
        <w:spacing w:after="0" w:line="360" w:lineRule="auto"/>
        <w:jc w:val="both"/>
        <w:rPr>
          <w:color w:val="FF0000"/>
          <w:lang w:val="en-GB"/>
        </w:rPr>
      </w:pPr>
      <w:r w:rsidRPr="004E7367">
        <w:rPr>
          <w:color w:val="FF0000"/>
          <w:lang w:val="en-GB"/>
        </w:rPr>
        <w:tab/>
      </w:r>
    </w:p>
    <w:p w14:paraId="332C0F8F" w14:textId="77777777" w:rsidR="007D29B5" w:rsidRPr="004E7367" w:rsidRDefault="007D29B5" w:rsidP="00CB1AD4">
      <w:pPr>
        <w:spacing w:after="0" w:line="360" w:lineRule="auto"/>
        <w:jc w:val="both"/>
        <w:rPr>
          <w:color w:val="FF0000"/>
          <w:lang w:val="en-GB"/>
        </w:rPr>
      </w:pPr>
    </w:p>
    <w:p w14:paraId="1DDBA30A" w14:textId="77777777" w:rsidR="007D29B5" w:rsidRPr="004E7367" w:rsidRDefault="007D29B5" w:rsidP="00CB1AD4">
      <w:pPr>
        <w:spacing w:after="0" w:line="360" w:lineRule="auto"/>
        <w:jc w:val="both"/>
        <w:rPr>
          <w:color w:val="FF0000"/>
          <w:lang w:val="en-GB"/>
        </w:rPr>
      </w:pPr>
    </w:p>
    <w:p w14:paraId="154C5186" w14:textId="77777777" w:rsidR="00CB1AD4" w:rsidRPr="004E7367" w:rsidRDefault="00CB1AD4">
      <w:pPr>
        <w:rPr>
          <w:color w:val="FF0000"/>
          <w:lang w:val="en-GB"/>
        </w:rPr>
      </w:pPr>
      <w:r w:rsidRPr="004E7367">
        <w:rPr>
          <w:color w:val="FF0000"/>
          <w:lang w:val="en-GB"/>
        </w:rPr>
        <w:br w:type="page"/>
      </w:r>
    </w:p>
    <w:p w14:paraId="47B1100F" w14:textId="27D0A01A" w:rsidR="00337D11" w:rsidRPr="00D10C3C" w:rsidRDefault="0000794C" w:rsidP="00CB1AD4">
      <w:pPr>
        <w:spacing w:line="360" w:lineRule="auto"/>
        <w:rPr>
          <w:b/>
          <w:sz w:val="28"/>
          <w:szCs w:val="28"/>
        </w:rPr>
      </w:pPr>
      <w:r w:rsidRPr="00D10C3C">
        <w:rPr>
          <w:b/>
          <w:sz w:val="28"/>
          <w:szCs w:val="28"/>
        </w:rPr>
        <w:t>Notes</w:t>
      </w:r>
    </w:p>
    <w:sectPr w:rsidR="00337D11" w:rsidRPr="00D10C3C" w:rsidSect="00EC2429">
      <w:footerReference w:type="even" r:id="rId9"/>
      <w:footerReference w:type="default" r:id="rId10"/>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36437" w14:textId="77777777" w:rsidR="002507BD" w:rsidRDefault="002507BD" w:rsidP="00337D11">
      <w:pPr>
        <w:spacing w:after="0"/>
      </w:pPr>
      <w:r>
        <w:separator/>
      </w:r>
    </w:p>
  </w:endnote>
  <w:endnote w:type="continuationSeparator" w:id="0">
    <w:p w14:paraId="65A8F329" w14:textId="77777777" w:rsidR="002507BD" w:rsidRDefault="002507BD" w:rsidP="00337D11">
      <w:pPr>
        <w:spacing w:after="0"/>
      </w:pPr>
      <w:r>
        <w:continuationSeparator/>
      </w:r>
    </w:p>
  </w:endnote>
  <w:endnote w:id="1">
    <w:p w14:paraId="7CEF1271" w14:textId="55F0AF79" w:rsidR="00A64B65" w:rsidRDefault="00A64B65" w:rsidP="00791466">
      <w:pPr>
        <w:pStyle w:val="EndnoteText"/>
        <w:spacing w:line="360" w:lineRule="auto"/>
        <w:jc w:val="both"/>
      </w:pPr>
      <w:r>
        <w:rPr>
          <w:rStyle w:val="EndnoteReference"/>
        </w:rPr>
        <w:endnoteRef/>
      </w:r>
      <w:r>
        <w:t xml:space="preserve"> L. Radzinowicz, </w:t>
      </w:r>
      <w:r w:rsidRPr="00211F77">
        <w:rPr>
          <w:i/>
        </w:rPr>
        <w:t>A History of English Criminal Law and its Administration from 1750, vol . 1, The Movement for Reform</w:t>
      </w:r>
      <w:r>
        <w:t xml:space="preserve"> (London, Stevens and Sons Ltd., 1948); V.A.C. Gatrell, </w:t>
      </w:r>
      <w:r w:rsidRPr="007A1331">
        <w:rPr>
          <w:i/>
        </w:rPr>
        <w:t>The Hanging Tree: Execution and the English People 1770-1868</w:t>
      </w:r>
      <w:r>
        <w:t xml:space="preserve"> (Oxford, Oxford University Press, 1996)</w:t>
      </w:r>
    </w:p>
  </w:endnote>
  <w:endnote w:id="2">
    <w:p w14:paraId="6C941005" w14:textId="57640E9F" w:rsidR="00A64B65" w:rsidRPr="00D41FA1" w:rsidRDefault="00A64B65" w:rsidP="00791466">
      <w:pPr>
        <w:pStyle w:val="EndnoteText"/>
        <w:spacing w:line="360" w:lineRule="auto"/>
        <w:jc w:val="both"/>
      </w:pPr>
      <w:r w:rsidRPr="00D41FA1">
        <w:rPr>
          <w:rStyle w:val="EndnoteReference"/>
        </w:rPr>
        <w:endnoteRef/>
      </w:r>
      <w:r w:rsidRPr="00D41FA1">
        <w:t xml:space="preserve"> </w:t>
      </w:r>
      <w:r w:rsidRPr="00D41FA1">
        <w:rPr>
          <w:lang w:val="en-GB"/>
        </w:rPr>
        <w:t xml:space="preserve">D. Hay, ‘Property, Authority and the Criminal law’, in D. Hay, P. Linebaugh, J.G. Rule, E.P. Thompson and C. Winslow, </w:t>
      </w:r>
      <w:r w:rsidRPr="00D41FA1">
        <w:rPr>
          <w:i/>
          <w:lang w:val="en-GB"/>
        </w:rPr>
        <w:t>Albion’s Fatal Tree</w:t>
      </w:r>
      <w:r w:rsidRPr="00D41FA1">
        <w:rPr>
          <w:lang w:val="en-GB"/>
        </w:rPr>
        <w:t xml:space="preserve"> (Verso, 2011 [orig] 1975), 17-73. See also the Symposium on ‘Property, Authority and the Criminal Law’, </w:t>
      </w:r>
      <w:r w:rsidRPr="00D41FA1">
        <w:rPr>
          <w:i/>
          <w:lang w:val="en-GB"/>
        </w:rPr>
        <w:t>Legal History</w:t>
      </w:r>
      <w:r>
        <w:rPr>
          <w:lang w:val="en-GB"/>
        </w:rPr>
        <w:t xml:space="preserve">, vol. 10 (2006), </w:t>
      </w:r>
      <w:r w:rsidRPr="00D41FA1">
        <w:rPr>
          <w:lang w:val="en-GB"/>
        </w:rPr>
        <w:t>13-51.</w:t>
      </w:r>
    </w:p>
  </w:endnote>
  <w:endnote w:id="3">
    <w:p w14:paraId="21A88746" w14:textId="188AF029" w:rsidR="00A64B65" w:rsidRPr="00CC1DD8" w:rsidRDefault="00A64B65" w:rsidP="00791466">
      <w:pPr>
        <w:pStyle w:val="EndnoteText"/>
        <w:spacing w:line="360" w:lineRule="auto"/>
        <w:jc w:val="both"/>
      </w:pPr>
      <w:r w:rsidRPr="00CC1DD8">
        <w:rPr>
          <w:rStyle w:val="EndnoteReference"/>
        </w:rPr>
        <w:endnoteRef/>
      </w:r>
      <w:r w:rsidRPr="00CC1DD8">
        <w:t xml:space="preserve"> </w:t>
      </w:r>
      <w:r w:rsidRPr="00CC1DD8">
        <w:rPr>
          <w:lang w:val="en-GB"/>
        </w:rPr>
        <w:t xml:space="preserve">J.H. Langbein, ‘The criminal trial before the lawyers’ </w:t>
      </w:r>
      <w:r w:rsidRPr="00CC1DD8">
        <w:rPr>
          <w:i/>
          <w:iCs/>
          <w:lang w:val="en-GB"/>
        </w:rPr>
        <w:t>University of Chicago Law Review</w:t>
      </w:r>
      <w:r w:rsidRPr="00CC1DD8">
        <w:rPr>
          <w:lang w:val="en-GB"/>
        </w:rPr>
        <w:t xml:space="preserve">, 45, 2, (1978), 263-316; ‘Shaping the Eighteenth Century Criminal Trial - A view from the Ryder sources’, </w:t>
      </w:r>
      <w:r w:rsidRPr="00CC1DD8">
        <w:rPr>
          <w:i/>
          <w:iCs/>
          <w:lang w:val="en-GB"/>
        </w:rPr>
        <w:t>University of Chicago Law Review</w:t>
      </w:r>
      <w:r w:rsidRPr="00CC1DD8">
        <w:rPr>
          <w:lang w:val="en-GB"/>
        </w:rPr>
        <w:t xml:space="preserve">, 50, 1 (1983), 1-136; ‘Albion’s Fatal Flaws’, </w:t>
      </w:r>
      <w:r w:rsidRPr="00CC1DD8">
        <w:rPr>
          <w:i/>
          <w:iCs/>
          <w:lang w:val="en-GB"/>
        </w:rPr>
        <w:t>Past and Present</w:t>
      </w:r>
      <w:r w:rsidRPr="00CC1DD8">
        <w:rPr>
          <w:lang w:val="en-GB"/>
        </w:rPr>
        <w:t xml:space="preserve">, 98 (1983), pp. 96-120; P. King, ‘Decision makers and decision making in the English criminal law 1750-1800; </w:t>
      </w:r>
      <w:r w:rsidRPr="00CC1DD8">
        <w:rPr>
          <w:i/>
          <w:iCs/>
          <w:lang w:val="en-GB"/>
        </w:rPr>
        <w:t>Historical Journal</w:t>
      </w:r>
      <w:r w:rsidRPr="00CC1DD8">
        <w:rPr>
          <w:lang w:val="en-GB"/>
        </w:rPr>
        <w:t>, 27, 1, (1984), 25-58.</w:t>
      </w:r>
    </w:p>
  </w:endnote>
  <w:endnote w:id="4">
    <w:p w14:paraId="49F630C7" w14:textId="6782A3B2" w:rsidR="00A64B65" w:rsidRPr="00CC1DD8" w:rsidRDefault="00A64B65" w:rsidP="00791466">
      <w:pPr>
        <w:pStyle w:val="EndnoteText"/>
        <w:spacing w:line="360" w:lineRule="auto"/>
        <w:jc w:val="both"/>
      </w:pPr>
      <w:r w:rsidRPr="00CC1DD8">
        <w:rPr>
          <w:rStyle w:val="EndnoteReference"/>
        </w:rPr>
        <w:endnoteRef/>
      </w:r>
      <w:r w:rsidRPr="00CC1DD8">
        <w:t xml:space="preserve"> P. Handler, ‘Forging the Agenda: The 1819 Select Committee on the Criminal Laws Revisited’, </w:t>
      </w:r>
      <w:r w:rsidRPr="00CC1DD8">
        <w:rPr>
          <w:i/>
        </w:rPr>
        <w:t>The Journal of Legal History</w:t>
      </w:r>
      <w:r w:rsidRPr="00CC1DD8">
        <w:t xml:space="preserve"> 25, 3 (2004), 249-68; ‘Forgery and the End of the “Bloody Code” in Early Nineteenth-Century England’, </w:t>
      </w:r>
      <w:r w:rsidRPr="00CC1DD8">
        <w:rPr>
          <w:i/>
        </w:rPr>
        <w:t>The Historical Journal</w:t>
      </w:r>
      <w:r w:rsidRPr="00CC1DD8">
        <w:t xml:space="preserve"> 48, 3 (2005), 683-702; R. McGowen, ‘A Powerful Sympathy: Terror, the Prison, and Humanitarian Reform in Early Nineteenth-Century Britain’, </w:t>
      </w:r>
      <w:r w:rsidRPr="00CC1DD8">
        <w:rPr>
          <w:i/>
        </w:rPr>
        <w:t>Journal of British Studies</w:t>
      </w:r>
      <w:r w:rsidRPr="00CC1DD8">
        <w:t>, 25, 3 (1986), 312-34.</w:t>
      </w:r>
    </w:p>
  </w:endnote>
  <w:endnote w:id="5">
    <w:p w14:paraId="2E9EE052" w14:textId="25AD552D" w:rsidR="00A64B65" w:rsidRPr="00D41FA1" w:rsidRDefault="00A64B65" w:rsidP="00791466">
      <w:pPr>
        <w:pStyle w:val="EndnoteText"/>
        <w:spacing w:line="360" w:lineRule="auto"/>
        <w:jc w:val="both"/>
      </w:pPr>
      <w:r w:rsidRPr="00D41FA1">
        <w:rPr>
          <w:rStyle w:val="EndnoteReference"/>
        </w:rPr>
        <w:endnoteRef/>
      </w:r>
      <w:r w:rsidRPr="00D41FA1">
        <w:t xml:space="preserve"> J.M. Beattie, </w:t>
      </w:r>
      <w:r w:rsidRPr="00D41FA1">
        <w:rPr>
          <w:i/>
        </w:rPr>
        <w:t>Crime and the Courts in England 1600-1800</w:t>
      </w:r>
      <w:r w:rsidRPr="00D41FA1">
        <w:t xml:space="preserve"> (Clarendon Press, 1986); P. King, </w:t>
      </w:r>
      <w:r w:rsidRPr="00D41FA1">
        <w:rPr>
          <w:i/>
        </w:rPr>
        <w:t>Crime, Justice, and Discretion in England 1740-1820</w:t>
      </w:r>
      <w:r w:rsidRPr="00D41FA1">
        <w:t xml:space="preserve"> (Oxford, 2005).</w:t>
      </w:r>
    </w:p>
  </w:endnote>
  <w:endnote w:id="6">
    <w:p w14:paraId="02D6D841" w14:textId="1C570130" w:rsidR="00A64B65" w:rsidRPr="009A616C" w:rsidRDefault="00A64B65" w:rsidP="00A86557">
      <w:pPr>
        <w:pStyle w:val="EndnoteText"/>
        <w:spacing w:line="360" w:lineRule="auto"/>
        <w:jc w:val="both"/>
      </w:pPr>
      <w:r w:rsidRPr="009A616C">
        <w:rPr>
          <w:rStyle w:val="EndnoteReference"/>
        </w:rPr>
        <w:endnoteRef/>
      </w:r>
      <w:r w:rsidRPr="009A616C">
        <w:t xml:space="preserve"> P. King, </w:t>
      </w:r>
      <w:r w:rsidRPr="009A616C">
        <w:rPr>
          <w:lang w:val="en-GB"/>
        </w:rPr>
        <w:t>‘Rethinking the Bloody Code. The Role of Capital Punishment in Britain’, presented to the Criminal Justice, the Courts and Punishment in France and England in the Eighteenth and Nineteenth Centuries Conference, Leicester, 14</w:t>
      </w:r>
      <w:r w:rsidRPr="009A616C">
        <w:rPr>
          <w:vertAlign w:val="superscript"/>
          <w:lang w:val="en-GB"/>
        </w:rPr>
        <w:t>th</w:t>
      </w:r>
      <w:r w:rsidRPr="009A616C">
        <w:rPr>
          <w:lang w:val="en-GB"/>
        </w:rPr>
        <w:t xml:space="preserve"> September 2013.</w:t>
      </w:r>
    </w:p>
  </w:endnote>
  <w:endnote w:id="7">
    <w:p w14:paraId="120C4105" w14:textId="7E21DCE2" w:rsidR="00A64B65" w:rsidRPr="009A616C" w:rsidRDefault="00A64B65" w:rsidP="009A616C">
      <w:pPr>
        <w:pStyle w:val="EndnoteText"/>
        <w:spacing w:line="360" w:lineRule="auto"/>
        <w:jc w:val="both"/>
      </w:pPr>
      <w:r w:rsidRPr="009A616C">
        <w:rPr>
          <w:rStyle w:val="EndnoteReference"/>
        </w:rPr>
        <w:endnoteRef/>
      </w:r>
      <w:r w:rsidRPr="009A616C">
        <w:t xml:space="preserve"> J. Walliss, ‘The Bloody Code in Wales: The Court of Great Sessions, 1805-30’, </w:t>
      </w:r>
      <w:r w:rsidRPr="009A616C">
        <w:rPr>
          <w:i/>
        </w:rPr>
        <w:t>Welsh History Review</w:t>
      </w:r>
      <w:r w:rsidRPr="009A616C">
        <w:t>, forthcoming 2014.</w:t>
      </w:r>
    </w:p>
  </w:endnote>
  <w:endnote w:id="8">
    <w:p w14:paraId="345E05F2" w14:textId="7AE7551E" w:rsidR="00A64B65" w:rsidRPr="009A616C" w:rsidRDefault="00A64B65" w:rsidP="006755E3">
      <w:pPr>
        <w:pStyle w:val="EndnoteText"/>
        <w:spacing w:line="360" w:lineRule="auto"/>
        <w:jc w:val="both"/>
        <w:rPr>
          <w:color w:val="FF0000"/>
        </w:rPr>
      </w:pPr>
      <w:r w:rsidRPr="00D41FA1">
        <w:rPr>
          <w:rStyle w:val="EndnoteReference"/>
        </w:rPr>
        <w:endnoteRef/>
      </w:r>
      <w:r w:rsidRPr="00D41FA1">
        <w:t xml:space="preserve"> Wales and Chester was not part of the Assize Circuit during this period, the</w:t>
      </w:r>
      <w:r w:rsidRPr="009A616C">
        <w:rPr>
          <w:color w:val="FF0000"/>
        </w:rPr>
        <w:t xml:space="preserve"> </w:t>
      </w:r>
      <w:r w:rsidRPr="00CC1DD8">
        <w:t>latter as a consequence of its status as a Palatine. Instead, justice was dispensed</w:t>
      </w:r>
      <w:r w:rsidRPr="009A616C">
        <w:rPr>
          <w:color w:val="FF0000"/>
        </w:rPr>
        <w:t xml:space="preserve"> </w:t>
      </w:r>
      <w:r w:rsidRPr="00D41FA1">
        <w:t xml:space="preserve">in these areas via four circuits of Courts of Great Sessions (Brecon, Carmarthen, North Wales and Chester) that, like the county assizes, met twice per year in March or April and in September or October. From the late eighteenth century, a number of parliamentary complaints were made regarding the operation of the Great Sessions, following a Parliamentary Report on the Common Law recommendation that the Great Sessions in Chester and Wales be discontinued, both areas were brought into the Assizes circuit </w:t>
      </w:r>
      <w:r w:rsidRPr="00D41FA1">
        <w:rPr>
          <w:lang w:val="en-GB"/>
        </w:rPr>
        <w:t xml:space="preserve">under the Law Terms Act of 1830. See J. Faulkner, </w:t>
      </w:r>
      <w:r w:rsidRPr="00D41FA1">
        <w:rPr>
          <w:i/>
          <w:lang w:val="en-GB"/>
        </w:rPr>
        <w:t>The Practice of the Court of Great Session for the County of Cheshire together with the Practice of the Court of Exchequer at Chester</w:t>
      </w:r>
      <w:r w:rsidRPr="00D41FA1">
        <w:rPr>
          <w:lang w:val="en-GB"/>
        </w:rPr>
        <w:t xml:space="preserve"> (M. Monk, 1822); </w:t>
      </w:r>
      <w:r w:rsidRPr="00D41FA1">
        <w:rPr>
          <w:i/>
          <w:lang w:val="en-GB"/>
        </w:rPr>
        <w:t xml:space="preserve">D. Bentley, English Criminal Justice in the Nineteenth Century </w:t>
      </w:r>
      <w:r w:rsidRPr="00D41FA1">
        <w:rPr>
          <w:lang w:val="en-GB"/>
        </w:rPr>
        <w:t>(The Hambledon Press, 1998).</w:t>
      </w:r>
    </w:p>
  </w:endnote>
  <w:endnote w:id="9">
    <w:p w14:paraId="6F33455C" w14:textId="6A1B6C5A" w:rsidR="00A64B65" w:rsidRPr="00D41FA1" w:rsidRDefault="00A64B65" w:rsidP="006755E3">
      <w:pPr>
        <w:pStyle w:val="EndnoteText"/>
        <w:spacing w:line="360" w:lineRule="auto"/>
        <w:jc w:val="both"/>
      </w:pPr>
      <w:r w:rsidRPr="00D41FA1">
        <w:rPr>
          <w:rStyle w:val="EndnoteReference"/>
        </w:rPr>
        <w:endnoteRef/>
      </w:r>
      <w:r w:rsidRPr="00D41FA1">
        <w:t xml:space="preserve"> See G. </w:t>
      </w:r>
      <w:r w:rsidRPr="00D41FA1">
        <w:rPr>
          <w:lang w:val="en-GB"/>
        </w:rPr>
        <w:t xml:space="preserve">Walker, </w:t>
      </w:r>
      <w:r w:rsidRPr="00D41FA1">
        <w:rPr>
          <w:i/>
          <w:iCs/>
          <w:lang w:val="en-GB"/>
        </w:rPr>
        <w:t>Crime, Gender and Social Order in Early Modern England</w:t>
      </w:r>
      <w:r w:rsidRPr="00D41FA1">
        <w:rPr>
          <w:lang w:val="en-GB"/>
        </w:rPr>
        <w:t xml:space="preserve"> (Cambridge, 2003); A.E. Lagemann, ‘A Decade of Disorder? The Performance of Justice in Cheshire in the 1590s’, </w:t>
      </w:r>
      <w:r w:rsidRPr="00D41FA1">
        <w:rPr>
          <w:i/>
          <w:lang w:val="en-GB"/>
        </w:rPr>
        <w:t>Journal of the Wooden O Symposium</w:t>
      </w:r>
      <w:r w:rsidRPr="00D41FA1">
        <w:rPr>
          <w:lang w:val="en-GB"/>
        </w:rPr>
        <w:t xml:space="preserve">, 10 (2010), 49-59; A.A. Barrett, </w:t>
      </w:r>
      <w:r w:rsidRPr="00D41FA1">
        <w:rPr>
          <w:i/>
          <w:lang w:val="en-GB"/>
        </w:rPr>
        <w:t>The System of Justice in Cheshire, 1820-75</w:t>
      </w:r>
      <w:r w:rsidRPr="00D41FA1">
        <w:rPr>
          <w:lang w:val="en-GB"/>
        </w:rPr>
        <w:t>. PhD Thesis, University of Keele, 1996.</w:t>
      </w:r>
    </w:p>
  </w:endnote>
  <w:endnote w:id="10">
    <w:p w14:paraId="7D3A3D01" w14:textId="77777777" w:rsidR="00A64B65" w:rsidRPr="009A616C" w:rsidRDefault="00A64B65" w:rsidP="006755E3">
      <w:pPr>
        <w:pStyle w:val="EndnoteText"/>
        <w:spacing w:line="360" w:lineRule="auto"/>
        <w:jc w:val="both"/>
      </w:pPr>
      <w:r w:rsidRPr="009A616C">
        <w:rPr>
          <w:rStyle w:val="EndnoteReference"/>
        </w:rPr>
        <w:endnoteRef/>
      </w:r>
      <w:r w:rsidRPr="009A616C">
        <w:t xml:space="preserve"> </w:t>
      </w:r>
      <w:r w:rsidRPr="009A616C">
        <w:rPr>
          <w:lang w:val="en-GB"/>
        </w:rPr>
        <w:t xml:space="preserve">HO27/1-37. </w:t>
      </w:r>
      <w:r w:rsidRPr="009A616C">
        <w:t>These registers have been digitised and are available via www.ancestry.co.uk/</w:t>
      </w:r>
    </w:p>
  </w:endnote>
  <w:endnote w:id="11">
    <w:p w14:paraId="3E434992" w14:textId="2C14045E" w:rsidR="00A64B65" w:rsidRPr="009A616C" w:rsidRDefault="00A64B65" w:rsidP="006755E3">
      <w:pPr>
        <w:pStyle w:val="EndnoteText"/>
        <w:spacing w:line="360" w:lineRule="auto"/>
        <w:jc w:val="both"/>
        <w:rPr>
          <w:color w:val="FF0000"/>
        </w:rPr>
      </w:pPr>
      <w:r w:rsidRPr="00D41FA1">
        <w:rPr>
          <w:rStyle w:val="EndnoteReference"/>
        </w:rPr>
        <w:endnoteRef/>
      </w:r>
      <w:r w:rsidRPr="00D41FA1">
        <w:t xml:space="preserve"> J.S. Cockburn, ‘Early-Modern Assize Records as Historical Evidence’, </w:t>
      </w:r>
      <w:r w:rsidRPr="00D41FA1">
        <w:rPr>
          <w:i/>
        </w:rPr>
        <w:t>Journal of the Society of Archivists</w:t>
      </w:r>
      <w:r w:rsidRPr="00D41FA1">
        <w:t xml:space="preserve"> 5, 4 (1975), 215-231; J.M. Beattie, ‘Judicial Records and the Measurement of Crime in Eighteenth-Century England’, in L.A. Knafla (ed.), </w:t>
      </w:r>
      <w:r w:rsidRPr="00D41FA1">
        <w:rPr>
          <w:i/>
        </w:rPr>
        <w:t>Crime and Criminal Justice in Europe and Canada</w:t>
      </w:r>
      <w:r w:rsidRPr="00D41FA1">
        <w:t xml:space="preserve"> (Wilfrid Laurier Press, 1981), 127-45;</w:t>
      </w:r>
      <w:r w:rsidRPr="009A616C">
        <w:rPr>
          <w:color w:val="FF0000"/>
        </w:rPr>
        <w:t xml:space="preserve"> </w:t>
      </w:r>
      <w:r w:rsidRPr="00D41FA1">
        <w:t xml:space="preserve">R.B Shoemaker, ‘Using Quarter Sessions Records as Evidence for the Study of Crime and Criminal Justice’, </w:t>
      </w:r>
      <w:r w:rsidRPr="00D41FA1">
        <w:rPr>
          <w:i/>
        </w:rPr>
        <w:t>Archives</w:t>
      </w:r>
      <w:r w:rsidRPr="00D41FA1">
        <w:t xml:space="preserve"> 20, 90 (1993), 145-57.</w:t>
      </w:r>
      <w:r w:rsidRPr="009A616C">
        <w:rPr>
          <w:color w:val="FF0000"/>
        </w:rPr>
        <w:t xml:space="preserve"> </w:t>
      </w:r>
      <w:r w:rsidRPr="00D41FA1">
        <w:t xml:space="preserve">For a recent review of the parallel debate over the reliability of information contained in criminal statistics for the period, see J. Walliss, ‘Lies, Damned Lies and Statistics? Nineteenth-Century Crime Statistics for England and Wales as a Historical Source’, </w:t>
      </w:r>
      <w:r w:rsidRPr="00D41FA1">
        <w:rPr>
          <w:i/>
        </w:rPr>
        <w:t>History Compass</w:t>
      </w:r>
      <w:r w:rsidRPr="00D41FA1">
        <w:t>, 10, 8 (2012), 574-83.</w:t>
      </w:r>
    </w:p>
  </w:endnote>
  <w:endnote w:id="12">
    <w:p w14:paraId="56378CEB" w14:textId="24FFCF06" w:rsidR="00A64B65" w:rsidRPr="009A616C" w:rsidRDefault="00A64B65" w:rsidP="006755E3">
      <w:pPr>
        <w:pStyle w:val="EndnoteText"/>
        <w:spacing w:line="360" w:lineRule="auto"/>
        <w:jc w:val="both"/>
      </w:pPr>
      <w:r w:rsidRPr="009A616C">
        <w:rPr>
          <w:rStyle w:val="EndnoteReference"/>
        </w:rPr>
        <w:endnoteRef/>
      </w:r>
      <w:r w:rsidRPr="009A616C">
        <w:t xml:space="preserve"> </w:t>
      </w:r>
      <w:r w:rsidRPr="009A616C">
        <w:rPr>
          <w:lang w:val="en-GB"/>
        </w:rPr>
        <w:t xml:space="preserve">For example attempts to steal cattle, cows, or heifers were classified as ‘cattle stealing’, while any attempt to steal a sheep or lamb, or kill one with the intention of stealing it were similarly classified as ‘sheep stealing’. Crimes that were presented in the Registers as either </w:t>
      </w:r>
      <w:r w:rsidRPr="009A616C">
        <w:t>‘cutting with intent to murder’, ‘cutting and maiming’, ‘stabbing with intent to murder’ and so on were classified as ‘cutting, stabbing and wounding’, while a distinction was made between rape and other forms of sexual crimes.</w:t>
      </w:r>
      <w:r w:rsidRPr="009A616C">
        <w:rPr>
          <w:lang w:val="en-GB"/>
        </w:rPr>
        <w:t xml:space="preserve"> These are broad categories, and it is acknowledged that there may be blurring between them in some cases, such as, for example, a burglary that involved violence, or where a horse thief shot at his pursuers, or where an attack on a person was followed by a theft.</w:t>
      </w:r>
    </w:p>
  </w:endnote>
  <w:endnote w:id="13">
    <w:p w14:paraId="500B878C" w14:textId="749071FB" w:rsidR="00A64B65" w:rsidRPr="009A616C" w:rsidRDefault="00A64B65" w:rsidP="006755E3">
      <w:pPr>
        <w:pStyle w:val="EndnoteText"/>
        <w:spacing w:line="360" w:lineRule="auto"/>
        <w:jc w:val="both"/>
        <w:rPr>
          <w:color w:val="FF0000"/>
        </w:rPr>
      </w:pPr>
      <w:r w:rsidRPr="009A616C">
        <w:rPr>
          <w:rStyle w:val="EndnoteReference"/>
        </w:rPr>
        <w:endnoteRef/>
      </w:r>
      <w:r w:rsidRPr="009A616C">
        <w:t xml:space="preserve"> </w:t>
      </w:r>
      <w:r w:rsidRPr="009A616C">
        <w:rPr>
          <w:lang w:val="en-GB"/>
        </w:rPr>
        <w:t xml:space="preserve">D. Hay ‘War, Dearth and Theft in the Eighteenth Century: The Record of the English Courts’, </w:t>
      </w:r>
      <w:r w:rsidRPr="009A616C">
        <w:rPr>
          <w:i/>
          <w:iCs/>
          <w:lang w:val="en-GB"/>
        </w:rPr>
        <w:t>Past and Present</w:t>
      </w:r>
      <w:r w:rsidRPr="009A616C">
        <w:rPr>
          <w:lang w:val="en-GB"/>
        </w:rPr>
        <w:t xml:space="preserve">, 9 (1982), 117-60. King, </w:t>
      </w:r>
      <w:r w:rsidRPr="009A616C">
        <w:rPr>
          <w:i/>
          <w:lang w:val="en-GB"/>
        </w:rPr>
        <w:t>Crime, Justice, and Discretion in England</w:t>
      </w:r>
      <w:r w:rsidRPr="009A616C">
        <w:t>;</w:t>
      </w:r>
      <w:r>
        <w:rPr>
          <w:color w:val="FF0000"/>
        </w:rPr>
        <w:t xml:space="preserve"> </w:t>
      </w:r>
      <w:r w:rsidRPr="009A616C">
        <w:t xml:space="preserve">P. King, </w:t>
      </w:r>
      <w:r w:rsidRPr="009A616C">
        <w:rPr>
          <w:i/>
        </w:rPr>
        <w:t>Crime and Law in England, 1750-1840</w:t>
      </w:r>
      <w:r w:rsidRPr="009A616C">
        <w:t xml:space="preserve">: </w:t>
      </w:r>
      <w:r w:rsidRPr="009A616C">
        <w:rPr>
          <w:i/>
        </w:rPr>
        <w:t xml:space="preserve">Remaking Justice from the Margins </w:t>
      </w:r>
      <w:r w:rsidRPr="009A616C">
        <w:t xml:space="preserve">(Cambridge, 2006), p. 212; see also Beattie, </w:t>
      </w:r>
      <w:r w:rsidRPr="009A616C">
        <w:rPr>
          <w:i/>
        </w:rPr>
        <w:t>Crime and the Courts in England</w:t>
      </w:r>
      <w:r w:rsidRPr="009A616C">
        <w:t>, pp. 213-37.</w:t>
      </w:r>
    </w:p>
  </w:endnote>
  <w:endnote w:id="14">
    <w:p w14:paraId="781DFF3B" w14:textId="32F3A1F5" w:rsidR="00A64B65" w:rsidRPr="009A616C" w:rsidRDefault="00A64B65" w:rsidP="006755E3">
      <w:pPr>
        <w:pStyle w:val="EndnoteText"/>
        <w:spacing w:line="360" w:lineRule="auto"/>
        <w:jc w:val="both"/>
      </w:pPr>
      <w:r w:rsidRPr="009A616C">
        <w:rPr>
          <w:rStyle w:val="EndnoteReference"/>
        </w:rPr>
        <w:endnoteRef/>
      </w:r>
      <w:r w:rsidRPr="009A616C">
        <w:t xml:space="preserve"> ‘Cheshire Summer Assize’, </w:t>
      </w:r>
      <w:r w:rsidRPr="009A616C">
        <w:rPr>
          <w:i/>
        </w:rPr>
        <w:t>Chester Chronicle</w:t>
      </w:r>
      <w:r w:rsidRPr="009A616C">
        <w:t>, 6</w:t>
      </w:r>
      <w:r w:rsidRPr="009A616C">
        <w:rPr>
          <w:vertAlign w:val="superscript"/>
        </w:rPr>
        <w:t>th</w:t>
      </w:r>
      <w:r w:rsidRPr="009A616C">
        <w:t xml:space="preserve"> September 1816, p. 3</w:t>
      </w:r>
    </w:p>
  </w:endnote>
  <w:endnote w:id="15">
    <w:p w14:paraId="501A4CDD" w14:textId="63FEBDE7" w:rsidR="00A64B65" w:rsidRPr="009A616C" w:rsidRDefault="00A64B65" w:rsidP="006755E3">
      <w:pPr>
        <w:pStyle w:val="EndnoteText"/>
        <w:spacing w:line="360" w:lineRule="auto"/>
        <w:jc w:val="both"/>
      </w:pPr>
      <w:r w:rsidRPr="009A616C">
        <w:rPr>
          <w:rStyle w:val="EndnoteReference"/>
        </w:rPr>
        <w:endnoteRef/>
      </w:r>
      <w:r w:rsidRPr="009A616C">
        <w:t xml:space="preserve"> ‘Cheshire Summer Assize’, p.3.</w:t>
      </w:r>
    </w:p>
  </w:endnote>
  <w:endnote w:id="16">
    <w:p w14:paraId="275C8637" w14:textId="1B26E728" w:rsidR="00A64B65" w:rsidRPr="009A616C" w:rsidRDefault="00A64B65" w:rsidP="006755E3">
      <w:pPr>
        <w:pStyle w:val="EndnoteText"/>
        <w:spacing w:line="360" w:lineRule="auto"/>
        <w:jc w:val="both"/>
      </w:pPr>
      <w:r w:rsidRPr="009A616C">
        <w:rPr>
          <w:rStyle w:val="EndnoteReference"/>
        </w:rPr>
        <w:endnoteRef/>
      </w:r>
      <w:r w:rsidRPr="009A616C">
        <w:t xml:space="preserve"> ‘Cheshire Spring Assizes’, </w:t>
      </w:r>
      <w:r w:rsidRPr="009A616C">
        <w:rPr>
          <w:i/>
        </w:rPr>
        <w:t>Chester Chronicle</w:t>
      </w:r>
      <w:r w:rsidRPr="009A616C">
        <w:t>, 18</w:t>
      </w:r>
      <w:r w:rsidRPr="009A616C">
        <w:rPr>
          <w:vertAlign w:val="superscript"/>
        </w:rPr>
        <w:t>th</w:t>
      </w:r>
      <w:r w:rsidRPr="009A616C">
        <w:t xml:space="preserve"> April 1817, p. 3</w:t>
      </w:r>
    </w:p>
  </w:endnote>
  <w:endnote w:id="17">
    <w:p w14:paraId="42B95231" w14:textId="13297A88" w:rsidR="00A64B65" w:rsidRPr="009A616C" w:rsidRDefault="00A64B65" w:rsidP="006755E3">
      <w:pPr>
        <w:pStyle w:val="EndnoteText"/>
        <w:spacing w:line="360" w:lineRule="auto"/>
        <w:jc w:val="both"/>
      </w:pPr>
      <w:r w:rsidRPr="009A616C">
        <w:rPr>
          <w:rStyle w:val="EndnoteReference"/>
        </w:rPr>
        <w:endnoteRef/>
      </w:r>
      <w:r w:rsidRPr="009A616C">
        <w:t xml:space="preserve"> ‘Cheshire Spring Assize’, </w:t>
      </w:r>
      <w:r w:rsidRPr="009A616C">
        <w:rPr>
          <w:i/>
        </w:rPr>
        <w:t>Chester Chronicle</w:t>
      </w:r>
      <w:r w:rsidRPr="009A616C">
        <w:t>, 3</w:t>
      </w:r>
      <w:r w:rsidRPr="009A616C">
        <w:rPr>
          <w:vertAlign w:val="superscript"/>
        </w:rPr>
        <w:t>rd</w:t>
      </w:r>
      <w:r w:rsidRPr="009A616C">
        <w:t xml:space="preserve"> April 1818, p. 2.</w:t>
      </w:r>
    </w:p>
  </w:endnote>
  <w:endnote w:id="18">
    <w:p w14:paraId="3EFB64BD" w14:textId="571AC6A9" w:rsidR="00A64B65" w:rsidRPr="009A616C" w:rsidRDefault="00A64B65" w:rsidP="006755E3">
      <w:pPr>
        <w:pStyle w:val="EndnoteText"/>
        <w:spacing w:line="360" w:lineRule="auto"/>
        <w:jc w:val="both"/>
      </w:pPr>
      <w:r w:rsidRPr="009A616C">
        <w:rPr>
          <w:rStyle w:val="EndnoteReference"/>
        </w:rPr>
        <w:endnoteRef/>
      </w:r>
      <w:r w:rsidRPr="009A616C">
        <w:t xml:space="preserve"> ‘Cheshire Spring Assize’, </w:t>
      </w:r>
      <w:r w:rsidRPr="009A616C">
        <w:rPr>
          <w:i/>
        </w:rPr>
        <w:t>Chester Chronicle</w:t>
      </w:r>
      <w:r w:rsidRPr="009A616C">
        <w:t>, 16</w:t>
      </w:r>
      <w:r w:rsidRPr="009A616C">
        <w:rPr>
          <w:vertAlign w:val="superscript"/>
        </w:rPr>
        <w:t>th</w:t>
      </w:r>
      <w:r w:rsidRPr="009A616C">
        <w:t xml:space="preserve"> April 1819, p. 1.</w:t>
      </w:r>
    </w:p>
  </w:endnote>
  <w:endnote w:id="19">
    <w:p w14:paraId="36AFDA51" w14:textId="407502F1" w:rsidR="00A64B65" w:rsidRPr="009A616C" w:rsidRDefault="00A64B65" w:rsidP="006755E3">
      <w:pPr>
        <w:pStyle w:val="EndnoteText"/>
        <w:spacing w:line="360" w:lineRule="auto"/>
        <w:jc w:val="both"/>
      </w:pPr>
      <w:r w:rsidRPr="009A616C">
        <w:rPr>
          <w:rStyle w:val="EndnoteReference"/>
        </w:rPr>
        <w:endnoteRef/>
      </w:r>
      <w:r w:rsidRPr="009A616C">
        <w:t xml:space="preserve"> ‘Cheshire Spring Assize’, p.1.</w:t>
      </w:r>
    </w:p>
  </w:endnote>
  <w:endnote w:id="20">
    <w:p w14:paraId="2C8A30AB" w14:textId="2F867672" w:rsidR="00A64B65" w:rsidRPr="009A616C" w:rsidRDefault="00A64B65" w:rsidP="006755E3">
      <w:pPr>
        <w:pStyle w:val="EndnoteText"/>
        <w:spacing w:line="360" w:lineRule="auto"/>
        <w:jc w:val="both"/>
        <w:rPr>
          <w:color w:val="FF0000"/>
        </w:rPr>
      </w:pPr>
      <w:r w:rsidRPr="009A616C">
        <w:rPr>
          <w:rStyle w:val="EndnoteReference"/>
        </w:rPr>
        <w:endnoteRef/>
      </w:r>
      <w:r w:rsidRPr="009A616C">
        <w:t xml:space="preserve"> Incidences of admitted evidence or other verdicts not shown.</w:t>
      </w:r>
    </w:p>
  </w:endnote>
  <w:endnote w:id="21">
    <w:p w14:paraId="631FF852" w14:textId="63429C8E" w:rsidR="00A64B65" w:rsidRPr="009A616C" w:rsidRDefault="00A64B65" w:rsidP="006755E3">
      <w:pPr>
        <w:pStyle w:val="EndnoteText"/>
        <w:spacing w:line="360" w:lineRule="auto"/>
        <w:jc w:val="both"/>
      </w:pPr>
      <w:r w:rsidRPr="009A616C">
        <w:rPr>
          <w:rStyle w:val="EndnoteReference"/>
        </w:rPr>
        <w:endnoteRef/>
      </w:r>
      <w:r w:rsidRPr="009A616C">
        <w:t xml:space="preserve"> </w:t>
      </w:r>
      <w:r w:rsidRPr="009A616C">
        <w:rPr>
          <w:lang w:val="en-GB"/>
        </w:rPr>
        <w:t xml:space="preserve">V.A. C. </w:t>
      </w:r>
      <w:r w:rsidRPr="009A616C">
        <w:t xml:space="preserve">Gatrell and T.B. Hadden, ‘Criminal Statistics and their Interpretation’, in E.A. Wrigley (ed) </w:t>
      </w:r>
      <w:r w:rsidRPr="009A616C">
        <w:rPr>
          <w:i/>
          <w:iCs/>
        </w:rPr>
        <w:t>Nineteenth Century Social History: Essays in the Use of Quantitative Methods for The Study of Social Data</w:t>
      </w:r>
      <w:r w:rsidRPr="009A616C">
        <w:t xml:space="preserve"> (Cambridge, 1972), pp. 336-96.</w:t>
      </w:r>
    </w:p>
  </w:endnote>
  <w:endnote w:id="22">
    <w:p w14:paraId="1D3406B9" w14:textId="0D7CCCE7" w:rsidR="00A64B65" w:rsidRPr="009A616C" w:rsidRDefault="00A64B65" w:rsidP="006755E3">
      <w:pPr>
        <w:pStyle w:val="EndnoteText"/>
        <w:spacing w:line="360" w:lineRule="auto"/>
        <w:jc w:val="both"/>
      </w:pPr>
      <w:r w:rsidRPr="009A616C">
        <w:rPr>
          <w:rStyle w:val="EndnoteReference"/>
        </w:rPr>
        <w:endnoteRef/>
      </w:r>
      <w:r w:rsidRPr="009A616C">
        <w:t xml:space="preserve"> G. Morgan and P. Rushton, </w:t>
      </w:r>
      <w:r w:rsidRPr="009A616C">
        <w:rPr>
          <w:i/>
          <w:lang w:val="en-GB"/>
        </w:rPr>
        <w:t xml:space="preserve">Rogues, Thieves And the Rule of Law: The Problem Of Law Enforcement In North-East England, 1718-1820 </w:t>
      </w:r>
      <w:r w:rsidRPr="009A616C">
        <w:rPr>
          <w:lang w:val="en-GB"/>
        </w:rPr>
        <w:t>(Routledge, 1998).</w:t>
      </w:r>
    </w:p>
  </w:endnote>
  <w:endnote w:id="23">
    <w:p w14:paraId="232947FF" w14:textId="1F594140" w:rsidR="00A64B65" w:rsidRPr="009A616C" w:rsidRDefault="00A64B65" w:rsidP="006755E3">
      <w:pPr>
        <w:pStyle w:val="EndnoteText"/>
        <w:spacing w:line="360" w:lineRule="auto"/>
        <w:jc w:val="both"/>
      </w:pPr>
      <w:r w:rsidRPr="009A616C">
        <w:rPr>
          <w:rStyle w:val="EndnoteReference"/>
        </w:rPr>
        <w:endnoteRef/>
      </w:r>
      <w:r w:rsidRPr="009A616C">
        <w:t xml:space="preserve"> Cf. Beattie, </w:t>
      </w:r>
      <w:r w:rsidRPr="009A616C">
        <w:rPr>
          <w:i/>
        </w:rPr>
        <w:t>Crime and the Courts in England</w:t>
      </w:r>
      <w:r w:rsidRPr="009A616C">
        <w:t xml:space="preserve">; King, </w:t>
      </w:r>
      <w:r w:rsidRPr="009A616C">
        <w:rPr>
          <w:i/>
        </w:rPr>
        <w:t>Crime, Justice, and Discretion in England.</w:t>
      </w:r>
    </w:p>
  </w:endnote>
  <w:endnote w:id="24">
    <w:p w14:paraId="521C1B63" w14:textId="30F41869" w:rsidR="00A64B65" w:rsidRPr="009A616C" w:rsidRDefault="00A64B65" w:rsidP="006755E3">
      <w:pPr>
        <w:pStyle w:val="EndnoteText"/>
        <w:spacing w:line="360" w:lineRule="auto"/>
        <w:jc w:val="both"/>
        <w:rPr>
          <w:color w:val="FF0000"/>
        </w:rPr>
      </w:pPr>
      <w:r w:rsidRPr="009A616C">
        <w:rPr>
          <w:rStyle w:val="EndnoteReference"/>
        </w:rPr>
        <w:endnoteRef/>
      </w:r>
      <w:r w:rsidRPr="009A616C">
        <w:t xml:space="preserve"> Cf. Beattie, </w:t>
      </w:r>
      <w:r w:rsidRPr="009A616C">
        <w:rPr>
          <w:i/>
        </w:rPr>
        <w:t>Crime and the Courts in England</w:t>
      </w:r>
      <w:r w:rsidRPr="009A616C">
        <w:t xml:space="preserve">; King, </w:t>
      </w:r>
      <w:r w:rsidRPr="009A616C">
        <w:rPr>
          <w:i/>
        </w:rPr>
        <w:t>Crime, Justice and Discretion</w:t>
      </w:r>
      <w:r w:rsidRPr="009A616C">
        <w:t>.</w:t>
      </w:r>
    </w:p>
  </w:endnote>
  <w:endnote w:id="25">
    <w:p w14:paraId="22D139D4" w14:textId="07CD812E" w:rsidR="00A64B65" w:rsidRPr="009A616C" w:rsidRDefault="00A64B65" w:rsidP="006755E3">
      <w:pPr>
        <w:pStyle w:val="EndnoteText"/>
        <w:spacing w:line="360" w:lineRule="auto"/>
        <w:jc w:val="both"/>
      </w:pPr>
      <w:r w:rsidRPr="009A616C">
        <w:rPr>
          <w:rStyle w:val="EndnoteReference"/>
        </w:rPr>
        <w:endnoteRef/>
      </w:r>
      <w:r w:rsidRPr="009A616C">
        <w:t xml:space="preserve"> See S. d’Cruze and L.A. Jackson, </w:t>
      </w:r>
      <w:r w:rsidRPr="009A616C">
        <w:rPr>
          <w:i/>
        </w:rPr>
        <w:t>Women, Crime and Justice in England since 1660</w:t>
      </w:r>
      <w:r w:rsidRPr="009A616C">
        <w:t xml:space="preserve"> (Palgrave Macmillan, 2009), chapter 2.</w:t>
      </w:r>
    </w:p>
  </w:endnote>
  <w:endnote w:id="26">
    <w:p w14:paraId="416A4632" w14:textId="2189E073" w:rsidR="00A64B65" w:rsidRPr="009A616C" w:rsidRDefault="00A64B65" w:rsidP="00A06E50">
      <w:pPr>
        <w:pStyle w:val="EndnoteText"/>
        <w:spacing w:line="360" w:lineRule="auto"/>
      </w:pPr>
      <w:r w:rsidRPr="009A616C">
        <w:rPr>
          <w:rStyle w:val="EndnoteReference"/>
        </w:rPr>
        <w:endnoteRef/>
      </w:r>
      <w:r w:rsidRPr="009A616C">
        <w:t xml:space="preserve"> Morgan and Rushton, </w:t>
      </w:r>
      <w:r w:rsidRPr="009A616C">
        <w:rPr>
          <w:i/>
          <w:lang w:val="en-GB"/>
        </w:rPr>
        <w:t>Rogues, Thieves And the Rule of Law.</w:t>
      </w:r>
    </w:p>
  </w:endnote>
  <w:endnote w:id="27">
    <w:p w14:paraId="3A451B53" w14:textId="50950F6A" w:rsidR="00A64B65" w:rsidRPr="009A616C" w:rsidRDefault="00A64B65" w:rsidP="006755E3">
      <w:pPr>
        <w:pStyle w:val="EndnoteText"/>
        <w:spacing w:line="360" w:lineRule="auto"/>
        <w:jc w:val="both"/>
      </w:pPr>
      <w:r w:rsidRPr="009A616C">
        <w:rPr>
          <w:rStyle w:val="EndnoteReference"/>
        </w:rPr>
        <w:endnoteRef/>
      </w:r>
      <w:r w:rsidRPr="009A616C">
        <w:t xml:space="preserve"> Beattie, </w:t>
      </w:r>
      <w:r w:rsidRPr="009A616C">
        <w:rPr>
          <w:i/>
        </w:rPr>
        <w:t>Crime and the Courts in England.</w:t>
      </w:r>
    </w:p>
  </w:endnote>
  <w:endnote w:id="28">
    <w:p w14:paraId="67F4B040" w14:textId="41C78252" w:rsidR="00A64B65" w:rsidRPr="009A616C" w:rsidRDefault="00A64B65" w:rsidP="006755E3">
      <w:pPr>
        <w:pStyle w:val="EndnoteText"/>
        <w:spacing w:line="360" w:lineRule="auto"/>
        <w:jc w:val="both"/>
      </w:pPr>
      <w:r w:rsidRPr="009A616C">
        <w:rPr>
          <w:rStyle w:val="EndnoteReference"/>
        </w:rPr>
        <w:endnoteRef/>
      </w:r>
      <w:r w:rsidRPr="009A616C">
        <w:t xml:space="preserve"> Cf. King, </w:t>
      </w:r>
      <w:r w:rsidRPr="009A616C">
        <w:rPr>
          <w:i/>
        </w:rPr>
        <w:t>Crime and Law in England</w:t>
      </w:r>
      <w:r w:rsidRPr="009A616C">
        <w:t>.</w:t>
      </w:r>
    </w:p>
  </w:endnote>
  <w:endnote w:id="29">
    <w:p w14:paraId="7F349217" w14:textId="3B589B2E" w:rsidR="00A64B65" w:rsidRPr="009A616C" w:rsidRDefault="00A64B65" w:rsidP="006755E3">
      <w:pPr>
        <w:pStyle w:val="EndnoteText"/>
        <w:spacing w:line="360" w:lineRule="auto"/>
        <w:jc w:val="both"/>
      </w:pPr>
      <w:r w:rsidRPr="009A616C">
        <w:rPr>
          <w:rStyle w:val="EndnoteReference"/>
        </w:rPr>
        <w:endnoteRef/>
      </w:r>
      <w:r w:rsidRPr="009A616C">
        <w:t xml:space="preserve"> Incidences where the person admitted evidence or where other verdicts were given are not shown.</w:t>
      </w:r>
    </w:p>
  </w:endnote>
  <w:endnote w:id="30">
    <w:p w14:paraId="1715C869" w14:textId="1D4E58B5" w:rsidR="00A64B65" w:rsidRPr="009A616C" w:rsidRDefault="00A64B65" w:rsidP="006755E3">
      <w:pPr>
        <w:pStyle w:val="EndnoteText"/>
        <w:spacing w:line="360" w:lineRule="auto"/>
        <w:jc w:val="both"/>
      </w:pPr>
      <w:r w:rsidRPr="009A616C">
        <w:rPr>
          <w:rStyle w:val="EndnoteReference"/>
        </w:rPr>
        <w:endnoteRef/>
      </w:r>
      <w:r w:rsidRPr="009A616C">
        <w:t xml:space="preserve"> Cf. King, </w:t>
      </w:r>
      <w:r w:rsidRPr="009A616C">
        <w:rPr>
          <w:i/>
        </w:rPr>
        <w:t>Crime and Law in England</w:t>
      </w:r>
      <w:r w:rsidRPr="009A616C">
        <w:t xml:space="preserve">. </w:t>
      </w:r>
    </w:p>
  </w:endnote>
  <w:endnote w:id="31">
    <w:p w14:paraId="2C870D40" w14:textId="630CCB98" w:rsidR="00A64B65" w:rsidRPr="009A616C" w:rsidRDefault="00A64B65" w:rsidP="006755E3">
      <w:pPr>
        <w:pStyle w:val="EndnoteText"/>
        <w:spacing w:line="360" w:lineRule="auto"/>
        <w:jc w:val="both"/>
      </w:pPr>
      <w:r w:rsidRPr="009A616C">
        <w:rPr>
          <w:rStyle w:val="EndnoteReference"/>
        </w:rPr>
        <w:endnoteRef/>
      </w:r>
      <w:r w:rsidRPr="009A616C">
        <w:t xml:space="preserve"> Cf. King, </w:t>
      </w:r>
      <w:r w:rsidRPr="009A616C">
        <w:rPr>
          <w:i/>
        </w:rPr>
        <w:t>Crime and Law in England</w:t>
      </w:r>
      <w:r w:rsidRPr="009A616C">
        <w:t>.</w:t>
      </w:r>
    </w:p>
  </w:endnote>
  <w:endnote w:id="32">
    <w:p w14:paraId="75D4D512" w14:textId="48A7994E" w:rsidR="00A64B65" w:rsidRPr="009A616C" w:rsidRDefault="00A64B65" w:rsidP="006755E3">
      <w:pPr>
        <w:pStyle w:val="EndnoteText"/>
        <w:spacing w:line="360" w:lineRule="auto"/>
        <w:jc w:val="both"/>
      </w:pPr>
      <w:r w:rsidRPr="009A616C">
        <w:rPr>
          <w:rStyle w:val="EndnoteReference"/>
        </w:rPr>
        <w:endnoteRef/>
      </w:r>
      <w:r w:rsidRPr="009A616C">
        <w:t xml:space="preserve"> King, </w:t>
      </w:r>
      <w:r w:rsidRPr="009A616C">
        <w:rPr>
          <w:i/>
        </w:rPr>
        <w:t>Crime, Justice and Discretion</w:t>
      </w:r>
      <w:r w:rsidRPr="009A616C">
        <w:t>, p. 283.</w:t>
      </w:r>
    </w:p>
  </w:endnote>
  <w:endnote w:id="33">
    <w:p w14:paraId="6F9AB476" w14:textId="6AA9A583" w:rsidR="00A64B65" w:rsidRPr="009A616C" w:rsidRDefault="00A64B65" w:rsidP="006755E3">
      <w:pPr>
        <w:pStyle w:val="EndnoteText"/>
        <w:spacing w:line="360" w:lineRule="auto"/>
        <w:jc w:val="both"/>
        <w:rPr>
          <w:color w:val="FF0000"/>
        </w:rPr>
      </w:pPr>
      <w:r w:rsidRPr="009A616C">
        <w:rPr>
          <w:rStyle w:val="EndnoteReference"/>
        </w:rPr>
        <w:endnoteRef/>
      </w:r>
      <w:r w:rsidRPr="009A616C">
        <w:t xml:space="preserve"> King, </w:t>
      </w:r>
      <w:r w:rsidRPr="009A616C">
        <w:rPr>
          <w:i/>
        </w:rPr>
        <w:t>Crime, Justice and Discretion</w:t>
      </w:r>
      <w:r w:rsidRPr="009A616C">
        <w:t xml:space="preserve">, p. 286. See also, d’Cruze and Jackson, </w:t>
      </w:r>
      <w:r w:rsidRPr="009A616C">
        <w:rPr>
          <w:i/>
        </w:rPr>
        <w:t>Women, Crime and Justice</w:t>
      </w:r>
      <w:r w:rsidRPr="009A616C">
        <w:t>.</w:t>
      </w:r>
    </w:p>
  </w:endnote>
  <w:endnote w:id="34">
    <w:p w14:paraId="6E4DCC87" w14:textId="71E16B38" w:rsidR="00A64B65" w:rsidRPr="009A616C" w:rsidRDefault="00A64B65" w:rsidP="006755E3">
      <w:pPr>
        <w:pStyle w:val="EndnoteText"/>
        <w:spacing w:line="360" w:lineRule="auto"/>
        <w:jc w:val="both"/>
      </w:pPr>
      <w:r w:rsidRPr="009A616C">
        <w:rPr>
          <w:rStyle w:val="EndnoteReference"/>
        </w:rPr>
        <w:endnoteRef/>
      </w:r>
      <w:r w:rsidRPr="009A616C">
        <w:t xml:space="preserve"> See A.E. Simpson (ed.), </w:t>
      </w:r>
      <w:r w:rsidRPr="009A616C">
        <w:rPr>
          <w:i/>
        </w:rPr>
        <w:t xml:space="preserve">Witnesses to the Scaffold: English Literary Figures as Observers of Public Executions: Patrick Egan, Thackeray, Dickens, Alexander Smith, G.A. Sala, Orwell </w:t>
      </w:r>
      <w:r w:rsidRPr="009A616C">
        <w:t>(The True Bill Press, 2009), pp. 51-3: Table of Executions in England and Wales 1805-45.</w:t>
      </w:r>
    </w:p>
  </w:endnote>
  <w:endnote w:id="35">
    <w:p w14:paraId="0F8D8CC1" w14:textId="4755986E" w:rsidR="00A64B65" w:rsidRPr="009A616C" w:rsidRDefault="00A64B65" w:rsidP="006755E3">
      <w:pPr>
        <w:pStyle w:val="EndnoteText"/>
        <w:spacing w:line="360" w:lineRule="auto"/>
        <w:jc w:val="both"/>
      </w:pPr>
      <w:r w:rsidRPr="009A616C">
        <w:rPr>
          <w:rStyle w:val="EndnoteReference"/>
        </w:rPr>
        <w:endnoteRef/>
      </w:r>
      <w:r w:rsidRPr="009A616C">
        <w:t xml:space="preserve"> Simpson, </w:t>
      </w:r>
      <w:r w:rsidRPr="009A616C">
        <w:rPr>
          <w:i/>
        </w:rPr>
        <w:t xml:space="preserve">Witnesses to the Scaffold; </w:t>
      </w:r>
      <w:r w:rsidRPr="009A616C">
        <w:t xml:space="preserve">Gatrell, </w:t>
      </w:r>
      <w:r w:rsidRPr="009A616C">
        <w:rPr>
          <w:i/>
        </w:rPr>
        <w:t>The Hanging Tree</w:t>
      </w:r>
      <w:r w:rsidRPr="009A616C">
        <w:t>, Appendix 2. Note: the statistics for 1819 were not published.</w:t>
      </w:r>
    </w:p>
  </w:endnote>
  <w:endnote w:id="36">
    <w:p w14:paraId="44CBDD3F" w14:textId="7BAE799B" w:rsidR="00A64B65" w:rsidRPr="009A616C" w:rsidRDefault="00A64B65" w:rsidP="006755E3">
      <w:pPr>
        <w:pStyle w:val="EndnoteText"/>
        <w:spacing w:line="360" w:lineRule="auto"/>
        <w:jc w:val="both"/>
        <w:rPr>
          <w:color w:val="FF0000"/>
        </w:rPr>
      </w:pPr>
      <w:r w:rsidRPr="009A616C">
        <w:rPr>
          <w:rStyle w:val="EndnoteReference"/>
        </w:rPr>
        <w:endnoteRef/>
      </w:r>
      <w:r w:rsidRPr="009A616C">
        <w:t xml:space="preserve"> Based on the author’s unpublished dataset for these counties</w:t>
      </w:r>
    </w:p>
  </w:endnote>
  <w:endnote w:id="37">
    <w:p w14:paraId="2FD3AA16" w14:textId="0081CA9A" w:rsidR="00A64B65" w:rsidRPr="00D41FA1" w:rsidRDefault="00A64B65" w:rsidP="006755E3">
      <w:pPr>
        <w:pStyle w:val="EndnoteText"/>
        <w:spacing w:line="360" w:lineRule="auto"/>
        <w:jc w:val="both"/>
      </w:pPr>
      <w:r w:rsidRPr="00D41FA1">
        <w:rPr>
          <w:rStyle w:val="EndnoteReference"/>
        </w:rPr>
        <w:endnoteRef/>
      </w:r>
      <w:r w:rsidRPr="00D41FA1">
        <w:t xml:space="preserve"> Gatrell, </w:t>
      </w:r>
      <w:r w:rsidRPr="00D41FA1">
        <w:rPr>
          <w:i/>
        </w:rPr>
        <w:t>The Hanging Tree</w:t>
      </w:r>
      <w:r w:rsidRPr="00D41FA1">
        <w:t>, Appendix 2; Walliss, ‘The Bloody Code in Wales’.</w:t>
      </w:r>
    </w:p>
  </w:endnote>
  <w:endnote w:id="38">
    <w:p w14:paraId="24367A1D" w14:textId="3A4813F8" w:rsidR="00A64B65" w:rsidRPr="009A616C" w:rsidRDefault="00A64B65" w:rsidP="006755E3">
      <w:pPr>
        <w:pStyle w:val="EndnoteText"/>
        <w:spacing w:line="360" w:lineRule="auto"/>
        <w:jc w:val="both"/>
      </w:pPr>
      <w:r w:rsidRPr="009A616C">
        <w:rPr>
          <w:rStyle w:val="EndnoteReference"/>
        </w:rPr>
        <w:endnoteRef/>
      </w:r>
      <w:r w:rsidRPr="009A616C">
        <w:t xml:space="preserve"> Gatrell, </w:t>
      </w:r>
      <w:r w:rsidRPr="009A616C">
        <w:rPr>
          <w:i/>
        </w:rPr>
        <w:t>The Hanging Tree</w:t>
      </w:r>
      <w:r w:rsidRPr="009A616C">
        <w:t>. Between 1826 and 1930 in Cheshire, only 4% of capitally convicted felons were executed.</w:t>
      </w:r>
    </w:p>
  </w:endnote>
  <w:endnote w:id="39">
    <w:p w14:paraId="028FB419" w14:textId="0D889505" w:rsidR="00A64B65" w:rsidRPr="009A616C" w:rsidRDefault="00A64B65" w:rsidP="006755E3">
      <w:pPr>
        <w:pStyle w:val="EndnoteText"/>
        <w:spacing w:line="360" w:lineRule="auto"/>
        <w:jc w:val="both"/>
      </w:pPr>
      <w:r w:rsidRPr="009A616C">
        <w:rPr>
          <w:rStyle w:val="EndnoteReference"/>
        </w:rPr>
        <w:endnoteRef/>
      </w:r>
      <w:r w:rsidRPr="009A616C">
        <w:t xml:space="preserve"> Hay, ‘Property, Authority and the Criminal Law’.</w:t>
      </w:r>
    </w:p>
  </w:endnote>
  <w:endnote w:id="40">
    <w:p w14:paraId="57FA721E" w14:textId="2CC418FF" w:rsidR="00A64B65" w:rsidRPr="009A616C" w:rsidRDefault="00A64B65" w:rsidP="006755E3">
      <w:pPr>
        <w:pStyle w:val="EndnoteText"/>
        <w:spacing w:line="360" w:lineRule="auto"/>
        <w:jc w:val="both"/>
        <w:rPr>
          <w:color w:val="FF0000"/>
        </w:rPr>
      </w:pPr>
      <w:r w:rsidRPr="009A616C">
        <w:rPr>
          <w:rStyle w:val="EndnoteReference"/>
        </w:rPr>
        <w:endnoteRef/>
      </w:r>
      <w:r w:rsidRPr="009A616C">
        <w:t xml:space="preserve"> See again Simpson, </w:t>
      </w:r>
      <w:r w:rsidRPr="009A616C">
        <w:rPr>
          <w:i/>
        </w:rPr>
        <w:t>Witnesses to the Scaffold</w:t>
      </w:r>
      <w:r w:rsidRPr="009A616C">
        <w:t>. In contrast, the percentage of convicted property offenders never rose above 17%, and for most of the period remained below 10%.</w:t>
      </w:r>
    </w:p>
  </w:endnote>
  <w:endnote w:id="41">
    <w:p w14:paraId="0E3009EE" w14:textId="6FDB354F" w:rsidR="00A64B65" w:rsidRPr="009A616C" w:rsidRDefault="00A64B65" w:rsidP="006755E3">
      <w:pPr>
        <w:pStyle w:val="EndnoteText"/>
        <w:spacing w:line="360" w:lineRule="auto"/>
        <w:jc w:val="both"/>
      </w:pPr>
      <w:r w:rsidRPr="009A616C">
        <w:rPr>
          <w:rStyle w:val="EndnoteReference"/>
        </w:rPr>
        <w:endnoteRef/>
      </w:r>
      <w:r w:rsidRPr="009A616C">
        <w:t xml:space="preserve"> For a discussion of Morrey’s case, see M. Nield, </w:t>
      </w:r>
      <w:r w:rsidRPr="009A616C">
        <w:rPr>
          <w:i/>
        </w:rPr>
        <w:t xml:space="preserve">Rope Dance: A Sensational Murder in Regency Chester Re-opened </w:t>
      </w:r>
      <w:r w:rsidRPr="009A616C">
        <w:t>(Cheshire County Council, 1993).</w:t>
      </w:r>
    </w:p>
  </w:endnote>
  <w:endnote w:id="42">
    <w:p w14:paraId="703E8EF8" w14:textId="37F26410" w:rsidR="00A64B65" w:rsidRPr="009A616C" w:rsidRDefault="00A64B65" w:rsidP="006755E3">
      <w:pPr>
        <w:pStyle w:val="EndnoteText"/>
        <w:spacing w:line="360" w:lineRule="auto"/>
        <w:jc w:val="both"/>
      </w:pPr>
      <w:r w:rsidRPr="009A616C">
        <w:rPr>
          <w:rStyle w:val="EndnoteReference"/>
        </w:rPr>
        <w:endnoteRef/>
      </w:r>
      <w:r w:rsidRPr="009A616C">
        <w:t xml:space="preserve"> ‘Cheshire Summer Assize’, </w:t>
      </w:r>
      <w:r w:rsidRPr="009A616C">
        <w:rPr>
          <w:i/>
        </w:rPr>
        <w:t>Chester Chronicle</w:t>
      </w:r>
      <w:r w:rsidRPr="009A616C">
        <w:t>, 1</w:t>
      </w:r>
      <w:r w:rsidRPr="009A616C">
        <w:rPr>
          <w:vertAlign w:val="superscript"/>
        </w:rPr>
        <w:t>st</w:t>
      </w:r>
      <w:r w:rsidRPr="009A616C">
        <w:t xml:space="preserve"> September 1820, p. 2.</w:t>
      </w:r>
    </w:p>
  </w:endnote>
  <w:endnote w:id="43">
    <w:p w14:paraId="7D5C8E4B" w14:textId="794517A7" w:rsidR="00A64B65" w:rsidRPr="009A616C" w:rsidRDefault="00A64B65" w:rsidP="006755E3">
      <w:pPr>
        <w:pStyle w:val="EndnoteText"/>
        <w:spacing w:line="360" w:lineRule="auto"/>
        <w:jc w:val="both"/>
      </w:pPr>
      <w:r w:rsidRPr="009A616C">
        <w:rPr>
          <w:rStyle w:val="EndnoteReference"/>
        </w:rPr>
        <w:endnoteRef/>
      </w:r>
      <w:r w:rsidRPr="009A616C">
        <w:t xml:space="preserve"> ‘Cheshire Summer Assize’. </w:t>
      </w:r>
      <w:r w:rsidRPr="009A616C">
        <w:rPr>
          <w:i/>
        </w:rPr>
        <w:t xml:space="preserve"> </w:t>
      </w:r>
    </w:p>
  </w:endnote>
  <w:endnote w:id="44">
    <w:p w14:paraId="3EE33815" w14:textId="54CA95BB" w:rsidR="00A64B65" w:rsidRPr="009A616C" w:rsidRDefault="00A64B65" w:rsidP="006755E3">
      <w:pPr>
        <w:pStyle w:val="EndnoteText"/>
        <w:spacing w:line="360" w:lineRule="auto"/>
        <w:jc w:val="both"/>
      </w:pPr>
      <w:r w:rsidRPr="009A616C">
        <w:rPr>
          <w:rStyle w:val="EndnoteReference"/>
        </w:rPr>
        <w:endnoteRef/>
      </w:r>
      <w:r w:rsidRPr="009A616C">
        <w:t xml:space="preserve"> ‘Cheshire Spring Assizes’, </w:t>
      </w:r>
      <w:r w:rsidRPr="009A616C">
        <w:rPr>
          <w:i/>
        </w:rPr>
        <w:t>Chester Chronicle</w:t>
      </w:r>
      <w:r w:rsidRPr="009A616C">
        <w:t>, 17</w:t>
      </w:r>
      <w:r w:rsidRPr="009A616C">
        <w:rPr>
          <w:vertAlign w:val="superscript"/>
        </w:rPr>
        <w:t>th</w:t>
      </w:r>
      <w:r w:rsidRPr="009A616C">
        <w:t xml:space="preserve"> April 1829, p. 1.</w:t>
      </w:r>
    </w:p>
  </w:endnote>
  <w:endnote w:id="45">
    <w:p w14:paraId="1D88B59C" w14:textId="2A01E301" w:rsidR="00A64B65" w:rsidRPr="009A616C" w:rsidRDefault="00A64B65" w:rsidP="006755E3">
      <w:pPr>
        <w:pStyle w:val="EndnoteText"/>
        <w:spacing w:line="360" w:lineRule="auto"/>
        <w:jc w:val="both"/>
      </w:pPr>
      <w:r w:rsidRPr="009A616C">
        <w:rPr>
          <w:rStyle w:val="EndnoteReference"/>
        </w:rPr>
        <w:endnoteRef/>
      </w:r>
      <w:r w:rsidRPr="009A616C">
        <w:t xml:space="preserve"> ‘Cheshire Spring Assizes’, </w:t>
      </w:r>
      <w:r w:rsidRPr="009A616C">
        <w:rPr>
          <w:i/>
        </w:rPr>
        <w:t>Chester Chronicle</w:t>
      </w:r>
      <w:r w:rsidRPr="009A616C">
        <w:t>, 24</w:t>
      </w:r>
      <w:r w:rsidRPr="009A616C">
        <w:rPr>
          <w:vertAlign w:val="superscript"/>
        </w:rPr>
        <w:t>th</w:t>
      </w:r>
      <w:r w:rsidRPr="009A616C">
        <w:t xml:space="preserve"> April 1829, p. 4</w:t>
      </w:r>
    </w:p>
  </w:endnote>
  <w:endnote w:id="46">
    <w:p w14:paraId="5920650D" w14:textId="4798FC2E" w:rsidR="00A64B65" w:rsidRPr="009A616C" w:rsidRDefault="00A64B65" w:rsidP="006755E3">
      <w:pPr>
        <w:pStyle w:val="EndnoteText"/>
        <w:spacing w:line="360" w:lineRule="auto"/>
        <w:jc w:val="both"/>
        <w:rPr>
          <w:color w:val="FF0000"/>
        </w:rPr>
      </w:pPr>
      <w:r w:rsidRPr="009A616C">
        <w:rPr>
          <w:rStyle w:val="EndnoteReference"/>
        </w:rPr>
        <w:endnoteRef/>
      </w:r>
      <w:r w:rsidRPr="009A616C">
        <w:t xml:space="preserve"> C. Phillips, </w:t>
      </w:r>
      <w:r w:rsidRPr="009A616C">
        <w:rPr>
          <w:i/>
        </w:rPr>
        <w:t>Vacation Thoughts on Capital Punishments</w:t>
      </w:r>
      <w:r w:rsidRPr="009A616C">
        <w:t xml:space="preserve"> (F &amp;  F.G. Cash), p. 2</w:t>
      </w:r>
    </w:p>
  </w:endnote>
  <w:endnote w:id="47">
    <w:p w14:paraId="2D1FF8C6" w14:textId="6B882CAC" w:rsidR="00A64B65" w:rsidRPr="009A616C" w:rsidRDefault="00A64B65" w:rsidP="006755E3">
      <w:pPr>
        <w:pStyle w:val="EndnoteText"/>
        <w:spacing w:line="360" w:lineRule="auto"/>
        <w:jc w:val="both"/>
      </w:pPr>
      <w:r w:rsidRPr="009A616C">
        <w:rPr>
          <w:rStyle w:val="EndnoteReference"/>
        </w:rPr>
        <w:endnoteRef/>
      </w:r>
      <w:r w:rsidRPr="009A616C">
        <w:t xml:space="preserve"> CF Beattie, </w:t>
      </w:r>
      <w:r w:rsidRPr="009A616C">
        <w:rPr>
          <w:i/>
        </w:rPr>
        <w:t>Crime and the Courts in England</w:t>
      </w:r>
      <w:r w:rsidRPr="009A616C">
        <w:t xml:space="preserve">, pp. 436-9; King, </w:t>
      </w:r>
      <w:r w:rsidRPr="009A616C">
        <w:rPr>
          <w:i/>
        </w:rPr>
        <w:t xml:space="preserve">Crime and Law in England, </w:t>
      </w:r>
      <w:r w:rsidRPr="009A616C">
        <w:t>pp. 62-3.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76E1" w14:textId="77777777" w:rsidR="00A64B65" w:rsidRDefault="00A64B65" w:rsidP="00337D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648980" w14:textId="77777777" w:rsidR="00A64B65" w:rsidRDefault="00A64B65" w:rsidP="00337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78A40" w14:textId="18BAB5CD" w:rsidR="00A64B65" w:rsidRDefault="00A64B65" w:rsidP="00337D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6245">
      <w:rPr>
        <w:rStyle w:val="PageNumber"/>
        <w:noProof/>
      </w:rPr>
      <w:t>1</w:t>
    </w:r>
    <w:r>
      <w:rPr>
        <w:rStyle w:val="PageNumber"/>
      </w:rPr>
      <w:fldChar w:fldCharType="end"/>
    </w:r>
  </w:p>
  <w:p w14:paraId="4A6F6FA6" w14:textId="77777777" w:rsidR="00A64B65" w:rsidRDefault="00A64B65" w:rsidP="00337D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E4712" w14:textId="77777777" w:rsidR="002507BD" w:rsidRDefault="002507BD" w:rsidP="00337D11">
      <w:pPr>
        <w:spacing w:after="0"/>
      </w:pPr>
      <w:r>
        <w:separator/>
      </w:r>
    </w:p>
  </w:footnote>
  <w:footnote w:type="continuationSeparator" w:id="0">
    <w:p w14:paraId="1ECA82D8" w14:textId="77777777" w:rsidR="002507BD" w:rsidRDefault="002507BD" w:rsidP="00337D1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1"/>
    <w:rsid w:val="0000794C"/>
    <w:rsid w:val="00013F27"/>
    <w:rsid w:val="00015B7A"/>
    <w:rsid w:val="000179BB"/>
    <w:rsid w:val="00023BE8"/>
    <w:rsid w:val="000269FE"/>
    <w:rsid w:val="00026A0F"/>
    <w:rsid w:val="00026A95"/>
    <w:rsid w:val="00027E7C"/>
    <w:rsid w:val="00030ADB"/>
    <w:rsid w:val="0003339F"/>
    <w:rsid w:val="00041FB8"/>
    <w:rsid w:val="00050085"/>
    <w:rsid w:val="00063899"/>
    <w:rsid w:val="000651D4"/>
    <w:rsid w:val="000A113E"/>
    <w:rsid w:val="000C3819"/>
    <w:rsid w:val="000C6FCC"/>
    <w:rsid w:val="000E4DDA"/>
    <w:rsid w:val="000F2BF3"/>
    <w:rsid w:val="000F5BC8"/>
    <w:rsid w:val="00101810"/>
    <w:rsid w:val="0010272E"/>
    <w:rsid w:val="00103497"/>
    <w:rsid w:val="00110C47"/>
    <w:rsid w:val="00111269"/>
    <w:rsid w:val="00112DB8"/>
    <w:rsid w:val="00125D5E"/>
    <w:rsid w:val="0014244F"/>
    <w:rsid w:val="00142675"/>
    <w:rsid w:val="00145686"/>
    <w:rsid w:val="00156B3C"/>
    <w:rsid w:val="0017374B"/>
    <w:rsid w:val="001768C8"/>
    <w:rsid w:val="00183C96"/>
    <w:rsid w:val="00194BAD"/>
    <w:rsid w:val="001979DA"/>
    <w:rsid w:val="001A44F5"/>
    <w:rsid w:val="001A5A67"/>
    <w:rsid w:val="001B25EF"/>
    <w:rsid w:val="001D3D9F"/>
    <w:rsid w:val="001D4589"/>
    <w:rsid w:val="00211F77"/>
    <w:rsid w:val="0021474E"/>
    <w:rsid w:val="002234B1"/>
    <w:rsid w:val="00224FA9"/>
    <w:rsid w:val="002270CB"/>
    <w:rsid w:val="00235F95"/>
    <w:rsid w:val="00237FED"/>
    <w:rsid w:val="00245EC5"/>
    <w:rsid w:val="00250539"/>
    <w:rsid w:val="002507BD"/>
    <w:rsid w:val="00256877"/>
    <w:rsid w:val="00264A30"/>
    <w:rsid w:val="00273BF0"/>
    <w:rsid w:val="00274FCD"/>
    <w:rsid w:val="002908C4"/>
    <w:rsid w:val="002A4504"/>
    <w:rsid w:val="002A583E"/>
    <w:rsid w:val="002B135E"/>
    <w:rsid w:val="002B14F4"/>
    <w:rsid w:val="002B1D2E"/>
    <w:rsid w:val="002C2911"/>
    <w:rsid w:val="002C6D09"/>
    <w:rsid w:val="002E4022"/>
    <w:rsid w:val="002E6A68"/>
    <w:rsid w:val="002E7A75"/>
    <w:rsid w:val="002E7B42"/>
    <w:rsid w:val="002F1E81"/>
    <w:rsid w:val="00302779"/>
    <w:rsid w:val="00304445"/>
    <w:rsid w:val="00313EFD"/>
    <w:rsid w:val="00316B80"/>
    <w:rsid w:val="00327CED"/>
    <w:rsid w:val="00331178"/>
    <w:rsid w:val="00332FA4"/>
    <w:rsid w:val="00337D11"/>
    <w:rsid w:val="0034004F"/>
    <w:rsid w:val="00352A29"/>
    <w:rsid w:val="00354926"/>
    <w:rsid w:val="003630B5"/>
    <w:rsid w:val="0036771B"/>
    <w:rsid w:val="00371523"/>
    <w:rsid w:val="00373B6A"/>
    <w:rsid w:val="0038279C"/>
    <w:rsid w:val="00383A7D"/>
    <w:rsid w:val="00385414"/>
    <w:rsid w:val="00395BA3"/>
    <w:rsid w:val="003972B7"/>
    <w:rsid w:val="003B1BFE"/>
    <w:rsid w:val="003B397B"/>
    <w:rsid w:val="003B649C"/>
    <w:rsid w:val="003C4925"/>
    <w:rsid w:val="003E1512"/>
    <w:rsid w:val="003F65FF"/>
    <w:rsid w:val="003F67CB"/>
    <w:rsid w:val="003F7959"/>
    <w:rsid w:val="00400A57"/>
    <w:rsid w:val="0040189D"/>
    <w:rsid w:val="004075A1"/>
    <w:rsid w:val="00412A26"/>
    <w:rsid w:val="00412E26"/>
    <w:rsid w:val="00413973"/>
    <w:rsid w:val="00414F75"/>
    <w:rsid w:val="004152E4"/>
    <w:rsid w:val="0041609B"/>
    <w:rsid w:val="00417FC9"/>
    <w:rsid w:val="00424F9A"/>
    <w:rsid w:val="00445986"/>
    <w:rsid w:val="00450FB1"/>
    <w:rsid w:val="0046092A"/>
    <w:rsid w:val="004644AD"/>
    <w:rsid w:val="004666FE"/>
    <w:rsid w:val="004707E5"/>
    <w:rsid w:val="00474E8C"/>
    <w:rsid w:val="004A19EB"/>
    <w:rsid w:val="004A6622"/>
    <w:rsid w:val="004A71AF"/>
    <w:rsid w:val="004B2A37"/>
    <w:rsid w:val="004C21FB"/>
    <w:rsid w:val="004C3924"/>
    <w:rsid w:val="004D0BAA"/>
    <w:rsid w:val="004E1266"/>
    <w:rsid w:val="004E44C5"/>
    <w:rsid w:val="004E547F"/>
    <w:rsid w:val="004E7367"/>
    <w:rsid w:val="004E7EB2"/>
    <w:rsid w:val="004F0A07"/>
    <w:rsid w:val="004F3352"/>
    <w:rsid w:val="004F380F"/>
    <w:rsid w:val="004F6600"/>
    <w:rsid w:val="004F7719"/>
    <w:rsid w:val="00502F62"/>
    <w:rsid w:val="00503950"/>
    <w:rsid w:val="00505266"/>
    <w:rsid w:val="00510B80"/>
    <w:rsid w:val="00520506"/>
    <w:rsid w:val="005313E1"/>
    <w:rsid w:val="005408D3"/>
    <w:rsid w:val="00543823"/>
    <w:rsid w:val="00550AD2"/>
    <w:rsid w:val="005700EC"/>
    <w:rsid w:val="00572B7D"/>
    <w:rsid w:val="0057598D"/>
    <w:rsid w:val="005770A8"/>
    <w:rsid w:val="00583055"/>
    <w:rsid w:val="00594556"/>
    <w:rsid w:val="00596245"/>
    <w:rsid w:val="005B32BB"/>
    <w:rsid w:val="005B50C7"/>
    <w:rsid w:val="005D2FAE"/>
    <w:rsid w:val="005D402A"/>
    <w:rsid w:val="005D4F16"/>
    <w:rsid w:val="005E5C6A"/>
    <w:rsid w:val="005F1F59"/>
    <w:rsid w:val="005F3FDD"/>
    <w:rsid w:val="005F6060"/>
    <w:rsid w:val="005F683F"/>
    <w:rsid w:val="005F6A77"/>
    <w:rsid w:val="006009C1"/>
    <w:rsid w:val="006016FC"/>
    <w:rsid w:val="00615068"/>
    <w:rsid w:val="00617AC5"/>
    <w:rsid w:val="006345C7"/>
    <w:rsid w:val="006443A1"/>
    <w:rsid w:val="0064451D"/>
    <w:rsid w:val="00644A88"/>
    <w:rsid w:val="00670CB4"/>
    <w:rsid w:val="00671505"/>
    <w:rsid w:val="006755E3"/>
    <w:rsid w:val="006A1CC4"/>
    <w:rsid w:val="006B111C"/>
    <w:rsid w:val="006B45C8"/>
    <w:rsid w:val="006B5C2F"/>
    <w:rsid w:val="006C1F60"/>
    <w:rsid w:val="006C57D8"/>
    <w:rsid w:val="006D3E6E"/>
    <w:rsid w:val="006D40D5"/>
    <w:rsid w:val="006D7B2B"/>
    <w:rsid w:val="006E3B77"/>
    <w:rsid w:val="006F37B4"/>
    <w:rsid w:val="00711E1E"/>
    <w:rsid w:val="007124AD"/>
    <w:rsid w:val="007151C8"/>
    <w:rsid w:val="007257C1"/>
    <w:rsid w:val="00726B55"/>
    <w:rsid w:val="00760104"/>
    <w:rsid w:val="007603B1"/>
    <w:rsid w:val="00775B49"/>
    <w:rsid w:val="00783441"/>
    <w:rsid w:val="00791466"/>
    <w:rsid w:val="007A1331"/>
    <w:rsid w:val="007A58D1"/>
    <w:rsid w:val="007A6523"/>
    <w:rsid w:val="007B3864"/>
    <w:rsid w:val="007C1D32"/>
    <w:rsid w:val="007C34FF"/>
    <w:rsid w:val="007C70E4"/>
    <w:rsid w:val="007D1E44"/>
    <w:rsid w:val="007D29B5"/>
    <w:rsid w:val="007E4125"/>
    <w:rsid w:val="007F6891"/>
    <w:rsid w:val="00803E08"/>
    <w:rsid w:val="00805F88"/>
    <w:rsid w:val="008062C2"/>
    <w:rsid w:val="008069C6"/>
    <w:rsid w:val="00812E6A"/>
    <w:rsid w:val="00825624"/>
    <w:rsid w:val="00833080"/>
    <w:rsid w:val="00835CBF"/>
    <w:rsid w:val="008438E9"/>
    <w:rsid w:val="00843C2D"/>
    <w:rsid w:val="0084518C"/>
    <w:rsid w:val="00850CDA"/>
    <w:rsid w:val="00866694"/>
    <w:rsid w:val="00866CAE"/>
    <w:rsid w:val="00890178"/>
    <w:rsid w:val="008A1DBB"/>
    <w:rsid w:val="008A4D1B"/>
    <w:rsid w:val="008C03AC"/>
    <w:rsid w:val="008C0938"/>
    <w:rsid w:val="008D455F"/>
    <w:rsid w:val="008E22FD"/>
    <w:rsid w:val="008E50CF"/>
    <w:rsid w:val="008E6DCB"/>
    <w:rsid w:val="008E7AA4"/>
    <w:rsid w:val="008F1897"/>
    <w:rsid w:val="008F7FC2"/>
    <w:rsid w:val="00901D93"/>
    <w:rsid w:val="00907FC9"/>
    <w:rsid w:val="009141D8"/>
    <w:rsid w:val="00917429"/>
    <w:rsid w:val="0092195B"/>
    <w:rsid w:val="0092230E"/>
    <w:rsid w:val="00922B9E"/>
    <w:rsid w:val="00931687"/>
    <w:rsid w:val="00933BA2"/>
    <w:rsid w:val="00933C7D"/>
    <w:rsid w:val="009355AF"/>
    <w:rsid w:val="00936F55"/>
    <w:rsid w:val="00940523"/>
    <w:rsid w:val="00941826"/>
    <w:rsid w:val="00942E54"/>
    <w:rsid w:val="00947251"/>
    <w:rsid w:val="00960E0D"/>
    <w:rsid w:val="00981739"/>
    <w:rsid w:val="00986AEF"/>
    <w:rsid w:val="00993CF8"/>
    <w:rsid w:val="009A616C"/>
    <w:rsid w:val="009B2112"/>
    <w:rsid w:val="009D705A"/>
    <w:rsid w:val="009D7859"/>
    <w:rsid w:val="009D7D5A"/>
    <w:rsid w:val="00A01870"/>
    <w:rsid w:val="00A0267A"/>
    <w:rsid w:val="00A05693"/>
    <w:rsid w:val="00A06E50"/>
    <w:rsid w:val="00A07B6C"/>
    <w:rsid w:val="00A1329D"/>
    <w:rsid w:val="00A139B3"/>
    <w:rsid w:val="00A1662C"/>
    <w:rsid w:val="00A2264D"/>
    <w:rsid w:val="00A2743B"/>
    <w:rsid w:val="00A52D7B"/>
    <w:rsid w:val="00A53A24"/>
    <w:rsid w:val="00A60C0C"/>
    <w:rsid w:val="00A64B65"/>
    <w:rsid w:val="00A86557"/>
    <w:rsid w:val="00A91106"/>
    <w:rsid w:val="00A967F2"/>
    <w:rsid w:val="00AB6495"/>
    <w:rsid w:val="00AB77A6"/>
    <w:rsid w:val="00AD1218"/>
    <w:rsid w:val="00AE3A90"/>
    <w:rsid w:val="00AE5492"/>
    <w:rsid w:val="00AF1352"/>
    <w:rsid w:val="00B03028"/>
    <w:rsid w:val="00B03781"/>
    <w:rsid w:val="00B040ED"/>
    <w:rsid w:val="00B2149F"/>
    <w:rsid w:val="00B36CBB"/>
    <w:rsid w:val="00B42F8F"/>
    <w:rsid w:val="00B432C2"/>
    <w:rsid w:val="00B4448A"/>
    <w:rsid w:val="00B52BBF"/>
    <w:rsid w:val="00B60B92"/>
    <w:rsid w:val="00B63272"/>
    <w:rsid w:val="00B653CE"/>
    <w:rsid w:val="00B7424E"/>
    <w:rsid w:val="00B82C64"/>
    <w:rsid w:val="00B8424D"/>
    <w:rsid w:val="00B94A21"/>
    <w:rsid w:val="00BA7CED"/>
    <w:rsid w:val="00BA7D55"/>
    <w:rsid w:val="00BB0009"/>
    <w:rsid w:val="00BB3B62"/>
    <w:rsid w:val="00BB6815"/>
    <w:rsid w:val="00BC14AE"/>
    <w:rsid w:val="00BC32AC"/>
    <w:rsid w:val="00BC3452"/>
    <w:rsid w:val="00BD1376"/>
    <w:rsid w:val="00BD6D7E"/>
    <w:rsid w:val="00C006BE"/>
    <w:rsid w:val="00C061E3"/>
    <w:rsid w:val="00C11263"/>
    <w:rsid w:val="00C11666"/>
    <w:rsid w:val="00C175D5"/>
    <w:rsid w:val="00C17633"/>
    <w:rsid w:val="00C2268B"/>
    <w:rsid w:val="00C274D3"/>
    <w:rsid w:val="00C3328E"/>
    <w:rsid w:val="00C35F13"/>
    <w:rsid w:val="00C50B87"/>
    <w:rsid w:val="00C82552"/>
    <w:rsid w:val="00C905D0"/>
    <w:rsid w:val="00CB1AD4"/>
    <w:rsid w:val="00CB31CC"/>
    <w:rsid w:val="00CB6726"/>
    <w:rsid w:val="00CC1DD8"/>
    <w:rsid w:val="00CC6739"/>
    <w:rsid w:val="00CD0B73"/>
    <w:rsid w:val="00CD196B"/>
    <w:rsid w:val="00CE57A9"/>
    <w:rsid w:val="00CF4212"/>
    <w:rsid w:val="00D047E4"/>
    <w:rsid w:val="00D10C3C"/>
    <w:rsid w:val="00D2121C"/>
    <w:rsid w:val="00D26029"/>
    <w:rsid w:val="00D338A0"/>
    <w:rsid w:val="00D33BDC"/>
    <w:rsid w:val="00D41FA1"/>
    <w:rsid w:val="00D440F0"/>
    <w:rsid w:val="00D47E3E"/>
    <w:rsid w:val="00D51234"/>
    <w:rsid w:val="00D80C05"/>
    <w:rsid w:val="00D8396F"/>
    <w:rsid w:val="00D8466B"/>
    <w:rsid w:val="00D87B5E"/>
    <w:rsid w:val="00DB1A73"/>
    <w:rsid w:val="00DB3752"/>
    <w:rsid w:val="00DB3E10"/>
    <w:rsid w:val="00DB572A"/>
    <w:rsid w:val="00DB6051"/>
    <w:rsid w:val="00DC062D"/>
    <w:rsid w:val="00DC4831"/>
    <w:rsid w:val="00DC4AE7"/>
    <w:rsid w:val="00DD5722"/>
    <w:rsid w:val="00DE09A7"/>
    <w:rsid w:val="00DE48F0"/>
    <w:rsid w:val="00DF1E3B"/>
    <w:rsid w:val="00E1170D"/>
    <w:rsid w:val="00E155BE"/>
    <w:rsid w:val="00E2125D"/>
    <w:rsid w:val="00E25EF5"/>
    <w:rsid w:val="00E31112"/>
    <w:rsid w:val="00E40201"/>
    <w:rsid w:val="00E42236"/>
    <w:rsid w:val="00E4309C"/>
    <w:rsid w:val="00E50352"/>
    <w:rsid w:val="00E51981"/>
    <w:rsid w:val="00E57C4B"/>
    <w:rsid w:val="00E6175E"/>
    <w:rsid w:val="00E619DE"/>
    <w:rsid w:val="00E64B44"/>
    <w:rsid w:val="00E658F4"/>
    <w:rsid w:val="00E669D8"/>
    <w:rsid w:val="00E73722"/>
    <w:rsid w:val="00E80115"/>
    <w:rsid w:val="00E91148"/>
    <w:rsid w:val="00E953C1"/>
    <w:rsid w:val="00E9572B"/>
    <w:rsid w:val="00EA0665"/>
    <w:rsid w:val="00EA6D12"/>
    <w:rsid w:val="00EB6E04"/>
    <w:rsid w:val="00EC10A4"/>
    <w:rsid w:val="00EC158B"/>
    <w:rsid w:val="00EC2429"/>
    <w:rsid w:val="00EC6601"/>
    <w:rsid w:val="00EC6766"/>
    <w:rsid w:val="00ED0A16"/>
    <w:rsid w:val="00EF0583"/>
    <w:rsid w:val="00F27F61"/>
    <w:rsid w:val="00F32842"/>
    <w:rsid w:val="00F33729"/>
    <w:rsid w:val="00F43C54"/>
    <w:rsid w:val="00F4404C"/>
    <w:rsid w:val="00F46FB8"/>
    <w:rsid w:val="00F4791F"/>
    <w:rsid w:val="00F52D2B"/>
    <w:rsid w:val="00F67B47"/>
    <w:rsid w:val="00F93A48"/>
    <w:rsid w:val="00F97B24"/>
    <w:rsid w:val="00FA3331"/>
    <w:rsid w:val="00FA4528"/>
    <w:rsid w:val="00FB131F"/>
    <w:rsid w:val="00FB2D37"/>
    <w:rsid w:val="00FC1075"/>
    <w:rsid w:val="00FC4E2B"/>
    <w:rsid w:val="00FC5812"/>
    <w:rsid w:val="00FC6464"/>
    <w:rsid w:val="00FE0715"/>
    <w:rsid w:val="00FE2F3C"/>
    <w:rsid w:val="00FE3828"/>
    <w:rsid w:val="00FF7C4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FDED0"/>
  <w15:docId w15:val="{D12016D0-EB91-43C9-8050-A569B106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7D11"/>
    <w:pPr>
      <w:tabs>
        <w:tab w:val="center" w:pos="4320"/>
        <w:tab w:val="right" w:pos="8640"/>
      </w:tabs>
      <w:spacing w:after="0"/>
    </w:pPr>
  </w:style>
  <w:style w:type="character" w:customStyle="1" w:styleId="FooterChar">
    <w:name w:val="Footer Char"/>
    <w:basedOn w:val="DefaultParagraphFont"/>
    <w:link w:val="Footer"/>
    <w:uiPriority w:val="99"/>
    <w:rsid w:val="00337D11"/>
  </w:style>
  <w:style w:type="character" w:styleId="PageNumber">
    <w:name w:val="page number"/>
    <w:basedOn w:val="DefaultParagraphFont"/>
    <w:uiPriority w:val="99"/>
    <w:semiHidden/>
    <w:unhideWhenUsed/>
    <w:rsid w:val="00337D11"/>
  </w:style>
  <w:style w:type="paragraph" w:styleId="EndnoteText">
    <w:name w:val="endnote text"/>
    <w:basedOn w:val="Normal"/>
    <w:link w:val="EndnoteTextChar"/>
    <w:uiPriority w:val="99"/>
    <w:unhideWhenUsed/>
    <w:rsid w:val="00337D11"/>
    <w:pPr>
      <w:spacing w:after="0"/>
    </w:pPr>
  </w:style>
  <w:style w:type="character" w:customStyle="1" w:styleId="EndnoteTextChar">
    <w:name w:val="Endnote Text Char"/>
    <w:basedOn w:val="DefaultParagraphFont"/>
    <w:link w:val="EndnoteText"/>
    <w:uiPriority w:val="99"/>
    <w:rsid w:val="00337D11"/>
  </w:style>
  <w:style w:type="character" w:styleId="EndnoteReference">
    <w:name w:val="endnote reference"/>
    <w:basedOn w:val="DefaultParagraphFont"/>
    <w:uiPriority w:val="99"/>
    <w:unhideWhenUsed/>
    <w:rsid w:val="00337D11"/>
    <w:rPr>
      <w:vertAlign w:val="superscript"/>
    </w:rPr>
  </w:style>
  <w:style w:type="character" w:styleId="Hyperlink">
    <w:name w:val="Hyperlink"/>
    <w:basedOn w:val="DefaultParagraphFont"/>
    <w:uiPriority w:val="99"/>
    <w:unhideWhenUsed/>
    <w:rsid w:val="00183C96"/>
    <w:rPr>
      <w:color w:val="0000FF" w:themeColor="hyperlink"/>
      <w:u w:val="single"/>
    </w:rPr>
  </w:style>
  <w:style w:type="paragraph" w:styleId="FootnoteText">
    <w:name w:val="footnote text"/>
    <w:basedOn w:val="Normal"/>
    <w:link w:val="FootnoteTextChar"/>
    <w:uiPriority w:val="99"/>
    <w:unhideWhenUsed/>
    <w:rsid w:val="00304445"/>
    <w:pPr>
      <w:spacing w:after="0"/>
    </w:pPr>
  </w:style>
  <w:style w:type="character" w:customStyle="1" w:styleId="FootnoteTextChar">
    <w:name w:val="Footnote Text Char"/>
    <w:basedOn w:val="DefaultParagraphFont"/>
    <w:link w:val="FootnoteText"/>
    <w:uiPriority w:val="99"/>
    <w:rsid w:val="00304445"/>
  </w:style>
  <w:style w:type="character" w:styleId="FootnoteReference">
    <w:name w:val="footnote reference"/>
    <w:basedOn w:val="DefaultParagraphFont"/>
    <w:semiHidden/>
    <w:rsid w:val="00304445"/>
    <w:rPr>
      <w:vertAlign w:val="superscript"/>
    </w:rPr>
  </w:style>
  <w:style w:type="table" w:styleId="TableGrid">
    <w:name w:val="Table Grid"/>
    <w:basedOn w:val="TableNormal"/>
    <w:uiPriority w:val="59"/>
    <w:rsid w:val="006D40D5"/>
    <w:pPr>
      <w:spacing w:after="0"/>
    </w:pPr>
    <w:rPr>
      <w:rFonts w:eastAsiaTheme="minorHAnsi" w:cs="Times New Roman"/>
      <w:sz w:val="22"/>
      <w:szCs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547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47F"/>
    <w:rPr>
      <w:rFonts w:ascii="Lucida Grande" w:hAnsi="Lucida Grande" w:cs="Lucida Grande"/>
      <w:sz w:val="18"/>
      <w:szCs w:val="18"/>
    </w:rPr>
  </w:style>
  <w:style w:type="character" w:styleId="CommentReference">
    <w:name w:val="annotation reference"/>
    <w:basedOn w:val="DefaultParagraphFont"/>
    <w:uiPriority w:val="99"/>
    <w:semiHidden/>
    <w:unhideWhenUsed/>
    <w:rsid w:val="00DB572A"/>
    <w:rPr>
      <w:sz w:val="18"/>
      <w:szCs w:val="18"/>
    </w:rPr>
  </w:style>
  <w:style w:type="paragraph" w:styleId="CommentText">
    <w:name w:val="annotation text"/>
    <w:basedOn w:val="Normal"/>
    <w:link w:val="CommentTextChar"/>
    <w:uiPriority w:val="99"/>
    <w:unhideWhenUsed/>
    <w:rsid w:val="00DB572A"/>
  </w:style>
  <w:style w:type="character" w:customStyle="1" w:styleId="CommentTextChar">
    <w:name w:val="Comment Text Char"/>
    <w:basedOn w:val="DefaultParagraphFont"/>
    <w:link w:val="CommentText"/>
    <w:uiPriority w:val="99"/>
    <w:rsid w:val="00DB572A"/>
  </w:style>
  <w:style w:type="paragraph" w:styleId="CommentSubject">
    <w:name w:val="annotation subject"/>
    <w:basedOn w:val="CommentText"/>
    <w:next w:val="CommentText"/>
    <w:link w:val="CommentSubjectChar"/>
    <w:uiPriority w:val="99"/>
    <w:semiHidden/>
    <w:unhideWhenUsed/>
    <w:rsid w:val="00DB572A"/>
    <w:rPr>
      <w:b/>
      <w:bCs/>
      <w:sz w:val="20"/>
      <w:szCs w:val="20"/>
    </w:rPr>
  </w:style>
  <w:style w:type="character" w:customStyle="1" w:styleId="CommentSubjectChar">
    <w:name w:val="Comment Subject Char"/>
    <w:basedOn w:val="CommentTextChar"/>
    <w:link w:val="CommentSubject"/>
    <w:uiPriority w:val="99"/>
    <w:semiHidden/>
    <w:rsid w:val="00DB57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869">
      <w:bodyDiv w:val="1"/>
      <w:marLeft w:val="0"/>
      <w:marRight w:val="0"/>
      <w:marTop w:val="0"/>
      <w:marBottom w:val="0"/>
      <w:divBdr>
        <w:top w:val="none" w:sz="0" w:space="0" w:color="auto"/>
        <w:left w:val="none" w:sz="0" w:space="0" w:color="auto"/>
        <w:bottom w:val="none" w:sz="0" w:space="0" w:color="auto"/>
        <w:right w:val="none" w:sz="0" w:space="0" w:color="auto"/>
      </w:divBdr>
    </w:div>
    <w:div w:id="490409386">
      <w:bodyDiv w:val="1"/>
      <w:marLeft w:val="0"/>
      <w:marRight w:val="0"/>
      <w:marTop w:val="0"/>
      <w:marBottom w:val="0"/>
      <w:divBdr>
        <w:top w:val="none" w:sz="0" w:space="0" w:color="auto"/>
        <w:left w:val="none" w:sz="0" w:space="0" w:color="auto"/>
        <w:bottom w:val="none" w:sz="0" w:space="0" w:color="auto"/>
        <w:right w:val="none" w:sz="0" w:space="0" w:color="auto"/>
      </w:divBdr>
    </w:div>
    <w:div w:id="1494757872">
      <w:bodyDiv w:val="1"/>
      <w:marLeft w:val="0"/>
      <w:marRight w:val="0"/>
      <w:marTop w:val="0"/>
      <w:marBottom w:val="0"/>
      <w:divBdr>
        <w:top w:val="none" w:sz="0" w:space="0" w:color="auto"/>
        <w:left w:val="none" w:sz="0" w:space="0" w:color="auto"/>
        <w:bottom w:val="none" w:sz="0" w:space="0" w:color="auto"/>
        <w:right w:val="none" w:sz="0" w:space="0" w:color="auto"/>
      </w:divBdr>
    </w:div>
    <w:div w:id="1523667734">
      <w:bodyDiv w:val="1"/>
      <w:marLeft w:val="0"/>
      <w:marRight w:val="0"/>
      <w:marTop w:val="0"/>
      <w:marBottom w:val="0"/>
      <w:divBdr>
        <w:top w:val="none" w:sz="0" w:space="0" w:color="auto"/>
        <w:left w:val="none" w:sz="0" w:space="0" w:color="auto"/>
        <w:bottom w:val="none" w:sz="0" w:space="0" w:color="auto"/>
        <w:right w:val="none" w:sz="0" w:space="0" w:color="auto"/>
      </w:divBdr>
    </w:div>
    <w:div w:id="1619332044">
      <w:bodyDiv w:val="1"/>
      <w:marLeft w:val="0"/>
      <w:marRight w:val="0"/>
      <w:marTop w:val="0"/>
      <w:marBottom w:val="0"/>
      <w:divBdr>
        <w:top w:val="none" w:sz="0" w:space="0" w:color="auto"/>
        <w:left w:val="none" w:sz="0" w:space="0" w:color="auto"/>
        <w:bottom w:val="none" w:sz="0" w:space="0" w:color="auto"/>
        <w:right w:val="none" w:sz="0" w:space="0" w:color="auto"/>
      </w:divBdr>
    </w:div>
    <w:div w:id="1628466375">
      <w:bodyDiv w:val="1"/>
      <w:marLeft w:val="0"/>
      <w:marRight w:val="0"/>
      <w:marTop w:val="0"/>
      <w:marBottom w:val="0"/>
      <w:divBdr>
        <w:top w:val="none" w:sz="0" w:space="0" w:color="auto"/>
        <w:left w:val="none" w:sz="0" w:space="0" w:color="auto"/>
        <w:bottom w:val="none" w:sz="0" w:space="0" w:color="auto"/>
        <w:right w:val="none" w:sz="0" w:space="0" w:color="auto"/>
      </w:divBdr>
    </w:div>
    <w:div w:id="1958751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Sheet1!$B$1</c:f>
              <c:strCache>
                <c:ptCount val="1"/>
                <c:pt idx="0">
                  <c:v>Column1</c:v>
                </c:pt>
              </c:strCache>
            </c:strRef>
          </c:tx>
          <c:marker>
            <c:symbol val="none"/>
          </c:marker>
          <c:cat>
            <c:numRef>
              <c:f>Sheet1!$A$2:$A$26</c:f>
              <c:numCache>
                <c:formatCode>General</c:formatCode>
                <c:ptCount val="25"/>
                <c:pt idx="0">
                  <c:v>1805</c:v>
                </c:pt>
                <c:pt idx="1">
                  <c:v>1806</c:v>
                </c:pt>
                <c:pt idx="2">
                  <c:v>1807</c:v>
                </c:pt>
                <c:pt idx="3">
                  <c:v>1808</c:v>
                </c:pt>
                <c:pt idx="4">
                  <c:v>1809</c:v>
                </c:pt>
                <c:pt idx="5">
                  <c:v>1810</c:v>
                </c:pt>
                <c:pt idx="6">
                  <c:v>1811</c:v>
                </c:pt>
                <c:pt idx="7">
                  <c:v>1812</c:v>
                </c:pt>
                <c:pt idx="8">
                  <c:v>1813</c:v>
                </c:pt>
                <c:pt idx="9">
                  <c:v>1814</c:v>
                </c:pt>
                <c:pt idx="10">
                  <c:v>1815</c:v>
                </c:pt>
                <c:pt idx="11">
                  <c:v>1816</c:v>
                </c:pt>
                <c:pt idx="12">
                  <c:v>1817</c:v>
                </c:pt>
                <c:pt idx="13">
                  <c:v>1818</c:v>
                </c:pt>
                <c:pt idx="14">
                  <c:v>1819</c:v>
                </c:pt>
                <c:pt idx="15">
                  <c:v>1820</c:v>
                </c:pt>
                <c:pt idx="16">
                  <c:v>1821</c:v>
                </c:pt>
                <c:pt idx="17">
                  <c:v>1822</c:v>
                </c:pt>
                <c:pt idx="18">
                  <c:v>1823</c:v>
                </c:pt>
                <c:pt idx="19">
                  <c:v>1824</c:v>
                </c:pt>
                <c:pt idx="20">
                  <c:v>1825</c:v>
                </c:pt>
                <c:pt idx="21">
                  <c:v>1826</c:v>
                </c:pt>
                <c:pt idx="22">
                  <c:v>1827</c:v>
                </c:pt>
                <c:pt idx="23">
                  <c:v>1828</c:v>
                </c:pt>
                <c:pt idx="24">
                  <c:v>1829</c:v>
                </c:pt>
              </c:numCache>
            </c:numRef>
          </c:cat>
          <c:val>
            <c:numRef>
              <c:f>Sheet1!$B$2:$B$26</c:f>
              <c:numCache>
                <c:formatCode>General</c:formatCode>
                <c:ptCount val="25"/>
                <c:pt idx="0">
                  <c:v>38</c:v>
                </c:pt>
                <c:pt idx="1">
                  <c:v>54</c:v>
                </c:pt>
                <c:pt idx="2">
                  <c:v>42</c:v>
                </c:pt>
                <c:pt idx="3">
                  <c:v>54</c:v>
                </c:pt>
                <c:pt idx="4">
                  <c:v>65</c:v>
                </c:pt>
                <c:pt idx="5">
                  <c:v>44</c:v>
                </c:pt>
                <c:pt idx="6">
                  <c:v>54</c:v>
                </c:pt>
                <c:pt idx="7">
                  <c:v>59</c:v>
                </c:pt>
                <c:pt idx="8">
                  <c:v>94</c:v>
                </c:pt>
                <c:pt idx="9">
                  <c:v>81</c:v>
                </c:pt>
                <c:pt idx="10">
                  <c:v>79</c:v>
                </c:pt>
                <c:pt idx="11">
                  <c:v>92</c:v>
                </c:pt>
                <c:pt idx="12">
                  <c:v>116</c:v>
                </c:pt>
                <c:pt idx="13">
                  <c:v>110</c:v>
                </c:pt>
                <c:pt idx="14">
                  <c:v>143</c:v>
                </c:pt>
                <c:pt idx="15">
                  <c:v>109</c:v>
                </c:pt>
                <c:pt idx="16">
                  <c:v>85</c:v>
                </c:pt>
                <c:pt idx="17">
                  <c:v>98</c:v>
                </c:pt>
                <c:pt idx="18">
                  <c:v>63</c:v>
                </c:pt>
                <c:pt idx="19">
                  <c:v>82</c:v>
                </c:pt>
                <c:pt idx="20">
                  <c:v>65</c:v>
                </c:pt>
                <c:pt idx="21">
                  <c:v>96</c:v>
                </c:pt>
                <c:pt idx="22">
                  <c:v>136</c:v>
                </c:pt>
                <c:pt idx="23">
                  <c:v>89</c:v>
                </c:pt>
                <c:pt idx="24">
                  <c:v>153</c:v>
                </c:pt>
              </c:numCache>
            </c:numRef>
          </c:val>
          <c:smooth val="0"/>
          <c:extLst>
            <c:ext xmlns:c16="http://schemas.microsoft.com/office/drawing/2014/chart" uri="{C3380CC4-5D6E-409C-BE32-E72D297353CC}">
              <c16:uniqueId val="{00000000-73A8-4332-98D9-078EF1A976FD}"/>
            </c:ext>
          </c:extLst>
        </c:ser>
        <c:dLbls>
          <c:showLegendKey val="0"/>
          <c:showVal val="0"/>
          <c:showCatName val="0"/>
          <c:showSerName val="0"/>
          <c:showPercent val="0"/>
          <c:showBubbleSize val="0"/>
        </c:dLbls>
        <c:smooth val="0"/>
        <c:axId val="2122234840"/>
        <c:axId val="-2136853528"/>
      </c:lineChart>
      <c:catAx>
        <c:axId val="2122234840"/>
        <c:scaling>
          <c:orientation val="minMax"/>
        </c:scaling>
        <c:delete val="0"/>
        <c:axPos val="b"/>
        <c:title>
          <c:tx>
            <c:rich>
              <a:bodyPr/>
              <a:lstStyle/>
              <a:p>
                <a:pPr>
                  <a:defRPr>
                    <a:latin typeface="Calibri"/>
                  </a:defRPr>
                </a:pPr>
                <a:r>
                  <a:rPr lang="en-US">
                    <a:latin typeface="Calibri"/>
                    <a:cs typeface="Arial"/>
                  </a:rPr>
                  <a:t>Year</a:t>
                </a:r>
              </a:p>
            </c:rich>
          </c:tx>
          <c:overlay val="0"/>
        </c:title>
        <c:numFmt formatCode="General" sourceLinked="1"/>
        <c:majorTickMark val="out"/>
        <c:minorTickMark val="none"/>
        <c:tickLblPos val="nextTo"/>
        <c:txPr>
          <a:bodyPr rot="-5400000" vert="horz"/>
          <a:lstStyle/>
          <a:p>
            <a:pPr>
              <a:defRPr>
                <a:latin typeface="Calibri"/>
              </a:defRPr>
            </a:pPr>
            <a:endParaRPr lang="en-US"/>
          </a:p>
        </c:txPr>
        <c:crossAx val="-2136853528"/>
        <c:crosses val="autoZero"/>
        <c:auto val="1"/>
        <c:lblAlgn val="ctr"/>
        <c:lblOffset val="100"/>
        <c:tickLblSkip val="2"/>
        <c:noMultiLvlLbl val="0"/>
      </c:catAx>
      <c:valAx>
        <c:axId val="-2136853528"/>
        <c:scaling>
          <c:orientation val="minMax"/>
        </c:scaling>
        <c:delete val="0"/>
        <c:axPos val="l"/>
        <c:majorGridlines/>
        <c:title>
          <c:tx>
            <c:rich>
              <a:bodyPr rot="-5400000" vert="horz"/>
              <a:lstStyle/>
              <a:p>
                <a:pPr>
                  <a:defRPr>
                    <a:latin typeface="Calibri"/>
                  </a:defRPr>
                </a:pPr>
                <a:r>
                  <a:rPr lang="en-US">
                    <a:latin typeface="Calibri"/>
                    <a:cs typeface="Arial"/>
                  </a:rPr>
                  <a:t>Number</a:t>
                </a:r>
              </a:p>
            </c:rich>
          </c:tx>
          <c:layout>
            <c:manualLayout>
              <c:xMode val="edge"/>
              <c:yMode val="edge"/>
              <c:x val="3.4722222222222203E-2"/>
              <c:y val="0.40651231096113"/>
            </c:manualLayout>
          </c:layout>
          <c:overlay val="0"/>
        </c:title>
        <c:numFmt formatCode="General" sourceLinked="1"/>
        <c:majorTickMark val="out"/>
        <c:minorTickMark val="none"/>
        <c:tickLblPos val="nextTo"/>
        <c:txPr>
          <a:bodyPr/>
          <a:lstStyle/>
          <a:p>
            <a:pPr>
              <a:defRPr>
                <a:latin typeface="Calibri"/>
              </a:defRPr>
            </a:pPr>
            <a:endParaRPr lang="en-US"/>
          </a:p>
        </c:txPr>
        <c:crossAx val="21222348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Sheet1!$B$1</c:f>
              <c:strCache>
                <c:ptCount val="1"/>
                <c:pt idx="0">
                  <c:v>Executed</c:v>
                </c:pt>
              </c:strCache>
            </c:strRef>
          </c:tx>
          <c:marker>
            <c:symbol val="none"/>
          </c:marker>
          <c:cat>
            <c:numRef>
              <c:f>Sheet1!$A$2:$A$26</c:f>
              <c:numCache>
                <c:formatCode>General</c:formatCode>
                <c:ptCount val="25"/>
                <c:pt idx="0">
                  <c:v>1805</c:v>
                </c:pt>
                <c:pt idx="1">
                  <c:v>1806</c:v>
                </c:pt>
                <c:pt idx="2">
                  <c:v>1807</c:v>
                </c:pt>
                <c:pt idx="3">
                  <c:v>1808</c:v>
                </c:pt>
                <c:pt idx="4">
                  <c:v>1809</c:v>
                </c:pt>
                <c:pt idx="5">
                  <c:v>1810</c:v>
                </c:pt>
                <c:pt idx="6">
                  <c:v>1811</c:v>
                </c:pt>
                <c:pt idx="7">
                  <c:v>1812</c:v>
                </c:pt>
                <c:pt idx="8">
                  <c:v>1813</c:v>
                </c:pt>
                <c:pt idx="9">
                  <c:v>1814</c:v>
                </c:pt>
                <c:pt idx="10">
                  <c:v>1815</c:v>
                </c:pt>
                <c:pt idx="11">
                  <c:v>1816</c:v>
                </c:pt>
                <c:pt idx="12">
                  <c:v>1817</c:v>
                </c:pt>
                <c:pt idx="13">
                  <c:v>1818</c:v>
                </c:pt>
                <c:pt idx="14">
                  <c:v>1819</c:v>
                </c:pt>
                <c:pt idx="15">
                  <c:v>1820</c:v>
                </c:pt>
                <c:pt idx="16">
                  <c:v>1821</c:v>
                </c:pt>
                <c:pt idx="17">
                  <c:v>1822</c:v>
                </c:pt>
                <c:pt idx="18">
                  <c:v>1823</c:v>
                </c:pt>
                <c:pt idx="19">
                  <c:v>1824</c:v>
                </c:pt>
                <c:pt idx="20">
                  <c:v>1825</c:v>
                </c:pt>
                <c:pt idx="21">
                  <c:v>1826</c:v>
                </c:pt>
                <c:pt idx="22">
                  <c:v>1827</c:v>
                </c:pt>
                <c:pt idx="23">
                  <c:v>1828</c:v>
                </c:pt>
                <c:pt idx="24">
                  <c:v>1829</c:v>
                </c:pt>
              </c:numCache>
            </c:numRef>
          </c:cat>
          <c:val>
            <c:numRef>
              <c:f>Sheet1!$B$2:$B$26</c:f>
              <c:numCache>
                <c:formatCode>General</c:formatCode>
                <c:ptCount val="25"/>
                <c:pt idx="0">
                  <c:v>0</c:v>
                </c:pt>
                <c:pt idx="1">
                  <c:v>0</c:v>
                </c:pt>
                <c:pt idx="2">
                  <c:v>0</c:v>
                </c:pt>
                <c:pt idx="3">
                  <c:v>0</c:v>
                </c:pt>
                <c:pt idx="4">
                  <c:v>2</c:v>
                </c:pt>
                <c:pt idx="5">
                  <c:v>1</c:v>
                </c:pt>
                <c:pt idx="6">
                  <c:v>0</c:v>
                </c:pt>
                <c:pt idx="7">
                  <c:v>2</c:v>
                </c:pt>
                <c:pt idx="8">
                  <c:v>6</c:v>
                </c:pt>
                <c:pt idx="9">
                  <c:v>1</c:v>
                </c:pt>
                <c:pt idx="10">
                  <c:v>2</c:v>
                </c:pt>
                <c:pt idx="11">
                  <c:v>0</c:v>
                </c:pt>
                <c:pt idx="12">
                  <c:v>1</c:v>
                </c:pt>
                <c:pt idx="13">
                  <c:v>2</c:v>
                </c:pt>
                <c:pt idx="14">
                  <c:v>3</c:v>
                </c:pt>
                <c:pt idx="15">
                  <c:v>4</c:v>
                </c:pt>
                <c:pt idx="16">
                  <c:v>1</c:v>
                </c:pt>
                <c:pt idx="17">
                  <c:v>3</c:v>
                </c:pt>
                <c:pt idx="18">
                  <c:v>4</c:v>
                </c:pt>
                <c:pt idx="19">
                  <c:v>0</c:v>
                </c:pt>
                <c:pt idx="20">
                  <c:v>0</c:v>
                </c:pt>
                <c:pt idx="21">
                  <c:v>2</c:v>
                </c:pt>
                <c:pt idx="22">
                  <c:v>0</c:v>
                </c:pt>
                <c:pt idx="23">
                  <c:v>0</c:v>
                </c:pt>
                <c:pt idx="24">
                  <c:v>4</c:v>
                </c:pt>
              </c:numCache>
            </c:numRef>
          </c:val>
          <c:smooth val="0"/>
          <c:extLst>
            <c:ext xmlns:c16="http://schemas.microsoft.com/office/drawing/2014/chart" uri="{C3380CC4-5D6E-409C-BE32-E72D297353CC}">
              <c16:uniqueId val="{00000000-4907-40C2-9243-D16DBD7C5657}"/>
            </c:ext>
          </c:extLst>
        </c:ser>
        <c:ser>
          <c:idx val="1"/>
          <c:order val="1"/>
          <c:tx>
            <c:strRef>
              <c:f>Sheet1!$C$1</c:f>
              <c:strCache>
                <c:ptCount val="1"/>
                <c:pt idx="0">
                  <c:v>Pardoned</c:v>
                </c:pt>
              </c:strCache>
            </c:strRef>
          </c:tx>
          <c:marker>
            <c:symbol val="none"/>
          </c:marker>
          <c:cat>
            <c:numRef>
              <c:f>Sheet1!$A$2:$A$26</c:f>
              <c:numCache>
                <c:formatCode>General</c:formatCode>
                <c:ptCount val="25"/>
                <c:pt idx="0">
                  <c:v>1805</c:v>
                </c:pt>
                <c:pt idx="1">
                  <c:v>1806</c:v>
                </c:pt>
                <c:pt idx="2">
                  <c:v>1807</c:v>
                </c:pt>
                <c:pt idx="3">
                  <c:v>1808</c:v>
                </c:pt>
                <c:pt idx="4">
                  <c:v>1809</c:v>
                </c:pt>
                <c:pt idx="5">
                  <c:v>1810</c:v>
                </c:pt>
                <c:pt idx="6">
                  <c:v>1811</c:v>
                </c:pt>
                <c:pt idx="7">
                  <c:v>1812</c:v>
                </c:pt>
                <c:pt idx="8">
                  <c:v>1813</c:v>
                </c:pt>
                <c:pt idx="9">
                  <c:v>1814</c:v>
                </c:pt>
                <c:pt idx="10">
                  <c:v>1815</c:v>
                </c:pt>
                <c:pt idx="11">
                  <c:v>1816</c:v>
                </c:pt>
                <c:pt idx="12">
                  <c:v>1817</c:v>
                </c:pt>
                <c:pt idx="13">
                  <c:v>1818</c:v>
                </c:pt>
                <c:pt idx="14">
                  <c:v>1819</c:v>
                </c:pt>
                <c:pt idx="15">
                  <c:v>1820</c:v>
                </c:pt>
                <c:pt idx="16">
                  <c:v>1821</c:v>
                </c:pt>
                <c:pt idx="17">
                  <c:v>1822</c:v>
                </c:pt>
                <c:pt idx="18">
                  <c:v>1823</c:v>
                </c:pt>
                <c:pt idx="19">
                  <c:v>1824</c:v>
                </c:pt>
                <c:pt idx="20">
                  <c:v>1825</c:v>
                </c:pt>
                <c:pt idx="21">
                  <c:v>1826</c:v>
                </c:pt>
                <c:pt idx="22">
                  <c:v>1827</c:v>
                </c:pt>
                <c:pt idx="23">
                  <c:v>1828</c:v>
                </c:pt>
                <c:pt idx="24">
                  <c:v>1829</c:v>
                </c:pt>
              </c:numCache>
            </c:numRef>
          </c:cat>
          <c:val>
            <c:numRef>
              <c:f>Sheet1!$C$2:$C$26</c:f>
              <c:numCache>
                <c:formatCode>General</c:formatCode>
                <c:ptCount val="25"/>
                <c:pt idx="0">
                  <c:v>5</c:v>
                </c:pt>
                <c:pt idx="1">
                  <c:v>5</c:v>
                </c:pt>
                <c:pt idx="2">
                  <c:v>3</c:v>
                </c:pt>
                <c:pt idx="3">
                  <c:v>4</c:v>
                </c:pt>
                <c:pt idx="4">
                  <c:v>7</c:v>
                </c:pt>
                <c:pt idx="5">
                  <c:v>10</c:v>
                </c:pt>
                <c:pt idx="6">
                  <c:v>6</c:v>
                </c:pt>
                <c:pt idx="7">
                  <c:v>10</c:v>
                </c:pt>
                <c:pt idx="8">
                  <c:v>12</c:v>
                </c:pt>
                <c:pt idx="9">
                  <c:v>15</c:v>
                </c:pt>
                <c:pt idx="10">
                  <c:v>6</c:v>
                </c:pt>
                <c:pt idx="11">
                  <c:v>6</c:v>
                </c:pt>
                <c:pt idx="12">
                  <c:v>9</c:v>
                </c:pt>
                <c:pt idx="13">
                  <c:v>16</c:v>
                </c:pt>
                <c:pt idx="14">
                  <c:v>27</c:v>
                </c:pt>
                <c:pt idx="15">
                  <c:v>12</c:v>
                </c:pt>
                <c:pt idx="16">
                  <c:v>14</c:v>
                </c:pt>
                <c:pt idx="17">
                  <c:v>38</c:v>
                </c:pt>
                <c:pt idx="18">
                  <c:v>23</c:v>
                </c:pt>
                <c:pt idx="19">
                  <c:v>22</c:v>
                </c:pt>
                <c:pt idx="20">
                  <c:v>17</c:v>
                </c:pt>
                <c:pt idx="21">
                  <c:v>32</c:v>
                </c:pt>
                <c:pt idx="22">
                  <c:v>28</c:v>
                </c:pt>
                <c:pt idx="23">
                  <c:v>25</c:v>
                </c:pt>
                <c:pt idx="24">
                  <c:v>50</c:v>
                </c:pt>
              </c:numCache>
            </c:numRef>
          </c:val>
          <c:smooth val="0"/>
          <c:extLst>
            <c:ext xmlns:c16="http://schemas.microsoft.com/office/drawing/2014/chart" uri="{C3380CC4-5D6E-409C-BE32-E72D297353CC}">
              <c16:uniqueId val="{00000001-4907-40C2-9243-D16DBD7C5657}"/>
            </c:ext>
          </c:extLst>
        </c:ser>
        <c:dLbls>
          <c:showLegendKey val="0"/>
          <c:showVal val="0"/>
          <c:showCatName val="0"/>
          <c:showSerName val="0"/>
          <c:showPercent val="0"/>
          <c:showBubbleSize val="0"/>
        </c:dLbls>
        <c:smooth val="0"/>
        <c:axId val="2113984120"/>
        <c:axId val="-2132567144"/>
      </c:lineChart>
      <c:catAx>
        <c:axId val="2113984120"/>
        <c:scaling>
          <c:orientation val="minMax"/>
        </c:scaling>
        <c:delete val="0"/>
        <c:axPos val="b"/>
        <c:title>
          <c:tx>
            <c:rich>
              <a:bodyPr/>
              <a:lstStyle/>
              <a:p>
                <a:pPr>
                  <a:defRPr>
                    <a:latin typeface="Calibri"/>
                    <a:cs typeface="Arial"/>
                  </a:defRPr>
                </a:pPr>
                <a:r>
                  <a:rPr lang="en-US">
                    <a:latin typeface="Calibri"/>
                    <a:cs typeface="Arial"/>
                  </a:rPr>
                  <a:t>Year</a:t>
                </a:r>
              </a:p>
            </c:rich>
          </c:tx>
          <c:overlay val="0"/>
        </c:title>
        <c:numFmt formatCode="General" sourceLinked="1"/>
        <c:majorTickMark val="out"/>
        <c:minorTickMark val="none"/>
        <c:tickLblPos val="nextTo"/>
        <c:txPr>
          <a:bodyPr rot="-5400000" vert="horz"/>
          <a:lstStyle/>
          <a:p>
            <a:pPr>
              <a:defRPr>
                <a:latin typeface="Calibri"/>
                <a:cs typeface="Arial"/>
              </a:defRPr>
            </a:pPr>
            <a:endParaRPr lang="en-US"/>
          </a:p>
        </c:txPr>
        <c:crossAx val="-2132567144"/>
        <c:crosses val="autoZero"/>
        <c:auto val="1"/>
        <c:lblAlgn val="ctr"/>
        <c:lblOffset val="100"/>
        <c:tickLblSkip val="2"/>
        <c:noMultiLvlLbl val="0"/>
      </c:catAx>
      <c:valAx>
        <c:axId val="-2132567144"/>
        <c:scaling>
          <c:orientation val="minMax"/>
        </c:scaling>
        <c:delete val="0"/>
        <c:axPos val="l"/>
        <c:majorGridlines/>
        <c:title>
          <c:tx>
            <c:rich>
              <a:bodyPr rot="-5400000" vert="horz"/>
              <a:lstStyle/>
              <a:p>
                <a:pPr>
                  <a:defRPr>
                    <a:latin typeface="Calibri"/>
                    <a:cs typeface="Arial"/>
                  </a:defRPr>
                </a:pPr>
                <a:r>
                  <a:rPr lang="en-US">
                    <a:latin typeface="Calibri"/>
                    <a:cs typeface="Arial"/>
                  </a:rPr>
                  <a:t>Number</a:t>
                </a:r>
              </a:p>
            </c:rich>
          </c:tx>
          <c:overlay val="0"/>
        </c:title>
        <c:numFmt formatCode="General" sourceLinked="1"/>
        <c:majorTickMark val="out"/>
        <c:minorTickMark val="none"/>
        <c:tickLblPos val="nextTo"/>
        <c:txPr>
          <a:bodyPr/>
          <a:lstStyle/>
          <a:p>
            <a:pPr>
              <a:defRPr>
                <a:latin typeface="Calibri"/>
                <a:cs typeface="Arial"/>
              </a:defRPr>
            </a:pPr>
            <a:endParaRPr lang="en-US"/>
          </a:p>
        </c:txPr>
        <c:crossAx val="2113984120"/>
        <c:crosses val="autoZero"/>
        <c:crossBetween val="between"/>
      </c:valAx>
    </c:plotArea>
    <c:legend>
      <c:legendPos val="r"/>
      <c:overlay val="0"/>
      <c:txPr>
        <a:bodyPr/>
        <a:lstStyle/>
        <a:p>
          <a:pPr>
            <a:defRPr>
              <a:latin typeface="Calibri"/>
              <a:cs typeface="Arial"/>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5A8C-719E-4449-983D-21817AED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5742</Words>
  <Characters>32734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walliss</dc:creator>
  <cp:keywords/>
  <dc:description/>
  <cp:lastModifiedBy>Andrew</cp:lastModifiedBy>
  <cp:revision>2</cp:revision>
  <dcterms:created xsi:type="dcterms:W3CDTF">2018-08-02T12:00:00Z</dcterms:created>
  <dcterms:modified xsi:type="dcterms:W3CDTF">2018-08-02T12:00:00Z</dcterms:modified>
</cp:coreProperties>
</file>