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0E" w:rsidRPr="0095117C" w:rsidRDefault="0058168F" w:rsidP="008B1C22">
      <w:pPr>
        <w:jc w:val="both"/>
        <w:rPr>
          <w:i/>
        </w:rPr>
      </w:pPr>
      <w:r>
        <w:rPr>
          <w:b/>
        </w:rPr>
        <w:t xml:space="preserve">An investigation into </w:t>
      </w:r>
      <w:r w:rsidR="00BA392B" w:rsidRPr="0095117C">
        <w:rPr>
          <w:b/>
        </w:rPr>
        <w:t xml:space="preserve">gender variations in the risk factors for cardiovascular disease </w:t>
      </w:r>
      <w:r>
        <w:rPr>
          <w:b/>
        </w:rPr>
        <w:t xml:space="preserve">amongst </w:t>
      </w:r>
      <w:r w:rsidR="00BA392B" w:rsidRPr="0095117C">
        <w:rPr>
          <w:b/>
        </w:rPr>
        <w:t xml:space="preserve">‘desk-based’ </w:t>
      </w:r>
      <w:r w:rsidR="000963E0">
        <w:rPr>
          <w:b/>
        </w:rPr>
        <w:t>professional workers</w:t>
      </w:r>
      <w:r w:rsidR="00184E13">
        <w:rPr>
          <w:b/>
        </w:rPr>
        <w:t xml:space="preserve"> aged 30-65 years old</w:t>
      </w:r>
      <w:r w:rsidR="0095117C" w:rsidRPr="0095117C">
        <w:rPr>
          <w:b/>
        </w:rPr>
        <w:t>.</w:t>
      </w:r>
      <w:r w:rsidR="0095117C">
        <w:t xml:space="preserve"> By T. Birchall</w:t>
      </w:r>
      <w:r w:rsidR="00C06796">
        <w:rPr>
          <w:vertAlign w:val="superscript"/>
        </w:rPr>
        <w:t xml:space="preserve">1 </w:t>
      </w:r>
      <w:r w:rsidR="0095117C">
        <w:t>and Y. Jin</w:t>
      </w:r>
      <w:r w:rsidR="00C06796">
        <w:rPr>
          <w:vertAlign w:val="superscript"/>
        </w:rPr>
        <w:t>1</w:t>
      </w:r>
      <w:r w:rsidR="00F247F6">
        <w:t xml:space="preserve">, </w:t>
      </w:r>
      <w:r w:rsidR="00C06796" w:rsidRPr="00F247F6">
        <w:rPr>
          <w:vertAlign w:val="superscript"/>
        </w:rPr>
        <w:t>1</w:t>
      </w:r>
      <w:r w:rsidR="0095117C">
        <w:rPr>
          <w:i/>
        </w:rPr>
        <w:t>School of Health Sciences, Liverpool Hope University, Liverpool. L16 9JD.</w:t>
      </w:r>
    </w:p>
    <w:p w:rsidR="00AB2E0E" w:rsidRDefault="00AB2E0E" w:rsidP="008B1C22">
      <w:pPr>
        <w:jc w:val="both"/>
      </w:pPr>
    </w:p>
    <w:p w:rsidR="00D25B03" w:rsidRDefault="009D349A" w:rsidP="008B1C22">
      <w:pPr>
        <w:jc w:val="both"/>
      </w:pPr>
      <w:r>
        <w:t>Evidence shows that sedentary behaviour</w:t>
      </w:r>
      <w:r w:rsidR="00FE3D42">
        <w:t xml:space="preserve"> including</w:t>
      </w:r>
      <w:r w:rsidR="00832F0B">
        <w:t xml:space="preserve"> excessive sitting in adults is </w:t>
      </w:r>
      <w:r>
        <w:t xml:space="preserve">independently </w:t>
      </w:r>
      <w:r w:rsidR="00832F0B">
        <w:t xml:space="preserve">associated with </w:t>
      </w:r>
      <w:r w:rsidR="00C4473D">
        <w:t>CVD and other metabolic complications</w:t>
      </w:r>
      <w:r w:rsidR="00FF256B">
        <w:t>,</w:t>
      </w:r>
      <w:r w:rsidR="00C4473D">
        <w:t xml:space="preserve"> </w:t>
      </w:r>
      <w:r>
        <w:t xml:space="preserve">regardless of </w:t>
      </w:r>
      <w:r w:rsidR="00FF256B">
        <w:t xml:space="preserve">whether </w:t>
      </w:r>
      <w:r w:rsidR="00A1282F">
        <w:t xml:space="preserve">individuals’ </w:t>
      </w:r>
      <w:r w:rsidR="00FF256B">
        <w:t xml:space="preserve">meeting the physical activity guidelines for adults </w:t>
      </w:r>
      <w:r w:rsidR="00FF256B">
        <w:rPr>
          <w:vertAlign w:val="superscript"/>
        </w:rPr>
        <w:t>(1)</w:t>
      </w:r>
      <w:r w:rsidR="00FF256B">
        <w:t xml:space="preserve">. </w:t>
      </w:r>
      <w:r w:rsidR="00A4438B">
        <w:t xml:space="preserve">The aim of the study was to investigate </w:t>
      </w:r>
      <w:r w:rsidR="0095117C">
        <w:t>gender differences</w:t>
      </w:r>
      <w:r w:rsidR="00EF0515">
        <w:t xml:space="preserve"> in CVD risk factors amongst </w:t>
      </w:r>
      <w:r w:rsidR="00C72F40">
        <w:t xml:space="preserve">a group of </w:t>
      </w:r>
      <w:r w:rsidR="00EF0515">
        <w:t xml:space="preserve">‘desk-based’ </w:t>
      </w:r>
      <w:r w:rsidR="00A1282F">
        <w:t>professional workers</w:t>
      </w:r>
      <w:r w:rsidR="00EF0515">
        <w:t xml:space="preserve"> </w:t>
      </w:r>
      <w:r w:rsidR="00C72F40">
        <w:t>residing in</w:t>
      </w:r>
      <w:r w:rsidR="00A1282F">
        <w:t xml:space="preserve"> the North West</w:t>
      </w:r>
      <w:r w:rsidR="00C72F40">
        <w:t xml:space="preserve"> of England. </w:t>
      </w:r>
    </w:p>
    <w:p w:rsidR="00E54431" w:rsidRDefault="00D25B03" w:rsidP="00265B0B">
      <w:pPr>
        <w:ind w:firstLine="284"/>
        <w:jc w:val="both"/>
      </w:pPr>
      <w:r>
        <w:t>35</w:t>
      </w:r>
      <w:r w:rsidR="00B33ED2">
        <w:t xml:space="preserve"> </w:t>
      </w:r>
      <w:r w:rsidR="00C72F40">
        <w:t>self-reported</w:t>
      </w:r>
      <w:r w:rsidR="000E54FD">
        <w:t xml:space="preserve"> </w:t>
      </w:r>
      <w:r w:rsidR="00B33ED2">
        <w:t xml:space="preserve">‘desk-based’ </w:t>
      </w:r>
      <w:r w:rsidR="00DB0765">
        <w:t>professional workers</w:t>
      </w:r>
      <w:r w:rsidR="00B33ED2">
        <w:t xml:space="preserve"> </w:t>
      </w:r>
      <w:r>
        <w:t>(</w:t>
      </w:r>
      <w:r w:rsidR="00B33ED2">
        <w:t>M 13, F 22</w:t>
      </w:r>
      <w:r w:rsidR="008B1C22" w:rsidRPr="003E3203">
        <w:t>) aged</w:t>
      </w:r>
      <w:r w:rsidR="00B33ED2">
        <w:t xml:space="preserve"> 30-65</w:t>
      </w:r>
      <w:r w:rsidR="00D8755D">
        <w:t xml:space="preserve"> </w:t>
      </w:r>
      <w:r w:rsidR="003360D1">
        <w:t xml:space="preserve">years old </w:t>
      </w:r>
      <w:r>
        <w:t>were recruited via random selection</w:t>
      </w:r>
      <w:r w:rsidR="00986C82">
        <w:t xml:space="preserve"> and word of mouth</w:t>
      </w:r>
      <w:r>
        <w:t xml:space="preserve"> </w:t>
      </w:r>
      <w:r w:rsidR="00A4438B">
        <w:t>from Liverpool and its surrounding areas</w:t>
      </w:r>
      <w:r>
        <w:t>.</w:t>
      </w:r>
      <w:r w:rsidR="00C72F40">
        <w:t xml:space="preserve"> </w:t>
      </w:r>
      <w:r w:rsidR="00E111FB">
        <w:t>I</w:t>
      </w:r>
      <w:r w:rsidR="005A1C0D">
        <w:t>nformation on occupation and working hours per</w:t>
      </w:r>
      <w:r w:rsidR="00DD38FE">
        <w:t xml:space="preserve"> day </w:t>
      </w:r>
      <w:r w:rsidR="00E111FB">
        <w:t>was collected using a sociodemographic questionnaire</w:t>
      </w:r>
      <w:r w:rsidR="005A1C0D">
        <w:t xml:space="preserve">. </w:t>
      </w:r>
      <w:r>
        <w:t xml:space="preserve">Laboratory and anthropometric measures of </w:t>
      </w:r>
      <w:r w:rsidR="00A4438B">
        <w:t>CVD</w:t>
      </w:r>
      <w:r>
        <w:t xml:space="preserve"> risk were assessed including blood pressure, measures of central obesity and biomarkers of fasting capillary blood glucose and lipid profile. </w:t>
      </w:r>
      <w:r w:rsidR="006F1B60">
        <w:t>E</w:t>
      </w:r>
      <w:r>
        <w:t>nergy and nutrient intake</w:t>
      </w:r>
      <w:r w:rsidR="00986C82">
        <w:t>s were</w:t>
      </w:r>
      <w:r>
        <w:t xml:space="preserve"> </w:t>
      </w:r>
      <w:r w:rsidR="005B5F6B">
        <w:t>recorded</w:t>
      </w:r>
      <w:r>
        <w:t xml:space="preserve"> </w:t>
      </w:r>
      <w:r w:rsidR="006F1B60">
        <w:t>using</w:t>
      </w:r>
      <w:r>
        <w:t xml:space="preserve"> a validated 3-day d</w:t>
      </w:r>
      <w:r w:rsidR="006F1B60">
        <w:t xml:space="preserve">iet diary and analysed using a </w:t>
      </w:r>
      <w:r>
        <w:t xml:space="preserve">dietary assessment </w:t>
      </w:r>
      <w:r w:rsidR="00F46E82">
        <w:t xml:space="preserve">software </w:t>
      </w:r>
      <w:proofErr w:type="spellStart"/>
      <w:r w:rsidR="00F46E82">
        <w:t>Microdiet</w:t>
      </w:r>
      <w:proofErr w:type="spellEnd"/>
      <w:r w:rsidR="00986C82">
        <w:t xml:space="preserve"> (v3.0)</w:t>
      </w:r>
      <w:r w:rsidR="006F1B60">
        <w:t xml:space="preserve">. </w:t>
      </w:r>
      <w:r w:rsidR="006C4511">
        <w:t>V</w:t>
      </w:r>
      <w:r w:rsidR="00107A51">
        <w:t>ariation</w:t>
      </w:r>
      <w:r w:rsidR="00C96214">
        <w:t xml:space="preserve"> in CVD risk factors </w:t>
      </w:r>
      <w:r w:rsidR="00942E79">
        <w:t>between male and female groups</w:t>
      </w:r>
      <w:r w:rsidR="00D8755D">
        <w:t xml:space="preserve"> was</w:t>
      </w:r>
      <w:r w:rsidR="00107A51">
        <w:t xml:space="preserve"> assessed usin</w:t>
      </w:r>
      <w:r w:rsidR="00A41EDF">
        <w:t>g an Independent-Samp</w:t>
      </w:r>
      <w:r w:rsidR="00BA5E4D">
        <w:t>les T-test. Statistical analyses were</w:t>
      </w:r>
      <w:r w:rsidR="00A41EDF">
        <w:t xml:space="preserve"> conducted using SPSS 22 with statistical significance set at 0.05. </w:t>
      </w:r>
    </w:p>
    <w:p w:rsidR="00942E79" w:rsidRDefault="00E111FB" w:rsidP="001F683E">
      <w:pPr>
        <w:ind w:firstLine="284"/>
        <w:jc w:val="both"/>
      </w:pPr>
      <w:r>
        <w:t>The o</w:t>
      </w:r>
      <w:r w:rsidR="005A1C0D">
        <w:t xml:space="preserve">ccupations </w:t>
      </w:r>
      <w:r>
        <w:t xml:space="preserve">of participants </w:t>
      </w:r>
      <w:r w:rsidR="005A1C0D">
        <w:t xml:space="preserve">comprised manager, </w:t>
      </w:r>
      <w:r w:rsidR="00DD38FE">
        <w:t xml:space="preserve">director, </w:t>
      </w:r>
      <w:r w:rsidR="005A1C0D">
        <w:t>psychologist, academics, counsellor, librarian and office workers</w:t>
      </w:r>
      <w:r>
        <w:t xml:space="preserve">. Their </w:t>
      </w:r>
      <w:r w:rsidR="005A1C0D">
        <w:t xml:space="preserve">average working </w:t>
      </w:r>
      <w:r>
        <w:t xml:space="preserve">time was 7 h per day </w:t>
      </w:r>
      <w:r w:rsidR="005A1C0D">
        <w:t xml:space="preserve">(SD </w:t>
      </w:r>
      <w:r>
        <w:t xml:space="preserve">1.68). </w:t>
      </w:r>
      <w:r w:rsidR="00DD38FE">
        <w:t>S</w:t>
      </w:r>
      <w:r w:rsidR="00942E79">
        <w:t xml:space="preserve">ignificant variations </w:t>
      </w:r>
      <w:r w:rsidR="00DD38FE">
        <w:t xml:space="preserve">were found </w:t>
      </w:r>
      <w:r w:rsidR="00942E79">
        <w:t>within the</w:t>
      </w:r>
      <w:r w:rsidR="002E6426">
        <w:t xml:space="preserve"> gender </w:t>
      </w:r>
      <w:r w:rsidR="00942E79">
        <w:t>group</w:t>
      </w:r>
      <w:r w:rsidR="002E6426">
        <w:t xml:space="preserve"> in a few </w:t>
      </w:r>
      <w:r w:rsidR="0013557C">
        <w:t xml:space="preserve">CVD </w:t>
      </w:r>
      <w:r w:rsidR="00942E79">
        <w:t>risk factors including blood pressure, measures of central obesity, blood glucose and lipid profiles.</w:t>
      </w:r>
      <w:r w:rsidR="001F683E">
        <w:t xml:space="preserve"> The male group had a noticeably increased CVD risk </w:t>
      </w:r>
      <w:r w:rsidR="009C5010">
        <w:t>as indicated</w:t>
      </w:r>
      <w:r w:rsidR="004C3192">
        <w:t xml:space="preserve"> from the comparison of</w:t>
      </w:r>
      <w:r w:rsidR="00751B28">
        <w:t xml:space="preserve"> their levels </w:t>
      </w:r>
      <w:r w:rsidR="001F683E">
        <w:t>of</w:t>
      </w:r>
      <w:r w:rsidR="004B74FF">
        <w:t xml:space="preserve"> BMI, waist circumference, waist-hip ratio</w:t>
      </w:r>
      <w:r w:rsidR="00942E79">
        <w:t xml:space="preserve"> (WHR)</w:t>
      </w:r>
      <w:r w:rsidR="009C5010">
        <w:t>,</w:t>
      </w:r>
      <w:r w:rsidR="004B74FF">
        <w:t xml:space="preserve"> </w:t>
      </w:r>
      <w:r w:rsidR="009C5010">
        <w:t xml:space="preserve">whole </w:t>
      </w:r>
      <w:r w:rsidR="004B74FF">
        <w:t xml:space="preserve">blood </w:t>
      </w:r>
      <w:r w:rsidR="009C5010">
        <w:t xml:space="preserve">glucose and </w:t>
      </w:r>
      <w:r w:rsidR="004B74FF">
        <w:t xml:space="preserve">lipid profiles </w:t>
      </w:r>
      <w:r w:rsidR="004C3192">
        <w:t>with</w:t>
      </w:r>
      <w:r w:rsidR="001F683E">
        <w:t xml:space="preserve"> the corresponding reference values</w:t>
      </w:r>
      <w:r w:rsidR="004C3192">
        <w:t xml:space="preserve"> set by WHO</w:t>
      </w:r>
      <w:r w:rsidR="00DD38FE">
        <w:t xml:space="preserve"> </w:t>
      </w:r>
      <w:r w:rsidR="00DD38FE">
        <w:rPr>
          <w:vertAlign w:val="superscript"/>
        </w:rPr>
        <w:t>(2)</w:t>
      </w:r>
      <w:r w:rsidR="00DD38FE">
        <w:t xml:space="preserve"> </w:t>
      </w:r>
      <w:r w:rsidR="004C3192">
        <w:t xml:space="preserve">and </w:t>
      </w:r>
      <w:r w:rsidR="004C3192" w:rsidRPr="004C3192">
        <w:t>National Hear</w:t>
      </w:r>
      <w:r w:rsidR="004C3192">
        <w:t>t, Lung and Blood Institute</w:t>
      </w:r>
      <w:r w:rsidR="00421E1B">
        <w:t xml:space="preserve"> </w:t>
      </w:r>
      <w:r w:rsidR="00DD38FE">
        <w:rPr>
          <w:vertAlign w:val="superscript"/>
        </w:rPr>
        <w:t>(3)</w:t>
      </w:r>
      <w:r w:rsidR="004C3192">
        <w:t xml:space="preserve"> respectively.</w:t>
      </w:r>
      <w:r>
        <w:t xml:space="preserve"> </w:t>
      </w:r>
      <w:r w:rsidR="00CB7076">
        <w:t>Some d</w:t>
      </w:r>
      <w:r w:rsidR="0021026D">
        <w:t xml:space="preserve">ietary variations between </w:t>
      </w:r>
      <w:r w:rsidR="00986C82">
        <w:t xml:space="preserve">the </w:t>
      </w:r>
      <w:r w:rsidR="0021026D">
        <w:t xml:space="preserve">two gender groups were also identified. </w:t>
      </w:r>
      <w:r w:rsidR="00421E1B">
        <w:t>The only statistically</w:t>
      </w:r>
      <w:r w:rsidR="00DD38FE">
        <w:t xml:space="preserve"> significant </w:t>
      </w:r>
      <w:r w:rsidR="00421E1B">
        <w:t>variations are</w:t>
      </w:r>
      <w:r w:rsidR="00DD38FE">
        <w:t xml:space="preserve"> shown</w:t>
      </w:r>
      <w:r w:rsidR="00421E1B">
        <w:t xml:space="preserve"> in the T</w:t>
      </w:r>
      <w:r w:rsidR="00DD38FE">
        <w:t>able below.</w:t>
      </w:r>
    </w:p>
    <w:p w:rsidR="0021026D" w:rsidRPr="009C5010" w:rsidRDefault="0021026D" w:rsidP="001F683E">
      <w:pPr>
        <w:ind w:firstLine="284"/>
        <w:jc w:val="both"/>
        <w:rPr>
          <w:sz w:val="20"/>
          <w:szCs w:val="20"/>
        </w:rPr>
      </w:pPr>
    </w:p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2317"/>
        <w:gridCol w:w="2437"/>
        <w:gridCol w:w="766"/>
        <w:gridCol w:w="851"/>
        <w:gridCol w:w="992"/>
        <w:gridCol w:w="766"/>
        <w:gridCol w:w="850"/>
      </w:tblGrid>
      <w:tr w:rsidR="00942E79" w:rsidRPr="009C5010" w:rsidTr="00C02FEA">
        <w:trPr>
          <w:trHeight w:val="20"/>
        </w:trPr>
        <w:tc>
          <w:tcPr>
            <w:tcW w:w="23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Parameters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6C1D10" w:rsidP="006C1D10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     Reference values*          </w:t>
            </w:r>
            <w:r w:rsidR="00942E79"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P </w:t>
            </w: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value</w:t>
            </w:r>
          </w:p>
        </w:tc>
      </w:tr>
      <w:tr w:rsidR="00942E79" w:rsidRPr="009C5010" w:rsidTr="00C02FEA">
        <w:trPr>
          <w:trHeight w:val="171"/>
        </w:trPr>
        <w:tc>
          <w:tcPr>
            <w:tcW w:w="23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2E79" w:rsidRPr="009C5010" w:rsidRDefault="00942E79" w:rsidP="00942E79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2E79" w:rsidRPr="009C5010" w:rsidRDefault="00942E79" w:rsidP="00942E79">
            <w:pPr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Mean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SD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2E79" w:rsidRPr="009C5010" w:rsidRDefault="00942E79" w:rsidP="00942E79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21026D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Systolic blood pressure (mmHg)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6C1D10">
            <w:pPr>
              <w:ind w:left="601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≥ 140</w:t>
            </w:r>
            <w:r w:rsidR="006C1D10">
              <w:rPr>
                <w:color w:val="000000"/>
                <w:sz w:val="20"/>
                <w:szCs w:val="20"/>
                <w:lang w:eastAsia="zh-CN"/>
              </w:rPr>
              <w:t xml:space="preserve">   (hypertension)</w:t>
            </w:r>
            <w:r w:rsidR="009C5010" w:rsidRPr="009C501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>(4)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129.85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118.14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25.45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0.045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BMI (kg/m</w:t>
            </w:r>
            <w:r w:rsidRPr="000F5475">
              <w:rPr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  <w:r w:rsidRPr="009C5010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C5010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25.0 - 29.9 (overweight)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 xml:space="preserve"> (2)</w:t>
            </w:r>
            <w:r w:rsidRPr="009C5010">
              <w:rPr>
                <w:color w:val="000000"/>
                <w:sz w:val="20"/>
                <w:szCs w:val="20"/>
                <w:lang w:eastAsia="zh-CN"/>
              </w:rPr>
              <w:t xml:space="preserve">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25.94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23.38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0.011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Waist Circumference (cm)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21026D">
            <w:pPr>
              <w:ind w:left="601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 xml:space="preserve">≥ 94 (Male);                          </w:t>
            </w:r>
            <w:r w:rsidR="0021026D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C5010">
              <w:rPr>
                <w:color w:val="000000"/>
                <w:sz w:val="20"/>
                <w:szCs w:val="20"/>
                <w:lang w:eastAsia="zh-CN"/>
              </w:rPr>
              <w:t>≥ 80 (Female)</w:t>
            </w:r>
            <w:r w:rsidR="009C5010" w:rsidRPr="009C501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>(2)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95.43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77.16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&lt; 0.001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Waist-Hip Ratio (WHR)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26D" w:rsidRDefault="0021026D" w:rsidP="0021026D">
            <w:pPr>
              <w:ind w:firstLine="459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942E79" w:rsidRPr="009C5010">
              <w:rPr>
                <w:color w:val="000000"/>
                <w:sz w:val="20"/>
                <w:szCs w:val="20"/>
                <w:lang w:eastAsia="zh-CN"/>
              </w:rPr>
              <w:t xml:space="preserve"> ≥  0.9 (Male);  </w:t>
            </w:r>
          </w:p>
          <w:p w:rsidR="00942E79" w:rsidRPr="009C5010" w:rsidRDefault="0021026D" w:rsidP="009C5010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         </w:t>
            </w:r>
            <w:r w:rsidR="00942E79" w:rsidRPr="009C5010">
              <w:rPr>
                <w:color w:val="000000"/>
                <w:sz w:val="20"/>
                <w:szCs w:val="20"/>
                <w:lang w:eastAsia="zh-CN"/>
              </w:rPr>
              <w:t>≥  0.8 (Female)</w:t>
            </w:r>
            <w:r w:rsidR="009C5010" w:rsidRPr="009C501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>(2)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0.92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&lt; 0.001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Whole Blood Glucose (</w:t>
            </w:r>
            <w:proofErr w:type="spellStart"/>
            <w:r w:rsidRPr="009C5010">
              <w:rPr>
                <w:color w:val="000000"/>
                <w:sz w:val="20"/>
                <w:szCs w:val="20"/>
                <w:lang w:eastAsia="zh-CN"/>
              </w:rPr>
              <w:t>mmol</w:t>
            </w:r>
            <w:proofErr w:type="spellEnd"/>
            <w:r w:rsidRPr="009C5010">
              <w:rPr>
                <w:color w:val="000000"/>
                <w:sz w:val="20"/>
                <w:szCs w:val="20"/>
                <w:lang w:eastAsia="zh-CN"/>
              </w:rPr>
              <w:t>/L)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21026D" w:rsidRDefault="0021026D" w:rsidP="009C5010">
            <w:pPr>
              <w:jc w:val="center"/>
              <w:rPr>
                <w:color w:val="000000"/>
                <w:sz w:val="20"/>
                <w:szCs w:val="20"/>
                <w:lang w:val="pt-PT" w:eastAsia="zh-CN"/>
              </w:rPr>
            </w:pPr>
            <w:r w:rsidRPr="0021026D">
              <w:rPr>
                <w:color w:val="000000"/>
                <w:sz w:val="20"/>
                <w:szCs w:val="20"/>
                <w:lang w:val="pt-PT" w:eastAsia="zh-CN"/>
              </w:rPr>
              <w:t>5.0 - 6.2 (prediabetes</w:t>
            </w:r>
            <w:r>
              <w:rPr>
                <w:color w:val="000000"/>
                <w:sz w:val="20"/>
                <w:szCs w:val="20"/>
                <w:lang w:val="pt-PT" w:eastAsia="zh-CN"/>
              </w:rPr>
              <w:t>) (equivalent to 5.6-6.9</w:t>
            </w:r>
            <w:r w:rsidR="00942E79" w:rsidRPr="0021026D">
              <w:rPr>
                <w:color w:val="000000"/>
                <w:sz w:val="20"/>
                <w:szCs w:val="20"/>
                <w:lang w:val="pt-PT" w:eastAsia="zh-CN"/>
              </w:rPr>
              <w:t xml:space="preserve"> as plasma glucose)</w:t>
            </w:r>
            <w:r w:rsidR="009C5010" w:rsidRPr="0021026D">
              <w:rPr>
                <w:color w:val="000000"/>
                <w:sz w:val="20"/>
                <w:szCs w:val="20"/>
                <w:vertAlign w:val="superscript"/>
                <w:lang w:val="pt-PT" w:eastAsia="zh-CN"/>
              </w:rPr>
              <w:t xml:space="preserve"> (3)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5.53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5.04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0.018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Whole Blood Total Cholesterol (</w:t>
            </w:r>
            <w:proofErr w:type="spellStart"/>
            <w:r w:rsidRPr="009C5010">
              <w:rPr>
                <w:color w:val="000000"/>
                <w:sz w:val="20"/>
                <w:szCs w:val="20"/>
                <w:lang w:eastAsia="zh-CN"/>
              </w:rPr>
              <w:t>mmol</w:t>
            </w:r>
            <w:proofErr w:type="spellEnd"/>
            <w:r w:rsidRPr="009C5010">
              <w:rPr>
                <w:color w:val="000000"/>
                <w:sz w:val="20"/>
                <w:szCs w:val="20"/>
                <w:lang w:eastAsia="zh-CN"/>
              </w:rPr>
              <w:t>/L)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C5010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5.18 - 6.19                (Borderline high)</w:t>
            </w:r>
            <w:r w:rsidR="009C5010" w:rsidRPr="009C501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>(3)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5.25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4.51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0.028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Whole blood Total LDL Cholesterol  (</w:t>
            </w:r>
            <w:proofErr w:type="spellStart"/>
            <w:r w:rsidRPr="009C5010">
              <w:rPr>
                <w:color w:val="000000"/>
                <w:sz w:val="20"/>
                <w:szCs w:val="20"/>
                <w:lang w:eastAsia="zh-CN"/>
              </w:rPr>
              <w:t>mmol</w:t>
            </w:r>
            <w:proofErr w:type="spellEnd"/>
            <w:r w:rsidRPr="009C5010">
              <w:rPr>
                <w:color w:val="000000"/>
                <w:sz w:val="20"/>
                <w:szCs w:val="20"/>
                <w:lang w:eastAsia="zh-CN"/>
              </w:rPr>
              <w:t>/L)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C5010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3.36 - 4.11         (Borderline high)</w:t>
            </w:r>
            <w:r w:rsidR="009C5010" w:rsidRPr="009C501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>(3)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3.47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2.10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0.001</w:t>
            </w:r>
          </w:p>
        </w:tc>
      </w:tr>
      <w:tr w:rsidR="00942E79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Whole blood Total HDL Cholesterol (</w:t>
            </w:r>
            <w:proofErr w:type="spellStart"/>
            <w:r w:rsidRPr="009C5010">
              <w:rPr>
                <w:color w:val="000000"/>
                <w:sz w:val="20"/>
                <w:szCs w:val="20"/>
                <w:lang w:eastAsia="zh-CN"/>
              </w:rPr>
              <w:t>mmol</w:t>
            </w:r>
            <w:proofErr w:type="spellEnd"/>
            <w:r w:rsidRPr="009C5010">
              <w:rPr>
                <w:color w:val="000000"/>
                <w:sz w:val="20"/>
                <w:szCs w:val="20"/>
                <w:lang w:eastAsia="zh-CN"/>
              </w:rPr>
              <w:t>/L)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&lt; 1.03 (Low);                        ≥ 1.55 (desirably high)</w:t>
            </w:r>
            <w:r w:rsidR="009C501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5010" w:rsidRPr="009C5010">
              <w:rPr>
                <w:color w:val="000000"/>
                <w:sz w:val="20"/>
                <w:szCs w:val="20"/>
                <w:vertAlign w:val="superscript"/>
                <w:lang w:eastAsia="zh-CN"/>
              </w:rPr>
              <w:t>(3)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1.63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0.002</w:t>
            </w:r>
          </w:p>
        </w:tc>
      </w:tr>
      <w:tr w:rsidR="00CB7076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Whole blood Ratio of Total Cholesterol to HDL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&gt; 4.5 (at risk);                       ≥ 6.0 (high risk)</w:t>
            </w:r>
            <w:r w:rsidR="0021026D">
              <w:rPr>
                <w:color w:val="000000"/>
                <w:sz w:val="20"/>
                <w:szCs w:val="20"/>
                <w:vertAlign w:val="superscript"/>
                <w:lang w:eastAsia="zh-CN"/>
              </w:rPr>
              <w:t xml:space="preserve"> (3)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b/>
                <w:bCs/>
                <w:color w:val="000000"/>
                <w:sz w:val="20"/>
                <w:szCs w:val="20"/>
                <w:lang w:eastAsia="zh-CN"/>
              </w:rPr>
              <w:t>4.80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3.01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9C5010" w:rsidRDefault="00942E79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C5010">
              <w:rPr>
                <w:color w:val="00000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79" w:rsidRPr="001630ED" w:rsidRDefault="00942E79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&lt; 0.001</w:t>
            </w:r>
          </w:p>
        </w:tc>
      </w:tr>
      <w:tr w:rsidR="0021026D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26D" w:rsidRPr="009C5010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Dietary vitamin  C (mg/day)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26D" w:rsidRPr="009C5010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NA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26D" w:rsidRPr="009C5010" w:rsidRDefault="0021026D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81.87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26D" w:rsidRPr="009C5010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26D" w:rsidRPr="009C5010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193.87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26D" w:rsidRPr="009C5010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29.69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26D" w:rsidRPr="001630ED" w:rsidRDefault="0021026D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21026D" w:rsidRPr="009C5010" w:rsidTr="00C02FEA">
        <w:trPr>
          <w:trHeight w:val="20"/>
        </w:trPr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26D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Dietary β-carotene (µg/day)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26D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NA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26D" w:rsidRDefault="0021026D" w:rsidP="00942E7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868.78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26D" w:rsidRDefault="0021026D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26D" w:rsidRDefault="00CB7076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1429.69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26D" w:rsidRDefault="00CB7076" w:rsidP="00942E7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381.41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26D" w:rsidRPr="001630ED" w:rsidRDefault="00CB7076" w:rsidP="00942E79">
            <w:pPr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630ED">
              <w:rPr>
                <w:bCs/>
                <w:color w:val="000000"/>
                <w:sz w:val="20"/>
                <w:szCs w:val="20"/>
                <w:lang w:eastAsia="zh-CN"/>
              </w:rPr>
              <w:t>0.009</w:t>
            </w:r>
          </w:p>
        </w:tc>
      </w:tr>
    </w:tbl>
    <w:p w:rsidR="00751B28" w:rsidRPr="00C10BBE" w:rsidRDefault="00986C82" w:rsidP="00886DBF">
      <w:pPr>
        <w:ind w:firstLine="284"/>
        <w:jc w:val="both"/>
        <w:rPr>
          <w:sz w:val="18"/>
        </w:rPr>
      </w:pPr>
      <w:r w:rsidRPr="00C10BBE">
        <w:rPr>
          <w:sz w:val="18"/>
        </w:rPr>
        <w:t>Key: bold values indicate that the levels of the risk factors exceed their corresponding reference values.</w:t>
      </w:r>
    </w:p>
    <w:p w:rsidR="00AE27BB" w:rsidRDefault="00AE27BB" w:rsidP="00C10BBE">
      <w:pPr>
        <w:ind w:left="709"/>
        <w:jc w:val="both"/>
        <w:rPr>
          <w:sz w:val="18"/>
        </w:rPr>
      </w:pPr>
      <w:r w:rsidRPr="00C10BBE">
        <w:rPr>
          <w:sz w:val="18"/>
        </w:rPr>
        <w:t>*References values above which, there is an increased risk of CVD and other metabolic complications</w:t>
      </w:r>
      <w:r w:rsidR="00C10BBE" w:rsidRPr="00C10BBE">
        <w:rPr>
          <w:sz w:val="18"/>
        </w:rPr>
        <w:t xml:space="preserve">, except the reference value of 1.55 </w:t>
      </w:r>
      <w:proofErr w:type="spellStart"/>
      <w:r w:rsidR="00C10BBE" w:rsidRPr="00C10BBE">
        <w:rPr>
          <w:sz w:val="18"/>
        </w:rPr>
        <w:t>mmol</w:t>
      </w:r>
      <w:proofErr w:type="spellEnd"/>
      <w:r w:rsidR="00C10BBE" w:rsidRPr="00C10BBE">
        <w:rPr>
          <w:sz w:val="18"/>
        </w:rPr>
        <w:t xml:space="preserve">/L set for total HDL cholesterol, </w:t>
      </w:r>
      <w:r w:rsidR="00B6524B">
        <w:rPr>
          <w:sz w:val="18"/>
        </w:rPr>
        <w:t xml:space="preserve">levels above which are </w:t>
      </w:r>
      <w:r w:rsidR="00C10BBE" w:rsidRPr="00C10BBE">
        <w:rPr>
          <w:sz w:val="18"/>
        </w:rPr>
        <w:t>considered as desirably high.</w:t>
      </w:r>
    </w:p>
    <w:p w:rsidR="00C10BBE" w:rsidRPr="00C10BBE" w:rsidRDefault="00C10BBE" w:rsidP="00C10BBE">
      <w:pPr>
        <w:ind w:left="709"/>
        <w:jc w:val="both"/>
        <w:rPr>
          <w:sz w:val="10"/>
        </w:rPr>
      </w:pPr>
    </w:p>
    <w:p w:rsidR="00FF256B" w:rsidRDefault="00D57D64" w:rsidP="00AD06B6">
      <w:pPr>
        <w:ind w:firstLine="284"/>
        <w:jc w:val="both"/>
      </w:pPr>
      <w:r w:rsidRPr="003E3203">
        <w:t xml:space="preserve">In conclusion, </w:t>
      </w:r>
      <w:r w:rsidR="00421E1B">
        <w:t xml:space="preserve">significant </w:t>
      </w:r>
      <w:r w:rsidR="00B8002F" w:rsidRPr="003E3203">
        <w:t>gender variations</w:t>
      </w:r>
      <w:r w:rsidR="00421E1B">
        <w:t xml:space="preserve"> were identified in the CVD risk factors</w:t>
      </w:r>
      <w:r w:rsidR="003360D1">
        <w:t xml:space="preserve"> amongst </w:t>
      </w:r>
      <w:r w:rsidR="00986C82">
        <w:t xml:space="preserve">a group of ‘desk-based’ </w:t>
      </w:r>
      <w:r w:rsidR="003360D1">
        <w:t>professional</w:t>
      </w:r>
      <w:r w:rsidR="00986C82">
        <w:t xml:space="preserve"> workers</w:t>
      </w:r>
      <w:r w:rsidR="003360D1">
        <w:t xml:space="preserve"> with a higher risk predisposed to</w:t>
      </w:r>
      <w:r w:rsidR="00421E1B">
        <w:t xml:space="preserve"> the</w:t>
      </w:r>
      <w:r w:rsidR="003360D1">
        <w:t xml:space="preserve"> male group.</w:t>
      </w:r>
      <w:r w:rsidR="005A1C0D">
        <w:t xml:space="preserve"> </w:t>
      </w:r>
    </w:p>
    <w:p w:rsidR="00421E1B" w:rsidRDefault="00421E1B" w:rsidP="00AE27BB">
      <w:pPr>
        <w:spacing w:line="120" w:lineRule="auto"/>
        <w:ind w:firstLine="284"/>
        <w:jc w:val="both"/>
      </w:pPr>
    </w:p>
    <w:p w:rsidR="003360D1" w:rsidRPr="006E4768" w:rsidRDefault="00FF256B" w:rsidP="00FF256B">
      <w:pPr>
        <w:jc w:val="both"/>
        <w:rPr>
          <w:sz w:val="20"/>
        </w:rPr>
      </w:pPr>
      <w:r>
        <w:rPr>
          <w:sz w:val="20"/>
        </w:rPr>
        <w:t xml:space="preserve">1. </w:t>
      </w:r>
      <w:r w:rsidR="006E4768">
        <w:rPr>
          <w:sz w:val="20"/>
        </w:rPr>
        <w:t xml:space="preserve">Owen N, Sugiyama T, </w:t>
      </w:r>
      <w:proofErr w:type="spellStart"/>
      <w:r w:rsidR="006E4768">
        <w:rPr>
          <w:sz w:val="20"/>
        </w:rPr>
        <w:t>Eakin</w:t>
      </w:r>
      <w:proofErr w:type="spellEnd"/>
      <w:r w:rsidR="006E4768">
        <w:rPr>
          <w:sz w:val="20"/>
        </w:rPr>
        <w:t xml:space="preserve"> EE </w:t>
      </w:r>
      <w:r w:rsidR="006E4768">
        <w:rPr>
          <w:i/>
          <w:sz w:val="20"/>
        </w:rPr>
        <w:t>et al.</w:t>
      </w:r>
      <w:r w:rsidR="006E4768">
        <w:rPr>
          <w:sz w:val="20"/>
        </w:rPr>
        <w:t xml:space="preserve"> (2011) </w:t>
      </w:r>
      <w:r w:rsidR="006E4768">
        <w:rPr>
          <w:i/>
          <w:sz w:val="20"/>
        </w:rPr>
        <w:t>Am J Pre Med</w:t>
      </w:r>
      <w:r w:rsidR="006E4768">
        <w:rPr>
          <w:sz w:val="20"/>
        </w:rPr>
        <w:t xml:space="preserve"> </w:t>
      </w:r>
      <w:r w:rsidR="006E4768">
        <w:rPr>
          <w:b/>
          <w:sz w:val="20"/>
        </w:rPr>
        <w:t>41</w:t>
      </w:r>
      <w:r w:rsidR="006E4768">
        <w:rPr>
          <w:sz w:val="20"/>
        </w:rPr>
        <w:t>, 189-196.</w:t>
      </w:r>
    </w:p>
    <w:p w:rsidR="00055B88" w:rsidRDefault="00421E1B" w:rsidP="00055B88">
      <w:pPr>
        <w:jc w:val="both"/>
        <w:rPr>
          <w:sz w:val="20"/>
        </w:rPr>
      </w:pPr>
      <w:proofErr w:type="gramStart"/>
      <w:r>
        <w:rPr>
          <w:sz w:val="20"/>
        </w:rPr>
        <w:t>2</w:t>
      </w:r>
      <w:r w:rsidR="00055B88">
        <w:rPr>
          <w:sz w:val="20"/>
        </w:rPr>
        <w:t>. WHO</w:t>
      </w:r>
      <w:proofErr w:type="gramEnd"/>
      <w:r w:rsidR="00055B88">
        <w:rPr>
          <w:sz w:val="20"/>
        </w:rPr>
        <w:t xml:space="preserve"> (2011) </w:t>
      </w:r>
      <w:r w:rsidR="00055B88" w:rsidRPr="0097235A">
        <w:rPr>
          <w:i/>
          <w:sz w:val="20"/>
        </w:rPr>
        <w:t>Waist Circumference and Waist-Hip Ratio. Report of a WHO Expert Consultation.</w:t>
      </w:r>
      <w:r w:rsidR="00055B88">
        <w:rPr>
          <w:sz w:val="20"/>
        </w:rPr>
        <w:t xml:space="preserve"> </w:t>
      </w:r>
    </w:p>
    <w:p w:rsidR="00421E1B" w:rsidRPr="00055B88" w:rsidRDefault="00421E1B" w:rsidP="00055B88">
      <w:pPr>
        <w:jc w:val="both"/>
        <w:rPr>
          <w:sz w:val="20"/>
        </w:rPr>
      </w:pPr>
      <w:r>
        <w:rPr>
          <w:sz w:val="20"/>
        </w:rPr>
        <w:t xml:space="preserve">3. National Heart, Lung and Blood Institute (2001) </w:t>
      </w:r>
      <w:r>
        <w:rPr>
          <w:i/>
          <w:sz w:val="20"/>
        </w:rPr>
        <w:t>JAMA</w:t>
      </w:r>
      <w:r>
        <w:rPr>
          <w:sz w:val="20"/>
        </w:rPr>
        <w:t xml:space="preserve"> </w:t>
      </w:r>
      <w:r>
        <w:rPr>
          <w:b/>
          <w:sz w:val="20"/>
        </w:rPr>
        <w:t>285</w:t>
      </w:r>
      <w:r>
        <w:rPr>
          <w:sz w:val="20"/>
        </w:rPr>
        <w:t>, 2486-97.</w:t>
      </w:r>
    </w:p>
    <w:p w:rsidR="000C6604" w:rsidRDefault="00055B88" w:rsidP="007D2616">
      <w:pPr>
        <w:jc w:val="both"/>
        <w:rPr>
          <w:i/>
          <w:sz w:val="20"/>
        </w:rPr>
      </w:pPr>
      <w:r>
        <w:rPr>
          <w:sz w:val="20"/>
        </w:rPr>
        <w:t xml:space="preserve">4. </w:t>
      </w:r>
      <w:r w:rsidR="006F1ECD">
        <w:rPr>
          <w:sz w:val="20"/>
        </w:rPr>
        <w:t xml:space="preserve">NICE </w:t>
      </w:r>
      <w:r w:rsidR="0097235A">
        <w:rPr>
          <w:sz w:val="20"/>
        </w:rPr>
        <w:t xml:space="preserve">(2011) </w:t>
      </w:r>
      <w:r w:rsidR="0097235A" w:rsidRPr="0097235A">
        <w:rPr>
          <w:i/>
          <w:sz w:val="20"/>
        </w:rPr>
        <w:t>Hypertension in Adults: Diagnosis and M</w:t>
      </w:r>
      <w:r w:rsidR="006F1ECD" w:rsidRPr="0097235A">
        <w:rPr>
          <w:i/>
          <w:sz w:val="20"/>
        </w:rPr>
        <w:t xml:space="preserve">anagement. </w:t>
      </w:r>
      <w:bookmarkStart w:id="0" w:name="_GoBack"/>
      <w:bookmarkEnd w:id="0"/>
    </w:p>
    <w:sectPr w:rsidR="000C6604" w:rsidSect="00B42176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FA"/>
    <w:rsid w:val="000302CD"/>
    <w:rsid w:val="00055A8D"/>
    <w:rsid w:val="00055B88"/>
    <w:rsid w:val="000927D6"/>
    <w:rsid w:val="000963E0"/>
    <w:rsid w:val="000A5D7A"/>
    <w:rsid w:val="000C072A"/>
    <w:rsid w:val="000C6604"/>
    <w:rsid w:val="000D3F12"/>
    <w:rsid w:val="000E54FD"/>
    <w:rsid w:val="000F5475"/>
    <w:rsid w:val="00103E74"/>
    <w:rsid w:val="00107A51"/>
    <w:rsid w:val="00123B46"/>
    <w:rsid w:val="001242D9"/>
    <w:rsid w:val="00125067"/>
    <w:rsid w:val="0013557C"/>
    <w:rsid w:val="00137097"/>
    <w:rsid w:val="001630ED"/>
    <w:rsid w:val="0018123F"/>
    <w:rsid w:val="00184E13"/>
    <w:rsid w:val="00194F48"/>
    <w:rsid w:val="001B31E0"/>
    <w:rsid w:val="001C24F4"/>
    <w:rsid w:val="001C319A"/>
    <w:rsid w:val="001E17FD"/>
    <w:rsid w:val="001F3C30"/>
    <w:rsid w:val="001F3F0C"/>
    <w:rsid w:val="001F5CE7"/>
    <w:rsid w:val="001F683E"/>
    <w:rsid w:val="0021026D"/>
    <w:rsid w:val="00221117"/>
    <w:rsid w:val="0023563A"/>
    <w:rsid w:val="00236A6D"/>
    <w:rsid w:val="0026532C"/>
    <w:rsid w:val="00265B0B"/>
    <w:rsid w:val="00267953"/>
    <w:rsid w:val="00294190"/>
    <w:rsid w:val="002A09CC"/>
    <w:rsid w:val="002A3104"/>
    <w:rsid w:val="002B524D"/>
    <w:rsid w:val="002E6426"/>
    <w:rsid w:val="003107BC"/>
    <w:rsid w:val="003360D1"/>
    <w:rsid w:val="003568A5"/>
    <w:rsid w:val="0036136C"/>
    <w:rsid w:val="00371705"/>
    <w:rsid w:val="00375231"/>
    <w:rsid w:val="00394233"/>
    <w:rsid w:val="003A67F0"/>
    <w:rsid w:val="003A7B22"/>
    <w:rsid w:val="003C3488"/>
    <w:rsid w:val="003D3D73"/>
    <w:rsid w:val="003E3203"/>
    <w:rsid w:val="003F7CD7"/>
    <w:rsid w:val="00411880"/>
    <w:rsid w:val="0041595A"/>
    <w:rsid w:val="00421E1B"/>
    <w:rsid w:val="0043263B"/>
    <w:rsid w:val="004374AE"/>
    <w:rsid w:val="004519BF"/>
    <w:rsid w:val="00492A03"/>
    <w:rsid w:val="004B5710"/>
    <w:rsid w:val="004B74FF"/>
    <w:rsid w:val="004C3192"/>
    <w:rsid w:val="004E2FD2"/>
    <w:rsid w:val="004E3950"/>
    <w:rsid w:val="004F7DA4"/>
    <w:rsid w:val="00500254"/>
    <w:rsid w:val="005743CC"/>
    <w:rsid w:val="0058168F"/>
    <w:rsid w:val="005A1C0D"/>
    <w:rsid w:val="005B1756"/>
    <w:rsid w:val="005B5F6B"/>
    <w:rsid w:val="005D0197"/>
    <w:rsid w:val="005D0CC4"/>
    <w:rsid w:val="005D1301"/>
    <w:rsid w:val="005E1F80"/>
    <w:rsid w:val="00636381"/>
    <w:rsid w:val="006378F8"/>
    <w:rsid w:val="00677D33"/>
    <w:rsid w:val="006C1D10"/>
    <w:rsid w:val="006C4511"/>
    <w:rsid w:val="006E4768"/>
    <w:rsid w:val="006F1B60"/>
    <w:rsid w:val="006F1ECD"/>
    <w:rsid w:val="00702646"/>
    <w:rsid w:val="0070384A"/>
    <w:rsid w:val="00751B28"/>
    <w:rsid w:val="00776FBD"/>
    <w:rsid w:val="00782E75"/>
    <w:rsid w:val="00791E8D"/>
    <w:rsid w:val="00794719"/>
    <w:rsid w:val="00796B0B"/>
    <w:rsid w:val="007A64B3"/>
    <w:rsid w:val="007A7AF7"/>
    <w:rsid w:val="007B7541"/>
    <w:rsid w:val="007C299A"/>
    <w:rsid w:val="007D2616"/>
    <w:rsid w:val="007D4D82"/>
    <w:rsid w:val="007D6F76"/>
    <w:rsid w:val="007E5607"/>
    <w:rsid w:val="007F2F2E"/>
    <w:rsid w:val="00832F0B"/>
    <w:rsid w:val="008344EE"/>
    <w:rsid w:val="00851F28"/>
    <w:rsid w:val="00883C74"/>
    <w:rsid w:val="00886DBF"/>
    <w:rsid w:val="008A6BE5"/>
    <w:rsid w:val="008B1C22"/>
    <w:rsid w:val="008D2DFE"/>
    <w:rsid w:val="008E02CC"/>
    <w:rsid w:val="00927FDD"/>
    <w:rsid w:val="00931A39"/>
    <w:rsid w:val="00942E79"/>
    <w:rsid w:val="0095117C"/>
    <w:rsid w:val="009651EE"/>
    <w:rsid w:val="0097235A"/>
    <w:rsid w:val="009727B9"/>
    <w:rsid w:val="00972B5E"/>
    <w:rsid w:val="00974DDD"/>
    <w:rsid w:val="00984A37"/>
    <w:rsid w:val="009864E3"/>
    <w:rsid w:val="00986C82"/>
    <w:rsid w:val="00993FBA"/>
    <w:rsid w:val="009B1221"/>
    <w:rsid w:val="009C5010"/>
    <w:rsid w:val="009C7057"/>
    <w:rsid w:val="009D349A"/>
    <w:rsid w:val="009F3E7D"/>
    <w:rsid w:val="009F4FFB"/>
    <w:rsid w:val="00A11B30"/>
    <w:rsid w:val="00A1282F"/>
    <w:rsid w:val="00A157FE"/>
    <w:rsid w:val="00A325D1"/>
    <w:rsid w:val="00A33138"/>
    <w:rsid w:val="00A41EDF"/>
    <w:rsid w:val="00A4438B"/>
    <w:rsid w:val="00A61783"/>
    <w:rsid w:val="00A929B1"/>
    <w:rsid w:val="00AA7816"/>
    <w:rsid w:val="00AB2E0E"/>
    <w:rsid w:val="00AD06B6"/>
    <w:rsid w:val="00AE27BB"/>
    <w:rsid w:val="00AF457D"/>
    <w:rsid w:val="00B069B6"/>
    <w:rsid w:val="00B06BDC"/>
    <w:rsid w:val="00B10E1D"/>
    <w:rsid w:val="00B15092"/>
    <w:rsid w:val="00B309F0"/>
    <w:rsid w:val="00B33ED2"/>
    <w:rsid w:val="00B42176"/>
    <w:rsid w:val="00B540C4"/>
    <w:rsid w:val="00B6475E"/>
    <w:rsid w:val="00B6524B"/>
    <w:rsid w:val="00B73BFA"/>
    <w:rsid w:val="00B73FCD"/>
    <w:rsid w:val="00B8002F"/>
    <w:rsid w:val="00BA392B"/>
    <w:rsid w:val="00BA5E4D"/>
    <w:rsid w:val="00BC1483"/>
    <w:rsid w:val="00BC6EDB"/>
    <w:rsid w:val="00BD2B3D"/>
    <w:rsid w:val="00BF0315"/>
    <w:rsid w:val="00BF757E"/>
    <w:rsid w:val="00BF7695"/>
    <w:rsid w:val="00C02FEA"/>
    <w:rsid w:val="00C06796"/>
    <w:rsid w:val="00C10BBE"/>
    <w:rsid w:val="00C113B0"/>
    <w:rsid w:val="00C41DDE"/>
    <w:rsid w:val="00C42721"/>
    <w:rsid w:val="00C4473D"/>
    <w:rsid w:val="00C47CD7"/>
    <w:rsid w:val="00C725BE"/>
    <w:rsid w:val="00C72F40"/>
    <w:rsid w:val="00C7427A"/>
    <w:rsid w:val="00C81C9E"/>
    <w:rsid w:val="00C96214"/>
    <w:rsid w:val="00CA7764"/>
    <w:rsid w:val="00CB0C3B"/>
    <w:rsid w:val="00CB7076"/>
    <w:rsid w:val="00CD230B"/>
    <w:rsid w:val="00CD2C25"/>
    <w:rsid w:val="00CD3B2D"/>
    <w:rsid w:val="00CE7B0C"/>
    <w:rsid w:val="00CF1053"/>
    <w:rsid w:val="00CF6CA4"/>
    <w:rsid w:val="00D20B67"/>
    <w:rsid w:val="00D23337"/>
    <w:rsid w:val="00D25B03"/>
    <w:rsid w:val="00D42539"/>
    <w:rsid w:val="00D451D3"/>
    <w:rsid w:val="00D45610"/>
    <w:rsid w:val="00D57D64"/>
    <w:rsid w:val="00D83BEC"/>
    <w:rsid w:val="00D87106"/>
    <w:rsid w:val="00D8755D"/>
    <w:rsid w:val="00D92627"/>
    <w:rsid w:val="00D92EF1"/>
    <w:rsid w:val="00DA79D8"/>
    <w:rsid w:val="00DB0765"/>
    <w:rsid w:val="00DB5F8F"/>
    <w:rsid w:val="00DB756F"/>
    <w:rsid w:val="00DB75EA"/>
    <w:rsid w:val="00DC4DD0"/>
    <w:rsid w:val="00DD38FE"/>
    <w:rsid w:val="00DD46F9"/>
    <w:rsid w:val="00E05E3E"/>
    <w:rsid w:val="00E111FB"/>
    <w:rsid w:val="00E2003B"/>
    <w:rsid w:val="00E366A6"/>
    <w:rsid w:val="00E518B7"/>
    <w:rsid w:val="00E54431"/>
    <w:rsid w:val="00E713E9"/>
    <w:rsid w:val="00EC679A"/>
    <w:rsid w:val="00EC6A78"/>
    <w:rsid w:val="00EE22CF"/>
    <w:rsid w:val="00EE6FC3"/>
    <w:rsid w:val="00EE741A"/>
    <w:rsid w:val="00EF0515"/>
    <w:rsid w:val="00F020E3"/>
    <w:rsid w:val="00F121C3"/>
    <w:rsid w:val="00F12B2A"/>
    <w:rsid w:val="00F247F6"/>
    <w:rsid w:val="00F30532"/>
    <w:rsid w:val="00F35997"/>
    <w:rsid w:val="00F46E82"/>
    <w:rsid w:val="00F64E28"/>
    <w:rsid w:val="00F73D19"/>
    <w:rsid w:val="00F93F51"/>
    <w:rsid w:val="00F949E9"/>
    <w:rsid w:val="00FC0D4D"/>
    <w:rsid w:val="00FC266A"/>
    <w:rsid w:val="00FE3D42"/>
    <w:rsid w:val="00FF256B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7040A-9504-4819-B367-34CA3B4C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B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6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Jin</dc:creator>
  <cp:lastModifiedBy>Jessica Jin</cp:lastModifiedBy>
  <cp:revision>2</cp:revision>
  <dcterms:created xsi:type="dcterms:W3CDTF">2016-04-11T18:00:00Z</dcterms:created>
  <dcterms:modified xsi:type="dcterms:W3CDTF">2016-04-11T18:00:00Z</dcterms:modified>
</cp:coreProperties>
</file>