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B6E97" w14:textId="77777777" w:rsidR="00CE4CE7" w:rsidRPr="00145E19" w:rsidRDefault="00CE4CE7" w:rsidP="00CE4CE7">
      <w:pPr>
        <w:rPr>
          <w:lang w:val="en-GB"/>
        </w:rPr>
      </w:pPr>
      <w:bookmarkStart w:id="0" w:name="_GoBack"/>
      <w:bookmarkEnd w:id="0"/>
    </w:p>
    <w:p w14:paraId="412E4E38" w14:textId="77777777" w:rsidR="00CE4CE7" w:rsidRPr="00BF2E0F" w:rsidRDefault="00BF2E0F" w:rsidP="00815E10">
      <w:pPr>
        <w:jc w:val="center"/>
        <w:rPr>
          <w:rFonts w:ascii="Palatino Linotype" w:eastAsia="PMingLiU" w:hAnsi="Palatino Linotype"/>
          <w:b/>
          <w:sz w:val="32"/>
          <w:szCs w:val="28"/>
          <w:lang w:val="en-GB" w:eastAsia="zh-TW"/>
        </w:rPr>
      </w:pPr>
      <w:r w:rsidRPr="00BF2E0F">
        <w:rPr>
          <w:rFonts w:ascii="Palatino Linotype" w:eastAsia="PMingLiU" w:hAnsi="Palatino Linotype"/>
          <w:b/>
          <w:sz w:val="32"/>
          <w:szCs w:val="28"/>
          <w:lang w:val="en-GB" w:eastAsia="zh-TW"/>
        </w:rPr>
        <w:t xml:space="preserve">Assessing the Constitutionality of Legislation: Constitutional Review </w:t>
      </w:r>
      <w:r w:rsidR="00E74B3A">
        <w:rPr>
          <w:rFonts w:ascii="Palatino Linotype" w:eastAsia="PMingLiU" w:hAnsi="Palatino Linotype"/>
          <w:b/>
          <w:sz w:val="32"/>
          <w:szCs w:val="28"/>
          <w:lang w:val="en-GB" w:eastAsia="zh-TW"/>
        </w:rPr>
        <w:t>i</w:t>
      </w:r>
      <w:r w:rsidRPr="00BF2E0F">
        <w:rPr>
          <w:rFonts w:ascii="Palatino Linotype" w:eastAsia="PMingLiU" w:hAnsi="Palatino Linotype"/>
          <w:b/>
          <w:sz w:val="32"/>
          <w:szCs w:val="28"/>
          <w:lang w:val="en-GB" w:eastAsia="zh-TW"/>
        </w:rPr>
        <w:t>n Taiwan</w:t>
      </w:r>
      <w:r w:rsidR="00AC357A">
        <w:rPr>
          <w:rFonts w:ascii="Palatino Linotype" w:eastAsia="PMingLiU" w:hAnsi="Palatino Linotype"/>
          <w:b/>
          <w:sz w:val="32"/>
          <w:szCs w:val="28"/>
          <w:lang w:val="en-GB" w:eastAsia="zh-TW"/>
        </w:rPr>
        <w:t>’</w:t>
      </w:r>
      <w:r w:rsidRPr="00BF2E0F">
        <w:rPr>
          <w:rFonts w:ascii="Palatino Linotype" w:eastAsia="PMingLiU" w:hAnsi="Palatino Linotype"/>
          <w:b/>
          <w:sz w:val="32"/>
          <w:szCs w:val="28"/>
          <w:lang w:val="en-GB" w:eastAsia="zh-TW"/>
        </w:rPr>
        <w:t>s Legislative Yuan</w:t>
      </w:r>
    </w:p>
    <w:p w14:paraId="26FDBBB7" w14:textId="77777777" w:rsidR="007D7D48" w:rsidRDefault="007D7D48" w:rsidP="00CE4CE7">
      <w:pPr>
        <w:jc w:val="center"/>
        <w:rPr>
          <w:lang w:val="en-GB"/>
        </w:rPr>
      </w:pPr>
    </w:p>
    <w:p w14:paraId="78DF8034" w14:textId="77777777" w:rsidR="00AC7434" w:rsidRDefault="00AC7434" w:rsidP="00CE4CE7">
      <w:pPr>
        <w:jc w:val="center"/>
        <w:rPr>
          <w:rFonts w:eastAsia="PMingLiU"/>
          <w:lang w:val="en-GB" w:eastAsia="zh-TW"/>
        </w:rPr>
      </w:pPr>
    </w:p>
    <w:p w14:paraId="31464A7F" w14:textId="77777777" w:rsidR="00AC7434" w:rsidRDefault="00AC7434" w:rsidP="00CE4CE7">
      <w:pPr>
        <w:jc w:val="center"/>
        <w:rPr>
          <w:rFonts w:eastAsia="PMingLiU"/>
          <w:lang w:val="en-GB" w:eastAsia="zh-TW"/>
        </w:rPr>
      </w:pPr>
    </w:p>
    <w:p w14:paraId="2630CC9D" w14:textId="37100499" w:rsidR="00AC7434" w:rsidRPr="007E3BC2" w:rsidRDefault="00AC7434" w:rsidP="0041468E">
      <w:pPr>
        <w:jc w:val="center"/>
        <w:rPr>
          <w:rFonts w:eastAsia="Calibri"/>
          <w:b/>
          <w:lang w:eastAsia="zh-CN"/>
        </w:rPr>
      </w:pPr>
      <w:r w:rsidRPr="007E3BC2">
        <w:rPr>
          <w:rFonts w:eastAsia="PMingLiU"/>
          <w:b/>
          <w:lang w:val="en-GB" w:eastAsia="zh-TW"/>
        </w:rPr>
        <w:t>Brian Christopher Jones</w:t>
      </w:r>
      <w:r w:rsidRPr="007E3BC2">
        <w:rPr>
          <w:rStyle w:val="FootnoteReference"/>
          <w:rFonts w:eastAsia="PMingLiU"/>
          <w:b/>
          <w:lang w:val="en-GB" w:eastAsia="zh-TW"/>
        </w:rPr>
        <w:footnoteReference w:customMarkFollows="1" w:id="1"/>
        <w:sym w:font="Symbol" w:char="F02A"/>
      </w:r>
    </w:p>
    <w:p w14:paraId="70A4AA7F" w14:textId="77777777" w:rsidR="00AC7434" w:rsidRDefault="00AC7434" w:rsidP="00CE4CE7">
      <w:pPr>
        <w:jc w:val="center"/>
        <w:rPr>
          <w:rFonts w:eastAsia="PMingLiU"/>
          <w:lang w:val="en-GB" w:eastAsia="zh-TW"/>
        </w:rPr>
      </w:pPr>
    </w:p>
    <w:p w14:paraId="782DCB76" w14:textId="77777777" w:rsidR="00AC7434" w:rsidRDefault="00AC7434" w:rsidP="00CE4CE7">
      <w:pPr>
        <w:jc w:val="center"/>
        <w:rPr>
          <w:rFonts w:eastAsia="PMingLiU"/>
          <w:lang w:val="en-GB" w:eastAsia="zh-TW"/>
        </w:rPr>
      </w:pPr>
    </w:p>
    <w:p w14:paraId="638B9454" w14:textId="77777777" w:rsidR="00776F13" w:rsidRDefault="00776F13" w:rsidP="00CE4CE7">
      <w:pPr>
        <w:jc w:val="center"/>
        <w:rPr>
          <w:rFonts w:eastAsia="PMingLiU"/>
          <w:lang w:val="en-GB" w:eastAsia="zh-TW"/>
        </w:rPr>
      </w:pPr>
    </w:p>
    <w:p w14:paraId="7CC643A3" w14:textId="77777777" w:rsidR="00776F13" w:rsidRPr="00776F13" w:rsidRDefault="00776F13" w:rsidP="00CE4CE7">
      <w:pPr>
        <w:jc w:val="center"/>
        <w:rPr>
          <w:b/>
          <w:sz w:val="28"/>
          <w:lang w:val="en-GB"/>
        </w:rPr>
      </w:pPr>
      <w:r w:rsidRPr="00AD529C">
        <w:rPr>
          <w:b/>
          <w:sz w:val="28"/>
          <w:szCs w:val="28"/>
        </w:rPr>
        <w:t>Abstract</w:t>
      </w:r>
    </w:p>
    <w:p w14:paraId="5D1DBE59" w14:textId="77777777" w:rsidR="0008209A" w:rsidRPr="00145E19" w:rsidRDefault="0008209A" w:rsidP="00CE4CE7">
      <w:pPr>
        <w:jc w:val="center"/>
        <w:rPr>
          <w:lang w:val="en-GB"/>
        </w:rPr>
      </w:pPr>
    </w:p>
    <w:p w14:paraId="591C392B" w14:textId="77777777" w:rsidR="00815E10" w:rsidRPr="00EE5050" w:rsidRDefault="00815E10" w:rsidP="00815E10">
      <w:pPr>
        <w:rPr>
          <w:rFonts w:eastAsia="PMingLiU"/>
          <w:sz w:val="20"/>
          <w:szCs w:val="20"/>
          <w:lang w:val="en-GB" w:eastAsia="zh-TW"/>
        </w:rPr>
      </w:pPr>
    </w:p>
    <w:p w14:paraId="2ACA027C" w14:textId="3701B16C" w:rsidR="008747FD" w:rsidRPr="00D62AC1" w:rsidRDefault="00D62AC1" w:rsidP="00D62AC1">
      <w:pPr>
        <w:jc w:val="both"/>
        <w:rPr>
          <w:i/>
          <w:szCs w:val="20"/>
          <w:lang w:val="en-GB"/>
        </w:rPr>
      </w:pPr>
      <w:r w:rsidRPr="00D62AC1">
        <w:rPr>
          <w:i/>
          <w:szCs w:val="20"/>
          <w:lang w:val="en-GB"/>
        </w:rPr>
        <w:t>This article examines the constitutional interpretative authority of Taiwan</w:t>
      </w:r>
      <w:r w:rsidR="00AC357A">
        <w:rPr>
          <w:i/>
          <w:szCs w:val="20"/>
          <w:lang w:val="en-GB"/>
        </w:rPr>
        <w:t>’</w:t>
      </w:r>
      <w:r w:rsidRPr="00D62AC1">
        <w:rPr>
          <w:i/>
          <w:szCs w:val="20"/>
          <w:lang w:val="en-GB"/>
        </w:rPr>
        <w:t>s Legislative Yuan, while incorporating international viewpoints on constitutional review</w:t>
      </w:r>
      <w:r w:rsidR="00D572DB" w:rsidRPr="0041468E">
        <w:rPr>
          <w:i/>
          <w:szCs w:val="20"/>
          <w:lang w:val="en-GB"/>
        </w:rPr>
        <w:t>,</w:t>
      </w:r>
      <w:r w:rsidRPr="00D62AC1">
        <w:rPr>
          <w:i/>
          <w:szCs w:val="20"/>
          <w:lang w:val="en-GB"/>
        </w:rPr>
        <w:t xml:space="preserve"> primarily from the United Kingdom and </w:t>
      </w:r>
      <w:r w:rsidR="00344B4B">
        <w:rPr>
          <w:i/>
          <w:szCs w:val="20"/>
          <w:lang w:val="en-GB"/>
        </w:rPr>
        <w:t xml:space="preserve">the </w:t>
      </w:r>
      <w:r w:rsidRPr="00D62AC1">
        <w:rPr>
          <w:i/>
          <w:szCs w:val="20"/>
          <w:lang w:val="en-GB"/>
        </w:rPr>
        <w:t xml:space="preserve">United States. It contends that Taiwan possesses an over-reliance on legal constitutionalism and strong judicial review, which hinders </w:t>
      </w:r>
      <w:r w:rsidR="009B1113">
        <w:rPr>
          <w:i/>
          <w:szCs w:val="20"/>
          <w:lang w:val="en-GB"/>
        </w:rPr>
        <w:t xml:space="preserve">the </w:t>
      </w:r>
      <w:r w:rsidRPr="00D62AC1">
        <w:rPr>
          <w:i/>
          <w:szCs w:val="20"/>
          <w:lang w:val="en-GB"/>
        </w:rPr>
        <w:t>Legislative Yuan</w:t>
      </w:r>
      <w:r w:rsidR="009B1113">
        <w:rPr>
          <w:i/>
          <w:szCs w:val="20"/>
          <w:lang w:val="en-GB"/>
        </w:rPr>
        <w:t>’s</w:t>
      </w:r>
      <w:r w:rsidRPr="00D62AC1">
        <w:rPr>
          <w:i/>
          <w:szCs w:val="20"/>
          <w:lang w:val="en-GB"/>
        </w:rPr>
        <w:t xml:space="preserve"> interpretative authority. Author interviews from Legislative Yuan insiders demonstrate that lawmakers and staffers may not actively be thinking about the constitutionality of the bills they are presenting and that they </w:t>
      </w:r>
      <w:r>
        <w:rPr>
          <w:i/>
          <w:szCs w:val="20"/>
          <w:lang w:val="en-GB"/>
        </w:rPr>
        <w:t>possess</w:t>
      </w:r>
      <w:r w:rsidRPr="00D62AC1">
        <w:rPr>
          <w:i/>
          <w:szCs w:val="20"/>
          <w:lang w:val="en-GB"/>
        </w:rPr>
        <w:t xml:space="preserve"> few, if any, official consultation options when seeking advice on constitutional questions. In essence, the interviews displayed clear evidence of judicial overhang. The article further argues that constitutional review by legislatures is an inherent good and provides multiple avenues for the Legislative Yuan to increase their constitutional interpretative authority. It also calls for more nominations to Taiwan</w:t>
      </w:r>
      <w:r w:rsidR="00AC357A">
        <w:rPr>
          <w:i/>
          <w:szCs w:val="20"/>
          <w:lang w:val="en-GB"/>
        </w:rPr>
        <w:t>’</w:t>
      </w:r>
      <w:r w:rsidRPr="00D62AC1">
        <w:rPr>
          <w:i/>
          <w:szCs w:val="20"/>
          <w:lang w:val="en-GB"/>
        </w:rPr>
        <w:t>s Constitutional Court to be made</w:t>
      </w:r>
      <w:r w:rsidR="00A75440">
        <w:rPr>
          <w:i/>
          <w:szCs w:val="20"/>
          <w:lang w:val="en-GB"/>
        </w:rPr>
        <w:t xml:space="preserve"> from members with elected political experience</w:t>
      </w:r>
      <w:r w:rsidRPr="00D62AC1">
        <w:rPr>
          <w:i/>
          <w:szCs w:val="20"/>
          <w:lang w:val="en-GB"/>
        </w:rPr>
        <w:t xml:space="preserve"> and for the Court to acknowledge (at some level) the legislature</w:t>
      </w:r>
      <w:r w:rsidR="00AC357A">
        <w:rPr>
          <w:i/>
          <w:szCs w:val="20"/>
          <w:lang w:val="en-GB"/>
        </w:rPr>
        <w:t>’</w:t>
      </w:r>
      <w:r w:rsidRPr="00D62AC1">
        <w:rPr>
          <w:i/>
          <w:szCs w:val="20"/>
          <w:lang w:val="en-GB"/>
        </w:rPr>
        <w:t>s interpretative authority. After all, democratic constitutional structures are dynamic and Taiwan</w:t>
      </w:r>
      <w:r w:rsidR="00AC357A">
        <w:rPr>
          <w:i/>
          <w:szCs w:val="20"/>
          <w:lang w:val="en-GB"/>
        </w:rPr>
        <w:t>’</w:t>
      </w:r>
      <w:r w:rsidRPr="00D62AC1">
        <w:rPr>
          <w:i/>
          <w:szCs w:val="20"/>
          <w:lang w:val="en-GB"/>
        </w:rPr>
        <w:t>s governmental branches should work to bridge the divide between legal and political constitutionalism</w:t>
      </w:r>
      <w:r w:rsidR="00C52D09">
        <w:rPr>
          <w:i/>
          <w:szCs w:val="20"/>
          <w:lang w:val="en-GB"/>
        </w:rPr>
        <w:t>,</w:t>
      </w:r>
      <w:r w:rsidRPr="00D62AC1">
        <w:rPr>
          <w:i/>
          <w:szCs w:val="20"/>
          <w:lang w:val="en-GB"/>
        </w:rPr>
        <w:t xml:space="preserve"> before the former becomes even more firmly entrenched.</w:t>
      </w:r>
    </w:p>
    <w:p w14:paraId="22CE1D0D" w14:textId="77777777" w:rsidR="00CB0FC5" w:rsidRPr="00E843F8" w:rsidRDefault="00CB0FC5" w:rsidP="00815E10">
      <w:pPr>
        <w:rPr>
          <w:sz w:val="20"/>
          <w:szCs w:val="20"/>
          <w:lang w:val="en-GB"/>
        </w:rPr>
      </w:pPr>
    </w:p>
    <w:p w14:paraId="3EC9E361" w14:textId="77777777" w:rsidR="00C50CD2" w:rsidRPr="00EE5050" w:rsidRDefault="00C50CD2" w:rsidP="00EE1A4E">
      <w:pPr>
        <w:rPr>
          <w:rFonts w:eastAsia="PMingLiU"/>
          <w:lang w:val="en-GB" w:eastAsia="zh-TW"/>
        </w:rPr>
        <w:sectPr w:rsidR="00C50CD2" w:rsidRPr="00EE5050" w:rsidSect="00796A4E">
          <w:headerReference w:type="default" r:id="rId8"/>
          <w:footerReference w:type="default" r:id="rId9"/>
          <w:pgSz w:w="12240" w:h="15840"/>
          <w:pgMar w:top="1440" w:right="1800" w:bottom="1440" w:left="1800" w:header="720" w:footer="720" w:gutter="0"/>
          <w:cols w:space="720"/>
          <w:docGrid w:linePitch="360"/>
        </w:sectPr>
      </w:pPr>
    </w:p>
    <w:p w14:paraId="6224DFFF" w14:textId="77777777" w:rsidR="00A07B95" w:rsidRPr="007C40B0" w:rsidRDefault="00A07B95" w:rsidP="007C40B0">
      <w:pPr>
        <w:pStyle w:val="NoSpacing"/>
        <w:tabs>
          <w:tab w:val="left" w:pos="720"/>
          <w:tab w:val="left" w:pos="1440"/>
        </w:tabs>
        <w:spacing w:line="480" w:lineRule="auto"/>
        <w:jc w:val="center"/>
        <w:rPr>
          <w:rFonts w:eastAsia="PMingLiU"/>
          <w:b/>
          <w:sz w:val="28"/>
          <w:lang w:val="en-GB" w:eastAsia="zh-TW"/>
        </w:rPr>
      </w:pPr>
      <w:r w:rsidRPr="007C40B0">
        <w:rPr>
          <w:rFonts w:eastAsia="PMingLiU"/>
          <w:b/>
          <w:sz w:val="28"/>
          <w:lang w:val="en-GB" w:eastAsia="zh-TW"/>
        </w:rPr>
        <w:t>I. Introduction</w:t>
      </w:r>
    </w:p>
    <w:p w14:paraId="3BB218B9" w14:textId="77777777" w:rsidR="00A07B95" w:rsidRDefault="00A07B95" w:rsidP="000172F1">
      <w:pPr>
        <w:pStyle w:val="NoSpacing"/>
        <w:tabs>
          <w:tab w:val="left" w:pos="720"/>
          <w:tab w:val="left" w:pos="1440"/>
        </w:tabs>
        <w:spacing w:line="480" w:lineRule="auto"/>
        <w:jc w:val="both"/>
        <w:rPr>
          <w:rFonts w:eastAsia="PMingLiU"/>
          <w:lang w:val="en-GB" w:eastAsia="zh-TW"/>
        </w:rPr>
      </w:pPr>
    </w:p>
    <w:p w14:paraId="3A6B37F1" w14:textId="564E12AF" w:rsidR="007E1515" w:rsidRPr="00EE5050" w:rsidRDefault="00C14530" w:rsidP="000172F1">
      <w:pPr>
        <w:pStyle w:val="NoSpacing"/>
        <w:tabs>
          <w:tab w:val="left" w:pos="720"/>
          <w:tab w:val="left" w:pos="1440"/>
        </w:tabs>
        <w:spacing w:line="480" w:lineRule="auto"/>
        <w:jc w:val="both"/>
        <w:rPr>
          <w:rFonts w:eastAsia="PMingLiU"/>
          <w:lang w:val="en-GB" w:eastAsia="zh-TW"/>
        </w:rPr>
      </w:pPr>
      <w:r w:rsidRPr="00EE5050">
        <w:rPr>
          <w:rFonts w:eastAsia="PMingLiU"/>
          <w:lang w:val="en-GB" w:eastAsia="zh-TW"/>
        </w:rPr>
        <w:t>D</w:t>
      </w:r>
      <w:r w:rsidR="0029004C" w:rsidRPr="00EE5050">
        <w:rPr>
          <w:rFonts w:eastAsia="PMingLiU"/>
          <w:lang w:val="en-GB" w:eastAsia="zh-TW"/>
        </w:rPr>
        <w:t xml:space="preserve">emocracies often </w:t>
      </w:r>
      <w:r w:rsidR="009E7ACA" w:rsidRPr="00EE5050">
        <w:rPr>
          <w:rFonts w:eastAsia="PMingLiU"/>
          <w:lang w:val="en-GB" w:eastAsia="zh-TW"/>
        </w:rPr>
        <w:t>tinker</w:t>
      </w:r>
      <w:r w:rsidRPr="00EE5050">
        <w:rPr>
          <w:rFonts w:eastAsia="PMingLiU"/>
          <w:lang w:val="en-GB" w:eastAsia="zh-TW"/>
        </w:rPr>
        <w:t xml:space="preserve"> with mechanisms of constitution</w:t>
      </w:r>
      <w:r w:rsidR="00FF7075" w:rsidRPr="00EE5050">
        <w:rPr>
          <w:rFonts w:eastAsia="PMingLiU"/>
          <w:lang w:val="en-GB" w:eastAsia="zh-TW"/>
        </w:rPr>
        <w:t>al governance. One of the current</w:t>
      </w:r>
      <w:r w:rsidRPr="00EE5050">
        <w:rPr>
          <w:rFonts w:eastAsia="PMingLiU"/>
          <w:lang w:val="en-GB" w:eastAsia="zh-TW"/>
        </w:rPr>
        <w:t xml:space="preserve"> </w:t>
      </w:r>
      <w:r w:rsidR="00FF7075" w:rsidRPr="00EE5050">
        <w:rPr>
          <w:rFonts w:eastAsia="PMingLiU"/>
          <w:lang w:val="en-GB" w:eastAsia="zh-TW"/>
        </w:rPr>
        <w:t>topics</w:t>
      </w:r>
      <w:r w:rsidR="00D252C4" w:rsidRPr="00EE5050">
        <w:rPr>
          <w:rFonts w:eastAsia="PMingLiU"/>
          <w:lang w:val="en-GB" w:eastAsia="zh-TW"/>
        </w:rPr>
        <w:t xml:space="preserve"> debated regarding </w:t>
      </w:r>
      <w:r w:rsidR="009E7ACA" w:rsidRPr="00EE5050">
        <w:rPr>
          <w:rFonts w:eastAsia="PMingLiU"/>
          <w:lang w:val="en-GB" w:eastAsia="zh-TW"/>
        </w:rPr>
        <w:t>such</w:t>
      </w:r>
      <w:r w:rsidRPr="00EE5050">
        <w:rPr>
          <w:rFonts w:eastAsia="PMingLiU"/>
          <w:lang w:val="en-GB" w:eastAsia="zh-TW"/>
        </w:rPr>
        <w:t xml:space="preserve"> mechanisms is how involved</w:t>
      </w:r>
      <w:r w:rsidR="00D20499" w:rsidRPr="00EE5050">
        <w:rPr>
          <w:rFonts w:eastAsia="PMingLiU"/>
          <w:lang w:val="en-GB" w:eastAsia="zh-TW"/>
        </w:rPr>
        <w:t xml:space="preserve"> legislatures </w:t>
      </w:r>
      <w:r w:rsidRPr="00EE5050">
        <w:rPr>
          <w:rFonts w:eastAsia="PMingLiU"/>
          <w:lang w:val="en-GB" w:eastAsia="zh-TW"/>
        </w:rPr>
        <w:t>should be</w:t>
      </w:r>
      <w:r w:rsidR="00DB6A70" w:rsidRPr="00EE5050">
        <w:rPr>
          <w:rFonts w:eastAsia="PMingLiU"/>
          <w:lang w:val="en-GB" w:eastAsia="zh-TW"/>
        </w:rPr>
        <w:t xml:space="preserve"> in the constitutional assessment of laws. W</w:t>
      </w:r>
      <w:r w:rsidR="000172F1" w:rsidRPr="00EE5050">
        <w:rPr>
          <w:rFonts w:eastAsia="PMingLiU"/>
          <w:lang w:val="en-GB" w:eastAsia="zh-TW"/>
        </w:rPr>
        <w:t xml:space="preserve">hile some jurisdictions </w:t>
      </w:r>
      <w:r w:rsidR="00E6492D" w:rsidRPr="00EE5050">
        <w:rPr>
          <w:rFonts w:eastAsia="PMingLiU"/>
          <w:lang w:val="en-GB" w:eastAsia="zh-TW"/>
        </w:rPr>
        <w:t>display</w:t>
      </w:r>
      <w:r w:rsidR="00DB6A70" w:rsidRPr="00EE5050">
        <w:rPr>
          <w:rFonts w:eastAsia="PMingLiU"/>
          <w:lang w:val="en-GB" w:eastAsia="zh-TW"/>
        </w:rPr>
        <w:t xml:space="preserve"> strong </w:t>
      </w:r>
      <w:r w:rsidR="00DB6A70" w:rsidRPr="00EE5050">
        <w:rPr>
          <w:rFonts w:eastAsia="PMingLiU"/>
          <w:lang w:val="en-GB" w:eastAsia="zh-TW"/>
        </w:rPr>
        <w:lastRenderedPageBreak/>
        <w:t>parliament</w:t>
      </w:r>
      <w:r w:rsidR="000172F1" w:rsidRPr="00EE5050">
        <w:rPr>
          <w:rFonts w:eastAsia="PMingLiU"/>
          <w:lang w:val="en-GB" w:eastAsia="zh-TW"/>
        </w:rPr>
        <w:t>ary authority</w:t>
      </w:r>
      <w:r w:rsidR="00DB6A70" w:rsidRPr="00EE5050">
        <w:rPr>
          <w:rFonts w:eastAsia="PMingLiU"/>
          <w:lang w:val="en-GB" w:eastAsia="zh-TW"/>
        </w:rPr>
        <w:t xml:space="preserve"> with weak judicial review (</w:t>
      </w:r>
      <w:r w:rsidR="005608E3" w:rsidRPr="007C40B0">
        <w:rPr>
          <w:rFonts w:eastAsia="PMingLiU"/>
          <w:lang w:val="en-GB" w:eastAsia="zh-TW"/>
        </w:rPr>
        <w:t>for example,</w:t>
      </w:r>
      <w:r w:rsidR="00DB6A70" w:rsidRPr="00EE5050">
        <w:rPr>
          <w:rFonts w:eastAsia="PMingLiU"/>
          <w:lang w:val="en-GB" w:eastAsia="zh-TW"/>
        </w:rPr>
        <w:t xml:space="preserve"> </w:t>
      </w:r>
      <w:r w:rsidR="004F201E">
        <w:rPr>
          <w:rFonts w:eastAsia="PMingLiU"/>
          <w:lang w:val="en-GB" w:eastAsia="zh-TW"/>
        </w:rPr>
        <w:t xml:space="preserve">the </w:t>
      </w:r>
      <w:r w:rsidR="00DB6A70" w:rsidRPr="00EE5050">
        <w:rPr>
          <w:rFonts w:eastAsia="PMingLiU"/>
          <w:lang w:val="en-GB" w:eastAsia="zh-TW"/>
        </w:rPr>
        <w:t>U</w:t>
      </w:r>
      <w:r w:rsidR="004F201E">
        <w:rPr>
          <w:rFonts w:eastAsia="PMingLiU"/>
          <w:lang w:val="en-GB" w:eastAsia="zh-TW"/>
        </w:rPr>
        <w:t xml:space="preserve">nited </w:t>
      </w:r>
      <w:r w:rsidR="00DB6A70" w:rsidRPr="00EE5050">
        <w:rPr>
          <w:rFonts w:eastAsia="PMingLiU"/>
          <w:lang w:val="en-GB" w:eastAsia="zh-TW"/>
        </w:rPr>
        <w:t>K</w:t>
      </w:r>
      <w:r w:rsidR="004F201E">
        <w:rPr>
          <w:rFonts w:eastAsia="PMingLiU"/>
          <w:lang w:val="en-GB" w:eastAsia="zh-TW"/>
        </w:rPr>
        <w:t>ingdom</w:t>
      </w:r>
      <w:r w:rsidR="007E04C8">
        <w:rPr>
          <w:rFonts w:eastAsia="PMingLiU"/>
          <w:lang w:val="en-GB" w:eastAsia="zh-TW"/>
        </w:rPr>
        <w:t xml:space="preserve"> (‘UK’)</w:t>
      </w:r>
      <w:r w:rsidR="00DB6A70" w:rsidRPr="00EE5050">
        <w:rPr>
          <w:rFonts w:eastAsia="PMingLiU"/>
          <w:lang w:val="en-GB" w:eastAsia="zh-TW"/>
        </w:rPr>
        <w:t xml:space="preserve">), others incorporate strong judicial review with </w:t>
      </w:r>
      <w:r w:rsidR="00D20499" w:rsidRPr="00EE5050">
        <w:rPr>
          <w:rFonts w:eastAsia="PMingLiU"/>
          <w:lang w:val="en-GB" w:eastAsia="zh-TW"/>
        </w:rPr>
        <w:t>decreased</w:t>
      </w:r>
      <w:r w:rsidR="00DB6A70" w:rsidRPr="00EE5050">
        <w:rPr>
          <w:rFonts w:eastAsia="PMingLiU"/>
          <w:lang w:val="en-GB" w:eastAsia="zh-TW"/>
        </w:rPr>
        <w:t xml:space="preserve"> legislative or parliamentary </w:t>
      </w:r>
      <w:r w:rsidR="00BE0D63" w:rsidRPr="00EE5050">
        <w:rPr>
          <w:rFonts w:eastAsia="PMingLiU"/>
          <w:lang w:val="en-GB" w:eastAsia="zh-TW"/>
        </w:rPr>
        <w:t>authority</w:t>
      </w:r>
      <w:r w:rsidR="00DB6A70" w:rsidRPr="00EE5050">
        <w:rPr>
          <w:rFonts w:eastAsia="PMingLiU"/>
          <w:lang w:val="en-GB" w:eastAsia="zh-TW"/>
        </w:rPr>
        <w:t xml:space="preserve"> (</w:t>
      </w:r>
      <w:r w:rsidR="005608E3" w:rsidRPr="00693E57">
        <w:rPr>
          <w:rFonts w:eastAsia="PMingLiU"/>
          <w:lang w:val="en-GB" w:eastAsia="zh-TW"/>
        </w:rPr>
        <w:t>for example,</w:t>
      </w:r>
      <w:r w:rsidR="00DB6A70" w:rsidRPr="00EE5050">
        <w:rPr>
          <w:rFonts w:eastAsia="PMingLiU"/>
          <w:lang w:val="en-GB" w:eastAsia="zh-TW"/>
        </w:rPr>
        <w:t xml:space="preserve"> </w:t>
      </w:r>
      <w:r w:rsidR="00710CB3">
        <w:rPr>
          <w:rFonts w:eastAsia="PMingLiU"/>
          <w:lang w:val="en-GB" w:eastAsia="zh-TW"/>
        </w:rPr>
        <w:t xml:space="preserve">the </w:t>
      </w:r>
      <w:r w:rsidR="00D37817" w:rsidRPr="00EE5050">
        <w:rPr>
          <w:rFonts w:eastAsia="PMingLiU"/>
          <w:lang w:val="en-GB" w:eastAsia="zh-TW"/>
        </w:rPr>
        <w:t>U</w:t>
      </w:r>
      <w:r w:rsidR="00710CB3">
        <w:rPr>
          <w:rFonts w:eastAsia="PMingLiU"/>
          <w:lang w:val="en-GB" w:eastAsia="zh-TW"/>
        </w:rPr>
        <w:t xml:space="preserve">nited </w:t>
      </w:r>
      <w:r w:rsidR="00D37817" w:rsidRPr="00EE5050">
        <w:rPr>
          <w:rFonts w:eastAsia="PMingLiU"/>
          <w:lang w:val="en-GB" w:eastAsia="zh-TW"/>
        </w:rPr>
        <w:t>S</w:t>
      </w:r>
      <w:r w:rsidR="00710CB3">
        <w:rPr>
          <w:rFonts w:eastAsia="PMingLiU"/>
          <w:lang w:val="en-GB" w:eastAsia="zh-TW"/>
        </w:rPr>
        <w:t>tates</w:t>
      </w:r>
      <w:r w:rsidR="007E04C8">
        <w:rPr>
          <w:rFonts w:eastAsia="PMingLiU"/>
          <w:lang w:val="en-GB" w:eastAsia="zh-TW"/>
        </w:rPr>
        <w:t xml:space="preserve"> (‘US’)</w:t>
      </w:r>
      <w:r w:rsidR="00DB6A70" w:rsidRPr="00EE5050">
        <w:rPr>
          <w:rFonts w:eastAsia="PMingLiU"/>
          <w:lang w:val="en-GB" w:eastAsia="zh-TW"/>
        </w:rPr>
        <w:t xml:space="preserve">). </w:t>
      </w:r>
      <w:r w:rsidR="000E7787" w:rsidRPr="00EE5050">
        <w:rPr>
          <w:rFonts w:eastAsia="PMingLiU"/>
          <w:lang w:val="en-GB" w:eastAsia="zh-TW"/>
        </w:rPr>
        <w:t>Yet no mat</w:t>
      </w:r>
      <w:r w:rsidR="00060E28" w:rsidRPr="00EE5050">
        <w:rPr>
          <w:rFonts w:eastAsia="PMingLiU"/>
          <w:lang w:val="en-GB" w:eastAsia="zh-TW"/>
        </w:rPr>
        <w:t>ter the governmental structure</w:t>
      </w:r>
      <w:r w:rsidR="00BC41A3" w:rsidRPr="00EE5050">
        <w:rPr>
          <w:rFonts w:eastAsia="PMingLiU"/>
          <w:lang w:val="en-GB" w:eastAsia="zh-TW"/>
        </w:rPr>
        <w:t>, it</w:t>
      </w:r>
      <w:r w:rsidR="00073DF0">
        <w:t xml:space="preserve"> is now </w:t>
      </w:r>
      <w:r w:rsidR="00073DF0" w:rsidRPr="00F735B3">
        <w:t xml:space="preserve">widely held </w:t>
      </w:r>
      <w:r w:rsidRPr="000B6C92">
        <w:t xml:space="preserve">that </w:t>
      </w:r>
      <w:r w:rsidR="00FF7075">
        <w:t xml:space="preserve">most </w:t>
      </w:r>
      <w:r w:rsidRPr="000B6C92">
        <w:t>legislatures have the capacity and authority to perform at least some constitutional review of bills and statutes</w:t>
      </w:r>
      <w:r w:rsidR="009E7ACA">
        <w:t>, however limited or extensive</w:t>
      </w:r>
      <w:r w:rsidRPr="000B6C92">
        <w:t>.</w:t>
      </w:r>
      <w:r w:rsidRPr="000B6C92">
        <w:rPr>
          <w:vertAlign w:val="superscript"/>
        </w:rPr>
        <w:footnoteReference w:id="2"/>
      </w:r>
      <w:r w:rsidRPr="000B6C92">
        <w:t xml:space="preserve"> As </w:t>
      </w:r>
      <w:proofErr w:type="spellStart"/>
      <w:r w:rsidRPr="000B6C92">
        <w:t>Verm</w:t>
      </w:r>
      <w:r w:rsidR="00F64D66">
        <w:t>eule</w:t>
      </w:r>
      <w:proofErr w:type="spellEnd"/>
      <w:r w:rsidR="00F64D66">
        <w:t xml:space="preserve"> states, </w:t>
      </w:r>
      <w:r w:rsidR="00AC357A">
        <w:t>‘</w:t>
      </w:r>
      <w:r w:rsidRPr="000B6C92">
        <w:t>[c]</w:t>
      </w:r>
      <w:proofErr w:type="spellStart"/>
      <w:r w:rsidRPr="000B6C92">
        <w:t>onstitutional</w:t>
      </w:r>
      <w:proofErr w:type="spellEnd"/>
      <w:r w:rsidRPr="000B6C92">
        <w:t xml:space="preserve"> interpretation in representative legislatures must lie near the core of any acco</w:t>
      </w:r>
      <w:r w:rsidR="00F64D66">
        <w:t>unt of democratic deliberation</w:t>
      </w:r>
      <w:r w:rsidR="00AC357A">
        <w:t>’</w:t>
      </w:r>
      <w:r w:rsidR="00F64D66">
        <w:t>.</w:t>
      </w:r>
      <w:r w:rsidRPr="000B6C92">
        <w:rPr>
          <w:vertAlign w:val="superscript"/>
        </w:rPr>
        <w:footnoteReference w:id="3"/>
      </w:r>
      <w:r w:rsidRPr="000B6C92">
        <w:t xml:space="preserve"> Many </w:t>
      </w:r>
      <w:r w:rsidR="004B46FC">
        <w:t>jurisdictions</w:t>
      </w:r>
      <w:r w:rsidRPr="000B6C92">
        <w:t xml:space="preserve"> have taken steps to address the legislature</w:t>
      </w:r>
      <w:r w:rsidR="00AC357A">
        <w:t>’</w:t>
      </w:r>
      <w:r w:rsidRPr="000B6C92">
        <w:t>s capacity to interpret the constitution</w:t>
      </w:r>
      <w:r w:rsidR="0050429D" w:rsidRPr="00FB16C4">
        <w:rPr>
          <w:color w:val="545454"/>
          <w:shd w:val="clear" w:color="auto" w:fill="FFFFFF"/>
        </w:rPr>
        <w:t>—</w:t>
      </w:r>
      <w:r w:rsidR="00327CD4">
        <w:t>that is,</w:t>
      </w:r>
      <w:r w:rsidR="00FF7075">
        <w:t xml:space="preserve"> by increasing</w:t>
      </w:r>
      <w:r w:rsidR="00073DF0">
        <w:t xml:space="preserve"> constitutional deliberation</w:t>
      </w:r>
      <w:r w:rsidR="0050429D" w:rsidRPr="00FB16C4">
        <w:rPr>
          <w:color w:val="545454"/>
          <w:shd w:val="clear" w:color="auto" w:fill="FFFFFF"/>
        </w:rPr>
        <w:t>—</w:t>
      </w:r>
      <w:r w:rsidRPr="000B6C92">
        <w:t xml:space="preserve">and </w:t>
      </w:r>
      <w:r w:rsidR="00073DF0">
        <w:t>also</w:t>
      </w:r>
      <w:r w:rsidRPr="000B6C92">
        <w:t xml:space="preserve"> </w:t>
      </w:r>
      <w:r w:rsidR="001825AD">
        <w:t xml:space="preserve">by </w:t>
      </w:r>
      <w:r w:rsidRPr="000B6C92">
        <w:t>assess</w:t>
      </w:r>
      <w:r w:rsidR="001825AD">
        <w:t xml:space="preserve">ing the fit </w:t>
      </w:r>
      <w:r w:rsidRPr="000B6C92">
        <w:t xml:space="preserve">of legislation with </w:t>
      </w:r>
      <w:r w:rsidR="00FF7075">
        <w:t xml:space="preserve">constitutions, </w:t>
      </w:r>
      <w:r w:rsidRPr="000B6C92">
        <w:t>statutes and international conventions.</w:t>
      </w:r>
    </w:p>
    <w:p w14:paraId="3E4DDE02" w14:textId="0C54307D" w:rsidR="00B9022C" w:rsidRPr="000B6C92" w:rsidRDefault="007E1515" w:rsidP="00686621">
      <w:pPr>
        <w:spacing w:line="480" w:lineRule="auto"/>
        <w:ind w:firstLineChars="295" w:firstLine="708"/>
        <w:jc w:val="both"/>
      </w:pPr>
      <w:r w:rsidRPr="00EE5050">
        <w:rPr>
          <w:rFonts w:eastAsia="PMingLiU"/>
          <w:lang w:val="en-GB" w:eastAsia="zh-TW"/>
        </w:rPr>
        <w:t xml:space="preserve">Underlying principles of </w:t>
      </w:r>
      <w:r w:rsidR="00280D26" w:rsidRPr="00EE5050">
        <w:rPr>
          <w:rFonts w:eastAsia="PMingLiU"/>
          <w:lang w:val="en-GB" w:eastAsia="zh-TW"/>
        </w:rPr>
        <w:t>constitutional</w:t>
      </w:r>
      <w:r w:rsidRPr="00EE5050">
        <w:rPr>
          <w:rFonts w:eastAsia="PMingLiU"/>
          <w:lang w:val="en-GB" w:eastAsia="zh-TW"/>
        </w:rPr>
        <w:t xml:space="preserve"> review are questions of governance, especially in regard to legal and political constitutionalism </w:t>
      </w:r>
      <w:r w:rsidR="00D252C4" w:rsidRPr="00EE5050">
        <w:rPr>
          <w:rFonts w:eastAsia="PMingLiU"/>
          <w:lang w:val="en-GB" w:eastAsia="zh-TW"/>
        </w:rPr>
        <w:t>and how countries go</w:t>
      </w:r>
      <w:r w:rsidRPr="00EE5050">
        <w:rPr>
          <w:rFonts w:eastAsia="PMingLiU"/>
          <w:lang w:val="en-GB" w:eastAsia="zh-TW"/>
        </w:rPr>
        <w:t xml:space="preserve"> about balancing such standards. </w:t>
      </w:r>
      <w:r w:rsidR="005E2E34" w:rsidRPr="00EE5050">
        <w:rPr>
          <w:rFonts w:eastAsia="PMingLiU"/>
          <w:lang w:val="en-GB" w:eastAsia="zh-TW"/>
        </w:rPr>
        <w:t>Essentially</w:t>
      </w:r>
      <w:r w:rsidR="002F16FD" w:rsidRPr="00EE5050">
        <w:rPr>
          <w:rFonts w:eastAsia="PMingLiU"/>
          <w:lang w:val="en-GB" w:eastAsia="zh-TW"/>
        </w:rPr>
        <w:t xml:space="preserve"> the question becomes one of </w:t>
      </w:r>
      <w:r w:rsidR="00AC357A">
        <w:rPr>
          <w:rFonts w:eastAsia="PMingLiU"/>
          <w:lang w:val="en-GB" w:eastAsia="zh-TW"/>
        </w:rPr>
        <w:t>‘</w:t>
      </w:r>
      <w:r w:rsidR="002F16FD" w:rsidRPr="00EE5050">
        <w:rPr>
          <w:rFonts w:eastAsia="PMingLiU"/>
          <w:lang w:val="en-GB" w:eastAsia="zh-TW"/>
        </w:rPr>
        <w:t>precisely how the govern</w:t>
      </w:r>
      <w:r w:rsidR="005E2E34" w:rsidRPr="00EE5050">
        <w:rPr>
          <w:rFonts w:eastAsia="PMingLiU"/>
          <w:lang w:val="en-GB" w:eastAsia="zh-TW"/>
        </w:rPr>
        <w:t>ment should be held to account</w:t>
      </w:r>
      <w:r w:rsidR="00AC357A">
        <w:rPr>
          <w:rFonts w:eastAsia="PMingLiU"/>
          <w:lang w:val="en-GB" w:eastAsia="zh-TW"/>
        </w:rPr>
        <w:t>’</w:t>
      </w:r>
      <w:r w:rsidR="005E2E34" w:rsidRPr="00EE5050">
        <w:rPr>
          <w:rFonts w:eastAsia="PMingLiU"/>
          <w:lang w:val="en-GB" w:eastAsia="zh-TW"/>
        </w:rPr>
        <w:t>,</w:t>
      </w:r>
      <w:r w:rsidR="002F16FD" w:rsidRPr="00EE5050">
        <w:rPr>
          <w:rStyle w:val="FootnoteReference"/>
          <w:rFonts w:eastAsia="PMingLiU"/>
          <w:lang w:val="en-GB" w:eastAsia="zh-TW"/>
        </w:rPr>
        <w:footnoteReference w:id="4"/>
      </w:r>
      <w:r w:rsidR="005E2E34" w:rsidRPr="00EE5050">
        <w:rPr>
          <w:rFonts w:eastAsia="PMingLiU"/>
          <w:lang w:val="en-GB" w:eastAsia="zh-TW"/>
        </w:rPr>
        <w:t xml:space="preserve"> and where supremacy lies: with the legislature or the judiciary.</w:t>
      </w:r>
      <w:r w:rsidR="005E2E34" w:rsidRPr="00EE5050">
        <w:rPr>
          <w:rStyle w:val="FootnoteReference"/>
          <w:rFonts w:eastAsia="PMingLiU"/>
          <w:lang w:val="en-GB" w:eastAsia="zh-TW"/>
        </w:rPr>
        <w:footnoteReference w:id="5"/>
      </w:r>
      <w:r w:rsidR="002F16FD" w:rsidRPr="00EE5050">
        <w:rPr>
          <w:rFonts w:eastAsia="PMingLiU"/>
          <w:lang w:val="en-GB" w:eastAsia="zh-TW"/>
        </w:rPr>
        <w:t xml:space="preserve"> </w:t>
      </w:r>
      <w:r w:rsidR="00A8045C" w:rsidRPr="00EE5050">
        <w:rPr>
          <w:rFonts w:eastAsia="PMingLiU"/>
          <w:lang w:val="en-GB" w:eastAsia="zh-TW"/>
        </w:rPr>
        <w:t xml:space="preserve">Some </w:t>
      </w:r>
      <w:r w:rsidR="004C67CE" w:rsidRPr="00EE5050">
        <w:rPr>
          <w:rFonts w:eastAsia="PMingLiU"/>
          <w:lang w:val="en-GB" w:eastAsia="zh-TW"/>
        </w:rPr>
        <w:t>jurisdictions</w:t>
      </w:r>
      <w:r w:rsidR="00072D06" w:rsidRPr="00EE5050">
        <w:rPr>
          <w:rFonts w:eastAsia="PMingLiU"/>
          <w:lang w:val="en-GB" w:eastAsia="zh-TW"/>
        </w:rPr>
        <w:t xml:space="preserve"> </w:t>
      </w:r>
      <w:r w:rsidR="00A8045C" w:rsidRPr="00EE5050">
        <w:rPr>
          <w:rFonts w:eastAsia="PMingLiU"/>
          <w:lang w:val="en-GB" w:eastAsia="zh-TW"/>
        </w:rPr>
        <w:t>put more faith in courts</w:t>
      </w:r>
      <w:r w:rsidR="00060E28" w:rsidRPr="00EE5050">
        <w:rPr>
          <w:rFonts w:eastAsia="PMingLiU"/>
          <w:lang w:val="en-GB" w:eastAsia="zh-TW"/>
        </w:rPr>
        <w:t xml:space="preserve"> and judicial review</w:t>
      </w:r>
      <w:r w:rsidR="00A8045C" w:rsidRPr="00EE5050">
        <w:rPr>
          <w:rFonts w:eastAsia="PMingLiU"/>
          <w:lang w:val="en-GB" w:eastAsia="zh-TW"/>
        </w:rPr>
        <w:t xml:space="preserve">, while others </w:t>
      </w:r>
      <w:r w:rsidR="00A8045C" w:rsidRPr="00EE5050">
        <w:rPr>
          <w:rFonts w:eastAsia="PMingLiU"/>
          <w:lang w:val="en-GB" w:eastAsia="zh-TW"/>
        </w:rPr>
        <w:lastRenderedPageBreak/>
        <w:t xml:space="preserve">put more faith in </w:t>
      </w:r>
      <w:r w:rsidR="00060E28" w:rsidRPr="00EE5050">
        <w:rPr>
          <w:rFonts w:eastAsia="PMingLiU"/>
          <w:lang w:val="en-GB" w:eastAsia="zh-TW"/>
        </w:rPr>
        <w:t xml:space="preserve">governmental institutions and </w:t>
      </w:r>
      <w:r w:rsidR="00A8045C" w:rsidRPr="00EE5050">
        <w:rPr>
          <w:rFonts w:eastAsia="PMingLiU"/>
          <w:lang w:val="en-GB" w:eastAsia="zh-TW"/>
        </w:rPr>
        <w:t>the political process</w:t>
      </w:r>
      <w:r w:rsidR="00F64D66" w:rsidRPr="00EE5050">
        <w:rPr>
          <w:rFonts w:eastAsia="PMingLiU"/>
          <w:lang w:val="en-GB" w:eastAsia="zh-TW"/>
        </w:rPr>
        <w:t>, although</w:t>
      </w:r>
      <w:r w:rsidR="00F018FA" w:rsidRPr="00F018FA">
        <w:rPr>
          <w:i/>
        </w:rPr>
        <w:t xml:space="preserve"> </w:t>
      </w:r>
      <w:r w:rsidR="00AC357A" w:rsidRPr="00A72F1D">
        <w:t>‘</w:t>
      </w:r>
      <w:r w:rsidR="00F018FA" w:rsidRPr="00A72F1D">
        <w:t>[q]</w:t>
      </w:r>
      <w:proofErr w:type="spellStart"/>
      <w:r w:rsidR="00F018FA" w:rsidRPr="00A72F1D">
        <w:t>uite</w:t>
      </w:r>
      <w:proofErr w:type="spellEnd"/>
      <w:r w:rsidR="00F018FA" w:rsidRPr="00A72F1D">
        <w:t xml:space="preserve"> sensibly, few countries put all of their eggs in one basket</w:t>
      </w:r>
      <w:r w:rsidR="00AC357A" w:rsidRPr="00A72F1D">
        <w:t>’</w:t>
      </w:r>
      <w:r w:rsidR="00A8045C" w:rsidRPr="00A603D0">
        <w:rPr>
          <w:rFonts w:eastAsia="PMingLiU"/>
          <w:lang w:val="en-GB" w:eastAsia="zh-TW"/>
        </w:rPr>
        <w:t>.</w:t>
      </w:r>
      <w:r w:rsidR="00F018FA" w:rsidRPr="00EE5050">
        <w:rPr>
          <w:rStyle w:val="FootnoteReference"/>
          <w:rFonts w:eastAsia="PMingLiU"/>
          <w:lang w:val="en-GB" w:eastAsia="zh-TW"/>
        </w:rPr>
        <w:footnoteReference w:id="6"/>
      </w:r>
      <w:r w:rsidR="00A8045C" w:rsidRPr="00EE5050">
        <w:rPr>
          <w:rFonts w:eastAsia="PMingLiU"/>
          <w:lang w:val="en-GB" w:eastAsia="zh-TW"/>
        </w:rPr>
        <w:t xml:space="preserve"> </w:t>
      </w:r>
    </w:p>
    <w:p w14:paraId="4C4ADB2D" w14:textId="542D8E0D" w:rsidR="00D84A95" w:rsidRPr="00EE5050" w:rsidRDefault="008D726D" w:rsidP="00A31E24">
      <w:pPr>
        <w:pStyle w:val="NoSpacing"/>
        <w:tabs>
          <w:tab w:val="left" w:pos="720"/>
          <w:tab w:val="left" w:pos="1440"/>
        </w:tabs>
        <w:spacing w:before="240" w:line="480" w:lineRule="auto"/>
        <w:ind w:firstLineChars="295" w:firstLine="708"/>
        <w:jc w:val="both"/>
        <w:rPr>
          <w:rFonts w:eastAsia="PMingLiU"/>
          <w:lang w:val="en-GB" w:eastAsia="zh-TW"/>
        </w:rPr>
      </w:pPr>
      <w:r w:rsidRPr="00EE5050">
        <w:rPr>
          <w:rFonts w:eastAsia="PMingLiU"/>
          <w:lang w:eastAsia="zh-TW"/>
        </w:rPr>
        <w:t>T</w:t>
      </w:r>
      <w:r w:rsidR="00DB6A70" w:rsidRPr="00EE5050">
        <w:rPr>
          <w:rFonts w:eastAsia="PMingLiU"/>
          <w:lang w:val="en-GB" w:eastAsia="zh-TW"/>
        </w:rPr>
        <w:t xml:space="preserve">his article focuses on Taiwan, </w:t>
      </w:r>
      <w:r w:rsidRPr="00EE5050">
        <w:rPr>
          <w:rFonts w:eastAsia="PMingLiU"/>
          <w:lang w:val="en-GB" w:eastAsia="zh-TW"/>
        </w:rPr>
        <w:t>who may indeed have all of their eggs in one basket.</w:t>
      </w:r>
      <w:r w:rsidR="001A6A5D" w:rsidRPr="00EE5050">
        <w:rPr>
          <w:rStyle w:val="FootnoteReference"/>
          <w:rFonts w:eastAsia="PMingLiU"/>
          <w:lang w:val="en-GB" w:eastAsia="zh-TW"/>
        </w:rPr>
        <w:footnoteReference w:id="7"/>
      </w:r>
      <w:r w:rsidR="00251C98" w:rsidRPr="00EE5050">
        <w:rPr>
          <w:rFonts w:eastAsia="PMingLiU"/>
          <w:lang w:val="en-GB" w:eastAsia="zh-TW"/>
        </w:rPr>
        <w:t xml:space="preserve"> </w:t>
      </w:r>
      <w:r w:rsidRPr="00EE5050">
        <w:rPr>
          <w:rFonts w:eastAsia="PMingLiU"/>
          <w:lang w:val="en-GB" w:eastAsia="zh-TW"/>
        </w:rPr>
        <w:t>Taiwan</w:t>
      </w:r>
      <w:r w:rsidR="00AC357A">
        <w:rPr>
          <w:rFonts w:eastAsia="PMingLiU"/>
          <w:lang w:val="en-GB" w:eastAsia="zh-TW"/>
        </w:rPr>
        <w:t>’</w:t>
      </w:r>
      <w:r w:rsidRPr="00EE5050">
        <w:rPr>
          <w:rFonts w:eastAsia="PMingLiU"/>
          <w:lang w:val="en-GB" w:eastAsia="zh-TW"/>
        </w:rPr>
        <w:t>s Constitutional Court</w:t>
      </w:r>
      <w:r w:rsidR="00DB6A70" w:rsidRPr="00EE5050">
        <w:rPr>
          <w:rFonts w:eastAsia="PMingLiU"/>
          <w:lang w:val="en-GB" w:eastAsia="zh-TW"/>
        </w:rPr>
        <w:t xml:space="preserve"> </w:t>
      </w:r>
      <w:r w:rsidR="001A6A5D" w:rsidRPr="00EE5050">
        <w:rPr>
          <w:rFonts w:eastAsia="PMingLiU"/>
          <w:lang w:val="en-GB" w:eastAsia="zh-TW"/>
        </w:rPr>
        <w:t xml:space="preserve">(or </w:t>
      </w:r>
      <w:r w:rsidR="00AC357A">
        <w:rPr>
          <w:rFonts w:eastAsia="PMingLiU"/>
          <w:lang w:val="en-GB" w:eastAsia="zh-TW"/>
        </w:rPr>
        <w:t>‘</w:t>
      </w:r>
      <w:r w:rsidR="001A6A5D" w:rsidRPr="00EE5050">
        <w:rPr>
          <w:rFonts w:eastAsia="PMingLiU"/>
          <w:lang w:val="en-GB" w:eastAsia="zh-TW"/>
        </w:rPr>
        <w:t>Council of Grand Justices</w:t>
      </w:r>
      <w:r w:rsidR="00AC357A">
        <w:rPr>
          <w:rFonts w:eastAsia="PMingLiU"/>
          <w:lang w:val="en-GB" w:eastAsia="zh-TW"/>
        </w:rPr>
        <w:t>’</w:t>
      </w:r>
      <w:r w:rsidR="001A6A5D" w:rsidRPr="00EE5050">
        <w:rPr>
          <w:rFonts w:eastAsia="PMingLiU"/>
          <w:lang w:val="en-GB" w:eastAsia="zh-TW"/>
        </w:rPr>
        <w:t xml:space="preserve">) </w:t>
      </w:r>
      <w:r w:rsidR="00DB6A70" w:rsidRPr="00EE5050">
        <w:rPr>
          <w:rFonts w:eastAsia="PMingLiU"/>
          <w:lang w:val="en-GB" w:eastAsia="zh-TW"/>
        </w:rPr>
        <w:t>incorporates strong</w:t>
      </w:r>
      <w:r w:rsidR="002E4CDE" w:rsidRPr="00EE5050">
        <w:rPr>
          <w:rFonts w:eastAsia="PMingLiU"/>
          <w:lang w:val="en-GB" w:eastAsia="zh-TW"/>
        </w:rPr>
        <w:t xml:space="preserve"> </w:t>
      </w:r>
      <w:r w:rsidR="00DB6A70" w:rsidRPr="00EE5050">
        <w:rPr>
          <w:rFonts w:eastAsia="PMingLiU"/>
          <w:lang w:val="en-GB" w:eastAsia="zh-TW"/>
        </w:rPr>
        <w:t>judicial review a</w:t>
      </w:r>
      <w:r w:rsidRPr="00EE5050">
        <w:rPr>
          <w:rFonts w:eastAsia="PMingLiU"/>
          <w:lang w:val="en-GB" w:eastAsia="zh-TW"/>
        </w:rPr>
        <w:t xml:space="preserve">nd </w:t>
      </w:r>
      <w:r w:rsidR="00D06CA1" w:rsidRPr="00EE5050">
        <w:rPr>
          <w:rFonts w:eastAsia="PMingLiU"/>
          <w:lang w:val="en-GB" w:eastAsia="zh-TW"/>
        </w:rPr>
        <w:t xml:space="preserve">the legislature has limited </w:t>
      </w:r>
      <w:r w:rsidR="00280D26" w:rsidRPr="00EE5050">
        <w:rPr>
          <w:rFonts w:eastAsia="PMingLiU"/>
          <w:lang w:val="en-GB" w:eastAsia="zh-TW"/>
        </w:rPr>
        <w:t xml:space="preserve">formal </w:t>
      </w:r>
      <w:r w:rsidR="00D06CA1" w:rsidRPr="00EE5050">
        <w:rPr>
          <w:rFonts w:eastAsia="PMingLiU"/>
          <w:lang w:val="en-GB" w:eastAsia="zh-TW"/>
        </w:rPr>
        <w:t xml:space="preserve">mechanisms by which to assess </w:t>
      </w:r>
      <w:r w:rsidR="00DB6A70" w:rsidRPr="00EE5050">
        <w:rPr>
          <w:rFonts w:eastAsia="PMingLiU"/>
          <w:lang w:val="en-GB" w:eastAsia="zh-TW"/>
        </w:rPr>
        <w:t>the constitut</w:t>
      </w:r>
      <w:r w:rsidRPr="00EE5050">
        <w:rPr>
          <w:rFonts w:eastAsia="PMingLiU"/>
          <w:lang w:val="en-GB" w:eastAsia="zh-TW"/>
        </w:rPr>
        <w:t xml:space="preserve">ionality of the </w:t>
      </w:r>
      <w:r w:rsidR="00D252C4" w:rsidRPr="00EE5050">
        <w:rPr>
          <w:rFonts w:eastAsia="PMingLiU"/>
          <w:lang w:val="en-GB" w:eastAsia="zh-TW"/>
        </w:rPr>
        <w:t>bills and laws it scrutin</w:t>
      </w:r>
      <w:r w:rsidR="00A4528C">
        <w:rPr>
          <w:rFonts w:eastAsia="PMingLiU"/>
          <w:lang w:val="en-GB" w:eastAsia="zh-TW"/>
        </w:rPr>
        <w:t>is</w:t>
      </w:r>
      <w:r w:rsidR="00D252C4" w:rsidRPr="00EE5050">
        <w:rPr>
          <w:rFonts w:eastAsia="PMingLiU"/>
          <w:lang w:val="en-GB" w:eastAsia="zh-TW"/>
        </w:rPr>
        <w:t>es</w:t>
      </w:r>
      <w:r w:rsidRPr="00EE5050">
        <w:rPr>
          <w:rFonts w:eastAsia="PMingLiU"/>
          <w:lang w:val="en-GB" w:eastAsia="zh-TW"/>
        </w:rPr>
        <w:t xml:space="preserve">. </w:t>
      </w:r>
      <w:r w:rsidR="00BE0D63" w:rsidRPr="00EE5050">
        <w:rPr>
          <w:rFonts w:eastAsia="PMingLiU"/>
          <w:lang w:val="en-GB" w:eastAsia="zh-TW"/>
        </w:rPr>
        <w:t xml:space="preserve">Although </w:t>
      </w:r>
      <w:r w:rsidR="00D37817" w:rsidRPr="00EE5050">
        <w:rPr>
          <w:rFonts w:eastAsia="PMingLiU"/>
          <w:lang w:val="en-GB" w:eastAsia="zh-TW"/>
        </w:rPr>
        <w:t xml:space="preserve">Taiwan officially </w:t>
      </w:r>
      <w:r w:rsidR="001A6A5D" w:rsidRPr="00EE5050">
        <w:rPr>
          <w:rFonts w:eastAsia="PMingLiU"/>
          <w:lang w:val="en-GB" w:eastAsia="zh-TW"/>
        </w:rPr>
        <w:t>operates on</w:t>
      </w:r>
      <w:r w:rsidR="00D37817" w:rsidRPr="00EE5050">
        <w:rPr>
          <w:rFonts w:eastAsia="PMingLiU"/>
          <w:lang w:val="en-GB" w:eastAsia="zh-TW"/>
        </w:rPr>
        <w:t xml:space="preserve"> a Presidential system, in reality </w:t>
      </w:r>
      <w:r w:rsidR="00BE0D63" w:rsidRPr="00EE5050">
        <w:rPr>
          <w:rFonts w:eastAsia="PMingLiU"/>
          <w:lang w:val="en-GB" w:eastAsia="zh-TW"/>
        </w:rPr>
        <w:t>it</w:t>
      </w:r>
      <w:r w:rsidR="00191171" w:rsidRPr="00EE5050">
        <w:rPr>
          <w:rFonts w:eastAsia="PMingLiU"/>
          <w:lang w:val="en-GB" w:eastAsia="zh-TW"/>
        </w:rPr>
        <w:t xml:space="preserve"> </w:t>
      </w:r>
      <w:r w:rsidR="00D37817" w:rsidRPr="00EE5050">
        <w:rPr>
          <w:rFonts w:eastAsia="PMingLiU"/>
          <w:lang w:val="en-GB" w:eastAsia="zh-TW"/>
        </w:rPr>
        <w:t>is more of a hybrid between parliamentary and presidential</w:t>
      </w:r>
      <w:r w:rsidR="00274400" w:rsidRPr="00EE5050">
        <w:rPr>
          <w:rFonts w:eastAsia="PMingLiU"/>
          <w:lang w:val="en-GB" w:eastAsia="zh-TW"/>
        </w:rPr>
        <w:t xml:space="preserve"> (</w:t>
      </w:r>
      <w:r w:rsidR="00F3702A">
        <w:rPr>
          <w:rFonts w:eastAsia="PMingLiU"/>
          <w:lang w:val="en-GB" w:eastAsia="zh-TW"/>
        </w:rPr>
        <w:t>that is,</w:t>
      </w:r>
      <w:r w:rsidR="00983ACD" w:rsidRPr="00EE5050">
        <w:rPr>
          <w:rFonts w:eastAsia="PMingLiU"/>
          <w:lang w:val="en-GB" w:eastAsia="zh-TW"/>
        </w:rPr>
        <w:t xml:space="preserve"> </w:t>
      </w:r>
      <w:r w:rsidR="00AC357A">
        <w:rPr>
          <w:rFonts w:eastAsia="PMingLiU"/>
          <w:lang w:val="en-GB" w:eastAsia="zh-TW"/>
        </w:rPr>
        <w:t>‘</w:t>
      </w:r>
      <w:r w:rsidR="00274400" w:rsidRPr="00EE5050">
        <w:rPr>
          <w:rFonts w:eastAsia="PMingLiU"/>
          <w:lang w:val="en-GB" w:eastAsia="zh-TW"/>
        </w:rPr>
        <w:t>semi-presidential</w:t>
      </w:r>
      <w:r w:rsidR="00AC357A">
        <w:rPr>
          <w:rFonts w:eastAsia="PMingLiU"/>
          <w:lang w:val="en-GB" w:eastAsia="zh-TW"/>
        </w:rPr>
        <w:t>’</w:t>
      </w:r>
      <w:r w:rsidR="00274400" w:rsidRPr="00EE5050">
        <w:rPr>
          <w:rFonts w:eastAsia="PMingLiU"/>
          <w:lang w:val="en-GB" w:eastAsia="zh-TW"/>
        </w:rPr>
        <w:t>)</w:t>
      </w:r>
      <w:r w:rsidR="00D37817" w:rsidRPr="00EE5050">
        <w:rPr>
          <w:rFonts w:eastAsia="PMingLiU"/>
          <w:lang w:val="en-GB" w:eastAsia="zh-TW"/>
        </w:rPr>
        <w:t>.</w:t>
      </w:r>
      <w:r w:rsidR="00D37817" w:rsidRPr="00EE5050">
        <w:rPr>
          <w:rStyle w:val="FootnoteReference"/>
          <w:rFonts w:eastAsia="PMingLiU"/>
          <w:lang w:val="en-GB" w:eastAsia="zh-TW"/>
        </w:rPr>
        <w:footnoteReference w:id="8"/>
      </w:r>
      <w:r w:rsidR="00D37817" w:rsidRPr="00EE5050">
        <w:rPr>
          <w:rFonts w:eastAsia="PMingLiU"/>
          <w:lang w:val="en-GB" w:eastAsia="zh-TW"/>
        </w:rPr>
        <w:t xml:space="preserve"> </w:t>
      </w:r>
      <w:r w:rsidR="0052630E" w:rsidRPr="00EE5050">
        <w:rPr>
          <w:rFonts w:eastAsia="PMingLiU"/>
          <w:lang w:val="en-GB" w:eastAsia="zh-TW"/>
        </w:rPr>
        <w:t xml:space="preserve">Lately there have been calls to officially change the system to </w:t>
      </w:r>
      <w:r w:rsidR="00D06CA1" w:rsidRPr="00EE5050">
        <w:rPr>
          <w:rFonts w:eastAsia="PMingLiU"/>
          <w:lang w:val="en-GB" w:eastAsia="zh-TW"/>
        </w:rPr>
        <w:t xml:space="preserve">a </w:t>
      </w:r>
      <w:r w:rsidR="0052630E" w:rsidRPr="00EE5050">
        <w:rPr>
          <w:rFonts w:eastAsia="PMingLiU"/>
          <w:lang w:val="en-GB" w:eastAsia="zh-TW"/>
        </w:rPr>
        <w:t>Parliamentary</w:t>
      </w:r>
      <w:r w:rsidR="00D06CA1" w:rsidRPr="00EE5050">
        <w:rPr>
          <w:rFonts w:eastAsia="PMingLiU"/>
          <w:lang w:val="en-GB" w:eastAsia="zh-TW"/>
        </w:rPr>
        <w:t xml:space="preserve"> model</w:t>
      </w:r>
      <w:r w:rsidR="00BE0D63" w:rsidRPr="00EE5050">
        <w:rPr>
          <w:rFonts w:eastAsia="PMingLiU"/>
          <w:lang w:val="en-GB" w:eastAsia="zh-TW"/>
        </w:rPr>
        <w:t xml:space="preserve">, but little movement </w:t>
      </w:r>
      <w:r w:rsidR="00191171" w:rsidRPr="00EE5050">
        <w:rPr>
          <w:rFonts w:eastAsia="PMingLiU"/>
          <w:lang w:val="en-GB" w:eastAsia="zh-TW"/>
        </w:rPr>
        <w:t>on this has occurred</w:t>
      </w:r>
      <w:r w:rsidR="0052630E" w:rsidRPr="00EE5050">
        <w:rPr>
          <w:rFonts w:eastAsia="PMingLiU"/>
          <w:lang w:val="en-GB" w:eastAsia="zh-TW"/>
        </w:rPr>
        <w:t>.</w:t>
      </w:r>
      <w:r w:rsidR="0052630E" w:rsidRPr="00EE5050">
        <w:rPr>
          <w:rStyle w:val="FootnoteReference"/>
          <w:rFonts w:eastAsia="PMingLiU"/>
          <w:lang w:val="en-GB" w:eastAsia="zh-TW"/>
        </w:rPr>
        <w:footnoteReference w:id="9"/>
      </w:r>
      <w:r w:rsidR="0052630E" w:rsidRPr="00EE5050">
        <w:rPr>
          <w:rFonts w:eastAsia="PMingLiU"/>
          <w:lang w:val="en-GB" w:eastAsia="zh-TW"/>
        </w:rPr>
        <w:t xml:space="preserve"> </w:t>
      </w:r>
      <w:r w:rsidRPr="00EE5050">
        <w:rPr>
          <w:rFonts w:eastAsia="PMingLiU"/>
          <w:lang w:val="en-GB" w:eastAsia="zh-TW"/>
        </w:rPr>
        <w:t xml:space="preserve">Nevertheless, </w:t>
      </w:r>
      <w:r w:rsidR="00FD0AC8" w:rsidRPr="00EE5050">
        <w:rPr>
          <w:rFonts w:eastAsia="PMingLiU"/>
          <w:lang w:val="en-GB" w:eastAsia="zh-TW"/>
        </w:rPr>
        <w:t>Taiwan</w:t>
      </w:r>
      <w:r w:rsidR="00AC357A">
        <w:rPr>
          <w:rFonts w:eastAsia="PMingLiU"/>
          <w:lang w:val="en-GB" w:eastAsia="zh-TW"/>
        </w:rPr>
        <w:t>’</w:t>
      </w:r>
      <w:r w:rsidR="00FD0AC8" w:rsidRPr="00EE5050">
        <w:rPr>
          <w:rFonts w:eastAsia="PMingLiU"/>
          <w:lang w:val="en-GB" w:eastAsia="zh-TW"/>
        </w:rPr>
        <w:t>s</w:t>
      </w:r>
      <w:r w:rsidR="009E7ACA" w:rsidRPr="00EE5050">
        <w:rPr>
          <w:rFonts w:eastAsia="PMingLiU"/>
          <w:lang w:val="en-GB" w:eastAsia="zh-TW"/>
        </w:rPr>
        <w:t xml:space="preserve"> </w:t>
      </w:r>
      <w:r w:rsidR="002040B2" w:rsidRPr="00EE5050">
        <w:rPr>
          <w:rFonts w:eastAsia="PMingLiU"/>
          <w:lang w:val="en-GB" w:eastAsia="zh-TW"/>
        </w:rPr>
        <w:t xml:space="preserve">Constitutional Court </w:t>
      </w:r>
      <w:r w:rsidR="00FD0AC8" w:rsidRPr="00EE5050">
        <w:rPr>
          <w:rFonts w:eastAsia="PMingLiU"/>
          <w:lang w:val="en-GB" w:eastAsia="zh-TW"/>
        </w:rPr>
        <w:t>take</w:t>
      </w:r>
      <w:r w:rsidR="009E7ACA" w:rsidRPr="00EE5050">
        <w:rPr>
          <w:rFonts w:eastAsia="PMingLiU"/>
          <w:lang w:val="en-GB" w:eastAsia="zh-TW"/>
        </w:rPr>
        <w:t>s</w:t>
      </w:r>
      <w:r w:rsidR="00FD0AC8" w:rsidRPr="00EE5050">
        <w:rPr>
          <w:rFonts w:eastAsia="PMingLiU"/>
          <w:lang w:val="en-GB" w:eastAsia="zh-TW"/>
        </w:rPr>
        <w:t xml:space="preserve"> a </w:t>
      </w:r>
      <w:r w:rsidR="009E7ACA" w:rsidRPr="00EE5050">
        <w:rPr>
          <w:rFonts w:eastAsia="PMingLiU"/>
          <w:lang w:val="en-GB" w:eastAsia="zh-TW"/>
        </w:rPr>
        <w:t>firm position as</w:t>
      </w:r>
      <w:r w:rsidR="00FD0AC8" w:rsidRPr="00EE5050">
        <w:rPr>
          <w:rFonts w:eastAsia="PMingLiU"/>
          <w:lang w:val="en-GB" w:eastAsia="zh-TW"/>
        </w:rPr>
        <w:t xml:space="preserve"> the </w:t>
      </w:r>
      <w:r w:rsidR="00BE0D63" w:rsidRPr="00EE5050">
        <w:rPr>
          <w:rFonts w:eastAsia="PMingLiU"/>
          <w:lang w:val="en-GB" w:eastAsia="zh-TW"/>
        </w:rPr>
        <w:t>state</w:t>
      </w:r>
      <w:r w:rsidR="00AC357A">
        <w:rPr>
          <w:rFonts w:eastAsia="PMingLiU"/>
          <w:lang w:val="en-GB" w:eastAsia="zh-TW"/>
        </w:rPr>
        <w:t>’</w:t>
      </w:r>
      <w:r w:rsidR="00BE0D63" w:rsidRPr="00EE5050">
        <w:rPr>
          <w:rFonts w:eastAsia="PMingLiU"/>
          <w:lang w:val="en-GB" w:eastAsia="zh-TW"/>
        </w:rPr>
        <w:t>s</w:t>
      </w:r>
      <w:r w:rsidR="00FD0AC8" w:rsidRPr="00EE5050">
        <w:rPr>
          <w:rFonts w:eastAsia="PMingLiU"/>
          <w:lang w:val="en-GB" w:eastAsia="zh-TW"/>
        </w:rPr>
        <w:t xml:space="preserve"> </w:t>
      </w:r>
      <w:r w:rsidR="002F16FD" w:rsidRPr="00EE5050">
        <w:rPr>
          <w:rFonts w:eastAsia="PMingLiU"/>
          <w:lang w:val="en-GB" w:eastAsia="zh-TW"/>
        </w:rPr>
        <w:t>sole</w:t>
      </w:r>
      <w:r w:rsidR="009E7ACA" w:rsidRPr="00EE5050">
        <w:rPr>
          <w:rFonts w:eastAsia="PMingLiU"/>
          <w:lang w:val="en-GB" w:eastAsia="zh-TW"/>
        </w:rPr>
        <w:t xml:space="preserve"> </w:t>
      </w:r>
      <w:r w:rsidR="00BE0D63" w:rsidRPr="00EE5050">
        <w:rPr>
          <w:rFonts w:eastAsia="PMingLiU"/>
          <w:lang w:val="en-GB" w:eastAsia="zh-TW"/>
        </w:rPr>
        <w:t>provider</w:t>
      </w:r>
      <w:r w:rsidR="009E7ACA" w:rsidRPr="00EE5050">
        <w:rPr>
          <w:rFonts w:eastAsia="PMingLiU"/>
          <w:lang w:val="en-GB" w:eastAsia="zh-TW"/>
        </w:rPr>
        <w:t xml:space="preserve"> of </w:t>
      </w:r>
      <w:r w:rsidR="00A179A9" w:rsidRPr="00EE5050">
        <w:rPr>
          <w:rFonts w:eastAsia="PMingLiU"/>
          <w:lang w:val="en-GB" w:eastAsia="zh-TW"/>
        </w:rPr>
        <w:t xml:space="preserve">highly </w:t>
      </w:r>
      <w:r w:rsidR="00282F8F" w:rsidRPr="00EE5050">
        <w:rPr>
          <w:rFonts w:eastAsia="PMingLiU"/>
          <w:lang w:val="en-GB" w:eastAsia="zh-TW"/>
        </w:rPr>
        <w:t>centralised</w:t>
      </w:r>
      <w:r w:rsidR="00A179A9" w:rsidRPr="00EE5050">
        <w:rPr>
          <w:rFonts w:eastAsia="PMingLiU"/>
          <w:lang w:val="en-GB" w:eastAsia="zh-TW"/>
        </w:rPr>
        <w:t xml:space="preserve"> </w:t>
      </w:r>
      <w:r w:rsidR="00FD0AC8" w:rsidRPr="00EE5050">
        <w:rPr>
          <w:rFonts w:eastAsia="PMingLiU"/>
          <w:lang w:val="en-GB" w:eastAsia="zh-TW"/>
        </w:rPr>
        <w:t>constitutional</w:t>
      </w:r>
      <w:r w:rsidR="00A179A9" w:rsidRPr="00EE5050">
        <w:rPr>
          <w:rFonts w:eastAsia="PMingLiU"/>
          <w:lang w:val="en-GB" w:eastAsia="zh-TW"/>
        </w:rPr>
        <w:t xml:space="preserve"> review,</w:t>
      </w:r>
      <w:r w:rsidR="00BE0D63" w:rsidRPr="00EE5050">
        <w:rPr>
          <w:rStyle w:val="FootnoteReference"/>
          <w:rFonts w:eastAsia="PMingLiU"/>
          <w:lang w:val="en-GB" w:eastAsia="zh-TW"/>
        </w:rPr>
        <w:footnoteReference w:id="10"/>
      </w:r>
      <w:r w:rsidR="00073823" w:rsidRPr="00EE5050">
        <w:rPr>
          <w:rFonts w:eastAsia="PMingLiU"/>
          <w:lang w:val="en-GB" w:eastAsia="zh-TW"/>
        </w:rPr>
        <w:t xml:space="preserve"> and statistics back this up.</w:t>
      </w:r>
      <w:r w:rsidR="002040B2" w:rsidRPr="00EE5050">
        <w:rPr>
          <w:rFonts w:eastAsia="PMingLiU"/>
          <w:lang w:val="en-GB" w:eastAsia="zh-TW"/>
        </w:rPr>
        <w:t xml:space="preserve"> </w:t>
      </w:r>
      <w:r w:rsidR="007F0AA2" w:rsidRPr="00EE5050">
        <w:rPr>
          <w:rFonts w:eastAsia="PMingLiU"/>
          <w:lang w:val="en-GB" w:eastAsia="zh-TW"/>
        </w:rPr>
        <w:t>From 1994</w:t>
      </w:r>
      <w:r w:rsidR="006729AD">
        <w:rPr>
          <w:rFonts w:eastAsia="PMingLiU"/>
          <w:lang w:val="en-GB" w:eastAsia="zh-TW"/>
        </w:rPr>
        <w:t>–</w:t>
      </w:r>
      <w:r w:rsidR="007F0AA2" w:rsidRPr="00EE5050">
        <w:rPr>
          <w:rFonts w:eastAsia="PMingLiU"/>
          <w:lang w:val="en-GB" w:eastAsia="zh-TW"/>
        </w:rPr>
        <w:t>2013</w:t>
      </w:r>
      <w:r w:rsidR="00060E28" w:rsidRPr="00EE5050">
        <w:rPr>
          <w:rFonts w:eastAsia="PMingLiU"/>
          <w:lang w:val="en-GB" w:eastAsia="zh-TW"/>
        </w:rPr>
        <w:t xml:space="preserve"> </w:t>
      </w:r>
      <w:r w:rsidR="00B20D25" w:rsidRPr="00EE5050">
        <w:rPr>
          <w:rFonts w:eastAsia="PMingLiU"/>
          <w:lang w:val="en-GB" w:eastAsia="zh-TW"/>
        </w:rPr>
        <w:t>the</w:t>
      </w:r>
      <w:r w:rsidR="00D84A95" w:rsidRPr="00EE5050">
        <w:rPr>
          <w:rFonts w:eastAsia="PMingLiU"/>
          <w:lang w:val="en-GB" w:eastAsia="zh-TW"/>
        </w:rPr>
        <w:t xml:space="preserve"> Court declared </w:t>
      </w:r>
      <w:r w:rsidR="00BE72E0" w:rsidRPr="00EE5050">
        <w:rPr>
          <w:rFonts w:eastAsia="PMingLiU"/>
          <w:lang w:val="en-GB" w:eastAsia="zh-TW"/>
        </w:rPr>
        <w:t>95</w:t>
      </w:r>
      <w:r w:rsidR="00D84A95" w:rsidRPr="00EE5050">
        <w:rPr>
          <w:rFonts w:eastAsia="PMingLiU"/>
          <w:lang w:val="en-GB" w:eastAsia="zh-TW"/>
        </w:rPr>
        <w:t xml:space="preserve"> acts, or </w:t>
      </w:r>
      <w:r w:rsidR="004F56C0" w:rsidRPr="00EE5050">
        <w:rPr>
          <w:rFonts w:eastAsia="PMingLiU"/>
          <w:lang w:val="en-GB" w:eastAsia="zh-TW"/>
        </w:rPr>
        <w:t xml:space="preserve">more specifically </w:t>
      </w:r>
      <w:r w:rsidR="00D84A95" w:rsidRPr="00EE5050">
        <w:rPr>
          <w:rFonts w:eastAsia="PMingLiU"/>
          <w:lang w:val="en-GB" w:eastAsia="zh-TW"/>
        </w:rPr>
        <w:t>provisions of particular acts, unconstitutional</w:t>
      </w:r>
      <w:r w:rsidR="00032CA1" w:rsidRPr="00EE5050">
        <w:rPr>
          <w:rFonts w:eastAsia="PMingLiU"/>
          <w:lang w:val="en-GB" w:eastAsia="zh-TW"/>
        </w:rPr>
        <w:t>,</w:t>
      </w:r>
      <w:r w:rsidR="00D84A95" w:rsidRPr="00EE5050">
        <w:rPr>
          <w:rStyle w:val="FootnoteReference"/>
          <w:rFonts w:eastAsia="PMingLiU"/>
          <w:lang w:val="en-GB" w:eastAsia="zh-TW"/>
        </w:rPr>
        <w:footnoteReference w:id="11"/>
      </w:r>
      <w:r w:rsidR="00D84A95" w:rsidRPr="00EE5050">
        <w:rPr>
          <w:rFonts w:eastAsia="PMingLiU"/>
          <w:lang w:val="en-GB" w:eastAsia="zh-TW"/>
        </w:rPr>
        <w:t xml:space="preserve"> </w:t>
      </w:r>
      <w:r w:rsidR="008A5F38" w:rsidRPr="00EE5050">
        <w:rPr>
          <w:rFonts w:eastAsia="PMingLiU"/>
          <w:lang w:val="en-GB" w:eastAsia="zh-TW"/>
        </w:rPr>
        <w:t>amounting</w:t>
      </w:r>
      <w:r w:rsidR="007073E6" w:rsidRPr="00EE5050">
        <w:rPr>
          <w:rFonts w:eastAsia="PMingLiU"/>
          <w:lang w:val="en-GB" w:eastAsia="zh-TW"/>
        </w:rPr>
        <w:t xml:space="preserve"> to 39</w:t>
      </w:r>
      <w:r w:rsidR="00F66B65">
        <w:rPr>
          <w:rFonts w:eastAsia="PMingLiU"/>
          <w:lang w:val="en-GB" w:eastAsia="zh-TW"/>
        </w:rPr>
        <w:t xml:space="preserve"> percent</w:t>
      </w:r>
      <w:r w:rsidR="00F66B65" w:rsidRPr="00EE5050">
        <w:rPr>
          <w:rFonts w:eastAsia="PMingLiU"/>
          <w:lang w:val="en-GB" w:eastAsia="zh-TW"/>
        </w:rPr>
        <w:t xml:space="preserve"> </w:t>
      </w:r>
      <w:r w:rsidR="007073E6" w:rsidRPr="00EE5050">
        <w:rPr>
          <w:rFonts w:eastAsia="PMingLiU"/>
          <w:lang w:val="en-GB" w:eastAsia="zh-TW"/>
        </w:rPr>
        <w:t xml:space="preserve">of the constitutional challenges to laws and </w:t>
      </w:r>
      <w:r w:rsidR="007073E6" w:rsidRPr="00EE5050">
        <w:rPr>
          <w:rFonts w:eastAsia="PMingLiU"/>
          <w:lang w:val="en-GB" w:eastAsia="zh-TW"/>
        </w:rPr>
        <w:lastRenderedPageBreak/>
        <w:t>acts they have decided.</w:t>
      </w:r>
      <w:r w:rsidR="007073E6" w:rsidRPr="00EE5050">
        <w:rPr>
          <w:rStyle w:val="FootnoteReference"/>
          <w:rFonts w:eastAsia="PMingLiU"/>
          <w:lang w:val="en-GB" w:eastAsia="zh-TW"/>
        </w:rPr>
        <w:footnoteReference w:id="12"/>
      </w:r>
      <w:r w:rsidR="007073E6" w:rsidRPr="00EE5050">
        <w:rPr>
          <w:rFonts w:eastAsia="PMingLiU"/>
          <w:lang w:val="en-GB" w:eastAsia="zh-TW"/>
        </w:rPr>
        <w:t xml:space="preserve"> </w:t>
      </w:r>
      <w:r w:rsidR="00D84A95" w:rsidRPr="00EE5050">
        <w:rPr>
          <w:rFonts w:eastAsia="PMingLiU"/>
          <w:lang w:val="en-GB" w:eastAsia="zh-TW"/>
        </w:rPr>
        <w:t xml:space="preserve">To </w:t>
      </w:r>
      <w:r w:rsidR="00BE72E0" w:rsidRPr="00EE5050">
        <w:rPr>
          <w:rFonts w:eastAsia="PMingLiU"/>
          <w:lang w:val="en-GB" w:eastAsia="zh-TW"/>
        </w:rPr>
        <w:t>put this in perspective, in a span of two centuries (1803</w:t>
      </w:r>
      <w:r w:rsidR="00BE7D35">
        <w:rPr>
          <w:rFonts w:eastAsia="PMingLiU"/>
          <w:lang w:val="en-GB" w:eastAsia="zh-TW"/>
        </w:rPr>
        <w:t>–</w:t>
      </w:r>
      <w:r w:rsidR="00BE72E0" w:rsidRPr="00EE5050">
        <w:rPr>
          <w:rFonts w:eastAsia="PMingLiU"/>
          <w:lang w:val="en-GB" w:eastAsia="zh-TW"/>
        </w:rPr>
        <w:t>2002), the US Supre</w:t>
      </w:r>
      <w:r w:rsidR="00796339" w:rsidRPr="00EE5050">
        <w:rPr>
          <w:rFonts w:eastAsia="PMingLiU"/>
          <w:lang w:val="en-GB" w:eastAsia="zh-TW"/>
        </w:rPr>
        <w:t>me Court only declared 158</w:t>
      </w:r>
      <w:r w:rsidR="00D93B1E" w:rsidRPr="00EE5050">
        <w:rPr>
          <w:rFonts w:eastAsia="PMingLiU"/>
          <w:lang w:val="en-GB" w:eastAsia="zh-TW"/>
        </w:rPr>
        <w:t xml:space="preserve"> Congress</w:t>
      </w:r>
      <w:r w:rsidR="00796339" w:rsidRPr="00EE5050">
        <w:rPr>
          <w:rFonts w:eastAsia="PMingLiU"/>
          <w:lang w:val="en-GB" w:eastAsia="zh-TW"/>
        </w:rPr>
        <w:t>ional acts</w:t>
      </w:r>
      <w:r w:rsidR="004F56C0" w:rsidRPr="00EE5050">
        <w:rPr>
          <w:rFonts w:eastAsia="PMingLiU"/>
          <w:lang w:val="en-GB" w:eastAsia="zh-TW"/>
        </w:rPr>
        <w:t>, or provisions of acts,</w:t>
      </w:r>
      <w:r w:rsidR="00D93B1E" w:rsidRPr="00EE5050">
        <w:rPr>
          <w:rFonts w:eastAsia="PMingLiU"/>
          <w:lang w:val="en-GB" w:eastAsia="zh-TW"/>
        </w:rPr>
        <w:t xml:space="preserve"> </w:t>
      </w:r>
      <w:r w:rsidR="00BE72E0" w:rsidRPr="00EE5050">
        <w:rPr>
          <w:rFonts w:eastAsia="PMingLiU"/>
          <w:lang w:val="en-GB" w:eastAsia="zh-TW"/>
        </w:rPr>
        <w:t>unconstitutional.</w:t>
      </w:r>
      <w:r w:rsidR="00BE72E0" w:rsidRPr="00EE5050">
        <w:rPr>
          <w:rStyle w:val="FootnoteReference"/>
          <w:rFonts w:eastAsia="PMingLiU"/>
          <w:lang w:val="en-GB" w:eastAsia="zh-TW"/>
        </w:rPr>
        <w:footnoteReference w:id="13"/>
      </w:r>
      <w:r w:rsidR="00114C78" w:rsidRPr="00EE5050">
        <w:rPr>
          <w:rFonts w:eastAsia="PMingLiU"/>
          <w:lang w:val="en-GB" w:eastAsia="zh-TW"/>
        </w:rPr>
        <w:t xml:space="preserve"> </w:t>
      </w:r>
      <w:r w:rsidR="00564EEC" w:rsidRPr="00EE5050">
        <w:rPr>
          <w:rFonts w:eastAsia="PMingLiU"/>
          <w:lang w:val="en-GB" w:eastAsia="zh-TW"/>
        </w:rPr>
        <w:t>Thus</w:t>
      </w:r>
      <w:r w:rsidR="00114C78" w:rsidRPr="00EE5050">
        <w:rPr>
          <w:rFonts w:eastAsia="PMingLiU"/>
          <w:lang w:val="en-GB" w:eastAsia="zh-TW"/>
        </w:rPr>
        <w:t>,</w:t>
      </w:r>
      <w:r w:rsidR="00BE72E0" w:rsidRPr="00EE5050">
        <w:rPr>
          <w:rFonts w:eastAsia="PMingLiU"/>
          <w:lang w:val="en-GB" w:eastAsia="zh-TW"/>
        </w:rPr>
        <w:t xml:space="preserve"> within two decades</w:t>
      </w:r>
      <w:r w:rsidR="000C13F8">
        <w:rPr>
          <w:rFonts w:eastAsia="PMingLiU"/>
          <w:lang w:val="en-GB" w:eastAsia="zh-TW"/>
        </w:rPr>
        <w:t>,</w:t>
      </w:r>
      <w:r w:rsidR="00BE72E0" w:rsidRPr="00EE5050">
        <w:rPr>
          <w:rFonts w:eastAsia="PMingLiU"/>
          <w:lang w:val="en-GB" w:eastAsia="zh-TW"/>
        </w:rPr>
        <w:t xml:space="preserve"> Taiwan</w:t>
      </w:r>
      <w:r w:rsidR="00AC357A">
        <w:rPr>
          <w:rFonts w:eastAsia="PMingLiU"/>
          <w:lang w:val="en-GB" w:eastAsia="zh-TW"/>
        </w:rPr>
        <w:t>’</w:t>
      </w:r>
      <w:r w:rsidR="00BE72E0" w:rsidRPr="00EE5050">
        <w:rPr>
          <w:rFonts w:eastAsia="PMingLiU"/>
          <w:lang w:val="en-GB" w:eastAsia="zh-TW"/>
        </w:rPr>
        <w:t xml:space="preserve">s Constitutional Court has gone two-thirds of the way to what took the US Supreme Court two </w:t>
      </w:r>
      <w:r w:rsidR="00B20D25" w:rsidRPr="00EE5050">
        <w:rPr>
          <w:rFonts w:eastAsia="PMingLiU"/>
          <w:lang w:val="en-GB" w:eastAsia="zh-TW"/>
        </w:rPr>
        <w:t xml:space="preserve">centuries </w:t>
      </w:r>
      <w:r w:rsidR="00BE72E0" w:rsidRPr="00EE5050">
        <w:rPr>
          <w:rFonts w:eastAsia="PMingLiU"/>
          <w:lang w:val="en-GB" w:eastAsia="zh-TW"/>
        </w:rPr>
        <w:t>to achieve</w:t>
      </w:r>
      <w:r w:rsidR="007F0AA2" w:rsidRPr="00EE5050">
        <w:rPr>
          <w:rFonts w:eastAsia="PMingLiU"/>
          <w:lang w:val="en-GB" w:eastAsia="zh-TW"/>
        </w:rPr>
        <w:t>.</w:t>
      </w:r>
      <w:r w:rsidR="008A5F38" w:rsidRPr="00EE5050">
        <w:rPr>
          <w:rFonts w:eastAsia="PMingLiU"/>
          <w:lang w:val="en-GB" w:eastAsia="zh-TW"/>
        </w:rPr>
        <w:t xml:space="preserve"> Furthermore, challenging and striking </w:t>
      </w:r>
      <w:r w:rsidR="0050429D">
        <w:rPr>
          <w:rFonts w:eastAsia="PMingLiU"/>
          <w:lang w:val="en-GB" w:eastAsia="zh-TW"/>
        </w:rPr>
        <w:t xml:space="preserve">down </w:t>
      </w:r>
      <w:r w:rsidR="008A5F38" w:rsidRPr="00EE5050">
        <w:rPr>
          <w:rFonts w:eastAsia="PMingLiU"/>
          <w:lang w:val="en-GB" w:eastAsia="zh-TW"/>
        </w:rPr>
        <w:t>legislative provisions</w:t>
      </w:r>
      <w:r w:rsidR="007F0AA2" w:rsidRPr="00EE5050">
        <w:rPr>
          <w:rFonts w:eastAsia="PMingLiU"/>
          <w:lang w:val="en-GB" w:eastAsia="zh-TW"/>
        </w:rPr>
        <w:t xml:space="preserve"> does not appear to be abating: in 2013, the </w:t>
      </w:r>
      <w:r w:rsidR="00D93B1E" w:rsidRPr="00EE5050">
        <w:rPr>
          <w:rFonts w:eastAsia="PMingLiU"/>
          <w:lang w:val="en-GB" w:eastAsia="zh-TW"/>
        </w:rPr>
        <w:t xml:space="preserve">Constitutional </w:t>
      </w:r>
      <w:r w:rsidR="007F0AA2" w:rsidRPr="00EE5050">
        <w:rPr>
          <w:rFonts w:eastAsia="PMingLiU"/>
          <w:lang w:val="en-GB" w:eastAsia="zh-TW"/>
        </w:rPr>
        <w:t xml:space="preserve">Court declared </w:t>
      </w:r>
      <w:r w:rsidR="004E6E78" w:rsidRPr="00EE5050">
        <w:rPr>
          <w:rFonts w:eastAsia="PMingLiU"/>
          <w:lang w:val="en-GB" w:eastAsia="zh-TW"/>
        </w:rPr>
        <w:t>eight</w:t>
      </w:r>
      <w:r w:rsidR="007F0AA2" w:rsidRPr="00EE5050">
        <w:rPr>
          <w:rFonts w:eastAsia="PMingLiU"/>
          <w:lang w:val="en-GB" w:eastAsia="zh-TW"/>
        </w:rPr>
        <w:t xml:space="preserve"> laws</w:t>
      </w:r>
      <w:r w:rsidR="008A5F38" w:rsidRPr="00EE5050">
        <w:rPr>
          <w:rFonts w:eastAsia="PMingLiU"/>
          <w:lang w:val="en-GB" w:eastAsia="zh-TW"/>
        </w:rPr>
        <w:t>, or provisions of laws,</w:t>
      </w:r>
      <w:r w:rsidR="007F0AA2" w:rsidRPr="00EE5050">
        <w:rPr>
          <w:rFonts w:eastAsia="PMingLiU"/>
          <w:lang w:val="en-GB" w:eastAsia="zh-TW"/>
        </w:rPr>
        <w:t xml:space="preserve"> unconstitutional.</w:t>
      </w:r>
      <w:r w:rsidR="007F0AA2" w:rsidRPr="00EE5050">
        <w:rPr>
          <w:rStyle w:val="FootnoteReference"/>
          <w:rFonts w:eastAsia="PMingLiU"/>
          <w:lang w:val="en-GB" w:eastAsia="zh-TW"/>
        </w:rPr>
        <w:footnoteReference w:id="14"/>
      </w:r>
    </w:p>
    <w:p w14:paraId="6EC72F20" w14:textId="4E5F14BC" w:rsidR="00BE72E0" w:rsidRPr="00EE5050" w:rsidRDefault="0050429D" w:rsidP="00A31E24">
      <w:pPr>
        <w:pStyle w:val="NoSpacing"/>
        <w:tabs>
          <w:tab w:val="left" w:pos="720"/>
          <w:tab w:val="left" w:pos="1440"/>
        </w:tabs>
        <w:spacing w:line="480" w:lineRule="auto"/>
        <w:ind w:firstLineChars="295" w:firstLine="708"/>
        <w:jc w:val="both"/>
        <w:rPr>
          <w:rFonts w:eastAsia="PMingLiU"/>
          <w:lang w:val="en-GB" w:eastAsia="zh-TW"/>
        </w:rPr>
      </w:pPr>
      <w:r>
        <w:rPr>
          <w:rFonts w:eastAsia="PMingLiU"/>
          <w:lang w:val="en-GB" w:eastAsia="zh-TW"/>
        </w:rPr>
        <w:t xml:space="preserve">Here it is contended that </w:t>
      </w:r>
      <w:r w:rsidR="00072D06" w:rsidRPr="00EE5050">
        <w:rPr>
          <w:rFonts w:eastAsia="PMingLiU"/>
          <w:lang w:val="en-GB" w:eastAsia="zh-TW"/>
        </w:rPr>
        <w:t xml:space="preserve">Taiwan is </w:t>
      </w:r>
      <w:r w:rsidR="002C65F4">
        <w:rPr>
          <w:rFonts w:eastAsia="PMingLiU"/>
          <w:lang w:val="en-GB" w:eastAsia="zh-TW"/>
        </w:rPr>
        <w:t xml:space="preserve">currently </w:t>
      </w:r>
      <w:r w:rsidR="00072D06" w:rsidRPr="00EE5050">
        <w:rPr>
          <w:rFonts w:eastAsia="PMingLiU"/>
          <w:lang w:val="en-GB" w:eastAsia="zh-TW"/>
        </w:rPr>
        <w:t>too heavily focused on legal constitutionalism</w:t>
      </w:r>
      <w:r w:rsidR="005E7EBC" w:rsidRPr="00EE5050">
        <w:rPr>
          <w:rFonts w:eastAsia="PMingLiU"/>
          <w:lang w:val="en-GB" w:eastAsia="zh-TW"/>
        </w:rPr>
        <w:t xml:space="preserve">, thus </w:t>
      </w:r>
      <w:r w:rsidR="00072D06" w:rsidRPr="00EE5050">
        <w:rPr>
          <w:rFonts w:eastAsia="PMingLiU"/>
          <w:lang w:val="en-GB" w:eastAsia="zh-TW"/>
        </w:rPr>
        <w:t xml:space="preserve">hindering the constitutional assessment of bills travelling through the legislative process. </w:t>
      </w:r>
      <w:r w:rsidR="00BE6B94" w:rsidRPr="00EE5050">
        <w:rPr>
          <w:rFonts w:eastAsia="PMingLiU"/>
          <w:lang w:val="en-GB" w:eastAsia="zh-TW"/>
        </w:rPr>
        <w:t>T</w:t>
      </w:r>
      <w:r w:rsidR="008D726D" w:rsidRPr="00EE5050">
        <w:rPr>
          <w:rFonts w:eastAsia="PMingLiU"/>
          <w:lang w:val="en-GB" w:eastAsia="zh-TW"/>
        </w:rPr>
        <w:t xml:space="preserve">his </w:t>
      </w:r>
      <w:r w:rsidR="00BE6B94" w:rsidRPr="00EE5050">
        <w:rPr>
          <w:rFonts w:eastAsia="PMingLiU"/>
          <w:lang w:val="en-GB" w:eastAsia="zh-TW"/>
        </w:rPr>
        <w:t xml:space="preserve">over-focus on legal constitutionalism </w:t>
      </w:r>
      <w:r w:rsidR="008D726D" w:rsidRPr="00EE5050">
        <w:rPr>
          <w:rFonts w:eastAsia="PMingLiU"/>
          <w:lang w:val="en-GB" w:eastAsia="zh-TW"/>
        </w:rPr>
        <w:t xml:space="preserve">was seen in </w:t>
      </w:r>
      <w:r w:rsidR="005261CD">
        <w:rPr>
          <w:rFonts w:eastAsia="PMingLiU"/>
          <w:lang w:val="en-GB" w:eastAsia="zh-TW"/>
        </w:rPr>
        <w:t>the author’s</w:t>
      </w:r>
      <w:r w:rsidR="005261CD" w:rsidRPr="00EE5050">
        <w:rPr>
          <w:rFonts w:eastAsia="PMingLiU"/>
          <w:lang w:val="en-GB" w:eastAsia="zh-TW"/>
        </w:rPr>
        <w:t xml:space="preserve"> </w:t>
      </w:r>
      <w:r w:rsidR="008D726D" w:rsidRPr="00EE5050">
        <w:rPr>
          <w:rFonts w:eastAsia="PMingLiU"/>
          <w:lang w:val="en-GB" w:eastAsia="zh-TW"/>
        </w:rPr>
        <w:t>interviews with lawmakers and staffers of the Legislative Yuan</w:t>
      </w:r>
      <w:r w:rsidR="00D93B1E" w:rsidRPr="00EE5050">
        <w:rPr>
          <w:rFonts w:eastAsia="PMingLiU"/>
          <w:lang w:val="en-GB" w:eastAsia="zh-TW"/>
        </w:rPr>
        <w:t>, presented below</w:t>
      </w:r>
      <w:r w:rsidR="00BE72E0" w:rsidRPr="00EE5050">
        <w:rPr>
          <w:rFonts w:eastAsia="PMingLiU"/>
          <w:lang w:val="en-GB" w:eastAsia="zh-TW"/>
        </w:rPr>
        <w:t>. Though formal and practical barriers stand in the way, Taiwan</w:t>
      </w:r>
      <w:r w:rsidR="00AC357A">
        <w:rPr>
          <w:rFonts w:eastAsia="PMingLiU"/>
          <w:lang w:val="en-GB" w:eastAsia="zh-TW"/>
        </w:rPr>
        <w:t>’</w:t>
      </w:r>
      <w:r w:rsidR="00BE72E0" w:rsidRPr="00EE5050">
        <w:rPr>
          <w:rFonts w:eastAsia="PMingLiU"/>
          <w:lang w:val="en-GB" w:eastAsia="zh-TW"/>
        </w:rPr>
        <w:t>s</w:t>
      </w:r>
      <w:r w:rsidR="00073823" w:rsidRPr="00EE5050">
        <w:rPr>
          <w:rFonts w:eastAsia="PMingLiU"/>
          <w:lang w:val="en-GB" w:eastAsia="zh-TW"/>
        </w:rPr>
        <w:t xml:space="preserve"> legislature </w:t>
      </w:r>
      <w:r w:rsidR="00BE72E0" w:rsidRPr="00EE5050">
        <w:rPr>
          <w:rFonts w:eastAsia="PMingLiU"/>
          <w:lang w:val="en-GB" w:eastAsia="zh-TW"/>
        </w:rPr>
        <w:t>possesses the necessary means by which to increase the institution</w:t>
      </w:r>
      <w:r w:rsidR="00AC357A">
        <w:rPr>
          <w:rFonts w:eastAsia="PMingLiU"/>
          <w:lang w:val="en-GB" w:eastAsia="zh-TW"/>
        </w:rPr>
        <w:t>’</w:t>
      </w:r>
      <w:r w:rsidR="00BE72E0" w:rsidRPr="00EE5050">
        <w:rPr>
          <w:rFonts w:eastAsia="PMingLiU"/>
          <w:lang w:val="en-GB" w:eastAsia="zh-TW"/>
        </w:rPr>
        <w:t>s constitutional inter</w:t>
      </w:r>
      <w:r w:rsidR="00114C78" w:rsidRPr="00EE5050">
        <w:rPr>
          <w:rFonts w:eastAsia="PMingLiU"/>
          <w:lang w:val="en-GB" w:eastAsia="zh-TW"/>
        </w:rPr>
        <w:t>pretative authority, should the body</w:t>
      </w:r>
      <w:r w:rsidR="00BE72E0" w:rsidRPr="00EE5050">
        <w:rPr>
          <w:rFonts w:eastAsia="PMingLiU"/>
          <w:lang w:val="en-GB" w:eastAsia="zh-TW"/>
        </w:rPr>
        <w:t xml:space="preserve"> choose to d</w:t>
      </w:r>
      <w:r w:rsidR="00497238" w:rsidRPr="00EE5050">
        <w:rPr>
          <w:rFonts w:eastAsia="PMingLiU"/>
          <w:lang w:val="en-GB" w:eastAsia="zh-TW"/>
        </w:rPr>
        <w:t xml:space="preserve">o so. In fact, </w:t>
      </w:r>
      <w:r w:rsidR="00BE72E0" w:rsidRPr="00EE5050">
        <w:rPr>
          <w:rFonts w:eastAsia="PMingLiU"/>
          <w:lang w:val="en-GB" w:eastAsia="zh-TW"/>
        </w:rPr>
        <w:t>legislatures in democratic systems may well demand such an increase</w:t>
      </w:r>
      <w:r w:rsidR="00073823" w:rsidRPr="00EE5050">
        <w:rPr>
          <w:rFonts w:eastAsia="PMingLiU"/>
          <w:lang w:val="en-GB" w:eastAsia="zh-TW"/>
        </w:rPr>
        <w:t xml:space="preserve"> in authority</w:t>
      </w:r>
      <w:r w:rsidR="00BE72E0" w:rsidRPr="00EE5050">
        <w:rPr>
          <w:rFonts w:eastAsia="PMingLiU"/>
          <w:lang w:val="en-GB" w:eastAsia="zh-TW"/>
        </w:rPr>
        <w:t>.</w:t>
      </w:r>
      <w:r w:rsidR="00BE72E0" w:rsidRPr="00EE5050">
        <w:rPr>
          <w:rStyle w:val="FootnoteReference"/>
          <w:rFonts w:eastAsia="PMingLiU"/>
          <w:lang w:val="en-GB" w:eastAsia="zh-TW"/>
        </w:rPr>
        <w:footnoteReference w:id="15"/>
      </w:r>
    </w:p>
    <w:p w14:paraId="6A67E066" w14:textId="343CC9ED" w:rsidR="003C5AEA" w:rsidRPr="00EE5050" w:rsidRDefault="00D06CA1" w:rsidP="00A31E24">
      <w:pPr>
        <w:pStyle w:val="NoSpacing"/>
        <w:tabs>
          <w:tab w:val="left" w:pos="720"/>
          <w:tab w:val="left" w:pos="1440"/>
        </w:tabs>
        <w:spacing w:line="480" w:lineRule="auto"/>
        <w:ind w:firstLineChars="295" w:firstLine="708"/>
        <w:jc w:val="both"/>
        <w:rPr>
          <w:rFonts w:eastAsia="PMingLiU"/>
          <w:lang w:val="en-GB" w:eastAsia="zh-TW"/>
        </w:rPr>
      </w:pPr>
      <w:r w:rsidRPr="00EE5050">
        <w:rPr>
          <w:rFonts w:eastAsia="PMingLiU"/>
          <w:lang w:val="en-GB" w:eastAsia="zh-TW"/>
        </w:rPr>
        <w:t>Th</w:t>
      </w:r>
      <w:r w:rsidR="0050429D">
        <w:rPr>
          <w:rFonts w:eastAsia="PMingLiU"/>
          <w:lang w:val="en-GB" w:eastAsia="zh-TW"/>
        </w:rPr>
        <w:t>e</w:t>
      </w:r>
      <w:r w:rsidRPr="00EE5050">
        <w:rPr>
          <w:rFonts w:eastAsia="PMingLiU"/>
          <w:lang w:val="en-GB" w:eastAsia="zh-TW"/>
        </w:rPr>
        <w:t xml:space="preserve"> </w:t>
      </w:r>
      <w:r w:rsidR="009A3662">
        <w:rPr>
          <w:rFonts w:eastAsia="PMingLiU"/>
          <w:lang w:val="en-GB" w:eastAsia="zh-TW"/>
        </w:rPr>
        <w:t>article</w:t>
      </w:r>
      <w:r w:rsidR="009A3662" w:rsidRPr="00EE5050">
        <w:rPr>
          <w:rFonts w:eastAsia="PMingLiU"/>
          <w:lang w:val="en-GB" w:eastAsia="zh-TW"/>
        </w:rPr>
        <w:t xml:space="preserve"> </w:t>
      </w:r>
      <w:r w:rsidRPr="00EE5050">
        <w:rPr>
          <w:rFonts w:eastAsia="PMingLiU"/>
          <w:lang w:val="en-GB" w:eastAsia="zh-TW"/>
        </w:rPr>
        <w:t>unfold</w:t>
      </w:r>
      <w:r w:rsidR="00F64D66" w:rsidRPr="00EE5050">
        <w:rPr>
          <w:rFonts w:eastAsia="PMingLiU"/>
          <w:lang w:val="en-GB" w:eastAsia="zh-TW"/>
        </w:rPr>
        <w:t>s</w:t>
      </w:r>
      <w:r w:rsidRPr="00EE5050">
        <w:rPr>
          <w:rFonts w:eastAsia="PMingLiU"/>
          <w:lang w:val="en-GB" w:eastAsia="zh-TW"/>
        </w:rPr>
        <w:t xml:space="preserve"> in the following manner. </w:t>
      </w:r>
      <w:r w:rsidR="006E6BB2" w:rsidRPr="00EE5050">
        <w:rPr>
          <w:rFonts w:eastAsia="PMingLiU"/>
          <w:lang w:val="en-GB" w:eastAsia="zh-TW"/>
        </w:rPr>
        <w:t xml:space="preserve">First, it </w:t>
      </w:r>
      <w:r w:rsidR="00280D26" w:rsidRPr="00EE5050">
        <w:rPr>
          <w:rFonts w:eastAsia="PMingLiU"/>
          <w:lang w:val="en-GB" w:eastAsia="zh-TW"/>
        </w:rPr>
        <w:t xml:space="preserve">briefly </w:t>
      </w:r>
      <w:r w:rsidR="000172F1" w:rsidRPr="00EE5050">
        <w:rPr>
          <w:rFonts w:eastAsia="PMingLiU"/>
          <w:lang w:val="en-GB" w:eastAsia="zh-TW"/>
        </w:rPr>
        <w:t xml:space="preserve">discusses </w:t>
      </w:r>
      <w:r w:rsidR="000C4516" w:rsidRPr="00EE5050">
        <w:rPr>
          <w:rFonts w:eastAsia="PMingLiU"/>
          <w:lang w:val="en-GB" w:eastAsia="zh-TW"/>
        </w:rPr>
        <w:t>the complexities of comparing law</w:t>
      </w:r>
      <w:r w:rsidR="00B20D25" w:rsidRPr="00EE5050">
        <w:rPr>
          <w:rFonts w:eastAsia="PMingLiU"/>
          <w:lang w:val="en-GB" w:eastAsia="zh-TW"/>
        </w:rPr>
        <w:t>-</w:t>
      </w:r>
      <w:r w:rsidR="000C4516" w:rsidRPr="00EE5050">
        <w:rPr>
          <w:rFonts w:eastAsia="PMingLiU"/>
          <w:lang w:val="en-GB" w:eastAsia="zh-TW"/>
        </w:rPr>
        <w:t>making systems, noting differences between Taiwan</w:t>
      </w:r>
      <w:r w:rsidR="00AC357A">
        <w:rPr>
          <w:rFonts w:eastAsia="PMingLiU"/>
          <w:lang w:val="en-GB" w:eastAsia="zh-TW"/>
        </w:rPr>
        <w:t>’</w:t>
      </w:r>
      <w:r w:rsidR="000C4516" w:rsidRPr="00EE5050">
        <w:rPr>
          <w:rFonts w:eastAsia="PMingLiU"/>
          <w:lang w:val="en-GB" w:eastAsia="zh-TW"/>
        </w:rPr>
        <w:t xml:space="preserve">s </w:t>
      </w:r>
      <w:r w:rsidR="00D93B1E" w:rsidRPr="00EE5050">
        <w:rPr>
          <w:rFonts w:eastAsia="PMingLiU"/>
          <w:lang w:val="en-GB" w:eastAsia="zh-TW"/>
        </w:rPr>
        <w:t>constitutional</w:t>
      </w:r>
      <w:r w:rsidR="000C4516" w:rsidRPr="00EE5050">
        <w:rPr>
          <w:rFonts w:eastAsia="PMingLiU"/>
          <w:lang w:val="en-GB" w:eastAsia="zh-TW"/>
        </w:rPr>
        <w:t xml:space="preserve"> structure and the other institutions </w:t>
      </w:r>
      <w:r w:rsidR="006E6BB2" w:rsidRPr="00EE5050">
        <w:rPr>
          <w:rFonts w:eastAsia="PMingLiU"/>
          <w:lang w:val="en-GB" w:eastAsia="zh-TW"/>
        </w:rPr>
        <w:t>consulted</w:t>
      </w:r>
      <w:r w:rsidR="000C4516" w:rsidRPr="00EE5050">
        <w:rPr>
          <w:rFonts w:eastAsia="PMingLiU"/>
          <w:lang w:val="en-GB" w:eastAsia="zh-TW"/>
        </w:rPr>
        <w:t xml:space="preserve"> in this article. Next, </w:t>
      </w:r>
      <w:r w:rsidR="00FD0AC8" w:rsidRPr="00EE5050">
        <w:rPr>
          <w:rFonts w:eastAsia="PMingLiU"/>
          <w:lang w:val="en-GB" w:eastAsia="zh-TW"/>
        </w:rPr>
        <w:t xml:space="preserve">it talks </w:t>
      </w:r>
      <w:r w:rsidR="00FD0AC8" w:rsidRPr="00EE5050">
        <w:rPr>
          <w:rFonts w:eastAsia="PMingLiU"/>
          <w:lang w:val="en-GB" w:eastAsia="zh-TW"/>
        </w:rPr>
        <w:lastRenderedPageBreak/>
        <w:t xml:space="preserve">about constitutional review generally and interpretive authority for legislatures specifically, </w:t>
      </w:r>
      <w:r w:rsidR="00D41551" w:rsidRPr="00EE5050">
        <w:rPr>
          <w:rFonts w:eastAsia="PMingLiU"/>
          <w:lang w:val="en-GB" w:eastAsia="zh-TW"/>
        </w:rPr>
        <w:t xml:space="preserve">focusing on the </w:t>
      </w:r>
      <w:r w:rsidR="00B20D25" w:rsidRPr="00EE5050">
        <w:rPr>
          <w:rFonts w:eastAsia="PMingLiU"/>
          <w:lang w:val="en-GB" w:eastAsia="zh-TW"/>
        </w:rPr>
        <w:t>UK Parliament</w:t>
      </w:r>
      <w:r w:rsidR="00D41551" w:rsidRPr="00EE5050">
        <w:rPr>
          <w:rFonts w:eastAsia="PMingLiU"/>
          <w:lang w:val="en-GB" w:eastAsia="zh-TW"/>
        </w:rPr>
        <w:t xml:space="preserve">, </w:t>
      </w:r>
      <w:r w:rsidR="00B20D25" w:rsidRPr="00EE5050">
        <w:rPr>
          <w:rFonts w:eastAsia="PMingLiU"/>
          <w:lang w:val="en-GB" w:eastAsia="zh-TW"/>
        </w:rPr>
        <w:t>the US</w:t>
      </w:r>
      <w:r w:rsidR="00FD0AC8" w:rsidRPr="00EE5050">
        <w:rPr>
          <w:rFonts w:eastAsia="PMingLiU"/>
          <w:lang w:val="en-GB" w:eastAsia="zh-TW"/>
        </w:rPr>
        <w:t xml:space="preserve"> </w:t>
      </w:r>
      <w:r w:rsidR="00B20D25" w:rsidRPr="00EE5050">
        <w:rPr>
          <w:rFonts w:eastAsia="PMingLiU"/>
          <w:lang w:val="en-GB" w:eastAsia="zh-TW"/>
        </w:rPr>
        <w:t>Congress</w:t>
      </w:r>
      <w:r w:rsidR="00D41551" w:rsidRPr="00EE5050">
        <w:rPr>
          <w:rFonts w:eastAsia="PMingLiU"/>
          <w:lang w:val="en-GB" w:eastAsia="zh-TW"/>
        </w:rPr>
        <w:t xml:space="preserve"> and other legislatures</w:t>
      </w:r>
      <w:r w:rsidR="00FD0AC8" w:rsidRPr="00EE5050">
        <w:rPr>
          <w:rFonts w:eastAsia="PMingLiU"/>
          <w:lang w:val="en-GB" w:eastAsia="zh-TW"/>
        </w:rPr>
        <w:t xml:space="preserve">. Then, </w:t>
      </w:r>
      <w:r w:rsidR="000C4516" w:rsidRPr="00EE5050">
        <w:rPr>
          <w:rFonts w:eastAsia="PMingLiU"/>
          <w:lang w:val="en-GB" w:eastAsia="zh-TW"/>
        </w:rPr>
        <w:t xml:space="preserve">it </w:t>
      </w:r>
      <w:r w:rsidR="009C2EF6" w:rsidRPr="00EE5050">
        <w:rPr>
          <w:rFonts w:eastAsia="PMingLiU"/>
          <w:lang w:val="en-GB" w:eastAsia="zh-TW"/>
        </w:rPr>
        <w:t>incorporates an empirical component, using</w:t>
      </w:r>
      <w:r w:rsidR="000C4516" w:rsidRPr="00EE5050">
        <w:rPr>
          <w:rFonts w:eastAsia="PMingLiU"/>
          <w:lang w:val="en-GB" w:eastAsia="zh-TW"/>
        </w:rPr>
        <w:t xml:space="preserve"> interview material</w:t>
      </w:r>
      <w:r w:rsidR="00DB6A70" w:rsidRPr="00EE5050">
        <w:rPr>
          <w:rFonts w:eastAsia="PMingLiU"/>
          <w:lang w:val="en-GB" w:eastAsia="zh-TW"/>
        </w:rPr>
        <w:t xml:space="preserve"> obtained from Taiwan</w:t>
      </w:r>
      <w:r w:rsidR="00D41551" w:rsidRPr="00EE5050">
        <w:rPr>
          <w:rFonts w:eastAsia="PMingLiU"/>
          <w:lang w:val="en-GB" w:eastAsia="zh-TW"/>
        </w:rPr>
        <w:t>ese</w:t>
      </w:r>
      <w:r w:rsidR="00DB6A70" w:rsidRPr="00EE5050">
        <w:rPr>
          <w:rFonts w:eastAsia="PMingLiU"/>
          <w:lang w:val="en-GB" w:eastAsia="zh-TW"/>
        </w:rPr>
        <w:t xml:space="preserve"> </w:t>
      </w:r>
      <w:r w:rsidR="006E6BB2" w:rsidRPr="00EE5050">
        <w:rPr>
          <w:rFonts w:eastAsia="PMingLiU"/>
          <w:lang w:val="en-GB" w:eastAsia="zh-TW"/>
        </w:rPr>
        <w:t xml:space="preserve">Legislative Yuan insiders to address </w:t>
      </w:r>
      <w:r w:rsidR="00DB6A70" w:rsidRPr="00EE5050">
        <w:rPr>
          <w:rFonts w:eastAsia="PMingLiU"/>
          <w:lang w:val="en-GB" w:eastAsia="zh-TW"/>
        </w:rPr>
        <w:t xml:space="preserve">whether </w:t>
      </w:r>
      <w:r w:rsidR="00280D26" w:rsidRPr="00EE5050">
        <w:rPr>
          <w:rFonts w:eastAsia="PMingLiU"/>
          <w:lang w:val="en-GB" w:eastAsia="zh-TW"/>
        </w:rPr>
        <w:t xml:space="preserve">and how </w:t>
      </w:r>
      <w:r w:rsidR="00D93B1E" w:rsidRPr="00EE5050">
        <w:rPr>
          <w:rFonts w:eastAsia="PMingLiU"/>
          <w:lang w:val="en-GB" w:eastAsia="zh-TW"/>
        </w:rPr>
        <w:t>lawmakers and their staff</w:t>
      </w:r>
      <w:r w:rsidR="00DB6A70" w:rsidRPr="00EE5050">
        <w:rPr>
          <w:rFonts w:eastAsia="PMingLiU"/>
          <w:lang w:val="en-GB" w:eastAsia="zh-TW"/>
        </w:rPr>
        <w:t xml:space="preserve"> think about </w:t>
      </w:r>
      <w:r w:rsidR="00280D26" w:rsidRPr="00EE5050">
        <w:rPr>
          <w:rFonts w:eastAsia="PMingLiU"/>
          <w:lang w:val="en-GB" w:eastAsia="zh-TW"/>
        </w:rPr>
        <w:t>and</w:t>
      </w:r>
      <w:r w:rsidR="00DB6A70" w:rsidRPr="00EE5050">
        <w:rPr>
          <w:rFonts w:eastAsia="PMingLiU"/>
          <w:lang w:val="en-GB" w:eastAsia="zh-TW"/>
        </w:rPr>
        <w:t xml:space="preserve"> assess the constitution</w:t>
      </w:r>
      <w:r w:rsidR="000C4516" w:rsidRPr="00EE5050">
        <w:rPr>
          <w:rFonts w:eastAsia="PMingLiU"/>
          <w:lang w:val="en-GB" w:eastAsia="zh-TW"/>
        </w:rPr>
        <w:t>ality of the laws</w:t>
      </w:r>
      <w:r w:rsidR="006E6BB2" w:rsidRPr="00EE5050">
        <w:rPr>
          <w:rFonts w:eastAsia="PMingLiU"/>
          <w:lang w:val="en-GB" w:eastAsia="zh-TW"/>
        </w:rPr>
        <w:t xml:space="preserve"> they are drafting and voting on</w:t>
      </w:r>
      <w:r w:rsidR="00DB6A70" w:rsidRPr="00EE5050">
        <w:rPr>
          <w:rFonts w:eastAsia="PMingLiU"/>
          <w:lang w:val="en-GB" w:eastAsia="zh-TW"/>
        </w:rPr>
        <w:t xml:space="preserve">. </w:t>
      </w:r>
      <w:r w:rsidR="006E6BB2" w:rsidRPr="00EE5050">
        <w:rPr>
          <w:rFonts w:eastAsia="PMingLiU"/>
          <w:lang w:val="en-GB" w:eastAsia="zh-TW"/>
        </w:rPr>
        <w:t xml:space="preserve">Finally, the article </w:t>
      </w:r>
      <w:r w:rsidR="003C7108" w:rsidRPr="00EE5050">
        <w:rPr>
          <w:rFonts w:eastAsia="PMingLiU"/>
          <w:lang w:val="en-GB" w:eastAsia="zh-TW"/>
        </w:rPr>
        <w:t xml:space="preserve">offers proposals </w:t>
      </w:r>
      <w:r w:rsidR="00BE6B94" w:rsidRPr="00EE5050">
        <w:rPr>
          <w:rFonts w:eastAsia="PMingLiU"/>
          <w:lang w:val="en-GB" w:eastAsia="zh-TW"/>
        </w:rPr>
        <w:t>on how to enhance</w:t>
      </w:r>
      <w:r w:rsidR="00D93B1E" w:rsidRPr="00EE5050">
        <w:rPr>
          <w:rFonts w:eastAsia="PMingLiU"/>
          <w:lang w:val="en-GB" w:eastAsia="zh-TW"/>
        </w:rPr>
        <w:t xml:space="preserve"> the interpretative authority of the Legislative Yuan</w:t>
      </w:r>
      <w:r w:rsidR="007744B4" w:rsidRPr="00EE5050">
        <w:rPr>
          <w:rFonts w:eastAsia="PMingLiU"/>
          <w:lang w:val="en-GB" w:eastAsia="zh-TW"/>
        </w:rPr>
        <w:t xml:space="preserve">, </w:t>
      </w:r>
      <w:r w:rsidR="00BE6B94" w:rsidRPr="00EE5050">
        <w:rPr>
          <w:rFonts w:eastAsia="PMingLiU"/>
          <w:lang w:val="en-GB" w:eastAsia="zh-TW"/>
        </w:rPr>
        <w:t>with the</w:t>
      </w:r>
      <w:r w:rsidR="005C1D1D" w:rsidRPr="00EE5050">
        <w:rPr>
          <w:rFonts w:eastAsia="PMingLiU"/>
          <w:lang w:val="en-GB" w:eastAsia="zh-TW"/>
        </w:rPr>
        <w:t xml:space="preserve"> hope</w:t>
      </w:r>
      <w:r w:rsidR="007744B4" w:rsidRPr="00EE5050">
        <w:rPr>
          <w:rFonts w:eastAsia="PMingLiU"/>
          <w:lang w:val="en-GB" w:eastAsia="zh-TW"/>
        </w:rPr>
        <w:t xml:space="preserve"> </w:t>
      </w:r>
      <w:r w:rsidR="00BE6B94" w:rsidRPr="00EE5050">
        <w:rPr>
          <w:rFonts w:eastAsia="PMingLiU"/>
          <w:lang w:val="en-GB" w:eastAsia="zh-TW"/>
        </w:rPr>
        <w:t>of striking</w:t>
      </w:r>
      <w:r w:rsidR="007744B4" w:rsidRPr="00EE5050">
        <w:rPr>
          <w:rFonts w:eastAsia="PMingLiU"/>
          <w:lang w:val="en-GB" w:eastAsia="zh-TW"/>
        </w:rPr>
        <w:t xml:space="preserve"> more of a balance between legal an</w:t>
      </w:r>
      <w:r w:rsidR="00BE6B94" w:rsidRPr="00EE5050">
        <w:rPr>
          <w:rFonts w:eastAsia="PMingLiU"/>
          <w:lang w:val="en-GB" w:eastAsia="zh-TW"/>
        </w:rPr>
        <w:t>d political constitutionalism</w:t>
      </w:r>
      <w:r w:rsidR="007744B4" w:rsidRPr="00EE5050">
        <w:rPr>
          <w:rFonts w:eastAsia="PMingLiU"/>
          <w:lang w:val="en-GB" w:eastAsia="zh-TW"/>
        </w:rPr>
        <w:t xml:space="preserve">. </w:t>
      </w:r>
    </w:p>
    <w:p w14:paraId="2E1899F9" w14:textId="6F95A9D1" w:rsidR="003C5AEA" w:rsidRPr="00EE5050" w:rsidRDefault="00860105"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Before this</w:t>
      </w:r>
      <w:r w:rsidR="00FB1DBB" w:rsidRPr="00EE5050">
        <w:rPr>
          <w:rFonts w:eastAsia="PMingLiU"/>
          <w:lang w:val="en-GB" w:eastAsia="zh-TW"/>
        </w:rPr>
        <w:t xml:space="preserve">, however, a short note on </w:t>
      </w:r>
      <w:r w:rsidR="005654B7" w:rsidRPr="00EE5050">
        <w:rPr>
          <w:rFonts w:eastAsia="PMingLiU"/>
          <w:lang w:val="en-GB" w:eastAsia="zh-TW"/>
        </w:rPr>
        <w:t>the paper</w:t>
      </w:r>
      <w:r w:rsidR="00AC357A">
        <w:rPr>
          <w:rFonts w:eastAsia="PMingLiU"/>
          <w:lang w:val="en-GB" w:eastAsia="zh-TW"/>
        </w:rPr>
        <w:t>’</w:t>
      </w:r>
      <w:r w:rsidR="005654B7" w:rsidRPr="00EE5050">
        <w:rPr>
          <w:rFonts w:eastAsia="PMingLiU"/>
          <w:lang w:val="en-GB" w:eastAsia="zh-TW"/>
        </w:rPr>
        <w:t xml:space="preserve">s </w:t>
      </w:r>
      <w:r w:rsidR="00FB1DBB" w:rsidRPr="00EE5050">
        <w:rPr>
          <w:rFonts w:eastAsia="PMingLiU"/>
          <w:lang w:val="en-GB" w:eastAsia="zh-TW"/>
        </w:rPr>
        <w:t>comparative methodology</w:t>
      </w:r>
      <w:r w:rsidRPr="00EE5050">
        <w:rPr>
          <w:rFonts w:eastAsia="PMingLiU"/>
          <w:lang w:val="en-GB" w:eastAsia="zh-TW"/>
        </w:rPr>
        <w:t xml:space="preserve"> is in order.</w:t>
      </w:r>
      <w:r w:rsidR="00FB1DBB" w:rsidRPr="00EE5050">
        <w:rPr>
          <w:rFonts w:eastAsia="PMingLiU"/>
          <w:lang w:val="en-GB" w:eastAsia="zh-TW"/>
        </w:rPr>
        <w:t xml:space="preserve"> </w:t>
      </w:r>
      <w:r w:rsidR="005654B7" w:rsidRPr="00EE5050">
        <w:rPr>
          <w:rFonts w:eastAsia="PMingLiU"/>
          <w:lang w:val="en-GB" w:eastAsia="zh-TW"/>
        </w:rPr>
        <w:t>At times t</w:t>
      </w:r>
      <w:r w:rsidR="005C1D1D" w:rsidRPr="00EE5050">
        <w:rPr>
          <w:rFonts w:eastAsia="PMingLiU"/>
          <w:lang w:val="en-GB" w:eastAsia="zh-TW"/>
        </w:rPr>
        <w:t>his</w:t>
      </w:r>
      <w:r w:rsidR="00623CDE" w:rsidRPr="00EE5050">
        <w:rPr>
          <w:rFonts w:eastAsia="PMingLiU"/>
          <w:lang w:val="en-GB" w:eastAsia="zh-TW"/>
        </w:rPr>
        <w:t xml:space="preserve"> article</w:t>
      </w:r>
      <w:r w:rsidR="00D27282" w:rsidRPr="00EE5050">
        <w:rPr>
          <w:rFonts w:eastAsia="PMingLiU"/>
          <w:lang w:val="en-GB" w:eastAsia="zh-TW"/>
        </w:rPr>
        <w:t xml:space="preserve"> </w:t>
      </w:r>
      <w:r w:rsidR="003C5AEA" w:rsidRPr="00EE5050">
        <w:rPr>
          <w:rFonts w:eastAsia="PMingLiU"/>
          <w:lang w:val="en-GB" w:eastAsia="zh-TW"/>
        </w:rPr>
        <w:t xml:space="preserve">incorporates </w:t>
      </w:r>
      <w:r w:rsidR="00191171" w:rsidRPr="00EE5050">
        <w:rPr>
          <w:rFonts w:eastAsia="PMingLiU"/>
          <w:lang w:val="en-GB" w:eastAsia="zh-TW"/>
        </w:rPr>
        <w:t>methods and ideas</w:t>
      </w:r>
      <w:r w:rsidR="003C5AEA" w:rsidRPr="00EE5050">
        <w:rPr>
          <w:rFonts w:eastAsia="PMingLiU"/>
          <w:lang w:val="en-GB" w:eastAsia="zh-TW"/>
        </w:rPr>
        <w:t xml:space="preserve"> from other </w:t>
      </w:r>
      <w:r w:rsidR="00D27282" w:rsidRPr="00EE5050">
        <w:rPr>
          <w:rFonts w:eastAsia="PMingLiU"/>
          <w:lang w:val="en-GB" w:eastAsia="zh-TW"/>
        </w:rPr>
        <w:t>jurisdictions</w:t>
      </w:r>
      <w:r w:rsidR="003C5AEA" w:rsidRPr="00EE5050">
        <w:rPr>
          <w:rFonts w:eastAsia="PMingLiU"/>
          <w:lang w:val="en-GB" w:eastAsia="zh-TW"/>
        </w:rPr>
        <w:t>, such a</w:t>
      </w:r>
      <w:r w:rsidR="006F0F4B" w:rsidRPr="00EE5050">
        <w:rPr>
          <w:rFonts w:eastAsia="PMingLiU"/>
          <w:lang w:val="en-GB" w:eastAsia="zh-TW"/>
        </w:rPr>
        <w:t xml:space="preserve">s the </w:t>
      </w:r>
      <w:r w:rsidR="00B9297B" w:rsidRPr="00EE5050">
        <w:rPr>
          <w:rFonts w:eastAsia="PMingLiU"/>
          <w:lang w:val="en-GB" w:eastAsia="zh-TW"/>
        </w:rPr>
        <w:t>UK</w:t>
      </w:r>
      <w:r w:rsidR="00FB1DBB" w:rsidRPr="00EE5050">
        <w:rPr>
          <w:rFonts w:eastAsia="PMingLiU"/>
          <w:lang w:val="en-GB" w:eastAsia="zh-TW"/>
        </w:rPr>
        <w:t xml:space="preserve"> and</w:t>
      </w:r>
      <w:r w:rsidR="00B9297B" w:rsidRPr="00EE5050">
        <w:rPr>
          <w:rFonts w:eastAsia="PMingLiU"/>
          <w:lang w:val="en-GB" w:eastAsia="zh-TW"/>
        </w:rPr>
        <w:t xml:space="preserve"> US</w:t>
      </w:r>
      <w:r w:rsidRPr="00EE5050">
        <w:rPr>
          <w:rFonts w:eastAsia="PMingLiU"/>
          <w:lang w:val="en-GB" w:eastAsia="zh-TW"/>
        </w:rPr>
        <w:t xml:space="preserve">. This </w:t>
      </w:r>
      <w:r w:rsidR="00623CDE" w:rsidRPr="00EE5050">
        <w:rPr>
          <w:rFonts w:eastAsia="PMingLiU"/>
          <w:lang w:val="en-GB" w:eastAsia="zh-TW"/>
        </w:rPr>
        <w:t xml:space="preserve">is no accident. </w:t>
      </w:r>
      <w:r w:rsidR="00482C0B">
        <w:rPr>
          <w:rFonts w:eastAsia="PMingLiU"/>
          <w:lang w:val="en-GB" w:eastAsia="zh-TW"/>
        </w:rPr>
        <w:t>I</w:t>
      </w:r>
      <w:r w:rsidR="00482C0B" w:rsidRPr="00EE5050">
        <w:rPr>
          <w:rFonts w:eastAsia="PMingLiU"/>
          <w:lang w:val="en-GB" w:eastAsia="zh-TW"/>
        </w:rPr>
        <w:t>n the face of what many consider a stronger judiciary,</w:t>
      </w:r>
      <w:r w:rsidR="00482C0B" w:rsidRPr="00EE5050">
        <w:rPr>
          <w:rStyle w:val="FootnoteReference"/>
          <w:rFonts w:eastAsia="PMingLiU"/>
          <w:lang w:val="en-GB" w:eastAsia="zh-TW"/>
        </w:rPr>
        <w:footnoteReference w:id="16"/>
      </w:r>
      <w:r w:rsidR="00482C0B" w:rsidRPr="00EE5050">
        <w:rPr>
          <w:rFonts w:eastAsia="PMingLiU"/>
          <w:lang w:val="en-GB" w:eastAsia="zh-TW"/>
        </w:rPr>
        <w:t xml:space="preserve"> Westminster has set up a Constitution Committee and a Joint Committee on Human Rights (</w:t>
      </w:r>
      <w:r w:rsidR="00482C0B">
        <w:rPr>
          <w:rFonts w:eastAsia="PMingLiU"/>
          <w:lang w:val="en-GB" w:eastAsia="zh-TW"/>
        </w:rPr>
        <w:t>‘</w:t>
      </w:r>
      <w:r w:rsidR="00482C0B" w:rsidRPr="00EE5050">
        <w:rPr>
          <w:rFonts w:eastAsia="PMingLiU"/>
          <w:lang w:val="en-GB" w:eastAsia="zh-TW"/>
        </w:rPr>
        <w:t>JCHR</w:t>
      </w:r>
      <w:r w:rsidR="00482C0B">
        <w:rPr>
          <w:rFonts w:eastAsia="PMingLiU"/>
          <w:lang w:val="en-GB" w:eastAsia="zh-TW"/>
        </w:rPr>
        <w:t>’</w:t>
      </w:r>
      <w:r w:rsidR="00482C0B" w:rsidRPr="00EE5050">
        <w:rPr>
          <w:rFonts w:eastAsia="PMingLiU"/>
          <w:lang w:val="en-GB" w:eastAsia="zh-TW"/>
        </w:rPr>
        <w:t>) that have been extremely successful, and are widely acknowledged as vanguard models of legislative deliberation and authority as regards constitutional issues.</w:t>
      </w:r>
      <w:r w:rsidR="00482C0B" w:rsidRPr="00EE5050">
        <w:rPr>
          <w:rStyle w:val="FootnoteReference"/>
          <w:rFonts w:eastAsia="PMingLiU"/>
          <w:lang w:val="en-GB" w:eastAsia="zh-TW"/>
        </w:rPr>
        <w:footnoteReference w:id="17"/>
      </w:r>
      <w:r w:rsidR="00482C0B" w:rsidRPr="00EE5050">
        <w:rPr>
          <w:rFonts w:eastAsia="PMingLiU"/>
          <w:lang w:val="en-GB" w:eastAsia="zh-TW"/>
        </w:rPr>
        <w:t xml:space="preserve"> </w:t>
      </w:r>
      <w:r w:rsidR="00482C0B">
        <w:rPr>
          <w:rFonts w:eastAsia="PMingLiU"/>
          <w:lang w:val="en-GB" w:eastAsia="zh-TW"/>
        </w:rPr>
        <w:t>Further, t</w:t>
      </w:r>
      <w:r w:rsidR="00F22A9D" w:rsidRPr="00EE5050">
        <w:rPr>
          <w:rFonts w:eastAsia="PMingLiU"/>
          <w:lang w:val="en-GB" w:eastAsia="zh-TW"/>
        </w:rPr>
        <w:t xml:space="preserve">he standards and practices located in American </w:t>
      </w:r>
      <w:r w:rsidR="005C1D1D" w:rsidRPr="00EE5050">
        <w:rPr>
          <w:rFonts w:eastAsia="PMingLiU"/>
          <w:lang w:val="en-GB" w:eastAsia="zh-TW"/>
        </w:rPr>
        <w:t xml:space="preserve">law and </w:t>
      </w:r>
      <w:r w:rsidR="00F22A9D" w:rsidRPr="00EE5050">
        <w:rPr>
          <w:rFonts w:eastAsia="PMingLiU"/>
          <w:lang w:val="en-GB" w:eastAsia="zh-TW"/>
        </w:rPr>
        <w:t xml:space="preserve">constitutional review </w:t>
      </w:r>
      <w:r w:rsidR="00BE6B94" w:rsidRPr="00EE5050">
        <w:rPr>
          <w:rFonts w:eastAsia="PMingLiU"/>
          <w:lang w:val="en-GB" w:eastAsia="zh-TW"/>
        </w:rPr>
        <w:t>continue to have a large</w:t>
      </w:r>
      <w:r w:rsidR="00452E51" w:rsidRPr="00EE5050">
        <w:rPr>
          <w:rFonts w:eastAsia="PMingLiU"/>
          <w:lang w:val="en-GB" w:eastAsia="zh-TW"/>
        </w:rPr>
        <w:t xml:space="preserve"> influence on </w:t>
      </w:r>
      <w:r w:rsidR="00F22A9D" w:rsidRPr="00EE5050">
        <w:rPr>
          <w:rFonts w:eastAsia="PMingLiU"/>
          <w:lang w:val="en-GB" w:eastAsia="zh-TW"/>
        </w:rPr>
        <w:t>Taiwan</w:t>
      </w:r>
      <w:r w:rsidR="00452E51" w:rsidRPr="00EE5050">
        <w:rPr>
          <w:rFonts w:eastAsia="PMingLiU"/>
          <w:lang w:val="en-GB" w:eastAsia="zh-TW"/>
        </w:rPr>
        <w:t>ese</w:t>
      </w:r>
      <w:r w:rsidR="0038628D" w:rsidRPr="00EE5050">
        <w:rPr>
          <w:rFonts w:eastAsia="PMingLiU"/>
          <w:lang w:val="en-GB" w:eastAsia="zh-TW"/>
        </w:rPr>
        <w:t xml:space="preserve"> adjudication</w:t>
      </w:r>
      <w:r w:rsidR="00F22A9D" w:rsidRPr="00EE5050">
        <w:rPr>
          <w:rFonts w:eastAsia="PMingLiU"/>
          <w:lang w:val="en-GB" w:eastAsia="zh-TW"/>
        </w:rPr>
        <w:t>.</w:t>
      </w:r>
      <w:r w:rsidR="00F22A9D" w:rsidRPr="00EE5050">
        <w:rPr>
          <w:rStyle w:val="FootnoteReference"/>
          <w:rFonts w:eastAsia="PMingLiU"/>
          <w:lang w:val="en-GB" w:eastAsia="zh-TW"/>
        </w:rPr>
        <w:footnoteReference w:id="18"/>
      </w:r>
      <w:r w:rsidR="00F22A9D" w:rsidRPr="00EE5050">
        <w:rPr>
          <w:rFonts w:eastAsia="PMingLiU"/>
          <w:lang w:val="en-GB" w:eastAsia="zh-TW"/>
        </w:rPr>
        <w:t xml:space="preserve"> </w:t>
      </w:r>
      <w:r w:rsidR="005654B7" w:rsidRPr="00EE5050">
        <w:rPr>
          <w:rFonts w:eastAsia="PMingLiU"/>
          <w:lang w:val="en-GB" w:eastAsia="zh-TW"/>
        </w:rPr>
        <w:t xml:space="preserve">While it is acknowledged that </w:t>
      </w:r>
      <w:r w:rsidR="00897AC4" w:rsidRPr="00EE5050">
        <w:rPr>
          <w:rFonts w:eastAsia="PMingLiU"/>
          <w:lang w:val="en-GB" w:eastAsia="zh-TW"/>
        </w:rPr>
        <w:t>such</w:t>
      </w:r>
      <w:r w:rsidR="005654B7" w:rsidRPr="00EE5050">
        <w:rPr>
          <w:rFonts w:eastAsia="PMingLiU"/>
          <w:lang w:val="en-GB" w:eastAsia="zh-TW"/>
        </w:rPr>
        <w:t xml:space="preserve"> legislatures operate in different constitutional structures,</w:t>
      </w:r>
      <w:r w:rsidR="00191171" w:rsidRPr="00EE5050">
        <w:rPr>
          <w:rFonts w:eastAsia="PMingLiU"/>
          <w:lang w:val="en-GB" w:eastAsia="zh-TW"/>
        </w:rPr>
        <w:t xml:space="preserve"> the main focus of this article is constitutional </w:t>
      </w:r>
      <w:r w:rsidR="00D010E5" w:rsidRPr="00EE5050">
        <w:rPr>
          <w:rFonts w:eastAsia="PMingLiU"/>
          <w:lang w:val="en-GB" w:eastAsia="zh-TW"/>
        </w:rPr>
        <w:t xml:space="preserve">deliberation and </w:t>
      </w:r>
      <w:r w:rsidR="00191171" w:rsidRPr="00EE5050">
        <w:rPr>
          <w:rFonts w:eastAsia="PMingLiU"/>
          <w:lang w:val="en-GB" w:eastAsia="zh-TW"/>
        </w:rPr>
        <w:t>review</w:t>
      </w:r>
      <w:r w:rsidR="00580DE0" w:rsidRPr="00EE5050">
        <w:rPr>
          <w:rFonts w:eastAsia="PMingLiU"/>
          <w:lang w:val="en-GB" w:eastAsia="zh-TW"/>
        </w:rPr>
        <w:t xml:space="preserve">. </w:t>
      </w:r>
      <w:r w:rsidR="0038628D" w:rsidRPr="00EE5050">
        <w:rPr>
          <w:rFonts w:eastAsia="PMingLiU"/>
          <w:lang w:val="en-GB" w:eastAsia="zh-TW"/>
        </w:rPr>
        <w:t>A</w:t>
      </w:r>
      <w:r w:rsidR="006F0F4B" w:rsidRPr="00EE5050">
        <w:rPr>
          <w:rFonts w:eastAsia="PMingLiU"/>
          <w:lang w:val="en-GB" w:eastAsia="zh-TW"/>
        </w:rPr>
        <w:t xml:space="preserve">ll </w:t>
      </w:r>
      <w:r w:rsidR="003848A1" w:rsidRPr="00EE5050">
        <w:rPr>
          <w:rFonts w:eastAsia="PMingLiU"/>
          <w:lang w:val="en-GB" w:eastAsia="zh-TW"/>
        </w:rPr>
        <w:t xml:space="preserve">democratic </w:t>
      </w:r>
      <w:r w:rsidR="003C5AEA" w:rsidRPr="00EE5050">
        <w:rPr>
          <w:rFonts w:eastAsia="PMingLiU"/>
          <w:lang w:val="en-GB" w:eastAsia="zh-TW"/>
        </w:rPr>
        <w:t>legislature</w:t>
      </w:r>
      <w:r w:rsidR="00D010E5" w:rsidRPr="00EE5050">
        <w:rPr>
          <w:rFonts w:eastAsia="PMingLiU"/>
          <w:lang w:val="en-GB" w:eastAsia="zh-TW"/>
        </w:rPr>
        <w:t>s</w:t>
      </w:r>
      <w:r w:rsidR="003C5AEA" w:rsidRPr="00EE5050">
        <w:rPr>
          <w:rFonts w:eastAsia="PMingLiU"/>
          <w:lang w:val="en-GB" w:eastAsia="zh-TW"/>
        </w:rPr>
        <w:t xml:space="preserve"> can </w:t>
      </w:r>
      <w:r w:rsidR="00192288" w:rsidRPr="00EE5050">
        <w:rPr>
          <w:rFonts w:eastAsia="PMingLiU"/>
          <w:lang w:val="en-GB" w:eastAsia="zh-TW"/>
        </w:rPr>
        <w:t>attempt</w:t>
      </w:r>
      <w:r w:rsidR="003C5AEA" w:rsidRPr="00EE5050">
        <w:rPr>
          <w:rFonts w:eastAsia="PMingLiU"/>
          <w:lang w:val="en-GB" w:eastAsia="zh-TW"/>
        </w:rPr>
        <w:t xml:space="preserve"> to increase their constitu</w:t>
      </w:r>
      <w:r w:rsidR="002F16FD" w:rsidRPr="00EE5050">
        <w:rPr>
          <w:rFonts w:eastAsia="PMingLiU"/>
          <w:lang w:val="en-GB" w:eastAsia="zh-TW"/>
        </w:rPr>
        <w:t>tional interpretative authority</w:t>
      </w:r>
      <w:r w:rsidR="00482C0B">
        <w:rPr>
          <w:rFonts w:eastAsia="PMingLiU"/>
          <w:lang w:val="en-GB" w:eastAsia="zh-TW"/>
        </w:rPr>
        <w:t>,</w:t>
      </w:r>
      <w:r w:rsidR="002F16FD" w:rsidRPr="00EE5050">
        <w:rPr>
          <w:rFonts w:eastAsia="PMingLiU"/>
          <w:lang w:val="en-GB" w:eastAsia="zh-TW"/>
        </w:rPr>
        <w:t xml:space="preserve"> </w:t>
      </w:r>
      <w:r w:rsidR="002F16FD" w:rsidRPr="00EE5050">
        <w:rPr>
          <w:rFonts w:eastAsia="PMingLiU"/>
          <w:lang w:val="en-GB" w:eastAsia="zh-TW"/>
        </w:rPr>
        <w:lastRenderedPageBreak/>
        <w:t>and Taiwan</w:t>
      </w:r>
      <w:r w:rsidR="00AC357A">
        <w:rPr>
          <w:rFonts w:eastAsia="PMingLiU"/>
          <w:lang w:val="en-GB" w:eastAsia="zh-TW"/>
        </w:rPr>
        <w:t>’</w:t>
      </w:r>
      <w:r w:rsidR="00AB7850" w:rsidRPr="00EE5050">
        <w:rPr>
          <w:rFonts w:eastAsia="PMingLiU"/>
          <w:lang w:val="en-GB" w:eastAsia="zh-TW"/>
        </w:rPr>
        <w:t xml:space="preserve">s </w:t>
      </w:r>
      <w:r w:rsidR="002F16FD" w:rsidRPr="00EE5050">
        <w:rPr>
          <w:rFonts w:eastAsia="PMingLiU"/>
          <w:lang w:val="en-GB" w:eastAsia="zh-TW"/>
        </w:rPr>
        <w:t>is no different</w:t>
      </w:r>
      <w:r w:rsidR="003C5AEA" w:rsidRPr="00EE5050">
        <w:rPr>
          <w:rFonts w:eastAsia="PMingLiU"/>
          <w:lang w:val="en-GB" w:eastAsia="zh-TW"/>
        </w:rPr>
        <w:t>.</w:t>
      </w:r>
      <w:r w:rsidR="00E21F8E" w:rsidRPr="00EE5050">
        <w:rPr>
          <w:rStyle w:val="FootnoteReference"/>
          <w:rFonts w:eastAsia="PMingLiU"/>
          <w:lang w:val="en-GB" w:eastAsia="zh-TW"/>
        </w:rPr>
        <w:footnoteReference w:id="19"/>
      </w:r>
      <w:r w:rsidR="003C5AEA" w:rsidRPr="00EE5050">
        <w:rPr>
          <w:rFonts w:eastAsia="PMingLiU"/>
          <w:lang w:val="en-GB" w:eastAsia="zh-TW"/>
        </w:rPr>
        <w:t xml:space="preserve"> </w:t>
      </w:r>
      <w:r w:rsidR="00D010E5" w:rsidRPr="00EE5050">
        <w:rPr>
          <w:rFonts w:eastAsia="PMingLiU"/>
          <w:lang w:val="en-GB" w:eastAsia="zh-TW"/>
        </w:rPr>
        <w:t>Searching</w:t>
      </w:r>
      <w:r w:rsidR="003C5AEA" w:rsidRPr="00EE5050">
        <w:rPr>
          <w:rFonts w:eastAsia="PMingLiU"/>
          <w:lang w:val="en-GB" w:eastAsia="zh-TW"/>
        </w:rPr>
        <w:t xml:space="preserve"> for ideas is </w:t>
      </w:r>
      <w:r w:rsidR="00E05A97" w:rsidRPr="00EE5050">
        <w:rPr>
          <w:rFonts w:eastAsia="PMingLiU"/>
          <w:lang w:val="en-GB" w:eastAsia="zh-TW"/>
        </w:rPr>
        <w:t>a matter of legal borrowing, in which l</w:t>
      </w:r>
      <w:r w:rsidR="003C5AEA" w:rsidRPr="00EE5050">
        <w:rPr>
          <w:rFonts w:eastAsia="PMingLiU"/>
          <w:lang w:val="en-GB" w:eastAsia="zh-TW"/>
        </w:rPr>
        <w:t>aw and le</w:t>
      </w:r>
      <w:r w:rsidR="00E05A97" w:rsidRPr="00EE5050">
        <w:rPr>
          <w:rFonts w:eastAsia="PMingLiU"/>
          <w:lang w:val="en-GB" w:eastAsia="zh-TW"/>
        </w:rPr>
        <w:t>gal institutions</w:t>
      </w:r>
      <w:r w:rsidR="003C5AEA" w:rsidRPr="00EE5050">
        <w:rPr>
          <w:rFonts w:eastAsia="PMingLiU"/>
          <w:lang w:val="en-GB" w:eastAsia="zh-TW"/>
        </w:rPr>
        <w:t xml:space="preserve"> h</w:t>
      </w:r>
      <w:r w:rsidR="00897AC4" w:rsidRPr="00EE5050">
        <w:rPr>
          <w:rFonts w:eastAsia="PMingLiU"/>
          <w:lang w:val="en-GB" w:eastAsia="zh-TW"/>
        </w:rPr>
        <w:t>ave a rich history.</w:t>
      </w:r>
      <w:r w:rsidR="003C5AEA" w:rsidRPr="00EE5050">
        <w:rPr>
          <w:rFonts w:eastAsia="PMingLiU"/>
          <w:vertAlign w:val="superscript"/>
          <w:lang w:val="en-GB"/>
        </w:rPr>
        <w:footnoteReference w:id="20"/>
      </w:r>
      <w:r w:rsidR="00AF4CE3" w:rsidRPr="00EE5050">
        <w:rPr>
          <w:rFonts w:eastAsia="PMingLiU"/>
          <w:lang w:val="en-GB"/>
        </w:rPr>
        <w:t xml:space="preserve"> </w:t>
      </w:r>
      <w:r w:rsidR="00897AC4" w:rsidRPr="00EE5050">
        <w:rPr>
          <w:rFonts w:eastAsia="PMingLiU"/>
          <w:lang w:val="en-GB"/>
        </w:rPr>
        <w:t>S</w:t>
      </w:r>
      <w:r w:rsidR="00A13E7F" w:rsidRPr="00EE5050">
        <w:rPr>
          <w:rFonts w:eastAsia="PMingLiU"/>
          <w:lang w:val="en-GB"/>
        </w:rPr>
        <w:t xml:space="preserve">uch borrowing </w:t>
      </w:r>
      <w:r w:rsidR="00AF4CE3" w:rsidRPr="00EE5050">
        <w:rPr>
          <w:rFonts w:eastAsia="PMingLiU"/>
          <w:lang w:val="en-GB"/>
        </w:rPr>
        <w:t>is</w:t>
      </w:r>
      <w:r w:rsidR="003C5AEA" w:rsidRPr="00EE5050">
        <w:rPr>
          <w:rFonts w:eastAsia="PMingLiU"/>
          <w:lang w:val="en-GB"/>
        </w:rPr>
        <w:t xml:space="preserve"> </w:t>
      </w:r>
      <w:r w:rsidR="00B030F1" w:rsidRPr="00EE5050">
        <w:rPr>
          <w:rFonts w:eastAsia="PMingLiU"/>
          <w:lang w:val="en-GB"/>
        </w:rPr>
        <w:t>certainly apparent in Taiwan</w:t>
      </w:r>
      <w:r w:rsidR="00AC357A">
        <w:rPr>
          <w:rFonts w:eastAsia="PMingLiU"/>
          <w:lang w:val="en-GB"/>
        </w:rPr>
        <w:t>’</w:t>
      </w:r>
      <w:r w:rsidR="00D010E5" w:rsidRPr="00EE5050">
        <w:rPr>
          <w:rFonts w:eastAsia="PMingLiU"/>
          <w:lang w:val="en-GB"/>
        </w:rPr>
        <w:t>s</w:t>
      </w:r>
      <w:r w:rsidR="00B030F1" w:rsidRPr="00EE5050">
        <w:rPr>
          <w:rFonts w:eastAsia="PMingLiU"/>
          <w:lang w:val="en-GB"/>
        </w:rPr>
        <w:t xml:space="preserve"> Legislative Yuan</w:t>
      </w:r>
      <w:r w:rsidR="005E7EBC" w:rsidRPr="00EE5050">
        <w:rPr>
          <w:rFonts w:eastAsia="PMingLiU"/>
          <w:lang w:val="en-GB"/>
        </w:rPr>
        <w:t>.</w:t>
      </w:r>
      <w:r w:rsidR="00B030F1" w:rsidRPr="00EE5050">
        <w:rPr>
          <w:rStyle w:val="FootnoteReference"/>
          <w:rFonts w:eastAsia="PMingLiU"/>
          <w:lang w:val="en-GB"/>
        </w:rPr>
        <w:footnoteReference w:id="21"/>
      </w:r>
      <w:r w:rsidR="003A6C11" w:rsidRPr="00EE5050">
        <w:rPr>
          <w:rFonts w:eastAsia="PMingLiU"/>
          <w:lang w:val="en-GB"/>
        </w:rPr>
        <w:t xml:space="preserve"> Taiwan borrows </w:t>
      </w:r>
      <w:r w:rsidR="003C5AEA" w:rsidRPr="00EE5050">
        <w:rPr>
          <w:rFonts w:eastAsia="PMingLiU"/>
          <w:lang w:val="en-GB"/>
        </w:rPr>
        <w:t>legal rule</w:t>
      </w:r>
      <w:r w:rsidR="00796339" w:rsidRPr="00EE5050">
        <w:rPr>
          <w:rFonts w:eastAsia="PMingLiU"/>
          <w:lang w:val="en-GB"/>
        </w:rPr>
        <w:t>s and statutes from across the globe</w:t>
      </w:r>
      <w:r w:rsidR="005654B7" w:rsidRPr="00EE5050">
        <w:rPr>
          <w:rFonts w:eastAsia="PMingLiU"/>
        </w:rPr>
        <w:t>—</w:t>
      </w:r>
      <w:r w:rsidR="005654B7" w:rsidRPr="00EE5050">
        <w:rPr>
          <w:rFonts w:eastAsia="PMingLiU"/>
          <w:lang w:val="en-GB"/>
        </w:rPr>
        <w:t>its</w:t>
      </w:r>
      <w:r w:rsidR="000D7555" w:rsidRPr="00EE5050">
        <w:rPr>
          <w:rFonts w:eastAsia="PMingLiU"/>
          <w:lang w:val="en-GB"/>
        </w:rPr>
        <w:t xml:space="preserve"> </w:t>
      </w:r>
      <w:r w:rsidR="00021536" w:rsidRPr="00EE5050">
        <w:rPr>
          <w:rFonts w:eastAsia="PMingLiU"/>
          <w:lang w:val="en-GB"/>
        </w:rPr>
        <w:t xml:space="preserve">legal </w:t>
      </w:r>
      <w:r w:rsidR="000D7555" w:rsidRPr="00EE5050">
        <w:rPr>
          <w:rFonts w:eastAsia="PMingLiU"/>
          <w:lang w:val="en-GB"/>
        </w:rPr>
        <w:t xml:space="preserve">system </w:t>
      </w:r>
      <w:r w:rsidR="00021536" w:rsidRPr="00EE5050">
        <w:rPr>
          <w:rFonts w:eastAsia="PMingLiU"/>
          <w:lang w:val="en-GB"/>
        </w:rPr>
        <w:t xml:space="preserve">and constitutional review structure </w:t>
      </w:r>
      <w:r w:rsidR="00A13E7F" w:rsidRPr="00EE5050">
        <w:rPr>
          <w:rFonts w:eastAsia="PMingLiU"/>
          <w:lang w:val="en-GB"/>
        </w:rPr>
        <w:t>are</w:t>
      </w:r>
      <w:r w:rsidR="000D7555" w:rsidRPr="00EE5050">
        <w:rPr>
          <w:rFonts w:eastAsia="PMingLiU"/>
          <w:lang w:val="en-GB"/>
        </w:rPr>
        <w:t xml:space="preserve"> a collection of various </w:t>
      </w:r>
      <w:r w:rsidR="00E63FBF" w:rsidRPr="00EE5050">
        <w:rPr>
          <w:rFonts w:eastAsia="PMingLiU"/>
          <w:lang w:val="en-GB"/>
        </w:rPr>
        <w:t xml:space="preserve">Japanese, </w:t>
      </w:r>
      <w:r w:rsidR="000D7555" w:rsidRPr="00EE5050">
        <w:rPr>
          <w:rFonts w:eastAsia="PMingLiU"/>
          <w:lang w:val="en-GB"/>
        </w:rPr>
        <w:t>US</w:t>
      </w:r>
      <w:r w:rsidR="00021536" w:rsidRPr="00EE5050">
        <w:rPr>
          <w:rFonts w:eastAsia="PMingLiU"/>
          <w:lang w:val="en-GB"/>
        </w:rPr>
        <w:t xml:space="preserve"> </w:t>
      </w:r>
      <w:r w:rsidR="000D7555" w:rsidRPr="00EE5050">
        <w:rPr>
          <w:rFonts w:eastAsia="PMingLiU"/>
          <w:lang w:val="en-GB"/>
        </w:rPr>
        <w:t xml:space="preserve">and European </w:t>
      </w:r>
      <w:r w:rsidR="00021536" w:rsidRPr="00EE5050">
        <w:rPr>
          <w:rFonts w:eastAsia="PMingLiU"/>
          <w:lang w:val="en-GB"/>
        </w:rPr>
        <w:t>(predominately German) customs.</w:t>
      </w:r>
      <w:r w:rsidR="003A6C11" w:rsidRPr="00EE5050">
        <w:rPr>
          <w:rStyle w:val="FootnoteReference"/>
          <w:rFonts w:eastAsia="PMingLiU"/>
          <w:lang w:val="en-GB"/>
        </w:rPr>
        <w:footnoteReference w:id="22"/>
      </w:r>
      <w:r w:rsidR="000D7555" w:rsidRPr="00EE5050">
        <w:rPr>
          <w:rFonts w:eastAsia="PMingLiU"/>
          <w:lang w:val="en-GB"/>
        </w:rPr>
        <w:t xml:space="preserve"> Fur</w:t>
      </w:r>
      <w:r w:rsidR="005E7EBC" w:rsidRPr="00EE5050">
        <w:rPr>
          <w:rFonts w:eastAsia="PMingLiU"/>
          <w:lang w:val="en-GB"/>
        </w:rPr>
        <w:t>ther, c</w:t>
      </w:r>
      <w:r w:rsidR="003C5AEA" w:rsidRPr="00EE5050">
        <w:rPr>
          <w:rFonts w:eastAsia="PMingLiU"/>
          <w:lang w:val="en-GB"/>
        </w:rPr>
        <w:t xml:space="preserve">onstitutional interpretative authority does not </w:t>
      </w:r>
      <w:r w:rsidR="001C0056" w:rsidRPr="00EE5050">
        <w:rPr>
          <w:rFonts w:eastAsia="PMingLiU"/>
          <w:lang w:val="en-GB"/>
        </w:rPr>
        <w:t xml:space="preserve">have to </w:t>
      </w:r>
      <w:r w:rsidR="003C5AEA" w:rsidRPr="00EE5050">
        <w:rPr>
          <w:rFonts w:eastAsia="PMingLiU"/>
          <w:lang w:val="en-GB"/>
        </w:rPr>
        <w:t xml:space="preserve">appear in statutory </w:t>
      </w:r>
      <w:r w:rsidR="00E05A97" w:rsidRPr="00EE5050">
        <w:rPr>
          <w:rFonts w:eastAsia="PMingLiU"/>
          <w:lang w:val="en-GB"/>
        </w:rPr>
        <w:t xml:space="preserve">or constitutional (amendment) </w:t>
      </w:r>
      <w:r w:rsidR="005E7EBC" w:rsidRPr="00EE5050">
        <w:rPr>
          <w:rFonts w:eastAsia="PMingLiU"/>
          <w:lang w:val="en-GB"/>
        </w:rPr>
        <w:t>form</w:t>
      </w:r>
      <w:r w:rsidR="005E7EBC" w:rsidRPr="00EE5050">
        <w:rPr>
          <w:rFonts w:eastAsia="PMingLiU"/>
        </w:rPr>
        <w:t>—</w:t>
      </w:r>
      <w:r w:rsidR="003C5AEA" w:rsidRPr="00EE5050">
        <w:rPr>
          <w:rFonts w:eastAsia="PMingLiU"/>
          <w:lang w:val="en-GB"/>
        </w:rPr>
        <w:t xml:space="preserve">ideas other legislatures have </w:t>
      </w:r>
      <w:r w:rsidR="000D7555" w:rsidRPr="00EE5050">
        <w:rPr>
          <w:rFonts w:eastAsia="PMingLiU"/>
          <w:lang w:val="en-GB"/>
        </w:rPr>
        <w:t xml:space="preserve">implemented </w:t>
      </w:r>
      <w:r w:rsidR="003C5AEA" w:rsidRPr="00EE5050">
        <w:rPr>
          <w:rFonts w:eastAsia="PMingLiU"/>
          <w:lang w:val="en-GB"/>
        </w:rPr>
        <w:t>in regard to the practice may fit well with the Legislative Yuan</w:t>
      </w:r>
      <w:r w:rsidR="001C0056" w:rsidRPr="00EE5050">
        <w:rPr>
          <w:rFonts w:eastAsia="PMingLiU"/>
          <w:lang w:val="en-GB"/>
        </w:rPr>
        <w:t xml:space="preserve"> or may motivate the Yuan to adopt </w:t>
      </w:r>
      <w:r w:rsidR="006F0F4B" w:rsidRPr="00EE5050">
        <w:rPr>
          <w:rFonts w:eastAsia="PMingLiU"/>
          <w:lang w:val="en-GB"/>
        </w:rPr>
        <w:t>similar</w:t>
      </w:r>
      <w:r w:rsidR="000D7555" w:rsidRPr="00EE5050">
        <w:rPr>
          <w:rFonts w:eastAsia="PMingLiU"/>
          <w:lang w:val="en-GB"/>
        </w:rPr>
        <w:t xml:space="preserve"> </w:t>
      </w:r>
      <w:r w:rsidR="006F0F4B" w:rsidRPr="00EE5050">
        <w:rPr>
          <w:rFonts w:eastAsia="PMingLiU"/>
          <w:lang w:val="en-GB"/>
        </w:rPr>
        <w:t xml:space="preserve">or </w:t>
      </w:r>
      <w:r w:rsidR="003B7A1A" w:rsidRPr="00EE5050">
        <w:rPr>
          <w:rFonts w:eastAsia="PMingLiU"/>
          <w:lang w:val="en-GB"/>
        </w:rPr>
        <w:t>more innovative</w:t>
      </w:r>
      <w:r w:rsidR="001C0056" w:rsidRPr="00EE5050">
        <w:rPr>
          <w:rFonts w:eastAsia="PMingLiU"/>
          <w:lang w:val="en-GB"/>
        </w:rPr>
        <w:t xml:space="preserve"> methods</w:t>
      </w:r>
      <w:r w:rsidR="003C5AEA" w:rsidRPr="00EE5050">
        <w:rPr>
          <w:rFonts w:eastAsia="PMingLiU"/>
          <w:lang w:val="en-GB"/>
        </w:rPr>
        <w:t>.</w:t>
      </w:r>
    </w:p>
    <w:p w14:paraId="00D7B509" w14:textId="77777777" w:rsidR="003B7A1A" w:rsidRPr="00EE5050" w:rsidRDefault="003B7A1A" w:rsidP="0078224F">
      <w:pPr>
        <w:pStyle w:val="NoSpacing"/>
        <w:tabs>
          <w:tab w:val="left" w:pos="993"/>
          <w:tab w:val="left" w:pos="1440"/>
        </w:tabs>
        <w:spacing w:line="480" w:lineRule="auto"/>
        <w:jc w:val="both"/>
        <w:rPr>
          <w:rFonts w:eastAsia="PMingLiU"/>
          <w:lang w:val="en-GB" w:eastAsia="zh-TW"/>
        </w:rPr>
      </w:pPr>
    </w:p>
    <w:p w14:paraId="6E48C9FF" w14:textId="77777777" w:rsidR="00C8715C" w:rsidRPr="00EE5050" w:rsidRDefault="004D0F0A" w:rsidP="004D0F0A">
      <w:pPr>
        <w:pStyle w:val="NoSpacing"/>
        <w:tabs>
          <w:tab w:val="left" w:pos="1440"/>
          <w:tab w:val="left" w:pos="1560"/>
          <w:tab w:val="left" w:pos="1985"/>
        </w:tabs>
        <w:spacing w:line="480" w:lineRule="auto"/>
        <w:ind w:left="1701"/>
        <w:rPr>
          <w:rFonts w:eastAsia="PMingLiU"/>
          <w:b/>
          <w:sz w:val="28"/>
          <w:lang w:val="en-GB" w:eastAsia="zh-TW"/>
        </w:rPr>
      </w:pPr>
      <w:r>
        <w:rPr>
          <w:rFonts w:eastAsia="PMingLiU"/>
          <w:b/>
          <w:sz w:val="28"/>
          <w:lang w:val="en-GB" w:eastAsia="zh-TW"/>
        </w:rPr>
        <w:t>II. </w:t>
      </w:r>
      <w:r w:rsidR="00F76C7D" w:rsidRPr="00EE5050">
        <w:rPr>
          <w:rFonts w:eastAsia="PMingLiU"/>
          <w:b/>
          <w:sz w:val="28"/>
          <w:lang w:val="en-GB" w:eastAsia="zh-TW"/>
        </w:rPr>
        <w:t>The Dynamic Nature of Constitutional Review</w:t>
      </w:r>
    </w:p>
    <w:p w14:paraId="797A3086" w14:textId="77777777" w:rsidR="000F4A39" w:rsidRPr="005D14F8" w:rsidRDefault="000F4A39" w:rsidP="00C8715C">
      <w:pPr>
        <w:pStyle w:val="NoSpacing"/>
        <w:tabs>
          <w:tab w:val="left" w:pos="1276"/>
          <w:tab w:val="left" w:pos="1440"/>
        </w:tabs>
        <w:spacing w:line="480" w:lineRule="auto"/>
        <w:jc w:val="both"/>
        <w:rPr>
          <w:rFonts w:eastAsia="PMingLiU"/>
          <w:b/>
          <w:i/>
          <w:sz w:val="28"/>
          <w:lang w:val="en-GB" w:eastAsia="zh-TW"/>
        </w:rPr>
      </w:pPr>
      <w:r w:rsidRPr="005D14F8">
        <w:rPr>
          <w:rFonts w:eastAsia="PMingLiU"/>
          <w:b/>
          <w:i/>
          <w:sz w:val="28"/>
          <w:lang w:val="en-GB" w:eastAsia="zh-TW"/>
        </w:rPr>
        <w:t>A. Overview</w:t>
      </w:r>
    </w:p>
    <w:p w14:paraId="5FA477D8" w14:textId="77777777" w:rsidR="003D4EB0" w:rsidRPr="00EE5050" w:rsidRDefault="00C8715C" w:rsidP="00C8715C">
      <w:pPr>
        <w:pStyle w:val="NoSpacing"/>
        <w:tabs>
          <w:tab w:val="left" w:pos="1276"/>
          <w:tab w:val="left" w:pos="1440"/>
        </w:tabs>
        <w:spacing w:line="480" w:lineRule="auto"/>
        <w:jc w:val="both"/>
        <w:rPr>
          <w:rFonts w:eastAsia="PMingLiU"/>
          <w:lang w:val="en-GB" w:eastAsia="zh-TW"/>
        </w:rPr>
      </w:pPr>
      <w:proofErr w:type="spellStart"/>
      <w:r w:rsidRPr="00EE5050">
        <w:rPr>
          <w:rFonts w:eastAsia="PMingLiU"/>
          <w:lang w:val="en-GB" w:eastAsia="zh-TW"/>
        </w:rPr>
        <w:t>Maartje</w:t>
      </w:r>
      <w:proofErr w:type="spellEnd"/>
      <w:r w:rsidRPr="00EE5050">
        <w:rPr>
          <w:rFonts w:eastAsia="PMingLiU"/>
          <w:lang w:val="en-GB" w:eastAsia="zh-TW"/>
        </w:rPr>
        <w:t xml:space="preserve"> de </w:t>
      </w:r>
      <w:proofErr w:type="spellStart"/>
      <w:r w:rsidRPr="00EE5050">
        <w:rPr>
          <w:rFonts w:eastAsia="PMingLiU"/>
          <w:lang w:val="en-GB" w:eastAsia="zh-TW"/>
        </w:rPr>
        <w:t>Visser</w:t>
      </w:r>
      <w:proofErr w:type="spellEnd"/>
      <w:r w:rsidRPr="00EE5050">
        <w:rPr>
          <w:rFonts w:eastAsia="PMingLiU"/>
          <w:lang w:val="en-GB" w:eastAsia="zh-TW"/>
        </w:rPr>
        <w:t xml:space="preserve"> notes that </w:t>
      </w:r>
      <w:r w:rsidR="00AC357A">
        <w:rPr>
          <w:rFonts w:eastAsia="PMingLiU"/>
          <w:lang w:val="en-GB" w:eastAsia="zh-TW"/>
        </w:rPr>
        <w:t>‘</w:t>
      </w:r>
      <w:r w:rsidRPr="00EE5050">
        <w:rPr>
          <w:rFonts w:eastAsia="PMingLiU"/>
          <w:lang w:val="en-GB" w:eastAsia="zh-TW"/>
        </w:rPr>
        <w:t>[d]</w:t>
      </w:r>
      <w:proofErr w:type="spellStart"/>
      <w:r w:rsidRPr="00EE5050">
        <w:rPr>
          <w:rFonts w:eastAsia="PMingLiU"/>
          <w:lang w:val="en-GB" w:eastAsia="zh-TW"/>
        </w:rPr>
        <w:t>eciding</w:t>
      </w:r>
      <w:proofErr w:type="spellEnd"/>
      <w:r w:rsidRPr="00EE5050">
        <w:rPr>
          <w:rFonts w:eastAsia="PMingLiU"/>
          <w:lang w:val="en-GB" w:eastAsia="zh-TW"/>
        </w:rPr>
        <w:t xml:space="preserve"> on the institutional arrangements to enforce the supremacy of a constitution is often regarded as a veritable evergreen of constitutional law</w:t>
      </w:r>
      <w:r w:rsidR="00AC357A">
        <w:rPr>
          <w:rFonts w:eastAsia="PMingLiU"/>
          <w:lang w:val="en-GB" w:eastAsia="zh-TW"/>
        </w:rPr>
        <w:t>’</w:t>
      </w:r>
      <w:r w:rsidRPr="00EE5050">
        <w:rPr>
          <w:rFonts w:eastAsia="PMingLiU"/>
          <w:lang w:val="en-GB" w:eastAsia="zh-TW"/>
        </w:rPr>
        <w:t>.</w:t>
      </w:r>
      <w:r w:rsidRPr="00EE5050">
        <w:rPr>
          <w:rStyle w:val="FootnoteReference"/>
          <w:rFonts w:eastAsia="PMingLiU"/>
          <w:lang w:val="en-GB" w:eastAsia="zh-TW"/>
        </w:rPr>
        <w:footnoteReference w:id="23"/>
      </w:r>
      <w:r w:rsidR="003C5AEA" w:rsidRPr="00EE5050">
        <w:rPr>
          <w:rFonts w:eastAsia="PMingLiU"/>
          <w:lang w:val="en-GB" w:eastAsia="zh-TW"/>
        </w:rPr>
        <w:t xml:space="preserve"> Indeed</w:t>
      </w:r>
      <w:r w:rsidR="00E24688">
        <w:rPr>
          <w:rFonts w:eastAsia="PMingLiU"/>
          <w:lang w:val="en-GB" w:eastAsia="zh-TW"/>
        </w:rPr>
        <w:t>,</w:t>
      </w:r>
      <w:r w:rsidRPr="00EE5050">
        <w:rPr>
          <w:rFonts w:eastAsia="PMingLiU"/>
          <w:lang w:val="en-GB" w:eastAsia="zh-TW"/>
        </w:rPr>
        <w:t xml:space="preserve"> even in stable democracies</w:t>
      </w:r>
      <w:r w:rsidR="00E24688">
        <w:rPr>
          <w:rFonts w:eastAsia="PMingLiU"/>
          <w:lang w:val="en-GB" w:eastAsia="zh-TW"/>
        </w:rPr>
        <w:t>,</w:t>
      </w:r>
      <w:r w:rsidRPr="00EE5050">
        <w:rPr>
          <w:rFonts w:eastAsia="PMingLiU"/>
          <w:lang w:val="en-GB" w:eastAsia="zh-TW"/>
        </w:rPr>
        <w:t xml:space="preserve"> constitutional arrangements appear to co</w:t>
      </w:r>
      <w:r w:rsidR="003C5AEA" w:rsidRPr="00EE5050">
        <w:rPr>
          <w:rFonts w:eastAsia="PMingLiU"/>
          <w:lang w:val="en-GB" w:eastAsia="zh-TW"/>
        </w:rPr>
        <w:t>nstantly be changing.</w:t>
      </w:r>
      <w:r w:rsidR="001C0056" w:rsidRPr="00EE5050">
        <w:rPr>
          <w:rStyle w:val="FootnoteReference"/>
          <w:rFonts w:eastAsia="PMingLiU"/>
          <w:lang w:val="en-GB" w:eastAsia="zh-TW"/>
        </w:rPr>
        <w:footnoteReference w:id="24"/>
      </w:r>
      <w:r w:rsidR="003C5AEA" w:rsidRPr="00EE5050">
        <w:rPr>
          <w:rFonts w:eastAsia="PMingLiU"/>
          <w:lang w:val="en-GB" w:eastAsia="zh-TW"/>
        </w:rPr>
        <w:t xml:space="preserve"> Q</w:t>
      </w:r>
      <w:r w:rsidRPr="00EE5050">
        <w:rPr>
          <w:rFonts w:eastAsia="PMingLiU"/>
          <w:lang w:val="en-GB" w:eastAsia="zh-TW"/>
        </w:rPr>
        <w:t xml:space="preserve">uestioning such </w:t>
      </w:r>
      <w:r w:rsidR="00A13E7F" w:rsidRPr="00EE5050">
        <w:rPr>
          <w:rFonts w:eastAsia="PMingLiU"/>
          <w:lang w:val="en-GB" w:eastAsia="zh-TW"/>
        </w:rPr>
        <w:t>arrangement</w:t>
      </w:r>
      <w:r w:rsidR="00497238" w:rsidRPr="00EE5050">
        <w:rPr>
          <w:rFonts w:eastAsia="PMingLiU"/>
          <w:lang w:val="en-GB" w:eastAsia="zh-TW"/>
        </w:rPr>
        <w:t>s</w:t>
      </w:r>
      <w:r w:rsidRPr="00EE5050">
        <w:rPr>
          <w:rFonts w:eastAsia="PMingLiU"/>
          <w:lang w:val="en-GB" w:eastAsia="zh-TW"/>
        </w:rPr>
        <w:t xml:space="preserve"> </w:t>
      </w:r>
      <w:r w:rsidR="00014F58" w:rsidRPr="00EE5050">
        <w:rPr>
          <w:rFonts w:eastAsia="PMingLiU"/>
          <w:lang w:val="en-GB" w:eastAsia="zh-TW"/>
        </w:rPr>
        <w:t xml:space="preserve">is </w:t>
      </w:r>
      <w:r w:rsidR="00A13E7F" w:rsidRPr="00EE5050">
        <w:rPr>
          <w:rFonts w:eastAsia="PMingLiU"/>
          <w:lang w:val="en-GB" w:eastAsia="zh-TW"/>
        </w:rPr>
        <w:t xml:space="preserve">in fact </w:t>
      </w:r>
      <w:r w:rsidRPr="00EE5050">
        <w:rPr>
          <w:rFonts w:eastAsia="PMingLiU"/>
          <w:lang w:val="en-GB" w:eastAsia="zh-TW"/>
        </w:rPr>
        <w:t xml:space="preserve">part of the democratic </w:t>
      </w:r>
      <w:r w:rsidRPr="00EE5050">
        <w:rPr>
          <w:rFonts w:eastAsia="PMingLiU"/>
          <w:lang w:val="en-GB" w:eastAsia="zh-TW"/>
        </w:rPr>
        <w:lastRenderedPageBreak/>
        <w:t xml:space="preserve">process. </w:t>
      </w:r>
      <w:r w:rsidR="00021536" w:rsidRPr="00EE5050">
        <w:rPr>
          <w:rFonts w:eastAsia="PMingLiU"/>
          <w:lang w:val="en-GB" w:eastAsia="zh-TW"/>
        </w:rPr>
        <w:t>Assessing</w:t>
      </w:r>
      <w:r w:rsidR="003D4EB0" w:rsidRPr="00EE5050">
        <w:rPr>
          <w:rFonts w:eastAsia="PMingLiU"/>
          <w:lang w:val="en-GB" w:eastAsia="zh-TW"/>
        </w:rPr>
        <w:t xml:space="preserve"> whether a constitutional structure is properly working, however, is much more difficult to determine. </w:t>
      </w:r>
    </w:p>
    <w:p w14:paraId="43967A5A" w14:textId="02090162" w:rsidR="00145965" w:rsidRPr="00EE5050" w:rsidRDefault="00796339" w:rsidP="00A31E24">
      <w:pPr>
        <w:pStyle w:val="NoSpacing"/>
        <w:tabs>
          <w:tab w:val="left" w:pos="1276"/>
          <w:tab w:val="left" w:pos="1440"/>
        </w:tabs>
        <w:spacing w:line="480" w:lineRule="auto"/>
        <w:ind w:firstLineChars="295" w:firstLine="708"/>
        <w:jc w:val="both"/>
        <w:rPr>
          <w:rFonts w:eastAsia="PMingLiU"/>
          <w:lang w:val="en-GB" w:eastAsia="zh-TW"/>
        </w:rPr>
      </w:pPr>
      <w:r w:rsidRPr="00EE5050">
        <w:rPr>
          <w:rFonts w:eastAsia="PMingLiU"/>
          <w:lang w:val="en-GB" w:eastAsia="zh-TW"/>
        </w:rPr>
        <w:t>E</w:t>
      </w:r>
      <w:r w:rsidR="003D4EB0" w:rsidRPr="00EE5050">
        <w:rPr>
          <w:rFonts w:eastAsia="PMingLiU"/>
          <w:lang w:val="en-GB" w:eastAsia="zh-TW"/>
        </w:rPr>
        <w:t xml:space="preserve">xamples </w:t>
      </w:r>
      <w:r w:rsidRPr="00EE5050">
        <w:rPr>
          <w:rFonts w:eastAsia="PMingLiU"/>
          <w:lang w:val="en-GB" w:eastAsia="zh-TW"/>
        </w:rPr>
        <w:t xml:space="preserve">regarding the dynamic nature of constitutional structures </w:t>
      </w:r>
      <w:r w:rsidR="00D010E5" w:rsidRPr="00EE5050">
        <w:rPr>
          <w:rFonts w:eastAsia="PMingLiU"/>
          <w:lang w:val="en-GB" w:eastAsia="zh-TW"/>
        </w:rPr>
        <w:t>arise</w:t>
      </w:r>
      <w:r w:rsidR="003D4EB0" w:rsidRPr="00EE5050">
        <w:rPr>
          <w:rFonts w:eastAsia="PMingLiU"/>
          <w:lang w:val="en-GB" w:eastAsia="zh-TW"/>
        </w:rPr>
        <w:t xml:space="preserve"> </w:t>
      </w:r>
      <w:r w:rsidR="00D010E5" w:rsidRPr="00EE5050">
        <w:rPr>
          <w:rFonts w:eastAsia="PMingLiU"/>
          <w:lang w:val="en-GB" w:eastAsia="zh-TW"/>
        </w:rPr>
        <w:t>in</w:t>
      </w:r>
      <w:r w:rsidR="003D4EB0" w:rsidRPr="00EE5050">
        <w:rPr>
          <w:rFonts w:eastAsia="PMingLiU"/>
          <w:lang w:val="en-GB" w:eastAsia="zh-TW"/>
        </w:rPr>
        <w:t xml:space="preserve"> the jurisdictions consulted in this article. T</w:t>
      </w:r>
      <w:r w:rsidR="00C8715C" w:rsidRPr="00EE5050">
        <w:rPr>
          <w:rFonts w:eastAsia="PMingLiU"/>
          <w:lang w:val="en-GB" w:eastAsia="zh-TW"/>
        </w:rPr>
        <w:t xml:space="preserve">he UK </w:t>
      </w:r>
      <w:r w:rsidR="003D4EB0" w:rsidRPr="00EE5050">
        <w:rPr>
          <w:rFonts w:eastAsia="PMingLiU"/>
          <w:lang w:val="en-GB" w:eastAsia="zh-TW"/>
        </w:rPr>
        <w:t xml:space="preserve">currently </w:t>
      </w:r>
      <w:r w:rsidR="00C8715C" w:rsidRPr="00EE5050">
        <w:rPr>
          <w:rFonts w:eastAsia="PMingLiU"/>
          <w:lang w:val="en-GB" w:eastAsia="zh-TW"/>
        </w:rPr>
        <w:t xml:space="preserve">operates on a system based </w:t>
      </w:r>
      <w:r w:rsidR="00713184" w:rsidRPr="00EE5050">
        <w:rPr>
          <w:rFonts w:eastAsia="PMingLiU"/>
          <w:lang w:val="en-GB" w:eastAsia="zh-TW"/>
        </w:rPr>
        <w:t>around</w:t>
      </w:r>
      <w:r w:rsidR="00C8715C" w:rsidRPr="00EE5050">
        <w:rPr>
          <w:rFonts w:eastAsia="PMingLiU"/>
          <w:lang w:val="en-GB" w:eastAsia="zh-TW"/>
        </w:rPr>
        <w:t xml:space="preserve"> parliamentary supremacy and judges are not allowed to strike down acts of parliament.</w:t>
      </w:r>
      <w:r w:rsidR="009677D0" w:rsidRPr="00EE5050">
        <w:rPr>
          <w:rStyle w:val="FootnoteReference"/>
          <w:rFonts w:eastAsia="PMingLiU"/>
          <w:lang w:val="en-GB" w:eastAsia="zh-TW"/>
        </w:rPr>
        <w:footnoteReference w:id="25"/>
      </w:r>
      <w:r w:rsidR="00192288" w:rsidRPr="00EE5050">
        <w:rPr>
          <w:rFonts w:eastAsia="PMingLiU"/>
          <w:lang w:val="en-GB" w:eastAsia="zh-TW"/>
        </w:rPr>
        <w:t xml:space="preserve"> Yet </w:t>
      </w:r>
      <w:r w:rsidR="00C8715C" w:rsidRPr="00EE5050">
        <w:rPr>
          <w:rFonts w:eastAsia="PMingLiU"/>
          <w:lang w:val="en-GB" w:eastAsia="zh-TW"/>
        </w:rPr>
        <w:t xml:space="preserve">many believe </w:t>
      </w:r>
      <w:r w:rsidR="007C77EA" w:rsidRPr="00EE5050">
        <w:rPr>
          <w:rFonts w:eastAsia="PMingLiU"/>
          <w:lang w:val="en-GB" w:eastAsia="zh-TW"/>
        </w:rPr>
        <w:t xml:space="preserve">judicial review </w:t>
      </w:r>
      <w:r w:rsidR="00812598" w:rsidRPr="00EE5050">
        <w:rPr>
          <w:rFonts w:eastAsia="PMingLiU"/>
          <w:lang w:val="en-GB" w:eastAsia="zh-TW"/>
        </w:rPr>
        <w:t xml:space="preserve">and legal constitutionalism </w:t>
      </w:r>
      <w:r w:rsidR="007C77EA" w:rsidRPr="00EE5050">
        <w:rPr>
          <w:rFonts w:eastAsia="PMingLiU"/>
          <w:lang w:val="en-GB" w:eastAsia="zh-TW"/>
        </w:rPr>
        <w:t xml:space="preserve">has strengthened </w:t>
      </w:r>
      <w:r w:rsidR="00C8715C" w:rsidRPr="00EE5050">
        <w:rPr>
          <w:rFonts w:eastAsia="PMingLiU"/>
          <w:lang w:val="en-GB" w:eastAsia="zh-TW"/>
        </w:rPr>
        <w:t>in the UK since passage of the Human Rights Act 1998</w:t>
      </w:r>
      <w:r w:rsidR="00040B51" w:rsidRPr="00EE5050">
        <w:rPr>
          <w:rFonts w:eastAsia="PMingLiU"/>
          <w:lang w:val="en-GB" w:eastAsia="zh-TW"/>
        </w:rPr>
        <w:t>,</w:t>
      </w:r>
      <w:r w:rsidR="003B7A1A" w:rsidRPr="00EE5050">
        <w:rPr>
          <w:rStyle w:val="FootnoteReference"/>
          <w:rFonts w:eastAsia="PMingLiU"/>
          <w:lang w:val="en-GB" w:eastAsia="zh-TW"/>
        </w:rPr>
        <w:footnoteReference w:id="26"/>
      </w:r>
      <w:r w:rsidR="00412B46" w:rsidRPr="00EE5050">
        <w:rPr>
          <w:rFonts w:eastAsia="PMingLiU"/>
          <w:lang w:val="en-GB" w:eastAsia="zh-TW"/>
        </w:rPr>
        <w:t xml:space="preserve"> or has gotten </w:t>
      </w:r>
      <w:r w:rsidR="008E03D9" w:rsidRPr="00EE5050">
        <w:rPr>
          <w:rFonts w:eastAsia="PMingLiU"/>
          <w:lang w:val="en-GB" w:eastAsia="zh-TW"/>
        </w:rPr>
        <w:t>stronger for other reasons</w:t>
      </w:r>
      <w:r w:rsidR="00C8715C" w:rsidRPr="00EE5050">
        <w:rPr>
          <w:rFonts w:eastAsia="PMingLiU"/>
          <w:lang w:val="en-GB" w:eastAsia="zh-TW"/>
        </w:rPr>
        <w:t>.</w:t>
      </w:r>
      <w:r w:rsidR="008E03D9" w:rsidRPr="00EE5050">
        <w:rPr>
          <w:rStyle w:val="FootnoteReference"/>
          <w:rFonts w:eastAsia="PMingLiU"/>
          <w:lang w:val="en-GB" w:eastAsia="zh-TW"/>
        </w:rPr>
        <w:footnoteReference w:id="27"/>
      </w:r>
      <w:r w:rsidR="00192288" w:rsidRPr="00EE5050">
        <w:rPr>
          <w:rFonts w:eastAsia="PMingLiU"/>
          <w:lang w:val="en-GB" w:eastAsia="zh-TW"/>
        </w:rPr>
        <w:t xml:space="preserve"> </w:t>
      </w:r>
      <w:r w:rsidR="000C56AA" w:rsidRPr="00EE5050">
        <w:rPr>
          <w:rFonts w:eastAsia="PMingLiU"/>
          <w:lang w:val="en-GB" w:eastAsia="zh-TW"/>
        </w:rPr>
        <w:t>During this p</w:t>
      </w:r>
      <w:r w:rsidR="00054F87" w:rsidRPr="00EE5050">
        <w:rPr>
          <w:rFonts w:eastAsia="PMingLiU"/>
          <w:lang w:val="en-GB" w:eastAsia="zh-TW"/>
        </w:rPr>
        <w:t>eriod of constitutional change, or perhaps in response to it,</w:t>
      </w:r>
      <w:r w:rsidR="000C56AA" w:rsidRPr="00EE5050">
        <w:rPr>
          <w:rFonts w:eastAsia="PMingLiU"/>
          <w:lang w:val="en-GB" w:eastAsia="zh-TW"/>
        </w:rPr>
        <w:t xml:space="preserve"> the </w:t>
      </w:r>
      <w:r w:rsidR="00072D06" w:rsidRPr="00EE5050">
        <w:rPr>
          <w:rFonts w:eastAsia="PMingLiU"/>
          <w:lang w:val="en-GB" w:eastAsia="zh-TW"/>
        </w:rPr>
        <w:t xml:space="preserve">Westminster Parliament inserted mechanisms to increase their constitutional assessment procedures of pending legislation, </w:t>
      </w:r>
      <w:r w:rsidR="0099555B">
        <w:rPr>
          <w:rFonts w:eastAsia="PMingLiU"/>
          <w:lang w:val="en-GB" w:eastAsia="zh-TW"/>
        </w:rPr>
        <w:t>establishing</w:t>
      </w:r>
      <w:r w:rsidR="0099555B" w:rsidRPr="00EE5050">
        <w:rPr>
          <w:rFonts w:eastAsia="PMingLiU"/>
          <w:lang w:val="en-GB" w:eastAsia="zh-TW"/>
        </w:rPr>
        <w:t xml:space="preserve"> </w:t>
      </w:r>
      <w:r w:rsidR="00072D06" w:rsidRPr="00EE5050">
        <w:rPr>
          <w:rFonts w:eastAsia="PMingLiU"/>
          <w:lang w:val="en-GB" w:eastAsia="zh-TW"/>
        </w:rPr>
        <w:t>two separate constitutional committees (one in the Commons</w:t>
      </w:r>
      <w:r w:rsidR="00E63FBF" w:rsidRPr="00EE5050">
        <w:rPr>
          <w:rStyle w:val="FootnoteReference"/>
          <w:rFonts w:eastAsia="PMingLiU"/>
          <w:lang w:val="en-GB" w:eastAsia="zh-TW"/>
        </w:rPr>
        <w:footnoteReference w:id="28"/>
      </w:r>
      <w:r w:rsidR="00072D06" w:rsidRPr="00EE5050">
        <w:rPr>
          <w:rFonts w:eastAsia="PMingLiU"/>
          <w:lang w:val="en-GB" w:eastAsia="zh-TW"/>
        </w:rPr>
        <w:t xml:space="preserve"> and one in the Lords),</w:t>
      </w:r>
      <w:r w:rsidRPr="00EE5050">
        <w:rPr>
          <w:rStyle w:val="FootnoteReference"/>
          <w:rFonts w:eastAsia="PMingLiU"/>
          <w:lang w:val="en-GB" w:eastAsia="zh-TW"/>
        </w:rPr>
        <w:footnoteReference w:id="29"/>
      </w:r>
      <w:r w:rsidR="00072D06" w:rsidRPr="00EE5050">
        <w:rPr>
          <w:rFonts w:eastAsia="PMingLiU"/>
          <w:lang w:val="en-GB" w:eastAsia="zh-TW"/>
        </w:rPr>
        <w:t xml:space="preserve"> and also adding </w:t>
      </w:r>
      <w:r w:rsidR="0099555B">
        <w:rPr>
          <w:rFonts w:eastAsia="PMingLiU"/>
          <w:lang w:val="en-GB" w:eastAsia="zh-TW"/>
        </w:rPr>
        <w:t>the</w:t>
      </w:r>
      <w:r w:rsidR="00072D06" w:rsidRPr="00EE5050">
        <w:rPr>
          <w:rFonts w:eastAsia="PMingLiU"/>
          <w:lang w:val="en-GB" w:eastAsia="zh-TW"/>
        </w:rPr>
        <w:t xml:space="preserve"> J</w:t>
      </w:r>
      <w:r w:rsidR="00086299">
        <w:rPr>
          <w:rFonts w:eastAsia="PMingLiU"/>
          <w:lang w:val="en-GB" w:eastAsia="zh-TW"/>
        </w:rPr>
        <w:t>CHR</w:t>
      </w:r>
      <w:r w:rsidR="00072D06" w:rsidRPr="00EE5050">
        <w:rPr>
          <w:rFonts w:eastAsia="PMingLiU"/>
          <w:lang w:val="en-GB" w:eastAsia="zh-TW"/>
        </w:rPr>
        <w:t>.</w:t>
      </w:r>
      <w:r w:rsidR="00072D06" w:rsidRPr="00EE5050">
        <w:rPr>
          <w:rStyle w:val="FootnoteReference"/>
          <w:rFonts w:eastAsia="PMingLiU"/>
          <w:lang w:val="en-GB" w:eastAsia="zh-TW"/>
        </w:rPr>
        <w:footnoteReference w:id="30"/>
      </w:r>
      <w:r w:rsidR="00072D06" w:rsidRPr="00EE5050">
        <w:rPr>
          <w:rFonts w:eastAsia="PMingLiU"/>
          <w:lang w:val="en-GB" w:eastAsia="zh-TW"/>
        </w:rPr>
        <w:t xml:space="preserve"> </w:t>
      </w:r>
      <w:r w:rsidR="00C109CE" w:rsidRPr="00EE5050">
        <w:rPr>
          <w:rFonts w:eastAsia="PMingLiU"/>
          <w:lang w:val="en-GB" w:eastAsia="zh-TW"/>
        </w:rPr>
        <w:t xml:space="preserve">Ultimately, </w:t>
      </w:r>
      <w:r w:rsidR="00AA5F51" w:rsidRPr="00EE5050">
        <w:rPr>
          <w:rFonts w:eastAsia="PMingLiU"/>
          <w:lang w:val="en-GB" w:eastAsia="zh-TW"/>
        </w:rPr>
        <w:t xml:space="preserve">however, </w:t>
      </w:r>
      <w:r w:rsidR="00C109CE" w:rsidRPr="00EE5050">
        <w:rPr>
          <w:rFonts w:eastAsia="PMingLiU"/>
          <w:lang w:val="en-GB" w:eastAsia="zh-TW"/>
        </w:rPr>
        <w:t>t</w:t>
      </w:r>
      <w:r w:rsidR="00145965" w:rsidRPr="00EE5050">
        <w:rPr>
          <w:rFonts w:eastAsia="PMingLiU"/>
          <w:lang w:val="en-GB" w:eastAsia="zh-TW"/>
        </w:rPr>
        <w:t xml:space="preserve">here remains little question that the Westminster Parliament </w:t>
      </w:r>
      <w:r w:rsidR="00AC357A">
        <w:rPr>
          <w:rFonts w:eastAsia="PMingLiU"/>
          <w:lang w:val="en-GB" w:eastAsia="zh-TW"/>
        </w:rPr>
        <w:t>‘</w:t>
      </w:r>
      <w:r w:rsidR="00145965" w:rsidRPr="00EE5050">
        <w:rPr>
          <w:rFonts w:eastAsia="PMingLiU"/>
          <w:lang w:val="en-GB" w:eastAsia="zh-TW"/>
        </w:rPr>
        <w:t>has the final say on the compatibility of its laws with the UK constitution</w:t>
      </w:r>
      <w:r w:rsidR="00AC357A">
        <w:rPr>
          <w:rFonts w:eastAsia="PMingLiU"/>
          <w:lang w:val="en-GB" w:eastAsia="zh-TW"/>
        </w:rPr>
        <w:t>’</w:t>
      </w:r>
      <w:r w:rsidR="00145965" w:rsidRPr="00EE5050">
        <w:rPr>
          <w:rFonts w:eastAsia="PMingLiU"/>
          <w:lang w:val="en-GB" w:eastAsia="zh-TW"/>
        </w:rPr>
        <w:t>.</w:t>
      </w:r>
      <w:r w:rsidR="00145965" w:rsidRPr="00EE5050">
        <w:rPr>
          <w:rStyle w:val="FootnoteReference"/>
          <w:rFonts w:eastAsia="PMingLiU"/>
          <w:lang w:val="en-GB" w:eastAsia="zh-TW"/>
        </w:rPr>
        <w:footnoteReference w:id="31"/>
      </w:r>
      <w:r w:rsidR="00145965" w:rsidRPr="00EE5050">
        <w:rPr>
          <w:rFonts w:eastAsia="PMingLiU"/>
          <w:lang w:val="en-GB" w:eastAsia="zh-TW"/>
        </w:rPr>
        <w:t xml:space="preserve"> </w:t>
      </w:r>
    </w:p>
    <w:p w14:paraId="7EE0A336" w14:textId="0477BA71" w:rsidR="00C8715C" w:rsidRPr="00EE5050" w:rsidRDefault="00C8715C" w:rsidP="00A31E24">
      <w:pPr>
        <w:pStyle w:val="NoSpacing"/>
        <w:tabs>
          <w:tab w:val="left" w:pos="1276"/>
          <w:tab w:val="left" w:pos="1440"/>
        </w:tabs>
        <w:spacing w:line="480" w:lineRule="auto"/>
        <w:ind w:firstLineChars="295" w:firstLine="708"/>
        <w:jc w:val="both"/>
        <w:rPr>
          <w:rFonts w:eastAsia="PMingLiU"/>
          <w:lang w:val="en-GB" w:eastAsia="zh-TW"/>
        </w:rPr>
      </w:pPr>
      <w:r w:rsidRPr="00EE5050">
        <w:rPr>
          <w:rFonts w:eastAsia="PMingLiU"/>
          <w:lang w:val="en-GB" w:eastAsia="zh-TW"/>
        </w:rPr>
        <w:lastRenderedPageBreak/>
        <w:t>Conversely, in the US judicial re</w:t>
      </w:r>
      <w:r w:rsidR="009677D0" w:rsidRPr="00EE5050">
        <w:rPr>
          <w:rFonts w:eastAsia="PMingLiU"/>
          <w:lang w:val="en-GB" w:eastAsia="zh-TW"/>
        </w:rPr>
        <w:t xml:space="preserve">view of statutes played </w:t>
      </w:r>
      <w:r w:rsidR="00AA5F51" w:rsidRPr="00EE5050">
        <w:rPr>
          <w:rFonts w:eastAsia="PMingLiU"/>
          <w:lang w:val="en-GB" w:eastAsia="zh-TW"/>
        </w:rPr>
        <w:t xml:space="preserve">no </w:t>
      </w:r>
      <w:r w:rsidR="00412B46" w:rsidRPr="00EE5050">
        <w:rPr>
          <w:rFonts w:eastAsia="PMingLiU"/>
          <w:lang w:val="en-GB" w:eastAsia="zh-TW"/>
        </w:rPr>
        <w:t xml:space="preserve">role </w:t>
      </w:r>
      <w:r w:rsidRPr="00EE5050">
        <w:rPr>
          <w:rFonts w:eastAsia="PMingLiU"/>
          <w:lang w:val="en-GB" w:eastAsia="zh-TW"/>
        </w:rPr>
        <w:t xml:space="preserve">in constitutional review until </w:t>
      </w:r>
      <w:proofErr w:type="spellStart"/>
      <w:r w:rsidRPr="00EE5050">
        <w:rPr>
          <w:rFonts w:eastAsia="PMingLiU"/>
          <w:i/>
          <w:lang w:val="en-GB" w:eastAsia="zh-TW"/>
        </w:rPr>
        <w:t>Marbury</w:t>
      </w:r>
      <w:proofErr w:type="spellEnd"/>
      <w:r w:rsidRPr="00EE5050">
        <w:rPr>
          <w:rFonts w:eastAsia="PMingLiU"/>
          <w:i/>
          <w:lang w:val="en-GB" w:eastAsia="zh-TW"/>
        </w:rPr>
        <w:t xml:space="preserve"> v Madison</w:t>
      </w:r>
      <w:r w:rsidRPr="00EE5050">
        <w:rPr>
          <w:rFonts w:eastAsia="PMingLiU"/>
          <w:lang w:val="en-GB" w:eastAsia="zh-TW"/>
        </w:rPr>
        <w:t>.</w:t>
      </w:r>
      <w:r w:rsidRPr="00EE5050">
        <w:rPr>
          <w:rStyle w:val="FootnoteReference"/>
          <w:rFonts w:eastAsia="PMingLiU"/>
          <w:lang w:val="en-GB" w:eastAsia="zh-TW"/>
        </w:rPr>
        <w:footnoteReference w:id="32"/>
      </w:r>
      <w:r w:rsidR="00713184" w:rsidRPr="00EE5050">
        <w:rPr>
          <w:rFonts w:eastAsia="PMingLiU"/>
          <w:lang w:val="en-GB" w:eastAsia="zh-TW"/>
        </w:rPr>
        <w:t xml:space="preserve"> S</w:t>
      </w:r>
      <w:r w:rsidR="00C24B4C" w:rsidRPr="00EE5050">
        <w:rPr>
          <w:rFonts w:eastAsia="PMingLiU"/>
          <w:lang w:val="en-GB" w:eastAsia="zh-TW"/>
        </w:rPr>
        <w:t>ubsequent to</w:t>
      </w:r>
      <w:r w:rsidRPr="00EE5050">
        <w:rPr>
          <w:rFonts w:eastAsia="PMingLiU"/>
          <w:lang w:val="en-GB" w:eastAsia="zh-TW"/>
        </w:rPr>
        <w:t xml:space="preserve"> this expansive decision</w:t>
      </w:r>
      <w:r w:rsidR="00713184" w:rsidRPr="00EE5050">
        <w:rPr>
          <w:rFonts w:eastAsia="PMingLiU"/>
          <w:lang w:val="en-GB" w:eastAsia="zh-TW"/>
        </w:rPr>
        <w:t>,</w:t>
      </w:r>
      <w:r w:rsidRPr="00EE5050">
        <w:rPr>
          <w:rFonts w:eastAsia="PMingLiU"/>
          <w:lang w:val="en-GB" w:eastAsia="zh-TW"/>
        </w:rPr>
        <w:t xml:space="preserve"> the Supreme Court </w:t>
      </w:r>
      <w:r w:rsidR="00C24B4C" w:rsidRPr="00EE5050">
        <w:rPr>
          <w:rFonts w:eastAsia="PMingLiU"/>
          <w:lang w:val="en-GB" w:eastAsia="zh-TW"/>
        </w:rPr>
        <w:t xml:space="preserve">refused to </w:t>
      </w:r>
      <w:r w:rsidRPr="00EE5050">
        <w:rPr>
          <w:rFonts w:eastAsia="PMingLiU"/>
          <w:lang w:val="en-GB" w:eastAsia="zh-TW"/>
        </w:rPr>
        <w:t xml:space="preserve">strike down an act of Congress for </w:t>
      </w:r>
      <w:r w:rsidR="007C77EA" w:rsidRPr="00EE5050">
        <w:rPr>
          <w:rFonts w:eastAsia="PMingLiU"/>
          <w:lang w:val="en-GB" w:eastAsia="zh-TW"/>
        </w:rPr>
        <w:t>over half a century</w:t>
      </w:r>
      <w:r w:rsidRPr="00EE5050">
        <w:rPr>
          <w:rFonts w:eastAsia="PMingLiU"/>
          <w:lang w:val="en-GB" w:eastAsia="zh-TW"/>
        </w:rPr>
        <w:t>.</w:t>
      </w:r>
      <w:r w:rsidR="00C24B4C" w:rsidRPr="00EE5050">
        <w:rPr>
          <w:rStyle w:val="FootnoteReference"/>
          <w:rFonts w:eastAsia="PMingLiU"/>
          <w:lang w:val="en-GB" w:eastAsia="zh-TW"/>
        </w:rPr>
        <w:footnoteReference w:id="33"/>
      </w:r>
      <w:r w:rsidRPr="00EE5050">
        <w:rPr>
          <w:rFonts w:eastAsia="PMingLiU"/>
          <w:lang w:val="en-GB" w:eastAsia="zh-TW"/>
        </w:rPr>
        <w:t xml:space="preserve"> </w:t>
      </w:r>
      <w:r w:rsidR="00040B51" w:rsidRPr="00EE5050">
        <w:rPr>
          <w:rFonts w:eastAsia="PMingLiU"/>
          <w:lang w:val="en-GB" w:eastAsia="zh-TW"/>
        </w:rPr>
        <w:t>Yet n</w:t>
      </w:r>
      <w:r w:rsidR="00F464E9" w:rsidRPr="00EE5050">
        <w:rPr>
          <w:rFonts w:eastAsia="PMingLiU"/>
          <w:lang w:val="en-GB" w:eastAsia="zh-TW"/>
        </w:rPr>
        <w:t xml:space="preserve">owadays </w:t>
      </w:r>
      <w:r w:rsidRPr="00EE5050">
        <w:rPr>
          <w:rFonts w:eastAsia="PMingLiU"/>
          <w:lang w:val="en-GB" w:eastAsia="zh-TW"/>
        </w:rPr>
        <w:t>it is co</w:t>
      </w:r>
      <w:r w:rsidR="009677D0" w:rsidRPr="00EE5050">
        <w:rPr>
          <w:rFonts w:eastAsia="PMingLiU"/>
          <w:lang w:val="en-GB" w:eastAsia="zh-TW"/>
        </w:rPr>
        <w:t>mmon for the Court</w:t>
      </w:r>
      <w:r w:rsidR="00C24B4C" w:rsidRPr="00EE5050">
        <w:rPr>
          <w:rFonts w:eastAsia="PMingLiU"/>
          <w:lang w:val="en-GB" w:eastAsia="zh-TW"/>
        </w:rPr>
        <w:t xml:space="preserve"> to strike down laws or specific provisions</w:t>
      </w:r>
      <w:r w:rsidRPr="00EE5050">
        <w:rPr>
          <w:rFonts w:eastAsia="PMingLiU"/>
          <w:lang w:val="en-GB" w:eastAsia="zh-TW"/>
        </w:rPr>
        <w:t xml:space="preserve">, as the powers of judicial review have been </w:t>
      </w:r>
      <w:r w:rsidR="009677D0" w:rsidRPr="00EE5050">
        <w:rPr>
          <w:rFonts w:eastAsia="PMingLiU"/>
          <w:lang w:val="en-GB" w:eastAsia="zh-TW"/>
        </w:rPr>
        <w:t xml:space="preserve">thoroughly </w:t>
      </w:r>
      <w:r w:rsidR="00AA5F51" w:rsidRPr="00EE5050">
        <w:rPr>
          <w:rFonts w:eastAsia="PMingLiU"/>
          <w:lang w:val="en-GB" w:eastAsia="zh-TW"/>
        </w:rPr>
        <w:t>strengthened</w:t>
      </w:r>
      <w:r w:rsidRPr="00EE5050">
        <w:rPr>
          <w:rFonts w:eastAsia="PMingLiU"/>
          <w:lang w:val="en-GB" w:eastAsia="zh-TW"/>
        </w:rPr>
        <w:t>.</w:t>
      </w:r>
      <w:r w:rsidR="00A1762F" w:rsidRPr="00EE5050">
        <w:rPr>
          <w:rFonts w:eastAsia="PMingLiU"/>
          <w:lang w:val="en-GB" w:eastAsia="zh-TW"/>
        </w:rPr>
        <w:t xml:space="preserve"> Congress has been much less successful implementing </w:t>
      </w:r>
      <w:r w:rsidR="0030517F" w:rsidRPr="00EE5050">
        <w:rPr>
          <w:rFonts w:eastAsia="PMingLiU"/>
          <w:lang w:val="en-GB" w:eastAsia="zh-TW"/>
        </w:rPr>
        <w:t>constitutional</w:t>
      </w:r>
      <w:r w:rsidR="00A1762F" w:rsidRPr="00EE5050">
        <w:rPr>
          <w:rFonts w:eastAsia="PMingLiU"/>
          <w:lang w:val="en-GB" w:eastAsia="zh-TW"/>
        </w:rPr>
        <w:t xml:space="preserve"> legislative</w:t>
      </w:r>
      <w:r w:rsidR="0030517F" w:rsidRPr="00EE5050">
        <w:rPr>
          <w:rFonts w:eastAsia="PMingLiU"/>
          <w:lang w:val="en-GB" w:eastAsia="zh-TW"/>
        </w:rPr>
        <w:t xml:space="preserve"> scrutiny</w:t>
      </w:r>
      <w:r w:rsidR="00A1762F" w:rsidRPr="00EE5050">
        <w:rPr>
          <w:rFonts w:eastAsia="PMingLiU"/>
          <w:lang w:val="en-GB" w:eastAsia="zh-TW"/>
        </w:rPr>
        <w:t xml:space="preserve"> </w:t>
      </w:r>
      <w:r w:rsidR="00C9145E" w:rsidRPr="00EE5050">
        <w:rPr>
          <w:rFonts w:eastAsia="PMingLiU"/>
          <w:lang w:val="en-GB" w:eastAsia="zh-TW"/>
        </w:rPr>
        <w:t>mechanisms</w:t>
      </w:r>
      <w:r w:rsidR="00104A64">
        <w:rPr>
          <w:rFonts w:eastAsia="PMingLiU"/>
          <w:lang w:val="en-GB" w:eastAsia="zh-TW"/>
        </w:rPr>
        <w:t>,</w:t>
      </w:r>
      <w:r w:rsidR="00A1762F" w:rsidRPr="00EE5050">
        <w:rPr>
          <w:rFonts w:eastAsia="PMingLiU"/>
          <w:lang w:val="en-GB" w:eastAsia="zh-TW"/>
        </w:rPr>
        <w:t xml:space="preserve"> and this could be one reason why strong judicial review has expanded significantly throughout the country</w:t>
      </w:r>
      <w:r w:rsidR="00AC357A">
        <w:rPr>
          <w:rFonts w:eastAsia="PMingLiU"/>
          <w:lang w:val="en-GB" w:eastAsia="zh-TW"/>
        </w:rPr>
        <w:t>’</w:t>
      </w:r>
      <w:r w:rsidR="00A1762F" w:rsidRPr="00EE5050">
        <w:rPr>
          <w:rFonts w:eastAsia="PMingLiU"/>
          <w:lang w:val="en-GB" w:eastAsia="zh-TW"/>
        </w:rPr>
        <w:t>s history.</w:t>
      </w:r>
      <w:r w:rsidR="00A1762F" w:rsidRPr="00EE5050">
        <w:rPr>
          <w:rStyle w:val="FootnoteReference"/>
          <w:rFonts w:eastAsia="PMingLiU"/>
          <w:lang w:val="en-GB" w:eastAsia="zh-TW"/>
        </w:rPr>
        <w:footnoteReference w:id="34"/>
      </w:r>
      <w:r w:rsidRPr="00EE5050">
        <w:rPr>
          <w:rFonts w:eastAsia="PMingLiU"/>
          <w:lang w:val="en-GB" w:eastAsia="zh-TW"/>
        </w:rPr>
        <w:t xml:space="preserve"> </w:t>
      </w:r>
      <w:r w:rsidR="00014F58" w:rsidRPr="00EE5050">
        <w:rPr>
          <w:rFonts w:eastAsia="PMingLiU"/>
          <w:lang w:val="en-GB" w:eastAsia="zh-TW"/>
        </w:rPr>
        <w:t xml:space="preserve">Contrary to this judicial </w:t>
      </w:r>
      <w:r w:rsidR="006D27D0" w:rsidRPr="00EE5050">
        <w:rPr>
          <w:rFonts w:eastAsia="PMingLiU"/>
          <w:lang w:val="en-GB" w:eastAsia="zh-TW"/>
        </w:rPr>
        <w:t>review uprising,</w:t>
      </w:r>
      <w:r w:rsidR="009677D0" w:rsidRPr="00EE5050">
        <w:rPr>
          <w:rFonts w:eastAsia="PMingLiU"/>
          <w:lang w:val="en-GB" w:eastAsia="zh-TW"/>
        </w:rPr>
        <w:t xml:space="preserve"> </w:t>
      </w:r>
      <w:r w:rsidR="00054F87" w:rsidRPr="00EE5050">
        <w:rPr>
          <w:rFonts w:eastAsia="PMingLiU"/>
          <w:lang w:val="en-GB" w:eastAsia="zh-TW"/>
        </w:rPr>
        <w:t xml:space="preserve">during </w:t>
      </w:r>
      <w:r w:rsidR="00796339" w:rsidRPr="00EE5050">
        <w:rPr>
          <w:rFonts w:eastAsia="PMingLiU"/>
          <w:lang w:val="en-GB" w:eastAsia="zh-TW"/>
        </w:rPr>
        <w:t>t</w:t>
      </w:r>
      <w:r w:rsidR="00DD5197" w:rsidRPr="00EE5050">
        <w:rPr>
          <w:rFonts w:eastAsia="PMingLiU"/>
          <w:lang w:val="en-GB" w:eastAsia="zh-TW"/>
        </w:rPr>
        <w:t xml:space="preserve">he past </w:t>
      </w:r>
      <w:r w:rsidR="00054F87" w:rsidRPr="00EE5050">
        <w:rPr>
          <w:rFonts w:eastAsia="PMingLiU"/>
          <w:lang w:val="en-GB" w:eastAsia="zh-TW"/>
        </w:rPr>
        <w:t>couple</w:t>
      </w:r>
      <w:r w:rsidR="00DD5197" w:rsidRPr="00EE5050">
        <w:rPr>
          <w:rFonts w:eastAsia="PMingLiU"/>
          <w:lang w:val="en-GB" w:eastAsia="zh-TW"/>
        </w:rPr>
        <w:t xml:space="preserve"> </w:t>
      </w:r>
      <w:r w:rsidR="00B30FD6">
        <w:rPr>
          <w:rFonts w:eastAsia="PMingLiU"/>
          <w:lang w:val="en-GB" w:eastAsia="zh-TW"/>
        </w:rPr>
        <w:t xml:space="preserve">of </w:t>
      </w:r>
      <w:r w:rsidR="00DD5197" w:rsidRPr="00EE5050">
        <w:rPr>
          <w:rFonts w:eastAsia="PMingLiU"/>
          <w:lang w:val="en-GB" w:eastAsia="zh-TW"/>
        </w:rPr>
        <w:t xml:space="preserve">decades a </w:t>
      </w:r>
      <w:r w:rsidR="009677D0" w:rsidRPr="00EE5050">
        <w:rPr>
          <w:rFonts w:eastAsia="PMingLiU"/>
          <w:lang w:val="en-GB" w:eastAsia="zh-TW"/>
        </w:rPr>
        <w:t>wav</w:t>
      </w:r>
      <w:r w:rsidR="00054F87" w:rsidRPr="00EE5050">
        <w:rPr>
          <w:rFonts w:eastAsia="PMingLiU"/>
          <w:lang w:val="en-GB" w:eastAsia="zh-TW"/>
        </w:rPr>
        <w:t>e of constitutional scholars have</w:t>
      </w:r>
      <w:r w:rsidR="009677D0" w:rsidRPr="00EE5050">
        <w:rPr>
          <w:rFonts w:eastAsia="PMingLiU"/>
          <w:lang w:val="en-GB" w:eastAsia="zh-TW"/>
        </w:rPr>
        <w:t xml:space="preserve"> advocated that legislatures</w:t>
      </w:r>
      <w:r w:rsidR="0051258D" w:rsidRPr="0051258D">
        <w:rPr>
          <w:rFonts w:eastAsia="PMingLiU"/>
          <w:lang w:val="en-GB" w:eastAsia="zh-TW"/>
        </w:rPr>
        <w:t>—</w:t>
      </w:r>
      <w:r w:rsidR="009677D0" w:rsidRPr="00EE5050">
        <w:rPr>
          <w:rFonts w:eastAsia="PMingLiU"/>
          <w:lang w:val="en-GB" w:eastAsia="zh-TW"/>
        </w:rPr>
        <w:t>and citizens, more generally</w:t>
      </w:r>
      <w:r w:rsidR="0051258D" w:rsidRPr="0051258D">
        <w:rPr>
          <w:rFonts w:eastAsia="PMingLiU"/>
          <w:lang w:val="en-GB" w:eastAsia="zh-TW"/>
        </w:rPr>
        <w:t>—</w:t>
      </w:r>
      <w:r w:rsidR="009677D0" w:rsidRPr="00EE5050">
        <w:rPr>
          <w:rFonts w:eastAsia="PMingLiU"/>
          <w:lang w:val="en-GB" w:eastAsia="zh-TW"/>
        </w:rPr>
        <w:t>play an increased role in the con</w:t>
      </w:r>
      <w:r w:rsidR="00C24B4C" w:rsidRPr="00EE5050">
        <w:rPr>
          <w:rFonts w:eastAsia="PMingLiU"/>
          <w:lang w:val="en-GB" w:eastAsia="zh-TW"/>
        </w:rPr>
        <w:t>stitutional assessment of laws.</w:t>
      </w:r>
      <w:r w:rsidR="00C24B4C" w:rsidRPr="00EE5050">
        <w:rPr>
          <w:rStyle w:val="FootnoteReference"/>
          <w:rFonts w:eastAsia="PMingLiU"/>
          <w:lang w:val="en-GB" w:eastAsia="zh-TW"/>
        </w:rPr>
        <w:footnoteReference w:id="35"/>
      </w:r>
    </w:p>
    <w:p w14:paraId="0AE24AA1" w14:textId="62C503D2" w:rsidR="00145965" w:rsidRPr="00EE5050" w:rsidRDefault="00A2063C"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However</w:t>
      </w:r>
      <w:r w:rsidR="00C9145E" w:rsidRPr="00EE5050">
        <w:rPr>
          <w:rFonts w:eastAsia="PMingLiU"/>
          <w:lang w:val="en-GB" w:eastAsia="zh-TW"/>
        </w:rPr>
        <w:t xml:space="preserve"> </w:t>
      </w:r>
      <w:r w:rsidR="00AA5F51" w:rsidRPr="00EE5050">
        <w:rPr>
          <w:rFonts w:eastAsia="PMingLiU"/>
          <w:lang w:val="en-GB" w:eastAsia="zh-TW"/>
        </w:rPr>
        <w:t>s</w:t>
      </w:r>
      <w:r w:rsidR="00C9145E" w:rsidRPr="00EE5050">
        <w:rPr>
          <w:rFonts w:eastAsia="PMingLiU"/>
          <w:lang w:val="en-GB" w:eastAsia="zh-TW"/>
        </w:rPr>
        <w:t>ome scholars may disagree</w:t>
      </w:r>
      <w:r w:rsidR="00145965" w:rsidRPr="00EE5050">
        <w:rPr>
          <w:rFonts w:eastAsia="PMingLiU"/>
          <w:lang w:val="en-GB" w:eastAsia="zh-TW"/>
        </w:rPr>
        <w:t xml:space="preserve"> </w:t>
      </w:r>
      <w:r w:rsidR="00711B23" w:rsidRPr="00EE5050">
        <w:rPr>
          <w:rFonts w:eastAsia="PMingLiU"/>
          <w:lang w:val="en-GB" w:eastAsia="zh-TW"/>
        </w:rPr>
        <w:t xml:space="preserve">with </w:t>
      </w:r>
      <w:r w:rsidR="00576D13" w:rsidRPr="00EE5050">
        <w:rPr>
          <w:rFonts w:eastAsia="PMingLiU"/>
          <w:lang w:val="en-GB" w:eastAsia="zh-TW"/>
        </w:rPr>
        <w:t>America</w:t>
      </w:r>
      <w:r w:rsidR="00AC357A">
        <w:rPr>
          <w:rFonts w:eastAsia="PMingLiU"/>
          <w:lang w:val="en-GB" w:eastAsia="zh-TW"/>
        </w:rPr>
        <w:t>’</w:t>
      </w:r>
      <w:r w:rsidR="00576D13" w:rsidRPr="00EE5050">
        <w:rPr>
          <w:rFonts w:eastAsia="PMingLiU"/>
          <w:lang w:val="en-GB" w:eastAsia="zh-TW"/>
        </w:rPr>
        <w:t>s constitutional structure</w:t>
      </w:r>
      <w:r w:rsidR="00711B23" w:rsidRPr="00EE5050">
        <w:rPr>
          <w:rFonts w:eastAsia="PMingLiU"/>
          <w:lang w:val="en-GB" w:eastAsia="zh-TW"/>
        </w:rPr>
        <w:t xml:space="preserve"> being characterised as heavy on legal constitutionalism and strong judicial review</w:t>
      </w:r>
      <w:r w:rsidR="00145965" w:rsidRPr="00EE5050">
        <w:rPr>
          <w:rFonts w:eastAsia="PMingLiU"/>
          <w:lang w:val="en-GB" w:eastAsia="zh-TW"/>
        </w:rPr>
        <w:t xml:space="preserve">. </w:t>
      </w:r>
      <w:r w:rsidR="00576D13" w:rsidRPr="00EE5050">
        <w:rPr>
          <w:rFonts w:eastAsia="PMingLiU"/>
          <w:lang w:val="en-GB" w:eastAsia="zh-TW"/>
        </w:rPr>
        <w:t xml:space="preserve">For example, </w:t>
      </w:r>
      <w:r w:rsidR="00145965" w:rsidRPr="00EE5050">
        <w:rPr>
          <w:rFonts w:eastAsia="PMingLiU"/>
          <w:lang w:val="en-GB" w:eastAsia="zh-TW"/>
        </w:rPr>
        <w:t xml:space="preserve">Eskridge and </w:t>
      </w:r>
      <w:proofErr w:type="spellStart"/>
      <w:r w:rsidR="00145965" w:rsidRPr="00EE5050">
        <w:rPr>
          <w:rFonts w:eastAsia="PMingLiU"/>
          <w:lang w:val="en-GB" w:eastAsia="zh-TW"/>
        </w:rPr>
        <w:t>Ferejohn</w:t>
      </w:r>
      <w:proofErr w:type="spellEnd"/>
      <w:r w:rsidR="00145965" w:rsidRPr="00EE5050">
        <w:rPr>
          <w:rFonts w:eastAsia="PMingLiU"/>
          <w:lang w:val="en-GB" w:eastAsia="zh-TW"/>
        </w:rPr>
        <w:t xml:space="preserve"> contend </w:t>
      </w:r>
      <w:r w:rsidR="00EC6187">
        <w:rPr>
          <w:rFonts w:eastAsia="PMingLiU"/>
          <w:lang w:val="en-GB" w:eastAsia="zh-TW"/>
        </w:rPr>
        <w:t xml:space="preserve">that </w:t>
      </w:r>
      <w:r w:rsidR="00145965" w:rsidRPr="00EE5050">
        <w:rPr>
          <w:rFonts w:eastAsia="PMingLiU"/>
          <w:lang w:val="en-GB" w:eastAsia="zh-TW"/>
        </w:rPr>
        <w:t xml:space="preserve">the US is largely </w:t>
      </w:r>
      <w:r w:rsidR="00AC357A">
        <w:rPr>
          <w:rFonts w:eastAsia="PMingLiU"/>
          <w:lang w:val="en-GB" w:eastAsia="zh-TW"/>
        </w:rPr>
        <w:t>‘</w:t>
      </w:r>
      <w:r w:rsidR="00145965" w:rsidRPr="00EE5050">
        <w:rPr>
          <w:rFonts w:eastAsia="PMingLiU"/>
          <w:lang w:val="en-GB" w:eastAsia="zh-TW"/>
        </w:rPr>
        <w:t>a republic of statutes</w:t>
      </w:r>
      <w:r w:rsidR="00AC357A">
        <w:rPr>
          <w:rFonts w:eastAsia="PMingLiU"/>
          <w:lang w:val="en-GB" w:eastAsia="zh-TW"/>
        </w:rPr>
        <w:t>’</w:t>
      </w:r>
      <w:r w:rsidR="00145965" w:rsidRPr="00EE5050">
        <w:rPr>
          <w:rFonts w:eastAsia="PMingLiU"/>
          <w:lang w:val="en-GB" w:eastAsia="zh-TW"/>
        </w:rPr>
        <w:t>.</w:t>
      </w:r>
      <w:r w:rsidR="00145965" w:rsidRPr="00EE5050">
        <w:rPr>
          <w:rStyle w:val="FootnoteReference"/>
          <w:rFonts w:eastAsia="PMingLiU"/>
          <w:lang w:val="en-GB" w:eastAsia="zh-TW"/>
        </w:rPr>
        <w:footnoteReference w:id="36"/>
      </w:r>
      <w:r w:rsidR="00145965" w:rsidRPr="00EE5050">
        <w:rPr>
          <w:rFonts w:eastAsia="PMingLiU"/>
          <w:lang w:val="en-GB" w:eastAsia="zh-TW"/>
        </w:rPr>
        <w:t xml:space="preserve"> They further argue the written constitution is becoming increasingly obsolete and the Supreme Court </w:t>
      </w:r>
      <w:r w:rsidR="00AC357A">
        <w:rPr>
          <w:rFonts w:eastAsia="PMingLiU"/>
          <w:lang w:val="en-GB" w:eastAsia="zh-TW"/>
        </w:rPr>
        <w:t>‘</w:t>
      </w:r>
      <w:r w:rsidR="00145965" w:rsidRPr="00EE5050">
        <w:rPr>
          <w:rFonts w:eastAsia="PMingLiU"/>
          <w:lang w:val="en-GB" w:eastAsia="zh-TW"/>
        </w:rPr>
        <w:t>does not have the legitimacy, the wisdom and the expertise, or the enforcement resources to generate important changes in the Constitution</w:t>
      </w:r>
      <w:r w:rsidR="00AC357A">
        <w:rPr>
          <w:rFonts w:eastAsia="PMingLiU"/>
          <w:lang w:val="en-GB" w:eastAsia="zh-TW"/>
        </w:rPr>
        <w:t>’</w:t>
      </w:r>
      <w:r w:rsidR="00145965" w:rsidRPr="00EE5050">
        <w:rPr>
          <w:rFonts w:eastAsia="PMingLiU"/>
          <w:lang w:val="en-GB" w:eastAsia="zh-TW"/>
        </w:rPr>
        <w:t>.</w:t>
      </w:r>
      <w:r w:rsidR="00145965" w:rsidRPr="00EE5050">
        <w:rPr>
          <w:rStyle w:val="FootnoteReference"/>
          <w:rFonts w:eastAsia="PMingLiU"/>
          <w:lang w:val="en-GB" w:eastAsia="zh-TW"/>
        </w:rPr>
        <w:footnoteReference w:id="37"/>
      </w:r>
      <w:r w:rsidR="00145965" w:rsidRPr="00EE5050">
        <w:rPr>
          <w:rFonts w:eastAsia="PMingLiU"/>
          <w:lang w:val="en-GB" w:eastAsia="zh-TW"/>
        </w:rPr>
        <w:t xml:space="preserve"> </w:t>
      </w:r>
      <w:r w:rsidR="00576D13" w:rsidRPr="00EE5050">
        <w:rPr>
          <w:rFonts w:eastAsia="PMingLiU"/>
          <w:lang w:val="en-GB" w:eastAsia="zh-TW"/>
        </w:rPr>
        <w:t xml:space="preserve">Garrett and </w:t>
      </w:r>
      <w:proofErr w:type="spellStart"/>
      <w:r w:rsidR="00576D13" w:rsidRPr="00EE5050">
        <w:rPr>
          <w:rFonts w:eastAsia="PMingLiU"/>
          <w:lang w:val="en-GB" w:eastAsia="zh-TW"/>
        </w:rPr>
        <w:t>Vermeule</w:t>
      </w:r>
      <w:proofErr w:type="spellEnd"/>
      <w:r w:rsidR="00145965" w:rsidRPr="00EE5050">
        <w:rPr>
          <w:rFonts w:eastAsia="PMingLiU"/>
          <w:lang w:val="en-GB" w:eastAsia="zh-TW"/>
        </w:rPr>
        <w:t xml:space="preserve"> also </w:t>
      </w:r>
      <w:r w:rsidR="00C9145E" w:rsidRPr="00EE5050">
        <w:rPr>
          <w:rFonts w:eastAsia="PMingLiU"/>
          <w:lang w:val="en-GB" w:eastAsia="zh-TW"/>
        </w:rPr>
        <w:t xml:space="preserve">cite </w:t>
      </w:r>
      <w:r w:rsidR="00145965" w:rsidRPr="00EE5050">
        <w:rPr>
          <w:rFonts w:eastAsia="PMingLiU"/>
          <w:lang w:val="en-GB" w:eastAsia="zh-TW"/>
        </w:rPr>
        <w:t xml:space="preserve">a long list of significant constitutional dimensions the Court leaves </w:t>
      </w:r>
      <w:r w:rsidR="00145965" w:rsidRPr="00EE5050">
        <w:rPr>
          <w:rFonts w:eastAsia="PMingLiU"/>
          <w:lang w:val="en-GB" w:eastAsia="zh-TW"/>
        </w:rPr>
        <w:lastRenderedPageBreak/>
        <w:t>under Congressional surveillance, and therefore declines to review.</w:t>
      </w:r>
      <w:r w:rsidR="00576D13" w:rsidRPr="00EE5050">
        <w:rPr>
          <w:rStyle w:val="FootnoteReference"/>
          <w:rFonts w:eastAsia="PMingLiU"/>
          <w:lang w:val="en-GB" w:eastAsia="zh-TW"/>
        </w:rPr>
        <w:footnoteReference w:id="38"/>
      </w:r>
      <w:r w:rsidR="00145965" w:rsidRPr="00EE5050">
        <w:rPr>
          <w:rFonts w:eastAsia="PMingLiU"/>
          <w:lang w:val="en-GB" w:eastAsia="zh-TW"/>
        </w:rPr>
        <w:t xml:space="preserve"> Among these are: the procedural validity of constitutional amendments; the procedural validity of enacted statutes; the creation and validity of internal congressional rules; economic and social regulation; spending for the general welfare; delegation of rulemaking authority to Executive or agencies; division of war powers between Congress and the Executive; rules and regulations for the military; confirmations and impeachments; and enforcement of the </w:t>
      </w:r>
      <w:r w:rsidR="00AC357A">
        <w:rPr>
          <w:rFonts w:eastAsia="PMingLiU"/>
          <w:lang w:val="en-GB" w:eastAsia="zh-TW"/>
        </w:rPr>
        <w:t>‘</w:t>
      </w:r>
      <w:r w:rsidR="00145965" w:rsidRPr="00EE5050">
        <w:rPr>
          <w:rFonts w:eastAsia="PMingLiU"/>
          <w:lang w:val="en-GB" w:eastAsia="zh-TW"/>
        </w:rPr>
        <w:t>Republican Form of Government</w:t>
      </w:r>
      <w:r w:rsidR="00AC357A">
        <w:rPr>
          <w:rFonts w:eastAsia="PMingLiU"/>
          <w:lang w:val="en-GB" w:eastAsia="zh-TW"/>
        </w:rPr>
        <w:t>’</w:t>
      </w:r>
      <w:r w:rsidR="00145965" w:rsidRPr="00EE5050">
        <w:rPr>
          <w:rFonts w:eastAsia="PMingLiU"/>
          <w:lang w:val="en-GB" w:eastAsia="zh-TW"/>
        </w:rPr>
        <w:t xml:space="preserve"> clause.</w:t>
      </w:r>
      <w:r w:rsidR="00145965" w:rsidRPr="00EE5050">
        <w:rPr>
          <w:rStyle w:val="FootnoteReference"/>
          <w:rFonts w:eastAsia="PMingLiU"/>
          <w:lang w:val="en-GB" w:eastAsia="zh-TW"/>
        </w:rPr>
        <w:footnoteReference w:id="39"/>
      </w:r>
      <w:r w:rsidR="00145965" w:rsidRPr="00EE5050">
        <w:rPr>
          <w:rFonts w:eastAsia="PMingLiU"/>
          <w:lang w:val="en-GB" w:eastAsia="zh-TW"/>
        </w:rPr>
        <w:t xml:space="preserve"> </w:t>
      </w:r>
    </w:p>
    <w:p w14:paraId="2655A748" w14:textId="7FE289AA" w:rsidR="00C8715C" w:rsidRPr="00EE5050" w:rsidRDefault="00C8715C" w:rsidP="00A31E24">
      <w:pPr>
        <w:pStyle w:val="NoSpacing"/>
        <w:tabs>
          <w:tab w:val="left" w:pos="1276"/>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Other jurisdictions present contemporary examples of how constitutional review structures </w:t>
      </w:r>
      <w:r w:rsidR="008627D5" w:rsidRPr="00EE5050">
        <w:rPr>
          <w:rFonts w:eastAsia="PMingLiU"/>
          <w:lang w:val="en-GB" w:eastAsia="zh-TW"/>
        </w:rPr>
        <w:t>regularly</w:t>
      </w:r>
      <w:r w:rsidRPr="00EE5050">
        <w:rPr>
          <w:rFonts w:eastAsia="PMingLiU"/>
          <w:lang w:val="en-GB" w:eastAsia="zh-TW"/>
        </w:rPr>
        <w:t xml:space="preserve"> fluctu</w:t>
      </w:r>
      <w:r w:rsidR="00AA65B7" w:rsidRPr="00EE5050">
        <w:rPr>
          <w:rFonts w:eastAsia="PMingLiU"/>
          <w:lang w:val="en-GB" w:eastAsia="zh-TW"/>
        </w:rPr>
        <w:t>ate. In 2003 Belgium</w:t>
      </w:r>
      <w:r w:rsidR="00AC357A">
        <w:rPr>
          <w:rFonts w:eastAsia="PMingLiU"/>
          <w:lang w:val="en-GB" w:eastAsia="zh-TW"/>
        </w:rPr>
        <w:t>’</w:t>
      </w:r>
      <w:r w:rsidR="00AA65B7" w:rsidRPr="00EE5050">
        <w:rPr>
          <w:rFonts w:eastAsia="PMingLiU"/>
          <w:lang w:val="en-GB" w:eastAsia="zh-TW"/>
        </w:rPr>
        <w:t xml:space="preserve">s </w:t>
      </w:r>
      <w:proofErr w:type="spellStart"/>
      <w:r w:rsidR="00AA65B7" w:rsidRPr="00EE5050">
        <w:rPr>
          <w:rFonts w:eastAsia="PMingLiU"/>
          <w:i/>
          <w:lang w:val="en-GB" w:eastAsia="zh-TW"/>
        </w:rPr>
        <w:t>Cour</w:t>
      </w:r>
      <w:proofErr w:type="spellEnd"/>
      <w:r w:rsidR="00AA65B7" w:rsidRPr="00EE5050">
        <w:rPr>
          <w:rFonts w:eastAsia="PMingLiU"/>
          <w:i/>
          <w:lang w:val="en-GB" w:eastAsia="zh-TW"/>
        </w:rPr>
        <w:t xml:space="preserve"> </w:t>
      </w:r>
      <w:proofErr w:type="spellStart"/>
      <w:r w:rsidR="00AA65B7" w:rsidRPr="00EE5050">
        <w:rPr>
          <w:rFonts w:eastAsia="PMingLiU"/>
          <w:i/>
          <w:lang w:val="en-GB" w:eastAsia="zh-TW"/>
        </w:rPr>
        <w:t>d</w:t>
      </w:r>
      <w:r w:rsidR="00AC357A">
        <w:rPr>
          <w:rFonts w:eastAsia="PMingLiU"/>
          <w:i/>
          <w:lang w:val="en-GB" w:eastAsia="zh-TW"/>
        </w:rPr>
        <w:t>’</w:t>
      </w:r>
      <w:r w:rsidR="00AA65B7" w:rsidRPr="00EE5050">
        <w:rPr>
          <w:rFonts w:eastAsia="PMingLiU"/>
          <w:i/>
          <w:lang w:val="en-GB" w:eastAsia="zh-TW"/>
        </w:rPr>
        <w:t>arbitrage</w:t>
      </w:r>
      <w:proofErr w:type="spellEnd"/>
      <w:r w:rsidR="00AA65B7" w:rsidRPr="00EE5050">
        <w:rPr>
          <w:rFonts w:eastAsia="PMingLiU"/>
          <w:lang w:val="en-GB" w:eastAsia="zh-TW"/>
        </w:rPr>
        <w:t xml:space="preserve"> gained powers to </w:t>
      </w:r>
      <w:r w:rsidR="00AC357A">
        <w:rPr>
          <w:rFonts w:eastAsia="PMingLiU"/>
          <w:lang w:val="en-GB" w:eastAsia="zh-TW"/>
        </w:rPr>
        <w:t>‘</w:t>
      </w:r>
      <w:r w:rsidR="00AA65B7" w:rsidRPr="00EE5050">
        <w:rPr>
          <w:rFonts w:eastAsia="PMingLiU"/>
          <w:lang w:val="en-GB" w:eastAsia="zh-TW"/>
        </w:rPr>
        <w:t>control whether statutes comply with all the fundamental rights and liberties laid down in the constitution</w:t>
      </w:r>
      <w:r w:rsidR="00AC357A">
        <w:rPr>
          <w:rFonts w:eastAsia="PMingLiU"/>
          <w:lang w:val="en-GB" w:eastAsia="zh-TW"/>
        </w:rPr>
        <w:t>’</w:t>
      </w:r>
      <w:r w:rsidR="00AA65B7" w:rsidRPr="00EE5050">
        <w:rPr>
          <w:rFonts w:eastAsia="PMingLiU"/>
          <w:lang w:val="en-GB" w:eastAsia="zh-TW"/>
        </w:rPr>
        <w:t xml:space="preserve"> and other legal principles;</w:t>
      </w:r>
      <w:r w:rsidR="00AA65B7" w:rsidRPr="00EE5050">
        <w:rPr>
          <w:rStyle w:val="FootnoteReference"/>
          <w:rFonts w:eastAsia="PMingLiU"/>
          <w:lang w:val="en-GB" w:eastAsia="zh-TW"/>
        </w:rPr>
        <w:footnoteReference w:id="40"/>
      </w:r>
      <w:r w:rsidR="00AA65B7" w:rsidRPr="00EE5050">
        <w:rPr>
          <w:rFonts w:eastAsia="PMingLiU"/>
          <w:lang w:val="en-GB" w:eastAsia="zh-TW"/>
        </w:rPr>
        <w:t xml:space="preserve"> F</w:t>
      </w:r>
      <w:r w:rsidRPr="00EE5050">
        <w:rPr>
          <w:rFonts w:eastAsia="PMingLiU"/>
          <w:lang w:val="en-GB" w:eastAsia="zh-TW"/>
        </w:rPr>
        <w:t>rance amended its constitution in 2008 to allow for increased judi</w:t>
      </w:r>
      <w:r w:rsidR="00AA65B7" w:rsidRPr="00EE5050">
        <w:rPr>
          <w:rFonts w:eastAsia="PMingLiU"/>
          <w:lang w:val="en-GB" w:eastAsia="zh-TW"/>
        </w:rPr>
        <w:t>cial review of promulgated laws;</w:t>
      </w:r>
      <w:r w:rsidR="00AC6E3D" w:rsidRPr="00EE5050">
        <w:rPr>
          <w:rStyle w:val="FootnoteReference"/>
          <w:rFonts w:eastAsia="PMingLiU"/>
          <w:lang w:val="en-GB" w:eastAsia="zh-TW"/>
        </w:rPr>
        <w:footnoteReference w:id="41"/>
      </w:r>
      <w:r w:rsidRPr="00EE5050">
        <w:rPr>
          <w:rFonts w:eastAsia="PMingLiU"/>
          <w:lang w:val="en-GB" w:eastAsia="zh-TW"/>
        </w:rPr>
        <w:t xml:space="preserve"> and </w:t>
      </w:r>
      <w:r w:rsidR="00AA65B7" w:rsidRPr="00EE5050">
        <w:rPr>
          <w:rFonts w:eastAsia="PMingLiU"/>
          <w:lang w:val="en-GB" w:eastAsia="zh-TW"/>
        </w:rPr>
        <w:t xml:space="preserve">controversially, </w:t>
      </w:r>
      <w:r w:rsidRPr="00EE5050">
        <w:rPr>
          <w:rFonts w:eastAsia="PMingLiU"/>
          <w:lang w:val="en-GB" w:eastAsia="zh-TW"/>
        </w:rPr>
        <w:t>Hungary has recently adopted a Fundamental Law that significantly curbs the powers of its constitutional court.</w:t>
      </w:r>
      <w:r w:rsidRPr="00EE5050">
        <w:rPr>
          <w:rStyle w:val="FootnoteReference"/>
          <w:rFonts w:eastAsia="PMingLiU"/>
          <w:lang w:val="en-GB" w:eastAsia="zh-TW"/>
        </w:rPr>
        <w:footnoteReference w:id="42"/>
      </w:r>
      <w:r w:rsidRPr="00EE5050">
        <w:rPr>
          <w:rFonts w:eastAsia="PMingLiU"/>
          <w:lang w:val="en-GB" w:eastAsia="zh-TW"/>
        </w:rPr>
        <w:t xml:space="preserve"> </w:t>
      </w:r>
      <w:r w:rsidR="00145965" w:rsidRPr="00EE5050">
        <w:rPr>
          <w:rFonts w:eastAsia="PMingLiU"/>
          <w:lang w:val="en-GB" w:eastAsia="zh-TW"/>
        </w:rPr>
        <w:t>Other</w:t>
      </w:r>
      <w:r w:rsidR="001156E6" w:rsidRPr="00EE5050">
        <w:rPr>
          <w:rFonts w:eastAsia="PMingLiU"/>
          <w:lang w:val="en-GB" w:eastAsia="zh-TW"/>
        </w:rPr>
        <w:t xml:space="preserve"> </w:t>
      </w:r>
      <w:r w:rsidR="002D3583" w:rsidRPr="00EE5050">
        <w:rPr>
          <w:rFonts w:eastAsia="PMingLiU"/>
          <w:lang w:val="en-GB" w:eastAsia="zh-TW"/>
        </w:rPr>
        <w:t>democracies</w:t>
      </w:r>
      <w:r w:rsidR="001156E6" w:rsidRPr="00EE5050">
        <w:rPr>
          <w:rFonts w:eastAsia="PMingLiU"/>
          <w:lang w:val="en-GB" w:eastAsia="zh-TW"/>
        </w:rPr>
        <w:t xml:space="preserve"> such as Canada,</w:t>
      </w:r>
      <w:r w:rsidR="005178A9" w:rsidRPr="00EE5050">
        <w:rPr>
          <w:rStyle w:val="FootnoteReference"/>
          <w:rFonts w:eastAsia="PMingLiU"/>
          <w:lang w:val="en-GB" w:eastAsia="zh-TW"/>
        </w:rPr>
        <w:footnoteReference w:id="43"/>
      </w:r>
      <w:r w:rsidR="001156E6" w:rsidRPr="00EE5050">
        <w:rPr>
          <w:rFonts w:eastAsia="PMingLiU"/>
          <w:lang w:val="en-GB" w:eastAsia="zh-TW"/>
        </w:rPr>
        <w:t xml:space="preserve"> Germany</w:t>
      </w:r>
      <w:r w:rsidR="005178A9" w:rsidRPr="00EE5050">
        <w:rPr>
          <w:rStyle w:val="FootnoteReference"/>
          <w:rFonts w:eastAsia="PMingLiU"/>
          <w:lang w:val="en-GB" w:eastAsia="zh-TW"/>
        </w:rPr>
        <w:footnoteReference w:id="44"/>
      </w:r>
      <w:r w:rsidR="001156E6" w:rsidRPr="00EE5050">
        <w:rPr>
          <w:rFonts w:eastAsia="PMingLiU"/>
          <w:lang w:val="en-GB" w:eastAsia="zh-TW"/>
        </w:rPr>
        <w:t xml:space="preserve"> and </w:t>
      </w:r>
      <w:r w:rsidR="00021722" w:rsidRPr="00EE5050">
        <w:rPr>
          <w:rFonts w:eastAsia="PMingLiU"/>
          <w:lang w:val="en-GB" w:eastAsia="zh-TW"/>
        </w:rPr>
        <w:t>Switzerland</w:t>
      </w:r>
      <w:r w:rsidR="008D4ABF" w:rsidRPr="00EE5050">
        <w:rPr>
          <w:rStyle w:val="FootnoteReference"/>
          <w:rFonts w:eastAsia="PMingLiU"/>
          <w:lang w:val="en-GB" w:eastAsia="zh-TW"/>
        </w:rPr>
        <w:footnoteReference w:id="45"/>
      </w:r>
      <w:r w:rsidR="00021722" w:rsidRPr="00EE5050">
        <w:rPr>
          <w:rFonts w:eastAsia="PMingLiU"/>
          <w:lang w:val="en-GB" w:eastAsia="zh-TW"/>
        </w:rPr>
        <w:t xml:space="preserve"> </w:t>
      </w:r>
      <w:r w:rsidR="001A52FD" w:rsidRPr="00EE5050">
        <w:rPr>
          <w:rFonts w:eastAsia="PMingLiU"/>
          <w:lang w:val="en-GB" w:eastAsia="zh-TW"/>
        </w:rPr>
        <w:t xml:space="preserve">have experienced </w:t>
      </w:r>
      <w:r w:rsidR="00C9145E" w:rsidRPr="00EE5050">
        <w:rPr>
          <w:rFonts w:eastAsia="PMingLiU"/>
          <w:lang w:val="en-GB" w:eastAsia="zh-TW"/>
        </w:rPr>
        <w:t>various levels of</w:t>
      </w:r>
      <w:r w:rsidR="001A52FD" w:rsidRPr="00EE5050">
        <w:rPr>
          <w:rFonts w:eastAsia="PMingLiU"/>
          <w:lang w:val="en-GB" w:eastAsia="zh-TW"/>
        </w:rPr>
        <w:t xml:space="preserve"> constitutional change over the past few decades</w:t>
      </w:r>
      <w:r w:rsidR="00DD5197" w:rsidRPr="00EE5050">
        <w:rPr>
          <w:rFonts w:eastAsia="PMingLiU"/>
          <w:lang w:val="en-GB" w:eastAsia="zh-TW"/>
        </w:rPr>
        <w:t xml:space="preserve">, tinkering with structures to </w:t>
      </w:r>
      <w:r w:rsidR="00171284" w:rsidRPr="00EE5050">
        <w:rPr>
          <w:rFonts w:eastAsia="PMingLiU"/>
          <w:lang w:val="en-GB" w:eastAsia="zh-TW"/>
        </w:rPr>
        <w:t>discover</w:t>
      </w:r>
      <w:r w:rsidR="00C9145E" w:rsidRPr="00EE5050">
        <w:rPr>
          <w:rFonts w:eastAsia="PMingLiU"/>
          <w:lang w:val="en-GB" w:eastAsia="zh-TW"/>
        </w:rPr>
        <w:t xml:space="preserve"> their</w:t>
      </w:r>
      <w:r w:rsidR="00DD5197" w:rsidRPr="00EE5050">
        <w:rPr>
          <w:rFonts w:eastAsia="PMingLiU"/>
          <w:lang w:val="en-GB" w:eastAsia="zh-TW"/>
        </w:rPr>
        <w:t xml:space="preserve"> </w:t>
      </w:r>
      <w:r w:rsidR="00AC357A">
        <w:rPr>
          <w:rFonts w:eastAsia="PMingLiU"/>
          <w:lang w:val="en-GB" w:eastAsia="zh-TW"/>
        </w:rPr>
        <w:t>‘</w:t>
      </w:r>
      <w:r w:rsidR="00DD5197" w:rsidRPr="00EE5050">
        <w:rPr>
          <w:rFonts w:eastAsia="PMingLiU"/>
          <w:lang w:val="en-GB" w:eastAsia="zh-TW"/>
        </w:rPr>
        <w:t>veritable evergreen</w:t>
      </w:r>
      <w:r w:rsidR="00AC357A">
        <w:rPr>
          <w:rFonts w:eastAsia="PMingLiU"/>
          <w:lang w:val="en-GB" w:eastAsia="zh-TW"/>
        </w:rPr>
        <w:t>’</w:t>
      </w:r>
      <w:r w:rsidR="001A52FD" w:rsidRPr="00EE5050">
        <w:rPr>
          <w:rFonts w:eastAsia="PMingLiU"/>
          <w:lang w:val="en-GB" w:eastAsia="zh-TW"/>
        </w:rPr>
        <w:t>.</w:t>
      </w:r>
      <w:r w:rsidR="001A52FD" w:rsidRPr="00EE5050">
        <w:rPr>
          <w:rStyle w:val="FootnoteReference"/>
          <w:rFonts w:eastAsia="PMingLiU"/>
          <w:lang w:val="en-GB" w:eastAsia="zh-TW"/>
        </w:rPr>
        <w:footnoteReference w:id="46"/>
      </w:r>
      <w:r w:rsidR="001A52FD" w:rsidRPr="00EE5050">
        <w:rPr>
          <w:rFonts w:eastAsia="PMingLiU"/>
          <w:lang w:val="en-GB" w:eastAsia="zh-TW"/>
        </w:rPr>
        <w:t xml:space="preserve"> </w:t>
      </w:r>
      <w:r w:rsidR="00145965" w:rsidRPr="00EE5050">
        <w:rPr>
          <w:rFonts w:eastAsia="PMingLiU"/>
          <w:lang w:val="en-GB" w:eastAsia="zh-TW"/>
        </w:rPr>
        <w:t>Such</w:t>
      </w:r>
      <w:r w:rsidR="00372407" w:rsidRPr="00EE5050">
        <w:rPr>
          <w:rFonts w:eastAsia="PMingLiU"/>
          <w:lang w:val="en-GB" w:eastAsia="zh-TW"/>
        </w:rPr>
        <w:t xml:space="preserve"> change</w:t>
      </w:r>
      <w:r w:rsidR="00F464E9" w:rsidRPr="00EE5050">
        <w:rPr>
          <w:rFonts w:eastAsia="PMingLiU"/>
          <w:lang w:val="en-GB" w:eastAsia="zh-TW"/>
        </w:rPr>
        <w:t xml:space="preserve">, however, </w:t>
      </w:r>
      <w:r w:rsidR="00812598" w:rsidRPr="00EE5050">
        <w:rPr>
          <w:rFonts w:eastAsia="PMingLiU"/>
          <w:lang w:val="en-GB" w:eastAsia="zh-TW"/>
        </w:rPr>
        <w:t>need not</w:t>
      </w:r>
      <w:r w:rsidR="00F464E9" w:rsidRPr="00EE5050">
        <w:rPr>
          <w:rFonts w:eastAsia="PMingLiU"/>
          <w:lang w:val="en-GB" w:eastAsia="zh-TW"/>
        </w:rPr>
        <w:t xml:space="preserve"> be </w:t>
      </w:r>
      <w:r w:rsidR="00CB50EC" w:rsidRPr="00EE5050">
        <w:rPr>
          <w:rFonts w:eastAsia="PMingLiU"/>
          <w:lang w:val="en-GB" w:eastAsia="zh-TW"/>
        </w:rPr>
        <w:t>dramatic</w:t>
      </w:r>
      <w:r w:rsidR="00372407" w:rsidRPr="00EE5050">
        <w:rPr>
          <w:rFonts w:eastAsia="PMingLiU"/>
          <w:lang w:val="en-GB" w:eastAsia="zh-TW"/>
        </w:rPr>
        <w:t xml:space="preserve">. Minor </w:t>
      </w:r>
      <w:r w:rsidR="00040B51" w:rsidRPr="00EE5050">
        <w:rPr>
          <w:rFonts w:eastAsia="PMingLiU"/>
          <w:lang w:val="en-GB" w:eastAsia="zh-TW"/>
        </w:rPr>
        <w:t>adjustments</w:t>
      </w:r>
      <w:r w:rsidR="0013084D" w:rsidRPr="00EE5050">
        <w:rPr>
          <w:rFonts w:eastAsia="PMingLiU"/>
          <w:lang w:val="en-GB" w:eastAsia="zh-TW"/>
        </w:rPr>
        <w:t xml:space="preserve"> to such constitutional mechanisms can </w:t>
      </w:r>
      <w:r w:rsidR="0013084D" w:rsidRPr="00EE5050">
        <w:rPr>
          <w:rFonts w:eastAsia="PMingLiU"/>
          <w:lang w:val="en-GB" w:eastAsia="zh-TW"/>
        </w:rPr>
        <w:lastRenderedPageBreak/>
        <w:t>also play a significant part in rev</w:t>
      </w:r>
      <w:r w:rsidR="00B4133A" w:rsidRPr="00EE5050">
        <w:rPr>
          <w:rFonts w:eastAsia="PMingLiU"/>
          <w:lang w:val="en-GB" w:eastAsia="zh-TW"/>
        </w:rPr>
        <w:t>iew</w:t>
      </w:r>
      <w:r w:rsidR="0013084D" w:rsidRPr="00EE5050">
        <w:rPr>
          <w:rFonts w:eastAsia="PMingLiU"/>
          <w:lang w:val="en-GB" w:eastAsia="zh-TW"/>
        </w:rPr>
        <w:t>.</w:t>
      </w:r>
      <w:r w:rsidR="002D3583" w:rsidRPr="00EE5050">
        <w:rPr>
          <w:rStyle w:val="FootnoteReference"/>
          <w:rFonts w:eastAsia="PMingLiU"/>
          <w:lang w:val="en-GB" w:eastAsia="zh-TW"/>
        </w:rPr>
        <w:footnoteReference w:id="47"/>
      </w:r>
      <w:r w:rsidR="0013084D" w:rsidRPr="00EE5050">
        <w:rPr>
          <w:rFonts w:eastAsia="PMingLiU"/>
          <w:lang w:val="en-GB" w:eastAsia="zh-TW"/>
        </w:rPr>
        <w:t xml:space="preserve"> </w:t>
      </w:r>
      <w:r w:rsidR="00145965" w:rsidRPr="00EE5050">
        <w:rPr>
          <w:rFonts w:eastAsia="PMingLiU"/>
          <w:lang w:val="en-GB" w:eastAsia="zh-TW"/>
        </w:rPr>
        <w:t>After all, d</w:t>
      </w:r>
      <w:r w:rsidR="009677D0" w:rsidRPr="00EE5050">
        <w:rPr>
          <w:rFonts w:eastAsia="PMingLiU"/>
          <w:lang w:val="en-GB" w:eastAsia="zh-TW"/>
        </w:rPr>
        <w:t>emocracies are dynamic entities</w:t>
      </w:r>
      <w:r w:rsidRPr="00EE5050">
        <w:rPr>
          <w:rFonts w:eastAsia="PMingLiU"/>
          <w:lang w:val="en-GB" w:eastAsia="zh-TW"/>
        </w:rPr>
        <w:t>,</w:t>
      </w:r>
      <w:r w:rsidR="009677D0" w:rsidRPr="00EE5050">
        <w:rPr>
          <w:rFonts w:eastAsia="PMingLiU"/>
          <w:lang w:val="en-GB" w:eastAsia="zh-TW"/>
        </w:rPr>
        <w:t xml:space="preserve"> and </w:t>
      </w:r>
      <w:r w:rsidR="00B4133A" w:rsidRPr="00EE5050">
        <w:rPr>
          <w:rFonts w:eastAsia="PMingLiU"/>
          <w:lang w:val="en-GB" w:eastAsia="zh-TW"/>
        </w:rPr>
        <w:t>all-or-nothing review by one</w:t>
      </w:r>
      <w:r w:rsidR="009677D0" w:rsidRPr="00EE5050">
        <w:rPr>
          <w:rFonts w:eastAsia="PMingLiU"/>
          <w:lang w:val="en-GB" w:eastAsia="zh-TW"/>
        </w:rPr>
        <w:t xml:space="preserve"> branch of government</w:t>
      </w:r>
      <w:r w:rsidR="0051258D" w:rsidRPr="0051258D">
        <w:rPr>
          <w:rFonts w:eastAsia="PMingLiU"/>
          <w:lang w:val="en-GB" w:eastAsia="zh-TW"/>
        </w:rPr>
        <w:t>—</w:t>
      </w:r>
      <w:r w:rsidR="00171284" w:rsidRPr="00EE5050">
        <w:rPr>
          <w:rFonts w:eastAsia="PMingLiU"/>
          <w:lang w:val="en-GB" w:eastAsia="zh-TW"/>
        </w:rPr>
        <w:t>or merely one governmental entity</w:t>
      </w:r>
      <w:r w:rsidR="0051258D" w:rsidRPr="0051258D">
        <w:rPr>
          <w:rFonts w:eastAsia="PMingLiU"/>
          <w:lang w:val="en-GB" w:eastAsia="zh-TW"/>
        </w:rPr>
        <w:t>—</w:t>
      </w:r>
      <w:r w:rsidR="009677D0" w:rsidRPr="00EE5050">
        <w:rPr>
          <w:rFonts w:eastAsia="PMingLiU"/>
          <w:lang w:val="en-GB" w:eastAsia="zh-TW"/>
        </w:rPr>
        <w:t xml:space="preserve">is not </w:t>
      </w:r>
      <w:r w:rsidR="00B4133A" w:rsidRPr="00EE5050">
        <w:rPr>
          <w:rFonts w:eastAsia="PMingLiU"/>
          <w:lang w:val="en-GB" w:eastAsia="zh-TW"/>
        </w:rPr>
        <w:t>how such</w:t>
      </w:r>
      <w:r w:rsidR="009677D0" w:rsidRPr="00EE5050">
        <w:rPr>
          <w:rFonts w:eastAsia="PMingLiU"/>
          <w:lang w:val="en-GB" w:eastAsia="zh-TW"/>
        </w:rPr>
        <w:t xml:space="preserve"> review usually </w:t>
      </w:r>
      <w:r w:rsidR="00D010E5" w:rsidRPr="00EE5050">
        <w:rPr>
          <w:rFonts w:eastAsia="PMingLiU"/>
          <w:lang w:val="en-GB" w:eastAsia="zh-TW"/>
        </w:rPr>
        <w:t>functions</w:t>
      </w:r>
      <w:r w:rsidR="000F6DF1" w:rsidRPr="00EE5050">
        <w:rPr>
          <w:rFonts w:eastAsia="PMingLiU"/>
          <w:lang w:val="en-GB" w:eastAsia="zh-TW"/>
        </w:rPr>
        <w:t>,</w:t>
      </w:r>
      <w:r w:rsidR="00145965" w:rsidRPr="00EE5050">
        <w:rPr>
          <w:rStyle w:val="FootnoteReference"/>
          <w:rFonts w:eastAsia="PMingLiU"/>
          <w:lang w:val="en-GB" w:eastAsia="zh-TW"/>
        </w:rPr>
        <w:footnoteReference w:id="48"/>
      </w:r>
      <w:r w:rsidR="000F6DF1" w:rsidRPr="00EE5050">
        <w:rPr>
          <w:rFonts w:eastAsia="PMingLiU"/>
          <w:lang w:val="en-GB" w:eastAsia="zh-TW"/>
        </w:rPr>
        <w:t xml:space="preserve"> and </w:t>
      </w:r>
      <w:r w:rsidR="00A87809">
        <w:rPr>
          <w:rFonts w:eastAsia="PMingLiU"/>
          <w:lang w:val="en-GB" w:eastAsia="zh-TW"/>
        </w:rPr>
        <w:t xml:space="preserve">would </w:t>
      </w:r>
      <w:r w:rsidR="000F6DF1" w:rsidRPr="00EE5050">
        <w:rPr>
          <w:rFonts w:eastAsia="PMingLiU"/>
          <w:lang w:val="en-GB" w:eastAsia="zh-TW"/>
        </w:rPr>
        <w:t xml:space="preserve">challenge the principles of democratic governance. </w:t>
      </w:r>
    </w:p>
    <w:p w14:paraId="3EFF2FC0" w14:textId="77777777" w:rsidR="00040B51" w:rsidRPr="00EE5050" w:rsidRDefault="00040B51" w:rsidP="00812598">
      <w:pPr>
        <w:pStyle w:val="NoSpacing"/>
        <w:tabs>
          <w:tab w:val="left" w:pos="1276"/>
          <w:tab w:val="left" w:pos="1440"/>
        </w:tabs>
        <w:spacing w:line="480" w:lineRule="auto"/>
        <w:ind w:firstLineChars="118" w:firstLine="283"/>
        <w:jc w:val="both"/>
        <w:rPr>
          <w:rFonts w:eastAsia="PMingLiU"/>
          <w:lang w:val="en-GB" w:eastAsia="zh-TW"/>
        </w:rPr>
      </w:pPr>
    </w:p>
    <w:p w14:paraId="5ED7B43C" w14:textId="77777777" w:rsidR="00C678C4" w:rsidRPr="00C822FE" w:rsidRDefault="007C5A6D" w:rsidP="0086012E">
      <w:pPr>
        <w:pStyle w:val="NoSpacing"/>
        <w:tabs>
          <w:tab w:val="left" w:pos="993"/>
          <w:tab w:val="left" w:pos="1440"/>
        </w:tabs>
        <w:spacing w:line="480" w:lineRule="auto"/>
        <w:jc w:val="both"/>
        <w:rPr>
          <w:rFonts w:eastAsia="PMingLiU"/>
          <w:b/>
          <w:i/>
          <w:sz w:val="28"/>
          <w:lang w:val="en-GB" w:eastAsia="zh-TW"/>
        </w:rPr>
      </w:pPr>
      <w:r w:rsidRPr="0086012E">
        <w:rPr>
          <w:rFonts w:eastAsia="PMingLiU"/>
          <w:b/>
          <w:i/>
          <w:sz w:val="28"/>
          <w:lang w:val="en-GB" w:eastAsia="zh-TW"/>
        </w:rPr>
        <w:t>B.</w:t>
      </w:r>
      <w:r w:rsidR="00ED40BE" w:rsidRPr="00BE7759">
        <w:rPr>
          <w:rFonts w:eastAsia="PMingLiU"/>
          <w:b/>
          <w:i/>
          <w:sz w:val="28"/>
          <w:lang w:val="en-GB" w:eastAsia="zh-TW"/>
        </w:rPr>
        <w:t>  </w:t>
      </w:r>
      <w:r w:rsidR="00681A57" w:rsidRPr="0086012E">
        <w:rPr>
          <w:rFonts w:eastAsia="PMingLiU"/>
          <w:b/>
          <w:i/>
          <w:sz w:val="28"/>
          <w:lang w:val="en-GB" w:eastAsia="zh-TW"/>
        </w:rPr>
        <w:t xml:space="preserve">Legislative </w:t>
      </w:r>
      <w:r w:rsidR="00681A57" w:rsidRPr="00C822FE">
        <w:rPr>
          <w:rFonts w:eastAsia="PMingLiU"/>
          <w:b/>
          <w:i/>
          <w:sz w:val="28"/>
          <w:lang w:val="en-GB" w:eastAsia="zh-TW"/>
        </w:rPr>
        <w:t>interpretative a</w:t>
      </w:r>
      <w:r w:rsidR="00CB1FB9" w:rsidRPr="00C822FE">
        <w:rPr>
          <w:rFonts w:eastAsia="PMingLiU"/>
          <w:b/>
          <w:i/>
          <w:sz w:val="28"/>
          <w:lang w:val="en-GB" w:eastAsia="zh-TW"/>
        </w:rPr>
        <w:t>uthority</w:t>
      </w:r>
    </w:p>
    <w:p w14:paraId="142A59AF" w14:textId="7A99B1A1" w:rsidR="00746CD7" w:rsidRPr="00EE5050" w:rsidRDefault="00F2049E" w:rsidP="00CB1FB9">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M</w:t>
      </w:r>
      <w:r w:rsidR="00F9765C" w:rsidRPr="00EE5050">
        <w:rPr>
          <w:rFonts w:eastAsia="PMingLiU"/>
          <w:lang w:val="en-GB" w:eastAsia="zh-TW"/>
        </w:rPr>
        <w:t xml:space="preserve">ost theories of constitutionalism </w:t>
      </w:r>
      <w:r w:rsidR="00CB1FB9" w:rsidRPr="00EE5050">
        <w:rPr>
          <w:rFonts w:eastAsia="PMingLiU"/>
          <w:lang w:val="en-GB" w:eastAsia="zh-TW"/>
        </w:rPr>
        <w:t>acknowledge the legislature</w:t>
      </w:r>
      <w:r w:rsidR="00AC357A">
        <w:rPr>
          <w:rFonts w:eastAsia="PMingLiU"/>
          <w:lang w:val="en-GB" w:eastAsia="zh-TW"/>
        </w:rPr>
        <w:t>’</w:t>
      </w:r>
      <w:r w:rsidR="00CB1FB9" w:rsidRPr="00EE5050">
        <w:rPr>
          <w:rFonts w:eastAsia="PMingLiU"/>
          <w:lang w:val="en-GB" w:eastAsia="zh-TW"/>
        </w:rPr>
        <w:t xml:space="preserve">s </w:t>
      </w:r>
      <w:r w:rsidR="00C9145E" w:rsidRPr="00EE5050">
        <w:rPr>
          <w:rFonts w:eastAsia="PMingLiU"/>
          <w:lang w:val="en-GB" w:eastAsia="zh-TW"/>
        </w:rPr>
        <w:t>interpretative authority</w:t>
      </w:r>
      <w:r w:rsidR="00CB1FB9" w:rsidRPr="00EE5050">
        <w:rPr>
          <w:rFonts w:eastAsia="PMingLiU"/>
          <w:lang w:val="en-GB" w:eastAsia="zh-TW"/>
        </w:rPr>
        <w:t xml:space="preserve">, although such power varies </w:t>
      </w:r>
      <w:r w:rsidR="0009634A" w:rsidRPr="00EE5050">
        <w:rPr>
          <w:rFonts w:eastAsia="PMingLiU"/>
          <w:lang w:val="en-GB" w:eastAsia="zh-TW"/>
        </w:rPr>
        <w:t>by jurisdiction</w:t>
      </w:r>
      <w:r w:rsidR="00CB1FB9" w:rsidRPr="00EE5050">
        <w:rPr>
          <w:rFonts w:eastAsia="PMingLiU"/>
          <w:lang w:val="en-GB" w:eastAsia="zh-TW"/>
        </w:rPr>
        <w:t>.</w:t>
      </w:r>
      <w:r w:rsidR="00021722" w:rsidRPr="00EE5050">
        <w:rPr>
          <w:rStyle w:val="FootnoteReference"/>
          <w:rFonts w:eastAsia="PMingLiU"/>
          <w:lang w:val="en-GB" w:eastAsia="zh-TW"/>
        </w:rPr>
        <w:footnoteReference w:id="49"/>
      </w:r>
      <w:r w:rsidR="00CB1FB9" w:rsidRPr="00EE5050">
        <w:rPr>
          <w:rFonts w:eastAsia="PMingLiU"/>
          <w:lang w:val="en-GB" w:eastAsia="zh-TW"/>
        </w:rPr>
        <w:t xml:space="preserve"> </w:t>
      </w:r>
      <w:r w:rsidR="00A653D5" w:rsidRPr="00EE5050">
        <w:rPr>
          <w:rFonts w:eastAsia="PMingLiU"/>
          <w:lang w:val="en-GB" w:eastAsia="zh-TW"/>
        </w:rPr>
        <w:t xml:space="preserve">That being said, de </w:t>
      </w:r>
      <w:proofErr w:type="spellStart"/>
      <w:r w:rsidR="00A653D5" w:rsidRPr="00EE5050">
        <w:rPr>
          <w:rFonts w:eastAsia="PMingLiU"/>
          <w:lang w:val="en-GB" w:eastAsia="zh-TW"/>
        </w:rPr>
        <w:t>Visser</w:t>
      </w:r>
      <w:proofErr w:type="spellEnd"/>
      <w:r w:rsidR="00A653D5" w:rsidRPr="00EE5050">
        <w:rPr>
          <w:rFonts w:eastAsia="PMingLiU"/>
          <w:lang w:val="en-GB" w:eastAsia="zh-TW"/>
        </w:rPr>
        <w:t xml:space="preserve"> </w:t>
      </w:r>
      <w:r w:rsidR="00F044CA" w:rsidRPr="00EE5050">
        <w:rPr>
          <w:rFonts w:eastAsia="PMingLiU"/>
          <w:lang w:val="en-GB" w:eastAsia="zh-TW"/>
        </w:rPr>
        <w:t>writes</w:t>
      </w:r>
      <w:r w:rsidR="00A653D5" w:rsidRPr="00EE5050">
        <w:rPr>
          <w:rFonts w:eastAsia="PMingLiU"/>
          <w:lang w:val="en-GB" w:eastAsia="zh-TW"/>
        </w:rPr>
        <w:t xml:space="preserve"> that the study of parliamentary constitutional interpretation is </w:t>
      </w:r>
      <w:r w:rsidR="00AC357A">
        <w:rPr>
          <w:rFonts w:eastAsia="PMingLiU"/>
          <w:lang w:val="en-GB" w:eastAsia="zh-TW"/>
        </w:rPr>
        <w:t>‘</w:t>
      </w:r>
      <w:r w:rsidR="00A653D5" w:rsidRPr="00EE5050">
        <w:rPr>
          <w:rFonts w:eastAsia="PMingLiU"/>
          <w:lang w:val="en-GB" w:eastAsia="zh-TW"/>
        </w:rPr>
        <w:t>still in its infancy</w:t>
      </w:r>
      <w:r w:rsidR="00AC357A">
        <w:rPr>
          <w:rFonts w:eastAsia="PMingLiU"/>
          <w:lang w:val="en-GB" w:eastAsia="zh-TW"/>
        </w:rPr>
        <w:t>’</w:t>
      </w:r>
      <w:r w:rsidR="00A653D5" w:rsidRPr="00EE5050">
        <w:rPr>
          <w:rFonts w:eastAsia="PMingLiU"/>
          <w:lang w:val="en-GB" w:eastAsia="zh-TW"/>
        </w:rPr>
        <w:t>.</w:t>
      </w:r>
      <w:r w:rsidR="00A653D5" w:rsidRPr="00EE5050">
        <w:rPr>
          <w:rStyle w:val="FootnoteReference"/>
          <w:rFonts w:eastAsia="PMingLiU"/>
          <w:lang w:val="en-GB" w:eastAsia="zh-TW"/>
        </w:rPr>
        <w:footnoteReference w:id="50"/>
      </w:r>
      <w:r w:rsidR="00A653D5" w:rsidRPr="00EE5050">
        <w:rPr>
          <w:rFonts w:eastAsia="PMingLiU"/>
          <w:lang w:val="en-GB" w:eastAsia="zh-TW"/>
        </w:rPr>
        <w:t xml:space="preserve"> </w:t>
      </w:r>
      <w:r w:rsidR="003C1D42" w:rsidRPr="00EE5050">
        <w:rPr>
          <w:rFonts w:eastAsia="PMingLiU"/>
          <w:lang w:val="en-GB" w:eastAsia="zh-TW"/>
        </w:rPr>
        <w:t>P</w:t>
      </w:r>
      <w:r w:rsidR="00A54076" w:rsidRPr="00EE5050">
        <w:rPr>
          <w:rFonts w:eastAsia="PMingLiU"/>
          <w:lang w:val="en-GB" w:eastAsia="zh-TW"/>
        </w:rPr>
        <w:t xml:space="preserve">arliamentary </w:t>
      </w:r>
      <w:r w:rsidR="00F9765C" w:rsidRPr="00EE5050">
        <w:rPr>
          <w:rFonts w:eastAsia="PMingLiU"/>
          <w:lang w:val="en-GB" w:eastAsia="zh-TW"/>
        </w:rPr>
        <w:t xml:space="preserve">or congressional </w:t>
      </w:r>
      <w:r w:rsidR="00A54076" w:rsidRPr="00EE5050">
        <w:rPr>
          <w:rFonts w:eastAsia="PMingLiU"/>
          <w:lang w:val="en-GB" w:eastAsia="zh-TW"/>
        </w:rPr>
        <w:t>scrutiny of constitutional issues can arise or be supported becaus</w:t>
      </w:r>
      <w:r w:rsidR="006F1248" w:rsidRPr="00EE5050">
        <w:rPr>
          <w:rFonts w:eastAsia="PMingLiU"/>
          <w:lang w:val="en-GB" w:eastAsia="zh-TW"/>
        </w:rPr>
        <w:t>e of many different rationales. I</w:t>
      </w:r>
      <w:r w:rsidR="00CB1FB9" w:rsidRPr="00EE5050">
        <w:rPr>
          <w:rFonts w:eastAsia="PMingLiU"/>
          <w:lang w:val="en-GB" w:eastAsia="zh-TW"/>
        </w:rPr>
        <w:t xml:space="preserve">n some cases </w:t>
      </w:r>
      <w:r w:rsidR="006F1248" w:rsidRPr="00EE5050">
        <w:rPr>
          <w:rFonts w:eastAsia="PMingLiU"/>
          <w:lang w:val="en-GB" w:eastAsia="zh-TW"/>
        </w:rPr>
        <w:t>this stem</w:t>
      </w:r>
      <w:r w:rsidR="000F6DF1" w:rsidRPr="00EE5050">
        <w:rPr>
          <w:rFonts w:eastAsia="PMingLiU"/>
          <w:lang w:val="en-GB" w:eastAsia="zh-TW"/>
        </w:rPr>
        <w:t>s</w:t>
      </w:r>
      <w:r w:rsidR="006F1248" w:rsidRPr="00EE5050">
        <w:rPr>
          <w:rFonts w:eastAsia="PMingLiU"/>
          <w:lang w:val="en-GB" w:eastAsia="zh-TW"/>
        </w:rPr>
        <w:t xml:space="preserve"> from</w:t>
      </w:r>
      <w:r w:rsidR="00924371" w:rsidRPr="00EE5050">
        <w:rPr>
          <w:rFonts w:eastAsia="PMingLiU"/>
          <w:lang w:val="en-GB" w:eastAsia="zh-TW"/>
        </w:rPr>
        <w:t xml:space="preserve"> a </w:t>
      </w:r>
      <w:r w:rsidR="00040B51" w:rsidRPr="00EE5050">
        <w:rPr>
          <w:rFonts w:eastAsia="PMingLiU"/>
          <w:lang w:val="en-GB" w:eastAsia="zh-TW"/>
        </w:rPr>
        <w:t>pledge</w:t>
      </w:r>
      <w:r w:rsidR="00924371" w:rsidRPr="00EE5050">
        <w:rPr>
          <w:rFonts w:eastAsia="PMingLiU"/>
          <w:lang w:val="en-GB" w:eastAsia="zh-TW"/>
        </w:rPr>
        <w:t xml:space="preserve"> </w:t>
      </w:r>
      <w:r w:rsidR="00DD400D" w:rsidRPr="00EE5050">
        <w:rPr>
          <w:rFonts w:eastAsia="PMingLiU"/>
          <w:lang w:val="en-GB" w:eastAsia="zh-TW"/>
        </w:rPr>
        <w:t xml:space="preserve">by lawmakers </w:t>
      </w:r>
      <w:r w:rsidR="005321E6" w:rsidRPr="00EE5050">
        <w:rPr>
          <w:rFonts w:eastAsia="PMingLiU"/>
          <w:lang w:val="en-GB" w:eastAsia="zh-TW"/>
        </w:rPr>
        <w:t xml:space="preserve">upon taking office </w:t>
      </w:r>
      <w:r w:rsidR="00924371" w:rsidRPr="00EE5050">
        <w:rPr>
          <w:rFonts w:eastAsia="PMingLiU"/>
          <w:lang w:val="en-GB" w:eastAsia="zh-TW"/>
        </w:rPr>
        <w:t>to uphold the consti</w:t>
      </w:r>
      <w:r w:rsidR="005321E6" w:rsidRPr="00EE5050">
        <w:rPr>
          <w:rFonts w:eastAsia="PMingLiU"/>
          <w:lang w:val="en-GB" w:eastAsia="zh-TW"/>
        </w:rPr>
        <w:t>tution</w:t>
      </w:r>
      <w:r w:rsidR="00950771" w:rsidRPr="00EE5050">
        <w:rPr>
          <w:rFonts w:eastAsia="PMingLiU"/>
          <w:lang w:val="en-GB" w:eastAsia="zh-TW"/>
        </w:rPr>
        <w:t>,</w:t>
      </w:r>
      <w:r w:rsidR="00162FA5" w:rsidRPr="00EE5050">
        <w:rPr>
          <w:rStyle w:val="FootnoteReference"/>
          <w:rFonts w:eastAsia="PMingLiU"/>
          <w:lang w:val="en-GB" w:eastAsia="zh-TW"/>
        </w:rPr>
        <w:footnoteReference w:id="51"/>
      </w:r>
      <w:r w:rsidR="0088342E" w:rsidRPr="00EE5050">
        <w:rPr>
          <w:rFonts w:eastAsia="PMingLiU"/>
          <w:lang w:val="en-GB" w:eastAsia="zh-TW"/>
        </w:rPr>
        <w:t xml:space="preserve"> </w:t>
      </w:r>
      <w:r w:rsidR="006F1248" w:rsidRPr="00EE5050">
        <w:rPr>
          <w:rFonts w:eastAsia="PMingLiU"/>
          <w:lang w:val="en-GB" w:eastAsia="zh-TW"/>
        </w:rPr>
        <w:t>actively scrutinising</w:t>
      </w:r>
      <w:r w:rsidR="005321E6" w:rsidRPr="00EE5050">
        <w:rPr>
          <w:rFonts w:eastAsia="PMingLiU"/>
          <w:lang w:val="en-GB" w:eastAsia="zh-TW"/>
        </w:rPr>
        <w:t xml:space="preserve"> the </w:t>
      </w:r>
      <w:r w:rsidR="00924371" w:rsidRPr="00EE5050">
        <w:rPr>
          <w:rFonts w:eastAsia="PMingLiU"/>
          <w:lang w:val="en-GB" w:eastAsia="zh-TW"/>
        </w:rPr>
        <w:t>constitutional</w:t>
      </w:r>
      <w:r w:rsidR="005321E6" w:rsidRPr="00EE5050">
        <w:rPr>
          <w:rFonts w:eastAsia="PMingLiU"/>
          <w:lang w:val="en-GB" w:eastAsia="zh-TW"/>
        </w:rPr>
        <w:t>ity</w:t>
      </w:r>
      <w:r w:rsidR="00924371" w:rsidRPr="00EE5050">
        <w:rPr>
          <w:rFonts w:eastAsia="PMingLiU"/>
          <w:lang w:val="en-GB" w:eastAsia="zh-TW"/>
        </w:rPr>
        <w:t xml:space="preserve"> of bills travelling through parliament</w:t>
      </w:r>
      <w:r w:rsidR="000F6DF1" w:rsidRPr="00EE5050">
        <w:rPr>
          <w:rFonts w:eastAsia="PMingLiU"/>
          <w:lang w:val="en-GB" w:eastAsia="zh-TW"/>
        </w:rPr>
        <w:t xml:space="preserve"> (</w:t>
      </w:r>
      <w:r w:rsidR="005608E3">
        <w:rPr>
          <w:rFonts w:eastAsia="PMingLiU"/>
          <w:lang w:val="en-GB" w:eastAsia="zh-TW"/>
        </w:rPr>
        <w:t>for example,</w:t>
      </w:r>
      <w:r w:rsidR="00021722" w:rsidRPr="00EE5050">
        <w:rPr>
          <w:rFonts w:eastAsia="PMingLiU"/>
          <w:lang w:val="en-GB" w:eastAsia="zh-TW"/>
        </w:rPr>
        <w:t xml:space="preserve"> the Westminster Parliament</w:t>
      </w:r>
      <w:r w:rsidR="00AC357A">
        <w:rPr>
          <w:rFonts w:eastAsia="PMingLiU"/>
          <w:lang w:val="en-GB" w:eastAsia="zh-TW"/>
        </w:rPr>
        <w:t>’</w:t>
      </w:r>
      <w:r w:rsidR="009736C0" w:rsidRPr="00EE5050">
        <w:rPr>
          <w:rFonts w:eastAsia="PMingLiU"/>
          <w:lang w:val="en-GB" w:eastAsia="zh-TW"/>
        </w:rPr>
        <w:t>s Lords Constitution Committee</w:t>
      </w:r>
      <w:r w:rsidR="00021722" w:rsidRPr="00EE5050">
        <w:rPr>
          <w:rFonts w:eastAsia="PMingLiU"/>
          <w:lang w:val="en-GB" w:eastAsia="zh-TW"/>
        </w:rPr>
        <w:t>)</w:t>
      </w:r>
      <w:r w:rsidR="0088342E" w:rsidRPr="00EE5050">
        <w:rPr>
          <w:rFonts w:eastAsia="PMingLiU"/>
          <w:lang w:val="en-GB" w:eastAsia="zh-TW"/>
        </w:rPr>
        <w:t xml:space="preserve"> or even </w:t>
      </w:r>
      <w:r w:rsidR="00040B51" w:rsidRPr="00EE5050">
        <w:rPr>
          <w:rFonts w:eastAsia="PMingLiU"/>
          <w:lang w:val="en-GB" w:eastAsia="zh-TW"/>
        </w:rPr>
        <w:t xml:space="preserve">merely </w:t>
      </w:r>
      <w:r w:rsidR="0088342E" w:rsidRPr="00EE5050">
        <w:rPr>
          <w:rFonts w:eastAsia="PMingLiU"/>
          <w:lang w:val="en-GB" w:eastAsia="zh-TW"/>
        </w:rPr>
        <w:t xml:space="preserve">from the </w:t>
      </w:r>
      <w:r w:rsidR="00C9145E" w:rsidRPr="00EE5050">
        <w:rPr>
          <w:rFonts w:eastAsia="PMingLiU"/>
          <w:lang w:val="en-GB" w:eastAsia="zh-TW"/>
        </w:rPr>
        <w:t>duty</w:t>
      </w:r>
      <w:r w:rsidR="0088342E" w:rsidRPr="00EE5050">
        <w:rPr>
          <w:rFonts w:eastAsia="PMingLiU"/>
          <w:lang w:val="en-GB" w:eastAsia="zh-TW"/>
        </w:rPr>
        <w:t xml:space="preserve"> of </w:t>
      </w:r>
      <w:r w:rsidR="005321E6" w:rsidRPr="00EE5050">
        <w:rPr>
          <w:rFonts w:eastAsia="PMingLiU"/>
          <w:lang w:val="en-GB" w:eastAsia="zh-TW"/>
        </w:rPr>
        <w:t>enacting</w:t>
      </w:r>
      <w:r w:rsidR="0088342E" w:rsidRPr="00EE5050">
        <w:rPr>
          <w:rFonts w:eastAsia="PMingLiU"/>
          <w:lang w:val="en-GB" w:eastAsia="zh-TW"/>
        </w:rPr>
        <w:t xml:space="preserve"> </w:t>
      </w:r>
      <w:r w:rsidR="005321E6" w:rsidRPr="00EE5050">
        <w:rPr>
          <w:rFonts w:eastAsia="PMingLiU"/>
          <w:lang w:val="en-GB" w:eastAsia="zh-TW"/>
        </w:rPr>
        <w:t>bills into law</w:t>
      </w:r>
      <w:r w:rsidR="000F6DF1" w:rsidRPr="00EE5050">
        <w:rPr>
          <w:rFonts w:eastAsia="PMingLiU"/>
          <w:lang w:val="en-GB" w:eastAsia="zh-TW"/>
        </w:rPr>
        <w:t>s</w:t>
      </w:r>
      <w:r w:rsidR="00924371" w:rsidRPr="00EE5050">
        <w:rPr>
          <w:rFonts w:eastAsia="PMingLiU"/>
          <w:lang w:val="en-GB" w:eastAsia="zh-TW"/>
        </w:rPr>
        <w:t>.</w:t>
      </w:r>
      <w:r w:rsidR="0088342E" w:rsidRPr="00EE5050">
        <w:rPr>
          <w:rStyle w:val="FootnoteReference"/>
          <w:rFonts w:eastAsia="PMingLiU"/>
          <w:lang w:val="en-GB" w:eastAsia="zh-TW"/>
        </w:rPr>
        <w:footnoteReference w:id="52"/>
      </w:r>
      <w:r w:rsidR="00924371" w:rsidRPr="00EE5050">
        <w:rPr>
          <w:rFonts w:eastAsia="PMingLiU"/>
          <w:lang w:val="en-GB" w:eastAsia="zh-TW"/>
        </w:rPr>
        <w:t xml:space="preserve"> </w:t>
      </w:r>
      <w:r w:rsidR="0009634A" w:rsidRPr="00EE5050">
        <w:rPr>
          <w:rFonts w:eastAsia="PMingLiU"/>
          <w:lang w:val="en-GB" w:eastAsia="zh-TW"/>
        </w:rPr>
        <w:t>Inevitably</w:t>
      </w:r>
      <w:r w:rsidR="003C1D42" w:rsidRPr="00EE5050">
        <w:rPr>
          <w:rFonts w:eastAsia="PMingLiU"/>
          <w:lang w:val="en-GB" w:eastAsia="zh-TW"/>
        </w:rPr>
        <w:t xml:space="preserve"> </w:t>
      </w:r>
      <w:r w:rsidR="00CB50EC" w:rsidRPr="00EE5050">
        <w:rPr>
          <w:rFonts w:eastAsia="PMingLiU"/>
          <w:lang w:val="en-GB" w:eastAsia="zh-TW"/>
        </w:rPr>
        <w:t>legis</w:t>
      </w:r>
      <w:r w:rsidR="003E3062" w:rsidRPr="00EE5050">
        <w:rPr>
          <w:rFonts w:eastAsia="PMingLiU"/>
          <w:lang w:val="en-GB" w:eastAsia="zh-TW"/>
        </w:rPr>
        <w:t>lators</w:t>
      </w:r>
      <w:r w:rsidR="006F1248" w:rsidRPr="00EE5050">
        <w:rPr>
          <w:rFonts w:eastAsia="PMingLiU"/>
          <w:lang w:val="en-GB" w:eastAsia="zh-TW"/>
        </w:rPr>
        <w:t xml:space="preserve"> a</w:t>
      </w:r>
      <w:r w:rsidR="0009634A" w:rsidRPr="00EE5050">
        <w:rPr>
          <w:rFonts w:eastAsia="PMingLiU"/>
          <w:lang w:val="en-GB" w:eastAsia="zh-TW"/>
        </w:rPr>
        <w:t>re constitutional actors; but</w:t>
      </w:r>
      <w:r w:rsidR="006F1248" w:rsidRPr="00EE5050">
        <w:rPr>
          <w:rFonts w:eastAsia="PMingLiU"/>
          <w:lang w:val="en-GB" w:eastAsia="zh-TW"/>
        </w:rPr>
        <w:t xml:space="preserve"> unfortunately, </w:t>
      </w:r>
      <w:r w:rsidR="00C678C4" w:rsidRPr="00EE5050">
        <w:rPr>
          <w:rFonts w:eastAsia="PMingLiU"/>
          <w:lang w:val="en-GB" w:eastAsia="zh-TW"/>
        </w:rPr>
        <w:t>sometimes they are not viewed as constitutional reviewers</w:t>
      </w:r>
      <w:r w:rsidR="00CB50EC" w:rsidRPr="00EE5050">
        <w:rPr>
          <w:rFonts w:eastAsia="PMingLiU"/>
          <w:lang w:val="en-GB" w:eastAsia="zh-TW"/>
        </w:rPr>
        <w:t xml:space="preserve">. </w:t>
      </w:r>
    </w:p>
    <w:p w14:paraId="37BF5A07" w14:textId="77777777" w:rsidR="00CB1FB9" w:rsidRPr="00EE5050" w:rsidRDefault="00145965"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lastRenderedPageBreak/>
        <w:t>O</w:t>
      </w:r>
      <w:r w:rsidR="00021722" w:rsidRPr="00EE5050">
        <w:rPr>
          <w:rFonts w:eastAsia="PMingLiU"/>
          <w:lang w:val="en-GB" w:eastAsia="zh-TW"/>
        </w:rPr>
        <w:t>f</w:t>
      </w:r>
      <w:r w:rsidRPr="00EE5050">
        <w:rPr>
          <w:rFonts w:eastAsia="PMingLiU"/>
          <w:lang w:val="en-GB" w:eastAsia="zh-TW"/>
        </w:rPr>
        <w:t>ten</w:t>
      </w:r>
      <w:r w:rsidR="00021722" w:rsidRPr="00EE5050">
        <w:rPr>
          <w:rFonts w:eastAsia="PMingLiU"/>
          <w:lang w:val="en-GB" w:eastAsia="zh-TW"/>
        </w:rPr>
        <w:t xml:space="preserve"> the primary</w:t>
      </w:r>
      <w:r w:rsidR="00746CD7" w:rsidRPr="00EE5050">
        <w:rPr>
          <w:rFonts w:eastAsia="PMingLiU"/>
          <w:lang w:val="en-GB" w:eastAsia="zh-TW"/>
        </w:rPr>
        <w:t xml:space="preserve"> issue with </w:t>
      </w:r>
      <w:r w:rsidR="00021722" w:rsidRPr="00EE5050">
        <w:rPr>
          <w:rFonts w:eastAsia="PMingLiU"/>
          <w:lang w:val="en-GB" w:eastAsia="zh-TW"/>
        </w:rPr>
        <w:t xml:space="preserve">enhanced </w:t>
      </w:r>
      <w:r w:rsidR="00746CD7" w:rsidRPr="00EE5050">
        <w:rPr>
          <w:rFonts w:eastAsia="PMingLiU"/>
          <w:lang w:val="en-GB" w:eastAsia="zh-TW"/>
        </w:rPr>
        <w:t>constitution</w:t>
      </w:r>
      <w:r w:rsidR="003770C6" w:rsidRPr="00EE5050">
        <w:rPr>
          <w:rFonts w:eastAsia="PMingLiU"/>
          <w:lang w:val="en-GB" w:eastAsia="zh-TW"/>
        </w:rPr>
        <w:t>al scrutiny by legislature</w:t>
      </w:r>
      <w:r w:rsidR="00040B51" w:rsidRPr="00EE5050">
        <w:rPr>
          <w:rFonts w:eastAsia="PMingLiU"/>
          <w:lang w:val="en-GB" w:eastAsia="zh-TW"/>
        </w:rPr>
        <w:t>s</w:t>
      </w:r>
      <w:r w:rsidR="003770C6" w:rsidRPr="00EE5050">
        <w:rPr>
          <w:rFonts w:eastAsia="PMingLiU"/>
          <w:lang w:val="en-GB" w:eastAsia="zh-TW"/>
        </w:rPr>
        <w:t xml:space="preserve"> is the </w:t>
      </w:r>
      <w:r w:rsidR="00040B51" w:rsidRPr="00EE5050">
        <w:rPr>
          <w:rFonts w:eastAsia="PMingLiU"/>
          <w:lang w:val="en-GB" w:eastAsia="zh-TW"/>
        </w:rPr>
        <w:t xml:space="preserve">complex </w:t>
      </w:r>
      <w:r w:rsidR="003770C6" w:rsidRPr="00EE5050">
        <w:rPr>
          <w:rFonts w:eastAsia="PMingLiU"/>
          <w:lang w:val="en-GB" w:eastAsia="zh-TW"/>
        </w:rPr>
        <w:t xml:space="preserve">interplay with </w:t>
      </w:r>
      <w:r w:rsidR="00746CD7" w:rsidRPr="00EE5050">
        <w:rPr>
          <w:rFonts w:eastAsia="PMingLiU"/>
          <w:lang w:val="en-GB" w:eastAsia="zh-TW"/>
        </w:rPr>
        <w:t xml:space="preserve">the </w:t>
      </w:r>
      <w:r w:rsidR="00021722" w:rsidRPr="00EE5050">
        <w:rPr>
          <w:rFonts w:eastAsia="PMingLiU"/>
          <w:lang w:val="en-GB" w:eastAsia="zh-TW"/>
        </w:rPr>
        <w:t xml:space="preserve">responsibilities of the </w:t>
      </w:r>
      <w:r w:rsidR="00746CD7" w:rsidRPr="00EE5050">
        <w:rPr>
          <w:rFonts w:eastAsia="PMingLiU"/>
          <w:lang w:val="en-GB" w:eastAsia="zh-TW"/>
        </w:rPr>
        <w:t>judiciary.</w:t>
      </w:r>
      <w:r w:rsidR="00526046" w:rsidRPr="00EE5050">
        <w:rPr>
          <w:rStyle w:val="FootnoteReference"/>
          <w:rFonts w:eastAsia="PMingLiU"/>
          <w:lang w:val="en-GB" w:eastAsia="zh-TW"/>
        </w:rPr>
        <w:footnoteReference w:id="53"/>
      </w:r>
      <w:r w:rsidR="00746CD7" w:rsidRPr="00EE5050">
        <w:rPr>
          <w:rFonts w:eastAsia="PMingLiU"/>
          <w:lang w:val="en-GB" w:eastAsia="zh-TW"/>
        </w:rPr>
        <w:t xml:space="preserve"> This is especially true in jurisdictions employ</w:t>
      </w:r>
      <w:r w:rsidR="00021722" w:rsidRPr="00EE5050">
        <w:rPr>
          <w:rFonts w:eastAsia="PMingLiU"/>
          <w:lang w:val="en-GB" w:eastAsia="zh-TW"/>
        </w:rPr>
        <w:t>ing</w:t>
      </w:r>
      <w:r w:rsidR="00162FA5" w:rsidRPr="00EE5050">
        <w:rPr>
          <w:rFonts w:eastAsia="PMingLiU"/>
          <w:lang w:val="en-GB" w:eastAsia="zh-TW"/>
        </w:rPr>
        <w:t xml:space="preserve"> strong judicial review and a reliance on legal constitutionalism. Here</w:t>
      </w:r>
      <w:r w:rsidR="00746CD7" w:rsidRPr="00EE5050">
        <w:rPr>
          <w:rFonts w:eastAsia="PMingLiU"/>
          <w:lang w:val="en-GB" w:eastAsia="zh-TW"/>
        </w:rPr>
        <w:t xml:space="preserve"> legislatures are more likely to be stymied by the judiciary</w:t>
      </w:r>
      <w:r w:rsidR="00D77710" w:rsidRPr="00EE5050">
        <w:rPr>
          <w:rFonts w:eastAsia="PMingLiU"/>
          <w:lang w:val="en-GB" w:eastAsia="zh-TW"/>
        </w:rPr>
        <w:t xml:space="preserve"> or impede themselves</w:t>
      </w:r>
      <w:r w:rsidR="00746CD7" w:rsidRPr="00EE5050">
        <w:rPr>
          <w:rFonts w:eastAsia="PMingLiU"/>
          <w:lang w:val="en-GB" w:eastAsia="zh-TW"/>
        </w:rPr>
        <w:t xml:space="preserve"> </w:t>
      </w:r>
      <w:r w:rsidR="00726BD8" w:rsidRPr="00EE5050">
        <w:rPr>
          <w:rFonts w:eastAsia="PMingLiU"/>
          <w:lang w:val="en-GB" w:eastAsia="zh-TW"/>
        </w:rPr>
        <w:t>regarding</w:t>
      </w:r>
      <w:r w:rsidR="00746CD7" w:rsidRPr="00EE5050">
        <w:rPr>
          <w:rFonts w:eastAsia="PMingLiU"/>
          <w:lang w:val="en-GB" w:eastAsia="zh-TW"/>
        </w:rPr>
        <w:t xml:space="preserve"> their constitutional review efforts, rather than </w:t>
      </w:r>
      <w:r w:rsidR="005321E6" w:rsidRPr="00EE5050">
        <w:rPr>
          <w:rFonts w:eastAsia="PMingLiU"/>
          <w:lang w:val="en-GB" w:eastAsia="zh-TW"/>
        </w:rPr>
        <w:t xml:space="preserve">be </w:t>
      </w:r>
      <w:r w:rsidR="00746CD7" w:rsidRPr="00EE5050">
        <w:rPr>
          <w:rFonts w:eastAsia="PMingLiU"/>
          <w:lang w:val="en-GB" w:eastAsia="zh-TW"/>
        </w:rPr>
        <w:t>aided b</w:t>
      </w:r>
      <w:r w:rsidR="00162FA5" w:rsidRPr="00EE5050">
        <w:rPr>
          <w:rFonts w:eastAsia="PMingLiU"/>
          <w:lang w:val="en-GB" w:eastAsia="zh-TW"/>
        </w:rPr>
        <w:t xml:space="preserve">y </w:t>
      </w:r>
      <w:r w:rsidR="00496AF4" w:rsidRPr="00EE5050">
        <w:rPr>
          <w:rFonts w:eastAsia="PMingLiU"/>
          <w:lang w:val="en-GB" w:eastAsia="zh-TW"/>
        </w:rPr>
        <w:t xml:space="preserve">the </w:t>
      </w:r>
      <w:r w:rsidR="00162FA5" w:rsidRPr="00EE5050">
        <w:rPr>
          <w:rFonts w:eastAsia="PMingLiU"/>
          <w:lang w:val="en-GB" w:eastAsia="zh-TW"/>
        </w:rPr>
        <w:t>judiciary as to how improvement could be made or responsibilities shared</w:t>
      </w:r>
      <w:r w:rsidR="00746CD7" w:rsidRPr="00EE5050">
        <w:rPr>
          <w:rFonts w:eastAsia="PMingLiU"/>
          <w:lang w:val="en-GB" w:eastAsia="zh-TW"/>
        </w:rPr>
        <w:t xml:space="preserve">. </w:t>
      </w:r>
      <w:r w:rsidR="0047422C" w:rsidRPr="00EE5050">
        <w:rPr>
          <w:rFonts w:eastAsia="PMingLiU"/>
          <w:lang w:val="en-GB" w:eastAsia="zh-TW"/>
        </w:rPr>
        <w:t>Nonetheless</w:t>
      </w:r>
      <w:r w:rsidR="00950771" w:rsidRPr="00EE5050">
        <w:rPr>
          <w:rFonts w:eastAsia="PMingLiU"/>
          <w:lang w:val="en-GB" w:eastAsia="zh-TW"/>
        </w:rPr>
        <w:t xml:space="preserve">, for </w:t>
      </w:r>
      <w:r w:rsidR="00496AF4" w:rsidRPr="00EE5050">
        <w:rPr>
          <w:rFonts w:eastAsia="PMingLiU"/>
          <w:lang w:val="en-GB" w:eastAsia="zh-TW"/>
        </w:rPr>
        <w:t>jurisdictions</w:t>
      </w:r>
      <w:r w:rsidR="00950771" w:rsidRPr="00EE5050">
        <w:rPr>
          <w:rFonts w:eastAsia="PMingLiU"/>
          <w:lang w:val="en-GB" w:eastAsia="zh-TW"/>
        </w:rPr>
        <w:t xml:space="preserve"> that continue to employ strong judicial review,</w:t>
      </w:r>
      <w:r w:rsidR="0047422C" w:rsidRPr="00EE5050">
        <w:rPr>
          <w:rFonts w:eastAsia="PMingLiU"/>
          <w:lang w:val="en-GB" w:eastAsia="zh-TW"/>
        </w:rPr>
        <w:t xml:space="preserve"> the </w:t>
      </w:r>
      <w:r w:rsidR="00AC357A">
        <w:rPr>
          <w:rFonts w:eastAsia="PMingLiU"/>
          <w:lang w:val="en-GB" w:eastAsia="zh-TW"/>
        </w:rPr>
        <w:t>‘</w:t>
      </w:r>
      <w:proofErr w:type="spellStart"/>
      <w:r w:rsidR="0047422C" w:rsidRPr="00EE5050">
        <w:rPr>
          <w:rFonts w:eastAsia="PMingLiU"/>
          <w:lang w:val="en-GB" w:eastAsia="zh-TW"/>
        </w:rPr>
        <w:t>coun</w:t>
      </w:r>
      <w:r w:rsidR="00950771" w:rsidRPr="00EE5050">
        <w:rPr>
          <w:rFonts w:eastAsia="PMingLiU"/>
          <w:lang w:val="en-GB" w:eastAsia="zh-TW"/>
        </w:rPr>
        <w:t>termajoritarian</w:t>
      </w:r>
      <w:proofErr w:type="spellEnd"/>
      <w:r w:rsidR="00950771" w:rsidRPr="00EE5050">
        <w:rPr>
          <w:rFonts w:eastAsia="PMingLiU"/>
          <w:lang w:val="en-GB" w:eastAsia="zh-TW"/>
        </w:rPr>
        <w:t xml:space="preserve"> difficulty</w:t>
      </w:r>
      <w:r w:rsidR="00AC357A">
        <w:rPr>
          <w:rFonts w:eastAsia="PMingLiU"/>
          <w:lang w:val="en-GB" w:eastAsia="zh-TW"/>
        </w:rPr>
        <w:t>’</w:t>
      </w:r>
      <w:r w:rsidR="00950771" w:rsidRPr="00EE5050">
        <w:rPr>
          <w:rFonts w:eastAsia="PMingLiU"/>
          <w:lang w:val="en-GB" w:eastAsia="zh-TW"/>
        </w:rPr>
        <w:t xml:space="preserve"> </w:t>
      </w:r>
      <w:r w:rsidR="00040B51" w:rsidRPr="00EE5050">
        <w:rPr>
          <w:rFonts w:eastAsia="PMingLiU"/>
          <w:lang w:val="en-GB" w:eastAsia="zh-TW"/>
        </w:rPr>
        <w:t xml:space="preserve">ominously </w:t>
      </w:r>
      <w:r w:rsidR="00950771" w:rsidRPr="00EE5050">
        <w:rPr>
          <w:rFonts w:eastAsia="PMingLiU"/>
          <w:lang w:val="en-GB" w:eastAsia="zh-TW"/>
        </w:rPr>
        <w:t>lingers.</w:t>
      </w:r>
      <w:r w:rsidR="00950771" w:rsidRPr="00EE5050">
        <w:rPr>
          <w:rStyle w:val="FootnoteReference"/>
          <w:rFonts w:eastAsia="PMingLiU"/>
          <w:lang w:val="en-GB" w:eastAsia="zh-TW"/>
        </w:rPr>
        <w:footnoteReference w:id="54"/>
      </w:r>
      <w:r w:rsidR="00711B23" w:rsidRPr="00EE5050">
        <w:rPr>
          <w:rFonts w:eastAsia="PMingLiU"/>
          <w:lang w:val="en-GB" w:eastAsia="zh-TW"/>
        </w:rPr>
        <w:t xml:space="preserve"> </w:t>
      </w:r>
    </w:p>
    <w:p w14:paraId="42ED9503" w14:textId="30C82DDD" w:rsidR="00711B23" w:rsidRPr="00EE5050" w:rsidRDefault="005321E6"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Another issue is whether </w:t>
      </w:r>
      <w:r w:rsidR="00711B23" w:rsidRPr="00EE5050">
        <w:rPr>
          <w:rFonts w:eastAsia="PMingLiU"/>
          <w:lang w:val="en-GB" w:eastAsia="zh-TW"/>
        </w:rPr>
        <w:t xml:space="preserve">legislators feel the need for constitutional </w:t>
      </w:r>
      <w:r w:rsidR="007D60AF" w:rsidRPr="00EE5050">
        <w:rPr>
          <w:rFonts w:eastAsia="PMingLiU"/>
          <w:lang w:val="en-GB" w:eastAsia="zh-TW"/>
        </w:rPr>
        <w:t>assessment</w:t>
      </w:r>
      <w:r w:rsidR="00711B23" w:rsidRPr="00EE5050">
        <w:rPr>
          <w:rFonts w:eastAsia="PMingLiU"/>
          <w:lang w:val="en-GB" w:eastAsia="zh-TW"/>
        </w:rPr>
        <w:t xml:space="preserve"> of legislation and whether</w:t>
      </w:r>
      <w:r w:rsidR="006F1248" w:rsidRPr="00EE5050">
        <w:rPr>
          <w:rFonts w:eastAsia="PMingLiU"/>
          <w:lang w:val="en-GB" w:eastAsia="zh-TW"/>
        </w:rPr>
        <w:t xml:space="preserve"> they perform </w:t>
      </w:r>
      <w:r w:rsidR="0078224F" w:rsidRPr="00EE5050">
        <w:rPr>
          <w:rFonts w:eastAsia="PMingLiU"/>
          <w:lang w:val="en-GB" w:eastAsia="zh-TW"/>
        </w:rPr>
        <w:t>adequate</w:t>
      </w:r>
      <w:r w:rsidR="006F1248" w:rsidRPr="00EE5050">
        <w:rPr>
          <w:rFonts w:eastAsia="PMingLiU"/>
          <w:lang w:val="en-GB" w:eastAsia="zh-TW"/>
        </w:rPr>
        <w:t>ly</w:t>
      </w:r>
      <w:r w:rsidR="0078224F" w:rsidRPr="00EE5050">
        <w:rPr>
          <w:rFonts w:eastAsia="PMingLiU"/>
          <w:lang w:val="en-GB" w:eastAsia="zh-TW"/>
        </w:rPr>
        <w:t xml:space="preserve"> if such opportunities arise</w:t>
      </w:r>
      <w:r w:rsidR="00711B23" w:rsidRPr="00EE5050">
        <w:rPr>
          <w:rFonts w:eastAsia="PMingLiU"/>
          <w:lang w:val="en-GB" w:eastAsia="zh-TW"/>
        </w:rPr>
        <w:t xml:space="preserve">. </w:t>
      </w:r>
      <w:r w:rsidR="00BA115E" w:rsidRPr="00DD29D4">
        <w:rPr>
          <w:rFonts w:eastAsia="PMingLiU"/>
          <w:lang w:val="en-GB" w:eastAsia="zh-TW"/>
        </w:rPr>
        <w:t>Brest</w:t>
      </w:r>
      <w:r w:rsidR="00BA115E" w:rsidRPr="00EE5050">
        <w:rPr>
          <w:rFonts w:eastAsia="PMingLiU"/>
          <w:lang w:val="en-GB" w:eastAsia="zh-TW"/>
        </w:rPr>
        <w:t xml:space="preserve"> famously argues that </w:t>
      </w:r>
      <w:r w:rsidR="00AC357A">
        <w:rPr>
          <w:rFonts w:eastAsia="PMingLiU"/>
          <w:lang w:val="en-GB" w:eastAsia="zh-TW"/>
        </w:rPr>
        <w:t>‘</w:t>
      </w:r>
      <w:r w:rsidR="00BA115E" w:rsidRPr="00EE5050">
        <w:rPr>
          <w:rFonts w:eastAsia="PMingLiU"/>
          <w:lang w:val="en-GB" w:eastAsia="zh-TW"/>
        </w:rPr>
        <w:t xml:space="preserve">[o]ne can reasonably demand … that the </w:t>
      </w:r>
      <w:proofErr w:type="spellStart"/>
      <w:r w:rsidR="00BA115E" w:rsidRPr="00EE5050">
        <w:rPr>
          <w:rFonts w:eastAsia="PMingLiU"/>
          <w:lang w:val="en-GB" w:eastAsia="zh-TW"/>
        </w:rPr>
        <w:t>lawmaking</w:t>
      </w:r>
      <w:proofErr w:type="spellEnd"/>
      <w:r w:rsidR="00BA115E" w:rsidRPr="00EE5050">
        <w:rPr>
          <w:rFonts w:eastAsia="PMingLiU"/>
          <w:lang w:val="en-GB" w:eastAsia="zh-TW"/>
        </w:rPr>
        <w:t xml:space="preserve"> process take explicit account of constitutional values threatened by pending legislation</w:t>
      </w:r>
      <w:r w:rsidR="00AC357A">
        <w:rPr>
          <w:rFonts w:eastAsia="PMingLiU"/>
          <w:lang w:val="en-GB" w:eastAsia="zh-TW"/>
        </w:rPr>
        <w:t>’</w:t>
      </w:r>
      <w:r w:rsidR="00BA115E" w:rsidRPr="00EE5050">
        <w:rPr>
          <w:rFonts w:eastAsia="PMingLiU"/>
          <w:lang w:val="en-GB" w:eastAsia="zh-TW"/>
        </w:rPr>
        <w:t>.</w:t>
      </w:r>
      <w:r w:rsidR="00BA115E" w:rsidRPr="00EE5050">
        <w:rPr>
          <w:rStyle w:val="FootnoteReference"/>
          <w:rFonts w:eastAsia="PMingLiU"/>
          <w:lang w:val="en-GB" w:eastAsia="zh-TW"/>
        </w:rPr>
        <w:footnoteReference w:id="55"/>
      </w:r>
      <w:r w:rsidR="00BA115E" w:rsidRPr="00EE5050">
        <w:rPr>
          <w:rFonts w:eastAsia="PMingLiU"/>
          <w:lang w:val="en-GB" w:eastAsia="zh-TW"/>
        </w:rPr>
        <w:t xml:space="preserve"> C</w:t>
      </w:r>
      <w:r w:rsidR="008C2B24" w:rsidRPr="00EE5050">
        <w:rPr>
          <w:rFonts w:eastAsia="PMingLiU"/>
          <w:lang w:val="en-GB" w:eastAsia="zh-TW"/>
        </w:rPr>
        <w:t xml:space="preserve">ompared to writings on the </w:t>
      </w:r>
      <w:proofErr w:type="spellStart"/>
      <w:r w:rsidR="0078224F" w:rsidRPr="00EE5050">
        <w:rPr>
          <w:rFonts w:eastAsia="PMingLiU"/>
          <w:lang w:val="en-GB" w:eastAsia="zh-TW"/>
        </w:rPr>
        <w:t>countermajoritarian</w:t>
      </w:r>
      <w:proofErr w:type="spellEnd"/>
      <w:r w:rsidR="0078224F" w:rsidRPr="00EE5050">
        <w:rPr>
          <w:rFonts w:eastAsia="PMingLiU"/>
          <w:lang w:val="en-GB" w:eastAsia="zh-TW"/>
        </w:rPr>
        <w:t xml:space="preserve"> difficulty</w:t>
      </w:r>
      <w:r w:rsidR="008C2B24" w:rsidRPr="00EE5050">
        <w:rPr>
          <w:rFonts w:eastAsia="PMingLiU"/>
          <w:lang w:val="en-GB" w:eastAsia="zh-TW"/>
        </w:rPr>
        <w:t>,</w:t>
      </w:r>
      <w:r w:rsidR="006F1248" w:rsidRPr="00EE5050">
        <w:rPr>
          <w:rStyle w:val="FootnoteReference"/>
          <w:rFonts w:eastAsia="PMingLiU"/>
          <w:lang w:val="en-GB" w:eastAsia="zh-TW"/>
        </w:rPr>
        <w:footnoteReference w:id="56"/>
      </w:r>
      <w:r w:rsidR="00BA115E" w:rsidRPr="00EE5050">
        <w:rPr>
          <w:rFonts w:eastAsia="PMingLiU"/>
          <w:lang w:val="en-GB" w:eastAsia="zh-TW"/>
        </w:rPr>
        <w:t xml:space="preserve"> there is</w:t>
      </w:r>
      <w:r w:rsidR="008C2B24" w:rsidRPr="00EE5050">
        <w:rPr>
          <w:rFonts w:eastAsia="PMingLiU"/>
          <w:lang w:val="en-GB" w:eastAsia="zh-TW"/>
        </w:rPr>
        <w:t xml:space="preserve"> a dearth of research regarding how legislators feel about constitutional assessment</w:t>
      </w:r>
      <w:r w:rsidR="00BA115E" w:rsidRPr="00EE5050">
        <w:rPr>
          <w:rFonts w:eastAsia="PMingLiU"/>
          <w:lang w:val="en-GB" w:eastAsia="zh-TW"/>
        </w:rPr>
        <w:t xml:space="preserve"> and how well they perform such duties</w:t>
      </w:r>
      <w:r w:rsidR="008C2B24" w:rsidRPr="00EE5050">
        <w:rPr>
          <w:rFonts w:eastAsia="PMingLiU"/>
          <w:lang w:val="en-GB" w:eastAsia="zh-TW"/>
        </w:rPr>
        <w:t xml:space="preserve">; yet there is some. After comparing two Congressional surveys (one from 1959 and </w:t>
      </w:r>
      <w:r w:rsidR="00DD29D4">
        <w:rPr>
          <w:rFonts w:eastAsia="PMingLiU"/>
          <w:lang w:val="en-GB" w:eastAsia="zh-TW"/>
        </w:rPr>
        <w:t>an</w:t>
      </w:r>
      <w:r w:rsidR="008C2B24" w:rsidRPr="00EE5050">
        <w:rPr>
          <w:rFonts w:eastAsia="PMingLiU"/>
          <w:lang w:val="en-GB" w:eastAsia="zh-TW"/>
        </w:rPr>
        <w:t xml:space="preserve">other from 1999/2000), Peabody found that </w:t>
      </w:r>
      <w:r w:rsidR="00AC357A">
        <w:rPr>
          <w:rFonts w:eastAsia="PMingLiU"/>
          <w:lang w:val="en-GB" w:eastAsia="zh-TW"/>
        </w:rPr>
        <w:t>‘</w:t>
      </w:r>
      <w:r w:rsidR="008C2B24" w:rsidRPr="00EE5050">
        <w:rPr>
          <w:rFonts w:eastAsia="PMingLiU"/>
          <w:lang w:val="en-GB" w:eastAsia="zh-TW"/>
        </w:rPr>
        <w:t>Congress expresses a persistent and surprising interest in asserting a distinctive constitutional voice</w:t>
      </w:r>
      <w:r w:rsidR="00AC357A">
        <w:rPr>
          <w:rFonts w:eastAsia="PMingLiU"/>
          <w:lang w:val="en-GB" w:eastAsia="zh-TW"/>
        </w:rPr>
        <w:t>’</w:t>
      </w:r>
      <w:r w:rsidR="008C2B24" w:rsidRPr="00EE5050">
        <w:rPr>
          <w:rFonts w:eastAsia="PMingLiU"/>
          <w:lang w:val="en-GB" w:eastAsia="zh-TW"/>
        </w:rPr>
        <w:t>.</w:t>
      </w:r>
      <w:r w:rsidR="008C2B24" w:rsidRPr="00EE5050">
        <w:rPr>
          <w:rStyle w:val="FootnoteReference"/>
          <w:rFonts w:eastAsia="PMingLiU"/>
          <w:lang w:val="en-GB" w:eastAsia="zh-TW"/>
        </w:rPr>
        <w:footnoteReference w:id="57"/>
      </w:r>
      <w:r w:rsidR="0078224F" w:rsidRPr="00EE5050">
        <w:rPr>
          <w:rFonts w:eastAsia="PMingLiU"/>
          <w:lang w:val="en-GB" w:eastAsia="zh-TW"/>
        </w:rPr>
        <w:t xml:space="preserve"> </w:t>
      </w:r>
      <w:r w:rsidR="00603CE3" w:rsidRPr="00EE5050">
        <w:rPr>
          <w:rFonts w:eastAsia="PMingLiU"/>
          <w:lang w:val="en-GB" w:eastAsia="zh-TW"/>
        </w:rPr>
        <w:t xml:space="preserve">Particularly important is the emergence of a new group of </w:t>
      </w:r>
      <w:r w:rsidR="00AC357A">
        <w:rPr>
          <w:rFonts w:eastAsia="PMingLiU"/>
          <w:lang w:val="en-GB" w:eastAsia="zh-TW"/>
        </w:rPr>
        <w:t>‘</w:t>
      </w:r>
      <w:r w:rsidR="00603CE3" w:rsidRPr="00EE5050">
        <w:rPr>
          <w:rFonts w:eastAsia="PMingLiU"/>
          <w:lang w:val="en-GB" w:eastAsia="zh-TW"/>
        </w:rPr>
        <w:t>joint constitutionalists</w:t>
      </w:r>
      <w:r w:rsidR="00AC357A">
        <w:rPr>
          <w:rFonts w:eastAsia="PMingLiU"/>
          <w:lang w:val="en-GB" w:eastAsia="zh-TW"/>
        </w:rPr>
        <w:t>’</w:t>
      </w:r>
      <w:r w:rsidR="00603CE3" w:rsidRPr="00EE5050">
        <w:rPr>
          <w:rFonts w:eastAsia="PMingLiU"/>
          <w:lang w:val="en-GB" w:eastAsia="zh-TW"/>
        </w:rPr>
        <w:t xml:space="preserve"> in the 1999/2000 survey, </w:t>
      </w:r>
      <w:r w:rsidR="00603CE3" w:rsidRPr="00EE5050">
        <w:rPr>
          <w:rFonts w:eastAsia="PMingLiU"/>
          <w:lang w:val="en-GB" w:eastAsia="zh-TW"/>
        </w:rPr>
        <w:lastRenderedPageBreak/>
        <w:t xml:space="preserve">who believe that </w:t>
      </w:r>
      <w:r w:rsidR="00AC357A">
        <w:rPr>
          <w:rFonts w:eastAsia="PMingLiU"/>
          <w:lang w:val="en-GB" w:eastAsia="zh-TW"/>
        </w:rPr>
        <w:t>‘</w:t>
      </w:r>
      <w:r w:rsidR="00603CE3" w:rsidRPr="00EE5050">
        <w:rPr>
          <w:rFonts w:eastAsia="PMingLiU"/>
          <w:lang w:val="en-GB" w:eastAsia="zh-TW"/>
        </w:rPr>
        <w:t>Congress and the courts should each interpret the Constitution conscientiously and independently, without necessarily deferring to the views of the other</w:t>
      </w:r>
      <w:r w:rsidR="00AC357A">
        <w:rPr>
          <w:rFonts w:eastAsia="PMingLiU"/>
          <w:lang w:val="en-GB" w:eastAsia="zh-TW"/>
        </w:rPr>
        <w:t>’</w:t>
      </w:r>
      <w:r w:rsidR="00603CE3" w:rsidRPr="00EE5050">
        <w:rPr>
          <w:rFonts w:eastAsia="PMingLiU"/>
          <w:lang w:val="en-GB" w:eastAsia="zh-TW"/>
        </w:rPr>
        <w:t>.</w:t>
      </w:r>
      <w:r w:rsidR="00603CE3" w:rsidRPr="00EE5050">
        <w:rPr>
          <w:rStyle w:val="FootnoteReference"/>
          <w:rFonts w:eastAsia="PMingLiU"/>
          <w:lang w:val="en-GB" w:eastAsia="zh-TW"/>
        </w:rPr>
        <w:footnoteReference w:id="58"/>
      </w:r>
      <w:r w:rsidR="00603CE3" w:rsidRPr="00EE5050">
        <w:rPr>
          <w:rFonts w:eastAsia="PMingLiU"/>
          <w:lang w:val="en-GB" w:eastAsia="zh-TW"/>
        </w:rPr>
        <w:t xml:space="preserve"> </w:t>
      </w:r>
      <w:r w:rsidR="00871E22" w:rsidRPr="00EE5050">
        <w:rPr>
          <w:rFonts w:eastAsia="PMingLiU"/>
          <w:lang w:val="en-GB" w:eastAsia="zh-TW"/>
        </w:rPr>
        <w:t>Further</w:t>
      </w:r>
      <w:r w:rsidR="00B317ED" w:rsidRPr="00EE5050">
        <w:rPr>
          <w:rFonts w:eastAsia="PMingLiU"/>
          <w:lang w:val="en-GB" w:eastAsia="zh-TW"/>
        </w:rPr>
        <w:t xml:space="preserve">, </w:t>
      </w:r>
      <w:proofErr w:type="spellStart"/>
      <w:r w:rsidR="00871E22" w:rsidRPr="00EE5050">
        <w:rPr>
          <w:rFonts w:eastAsia="PMingLiU"/>
          <w:lang w:val="en-GB" w:eastAsia="zh-TW"/>
        </w:rPr>
        <w:t>Tushnet</w:t>
      </w:r>
      <w:proofErr w:type="spellEnd"/>
      <w:r w:rsidR="00871E22" w:rsidRPr="00EE5050">
        <w:rPr>
          <w:rFonts w:eastAsia="PMingLiU"/>
          <w:lang w:val="en-GB" w:eastAsia="zh-TW"/>
        </w:rPr>
        <w:t xml:space="preserve"> has found Congressional interpretation of constitutional issues to be </w:t>
      </w:r>
      <w:r w:rsidR="00AC357A">
        <w:rPr>
          <w:rFonts w:eastAsia="PMingLiU"/>
          <w:lang w:val="en-GB" w:eastAsia="zh-TW"/>
        </w:rPr>
        <w:t>‘</w:t>
      </w:r>
      <w:r w:rsidR="00871E22" w:rsidRPr="00EE5050">
        <w:rPr>
          <w:rFonts w:eastAsia="PMingLiU"/>
          <w:lang w:val="en-GB" w:eastAsia="zh-TW"/>
        </w:rPr>
        <w:t>reasonably good</w:t>
      </w:r>
      <w:r w:rsidR="00AC357A">
        <w:rPr>
          <w:rFonts w:eastAsia="PMingLiU"/>
          <w:lang w:val="en-GB" w:eastAsia="zh-TW"/>
        </w:rPr>
        <w:t>’</w:t>
      </w:r>
      <w:r w:rsidR="00871E22" w:rsidRPr="00EE5050">
        <w:rPr>
          <w:rFonts w:eastAsia="PMingLiU"/>
          <w:lang w:val="en-GB" w:eastAsia="zh-TW"/>
        </w:rPr>
        <w:t>,</w:t>
      </w:r>
      <w:r w:rsidR="005B6C29" w:rsidRPr="00EE5050">
        <w:rPr>
          <w:rStyle w:val="FootnoteReference"/>
          <w:rFonts w:eastAsia="PMingLiU"/>
          <w:lang w:val="en-GB" w:eastAsia="zh-TW"/>
        </w:rPr>
        <w:footnoteReference w:id="59"/>
      </w:r>
      <w:r w:rsidR="00871E22" w:rsidRPr="00EE5050">
        <w:rPr>
          <w:rFonts w:eastAsia="PMingLiU"/>
          <w:lang w:val="en-GB" w:eastAsia="zh-TW"/>
        </w:rPr>
        <w:t xml:space="preserve"> and </w:t>
      </w:r>
      <w:r w:rsidR="005B6C29" w:rsidRPr="00EE5050">
        <w:rPr>
          <w:rFonts w:eastAsia="PMingLiU"/>
          <w:lang w:val="en-GB" w:eastAsia="zh-TW"/>
        </w:rPr>
        <w:t xml:space="preserve">notes it may be the case that the </w:t>
      </w:r>
      <w:r w:rsidR="00AC357A">
        <w:rPr>
          <w:rFonts w:eastAsia="PMingLiU"/>
          <w:lang w:val="en-GB" w:eastAsia="zh-TW"/>
        </w:rPr>
        <w:t>‘</w:t>
      </w:r>
      <w:r w:rsidR="005B6C29" w:rsidRPr="00EE5050">
        <w:rPr>
          <w:rFonts w:eastAsia="PMingLiU"/>
          <w:lang w:val="en-GB" w:eastAsia="zh-TW"/>
        </w:rPr>
        <w:t>imperfect congressional capacity to interpret the Constitution is nonetheless better than the perhaps more imperfect judicial capacity to do so</w:t>
      </w:r>
      <w:r w:rsidR="00AC357A">
        <w:rPr>
          <w:rFonts w:eastAsia="PMingLiU"/>
          <w:lang w:val="en-GB" w:eastAsia="zh-TW"/>
        </w:rPr>
        <w:t>’</w:t>
      </w:r>
      <w:r w:rsidR="005B6C29" w:rsidRPr="00EE5050">
        <w:rPr>
          <w:rFonts w:eastAsia="PMingLiU"/>
          <w:lang w:val="en-GB" w:eastAsia="zh-TW"/>
        </w:rPr>
        <w:t>.</w:t>
      </w:r>
      <w:r w:rsidR="005B6C29" w:rsidRPr="00EE5050">
        <w:rPr>
          <w:rStyle w:val="FootnoteReference"/>
          <w:rFonts w:eastAsia="PMingLiU"/>
          <w:lang w:val="en-GB" w:eastAsia="zh-TW"/>
        </w:rPr>
        <w:footnoteReference w:id="60"/>
      </w:r>
      <w:r w:rsidR="005B6C29" w:rsidRPr="00EE5050">
        <w:rPr>
          <w:rFonts w:eastAsia="PMingLiU"/>
          <w:lang w:val="en-GB" w:eastAsia="zh-TW"/>
        </w:rPr>
        <w:t xml:space="preserve"> </w:t>
      </w:r>
      <w:r w:rsidR="00603CE3" w:rsidRPr="00EE5050">
        <w:rPr>
          <w:rFonts w:eastAsia="PMingLiU"/>
          <w:lang w:val="en-GB" w:eastAsia="zh-TW"/>
        </w:rPr>
        <w:t xml:space="preserve">Yet many </w:t>
      </w:r>
      <w:r w:rsidR="0078224F" w:rsidRPr="00EE5050">
        <w:rPr>
          <w:rFonts w:eastAsia="PMingLiU"/>
          <w:lang w:val="en-GB" w:eastAsia="zh-TW"/>
        </w:rPr>
        <w:t xml:space="preserve">legislators </w:t>
      </w:r>
      <w:r w:rsidR="00C90881" w:rsidRPr="00EE5050">
        <w:rPr>
          <w:rFonts w:eastAsia="PMingLiU"/>
          <w:lang w:val="en-GB" w:eastAsia="zh-TW"/>
        </w:rPr>
        <w:t xml:space="preserve">and constitutional scholars </w:t>
      </w:r>
      <w:r w:rsidR="00603CE3" w:rsidRPr="00EE5050">
        <w:rPr>
          <w:rFonts w:eastAsia="PMingLiU"/>
          <w:lang w:val="en-GB" w:eastAsia="zh-TW"/>
        </w:rPr>
        <w:t>continue to</w:t>
      </w:r>
      <w:r w:rsidR="0078224F" w:rsidRPr="00EE5050">
        <w:rPr>
          <w:rFonts w:eastAsia="PMingLiU"/>
          <w:lang w:val="en-GB" w:eastAsia="zh-TW"/>
        </w:rPr>
        <w:t xml:space="preserve"> </w:t>
      </w:r>
      <w:r w:rsidR="00603CE3" w:rsidRPr="00EE5050">
        <w:rPr>
          <w:rFonts w:eastAsia="PMingLiU"/>
          <w:lang w:val="en-GB" w:eastAsia="zh-TW"/>
        </w:rPr>
        <w:t xml:space="preserve">assert </w:t>
      </w:r>
      <w:r w:rsidR="0007291E" w:rsidRPr="00EE5050">
        <w:rPr>
          <w:rFonts w:eastAsia="PMingLiU"/>
          <w:lang w:val="en-GB" w:eastAsia="zh-TW"/>
        </w:rPr>
        <w:t>the case for</w:t>
      </w:r>
      <w:r w:rsidR="000F6DF1" w:rsidRPr="00EE5050">
        <w:rPr>
          <w:rFonts w:eastAsia="PMingLiU"/>
          <w:lang w:val="en-GB" w:eastAsia="zh-TW"/>
        </w:rPr>
        <w:t xml:space="preserve"> judicial supremacy in regard to </w:t>
      </w:r>
      <w:r w:rsidR="0007291E" w:rsidRPr="00EE5050">
        <w:rPr>
          <w:rFonts w:eastAsia="PMingLiU"/>
          <w:lang w:val="en-GB" w:eastAsia="zh-TW"/>
        </w:rPr>
        <w:t>constitutional questions</w:t>
      </w:r>
      <w:r w:rsidR="0078224F" w:rsidRPr="00EE5050">
        <w:rPr>
          <w:rFonts w:eastAsia="PMingLiU"/>
          <w:lang w:val="en-GB" w:eastAsia="zh-TW"/>
        </w:rPr>
        <w:t>.</w:t>
      </w:r>
      <w:r w:rsidR="00C90881" w:rsidRPr="00EE5050">
        <w:rPr>
          <w:rStyle w:val="FootnoteReference"/>
          <w:rFonts w:eastAsia="PMingLiU"/>
          <w:lang w:val="en-GB" w:eastAsia="zh-TW"/>
        </w:rPr>
        <w:footnoteReference w:id="61"/>
      </w:r>
      <w:r w:rsidR="0078224F" w:rsidRPr="00EE5050">
        <w:rPr>
          <w:rFonts w:eastAsia="PMingLiU"/>
          <w:lang w:val="en-GB" w:eastAsia="zh-TW"/>
        </w:rPr>
        <w:t xml:space="preserve"> </w:t>
      </w:r>
      <w:r w:rsidRPr="00EE5050">
        <w:rPr>
          <w:rFonts w:eastAsia="PMingLiU"/>
          <w:lang w:val="en-GB" w:eastAsia="zh-TW"/>
        </w:rPr>
        <w:t xml:space="preserve">This is most often expressed in jurisdictions with strong judicial review and </w:t>
      </w:r>
      <w:r w:rsidR="00603CE3" w:rsidRPr="00EE5050">
        <w:rPr>
          <w:rFonts w:eastAsia="PMingLiU"/>
          <w:lang w:val="en-GB" w:eastAsia="zh-TW"/>
        </w:rPr>
        <w:t>could</w:t>
      </w:r>
      <w:r w:rsidRPr="00EE5050">
        <w:rPr>
          <w:rFonts w:eastAsia="PMingLiU"/>
          <w:lang w:val="en-GB" w:eastAsia="zh-TW"/>
        </w:rPr>
        <w:t xml:space="preserve"> h</w:t>
      </w:r>
      <w:r w:rsidR="00526046" w:rsidRPr="00EE5050">
        <w:rPr>
          <w:rFonts w:eastAsia="PMingLiU"/>
          <w:lang w:val="en-GB" w:eastAsia="zh-TW"/>
        </w:rPr>
        <w:t xml:space="preserve">ave </w:t>
      </w:r>
      <w:r w:rsidR="00603CE3" w:rsidRPr="00EE5050">
        <w:rPr>
          <w:rFonts w:eastAsia="PMingLiU"/>
          <w:lang w:val="en-GB" w:eastAsia="zh-TW"/>
        </w:rPr>
        <w:t xml:space="preserve">much </w:t>
      </w:r>
      <w:r w:rsidR="00526046" w:rsidRPr="00EE5050">
        <w:rPr>
          <w:rFonts w:eastAsia="PMingLiU"/>
          <w:lang w:val="en-GB" w:eastAsia="zh-TW"/>
        </w:rPr>
        <w:t>to do with</w:t>
      </w:r>
      <w:r w:rsidR="00603CE3" w:rsidRPr="00EE5050">
        <w:rPr>
          <w:rFonts w:eastAsia="PMingLiU"/>
          <w:lang w:val="en-GB" w:eastAsia="zh-TW"/>
        </w:rPr>
        <w:t xml:space="preserve"> the effects of</w:t>
      </w:r>
      <w:r w:rsidR="00526046" w:rsidRPr="00EE5050">
        <w:rPr>
          <w:rFonts w:eastAsia="PMingLiU"/>
          <w:lang w:val="en-GB" w:eastAsia="zh-TW"/>
        </w:rPr>
        <w:t xml:space="preserve"> judicial overhang</w:t>
      </w:r>
      <w:r w:rsidRPr="00EE5050">
        <w:rPr>
          <w:rFonts w:eastAsia="PMingLiU"/>
          <w:lang w:val="en-GB" w:eastAsia="zh-TW"/>
        </w:rPr>
        <w:t xml:space="preserve">. </w:t>
      </w:r>
    </w:p>
    <w:p w14:paraId="2F7A5F18" w14:textId="77777777" w:rsidR="000E1CCF" w:rsidRPr="00EE5050" w:rsidRDefault="000E1CCF" w:rsidP="00C8715C">
      <w:pPr>
        <w:pStyle w:val="NoSpacing"/>
        <w:tabs>
          <w:tab w:val="left" w:pos="993"/>
          <w:tab w:val="left" w:pos="1440"/>
        </w:tabs>
        <w:spacing w:line="480" w:lineRule="auto"/>
        <w:jc w:val="both"/>
        <w:rPr>
          <w:rFonts w:eastAsia="PMingLiU"/>
          <w:lang w:val="en-GB" w:eastAsia="zh-TW"/>
        </w:rPr>
      </w:pPr>
    </w:p>
    <w:p w14:paraId="049EEEBE" w14:textId="5648A15D" w:rsidR="00C8715C" w:rsidRPr="000C5C55" w:rsidRDefault="007521EB" w:rsidP="000C5C55">
      <w:pPr>
        <w:pStyle w:val="NoSpacing"/>
        <w:tabs>
          <w:tab w:val="left" w:pos="993"/>
          <w:tab w:val="left" w:pos="1440"/>
        </w:tabs>
        <w:spacing w:line="480" w:lineRule="auto"/>
        <w:jc w:val="both"/>
        <w:rPr>
          <w:rFonts w:eastAsia="PMingLiU"/>
          <w:b/>
          <w:i/>
          <w:sz w:val="22"/>
          <w:lang w:val="en-GB" w:eastAsia="zh-TW"/>
        </w:rPr>
      </w:pPr>
      <w:r w:rsidRPr="000C5C55">
        <w:rPr>
          <w:rFonts w:eastAsia="PMingLiU"/>
          <w:b/>
          <w:i/>
          <w:smallCaps/>
          <w:sz w:val="28"/>
          <w:lang w:val="en-GB" w:eastAsia="zh-TW"/>
        </w:rPr>
        <w:t>C.  </w:t>
      </w:r>
      <w:r w:rsidR="00681A57" w:rsidRPr="000C5C55">
        <w:rPr>
          <w:rFonts w:eastAsia="PMingLiU"/>
          <w:b/>
          <w:i/>
          <w:sz w:val="28"/>
          <w:lang w:val="en-GB" w:eastAsia="zh-TW"/>
        </w:rPr>
        <w:t>Judicial o</w:t>
      </w:r>
      <w:r w:rsidR="006B24BD" w:rsidRPr="000C5C55">
        <w:rPr>
          <w:rFonts w:eastAsia="PMingLiU"/>
          <w:b/>
          <w:i/>
          <w:sz w:val="28"/>
          <w:lang w:val="en-GB" w:eastAsia="zh-TW"/>
        </w:rPr>
        <w:t>verhang</w:t>
      </w:r>
    </w:p>
    <w:p w14:paraId="6039AC63" w14:textId="77777777" w:rsidR="006C5733" w:rsidRPr="00EE5050" w:rsidRDefault="006B24BD" w:rsidP="006B24BD">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 xml:space="preserve">One of the circumstances resulting from strong judicial review and an over-focus on legal constitutionalism is the </w:t>
      </w:r>
      <w:r w:rsidR="00C04475" w:rsidRPr="00EE5050">
        <w:rPr>
          <w:rFonts w:eastAsia="PMingLiU"/>
          <w:lang w:val="en-GB" w:eastAsia="zh-TW"/>
        </w:rPr>
        <w:t>development</w:t>
      </w:r>
      <w:r w:rsidRPr="00EE5050">
        <w:rPr>
          <w:rFonts w:eastAsia="PMingLiU"/>
          <w:lang w:val="en-GB" w:eastAsia="zh-TW"/>
        </w:rPr>
        <w:t xml:space="preserve"> of judicial overhang. Coined by Mark </w:t>
      </w:r>
      <w:proofErr w:type="spellStart"/>
      <w:r w:rsidRPr="00EE5050">
        <w:rPr>
          <w:rFonts w:eastAsia="PMingLiU"/>
          <w:lang w:val="en-GB" w:eastAsia="zh-TW"/>
        </w:rPr>
        <w:t>Tushnet</w:t>
      </w:r>
      <w:proofErr w:type="spellEnd"/>
      <w:r w:rsidRPr="00EE5050">
        <w:rPr>
          <w:rFonts w:eastAsia="PMingLiU"/>
          <w:lang w:val="en-GB" w:eastAsia="zh-TW"/>
        </w:rPr>
        <w:t xml:space="preserve">, this occurs when </w:t>
      </w:r>
      <w:r w:rsidR="006D27D0" w:rsidRPr="00EE5050">
        <w:rPr>
          <w:rFonts w:eastAsia="PMingLiU"/>
          <w:lang w:val="en-GB" w:eastAsia="zh-TW"/>
        </w:rPr>
        <w:t>legislator</w:t>
      </w:r>
      <w:r w:rsidR="006C5733" w:rsidRPr="00EE5050">
        <w:rPr>
          <w:rFonts w:eastAsia="PMingLiU"/>
          <w:lang w:val="en-GB" w:eastAsia="zh-TW"/>
        </w:rPr>
        <w:t>s give ultimate</w:t>
      </w:r>
      <w:r w:rsidR="00F464E9" w:rsidRPr="00EE5050">
        <w:rPr>
          <w:rFonts w:eastAsia="PMingLiU"/>
          <w:lang w:val="en-GB" w:eastAsia="zh-TW"/>
        </w:rPr>
        <w:t xml:space="preserve"> constitutional</w:t>
      </w:r>
      <w:r w:rsidR="006C5733" w:rsidRPr="00EE5050">
        <w:rPr>
          <w:rFonts w:eastAsia="PMingLiU"/>
          <w:lang w:val="en-GB" w:eastAsia="zh-TW"/>
        </w:rPr>
        <w:t xml:space="preserve"> </w:t>
      </w:r>
      <w:r w:rsidR="00CA7762" w:rsidRPr="00EE5050">
        <w:rPr>
          <w:rFonts w:eastAsia="PMingLiU"/>
          <w:lang w:val="en-GB" w:eastAsia="zh-TW"/>
        </w:rPr>
        <w:t xml:space="preserve">deference to </w:t>
      </w:r>
      <w:r w:rsidR="00C04475" w:rsidRPr="00EE5050">
        <w:rPr>
          <w:rFonts w:eastAsia="PMingLiU"/>
          <w:lang w:val="en-GB" w:eastAsia="zh-TW"/>
        </w:rPr>
        <w:t xml:space="preserve">the </w:t>
      </w:r>
      <w:r w:rsidR="00CA7762" w:rsidRPr="00EE5050">
        <w:rPr>
          <w:rFonts w:eastAsia="PMingLiU"/>
          <w:lang w:val="en-GB" w:eastAsia="zh-TW"/>
        </w:rPr>
        <w:t xml:space="preserve">courts, </w:t>
      </w:r>
      <w:r w:rsidR="006D27D0" w:rsidRPr="00EE5050">
        <w:rPr>
          <w:rFonts w:eastAsia="PMingLiU"/>
          <w:lang w:val="en-GB" w:eastAsia="zh-TW"/>
        </w:rPr>
        <w:t>believing</w:t>
      </w:r>
      <w:r w:rsidR="006C5733" w:rsidRPr="00EE5050">
        <w:rPr>
          <w:rFonts w:eastAsia="PMingLiU"/>
          <w:lang w:val="en-GB" w:eastAsia="zh-TW"/>
        </w:rPr>
        <w:t xml:space="preserve"> </w:t>
      </w:r>
      <w:r w:rsidR="007C77EA" w:rsidRPr="00EE5050">
        <w:rPr>
          <w:rFonts w:eastAsia="PMingLiU"/>
          <w:lang w:val="en-GB" w:eastAsia="zh-TW"/>
        </w:rPr>
        <w:t xml:space="preserve">they will correct </w:t>
      </w:r>
      <w:r w:rsidR="0030517F" w:rsidRPr="00EE5050">
        <w:rPr>
          <w:rFonts w:eastAsia="PMingLiU"/>
          <w:lang w:val="en-GB" w:eastAsia="zh-TW"/>
        </w:rPr>
        <w:t>statutory</w:t>
      </w:r>
      <w:r w:rsidR="00CA7762" w:rsidRPr="00EE5050">
        <w:rPr>
          <w:rFonts w:eastAsia="PMingLiU"/>
          <w:lang w:val="en-GB" w:eastAsia="zh-TW"/>
        </w:rPr>
        <w:t xml:space="preserve"> mistakes</w:t>
      </w:r>
      <w:r w:rsidR="006C5733" w:rsidRPr="00EE5050">
        <w:rPr>
          <w:rFonts w:eastAsia="PMingLiU"/>
          <w:lang w:val="en-GB" w:eastAsia="zh-TW"/>
        </w:rPr>
        <w:t>.</w:t>
      </w:r>
      <w:r w:rsidR="001825AD" w:rsidRPr="00EE5050">
        <w:rPr>
          <w:rStyle w:val="FootnoteReference"/>
          <w:rFonts w:eastAsia="PMingLiU"/>
          <w:lang w:val="en-GB" w:eastAsia="zh-TW"/>
        </w:rPr>
        <w:footnoteReference w:id="62"/>
      </w:r>
      <w:r w:rsidR="006C5733" w:rsidRPr="00EE5050">
        <w:rPr>
          <w:rFonts w:eastAsia="PMingLiU"/>
          <w:lang w:val="en-GB" w:eastAsia="zh-TW"/>
        </w:rPr>
        <w:t xml:space="preserve"> </w:t>
      </w:r>
      <w:r w:rsidR="00F464E9" w:rsidRPr="00EE5050">
        <w:rPr>
          <w:rFonts w:eastAsia="PMingLiU"/>
          <w:lang w:val="en-GB" w:eastAsia="zh-TW"/>
        </w:rPr>
        <w:t>To some extent this development</w:t>
      </w:r>
      <w:r w:rsidR="00042EFF" w:rsidRPr="00EE5050">
        <w:rPr>
          <w:rFonts w:eastAsia="PMingLiU"/>
          <w:lang w:val="en-GB" w:eastAsia="zh-TW"/>
        </w:rPr>
        <w:t xml:space="preserve"> </w:t>
      </w:r>
      <w:r w:rsidR="00F464E9" w:rsidRPr="00EE5050">
        <w:rPr>
          <w:rFonts w:eastAsia="PMingLiU"/>
          <w:lang w:val="en-GB" w:eastAsia="zh-TW"/>
        </w:rPr>
        <w:t>could</w:t>
      </w:r>
      <w:r w:rsidR="00042EFF" w:rsidRPr="00EE5050">
        <w:rPr>
          <w:rFonts w:eastAsia="PMingLiU"/>
          <w:lang w:val="en-GB" w:eastAsia="zh-TW"/>
        </w:rPr>
        <w:t xml:space="preserve"> promote disregard for the Constitution, as legislators and others may not </w:t>
      </w:r>
      <w:r w:rsidR="00AC357A">
        <w:rPr>
          <w:rFonts w:eastAsia="PMingLiU"/>
          <w:lang w:val="en-GB" w:eastAsia="zh-TW"/>
        </w:rPr>
        <w:t>‘</w:t>
      </w:r>
      <w:r w:rsidR="00042EFF" w:rsidRPr="00EE5050">
        <w:rPr>
          <w:rFonts w:eastAsia="PMingLiU"/>
          <w:lang w:val="en-GB" w:eastAsia="zh-TW"/>
        </w:rPr>
        <w:t>bother to interpret the constitution at all, much less interpret it well</w:t>
      </w:r>
      <w:r w:rsidR="00AC357A">
        <w:rPr>
          <w:rFonts w:eastAsia="PMingLiU"/>
          <w:lang w:val="en-GB" w:eastAsia="zh-TW"/>
        </w:rPr>
        <w:t>’</w:t>
      </w:r>
      <w:r w:rsidR="005C2646" w:rsidRPr="00EE5050">
        <w:rPr>
          <w:rFonts w:eastAsia="PMingLiU"/>
          <w:lang w:val="en-GB" w:eastAsia="zh-TW"/>
        </w:rPr>
        <w:t>.</w:t>
      </w:r>
      <w:r w:rsidR="00042EFF" w:rsidRPr="00EE5050">
        <w:rPr>
          <w:rStyle w:val="FootnoteReference"/>
          <w:rFonts w:eastAsia="PMingLiU"/>
          <w:lang w:val="en-GB" w:eastAsia="zh-TW"/>
        </w:rPr>
        <w:footnoteReference w:id="63"/>
      </w:r>
      <w:r w:rsidR="006C5733" w:rsidRPr="00EE5050">
        <w:rPr>
          <w:rFonts w:eastAsia="PMingLiU"/>
          <w:lang w:val="en-GB" w:eastAsia="zh-TW"/>
        </w:rPr>
        <w:t xml:space="preserve"> </w:t>
      </w:r>
      <w:r w:rsidR="00042EFF" w:rsidRPr="00EE5050">
        <w:rPr>
          <w:rFonts w:eastAsia="PMingLiU"/>
          <w:lang w:val="en-GB" w:eastAsia="zh-TW"/>
        </w:rPr>
        <w:t xml:space="preserve">Ultimately </w:t>
      </w:r>
      <w:proofErr w:type="spellStart"/>
      <w:r w:rsidR="003970FB" w:rsidRPr="00EE5050">
        <w:rPr>
          <w:rFonts w:eastAsia="PMingLiU"/>
          <w:lang w:val="en-GB" w:eastAsia="zh-TW"/>
        </w:rPr>
        <w:t>Tushnet</w:t>
      </w:r>
      <w:proofErr w:type="spellEnd"/>
      <w:r w:rsidR="006C5733" w:rsidRPr="00EE5050">
        <w:rPr>
          <w:rFonts w:eastAsia="PMingLiU"/>
          <w:lang w:val="en-GB" w:eastAsia="zh-TW"/>
        </w:rPr>
        <w:t xml:space="preserve"> </w:t>
      </w:r>
      <w:r w:rsidR="003928D2" w:rsidRPr="00EE5050">
        <w:rPr>
          <w:rFonts w:eastAsia="PMingLiU"/>
          <w:lang w:val="en-GB" w:eastAsia="zh-TW"/>
        </w:rPr>
        <w:t>observes</w:t>
      </w:r>
      <w:r w:rsidR="006C5733" w:rsidRPr="00EE5050">
        <w:rPr>
          <w:rFonts w:eastAsia="PMingLiU"/>
          <w:lang w:val="en-GB" w:eastAsia="zh-TW"/>
        </w:rPr>
        <w:t xml:space="preserve"> many pitfalls</w:t>
      </w:r>
      <w:r w:rsidR="003928D2" w:rsidRPr="00EE5050">
        <w:rPr>
          <w:rFonts w:eastAsia="PMingLiU"/>
          <w:lang w:val="en-GB" w:eastAsia="zh-TW"/>
        </w:rPr>
        <w:t xml:space="preserve"> </w:t>
      </w:r>
      <w:r w:rsidR="00905A2C" w:rsidRPr="00EE5050">
        <w:rPr>
          <w:rFonts w:eastAsia="PMingLiU"/>
          <w:lang w:val="en-GB" w:eastAsia="zh-TW"/>
        </w:rPr>
        <w:t>arising</w:t>
      </w:r>
      <w:r w:rsidR="006C5733" w:rsidRPr="00EE5050">
        <w:rPr>
          <w:rFonts w:eastAsia="PMingLiU"/>
          <w:lang w:val="en-GB" w:eastAsia="zh-TW"/>
        </w:rPr>
        <w:t xml:space="preserve"> from this </w:t>
      </w:r>
      <w:r w:rsidR="00042EFF" w:rsidRPr="00EE5050">
        <w:rPr>
          <w:rFonts w:eastAsia="PMingLiU"/>
          <w:lang w:val="en-GB" w:eastAsia="zh-TW"/>
        </w:rPr>
        <w:t>phenomenon</w:t>
      </w:r>
      <w:r w:rsidR="006C5733" w:rsidRPr="00EE5050">
        <w:rPr>
          <w:rFonts w:eastAsia="PMingLiU"/>
          <w:lang w:val="en-GB" w:eastAsia="zh-TW"/>
        </w:rPr>
        <w:t>.</w:t>
      </w:r>
    </w:p>
    <w:p w14:paraId="1F97491A" w14:textId="2B542F05" w:rsidR="00C8715C" w:rsidRPr="00EE5050" w:rsidRDefault="006C5733"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lastRenderedPageBreak/>
        <w:t xml:space="preserve">First, he </w:t>
      </w:r>
      <w:r w:rsidR="005C2646" w:rsidRPr="00EE5050">
        <w:rPr>
          <w:rFonts w:eastAsia="PMingLiU"/>
          <w:lang w:val="en-GB" w:eastAsia="zh-TW"/>
        </w:rPr>
        <w:t>states</w:t>
      </w:r>
      <w:r w:rsidRPr="00EE5050">
        <w:rPr>
          <w:rFonts w:eastAsia="PMingLiU"/>
          <w:lang w:val="en-GB" w:eastAsia="zh-TW"/>
        </w:rPr>
        <w:t xml:space="preserve"> it promotes irresponsibility, in that legislators do not feel responsibl</w:t>
      </w:r>
      <w:r w:rsidR="00FB1A36" w:rsidRPr="00EE5050">
        <w:rPr>
          <w:rFonts w:eastAsia="PMingLiU"/>
          <w:lang w:val="en-GB" w:eastAsia="zh-TW"/>
        </w:rPr>
        <w:t>e for constitutional assessment</w:t>
      </w:r>
      <w:r w:rsidR="005C2646" w:rsidRPr="00EE5050">
        <w:rPr>
          <w:rStyle w:val="FootnoteReference"/>
          <w:rFonts w:eastAsia="PMingLiU"/>
          <w:lang w:val="en-GB" w:eastAsia="zh-TW"/>
        </w:rPr>
        <w:footnoteReference w:id="64"/>
      </w:r>
      <w:r w:rsidRPr="00EE5050">
        <w:rPr>
          <w:rFonts w:eastAsia="PMingLiU"/>
          <w:lang w:val="en-GB" w:eastAsia="zh-TW"/>
        </w:rPr>
        <w:t xml:space="preserve"> </w:t>
      </w:r>
      <w:r w:rsidR="00FB1A36" w:rsidRPr="00EE5050">
        <w:rPr>
          <w:rFonts w:eastAsia="PMingLiU"/>
          <w:lang w:val="en-GB" w:eastAsia="zh-TW"/>
        </w:rPr>
        <w:t>and</w:t>
      </w:r>
      <w:r w:rsidR="005C2646" w:rsidRPr="00EE5050">
        <w:rPr>
          <w:rFonts w:eastAsia="PMingLiU"/>
          <w:lang w:val="en-GB" w:eastAsia="zh-TW"/>
        </w:rPr>
        <w:t xml:space="preserve"> lawmakers may simply defer to </w:t>
      </w:r>
      <w:r w:rsidR="00033792" w:rsidRPr="00EE5050">
        <w:rPr>
          <w:rFonts w:eastAsia="PMingLiU"/>
          <w:lang w:val="en-GB" w:eastAsia="zh-TW"/>
        </w:rPr>
        <w:t>the judiciary o</w:t>
      </w:r>
      <w:r w:rsidR="007C77EA" w:rsidRPr="00EE5050">
        <w:rPr>
          <w:rFonts w:eastAsia="PMingLiU"/>
          <w:lang w:val="en-GB" w:eastAsia="zh-TW"/>
        </w:rPr>
        <w:t>n major constitutional issues. As will be seen below, t</w:t>
      </w:r>
      <w:r w:rsidR="00033792" w:rsidRPr="00EE5050">
        <w:rPr>
          <w:rFonts w:eastAsia="PMingLiU"/>
          <w:lang w:val="en-GB" w:eastAsia="zh-TW"/>
        </w:rPr>
        <w:t xml:space="preserve">his type of thinking was apparent in </w:t>
      </w:r>
      <w:r w:rsidR="00DD4697">
        <w:rPr>
          <w:rFonts w:eastAsia="PMingLiU"/>
          <w:lang w:val="en-GB" w:eastAsia="zh-TW"/>
        </w:rPr>
        <w:t xml:space="preserve">the author’s </w:t>
      </w:r>
      <w:r w:rsidR="00033792" w:rsidRPr="00EE5050">
        <w:rPr>
          <w:rFonts w:eastAsia="PMingLiU"/>
          <w:lang w:val="en-GB" w:eastAsia="zh-TW"/>
        </w:rPr>
        <w:t>interviews wi</w:t>
      </w:r>
      <w:r w:rsidR="007C77EA" w:rsidRPr="00EE5050">
        <w:rPr>
          <w:rFonts w:eastAsia="PMingLiU"/>
          <w:lang w:val="en-GB" w:eastAsia="zh-TW"/>
        </w:rPr>
        <w:t>th Legislative Yuan members.</w:t>
      </w:r>
      <w:r w:rsidR="00033792" w:rsidRPr="00EE5050">
        <w:rPr>
          <w:rFonts w:eastAsia="PMingLiU"/>
          <w:lang w:val="en-GB" w:eastAsia="zh-TW"/>
        </w:rPr>
        <w:t xml:space="preserve"> </w:t>
      </w:r>
      <w:r w:rsidRPr="00EE5050">
        <w:rPr>
          <w:rFonts w:eastAsia="PMingLiU"/>
          <w:lang w:val="en-GB" w:eastAsia="zh-TW"/>
        </w:rPr>
        <w:t xml:space="preserve">Next, </w:t>
      </w:r>
      <w:proofErr w:type="spellStart"/>
      <w:r w:rsidR="00033792" w:rsidRPr="00EE5050">
        <w:rPr>
          <w:rFonts w:eastAsia="PMingLiU"/>
          <w:lang w:val="en-GB" w:eastAsia="zh-TW"/>
        </w:rPr>
        <w:t>Tushnet</w:t>
      </w:r>
      <w:proofErr w:type="spellEnd"/>
      <w:r w:rsidRPr="00EE5050">
        <w:rPr>
          <w:rFonts w:eastAsia="PMingLiU"/>
          <w:lang w:val="en-GB" w:eastAsia="zh-TW"/>
        </w:rPr>
        <w:t xml:space="preserve"> believe</w:t>
      </w:r>
      <w:r w:rsidR="00042EFF" w:rsidRPr="00EE5050">
        <w:rPr>
          <w:rFonts w:eastAsia="PMingLiU"/>
          <w:lang w:val="en-GB" w:eastAsia="zh-TW"/>
        </w:rPr>
        <w:t>s it distorts legislation—</w:t>
      </w:r>
      <w:r w:rsidR="00C8715C" w:rsidRPr="00EE5050">
        <w:rPr>
          <w:rFonts w:eastAsia="PMingLiU"/>
          <w:lang w:val="en-GB" w:eastAsia="zh-TW"/>
        </w:rPr>
        <w:t>if legislators focus too much on the Constitution inside the courts, they ma</w:t>
      </w:r>
      <w:r w:rsidRPr="00EE5050">
        <w:rPr>
          <w:rFonts w:eastAsia="PMingLiU"/>
          <w:lang w:val="en-GB" w:eastAsia="zh-TW"/>
        </w:rPr>
        <w:t>y produce unsatisfactory laws.</w:t>
      </w:r>
      <w:r w:rsidR="00033792" w:rsidRPr="00EE5050">
        <w:rPr>
          <w:rStyle w:val="FootnoteReference"/>
          <w:rFonts w:eastAsia="PMingLiU"/>
          <w:lang w:val="en-GB" w:eastAsia="zh-TW"/>
        </w:rPr>
        <w:footnoteReference w:id="65"/>
      </w:r>
      <w:r w:rsidRPr="00EE5050">
        <w:rPr>
          <w:rFonts w:eastAsia="PMingLiU"/>
          <w:lang w:val="en-GB" w:eastAsia="zh-TW"/>
        </w:rPr>
        <w:t xml:space="preserve"> Lawmakers s</w:t>
      </w:r>
      <w:r w:rsidR="00C8715C" w:rsidRPr="00EE5050">
        <w:rPr>
          <w:rFonts w:eastAsia="PMingLiU"/>
          <w:lang w:val="en-GB" w:eastAsia="zh-TW"/>
        </w:rPr>
        <w:t xml:space="preserve">hould focus more on policy, not </w:t>
      </w:r>
      <w:r w:rsidR="003970FB" w:rsidRPr="00EE5050">
        <w:rPr>
          <w:rFonts w:eastAsia="PMingLiU"/>
          <w:lang w:val="en-GB" w:eastAsia="zh-TW"/>
        </w:rPr>
        <w:t xml:space="preserve">on </w:t>
      </w:r>
      <w:r w:rsidR="00DD29D4">
        <w:rPr>
          <w:rFonts w:eastAsia="PMingLiU"/>
          <w:lang w:val="en-GB" w:eastAsia="zh-TW"/>
        </w:rPr>
        <w:t xml:space="preserve">the </w:t>
      </w:r>
      <w:r w:rsidR="003970FB" w:rsidRPr="00EE5050">
        <w:rPr>
          <w:rFonts w:eastAsia="PMingLiU"/>
          <w:lang w:val="en-GB" w:eastAsia="zh-TW"/>
        </w:rPr>
        <w:t>Supreme Court or court-centr</w:t>
      </w:r>
      <w:r w:rsidR="00C8715C" w:rsidRPr="00EE5050">
        <w:rPr>
          <w:rFonts w:eastAsia="PMingLiU"/>
          <w:lang w:val="en-GB" w:eastAsia="zh-TW"/>
        </w:rPr>
        <w:t>ed laws. The policy is the heart of the l</w:t>
      </w:r>
      <w:r w:rsidR="00EF1723" w:rsidRPr="00EE5050">
        <w:rPr>
          <w:rFonts w:eastAsia="PMingLiU"/>
          <w:lang w:val="en-GB" w:eastAsia="zh-TW"/>
        </w:rPr>
        <w:t>aw and that should not be discarded</w:t>
      </w:r>
      <w:r w:rsidR="00C8715C" w:rsidRPr="00EE5050">
        <w:rPr>
          <w:rFonts w:eastAsia="PMingLiU"/>
          <w:lang w:val="en-GB" w:eastAsia="zh-TW"/>
        </w:rPr>
        <w:t xml:space="preserve">. </w:t>
      </w:r>
      <w:proofErr w:type="spellStart"/>
      <w:r w:rsidRPr="00EE5050">
        <w:rPr>
          <w:rFonts w:eastAsia="PMingLiU"/>
          <w:lang w:val="en-GB" w:eastAsia="zh-TW"/>
        </w:rPr>
        <w:t>Tushnet</w:t>
      </w:r>
      <w:proofErr w:type="spellEnd"/>
      <w:r w:rsidRPr="00EE5050">
        <w:rPr>
          <w:rFonts w:eastAsia="PMingLiU"/>
          <w:lang w:val="en-GB" w:eastAsia="zh-TW"/>
        </w:rPr>
        <w:t xml:space="preserve"> </w:t>
      </w:r>
      <w:r w:rsidR="003970FB" w:rsidRPr="00EE5050">
        <w:rPr>
          <w:rFonts w:eastAsia="PMingLiU"/>
          <w:lang w:val="en-GB" w:eastAsia="zh-TW"/>
        </w:rPr>
        <w:t xml:space="preserve">further </w:t>
      </w:r>
      <w:r w:rsidR="00EF1723" w:rsidRPr="00EE5050">
        <w:rPr>
          <w:rFonts w:eastAsia="PMingLiU"/>
          <w:lang w:val="en-GB" w:eastAsia="zh-TW"/>
        </w:rPr>
        <w:t>contends</w:t>
      </w:r>
      <w:r w:rsidRPr="00EE5050">
        <w:rPr>
          <w:rFonts w:eastAsia="PMingLiU"/>
          <w:lang w:val="en-GB" w:eastAsia="zh-TW"/>
        </w:rPr>
        <w:t xml:space="preserve"> </w:t>
      </w:r>
      <w:r w:rsidR="00985439" w:rsidRPr="00EE5050">
        <w:rPr>
          <w:rFonts w:eastAsia="PMingLiU"/>
          <w:lang w:val="en-GB" w:eastAsia="zh-TW"/>
        </w:rPr>
        <w:t xml:space="preserve">that </w:t>
      </w:r>
      <w:r w:rsidR="00033792" w:rsidRPr="00EE5050">
        <w:rPr>
          <w:rFonts w:eastAsia="PMingLiU"/>
          <w:lang w:val="en-GB" w:eastAsia="zh-TW"/>
        </w:rPr>
        <w:t>judicial overhang</w:t>
      </w:r>
      <w:r w:rsidRPr="00EE5050">
        <w:rPr>
          <w:rFonts w:eastAsia="PMingLiU"/>
          <w:lang w:val="en-GB" w:eastAsia="zh-TW"/>
        </w:rPr>
        <w:t xml:space="preserve"> </w:t>
      </w:r>
      <w:r w:rsidR="00033792" w:rsidRPr="00EE5050">
        <w:rPr>
          <w:rFonts w:eastAsia="PMingLiU"/>
          <w:lang w:val="en-GB" w:eastAsia="zh-TW"/>
        </w:rPr>
        <w:t>distorts legislative discussion</w:t>
      </w:r>
      <w:r w:rsidR="00033792" w:rsidRPr="00EE5050">
        <w:rPr>
          <w:rStyle w:val="FootnoteReference"/>
          <w:rFonts w:eastAsia="PMingLiU"/>
          <w:lang w:val="en-GB" w:eastAsia="zh-TW"/>
        </w:rPr>
        <w:footnoteReference w:id="66"/>
      </w:r>
      <w:r w:rsidRPr="00EE5050">
        <w:rPr>
          <w:rFonts w:eastAsia="PMingLiU"/>
          <w:lang w:val="en-GB" w:eastAsia="zh-TW"/>
        </w:rPr>
        <w:t xml:space="preserve"> </w:t>
      </w:r>
      <w:r w:rsidR="00033792" w:rsidRPr="00EE5050">
        <w:rPr>
          <w:rFonts w:eastAsia="PMingLiU"/>
          <w:lang w:val="en-GB" w:eastAsia="zh-TW"/>
        </w:rPr>
        <w:t xml:space="preserve">and could make </w:t>
      </w:r>
      <w:r w:rsidR="00EF1723" w:rsidRPr="00EE5050">
        <w:rPr>
          <w:rFonts w:eastAsia="PMingLiU"/>
          <w:lang w:val="en-GB" w:eastAsia="zh-TW"/>
        </w:rPr>
        <w:t>lawmakers</w:t>
      </w:r>
      <w:r w:rsidR="00C8715C" w:rsidRPr="00EE5050">
        <w:rPr>
          <w:rFonts w:eastAsia="PMingLiU"/>
          <w:lang w:val="en-GB" w:eastAsia="zh-TW"/>
        </w:rPr>
        <w:t xml:space="preserve"> think in scrutiny levels (</w:t>
      </w:r>
      <w:r w:rsidR="00F3702A" w:rsidRPr="00EC4A17">
        <w:rPr>
          <w:rFonts w:eastAsia="PMingLiU"/>
          <w:lang w:val="en-GB" w:eastAsia="zh-TW"/>
        </w:rPr>
        <w:t>that is</w:t>
      </w:r>
      <w:r w:rsidR="00EF3D7B" w:rsidRPr="00DA33AF">
        <w:rPr>
          <w:rFonts w:eastAsia="PMingLiU"/>
          <w:lang w:val="en-GB" w:eastAsia="zh-TW"/>
        </w:rPr>
        <w:t>,</w:t>
      </w:r>
      <w:r w:rsidR="00EF3D7B" w:rsidRPr="00EE5050">
        <w:rPr>
          <w:rFonts w:eastAsia="PMingLiU"/>
          <w:lang w:val="en-GB" w:eastAsia="zh-TW"/>
        </w:rPr>
        <w:t xml:space="preserve"> strict </w:t>
      </w:r>
      <w:r w:rsidR="00033792" w:rsidRPr="00EE5050">
        <w:rPr>
          <w:rFonts w:eastAsia="PMingLiU"/>
          <w:lang w:val="en-GB" w:eastAsia="zh-TW"/>
        </w:rPr>
        <w:t xml:space="preserve">scrutiny </w:t>
      </w:r>
      <w:r w:rsidR="000110BA">
        <w:rPr>
          <w:rFonts w:eastAsia="PMingLiU"/>
          <w:lang w:val="en-GB" w:eastAsia="zh-TW"/>
        </w:rPr>
        <w:t>versus</w:t>
      </w:r>
      <w:r w:rsidR="00EF3D7B" w:rsidRPr="00EE5050">
        <w:rPr>
          <w:rFonts w:eastAsia="PMingLiU"/>
          <w:lang w:val="en-GB" w:eastAsia="zh-TW"/>
        </w:rPr>
        <w:t xml:space="preserve"> rational basis</w:t>
      </w:r>
      <w:r w:rsidR="00140E18" w:rsidRPr="00EE5050">
        <w:rPr>
          <w:rFonts w:eastAsia="PMingLiU"/>
          <w:lang w:val="en-GB" w:eastAsia="zh-TW"/>
        </w:rPr>
        <w:t xml:space="preserve">), </w:t>
      </w:r>
      <w:r w:rsidR="00663F3D" w:rsidRPr="00EE5050">
        <w:rPr>
          <w:rFonts w:eastAsia="PMingLiU"/>
          <w:lang w:val="en-GB" w:eastAsia="zh-TW"/>
        </w:rPr>
        <w:t xml:space="preserve">and </w:t>
      </w:r>
      <w:r w:rsidR="00140E18" w:rsidRPr="00EE5050">
        <w:rPr>
          <w:rFonts w:eastAsia="PMingLiU"/>
          <w:lang w:val="en-GB" w:eastAsia="zh-TW"/>
        </w:rPr>
        <w:t xml:space="preserve">not in terms of fairness. He </w:t>
      </w:r>
      <w:r w:rsidR="007A362C" w:rsidRPr="00EE5050">
        <w:rPr>
          <w:rFonts w:eastAsia="PMingLiU"/>
          <w:lang w:val="en-GB" w:eastAsia="zh-TW"/>
        </w:rPr>
        <w:t xml:space="preserve">also </w:t>
      </w:r>
      <w:r w:rsidR="0026664D" w:rsidRPr="00EE5050">
        <w:rPr>
          <w:rFonts w:eastAsia="PMingLiU"/>
          <w:lang w:val="en-GB" w:eastAsia="zh-TW"/>
        </w:rPr>
        <w:t>writes</w:t>
      </w:r>
      <w:r w:rsidR="00140E18" w:rsidRPr="00EE5050">
        <w:rPr>
          <w:rFonts w:eastAsia="PMingLiU"/>
          <w:lang w:val="en-GB" w:eastAsia="zh-TW"/>
        </w:rPr>
        <w:t xml:space="preserve"> that the US Executive Branch does a fair job of interpreting the constitution because of particular offices it houses, </w:t>
      </w:r>
      <w:r w:rsidR="00EF1723" w:rsidRPr="00EE5050">
        <w:rPr>
          <w:rFonts w:eastAsia="PMingLiU"/>
          <w:lang w:val="en-GB" w:eastAsia="zh-TW"/>
        </w:rPr>
        <w:t>advocating</w:t>
      </w:r>
      <w:r w:rsidR="00140E18" w:rsidRPr="00EE5050">
        <w:rPr>
          <w:rFonts w:eastAsia="PMingLiU"/>
          <w:lang w:val="en-GB" w:eastAsia="zh-TW"/>
        </w:rPr>
        <w:t xml:space="preserve"> that legislatures should try to develop these specialised offices as well.</w:t>
      </w:r>
      <w:r w:rsidR="00140E18" w:rsidRPr="00EE5050">
        <w:rPr>
          <w:rStyle w:val="FootnoteReference"/>
          <w:rFonts w:eastAsia="PMingLiU"/>
          <w:lang w:val="en-GB" w:eastAsia="zh-TW"/>
        </w:rPr>
        <w:footnoteReference w:id="67"/>
      </w:r>
      <w:r w:rsidR="00140E18" w:rsidRPr="00EE5050">
        <w:rPr>
          <w:rFonts w:eastAsia="PMingLiU"/>
          <w:lang w:val="en-GB" w:eastAsia="zh-TW"/>
        </w:rPr>
        <w:t xml:space="preserve"> Finally, </w:t>
      </w:r>
      <w:proofErr w:type="spellStart"/>
      <w:r w:rsidR="00140E18" w:rsidRPr="00EE5050">
        <w:rPr>
          <w:rFonts w:eastAsia="PMingLiU"/>
          <w:lang w:val="en-GB" w:eastAsia="zh-TW"/>
        </w:rPr>
        <w:t>Tushnet</w:t>
      </w:r>
      <w:proofErr w:type="spellEnd"/>
      <w:r w:rsidR="00140E18" w:rsidRPr="00EE5050">
        <w:rPr>
          <w:rFonts w:eastAsia="PMingLiU"/>
          <w:lang w:val="en-GB" w:eastAsia="zh-TW"/>
        </w:rPr>
        <w:t xml:space="preserve"> believes </w:t>
      </w:r>
      <w:r w:rsidR="00CC663F" w:rsidRPr="00EE5050">
        <w:rPr>
          <w:rFonts w:eastAsia="PMingLiU"/>
          <w:lang w:val="en-GB" w:eastAsia="zh-TW"/>
        </w:rPr>
        <w:t>judicial over</w:t>
      </w:r>
      <w:r w:rsidR="00140E18" w:rsidRPr="00EE5050">
        <w:rPr>
          <w:rFonts w:eastAsia="PMingLiU"/>
          <w:lang w:val="en-GB" w:eastAsia="zh-TW"/>
        </w:rPr>
        <w:t>hang misleads legislators</w:t>
      </w:r>
      <w:r w:rsidR="0084561B" w:rsidRPr="00EE5050">
        <w:rPr>
          <w:rFonts w:eastAsia="PMingLiU"/>
          <w:lang w:val="en-GB" w:eastAsia="zh-TW"/>
        </w:rPr>
        <w:t xml:space="preserve">, in </w:t>
      </w:r>
      <w:r w:rsidR="00140E18" w:rsidRPr="00EE5050">
        <w:rPr>
          <w:rFonts w:eastAsia="PMingLiU"/>
          <w:lang w:val="en-GB" w:eastAsia="zh-TW"/>
        </w:rPr>
        <w:t xml:space="preserve">that they </w:t>
      </w:r>
      <w:r w:rsidR="0084561B" w:rsidRPr="00EE5050">
        <w:rPr>
          <w:rFonts w:eastAsia="PMingLiU"/>
          <w:lang w:val="en-GB" w:eastAsia="zh-TW"/>
        </w:rPr>
        <w:t xml:space="preserve">may </w:t>
      </w:r>
      <w:r w:rsidR="00140E18" w:rsidRPr="00EE5050">
        <w:rPr>
          <w:rFonts w:eastAsia="PMingLiU"/>
          <w:lang w:val="en-GB" w:eastAsia="zh-TW"/>
        </w:rPr>
        <w:t>think</w:t>
      </w:r>
      <w:r w:rsidR="0084561B" w:rsidRPr="00EE5050">
        <w:rPr>
          <w:rFonts w:eastAsia="PMingLiU"/>
          <w:lang w:val="en-GB" w:eastAsia="zh-TW"/>
        </w:rPr>
        <w:t xml:space="preserve"> their constitutional discussion should be similar to</w:t>
      </w:r>
      <w:r w:rsidR="00140E18" w:rsidRPr="00EE5050">
        <w:rPr>
          <w:rFonts w:eastAsia="PMingLiU"/>
          <w:lang w:val="en-GB" w:eastAsia="zh-TW"/>
        </w:rPr>
        <w:t xml:space="preserve"> Supreme Court</w:t>
      </w:r>
      <w:r w:rsidR="0084561B" w:rsidRPr="00EE5050">
        <w:rPr>
          <w:rFonts w:eastAsia="PMingLiU"/>
          <w:lang w:val="en-GB" w:eastAsia="zh-TW"/>
        </w:rPr>
        <w:t xml:space="preserve"> discussion</w:t>
      </w:r>
      <w:r w:rsidR="00140E18" w:rsidRPr="00EE5050">
        <w:rPr>
          <w:rFonts w:eastAsia="PMingLiU"/>
          <w:lang w:val="en-GB" w:eastAsia="zh-TW"/>
        </w:rPr>
        <w:t>.</w:t>
      </w:r>
      <w:r w:rsidR="0084561B" w:rsidRPr="00EE5050">
        <w:rPr>
          <w:rStyle w:val="FootnoteReference"/>
          <w:rFonts w:eastAsia="PMingLiU"/>
          <w:lang w:val="en-GB" w:eastAsia="zh-TW"/>
        </w:rPr>
        <w:footnoteReference w:id="68"/>
      </w:r>
      <w:r w:rsidR="00140E18" w:rsidRPr="00EE5050">
        <w:rPr>
          <w:rFonts w:eastAsia="PMingLiU"/>
          <w:lang w:val="en-GB" w:eastAsia="zh-TW"/>
        </w:rPr>
        <w:t xml:space="preserve"> </w:t>
      </w:r>
      <w:r w:rsidR="0084561B" w:rsidRPr="00EE5050">
        <w:rPr>
          <w:rFonts w:eastAsia="PMingLiU"/>
          <w:lang w:val="en-GB" w:eastAsia="zh-TW"/>
        </w:rPr>
        <w:t>Yet</w:t>
      </w:r>
      <w:r w:rsidR="00140E18" w:rsidRPr="00EE5050">
        <w:rPr>
          <w:rFonts w:eastAsia="PMingLiU"/>
          <w:lang w:val="en-GB" w:eastAsia="zh-TW"/>
        </w:rPr>
        <w:t xml:space="preserve"> </w:t>
      </w:r>
      <w:r w:rsidR="0084561B" w:rsidRPr="00EE5050">
        <w:rPr>
          <w:rFonts w:eastAsia="PMingLiU"/>
          <w:lang w:val="en-GB" w:eastAsia="zh-TW"/>
        </w:rPr>
        <w:t>the C</w:t>
      </w:r>
      <w:r w:rsidR="00C8715C" w:rsidRPr="00EE5050">
        <w:rPr>
          <w:rFonts w:eastAsia="PMingLiU"/>
          <w:lang w:val="en-GB" w:eastAsia="zh-TW"/>
        </w:rPr>
        <w:t>onstitution</w:t>
      </w:r>
      <w:r w:rsidR="00AC357A">
        <w:rPr>
          <w:rFonts w:eastAsia="PMingLiU"/>
          <w:lang w:val="en-GB" w:eastAsia="zh-TW"/>
        </w:rPr>
        <w:t>’</w:t>
      </w:r>
      <w:r w:rsidR="00C8715C" w:rsidRPr="00EE5050">
        <w:rPr>
          <w:rFonts w:eastAsia="PMingLiU"/>
          <w:lang w:val="en-GB" w:eastAsia="zh-TW"/>
        </w:rPr>
        <w:t xml:space="preserve">s text </w:t>
      </w:r>
      <w:r w:rsidR="007A362C" w:rsidRPr="00EE5050">
        <w:rPr>
          <w:rFonts w:eastAsia="PMingLiU"/>
          <w:lang w:val="en-GB" w:eastAsia="zh-TW"/>
        </w:rPr>
        <w:t>and the court cases surrounding it are</w:t>
      </w:r>
      <w:r w:rsidR="00C8715C" w:rsidRPr="00EE5050">
        <w:rPr>
          <w:rFonts w:eastAsia="PMingLiU"/>
          <w:lang w:val="en-GB" w:eastAsia="zh-TW"/>
        </w:rPr>
        <w:t xml:space="preserve"> not the only source of constitutional rights</w:t>
      </w:r>
      <w:r w:rsidR="0084561B" w:rsidRPr="00EE5050">
        <w:rPr>
          <w:rFonts w:eastAsia="PMingLiU"/>
          <w:lang w:val="en-GB" w:eastAsia="zh-TW"/>
        </w:rPr>
        <w:t xml:space="preserve"> (</w:t>
      </w:r>
      <w:r w:rsidR="005608E3" w:rsidRPr="00C71FF5">
        <w:rPr>
          <w:rFonts w:eastAsia="PMingLiU"/>
          <w:lang w:val="en-GB" w:eastAsia="zh-TW"/>
        </w:rPr>
        <w:t>for example,</w:t>
      </w:r>
      <w:r w:rsidR="0084561B" w:rsidRPr="0026337B">
        <w:rPr>
          <w:rFonts w:eastAsia="PMingLiU"/>
          <w:lang w:val="en-GB" w:eastAsia="zh-TW"/>
        </w:rPr>
        <w:t xml:space="preserve"> </w:t>
      </w:r>
      <w:r w:rsidR="00C8715C" w:rsidRPr="00EE5050">
        <w:rPr>
          <w:rFonts w:eastAsia="PMingLiU"/>
          <w:lang w:val="en-GB" w:eastAsia="zh-TW"/>
        </w:rPr>
        <w:t xml:space="preserve">the right to privacy, not found in the </w:t>
      </w:r>
      <w:r w:rsidR="00F85440" w:rsidRPr="00EE5050">
        <w:rPr>
          <w:rFonts w:eastAsia="PMingLiU"/>
          <w:lang w:val="en-GB" w:eastAsia="zh-TW"/>
        </w:rPr>
        <w:t xml:space="preserve">US </w:t>
      </w:r>
      <w:r w:rsidR="00C8715C" w:rsidRPr="00EE5050">
        <w:rPr>
          <w:rFonts w:eastAsia="PMingLiU"/>
          <w:lang w:val="en-GB" w:eastAsia="zh-TW"/>
        </w:rPr>
        <w:t>Constitution, has been advocated by the court</w:t>
      </w:r>
      <w:r w:rsidR="00FB1A36" w:rsidRPr="00EE5050">
        <w:rPr>
          <w:rFonts w:eastAsia="PMingLiU"/>
          <w:lang w:val="en-GB" w:eastAsia="zh-TW"/>
        </w:rPr>
        <w:t>s and also by the legislature</w:t>
      </w:r>
      <w:r w:rsidR="0084561B" w:rsidRPr="00EE5050">
        <w:rPr>
          <w:rFonts w:eastAsia="PMingLiU"/>
          <w:lang w:val="en-GB" w:eastAsia="zh-TW"/>
        </w:rPr>
        <w:t>)</w:t>
      </w:r>
      <w:r w:rsidR="00C8715C" w:rsidRPr="00EE5050">
        <w:rPr>
          <w:rFonts w:eastAsia="PMingLiU"/>
          <w:lang w:val="en-GB" w:eastAsia="zh-TW"/>
        </w:rPr>
        <w:t xml:space="preserve">. </w:t>
      </w:r>
      <w:r w:rsidR="0084561B" w:rsidRPr="00EE5050">
        <w:rPr>
          <w:rFonts w:eastAsia="PMingLiU"/>
          <w:lang w:val="en-GB" w:eastAsia="zh-TW"/>
        </w:rPr>
        <w:t xml:space="preserve">In fact, </w:t>
      </w:r>
      <w:proofErr w:type="spellStart"/>
      <w:r w:rsidR="0084561B" w:rsidRPr="00EE5050">
        <w:rPr>
          <w:rFonts w:eastAsia="PMingLiU"/>
          <w:lang w:val="en-GB" w:eastAsia="zh-TW"/>
        </w:rPr>
        <w:lastRenderedPageBreak/>
        <w:t>Tushnet</w:t>
      </w:r>
      <w:proofErr w:type="spellEnd"/>
      <w:r w:rsidR="0084561B" w:rsidRPr="00EE5050">
        <w:rPr>
          <w:rFonts w:eastAsia="PMingLiU"/>
          <w:lang w:val="en-GB" w:eastAsia="zh-TW"/>
        </w:rPr>
        <w:t xml:space="preserve"> argues that legislative discussion of the right to privacy </w:t>
      </w:r>
      <w:r w:rsidR="00AC357A">
        <w:rPr>
          <w:rFonts w:eastAsia="PMingLiU"/>
          <w:lang w:val="en-GB" w:eastAsia="zh-TW"/>
        </w:rPr>
        <w:t>‘</w:t>
      </w:r>
      <w:r w:rsidR="0084561B" w:rsidRPr="00EE5050">
        <w:rPr>
          <w:rFonts w:eastAsia="PMingLiU"/>
          <w:lang w:val="en-GB" w:eastAsia="zh-TW"/>
        </w:rPr>
        <w:t>ga</w:t>
      </w:r>
      <w:r w:rsidR="00A51532" w:rsidRPr="00EE5050">
        <w:rPr>
          <w:rFonts w:eastAsia="PMingLiU"/>
          <w:lang w:val="en-GB" w:eastAsia="zh-TW"/>
        </w:rPr>
        <w:t>ve a firmer basis to such rights than the Court</w:t>
      </w:r>
      <w:r w:rsidR="00AC357A">
        <w:rPr>
          <w:rFonts w:eastAsia="PMingLiU"/>
          <w:lang w:val="en-GB" w:eastAsia="zh-TW"/>
        </w:rPr>
        <w:t>’</w:t>
      </w:r>
      <w:r w:rsidR="00A51532" w:rsidRPr="00EE5050">
        <w:rPr>
          <w:rFonts w:eastAsia="PMingLiU"/>
          <w:lang w:val="en-GB" w:eastAsia="zh-TW"/>
        </w:rPr>
        <w:t>s own decisions</w:t>
      </w:r>
      <w:r w:rsidR="00AC357A">
        <w:rPr>
          <w:rFonts w:eastAsia="PMingLiU"/>
          <w:lang w:val="en-GB" w:eastAsia="zh-TW"/>
        </w:rPr>
        <w:t>’</w:t>
      </w:r>
      <w:r w:rsidR="00A51532" w:rsidRPr="00EE5050">
        <w:rPr>
          <w:rFonts w:eastAsia="PMingLiU"/>
          <w:lang w:val="en-GB" w:eastAsia="zh-TW"/>
        </w:rPr>
        <w:t>.</w:t>
      </w:r>
      <w:r w:rsidR="00A51532" w:rsidRPr="00EE5050">
        <w:rPr>
          <w:rStyle w:val="FootnoteReference"/>
          <w:rFonts w:eastAsia="PMingLiU"/>
          <w:lang w:val="en-GB" w:eastAsia="zh-TW"/>
        </w:rPr>
        <w:footnoteReference w:id="69"/>
      </w:r>
    </w:p>
    <w:p w14:paraId="09DC3CF2" w14:textId="4849E581" w:rsidR="003770C6" w:rsidRPr="00EE5050" w:rsidRDefault="00C04475"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Baxter takes the problems of judicial overhang further, noting that it </w:t>
      </w:r>
      <w:r w:rsidR="00AC357A">
        <w:rPr>
          <w:rFonts w:eastAsia="PMingLiU"/>
          <w:lang w:val="en-GB" w:eastAsia="zh-TW"/>
        </w:rPr>
        <w:t>‘</w:t>
      </w:r>
      <w:r w:rsidR="00C8715C" w:rsidRPr="00EE5050">
        <w:rPr>
          <w:rFonts w:eastAsia="PMingLiU"/>
          <w:lang w:val="en-GB" w:eastAsia="zh-TW"/>
        </w:rPr>
        <w:t>is not just a problem of metrics for those who would determine Congress</w:t>
      </w:r>
      <w:r w:rsidR="00AC357A">
        <w:rPr>
          <w:rFonts w:eastAsia="PMingLiU"/>
          <w:lang w:val="en-GB" w:eastAsia="zh-TW"/>
        </w:rPr>
        <w:t>’</w:t>
      </w:r>
      <w:r w:rsidR="00C8715C" w:rsidRPr="00EE5050">
        <w:rPr>
          <w:rFonts w:eastAsia="PMingLiU"/>
          <w:lang w:val="en-GB" w:eastAsia="zh-TW"/>
        </w:rPr>
        <w:t xml:space="preserve">s capacity for constitutional interpretation. It is also, more </w:t>
      </w:r>
      <w:r w:rsidR="00C8715C" w:rsidRPr="00DD29D4">
        <w:rPr>
          <w:rFonts w:eastAsia="PMingLiU"/>
          <w:lang w:val="en-GB" w:eastAsia="zh-TW"/>
        </w:rPr>
        <w:t>important</w:t>
      </w:r>
      <w:r w:rsidR="00EC4B65" w:rsidRPr="00DD29D4">
        <w:rPr>
          <w:rFonts w:eastAsia="PMingLiU"/>
          <w:lang w:val="en-GB" w:eastAsia="zh-TW"/>
        </w:rPr>
        <w:t>ly</w:t>
      </w:r>
      <w:r w:rsidR="00C8715C" w:rsidRPr="00EE5050">
        <w:rPr>
          <w:rFonts w:eastAsia="PMingLiU"/>
          <w:lang w:val="en-GB" w:eastAsia="zh-TW"/>
        </w:rPr>
        <w:t>, a circumstance that likely prevents Congres</w:t>
      </w:r>
      <w:r w:rsidR="00746CD7" w:rsidRPr="00EE5050">
        <w:rPr>
          <w:rFonts w:eastAsia="PMingLiU"/>
          <w:lang w:val="en-GB" w:eastAsia="zh-TW"/>
        </w:rPr>
        <w:t>s from developing its capacity</w:t>
      </w:r>
      <w:r w:rsidR="00AC357A">
        <w:rPr>
          <w:rFonts w:eastAsia="PMingLiU"/>
          <w:lang w:val="en-GB" w:eastAsia="zh-TW"/>
        </w:rPr>
        <w:t>’</w:t>
      </w:r>
      <w:r w:rsidR="00746CD7" w:rsidRPr="00EE5050">
        <w:rPr>
          <w:rFonts w:eastAsia="PMingLiU"/>
          <w:lang w:val="en-GB" w:eastAsia="zh-TW"/>
        </w:rPr>
        <w:t>.</w:t>
      </w:r>
      <w:r w:rsidRPr="00EE5050">
        <w:rPr>
          <w:rStyle w:val="FootnoteReference"/>
          <w:rFonts w:eastAsia="PMingLiU"/>
          <w:lang w:val="en-GB" w:eastAsia="zh-TW"/>
        </w:rPr>
        <w:footnoteReference w:id="70"/>
      </w:r>
      <w:r w:rsidR="00746CD7" w:rsidRPr="00EE5050">
        <w:rPr>
          <w:rFonts w:eastAsia="PMingLiU"/>
          <w:lang w:val="en-GB" w:eastAsia="zh-TW"/>
        </w:rPr>
        <w:t xml:space="preserve"> </w:t>
      </w:r>
      <w:r w:rsidRPr="00EE5050">
        <w:rPr>
          <w:rFonts w:eastAsia="PMingLiU"/>
          <w:lang w:val="en-GB" w:eastAsia="zh-TW"/>
        </w:rPr>
        <w:t xml:space="preserve">He further notes that </w:t>
      </w:r>
      <w:r w:rsidR="00AC357A">
        <w:rPr>
          <w:rFonts w:eastAsia="PMingLiU"/>
          <w:lang w:val="en-GB" w:eastAsia="zh-TW"/>
        </w:rPr>
        <w:t>‘</w:t>
      </w:r>
      <w:r w:rsidRPr="00EE5050">
        <w:rPr>
          <w:rFonts w:eastAsia="PMingLiU"/>
          <w:lang w:val="en-GB" w:eastAsia="zh-TW"/>
        </w:rPr>
        <w:t>[r]</w:t>
      </w:r>
      <w:proofErr w:type="spellStart"/>
      <w:r w:rsidR="00C8715C" w:rsidRPr="00EE5050">
        <w:rPr>
          <w:rFonts w:eastAsia="PMingLiU"/>
          <w:lang w:val="en-GB" w:eastAsia="zh-TW"/>
        </w:rPr>
        <w:t>eference</w:t>
      </w:r>
      <w:proofErr w:type="spellEnd"/>
      <w:r w:rsidR="00C8715C" w:rsidRPr="00EE5050">
        <w:rPr>
          <w:rFonts w:eastAsia="PMingLiU"/>
          <w:lang w:val="en-GB" w:eastAsia="zh-TW"/>
        </w:rPr>
        <w:t xml:space="preserve"> to constitutional issues and concerns is a necessary, but not sufficient, criterion for adequate constitutional analysis. Having </w:t>
      </w:r>
      <w:r w:rsidR="0053111B">
        <w:rPr>
          <w:rFonts w:eastAsia="PMingLiU"/>
          <w:lang w:val="en-GB" w:eastAsia="zh-TW"/>
        </w:rPr>
        <w:t>‘</w:t>
      </w:r>
      <w:r w:rsidR="00C8715C" w:rsidRPr="00EE5050">
        <w:rPr>
          <w:rFonts w:eastAsia="PMingLiU"/>
          <w:lang w:val="en-GB" w:eastAsia="zh-TW"/>
        </w:rPr>
        <w:t>the Constitution and constituti</w:t>
      </w:r>
      <w:r w:rsidR="00746CD7" w:rsidRPr="00EE5050">
        <w:rPr>
          <w:rFonts w:eastAsia="PMingLiU"/>
          <w:lang w:val="en-GB" w:eastAsia="zh-TW"/>
        </w:rPr>
        <w:t>onalism in mind</w:t>
      </w:r>
      <w:r w:rsidR="0053111B">
        <w:rPr>
          <w:rFonts w:eastAsia="PMingLiU"/>
          <w:lang w:val="en-GB" w:eastAsia="zh-TW"/>
        </w:rPr>
        <w:t>’</w:t>
      </w:r>
      <w:r w:rsidR="00746CD7" w:rsidRPr="00EE5050">
        <w:rPr>
          <w:rFonts w:eastAsia="PMingLiU"/>
          <w:lang w:val="en-GB" w:eastAsia="zh-TW"/>
        </w:rPr>
        <w:t xml:space="preserve"> is not enough</w:t>
      </w:r>
      <w:r w:rsidR="00C8490D">
        <w:rPr>
          <w:rFonts w:eastAsia="PMingLiU"/>
          <w:lang w:val="en-GB" w:eastAsia="zh-TW"/>
        </w:rPr>
        <w:t>’</w:t>
      </w:r>
      <w:r w:rsidR="00746CD7" w:rsidRPr="00EE5050">
        <w:rPr>
          <w:rFonts w:eastAsia="PMingLiU"/>
          <w:lang w:val="en-GB" w:eastAsia="zh-TW"/>
        </w:rPr>
        <w:t>.</w:t>
      </w:r>
      <w:r w:rsidRPr="00EE5050">
        <w:rPr>
          <w:rStyle w:val="FootnoteReference"/>
          <w:rFonts w:eastAsia="PMingLiU"/>
          <w:lang w:val="en-GB" w:eastAsia="zh-TW"/>
        </w:rPr>
        <w:footnoteReference w:id="71"/>
      </w:r>
      <w:r w:rsidR="003928D2" w:rsidRPr="00EE5050">
        <w:rPr>
          <w:rFonts w:eastAsia="PMingLiU"/>
          <w:lang w:val="en-GB" w:eastAsia="zh-TW"/>
        </w:rPr>
        <w:t xml:space="preserve"> </w:t>
      </w:r>
      <w:r w:rsidR="007A362C" w:rsidRPr="00EE5050">
        <w:rPr>
          <w:rFonts w:eastAsia="PMingLiU"/>
          <w:lang w:val="en-GB" w:eastAsia="zh-TW"/>
        </w:rPr>
        <w:t>Baxter</w:t>
      </w:r>
      <w:r w:rsidR="00AC357A">
        <w:rPr>
          <w:rFonts w:eastAsia="PMingLiU"/>
          <w:lang w:val="en-GB" w:eastAsia="zh-TW"/>
        </w:rPr>
        <w:t>’</w:t>
      </w:r>
      <w:r w:rsidR="007A362C" w:rsidRPr="00EE5050">
        <w:rPr>
          <w:rFonts w:eastAsia="PMingLiU"/>
          <w:lang w:val="en-GB" w:eastAsia="zh-TW"/>
        </w:rPr>
        <w:t xml:space="preserve">s criticisms </w:t>
      </w:r>
      <w:r w:rsidR="003928D2" w:rsidRPr="00EE5050">
        <w:rPr>
          <w:rFonts w:eastAsia="PMingLiU"/>
          <w:lang w:val="en-GB" w:eastAsia="zh-TW"/>
        </w:rPr>
        <w:t>coincide with this article</w:t>
      </w:r>
      <w:r w:rsidR="00AC357A">
        <w:rPr>
          <w:rFonts w:eastAsia="PMingLiU"/>
          <w:lang w:val="en-GB" w:eastAsia="zh-TW"/>
        </w:rPr>
        <w:t>’</w:t>
      </w:r>
      <w:r w:rsidR="003928D2" w:rsidRPr="00EE5050">
        <w:rPr>
          <w:rFonts w:eastAsia="PMingLiU"/>
          <w:lang w:val="en-GB" w:eastAsia="zh-TW"/>
        </w:rPr>
        <w:t xml:space="preserve">s main points: that Taiwan relies too heavily on judicial review and this is stifling constitutional discussion and </w:t>
      </w:r>
      <w:r w:rsidR="0030517F" w:rsidRPr="00EE5050">
        <w:rPr>
          <w:rFonts w:eastAsia="PMingLiU"/>
          <w:lang w:val="en-GB" w:eastAsia="zh-TW"/>
        </w:rPr>
        <w:t>scrutiny</w:t>
      </w:r>
      <w:r w:rsidR="003928D2" w:rsidRPr="00EE5050">
        <w:rPr>
          <w:rFonts w:eastAsia="PMingLiU"/>
          <w:lang w:val="en-GB" w:eastAsia="zh-TW"/>
        </w:rPr>
        <w:t xml:space="preserve"> in the Legislative Yuan. </w:t>
      </w:r>
    </w:p>
    <w:p w14:paraId="611AC2DD" w14:textId="77777777" w:rsidR="003C5AEA" w:rsidRPr="00EE5050" w:rsidRDefault="003C5AEA" w:rsidP="003770C6">
      <w:pPr>
        <w:pStyle w:val="NoSpacing"/>
        <w:tabs>
          <w:tab w:val="left" w:pos="993"/>
          <w:tab w:val="left" w:pos="1440"/>
        </w:tabs>
        <w:spacing w:line="480" w:lineRule="auto"/>
        <w:ind w:firstLineChars="118" w:firstLine="283"/>
        <w:jc w:val="both"/>
        <w:rPr>
          <w:rFonts w:eastAsia="PMingLiU"/>
          <w:lang w:val="en-GB" w:eastAsia="zh-TW"/>
        </w:rPr>
      </w:pPr>
    </w:p>
    <w:p w14:paraId="5AB285E7" w14:textId="1C656764" w:rsidR="00A54076" w:rsidRPr="00B54191" w:rsidRDefault="007521EB" w:rsidP="00B54191">
      <w:pPr>
        <w:pStyle w:val="NoSpacing"/>
        <w:tabs>
          <w:tab w:val="left" w:pos="720"/>
          <w:tab w:val="left" w:pos="1560"/>
        </w:tabs>
        <w:jc w:val="both"/>
        <w:rPr>
          <w:rFonts w:ascii="Palatino Linotype" w:eastAsia="PMingLiU" w:hAnsi="Palatino Linotype"/>
          <w:b/>
          <w:i/>
          <w:sz w:val="28"/>
          <w:szCs w:val="28"/>
          <w:lang w:val="en-GB" w:eastAsia="zh-TW"/>
        </w:rPr>
      </w:pPr>
      <w:r w:rsidRPr="00B54191">
        <w:rPr>
          <w:rFonts w:ascii="Palatino Linotype" w:eastAsia="PMingLiU" w:hAnsi="Palatino Linotype"/>
          <w:b/>
          <w:i/>
          <w:sz w:val="28"/>
          <w:szCs w:val="28"/>
          <w:lang w:val="en-GB" w:eastAsia="zh-TW"/>
        </w:rPr>
        <w:t>D.  </w:t>
      </w:r>
      <w:r w:rsidR="00681A57" w:rsidRPr="00B54191">
        <w:rPr>
          <w:rFonts w:ascii="Palatino Linotype" w:eastAsia="PMingLiU" w:hAnsi="Palatino Linotype"/>
          <w:b/>
          <w:i/>
          <w:sz w:val="28"/>
          <w:szCs w:val="28"/>
          <w:lang w:val="en-GB" w:eastAsia="zh-TW"/>
        </w:rPr>
        <w:t xml:space="preserve">Legislative Yuan interpretative authority </w:t>
      </w:r>
      <w:r w:rsidRPr="00C8490D">
        <w:rPr>
          <w:rFonts w:ascii="Palatino Linotype" w:eastAsia="PMingLiU" w:hAnsi="Palatino Linotype"/>
          <w:b/>
          <w:i/>
          <w:sz w:val="28"/>
          <w:szCs w:val="28"/>
          <w:lang w:val="en-GB" w:eastAsia="zh-TW"/>
        </w:rPr>
        <w:t xml:space="preserve">and </w:t>
      </w:r>
      <w:r w:rsidR="00681A57" w:rsidRPr="00B54191">
        <w:rPr>
          <w:rFonts w:ascii="Palatino Linotype" w:eastAsia="PMingLiU" w:hAnsi="Palatino Linotype"/>
          <w:b/>
          <w:i/>
          <w:sz w:val="28"/>
          <w:szCs w:val="28"/>
          <w:lang w:val="en-GB" w:eastAsia="zh-TW"/>
        </w:rPr>
        <w:t>the d</w:t>
      </w:r>
      <w:r w:rsidR="00A54076" w:rsidRPr="00B54191">
        <w:rPr>
          <w:rFonts w:ascii="Palatino Linotype" w:eastAsia="PMingLiU" w:hAnsi="Palatino Linotype"/>
          <w:b/>
          <w:i/>
          <w:sz w:val="28"/>
          <w:szCs w:val="28"/>
          <w:lang w:val="en-GB" w:eastAsia="zh-TW"/>
        </w:rPr>
        <w:t>ominance of Taiwan</w:t>
      </w:r>
      <w:r w:rsidR="00AC357A" w:rsidRPr="00B54191">
        <w:rPr>
          <w:rFonts w:ascii="Palatino Linotype" w:eastAsia="PMingLiU" w:hAnsi="Palatino Linotype"/>
          <w:b/>
          <w:i/>
          <w:sz w:val="28"/>
          <w:szCs w:val="28"/>
          <w:lang w:val="en-GB" w:eastAsia="zh-TW"/>
        </w:rPr>
        <w:t>’</w:t>
      </w:r>
      <w:r w:rsidR="00A54076" w:rsidRPr="00B54191">
        <w:rPr>
          <w:rFonts w:ascii="Palatino Linotype" w:eastAsia="PMingLiU" w:hAnsi="Palatino Linotype"/>
          <w:b/>
          <w:i/>
          <w:sz w:val="28"/>
          <w:szCs w:val="28"/>
          <w:lang w:val="en-GB" w:eastAsia="zh-TW"/>
        </w:rPr>
        <w:t>s Constitutional Court</w:t>
      </w:r>
    </w:p>
    <w:p w14:paraId="0DC7E528" w14:textId="77777777" w:rsidR="00F5372E" w:rsidRPr="00EE5050" w:rsidRDefault="00F5372E" w:rsidP="00F5372E">
      <w:pPr>
        <w:pStyle w:val="NoSpacing"/>
        <w:tabs>
          <w:tab w:val="left" w:pos="720"/>
          <w:tab w:val="left" w:pos="1560"/>
        </w:tabs>
        <w:jc w:val="both"/>
        <w:rPr>
          <w:rFonts w:ascii="Palatino Linotype" w:eastAsia="PMingLiU" w:hAnsi="Palatino Linotype"/>
          <w:smallCaps/>
          <w:sz w:val="32"/>
          <w:lang w:val="en-GB" w:eastAsia="zh-TW"/>
        </w:rPr>
      </w:pPr>
    </w:p>
    <w:p w14:paraId="48AEFB22" w14:textId="1C061799" w:rsidR="00A54076" w:rsidRPr="00EE5050" w:rsidRDefault="00A54076" w:rsidP="00A54076">
      <w:pPr>
        <w:pStyle w:val="NoSpacing"/>
        <w:tabs>
          <w:tab w:val="left" w:pos="720"/>
          <w:tab w:val="left" w:pos="1440"/>
        </w:tabs>
        <w:spacing w:line="480" w:lineRule="auto"/>
        <w:jc w:val="both"/>
        <w:rPr>
          <w:rFonts w:eastAsia="PMingLiU"/>
          <w:lang w:val="en-GB" w:eastAsia="zh-TW"/>
        </w:rPr>
      </w:pPr>
      <w:r w:rsidRPr="00EE5050">
        <w:rPr>
          <w:rFonts w:eastAsia="PMingLiU"/>
          <w:lang w:val="en-GB" w:eastAsia="zh-TW"/>
        </w:rPr>
        <w:t xml:space="preserve">Above </w:t>
      </w:r>
      <w:r w:rsidR="001D60EE">
        <w:rPr>
          <w:rFonts w:eastAsia="PMingLiU"/>
          <w:lang w:val="en-GB" w:eastAsia="zh-TW"/>
        </w:rPr>
        <w:t>it was</w:t>
      </w:r>
      <w:r w:rsidR="001D60EE" w:rsidRPr="00EE5050">
        <w:rPr>
          <w:rFonts w:eastAsia="PMingLiU"/>
          <w:lang w:val="en-GB" w:eastAsia="zh-TW"/>
        </w:rPr>
        <w:t xml:space="preserve"> </w:t>
      </w:r>
      <w:r w:rsidR="00961B2A" w:rsidRPr="00EE5050">
        <w:rPr>
          <w:rFonts w:eastAsia="PMingLiU"/>
          <w:lang w:val="en-GB" w:eastAsia="zh-TW"/>
        </w:rPr>
        <w:t>stated</w:t>
      </w:r>
      <w:r w:rsidRPr="00EE5050">
        <w:rPr>
          <w:rFonts w:eastAsia="PMingLiU"/>
          <w:lang w:val="en-GB" w:eastAsia="zh-TW"/>
        </w:rPr>
        <w:t xml:space="preserve"> </w:t>
      </w:r>
      <w:r w:rsidR="001D60EE">
        <w:rPr>
          <w:rFonts w:eastAsia="PMingLiU"/>
          <w:lang w:val="en-GB" w:eastAsia="zh-TW"/>
        </w:rPr>
        <w:t xml:space="preserve">that </w:t>
      </w:r>
      <w:r w:rsidRPr="00EE5050">
        <w:rPr>
          <w:rFonts w:eastAsia="PMingLiU"/>
          <w:lang w:val="en-GB" w:eastAsia="zh-TW"/>
        </w:rPr>
        <w:t>Taiwan e</w:t>
      </w:r>
      <w:r w:rsidR="00961B2A" w:rsidRPr="00EE5050">
        <w:rPr>
          <w:rFonts w:eastAsia="PMingLiU"/>
          <w:lang w:val="en-GB" w:eastAsia="zh-TW"/>
        </w:rPr>
        <w:t>xercises strong judicial review</w:t>
      </w:r>
      <w:r w:rsidRPr="00EE5050">
        <w:rPr>
          <w:rFonts w:eastAsia="PMingLiU"/>
          <w:lang w:val="en-GB" w:eastAsia="zh-TW"/>
        </w:rPr>
        <w:t xml:space="preserve"> with weak parliamentary authority in re</w:t>
      </w:r>
      <w:r w:rsidR="00442A20" w:rsidRPr="00EE5050">
        <w:rPr>
          <w:rFonts w:eastAsia="PMingLiU"/>
          <w:lang w:val="en-GB" w:eastAsia="zh-TW"/>
        </w:rPr>
        <w:t xml:space="preserve">gard to constitutional matters and </w:t>
      </w:r>
      <w:r w:rsidR="00502561">
        <w:rPr>
          <w:rFonts w:eastAsia="PMingLiU"/>
          <w:lang w:val="en-GB" w:eastAsia="zh-TW"/>
        </w:rPr>
        <w:t xml:space="preserve">it was </w:t>
      </w:r>
      <w:r w:rsidR="00442A20" w:rsidRPr="00EE5050">
        <w:rPr>
          <w:rFonts w:eastAsia="PMingLiU"/>
          <w:lang w:val="en-GB" w:eastAsia="zh-TW"/>
        </w:rPr>
        <w:t xml:space="preserve">also noted that the Taiwanese standard of constitutional review </w:t>
      </w:r>
      <w:r w:rsidR="00F22A9D" w:rsidRPr="00EE5050">
        <w:rPr>
          <w:rFonts w:eastAsia="PMingLiU"/>
          <w:lang w:val="en-GB" w:eastAsia="zh-TW"/>
        </w:rPr>
        <w:t xml:space="preserve">has been </w:t>
      </w:r>
      <w:r w:rsidR="00B554E6" w:rsidRPr="00EE5050">
        <w:rPr>
          <w:rFonts w:eastAsia="PMingLiU"/>
          <w:lang w:val="en-GB" w:eastAsia="zh-TW"/>
        </w:rPr>
        <w:t xml:space="preserve">heavily </w:t>
      </w:r>
      <w:r w:rsidR="00F22A9D" w:rsidRPr="00EE5050">
        <w:rPr>
          <w:rFonts w:eastAsia="PMingLiU"/>
          <w:lang w:val="en-GB" w:eastAsia="zh-TW"/>
        </w:rPr>
        <w:t>influenced by</w:t>
      </w:r>
      <w:r w:rsidR="00442A20" w:rsidRPr="00EE5050">
        <w:rPr>
          <w:rFonts w:eastAsia="PMingLiU"/>
          <w:lang w:val="en-GB" w:eastAsia="zh-TW"/>
        </w:rPr>
        <w:t xml:space="preserve"> America</w:t>
      </w:r>
      <w:r w:rsidR="00AC357A">
        <w:rPr>
          <w:rFonts w:eastAsia="PMingLiU"/>
          <w:lang w:val="en-GB" w:eastAsia="zh-TW"/>
        </w:rPr>
        <w:t>’</w:t>
      </w:r>
      <w:r w:rsidR="00442A20" w:rsidRPr="00EE5050">
        <w:rPr>
          <w:rFonts w:eastAsia="PMingLiU"/>
          <w:lang w:val="en-GB" w:eastAsia="zh-TW"/>
        </w:rPr>
        <w:t>s</w:t>
      </w:r>
      <w:r w:rsidRPr="00EE5050">
        <w:rPr>
          <w:rFonts w:eastAsia="PMingLiU"/>
          <w:lang w:val="en-GB" w:eastAsia="zh-TW"/>
        </w:rPr>
        <w:t>.</w:t>
      </w:r>
      <w:r w:rsidR="00F22A9D" w:rsidRPr="00EE5050">
        <w:rPr>
          <w:rFonts w:eastAsia="PMingLiU"/>
          <w:lang w:val="en-GB" w:eastAsia="zh-TW"/>
        </w:rPr>
        <w:t xml:space="preserve"> But</w:t>
      </w:r>
      <w:r w:rsidRPr="00EE5050">
        <w:rPr>
          <w:rFonts w:eastAsia="PMingLiU"/>
          <w:lang w:val="en-GB" w:eastAsia="zh-TW"/>
        </w:rPr>
        <w:t xml:space="preserve"> </w:t>
      </w:r>
      <w:r w:rsidR="00A027B4" w:rsidRPr="00EE5050">
        <w:rPr>
          <w:rFonts w:eastAsia="PMingLiU"/>
          <w:lang w:val="en-GB" w:eastAsia="zh-TW"/>
        </w:rPr>
        <w:t xml:space="preserve">critical </w:t>
      </w:r>
      <w:r w:rsidRPr="00EE5050">
        <w:rPr>
          <w:rFonts w:eastAsia="PMingLiU"/>
          <w:lang w:val="en-GB" w:eastAsia="zh-TW"/>
        </w:rPr>
        <w:t>structure</w:t>
      </w:r>
      <w:r w:rsidR="00961B2A" w:rsidRPr="00EE5050">
        <w:rPr>
          <w:rFonts w:eastAsia="PMingLiU"/>
          <w:lang w:val="en-GB" w:eastAsia="zh-TW"/>
        </w:rPr>
        <w:t xml:space="preserve">s of Taiwanese judicial review </w:t>
      </w:r>
      <w:r w:rsidR="00F22A9D" w:rsidRPr="00EE5050">
        <w:rPr>
          <w:rFonts w:eastAsia="PMingLiU"/>
          <w:lang w:val="en-GB" w:eastAsia="zh-TW"/>
        </w:rPr>
        <w:t>are</w:t>
      </w:r>
      <w:r w:rsidRPr="00EE5050">
        <w:rPr>
          <w:rFonts w:eastAsia="PMingLiU"/>
          <w:lang w:val="en-GB" w:eastAsia="zh-TW"/>
        </w:rPr>
        <w:t xml:space="preserve"> much stronger than the US model. </w:t>
      </w:r>
      <w:r w:rsidR="006B24BD" w:rsidRPr="00EE5050">
        <w:rPr>
          <w:rFonts w:eastAsia="PMingLiU"/>
          <w:lang w:val="en-GB" w:eastAsia="zh-TW"/>
        </w:rPr>
        <w:t xml:space="preserve">As </w:t>
      </w:r>
      <w:r w:rsidR="001650CE" w:rsidRPr="00EE5050">
        <w:rPr>
          <w:rFonts w:eastAsia="PMingLiU"/>
          <w:lang w:val="en-GB" w:eastAsia="zh-TW"/>
        </w:rPr>
        <w:t>Lo</w:t>
      </w:r>
      <w:r w:rsidR="006B24BD" w:rsidRPr="00EE5050">
        <w:rPr>
          <w:rFonts w:eastAsia="PMingLiU"/>
          <w:lang w:val="en-GB" w:eastAsia="zh-TW"/>
        </w:rPr>
        <w:t xml:space="preserve"> points out, the system of constitutional review in Taiwan </w:t>
      </w:r>
      <w:r w:rsidR="00F22A9D" w:rsidRPr="00EE5050">
        <w:rPr>
          <w:rFonts w:eastAsia="PMingLiU"/>
          <w:lang w:val="en-GB" w:eastAsia="zh-TW"/>
        </w:rPr>
        <w:t>is</w:t>
      </w:r>
      <w:r w:rsidR="006B24BD" w:rsidRPr="00EE5050">
        <w:rPr>
          <w:rFonts w:eastAsia="PMingLiU"/>
          <w:lang w:val="en-GB" w:eastAsia="zh-TW"/>
        </w:rPr>
        <w:t xml:space="preserve"> more similar to Germany and Austria.</w:t>
      </w:r>
      <w:r w:rsidR="006B24BD" w:rsidRPr="00EE5050">
        <w:rPr>
          <w:rStyle w:val="FootnoteReference"/>
          <w:rFonts w:eastAsia="PMingLiU"/>
          <w:lang w:val="en-GB" w:eastAsia="zh-TW"/>
        </w:rPr>
        <w:footnoteReference w:id="72"/>
      </w:r>
      <w:r w:rsidR="006B24BD" w:rsidRPr="00EE5050">
        <w:rPr>
          <w:rFonts w:eastAsia="PMingLiU"/>
          <w:lang w:val="en-GB" w:eastAsia="zh-TW"/>
        </w:rPr>
        <w:t xml:space="preserve"> </w:t>
      </w:r>
      <w:r w:rsidRPr="00EE5050">
        <w:rPr>
          <w:rFonts w:eastAsia="PMingLiU"/>
          <w:lang w:val="en-GB" w:eastAsia="zh-TW"/>
        </w:rPr>
        <w:t xml:space="preserve">For one, direct interpretive authority for constitutional matters is not located in </w:t>
      </w:r>
      <w:r w:rsidRPr="00EE5050">
        <w:rPr>
          <w:rFonts w:eastAsia="PMingLiU"/>
          <w:lang w:val="en-GB" w:eastAsia="zh-TW"/>
        </w:rPr>
        <w:lastRenderedPageBreak/>
        <w:t>the US Constitu</w:t>
      </w:r>
      <w:r w:rsidR="00AE4CD5" w:rsidRPr="00EE5050">
        <w:rPr>
          <w:rFonts w:eastAsia="PMingLiU"/>
          <w:lang w:val="en-GB" w:eastAsia="zh-TW"/>
        </w:rPr>
        <w:t>tion</w:t>
      </w:r>
      <w:r w:rsidR="00B554E6" w:rsidRPr="00EE5050">
        <w:rPr>
          <w:rFonts w:eastAsia="PMingLiU"/>
          <w:lang w:val="en-GB" w:eastAsia="zh-TW"/>
        </w:rPr>
        <w:t>;</w:t>
      </w:r>
      <w:r w:rsidR="00AE4CD5" w:rsidRPr="00EE5050">
        <w:rPr>
          <w:rFonts w:eastAsia="PMingLiU"/>
          <w:lang w:val="en-GB" w:eastAsia="zh-TW"/>
        </w:rPr>
        <w:t xml:space="preserve"> t</w:t>
      </w:r>
      <w:r w:rsidR="00225CC9" w:rsidRPr="00EE5050">
        <w:rPr>
          <w:rFonts w:eastAsia="PMingLiU"/>
          <w:lang w:val="en-GB" w:eastAsia="zh-TW"/>
        </w:rPr>
        <w:t xml:space="preserve">he </w:t>
      </w:r>
      <w:r w:rsidRPr="00EE5050">
        <w:rPr>
          <w:rFonts w:eastAsia="PMingLiU"/>
          <w:lang w:val="en-GB" w:eastAsia="zh-TW"/>
        </w:rPr>
        <w:t xml:space="preserve">Court </w:t>
      </w:r>
      <w:r w:rsidR="00E87105" w:rsidRPr="00EE5050">
        <w:rPr>
          <w:rFonts w:eastAsia="PMingLiU"/>
          <w:lang w:val="en-GB" w:eastAsia="zh-TW"/>
        </w:rPr>
        <w:t>established this power</w:t>
      </w:r>
      <w:r w:rsidR="00225CC9" w:rsidRPr="00EE5050">
        <w:rPr>
          <w:rFonts w:eastAsia="PMingLiU"/>
          <w:lang w:val="en-GB" w:eastAsia="zh-TW"/>
        </w:rPr>
        <w:t xml:space="preserve"> through one of </w:t>
      </w:r>
      <w:r w:rsidR="00985439" w:rsidRPr="00EE5050">
        <w:rPr>
          <w:rFonts w:eastAsia="PMingLiU"/>
          <w:lang w:val="en-GB" w:eastAsia="zh-TW"/>
        </w:rPr>
        <w:t>its</w:t>
      </w:r>
      <w:r w:rsidR="00225CC9" w:rsidRPr="00EE5050">
        <w:rPr>
          <w:rFonts w:eastAsia="PMingLiU"/>
          <w:lang w:val="en-GB" w:eastAsia="zh-TW"/>
        </w:rPr>
        <w:t xml:space="preserve"> own </w:t>
      </w:r>
      <w:r w:rsidRPr="00EE5050">
        <w:rPr>
          <w:rFonts w:eastAsia="PMingLiU"/>
          <w:lang w:val="en-GB" w:eastAsia="zh-TW"/>
        </w:rPr>
        <w:t>decision</w:t>
      </w:r>
      <w:r w:rsidR="00225CC9" w:rsidRPr="00EE5050">
        <w:rPr>
          <w:rFonts w:eastAsia="PMingLiU"/>
          <w:lang w:val="en-GB" w:eastAsia="zh-TW"/>
        </w:rPr>
        <w:t>s</w:t>
      </w:r>
      <w:r w:rsidRPr="00EE5050">
        <w:rPr>
          <w:rFonts w:eastAsia="PMingLiU"/>
          <w:lang w:val="en-GB" w:eastAsia="zh-TW"/>
        </w:rPr>
        <w:t>.</w:t>
      </w:r>
      <w:r w:rsidRPr="00EE5050">
        <w:rPr>
          <w:rStyle w:val="FootnoteReference"/>
          <w:rFonts w:eastAsia="PMingLiU"/>
          <w:lang w:val="en-GB" w:eastAsia="zh-TW"/>
        </w:rPr>
        <w:footnoteReference w:id="73"/>
      </w:r>
      <w:r w:rsidRPr="00EE5050">
        <w:rPr>
          <w:rFonts w:eastAsia="PMingLiU"/>
          <w:lang w:val="en-GB" w:eastAsia="zh-TW"/>
        </w:rPr>
        <w:t xml:space="preserve"> Taiwan</w:t>
      </w:r>
      <w:r w:rsidR="00AC357A">
        <w:rPr>
          <w:rFonts w:eastAsia="PMingLiU"/>
          <w:lang w:val="en-GB" w:eastAsia="zh-TW"/>
        </w:rPr>
        <w:t>’</w:t>
      </w:r>
      <w:r w:rsidRPr="00EE5050">
        <w:rPr>
          <w:rFonts w:eastAsia="PMingLiU"/>
          <w:lang w:val="en-GB" w:eastAsia="zh-TW"/>
        </w:rPr>
        <w:t xml:space="preserve">s Constitutional Court </w:t>
      </w:r>
      <w:r w:rsidR="00A027B4" w:rsidRPr="00EE5050">
        <w:rPr>
          <w:rFonts w:eastAsia="PMingLiU"/>
          <w:lang w:val="en-GB" w:eastAsia="zh-TW"/>
        </w:rPr>
        <w:t>contains</w:t>
      </w:r>
      <w:r w:rsidRPr="00EE5050">
        <w:rPr>
          <w:rFonts w:eastAsia="PMingLiU"/>
          <w:lang w:val="en-GB" w:eastAsia="zh-TW"/>
        </w:rPr>
        <w:t xml:space="preserve"> this authority in abundance, </w:t>
      </w:r>
      <w:r w:rsidR="00A027B4" w:rsidRPr="00EE5050">
        <w:rPr>
          <w:rFonts w:eastAsia="PMingLiU"/>
          <w:lang w:val="en-GB" w:eastAsia="zh-TW"/>
        </w:rPr>
        <w:t>firmly delineated in the Constitution</w:t>
      </w:r>
      <w:r w:rsidRPr="00EE5050">
        <w:rPr>
          <w:rFonts w:eastAsia="PMingLiU"/>
          <w:lang w:val="en-GB" w:eastAsia="zh-TW"/>
        </w:rPr>
        <w:t>.</w:t>
      </w:r>
      <w:r w:rsidRPr="00EE5050">
        <w:rPr>
          <w:rStyle w:val="FootnoteReference"/>
          <w:rFonts w:eastAsia="PMingLiU"/>
          <w:lang w:val="en-GB" w:eastAsia="zh-TW"/>
        </w:rPr>
        <w:footnoteReference w:id="74"/>
      </w:r>
      <w:r w:rsidRPr="00EE5050">
        <w:rPr>
          <w:rFonts w:eastAsia="PMingLiU"/>
          <w:lang w:val="en-GB" w:eastAsia="zh-TW"/>
        </w:rPr>
        <w:t xml:space="preserve"> Further, Taiwan has a separate Constitutional Interpretation Procedure Act that details </w:t>
      </w:r>
      <w:r w:rsidR="00271FD2" w:rsidRPr="00EE5050">
        <w:rPr>
          <w:rFonts w:eastAsia="PMingLiU"/>
          <w:lang w:val="en-GB" w:eastAsia="zh-TW"/>
        </w:rPr>
        <w:t>the procedures for interpretation of the constitution</w:t>
      </w:r>
      <w:r w:rsidRPr="00EE5050">
        <w:rPr>
          <w:rFonts w:eastAsia="PMingLiU"/>
          <w:lang w:val="en-GB" w:eastAsia="zh-TW"/>
        </w:rPr>
        <w:t>.</w:t>
      </w:r>
      <w:r w:rsidRPr="00EE5050">
        <w:rPr>
          <w:rStyle w:val="FootnoteReference"/>
          <w:rFonts w:eastAsia="PMingLiU"/>
          <w:lang w:val="en-GB" w:eastAsia="zh-TW"/>
        </w:rPr>
        <w:footnoteReference w:id="75"/>
      </w:r>
      <w:r w:rsidRPr="00EE5050">
        <w:rPr>
          <w:rFonts w:eastAsia="PMingLiU"/>
          <w:lang w:val="en-GB" w:eastAsia="zh-TW"/>
        </w:rPr>
        <w:t xml:space="preserve"> </w:t>
      </w:r>
      <w:r w:rsidR="00E211DA" w:rsidRPr="00EE5050">
        <w:rPr>
          <w:rFonts w:eastAsia="PMingLiU"/>
          <w:lang w:val="en-GB" w:eastAsia="zh-TW"/>
        </w:rPr>
        <w:t>That law makes</w:t>
      </w:r>
      <w:r w:rsidRPr="00EE5050">
        <w:rPr>
          <w:rFonts w:eastAsia="PMingLiU"/>
          <w:lang w:val="en-GB" w:eastAsia="zh-TW"/>
        </w:rPr>
        <w:t xml:space="preserve"> n</w:t>
      </w:r>
      <w:r w:rsidRPr="00EE5050">
        <w:rPr>
          <w:rFonts w:eastAsia="PMingLiU"/>
          <w:lang w:val="en-GB"/>
        </w:rPr>
        <w:t xml:space="preserve">o </w:t>
      </w:r>
      <w:r w:rsidR="00B554E6" w:rsidRPr="00EE5050">
        <w:rPr>
          <w:rFonts w:eastAsia="PMingLiU"/>
          <w:lang w:val="en-GB"/>
        </w:rPr>
        <w:t>mention of Legislative Yuan interpretive</w:t>
      </w:r>
      <w:r w:rsidRPr="00EE5050">
        <w:rPr>
          <w:rFonts w:eastAsia="PMingLiU"/>
          <w:lang w:val="en-GB"/>
        </w:rPr>
        <w:t xml:space="preserve"> power</w:t>
      </w:r>
      <w:r w:rsidR="00E87105" w:rsidRPr="00EE5050">
        <w:rPr>
          <w:rFonts w:eastAsia="PMingLiU"/>
          <w:lang w:val="en-GB"/>
        </w:rPr>
        <w:t xml:space="preserve"> </w:t>
      </w:r>
      <w:r w:rsidRPr="00EE5050">
        <w:rPr>
          <w:rFonts w:eastAsia="PMingLiU"/>
          <w:lang w:val="en-GB"/>
        </w:rPr>
        <w:t xml:space="preserve">besides their right to petition the Constitutional Court under </w:t>
      </w:r>
      <w:r w:rsidRPr="00EE5050">
        <w:rPr>
          <w:rFonts w:eastAsia="PMingLiU"/>
          <w:lang w:val="en-GB" w:eastAsia="zh-TW"/>
        </w:rPr>
        <w:t xml:space="preserve">Article 5(iii) of the </w:t>
      </w:r>
      <w:r w:rsidR="00C8490D">
        <w:rPr>
          <w:rFonts w:eastAsia="PMingLiU" w:hint="eastAsia"/>
          <w:lang w:val="en-GB" w:eastAsia="zh-TW"/>
        </w:rPr>
        <w:t>A</w:t>
      </w:r>
      <w:r w:rsidR="00C8490D">
        <w:rPr>
          <w:rFonts w:eastAsia="PMingLiU"/>
          <w:lang w:val="en-GB" w:eastAsia="zh-TW"/>
        </w:rPr>
        <w:t>ct</w:t>
      </w:r>
      <w:r w:rsidRPr="00EE5050">
        <w:rPr>
          <w:rFonts w:eastAsia="PMingLiU"/>
          <w:lang w:val="en-GB" w:eastAsia="zh-TW"/>
        </w:rPr>
        <w:t>.</w:t>
      </w:r>
      <w:r w:rsidRPr="00EE5050">
        <w:rPr>
          <w:rStyle w:val="FootnoteReference"/>
          <w:rFonts w:eastAsia="PMingLiU"/>
          <w:lang w:val="en-GB" w:eastAsia="zh-TW"/>
        </w:rPr>
        <w:footnoteReference w:id="76"/>
      </w:r>
    </w:p>
    <w:p w14:paraId="7BE52BC1" w14:textId="6AC640F0" w:rsidR="00750E0E" w:rsidRPr="00EE5050" w:rsidRDefault="003208DE" w:rsidP="00A31E24">
      <w:pPr>
        <w:spacing w:line="480" w:lineRule="auto"/>
        <w:ind w:firstLineChars="295" w:firstLine="708"/>
        <w:jc w:val="both"/>
        <w:rPr>
          <w:rFonts w:eastAsia="PMingLiU"/>
          <w:lang w:val="en-GB" w:eastAsia="zh-TW"/>
        </w:rPr>
      </w:pPr>
      <w:r w:rsidRPr="00EE5050">
        <w:rPr>
          <w:rFonts w:eastAsia="PMingLiU"/>
          <w:lang w:val="en-GB" w:eastAsia="zh-TW"/>
        </w:rPr>
        <w:t>Recall the e</w:t>
      </w:r>
      <w:r w:rsidR="00FF1C50" w:rsidRPr="00EE5050">
        <w:rPr>
          <w:rFonts w:eastAsia="PMingLiU"/>
          <w:lang w:val="en-GB" w:eastAsia="zh-TW"/>
        </w:rPr>
        <w:t>arlier Elliott and Thomas quote</w:t>
      </w:r>
      <w:r w:rsidR="00263FBB" w:rsidRPr="00EE5050">
        <w:rPr>
          <w:rFonts w:eastAsia="PMingLiU"/>
          <w:lang w:val="en-GB" w:eastAsia="zh-TW"/>
        </w:rPr>
        <w:t xml:space="preserve"> on legal and political constitutionalism</w:t>
      </w:r>
      <w:r w:rsidR="00FF1C50" w:rsidRPr="00EE5050">
        <w:rPr>
          <w:rFonts w:eastAsia="PMingLiU"/>
          <w:lang w:val="en-GB" w:eastAsia="zh-TW"/>
        </w:rPr>
        <w:t>, that</w:t>
      </w:r>
      <w:r w:rsidRPr="00EE5050">
        <w:rPr>
          <w:rFonts w:eastAsia="PMingLiU"/>
          <w:lang w:val="en-GB" w:eastAsia="zh-TW"/>
        </w:rPr>
        <w:t xml:space="preserve"> </w:t>
      </w:r>
      <w:r w:rsidR="00AC357A">
        <w:rPr>
          <w:rFonts w:eastAsia="PMingLiU"/>
          <w:lang w:val="en-GB" w:eastAsia="zh-TW"/>
        </w:rPr>
        <w:t>‘</w:t>
      </w:r>
      <w:r w:rsidRPr="003208DE">
        <w:t>[q]</w:t>
      </w:r>
      <w:proofErr w:type="spellStart"/>
      <w:r w:rsidRPr="003208DE">
        <w:t>uite</w:t>
      </w:r>
      <w:proofErr w:type="spellEnd"/>
      <w:r w:rsidRPr="003208DE">
        <w:t xml:space="preserve"> sensibly, few countries put all of their eggs in one basket</w:t>
      </w:r>
      <w:r w:rsidR="00AC357A">
        <w:t>’</w:t>
      </w:r>
      <w:r w:rsidRPr="00EE5050">
        <w:rPr>
          <w:rFonts w:eastAsia="PMingLiU"/>
          <w:lang w:val="en-GB" w:eastAsia="zh-TW"/>
        </w:rPr>
        <w:t>.</w:t>
      </w:r>
      <w:r w:rsidRPr="00EE5050">
        <w:rPr>
          <w:rStyle w:val="FootnoteReference"/>
          <w:rFonts w:eastAsia="PMingLiU"/>
          <w:lang w:val="en-GB" w:eastAsia="zh-TW"/>
        </w:rPr>
        <w:footnoteReference w:id="77"/>
      </w:r>
      <w:r w:rsidRPr="00EE5050">
        <w:rPr>
          <w:rFonts w:eastAsia="PMingLiU"/>
          <w:lang w:val="en-GB" w:eastAsia="zh-TW"/>
        </w:rPr>
        <w:t xml:space="preserve"> Contrary to such sensibility</w:t>
      </w:r>
      <w:r w:rsidR="0033422E" w:rsidRPr="00EE5050">
        <w:rPr>
          <w:rFonts w:eastAsia="PMingLiU"/>
          <w:lang w:val="en-GB" w:eastAsia="zh-TW"/>
        </w:rPr>
        <w:t>,</w:t>
      </w:r>
      <w:r w:rsidRPr="00EE5050">
        <w:rPr>
          <w:rFonts w:eastAsia="PMingLiU"/>
          <w:lang w:val="en-GB" w:eastAsia="zh-TW"/>
        </w:rPr>
        <w:t xml:space="preserve"> </w:t>
      </w:r>
      <w:r w:rsidR="00483E52" w:rsidRPr="00EE5050">
        <w:rPr>
          <w:rFonts w:eastAsia="PMingLiU"/>
          <w:lang w:val="en-GB" w:eastAsia="zh-TW"/>
        </w:rPr>
        <w:t xml:space="preserve">it </w:t>
      </w:r>
      <w:r w:rsidR="001C5254" w:rsidRPr="00EE5050">
        <w:rPr>
          <w:rFonts w:eastAsia="PMingLiU"/>
          <w:lang w:val="en-GB" w:eastAsia="zh-TW"/>
        </w:rPr>
        <w:t>appears</w:t>
      </w:r>
      <w:r w:rsidR="00483E52" w:rsidRPr="00EE5050">
        <w:rPr>
          <w:rFonts w:eastAsia="PMingLiU"/>
          <w:lang w:val="en-GB" w:eastAsia="zh-TW"/>
        </w:rPr>
        <w:t xml:space="preserve"> </w:t>
      </w:r>
      <w:r w:rsidR="00AC357A">
        <w:rPr>
          <w:rFonts w:eastAsia="PMingLiU"/>
          <w:lang w:val="en-GB" w:eastAsia="zh-TW"/>
        </w:rPr>
        <w:t>‘</w:t>
      </w:r>
      <w:r w:rsidR="00483E52" w:rsidRPr="00EE5050">
        <w:rPr>
          <w:rFonts w:eastAsia="PMingLiU"/>
          <w:lang w:val="en-GB" w:eastAsia="zh-TW"/>
        </w:rPr>
        <w:t>unequivocal</w:t>
      </w:r>
      <w:r w:rsidR="00AC357A">
        <w:rPr>
          <w:rFonts w:eastAsia="PMingLiU"/>
          <w:lang w:val="en-GB" w:eastAsia="zh-TW"/>
        </w:rPr>
        <w:t>’</w:t>
      </w:r>
      <w:r w:rsidR="00483E52" w:rsidRPr="00EE5050">
        <w:rPr>
          <w:rFonts w:eastAsia="PMingLiU"/>
          <w:lang w:val="en-GB" w:eastAsia="zh-TW"/>
        </w:rPr>
        <w:t xml:space="preserve"> </w:t>
      </w:r>
      <w:r w:rsidR="00ED4829" w:rsidRPr="00EE5050">
        <w:rPr>
          <w:rFonts w:eastAsia="PMingLiU"/>
          <w:lang w:val="en-GB" w:eastAsia="zh-TW"/>
        </w:rPr>
        <w:t xml:space="preserve">that </w:t>
      </w:r>
      <w:r w:rsidR="003A09E5" w:rsidRPr="00EE5050">
        <w:rPr>
          <w:rFonts w:eastAsia="PMingLiU"/>
          <w:lang w:val="en-GB" w:eastAsia="zh-TW"/>
        </w:rPr>
        <w:t>Taiwan has allocated</w:t>
      </w:r>
      <w:r w:rsidR="0033422E" w:rsidRPr="00EE5050">
        <w:rPr>
          <w:rFonts w:eastAsia="PMingLiU"/>
          <w:lang w:val="en-GB" w:eastAsia="zh-TW"/>
        </w:rPr>
        <w:t xml:space="preserve"> constitutional review </w:t>
      </w:r>
      <w:r w:rsidR="003A09E5" w:rsidRPr="00EE5050">
        <w:rPr>
          <w:rFonts w:eastAsia="PMingLiU"/>
          <w:lang w:val="en-GB" w:eastAsia="zh-TW"/>
        </w:rPr>
        <w:t xml:space="preserve">exclusively </w:t>
      </w:r>
      <w:r w:rsidR="0015044E" w:rsidRPr="00EE5050">
        <w:rPr>
          <w:rFonts w:eastAsia="PMingLiU"/>
          <w:lang w:val="en-GB" w:eastAsia="zh-TW"/>
        </w:rPr>
        <w:t>among</w:t>
      </w:r>
      <w:r w:rsidR="00FF1C50" w:rsidRPr="00EE5050">
        <w:rPr>
          <w:rFonts w:eastAsia="PMingLiU"/>
          <w:lang w:val="en-GB" w:eastAsia="zh-TW"/>
        </w:rPr>
        <w:t xml:space="preserve"> the </w:t>
      </w:r>
      <w:r w:rsidR="00B1361A">
        <w:rPr>
          <w:rFonts w:eastAsia="PMingLiU"/>
          <w:lang w:val="en-GB" w:eastAsia="zh-TW"/>
        </w:rPr>
        <w:t>15</w:t>
      </w:r>
      <w:r w:rsidR="00B1361A" w:rsidRPr="00EE5050">
        <w:rPr>
          <w:rFonts w:eastAsia="PMingLiU"/>
          <w:lang w:val="en-GB" w:eastAsia="zh-TW"/>
        </w:rPr>
        <w:t xml:space="preserve"> </w:t>
      </w:r>
      <w:r w:rsidR="00622296" w:rsidRPr="00EE5050">
        <w:rPr>
          <w:rFonts w:eastAsia="PMingLiU"/>
          <w:lang w:val="en-GB" w:eastAsia="zh-TW"/>
        </w:rPr>
        <w:t xml:space="preserve">staggered, </w:t>
      </w:r>
      <w:r w:rsidR="00271FD2" w:rsidRPr="00EE5050">
        <w:rPr>
          <w:rFonts w:eastAsia="PMingLiU"/>
          <w:lang w:val="en-GB" w:eastAsia="zh-TW"/>
        </w:rPr>
        <w:t>fixed-term</w:t>
      </w:r>
      <w:r w:rsidR="0015044E" w:rsidRPr="00EE5050">
        <w:rPr>
          <w:rFonts w:eastAsia="PMingLiU"/>
          <w:lang w:val="en-GB" w:eastAsia="zh-TW"/>
        </w:rPr>
        <w:t xml:space="preserve"> </w:t>
      </w:r>
      <w:r w:rsidR="00FF1C50" w:rsidRPr="00EE5050">
        <w:rPr>
          <w:rFonts w:eastAsia="PMingLiU"/>
          <w:lang w:val="en-GB" w:eastAsia="zh-TW"/>
        </w:rPr>
        <w:t>Justices of the Constitutional Court</w:t>
      </w:r>
      <w:r w:rsidR="003A09E5" w:rsidRPr="00EE5050">
        <w:rPr>
          <w:rFonts w:eastAsia="PMingLiU"/>
          <w:lang w:val="en-GB" w:eastAsia="zh-TW"/>
        </w:rPr>
        <w:t>.</w:t>
      </w:r>
      <w:r w:rsidR="00850E46" w:rsidRPr="00EE5050">
        <w:rPr>
          <w:rStyle w:val="FootnoteReference"/>
          <w:rFonts w:eastAsia="PMingLiU"/>
          <w:lang w:val="en-GB" w:eastAsia="zh-TW"/>
        </w:rPr>
        <w:footnoteReference w:id="78"/>
      </w:r>
      <w:r w:rsidR="0033422E" w:rsidRPr="00EE5050">
        <w:rPr>
          <w:rFonts w:eastAsia="PMingLiU"/>
          <w:lang w:val="en-GB" w:eastAsia="zh-TW"/>
        </w:rPr>
        <w:t xml:space="preserve"> </w:t>
      </w:r>
      <w:r w:rsidR="00C013B2">
        <w:rPr>
          <w:rFonts w:eastAsia="PMingLiU"/>
          <w:lang w:val="en-GB" w:eastAsia="zh-TW"/>
        </w:rPr>
        <w:t>Al</w:t>
      </w:r>
      <w:r w:rsidR="00743D2E">
        <w:rPr>
          <w:rFonts w:eastAsia="PMingLiU"/>
          <w:lang w:val="en-GB" w:eastAsia="zh-TW"/>
        </w:rPr>
        <w:t>t</w:t>
      </w:r>
      <w:r w:rsidR="00C013B2" w:rsidRPr="00EE5050">
        <w:rPr>
          <w:rFonts w:eastAsia="PMingLiU"/>
          <w:lang w:val="en-GB" w:eastAsia="zh-TW"/>
        </w:rPr>
        <w:t xml:space="preserve">hough </w:t>
      </w:r>
      <w:r w:rsidR="00821EFE" w:rsidRPr="00EE5050">
        <w:rPr>
          <w:rFonts w:eastAsia="PMingLiU"/>
          <w:lang w:val="en-GB" w:eastAsia="zh-TW"/>
        </w:rPr>
        <w:t xml:space="preserve">statutory and constitutional backing was already strong, </w:t>
      </w:r>
      <w:r w:rsidR="00E87799" w:rsidRPr="00EE5050">
        <w:rPr>
          <w:rFonts w:eastAsia="PMingLiU"/>
          <w:lang w:val="en-GB" w:eastAsia="zh-TW"/>
        </w:rPr>
        <w:t xml:space="preserve">throughout the years </w:t>
      </w:r>
      <w:r w:rsidR="00821EFE" w:rsidRPr="00EE5050">
        <w:rPr>
          <w:rFonts w:eastAsia="PMingLiU"/>
          <w:lang w:val="en-GB" w:eastAsia="zh-TW"/>
        </w:rPr>
        <w:t>t</w:t>
      </w:r>
      <w:r w:rsidR="00997676" w:rsidRPr="00EE5050">
        <w:rPr>
          <w:rFonts w:eastAsia="PMingLiU"/>
          <w:lang w:val="en-GB" w:eastAsia="zh-TW"/>
        </w:rPr>
        <w:t xml:space="preserve">he Court </w:t>
      </w:r>
      <w:r w:rsidR="00240645" w:rsidRPr="00EE5050">
        <w:rPr>
          <w:rFonts w:eastAsia="PMingLiU"/>
          <w:lang w:val="en-GB" w:eastAsia="zh-TW"/>
        </w:rPr>
        <w:t xml:space="preserve">significantly </w:t>
      </w:r>
      <w:r w:rsidR="00997676" w:rsidRPr="00EE5050">
        <w:rPr>
          <w:rFonts w:eastAsia="PMingLiU"/>
          <w:lang w:val="en-GB" w:eastAsia="zh-TW"/>
        </w:rPr>
        <w:t>ex</w:t>
      </w:r>
      <w:r w:rsidR="00E87799" w:rsidRPr="00EE5050">
        <w:rPr>
          <w:rFonts w:eastAsia="PMingLiU"/>
          <w:lang w:val="en-GB" w:eastAsia="zh-TW"/>
        </w:rPr>
        <w:t xml:space="preserve">panded its power </w:t>
      </w:r>
      <w:r w:rsidR="0015044E" w:rsidRPr="00EE5050">
        <w:rPr>
          <w:rFonts w:eastAsia="PMingLiU"/>
          <w:lang w:val="en-GB" w:eastAsia="zh-TW"/>
        </w:rPr>
        <w:t>through</w:t>
      </w:r>
      <w:r w:rsidR="00821EFE" w:rsidRPr="00EE5050">
        <w:rPr>
          <w:rFonts w:eastAsia="PMingLiU"/>
          <w:lang w:val="en-GB" w:eastAsia="zh-TW"/>
        </w:rPr>
        <w:t xml:space="preserve"> various decisions</w:t>
      </w:r>
      <w:r w:rsidR="00690DA2" w:rsidRPr="00EE5050">
        <w:rPr>
          <w:rFonts w:eastAsia="PMingLiU"/>
          <w:lang w:val="en-GB" w:eastAsia="zh-TW"/>
        </w:rPr>
        <w:t xml:space="preserve">, providing </w:t>
      </w:r>
      <w:r w:rsidR="00821EFE" w:rsidRPr="00EE5050">
        <w:rPr>
          <w:rFonts w:eastAsia="PMingLiU"/>
          <w:lang w:val="en-GB" w:eastAsia="zh-TW"/>
        </w:rPr>
        <w:t>further</w:t>
      </w:r>
      <w:r w:rsidR="00690DA2" w:rsidRPr="00EE5050">
        <w:rPr>
          <w:rFonts w:eastAsia="PMingLiU"/>
          <w:lang w:val="en-GB" w:eastAsia="zh-TW"/>
        </w:rPr>
        <w:t xml:space="preserve"> foundations </w:t>
      </w:r>
      <w:r w:rsidR="00821EFE" w:rsidRPr="00EE5050">
        <w:rPr>
          <w:rFonts w:eastAsia="PMingLiU"/>
          <w:lang w:val="en-GB" w:eastAsia="zh-TW"/>
        </w:rPr>
        <w:t xml:space="preserve">by which </w:t>
      </w:r>
      <w:r w:rsidR="0015044E" w:rsidRPr="00EE5050">
        <w:rPr>
          <w:rFonts w:eastAsia="PMingLiU"/>
          <w:lang w:val="en-GB" w:eastAsia="zh-TW"/>
        </w:rPr>
        <w:t>judicial supremacy is exercised</w:t>
      </w:r>
      <w:r w:rsidR="00690DA2" w:rsidRPr="00EE5050">
        <w:rPr>
          <w:rFonts w:eastAsia="PMingLiU"/>
          <w:lang w:val="en-GB" w:eastAsia="zh-TW"/>
        </w:rPr>
        <w:t>.</w:t>
      </w:r>
      <w:r w:rsidR="00997676" w:rsidRPr="00EE5050">
        <w:rPr>
          <w:rFonts w:eastAsia="PMingLiU"/>
          <w:lang w:val="en-GB" w:eastAsia="zh-TW"/>
        </w:rPr>
        <w:t xml:space="preserve"> </w:t>
      </w:r>
      <w:r w:rsidR="00240645" w:rsidRPr="00EE5050">
        <w:rPr>
          <w:rFonts w:eastAsia="PMingLiU"/>
          <w:lang w:val="en-GB" w:eastAsia="zh-TW"/>
        </w:rPr>
        <w:t>Tom Ginsburg</w:t>
      </w:r>
      <w:r w:rsidR="00240645" w:rsidRPr="00EE5050">
        <w:rPr>
          <w:rStyle w:val="FootnoteReference"/>
          <w:rFonts w:eastAsia="PMingLiU"/>
          <w:lang w:val="en-GB" w:eastAsia="zh-TW"/>
        </w:rPr>
        <w:footnoteReference w:id="79"/>
      </w:r>
      <w:r w:rsidR="00240645" w:rsidRPr="00EE5050">
        <w:rPr>
          <w:rFonts w:eastAsia="PMingLiU"/>
          <w:lang w:val="en-GB" w:eastAsia="zh-TW"/>
        </w:rPr>
        <w:t xml:space="preserve"> and Chien-Chih Lin</w:t>
      </w:r>
      <w:r w:rsidR="00240645" w:rsidRPr="00EE5050">
        <w:rPr>
          <w:rStyle w:val="FootnoteReference"/>
          <w:rFonts w:eastAsia="PMingLiU"/>
          <w:lang w:val="en-GB" w:eastAsia="zh-TW"/>
        </w:rPr>
        <w:footnoteReference w:id="80"/>
      </w:r>
      <w:r w:rsidR="00240645" w:rsidRPr="00EE5050">
        <w:rPr>
          <w:rFonts w:eastAsia="PMingLiU"/>
          <w:lang w:val="en-GB" w:eastAsia="zh-TW"/>
        </w:rPr>
        <w:t xml:space="preserve"> </w:t>
      </w:r>
      <w:r w:rsidR="00A21E72" w:rsidRPr="00EE5050">
        <w:rPr>
          <w:rFonts w:eastAsia="PMingLiU"/>
          <w:lang w:val="en-GB" w:eastAsia="zh-TW"/>
        </w:rPr>
        <w:t>offer</w:t>
      </w:r>
      <w:r w:rsidR="00240645" w:rsidRPr="00EE5050">
        <w:rPr>
          <w:rFonts w:eastAsia="PMingLiU"/>
          <w:lang w:val="en-GB" w:eastAsia="zh-TW"/>
        </w:rPr>
        <w:t xml:space="preserve"> </w:t>
      </w:r>
      <w:r w:rsidR="00102002" w:rsidRPr="00EE5050">
        <w:rPr>
          <w:rFonts w:eastAsia="PMingLiU"/>
          <w:lang w:val="en-GB" w:eastAsia="zh-TW"/>
        </w:rPr>
        <w:t xml:space="preserve">impressively </w:t>
      </w:r>
      <w:r w:rsidR="00A21E72" w:rsidRPr="00EE5050">
        <w:rPr>
          <w:rFonts w:eastAsia="PMingLiU"/>
          <w:lang w:val="en-GB" w:eastAsia="zh-TW"/>
        </w:rPr>
        <w:t xml:space="preserve">thorough accounts of how the court has </w:t>
      </w:r>
      <w:r w:rsidR="00850E46" w:rsidRPr="00EE5050">
        <w:rPr>
          <w:rFonts w:eastAsia="PMingLiU"/>
          <w:lang w:val="en-GB" w:eastAsia="zh-TW"/>
        </w:rPr>
        <w:t xml:space="preserve">expanded </w:t>
      </w:r>
      <w:r w:rsidR="00271FD2" w:rsidRPr="00EE5050">
        <w:rPr>
          <w:rFonts w:eastAsia="PMingLiU"/>
          <w:lang w:val="en-GB" w:eastAsia="zh-TW"/>
        </w:rPr>
        <w:t>its</w:t>
      </w:r>
      <w:r w:rsidR="00850E46" w:rsidRPr="00EE5050">
        <w:rPr>
          <w:rFonts w:eastAsia="PMingLiU"/>
          <w:lang w:val="en-GB" w:eastAsia="zh-TW"/>
        </w:rPr>
        <w:t xml:space="preserve"> reach</w:t>
      </w:r>
      <w:r w:rsidR="001C353F" w:rsidRPr="00EE5050">
        <w:rPr>
          <w:rFonts w:eastAsia="PMingLiU"/>
          <w:lang w:val="en-GB" w:eastAsia="zh-TW"/>
        </w:rPr>
        <w:t xml:space="preserve">, and </w:t>
      </w:r>
      <w:proofErr w:type="spellStart"/>
      <w:r w:rsidR="001C353F" w:rsidRPr="00EE5050">
        <w:rPr>
          <w:rFonts w:eastAsia="PMingLiU"/>
          <w:lang w:val="en-GB" w:eastAsia="zh-TW"/>
        </w:rPr>
        <w:t>Chien</w:t>
      </w:r>
      <w:proofErr w:type="spellEnd"/>
      <w:r w:rsidR="001C353F" w:rsidRPr="00EE5050">
        <w:rPr>
          <w:rFonts w:eastAsia="PMingLiU"/>
          <w:lang w:val="en-GB" w:eastAsia="zh-TW"/>
        </w:rPr>
        <w:t xml:space="preserve">-Liang Lee interestingly grapples with many of the constitutional review dilemmas </w:t>
      </w:r>
      <w:r w:rsidR="001C353F" w:rsidRPr="00EE5050">
        <w:rPr>
          <w:rFonts w:eastAsia="PMingLiU"/>
          <w:lang w:val="en-GB" w:eastAsia="zh-TW"/>
        </w:rPr>
        <w:lastRenderedPageBreak/>
        <w:t>arising in Taiwan</w:t>
      </w:r>
      <w:r w:rsidR="00240645" w:rsidRPr="00EE5050">
        <w:rPr>
          <w:rFonts w:eastAsia="PMingLiU"/>
          <w:lang w:val="en-GB" w:eastAsia="zh-TW"/>
        </w:rPr>
        <w:t>.</w:t>
      </w:r>
      <w:r w:rsidR="001C353F" w:rsidRPr="00EE5050">
        <w:rPr>
          <w:rStyle w:val="FootnoteReference"/>
          <w:rFonts w:eastAsia="PMingLiU"/>
          <w:lang w:val="en-GB" w:eastAsia="zh-TW"/>
        </w:rPr>
        <w:footnoteReference w:id="81"/>
      </w:r>
      <w:r w:rsidR="00240645" w:rsidRPr="00EE5050">
        <w:rPr>
          <w:rFonts w:eastAsia="PMingLiU"/>
          <w:lang w:val="en-GB" w:eastAsia="zh-TW"/>
        </w:rPr>
        <w:t xml:space="preserve"> </w:t>
      </w:r>
      <w:r w:rsidR="00457CBC" w:rsidRPr="00EE5050">
        <w:rPr>
          <w:rFonts w:eastAsia="PMingLiU"/>
          <w:lang w:val="en-GB" w:eastAsia="zh-TW"/>
        </w:rPr>
        <w:t xml:space="preserve">Ginsburg notes </w:t>
      </w:r>
      <w:r w:rsidR="00A21E72" w:rsidRPr="00EE5050">
        <w:rPr>
          <w:rFonts w:eastAsia="PMingLiU"/>
          <w:lang w:val="en-GB" w:eastAsia="zh-TW"/>
        </w:rPr>
        <w:t xml:space="preserve">this was performed in three </w:t>
      </w:r>
      <w:r w:rsidR="0064381B" w:rsidRPr="00EE5050">
        <w:rPr>
          <w:rFonts w:eastAsia="PMingLiU"/>
          <w:lang w:val="en-GB" w:eastAsia="zh-TW"/>
        </w:rPr>
        <w:t>stages</w:t>
      </w:r>
      <w:r w:rsidR="00A21E72" w:rsidRPr="00EE5050">
        <w:rPr>
          <w:rFonts w:eastAsia="PMingLiU"/>
          <w:lang w:val="en-GB" w:eastAsia="zh-TW"/>
        </w:rPr>
        <w:t xml:space="preserve">: </w:t>
      </w:r>
      <w:r w:rsidR="00C51B03" w:rsidRPr="00EE5050">
        <w:rPr>
          <w:rFonts w:eastAsia="PMingLiU"/>
          <w:lang w:val="en-GB" w:eastAsia="zh-TW"/>
        </w:rPr>
        <w:t>(</w:t>
      </w:r>
      <w:r w:rsidR="00A01FAD">
        <w:rPr>
          <w:rFonts w:eastAsia="PMingLiU"/>
          <w:lang w:val="en-GB" w:eastAsia="zh-TW"/>
        </w:rPr>
        <w:t>1</w:t>
      </w:r>
      <w:r w:rsidR="00C51B03" w:rsidRPr="00EE5050">
        <w:rPr>
          <w:rFonts w:eastAsia="PMingLiU"/>
          <w:lang w:val="en-GB" w:eastAsia="zh-TW"/>
        </w:rPr>
        <w:t xml:space="preserve">) </w:t>
      </w:r>
      <w:r w:rsidR="00A21E72" w:rsidRPr="00EE5050">
        <w:rPr>
          <w:rFonts w:eastAsia="PMingLiU"/>
          <w:lang w:val="en-GB" w:eastAsia="zh-TW"/>
        </w:rPr>
        <w:t xml:space="preserve">establishing supremacy over the </w:t>
      </w:r>
      <w:r w:rsidR="00C51B03" w:rsidRPr="00EE5050">
        <w:rPr>
          <w:rFonts w:eastAsia="PMingLiU"/>
          <w:lang w:val="en-GB" w:eastAsia="zh-TW"/>
        </w:rPr>
        <w:t>ordinary courts;</w:t>
      </w:r>
      <w:r w:rsidR="00A21E72" w:rsidRPr="00EE5050">
        <w:rPr>
          <w:rFonts w:eastAsia="PMingLiU"/>
          <w:lang w:val="en-GB" w:eastAsia="zh-TW"/>
        </w:rPr>
        <w:t xml:space="preserve"> </w:t>
      </w:r>
      <w:r w:rsidR="00C51B03" w:rsidRPr="00EE5050">
        <w:rPr>
          <w:rFonts w:eastAsia="PMingLiU"/>
          <w:lang w:val="en-GB" w:eastAsia="zh-TW"/>
        </w:rPr>
        <w:t>(</w:t>
      </w:r>
      <w:r w:rsidR="00A01FAD">
        <w:rPr>
          <w:rFonts w:eastAsia="PMingLiU"/>
          <w:lang w:val="en-GB" w:eastAsia="zh-TW"/>
        </w:rPr>
        <w:t>2</w:t>
      </w:r>
      <w:r w:rsidR="00C51B03" w:rsidRPr="00EE5050">
        <w:rPr>
          <w:rFonts w:eastAsia="PMingLiU"/>
          <w:lang w:val="en-GB" w:eastAsia="zh-TW"/>
        </w:rPr>
        <w:t>) challenging governmental authority on administrative law matters;</w:t>
      </w:r>
      <w:r w:rsidR="0015044E" w:rsidRPr="00EE5050">
        <w:rPr>
          <w:rFonts w:eastAsia="PMingLiU"/>
          <w:lang w:val="en-GB" w:eastAsia="zh-TW"/>
        </w:rPr>
        <w:t xml:space="preserve"> and (</w:t>
      </w:r>
      <w:r w:rsidR="00A01FAD">
        <w:rPr>
          <w:rFonts w:eastAsia="PMingLiU"/>
          <w:lang w:val="en-GB" w:eastAsia="zh-TW"/>
        </w:rPr>
        <w:t>3</w:t>
      </w:r>
      <w:r w:rsidR="0015044E" w:rsidRPr="00EE5050">
        <w:rPr>
          <w:rFonts w:eastAsia="PMingLiU"/>
          <w:lang w:val="en-GB" w:eastAsia="zh-TW"/>
        </w:rPr>
        <w:t>) by avoiding Council L</w:t>
      </w:r>
      <w:r w:rsidR="00C51B03" w:rsidRPr="00EE5050">
        <w:rPr>
          <w:rFonts w:eastAsia="PMingLiU"/>
          <w:lang w:val="en-GB" w:eastAsia="zh-TW"/>
        </w:rPr>
        <w:t>aw restrictions.</w:t>
      </w:r>
      <w:r w:rsidR="00476F87" w:rsidRPr="00EE5050">
        <w:rPr>
          <w:rFonts w:eastAsia="PMingLiU"/>
          <w:lang w:val="en-GB" w:eastAsia="zh-TW"/>
        </w:rPr>
        <w:t xml:space="preserve"> </w:t>
      </w:r>
      <w:r w:rsidR="00A247A0" w:rsidRPr="00EE5050">
        <w:rPr>
          <w:rFonts w:eastAsia="PMingLiU"/>
          <w:lang w:val="en-GB" w:eastAsia="zh-TW"/>
        </w:rPr>
        <w:t xml:space="preserve">Further, </w:t>
      </w:r>
      <w:r w:rsidR="00FA6CF3">
        <w:rPr>
          <w:rFonts w:eastAsia="PMingLiU"/>
          <w:lang w:val="en-GB" w:eastAsia="zh-TW"/>
        </w:rPr>
        <w:t xml:space="preserve">Ginsburg </w:t>
      </w:r>
      <w:r w:rsidR="00A247A0" w:rsidRPr="00EE5050">
        <w:rPr>
          <w:rFonts w:eastAsia="PMingLiU"/>
          <w:lang w:val="en-GB" w:eastAsia="zh-TW"/>
        </w:rPr>
        <w:t>writes</w:t>
      </w:r>
      <w:r w:rsidR="00FA6CF3">
        <w:rPr>
          <w:rFonts w:eastAsia="PMingLiU"/>
          <w:lang w:val="en-GB" w:eastAsia="zh-TW"/>
        </w:rPr>
        <w:t xml:space="preserve"> that</w:t>
      </w:r>
      <w:r w:rsidR="00A247A0" w:rsidRPr="00EE5050">
        <w:rPr>
          <w:rFonts w:eastAsia="PMingLiU"/>
          <w:lang w:val="en-GB" w:eastAsia="zh-TW"/>
        </w:rPr>
        <w:t xml:space="preserve"> the Court decided to enhance enforcement of their decisions by providing dates for compliance</w:t>
      </w:r>
      <w:r w:rsidR="0015044E" w:rsidRPr="00EE5050">
        <w:rPr>
          <w:rFonts w:eastAsia="PMingLiU"/>
          <w:lang w:val="en-GB" w:eastAsia="zh-TW"/>
        </w:rPr>
        <w:t xml:space="preserve">: if such dates are not complied with, the law or regulation </w:t>
      </w:r>
      <w:r w:rsidR="00263FBB" w:rsidRPr="00EE5050">
        <w:rPr>
          <w:rFonts w:eastAsia="PMingLiU"/>
          <w:lang w:val="en-GB" w:eastAsia="zh-TW"/>
        </w:rPr>
        <w:t xml:space="preserve">in question </w:t>
      </w:r>
      <w:r w:rsidR="0015044E" w:rsidRPr="00EE5050">
        <w:rPr>
          <w:rFonts w:eastAsia="PMingLiU"/>
          <w:lang w:val="en-GB" w:eastAsia="zh-TW"/>
        </w:rPr>
        <w:t>becomes null and void.</w:t>
      </w:r>
      <w:r w:rsidR="00A247A0" w:rsidRPr="00EE5050">
        <w:rPr>
          <w:rStyle w:val="FootnoteReference"/>
          <w:rFonts w:eastAsia="PMingLiU"/>
          <w:lang w:val="en-GB" w:eastAsia="zh-TW"/>
        </w:rPr>
        <w:footnoteReference w:id="82"/>
      </w:r>
      <w:r w:rsidR="0015044E" w:rsidRPr="00EE5050">
        <w:rPr>
          <w:rFonts w:eastAsia="PMingLiU"/>
          <w:lang w:val="en-GB" w:eastAsia="zh-TW"/>
        </w:rPr>
        <w:t xml:space="preserve"> </w:t>
      </w:r>
      <w:r w:rsidR="00850E46" w:rsidRPr="00EE5050">
        <w:rPr>
          <w:rFonts w:eastAsia="PMingLiU"/>
          <w:lang w:val="en-GB" w:eastAsia="zh-TW"/>
        </w:rPr>
        <w:t>Conversely</w:t>
      </w:r>
      <w:r w:rsidR="003A09E5" w:rsidRPr="00EE5050">
        <w:rPr>
          <w:rFonts w:eastAsia="PMingLiU"/>
          <w:lang w:val="en-GB" w:eastAsia="zh-TW"/>
        </w:rPr>
        <w:t xml:space="preserve">, Lin notes the Court expanded </w:t>
      </w:r>
      <w:r w:rsidR="0064381B" w:rsidRPr="00EE5050">
        <w:rPr>
          <w:rFonts w:eastAsia="PMingLiU"/>
          <w:lang w:val="en-GB" w:eastAsia="zh-TW"/>
        </w:rPr>
        <w:t>its</w:t>
      </w:r>
      <w:r w:rsidR="003A09E5" w:rsidRPr="00EE5050">
        <w:rPr>
          <w:rFonts w:eastAsia="PMingLiU"/>
          <w:lang w:val="en-GB" w:eastAsia="zh-TW"/>
        </w:rPr>
        <w:t xml:space="preserve"> power through two methods: (</w:t>
      </w:r>
      <w:r w:rsidR="00B827DF">
        <w:rPr>
          <w:rFonts w:eastAsia="PMingLiU"/>
          <w:lang w:val="en-GB" w:eastAsia="zh-TW"/>
        </w:rPr>
        <w:t>a</w:t>
      </w:r>
      <w:r w:rsidR="003A09E5" w:rsidRPr="00EE5050">
        <w:rPr>
          <w:rFonts w:eastAsia="PMingLiU"/>
          <w:lang w:val="en-GB" w:eastAsia="zh-TW"/>
        </w:rPr>
        <w:t xml:space="preserve">) </w:t>
      </w:r>
      <w:r w:rsidR="00BF340F" w:rsidRPr="00EE5050">
        <w:rPr>
          <w:rFonts w:eastAsia="PMingLiU"/>
          <w:lang w:val="en-GB" w:eastAsia="zh-TW"/>
        </w:rPr>
        <w:t xml:space="preserve">being </w:t>
      </w:r>
      <w:r w:rsidR="00263FBB" w:rsidRPr="00EE5050">
        <w:rPr>
          <w:rFonts w:eastAsia="PMingLiU"/>
          <w:lang w:val="en-GB" w:eastAsia="zh-TW"/>
        </w:rPr>
        <w:t>regarded</w:t>
      </w:r>
      <w:r w:rsidR="00BF340F" w:rsidRPr="00EE5050">
        <w:rPr>
          <w:rFonts w:eastAsia="PMingLiU"/>
          <w:lang w:val="en-GB" w:eastAsia="zh-TW"/>
        </w:rPr>
        <w:t xml:space="preserve"> </w:t>
      </w:r>
      <w:r w:rsidR="003A09E5" w:rsidRPr="00EE5050">
        <w:rPr>
          <w:rFonts w:eastAsia="PMingLiU"/>
          <w:lang w:val="en-GB" w:eastAsia="zh-TW"/>
        </w:rPr>
        <w:t xml:space="preserve">as a guardian of constitutional and human rights; </w:t>
      </w:r>
      <w:r w:rsidR="0015044E" w:rsidRPr="00EE5050">
        <w:rPr>
          <w:rFonts w:eastAsia="PMingLiU"/>
          <w:lang w:val="en-GB" w:eastAsia="zh-TW"/>
        </w:rPr>
        <w:t xml:space="preserve">and </w:t>
      </w:r>
      <w:r w:rsidR="00850E46" w:rsidRPr="00EE5050">
        <w:rPr>
          <w:rFonts w:eastAsia="PMingLiU"/>
          <w:lang w:val="en-GB" w:eastAsia="zh-TW"/>
        </w:rPr>
        <w:t>(</w:t>
      </w:r>
      <w:r w:rsidR="00B827DF">
        <w:rPr>
          <w:rFonts w:eastAsia="PMingLiU"/>
          <w:lang w:val="en-GB" w:eastAsia="zh-TW"/>
        </w:rPr>
        <w:t>b</w:t>
      </w:r>
      <w:r w:rsidR="00850E46" w:rsidRPr="00EE5050">
        <w:rPr>
          <w:rFonts w:eastAsia="PMingLiU"/>
          <w:lang w:val="en-GB" w:eastAsia="zh-TW"/>
        </w:rPr>
        <w:t>)</w:t>
      </w:r>
      <w:r w:rsidR="00BF340F" w:rsidRPr="00EE5050">
        <w:rPr>
          <w:rFonts w:eastAsia="PMingLiU"/>
          <w:lang w:val="en-GB" w:eastAsia="zh-TW"/>
        </w:rPr>
        <w:t xml:space="preserve"> </w:t>
      </w:r>
      <w:r w:rsidR="00ED4829" w:rsidRPr="00EE5050">
        <w:rPr>
          <w:rFonts w:eastAsia="PMingLiU"/>
          <w:lang w:val="en-GB" w:eastAsia="zh-TW"/>
        </w:rPr>
        <w:t>unabashedly</w:t>
      </w:r>
      <w:r w:rsidR="00850E46" w:rsidRPr="00EE5050">
        <w:rPr>
          <w:rFonts w:eastAsia="PMingLiU"/>
          <w:lang w:val="en-GB" w:eastAsia="zh-TW"/>
        </w:rPr>
        <w:t xml:space="preserve"> </w:t>
      </w:r>
      <w:r w:rsidR="003A09E5" w:rsidRPr="00EE5050">
        <w:rPr>
          <w:rFonts w:eastAsia="PMingLiU"/>
          <w:lang w:val="en-GB" w:eastAsia="zh-TW"/>
        </w:rPr>
        <w:t>expanding the scope and validity of their interpretations.</w:t>
      </w:r>
      <w:r w:rsidR="003A09E5" w:rsidRPr="00EE5050">
        <w:rPr>
          <w:rStyle w:val="FootnoteReference"/>
          <w:rFonts w:eastAsia="PMingLiU"/>
          <w:lang w:val="en-GB" w:eastAsia="zh-TW"/>
        </w:rPr>
        <w:footnoteReference w:id="83"/>
      </w:r>
      <w:r w:rsidR="003A09E5" w:rsidRPr="00EE5050">
        <w:rPr>
          <w:rFonts w:eastAsia="PMingLiU"/>
          <w:lang w:val="en-GB" w:eastAsia="zh-TW"/>
        </w:rPr>
        <w:t xml:space="preserve"> However, this </w:t>
      </w:r>
      <w:r w:rsidR="00E123C3" w:rsidRPr="00EE5050">
        <w:rPr>
          <w:rFonts w:eastAsia="PMingLiU"/>
          <w:lang w:val="en-GB" w:eastAsia="zh-TW"/>
        </w:rPr>
        <w:t xml:space="preserve">power expansion certainly </w:t>
      </w:r>
      <w:r w:rsidR="003A09E5" w:rsidRPr="00EE5050">
        <w:rPr>
          <w:rFonts w:eastAsia="PMingLiU"/>
          <w:lang w:val="en-GB" w:eastAsia="zh-TW"/>
        </w:rPr>
        <w:t xml:space="preserve">did not </w:t>
      </w:r>
      <w:r w:rsidR="00E123C3" w:rsidRPr="00EE5050">
        <w:rPr>
          <w:rFonts w:eastAsia="PMingLiU"/>
          <w:lang w:val="en-GB" w:eastAsia="zh-TW"/>
        </w:rPr>
        <w:t>develop</w:t>
      </w:r>
      <w:r w:rsidR="003A09E5" w:rsidRPr="00EE5050">
        <w:rPr>
          <w:rFonts w:eastAsia="PMingLiU"/>
          <w:lang w:val="en-GB" w:eastAsia="zh-TW"/>
        </w:rPr>
        <w:t xml:space="preserve"> without backlash from</w:t>
      </w:r>
      <w:r w:rsidR="00764A19" w:rsidRPr="00EE5050">
        <w:rPr>
          <w:rFonts w:eastAsia="PMingLiU"/>
          <w:lang w:val="en-GB" w:eastAsia="zh-TW"/>
        </w:rPr>
        <w:t xml:space="preserve"> the</w:t>
      </w:r>
      <w:r w:rsidR="003A09E5" w:rsidRPr="00EE5050">
        <w:rPr>
          <w:rFonts w:eastAsia="PMingLiU"/>
          <w:lang w:val="en-GB" w:eastAsia="zh-TW"/>
        </w:rPr>
        <w:t xml:space="preserve"> </w:t>
      </w:r>
      <w:r w:rsidR="00764A19" w:rsidRPr="00EE5050">
        <w:rPr>
          <w:rFonts w:eastAsia="PMingLiU"/>
          <w:lang w:val="en-GB" w:eastAsia="zh-TW"/>
        </w:rPr>
        <w:t>Legislative Yuan</w:t>
      </w:r>
      <w:r w:rsidR="00FF1C50" w:rsidRPr="00EE5050">
        <w:rPr>
          <w:rFonts w:eastAsia="PMingLiU"/>
          <w:lang w:val="en-GB" w:eastAsia="zh-TW"/>
        </w:rPr>
        <w:t xml:space="preserve"> and the Executive</w:t>
      </w:r>
      <w:r w:rsidR="00305D25" w:rsidRPr="00EE5050">
        <w:rPr>
          <w:rFonts w:eastAsia="PMingLiU"/>
          <w:lang w:val="en-GB" w:eastAsia="zh-TW"/>
        </w:rPr>
        <w:t>.</w:t>
      </w:r>
      <w:r w:rsidR="0068604F" w:rsidRPr="00EE5050">
        <w:rPr>
          <w:rStyle w:val="FootnoteReference"/>
          <w:rFonts w:eastAsia="PMingLiU"/>
          <w:lang w:val="en-GB" w:eastAsia="zh-TW"/>
        </w:rPr>
        <w:footnoteReference w:id="84"/>
      </w:r>
    </w:p>
    <w:p w14:paraId="21CC743D" w14:textId="6E6E1C3B" w:rsidR="00E123C3" w:rsidRPr="00EE5050" w:rsidRDefault="00E123C3" w:rsidP="00A31E24">
      <w:pPr>
        <w:pStyle w:val="NoSpacing"/>
        <w:tabs>
          <w:tab w:val="left" w:pos="720"/>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One </w:t>
      </w:r>
      <w:r w:rsidR="00750E0E" w:rsidRPr="00EE5050">
        <w:rPr>
          <w:rFonts w:eastAsia="PMingLiU"/>
          <w:lang w:val="en-GB" w:eastAsia="zh-TW"/>
        </w:rPr>
        <w:t>relatively recent</w:t>
      </w:r>
      <w:r w:rsidRPr="00EE5050">
        <w:rPr>
          <w:rFonts w:eastAsia="PMingLiU"/>
          <w:lang w:val="en-GB" w:eastAsia="zh-TW"/>
        </w:rPr>
        <w:t xml:space="preserve"> interaction between the Court and the Legislative Yuan left the latter weakened and the former emboldened. In response to the 319 </w:t>
      </w:r>
      <w:r w:rsidR="002B49B4" w:rsidRPr="00EE5050">
        <w:rPr>
          <w:rFonts w:eastAsia="PMingLiU"/>
          <w:lang w:val="en-GB" w:eastAsia="zh-TW"/>
        </w:rPr>
        <w:t xml:space="preserve">Presidential assassination attempt the </w:t>
      </w:r>
      <w:r w:rsidR="00C8490D" w:rsidRPr="00FB16C4">
        <w:rPr>
          <w:rFonts w:eastAsia="PMingLiU"/>
          <w:lang w:val="en-GB" w:eastAsia="zh-TW"/>
        </w:rPr>
        <w:t>Kuomintang</w:t>
      </w:r>
      <w:r w:rsidR="00C8490D">
        <w:rPr>
          <w:rFonts w:eastAsia="PMingLiU"/>
          <w:lang w:val="en-GB" w:eastAsia="zh-TW"/>
        </w:rPr>
        <w:t xml:space="preserve"> (‘</w:t>
      </w:r>
      <w:r w:rsidR="002B49B4" w:rsidRPr="00EE5050">
        <w:rPr>
          <w:rFonts w:eastAsia="PMingLiU"/>
          <w:lang w:val="en-GB" w:eastAsia="zh-TW"/>
        </w:rPr>
        <w:t>KMT</w:t>
      </w:r>
      <w:r w:rsidR="00C8490D">
        <w:rPr>
          <w:rFonts w:eastAsia="PMingLiU"/>
          <w:lang w:val="en-GB" w:eastAsia="zh-TW"/>
        </w:rPr>
        <w:t>’)</w:t>
      </w:r>
      <w:r w:rsidR="002B49B4" w:rsidRPr="00EE5050">
        <w:rPr>
          <w:rFonts w:eastAsia="PMingLiU"/>
          <w:lang w:val="en-GB" w:eastAsia="zh-TW"/>
        </w:rPr>
        <w:t xml:space="preserve"> controlled legislature </w:t>
      </w:r>
      <w:r w:rsidRPr="00EE5050">
        <w:rPr>
          <w:rFonts w:eastAsia="PMingLiU"/>
          <w:lang w:val="en-GB" w:eastAsia="zh-TW"/>
        </w:rPr>
        <w:t>passed an act creating a commission to investigate the incident.</w:t>
      </w:r>
      <w:r w:rsidRPr="00EE5050">
        <w:rPr>
          <w:rStyle w:val="FootnoteReference"/>
          <w:rFonts w:eastAsia="PMingLiU"/>
          <w:lang w:val="en-GB" w:eastAsia="zh-TW"/>
        </w:rPr>
        <w:footnoteReference w:id="85"/>
      </w:r>
      <w:r w:rsidR="0015044E" w:rsidRPr="00EE5050">
        <w:rPr>
          <w:rFonts w:eastAsia="PMingLiU"/>
          <w:lang w:val="en-GB" w:eastAsia="zh-TW"/>
        </w:rPr>
        <w:t xml:space="preserve"> The law</w:t>
      </w:r>
      <w:r w:rsidR="00AC357A">
        <w:rPr>
          <w:rFonts w:eastAsia="PMingLiU"/>
          <w:lang w:val="en-GB" w:eastAsia="zh-TW"/>
        </w:rPr>
        <w:t>’</w:t>
      </w:r>
      <w:r w:rsidR="0015044E" w:rsidRPr="00EE5050">
        <w:rPr>
          <w:rFonts w:eastAsia="PMingLiU"/>
          <w:lang w:val="en-GB" w:eastAsia="zh-TW"/>
        </w:rPr>
        <w:t xml:space="preserve">s </w:t>
      </w:r>
      <w:r w:rsidR="002B49B4" w:rsidRPr="00EE5050">
        <w:rPr>
          <w:rFonts w:eastAsia="PMingLiU"/>
          <w:lang w:val="en-GB" w:eastAsia="zh-TW"/>
        </w:rPr>
        <w:t>constitutionality</w:t>
      </w:r>
      <w:r w:rsidRPr="00EE5050">
        <w:rPr>
          <w:rFonts w:eastAsia="PMingLiU"/>
          <w:lang w:val="en-GB" w:eastAsia="zh-TW"/>
        </w:rPr>
        <w:t xml:space="preserve"> was questioned by other members of the Legislative Yuan, who petitioned the Court to examine the</w:t>
      </w:r>
      <w:r w:rsidR="002B49B4" w:rsidRPr="00EE5050">
        <w:rPr>
          <w:rFonts w:eastAsia="PMingLiU"/>
          <w:lang w:val="en-GB" w:eastAsia="zh-TW"/>
        </w:rPr>
        <w:t xml:space="preserve"> matter. T</w:t>
      </w:r>
      <w:r w:rsidRPr="00EE5050">
        <w:rPr>
          <w:rFonts w:eastAsia="PMingLiU"/>
          <w:lang w:val="en-GB" w:eastAsia="zh-TW"/>
        </w:rPr>
        <w:t xml:space="preserve">he Justices found much of the law unconstitutional, thus gutting the </w:t>
      </w:r>
      <w:r w:rsidR="00271FD2" w:rsidRPr="00EE5050">
        <w:rPr>
          <w:rFonts w:eastAsia="PMingLiU"/>
          <w:lang w:val="en-GB" w:eastAsia="zh-TW"/>
        </w:rPr>
        <w:t xml:space="preserve">319 </w:t>
      </w:r>
      <w:r w:rsidRPr="00EE5050">
        <w:rPr>
          <w:rFonts w:eastAsia="PMingLiU"/>
          <w:lang w:val="en-GB" w:eastAsia="zh-TW"/>
        </w:rPr>
        <w:t xml:space="preserve">commission </w:t>
      </w:r>
      <w:r w:rsidR="003F697C" w:rsidRPr="00EE5050">
        <w:rPr>
          <w:rFonts w:eastAsia="PMingLiU"/>
          <w:lang w:val="en-GB" w:eastAsia="zh-TW"/>
        </w:rPr>
        <w:t xml:space="preserve">but upholding </w:t>
      </w:r>
      <w:r w:rsidR="00271FD2" w:rsidRPr="00EE5050">
        <w:rPr>
          <w:rFonts w:eastAsia="PMingLiU"/>
          <w:lang w:val="en-GB" w:eastAsia="zh-TW"/>
        </w:rPr>
        <w:t>the legislature</w:t>
      </w:r>
      <w:r w:rsidR="00AC357A">
        <w:rPr>
          <w:rFonts w:eastAsia="PMingLiU"/>
          <w:lang w:val="en-GB" w:eastAsia="zh-TW"/>
        </w:rPr>
        <w:t>’</w:t>
      </w:r>
      <w:r w:rsidR="00271FD2" w:rsidRPr="00EE5050">
        <w:rPr>
          <w:rFonts w:eastAsia="PMingLiU"/>
          <w:lang w:val="en-GB" w:eastAsia="zh-TW"/>
        </w:rPr>
        <w:t>s investigatory powers</w:t>
      </w:r>
      <w:r w:rsidRPr="00EE5050">
        <w:rPr>
          <w:rFonts w:eastAsia="PMingLiU"/>
          <w:lang w:val="en-GB" w:eastAsia="zh-TW"/>
        </w:rPr>
        <w:t>.</w:t>
      </w:r>
      <w:r w:rsidRPr="00EE5050">
        <w:rPr>
          <w:rStyle w:val="FootnoteReference"/>
          <w:rFonts w:eastAsia="PMingLiU"/>
          <w:lang w:val="en-GB" w:eastAsia="zh-TW"/>
        </w:rPr>
        <w:footnoteReference w:id="86"/>
      </w:r>
      <w:r w:rsidRPr="00EE5050">
        <w:rPr>
          <w:rFonts w:eastAsia="PMingLiU"/>
          <w:lang w:val="en-GB" w:eastAsia="zh-TW"/>
        </w:rPr>
        <w:t xml:space="preserve"> In doing so, the Justices emphatically stated they </w:t>
      </w:r>
      <w:r w:rsidR="00AC357A">
        <w:rPr>
          <w:rFonts w:eastAsia="PMingLiU"/>
          <w:lang w:val="en-GB" w:eastAsia="zh-TW"/>
        </w:rPr>
        <w:t>‘</w:t>
      </w:r>
      <w:r w:rsidRPr="00EE5050">
        <w:rPr>
          <w:rFonts w:eastAsia="PMingLiU"/>
          <w:lang w:val="en-GB" w:eastAsia="zh-TW"/>
        </w:rPr>
        <w:t>will not be bound by the views held by petitioners or agencies concerned as to how the law should be applied</w:t>
      </w:r>
      <w:r w:rsidR="00AC357A">
        <w:rPr>
          <w:rFonts w:eastAsia="PMingLiU"/>
          <w:lang w:val="en-GB" w:eastAsia="zh-TW"/>
        </w:rPr>
        <w:t>’</w:t>
      </w:r>
      <w:r w:rsidRPr="00EE5050">
        <w:rPr>
          <w:rFonts w:eastAsia="PMingLiU"/>
          <w:lang w:val="en-GB" w:eastAsia="zh-TW"/>
        </w:rPr>
        <w:t>.</w:t>
      </w:r>
      <w:r w:rsidRPr="00EE5050">
        <w:rPr>
          <w:rStyle w:val="FootnoteReference"/>
          <w:rFonts w:eastAsia="PMingLiU"/>
          <w:lang w:val="en-GB" w:eastAsia="zh-TW"/>
        </w:rPr>
        <w:footnoteReference w:id="87"/>
      </w:r>
      <w:r w:rsidRPr="00EE5050">
        <w:rPr>
          <w:rFonts w:eastAsia="PMingLiU"/>
          <w:lang w:val="en-GB" w:eastAsia="zh-TW"/>
        </w:rPr>
        <w:t xml:space="preserve"> This passage is similar to the </w:t>
      </w:r>
      <w:r w:rsidRPr="00EE5050">
        <w:rPr>
          <w:rFonts w:eastAsia="PMingLiU"/>
          <w:lang w:val="en-GB" w:eastAsia="zh-TW"/>
        </w:rPr>
        <w:lastRenderedPageBreak/>
        <w:t>statements made in Interpretation No</w:t>
      </w:r>
      <w:r w:rsidR="00B0206D">
        <w:rPr>
          <w:rFonts w:eastAsia="PMingLiU"/>
          <w:lang w:val="en-GB" w:eastAsia="zh-TW"/>
        </w:rPr>
        <w:t> </w:t>
      </w:r>
      <w:r w:rsidRPr="00EE5050">
        <w:rPr>
          <w:rFonts w:eastAsia="PMingLiU"/>
          <w:lang w:val="en-GB" w:eastAsia="zh-TW"/>
        </w:rPr>
        <w:t>216</w:t>
      </w:r>
      <w:r w:rsidR="00EE63EC" w:rsidRPr="00EE5050">
        <w:rPr>
          <w:rFonts w:eastAsia="PMingLiU"/>
          <w:lang w:val="en-GB" w:eastAsia="zh-TW"/>
        </w:rPr>
        <w:t>, disregarding the views of Ministry of Justice attorneys on the constitutionality of legislation</w:t>
      </w:r>
      <w:r w:rsidRPr="00EE5050">
        <w:rPr>
          <w:rFonts w:eastAsia="PMingLiU"/>
          <w:lang w:val="en-GB" w:eastAsia="zh-TW"/>
        </w:rPr>
        <w:t>.</w:t>
      </w:r>
      <w:r w:rsidR="00750E0E" w:rsidRPr="00EE5050">
        <w:rPr>
          <w:rStyle w:val="FootnoteReference"/>
          <w:rFonts w:eastAsia="PMingLiU"/>
          <w:lang w:val="en-GB" w:eastAsia="zh-TW"/>
        </w:rPr>
        <w:footnoteReference w:id="88"/>
      </w:r>
      <w:r w:rsidRPr="00EE5050">
        <w:rPr>
          <w:rFonts w:eastAsia="PMingLiU"/>
          <w:lang w:val="en-GB" w:eastAsia="zh-TW"/>
        </w:rPr>
        <w:t xml:space="preserve"> But this incident did not end there. KMT legislators were so </w:t>
      </w:r>
      <w:r w:rsidR="0064381B" w:rsidRPr="00EE5050">
        <w:rPr>
          <w:rFonts w:eastAsia="PMingLiU"/>
          <w:lang w:val="en-GB" w:eastAsia="zh-TW"/>
        </w:rPr>
        <w:t>upset</w:t>
      </w:r>
      <w:r w:rsidRPr="00EE5050">
        <w:rPr>
          <w:rFonts w:eastAsia="PMingLiU"/>
          <w:lang w:val="en-GB" w:eastAsia="zh-TW"/>
        </w:rPr>
        <w:t xml:space="preserve"> </w:t>
      </w:r>
      <w:r w:rsidR="0064381B" w:rsidRPr="00EE5050">
        <w:rPr>
          <w:rFonts w:eastAsia="PMingLiU"/>
          <w:lang w:val="en-GB" w:eastAsia="zh-TW"/>
        </w:rPr>
        <w:t>with</w:t>
      </w:r>
      <w:r w:rsidRPr="00EE5050">
        <w:rPr>
          <w:rFonts w:eastAsia="PMingLiU"/>
          <w:lang w:val="en-GB" w:eastAsia="zh-TW"/>
        </w:rPr>
        <w:t xml:space="preserve"> Interpretation No</w:t>
      </w:r>
      <w:r w:rsidR="003C20B8">
        <w:rPr>
          <w:rFonts w:eastAsia="PMingLiU"/>
          <w:lang w:val="en-GB" w:eastAsia="zh-TW"/>
        </w:rPr>
        <w:t> </w:t>
      </w:r>
      <w:r w:rsidRPr="00EE5050">
        <w:rPr>
          <w:rFonts w:eastAsia="PMingLiU"/>
          <w:lang w:val="en-GB" w:eastAsia="zh-TW"/>
        </w:rPr>
        <w:t xml:space="preserve">585 that in the following budget they deleted the </w:t>
      </w:r>
      <w:r w:rsidR="00AC357A">
        <w:rPr>
          <w:rFonts w:eastAsia="PMingLiU"/>
          <w:lang w:val="en-GB" w:eastAsia="zh-TW"/>
        </w:rPr>
        <w:t>‘</w:t>
      </w:r>
      <w:r w:rsidRPr="00EE5050">
        <w:rPr>
          <w:rFonts w:eastAsia="PMingLiU"/>
          <w:lang w:val="en-GB" w:eastAsia="zh-TW"/>
        </w:rPr>
        <w:t>spec</w:t>
      </w:r>
      <w:r w:rsidR="002B49B4" w:rsidRPr="00EE5050">
        <w:rPr>
          <w:rFonts w:eastAsia="PMingLiU"/>
          <w:lang w:val="en-GB" w:eastAsia="zh-TW"/>
        </w:rPr>
        <w:t>ialty premiums</w:t>
      </w:r>
      <w:r w:rsidR="00AC357A">
        <w:rPr>
          <w:rFonts w:eastAsia="PMingLiU"/>
          <w:lang w:val="en-GB" w:eastAsia="zh-TW"/>
        </w:rPr>
        <w:t>’</w:t>
      </w:r>
      <w:r w:rsidR="002B49B4" w:rsidRPr="00EE5050">
        <w:rPr>
          <w:rFonts w:eastAsia="PMingLiU"/>
          <w:lang w:val="en-GB" w:eastAsia="zh-TW"/>
        </w:rPr>
        <w:t xml:space="preserve"> portion of the Justices</w:t>
      </w:r>
      <w:r w:rsidR="00081CFE">
        <w:rPr>
          <w:rFonts w:eastAsia="PMingLiU"/>
          <w:lang w:val="en-GB" w:eastAsia="zh-TW"/>
        </w:rPr>
        <w:t>’</w:t>
      </w:r>
      <w:r w:rsidR="002B49B4" w:rsidRPr="00EE5050">
        <w:rPr>
          <w:rFonts w:eastAsia="PMingLiU"/>
          <w:lang w:val="en-GB" w:eastAsia="zh-TW"/>
        </w:rPr>
        <w:t xml:space="preserve"> salaries</w:t>
      </w:r>
      <w:r w:rsidRPr="00EE5050">
        <w:rPr>
          <w:rFonts w:eastAsia="PMingLiU"/>
          <w:lang w:val="en-GB" w:eastAsia="zh-TW"/>
        </w:rPr>
        <w:t>.</w:t>
      </w:r>
      <w:r w:rsidRPr="00EE5050">
        <w:rPr>
          <w:rStyle w:val="FootnoteReference"/>
          <w:rFonts w:eastAsia="PMingLiU"/>
          <w:lang w:val="en-GB" w:eastAsia="zh-TW"/>
        </w:rPr>
        <w:footnoteReference w:id="89"/>
      </w:r>
      <w:r w:rsidRPr="00EE5050">
        <w:rPr>
          <w:rFonts w:eastAsia="PMingLiU"/>
          <w:lang w:val="en-GB" w:eastAsia="zh-TW"/>
        </w:rPr>
        <w:t xml:space="preserve"> Members of the Legislative Yuan again petitioned the Court and the Justices responded by </w:t>
      </w:r>
      <w:r w:rsidR="00EE63EC" w:rsidRPr="00EE5050">
        <w:rPr>
          <w:rFonts w:eastAsia="PMingLiU"/>
          <w:lang w:val="en-GB" w:eastAsia="zh-TW"/>
        </w:rPr>
        <w:t>declaring</w:t>
      </w:r>
      <w:r w:rsidRPr="00EE5050">
        <w:rPr>
          <w:rFonts w:eastAsia="PMingLiU"/>
          <w:lang w:val="en-GB" w:eastAsia="zh-TW"/>
        </w:rPr>
        <w:t xml:space="preserve"> the salary deletions unconstitutional, </w:t>
      </w:r>
      <w:r w:rsidR="00EE63EC" w:rsidRPr="00EE5050">
        <w:rPr>
          <w:rFonts w:eastAsia="PMingLiU"/>
          <w:lang w:val="en-GB" w:eastAsia="zh-TW"/>
        </w:rPr>
        <w:t>asserting</w:t>
      </w:r>
      <w:r w:rsidRPr="00EE5050">
        <w:rPr>
          <w:rFonts w:eastAsia="PMingLiU"/>
          <w:lang w:val="en-GB" w:eastAsia="zh-TW"/>
        </w:rPr>
        <w:t xml:space="preserve"> that </w:t>
      </w:r>
      <w:r w:rsidR="00AC357A">
        <w:rPr>
          <w:rFonts w:eastAsia="PMingLiU"/>
          <w:lang w:val="en-GB" w:eastAsia="zh-TW"/>
        </w:rPr>
        <w:t>‘</w:t>
      </w:r>
      <w:r w:rsidRPr="00EE5050">
        <w:rPr>
          <w:rFonts w:eastAsia="PMingLiU"/>
          <w:lang w:val="en-GB" w:eastAsia="zh-TW"/>
        </w:rPr>
        <w:t>no constitutional organ may delete or diminish the remuneration for a judge unless there is any ground for discipline</w:t>
      </w:r>
      <w:r w:rsidR="00AC357A">
        <w:rPr>
          <w:rFonts w:eastAsia="PMingLiU"/>
          <w:lang w:val="en-GB" w:eastAsia="zh-TW"/>
        </w:rPr>
        <w:t>’</w:t>
      </w:r>
      <w:r w:rsidRPr="00EE5050">
        <w:rPr>
          <w:rFonts w:eastAsia="PMingLiU"/>
          <w:lang w:val="en-GB" w:eastAsia="zh-TW"/>
        </w:rPr>
        <w:t>.</w:t>
      </w:r>
      <w:r w:rsidRPr="00EE5050">
        <w:rPr>
          <w:rStyle w:val="FootnoteReference"/>
          <w:rFonts w:eastAsia="PMingLiU"/>
          <w:lang w:val="en-GB" w:eastAsia="zh-TW"/>
        </w:rPr>
        <w:footnoteReference w:id="90"/>
      </w:r>
      <w:r w:rsidRPr="00EE5050">
        <w:rPr>
          <w:rFonts w:eastAsia="PMingLiU"/>
          <w:lang w:val="en-GB" w:eastAsia="zh-TW"/>
        </w:rPr>
        <w:t xml:space="preserve"> </w:t>
      </w:r>
      <w:r w:rsidR="00C31DCA" w:rsidRPr="00EE5050">
        <w:rPr>
          <w:rFonts w:eastAsia="PMingLiU"/>
          <w:lang w:val="en-GB" w:eastAsia="zh-TW"/>
        </w:rPr>
        <w:t>Subsequently</w:t>
      </w:r>
      <w:r w:rsidR="00750E0E" w:rsidRPr="00EE5050">
        <w:rPr>
          <w:rFonts w:eastAsia="PMingLiU"/>
          <w:lang w:val="en-GB" w:eastAsia="zh-TW"/>
        </w:rPr>
        <w:t>, the Legislative Yuan has been noticeably hesitant to challenge Con</w:t>
      </w:r>
      <w:r w:rsidR="00850E46" w:rsidRPr="00EE5050">
        <w:rPr>
          <w:rFonts w:eastAsia="PMingLiU"/>
          <w:lang w:val="en-GB" w:eastAsia="zh-TW"/>
        </w:rPr>
        <w:t>stitutional Court authority.</w:t>
      </w:r>
      <w:r w:rsidR="006742ED" w:rsidRPr="00EE5050">
        <w:rPr>
          <w:rStyle w:val="FootnoteReference"/>
          <w:rFonts w:eastAsia="PMingLiU"/>
          <w:lang w:val="en-GB" w:eastAsia="zh-TW"/>
        </w:rPr>
        <w:footnoteReference w:id="91"/>
      </w:r>
    </w:p>
    <w:p w14:paraId="3B941C01" w14:textId="587574E5" w:rsidR="00D00A77" w:rsidRPr="00EE5050" w:rsidRDefault="003F697C" w:rsidP="00A31E24">
      <w:pPr>
        <w:pStyle w:val="NoSpacing"/>
        <w:tabs>
          <w:tab w:val="left" w:pos="720"/>
          <w:tab w:val="left" w:pos="1440"/>
        </w:tabs>
        <w:spacing w:line="480" w:lineRule="auto"/>
        <w:ind w:firstLineChars="295" w:firstLine="708"/>
        <w:jc w:val="both"/>
        <w:rPr>
          <w:rFonts w:eastAsia="PMingLiU"/>
          <w:lang w:val="en-GB" w:eastAsia="zh-TW"/>
        </w:rPr>
      </w:pPr>
      <w:r w:rsidRPr="00EE5050">
        <w:rPr>
          <w:rFonts w:eastAsia="PMingLiU"/>
          <w:lang w:val="en-GB" w:eastAsia="zh-TW"/>
        </w:rPr>
        <w:t>That</w:t>
      </w:r>
      <w:r w:rsidR="00271FD2" w:rsidRPr="00EE5050">
        <w:rPr>
          <w:rFonts w:eastAsia="PMingLiU"/>
          <w:lang w:val="en-GB" w:eastAsia="zh-TW"/>
        </w:rPr>
        <w:t xml:space="preserve"> prominent</w:t>
      </w:r>
      <w:r w:rsidR="00D00A77" w:rsidRPr="00EE5050">
        <w:rPr>
          <w:rFonts w:eastAsia="PMingLiU"/>
          <w:lang w:val="en-GB" w:eastAsia="zh-TW"/>
        </w:rPr>
        <w:t xml:space="preserve"> exchange</w:t>
      </w:r>
      <w:r w:rsidR="00750E0E" w:rsidRPr="00EE5050">
        <w:rPr>
          <w:rFonts w:eastAsia="PMingLiU"/>
          <w:lang w:val="en-GB" w:eastAsia="zh-TW"/>
        </w:rPr>
        <w:t xml:space="preserve"> came during a period of rapid power expansion for the Court.</w:t>
      </w:r>
      <w:r w:rsidR="001C5254" w:rsidRPr="00EE5050">
        <w:rPr>
          <w:rFonts w:eastAsia="PMingLiU"/>
          <w:lang w:val="en-GB" w:eastAsia="zh-TW"/>
        </w:rPr>
        <w:t xml:space="preserve"> In 1990 the Justices </w:t>
      </w:r>
      <w:r w:rsidR="00271FD2" w:rsidRPr="00EE5050">
        <w:rPr>
          <w:rFonts w:eastAsia="PMingLiU"/>
          <w:lang w:val="en-GB" w:eastAsia="zh-TW"/>
        </w:rPr>
        <w:t xml:space="preserve">struck down a </w:t>
      </w:r>
      <w:r w:rsidR="00D00A77" w:rsidRPr="00EE5050">
        <w:rPr>
          <w:rFonts w:eastAsia="PMingLiU"/>
          <w:lang w:val="en-GB" w:eastAsia="zh-TW"/>
        </w:rPr>
        <w:t>Temporary Provisions</w:t>
      </w:r>
      <w:r w:rsidR="00271FD2" w:rsidRPr="00EE5050">
        <w:rPr>
          <w:rFonts w:eastAsia="PMingLiU"/>
          <w:lang w:val="en-GB" w:eastAsia="zh-TW"/>
        </w:rPr>
        <w:t xml:space="preserve"> </w:t>
      </w:r>
      <w:r w:rsidR="000A6E34" w:rsidRPr="00EE5050">
        <w:rPr>
          <w:rFonts w:eastAsia="PMingLiU"/>
          <w:lang w:val="en-GB" w:eastAsia="zh-TW"/>
        </w:rPr>
        <w:t>constitutional amendment</w:t>
      </w:r>
      <w:r w:rsidR="00D00A77" w:rsidRPr="00EE5050">
        <w:rPr>
          <w:rFonts w:eastAsia="PMingLiU"/>
          <w:lang w:val="en-GB" w:eastAsia="zh-TW"/>
        </w:rPr>
        <w:t>,</w:t>
      </w:r>
      <w:r w:rsidR="00D00A77" w:rsidRPr="00EE5050">
        <w:rPr>
          <w:rStyle w:val="FootnoteReference"/>
          <w:rFonts w:eastAsia="PMingLiU"/>
          <w:lang w:val="en-GB" w:eastAsia="zh-TW"/>
        </w:rPr>
        <w:footnoteReference w:id="92"/>
      </w:r>
      <w:r w:rsidR="00D00A77" w:rsidRPr="00EE5050">
        <w:rPr>
          <w:rFonts w:eastAsia="PMingLiU"/>
          <w:lang w:val="en-GB" w:eastAsia="zh-TW"/>
        </w:rPr>
        <w:t xml:space="preserve"> and a decade later they </w:t>
      </w:r>
      <w:r w:rsidR="000A6E34" w:rsidRPr="00EE5050">
        <w:rPr>
          <w:rFonts w:eastAsia="PMingLiU"/>
          <w:lang w:val="en-GB" w:eastAsia="zh-TW"/>
        </w:rPr>
        <w:t xml:space="preserve">controversially </w:t>
      </w:r>
      <w:r w:rsidR="00D00A77" w:rsidRPr="00EE5050">
        <w:rPr>
          <w:rFonts w:eastAsia="PMingLiU"/>
          <w:lang w:val="en-GB" w:eastAsia="zh-TW"/>
        </w:rPr>
        <w:t>struck down a</w:t>
      </w:r>
      <w:r w:rsidR="000A6E34" w:rsidRPr="00EE5050">
        <w:rPr>
          <w:rFonts w:eastAsia="PMingLiU"/>
          <w:lang w:val="en-GB" w:eastAsia="zh-TW"/>
        </w:rPr>
        <w:t>nother</w:t>
      </w:r>
      <w:r w:rsidR="00D00A77" w:rsidRPr="00EE5050">
        <w:rPr>
          <w:rFonts w:eastAsia="PMingLiU"/>
          <w:lang w:val="en-GB" w:eastAsia="zh-TW"/>
        </w:rPr>
        <w:t xml:space="preserve"> constitutional amendment</w:t>
      </w:r>
      <w:r w:rsidRPr="00EE5050">
        <w:rPr>
          <w:rFonts w:eastAsia="PMingLiU"/>
          <w:lang w:val="en-GB" w:eastAsia="zh-TW"/>
        </w:rPr>
        <w:t xml:space="preserve"> on </w:t>
      </w:r>
      <w:r w:rsidR="00E168B9">
        <w:rPr>
          <w:rFonts w:eastAsia="PMingLiU"/>
          <w:lang w:val="en-GB" w:eastAsia="zh-TW"/>
        </w:rPr>
        <w:t xml:space="preserve">the </w:t>
      </w:r>
      <w:r w:rsidRPr="00EE5050">
        <w:rPr>
          <w:rFonts w:eastAsia="PMingLiU"/>
          <w:lang w:val="en-GB" w:eastAsia="zh-TW"/>
        </w:rPr>
        <w:t xml:space="preserve">grounds of </w:t>
      </w:r>
      <w:r w:rsidR="00AC357A">
        <w:rPr>
          <w:rFonts w:eastAsia="PMingLiU"/>
          <w:lang w:val="en-GB" w:eastAsia="zh-TW"/>
        </w:rPr>
        <w:t>‘</w:t>
      </w:r>
      <w:r w:rsidRPr="00EE5050">
        <w:rPr>
          <w:rFonts w:eastAsia="PMingLiU"/>
          <w:lang w:val="en-GB" w:eastAsia="zh-TW"/>
        </w:rPr>
        <w:t>improper processes</w:t>
      </w:r>
      <w:r w:rsidR="00AC357A">
        <w:rPr>
          <w:rFonts w:eastAsia="PMingLiU"/>
          <w:lang w:val="en-GB" w:eastAsia="zh-TW"/>
        </w:rPr>
        <w:t>’</w:t>
      </w:r>
      <w:r w:rsidR="00D00A77" w:rsidRPr="00EE5050">
        <w:rPr>
          <w:rFonts w:eastAsia="PMingLiU"/>
          <w:lang w:val="en-GB" w:eastAsia="zh-TW"/>
        </w:rPr>
        <w:t>.</w:t>
      </w:r>
      <w:r w:rsidR="00D00A77" w:rsidRPr="00EE5050">
        <w:rPr>
          <w:rStyle w:val="FootnoteReference"/>
          <w:rFonts w:eastAsia="PMingLiU"/>
          <w:lang w:val="en-GB" w:eastAsia="zh-TW"/>
        </w:rPr>
        <w:footnoteReference w:id="93"/>
      </w:r>
      <w:r w:rsidR="00D00A77" w:rsidRPr="00EE5050">
        <w:rPr>
          <w:rFonts w:eastAsia="PMingLiU"/>
          <w:lang w:val="en-GB" w:eastAsia="zh-TW"/>
        </w:rPr>
        <w:t xml:space="preserve"> The latter was perceived by some as revising, not interpreting, the </w:t>
      </w:r>
      <w:r w:rsidR="006B3B30">
        <w:rPr>
          <w:rFonts w:eastAsia="PMingLiU"/>
          <w:lang w:val="en-GB" w:eastAsia="zh-TW"/>
        </w:rPr>
        <w:t>C</w:t>
      </w:r>
      <w:r w:rsidR="006B3B30" w:rsidRPr="00EE5050">
        <w:rPr>
          <w:rFonts w:eastAsia="PMingLiU"/>
          <w:lang w:val="en-GB" w:eastAsia="zh-TW"/>
        </w:rPr>
        <w:t>onstitution</w:t>
      </w:r>
      <w:r w:rsidR="00D00A77" w:rsidRPr="00EE5050">
        <w:rPr>
          <w:rFonts w:eastAsia="PMingLiU"/>
          <w:lang w:val="en-GB" w:eastAsia="zh-TW"/>
        </w:rPr>
        <w:t>.</w:t>
      </w:r>
      <w:r w:rsidR="00D00A77" w:rsidRPr="00EE5050">
        <w:rPr>
          <w:rStyle w:val="FootnoteReference"/>
          <w:rFonts w:eastAsia="PMingLiU"/>
          <w:lang w:val="en-GB" w:eastAsia="zh-TW"/>
        </w:rPr>
        <w:footnoteReference w:id="94"/>
      </w:r>
      <w:r w:rsidR="00D00A77" w:rsidRPr="00EE5050">
        <w:rPr>
          <w:rFonts w:eastAsia="PMingLiU"/>
          <w:lang w:val="en-GB" w:eastAsia="zh-TW"/>
        </w:rPr>
        <w:t xml:space="preserve"> </w:t>
      </w:r>
      <w:r w:rsidR="00750E0E" w:rsidRPr="00EE5050">
        <w:rPr>
          <w:rFonts w:eastAsia="PMingLiU"/>
          <w:lang w:val="en-GB" w:eastAsia="zh-TW"/>
        </w:rPr>
        <w:t>While such negation of constitutional amendments</w:t>
      </w:r>
      <w:r w:rsidR="00D00A77" w:rsidRPr="00EE5050">
        <w:rPr>
          <w:rFonts w:eastAsia="PMingLiU"/>
          <w:lang w:val="en-GB" w:eastAsia="zh-TW"/>
        </w:rPr>
        <w:t xml:space="preserve"> infrequently </w:t>
      </w:r>
      <w:r w:rsidR="000B594C" w:rsidRPr="00EE5050">
        <w:rPr>
          <w:rFonts w:eastAsia="PMingLiU"/>
          <w:lang w:val="en-GB" w:eastAsia="zh-TW"/>
        </w:rPr>
        <w:t>occurs</w:t>
      </w:r>
      <w:r w:rsidR="00D00A77" w:rsidRPr="00EE5050">
        <w:rPr>
          <w:rFonts w:eastAsia="PMingLiU"/>
          <w:lang w:val="en-GB" w:eastAsia="zh-TW"/>
        </w:rPr>
        <w:t xml:space="preserve"> in democracies, it certainly </w:t>
      </w:r>
      <w:r w:rsidR="00750E0E" w:rsidRPr="00EE5050">
        <w:rPr>
          <w:rFonts w:eastAsia="PMingLiU"/>
          <w:lang w:val="en-GB" w:eastAsia="zh-TW"/>
        </w:rPr>
        <w:t xml:space="preserve">is </w:t>
      </w:r>
      <w:r w:rsidR="00D00A77" w:rsidRPr="00EE5050">
        <w:rPr>
          <w:rFonts w:eastAsia="PMingLiU"/>
          <w:lang w:val="en-GB" w:eastAsia="zh-TW"/>
        </w:rPr>
        <w:t xml:space="preserve">not unheard of. </w:t>
      </w:r>
      <w:r w:rsidR="00D00A77" w:rsidRPr="00EE5050">
        <w:rPr>
          <w:rStyle w:val="FootnoteReference"/>
          <w:rFonts w:eastAsia="PMingLiU"/>
          <w:lang w:val="en-GB" w:eastAsia="zh-TW"/>
        </w:rPr>
        <w:footnoteReference w:id="95"/>
      </w:r>
      <w:r w:rsidR="000B594C" w:rsidRPr="00EE5050">
        <w:rPr>
          <w:rFonts w:eastAsia="PMingLiU"/>
          <w:lang w:val="en-GB" w:eastAsia="zh-TW"/>
        </w:rPr>
        <w:t xml:space="preserve"> R</w:t>
      </w:r>
      <w:r w:rsidR="00D00A77" w:rsidRPr="00EE5050">
        <w:rPr>
          <w:rFonts w:eastAsia="PMingLiU"/>
          <w:lang w:val="en-GB" w:eastAsia="zh-TW"/>
        </w:rPr>
        <w:t>evisions to the Constitution in 2005 gave the Justices power to adjudicate impeachments of the president and to dissolve unconstitutional political parties,</w:t>
      </w:r>
      <w:r w:rsidR="00A10DF8" w:rsidRPr="00EE5050">
        <w:rPr>
          <w:rFonts w:eastAsia="PMingLiU"/>
          <w:lang w:val="en-GB" w:eastAsia="zh-TW"/>
        </w:rPr>
        <w:t xml:space="preserve"> </w:t>
      </w:r>
      <w:r w:rsidR="00D00A77" w:rsidRPr="00EE5050">
        <w:rPr>
          <w:rFonts w:eastAsia="PMingLiU"/>
          <w:lang w:val="en-GB" w:eastAsia="zh-TW"/>
        </w:rPr>
        <w:t xml:space="preserve">two </w:t>
      </w:r>
      <w:r w:rsidR="00D00A77" w:rsidRPr="00EE5050">
        <w:rPr>
          <w:rFonts w:eastAsia="PMingLiU"/>
          <w:lang w:val="en-GB" w:eastAsia="zh-TW"/>
        </w:rPr>
        <w:lastRenderedPageBreak/>
        <w:t>spectacular powers not normally provided to courts in liberal democracies.</w:t>
      </w:r>
      <w:r w:rsidR="00D00A77" w:rsidRPr="00EE5050">
        <w:rPr>
          <w:rStyle w:val="FootnoteReference"/>
          <w:rFonts w:eastAsia="PMingLiU"/>
          <w:lang w:val="en-GB" w:eastAsia="zh-TW"/>
        </w:rPr>
        <w:footnoteReference w:id="96"/>
      </w:r>
      <w:r w:rsidR="00D00A77" w:rsidRPr="00EE5050">
        <w:rPr>
          <w:rFonts w:eastAsia="PMingLiU"/>
          <w:lang w:val="en-GB" w:eastAsia="zh-TW"/>
        </w:rPr>
        <w:t xml:space="preserve"> The Court also exerts a certain irresolute control over the political agenda in Taiwan, which scholars believe was gained in the late 1990s.</w:t>
      </w:r>
      <w:r w:rsidR="00D00A77" w:rsidRPr="00EE5050">
        <w:rPr>
          <w:rStyle w:val="FootnoteReference"/>
          <w:rFonts w:eastAsia="PMingLiU"/>
          <w:lang w:val="en-GB" w:eastAsia="zh-TW"/>
        </w:rPr>
        <w:footnoteReference w:id="97"/>
      </w:r>
    </w:p>
    <w:p w14:paraId="3C033605" w14:textId="5B1BF98C" w:rsidR="00BF340F" w:rsidRPr="00EE5050" w:rsidRDefault="00BF340F" w:rsidP="00A31E24">
      <w:pPr>
        <w:pStyle w:val="NoSpacing"/>
        <w:tabs>
          <w:tab w:val="left" w:pos="720"/>
          <w:tab w:val="left" w:pos="1440"/>
        </w:tabs>
        <w:spacing w:line="480" w:lineRule="auto"/>
        <w:ind w:firstLineChars="295" w:firstLine="708"/>
        <w:jc w:val="both"/>
        <w:rPr>
          <w:rFonts w:eastAsia="PMingLiU"/>
          <w:lang w:val="en-GB" w:eastAsia="zh-TW"/>
        </w:rPr>
      </w:pPr>
      <w:r w:rsidRPr="00EE5050">
        <w:rPr>
          <w:rFonts w:eastAsia="PMingLiU"/>
          <w:lang w:val="en-GB" w:eastAsia="zh-TW"/>
        </w:rPr>
        <w:t>Some Constitutional Co</w:t>
      </w:r>
      <w:r w:rsidR="00EB3209" w:rsidRPr="00EE5050">
        <w:rPr>
          <w:rFonts w:eastAsia="PMingLiU"/>
          <w:lang w:val="en-GB" w:eastAsia="zh-TW"/>
        </w:rPr>
        <w:t>urt interpretations forcefully, almost combatively,</w:t>
      </w:r>
      <w:r w:rsidRPr="00EE5050">
        <w:rPr>
          <w:rFonts w:eastAsia="PMingLiU"/>
          <w:lang w:val="en-GB" w:eastAsia="zh-TW"/>
        </w:rPr>
        <w:t xml:space="preserve"> articulate the authority </w:t>
      </w:r>
      <w:r w:rsidR="000B594C" w:rsidRPr="00EE5050">
        <w:rPr>
          <w:rFonts w:eastAsia="PMingLiU"/>
          <w:lang w:val="en-GB" w:eastAsia="zh-TW"/>
        </w:rPr>
        <w:t xml:space="preserve">of </w:t>
      </w:r>
      <w:r w:rsidRPr="00EE5050">
        <w:rPr>
          <w:rFonts w:eastAsia="PMingLiU"/>
          <w:lang w:val="en-GB" w:eastAsia="zh-TW"/>
        </w:rPr>
        <w:t>the Constitutional</w:t>
      </w:r>
      <w:r w:rsidR="00632308" w:rsidRPr="00EE5050">
        <w:rPr>
          <w:rFonts w:eastAsia="PMingLiU"/>
          <w:lang w:val="en-GB" w:eastAsia="zh-TW"/>
        </w:rPr>
        <w:t xml:space="preserve"> Court</w:t>
      </w:r>
      <w:r w:rsidRPr="00EE5050">
        <w:rPr>
          <w:rFonts w:eastAsia="PMingLiU"/>
          <w:lang w:val="en-GB" w:eastAsia="zh-TW"/>
        </w:rPr>
        <w:t>.</w:t>
      </w:r>
      <w:r w:rsidR="0098183F" w:rsidRPr="00EE5050">
        <w:rPr>
          <w:rStyle w:val="FootnoteReference"/>
          <w:rFonts w:eastAsia="PMingLiU"/>
          <w:lang w:val="en-GB" w:eastAsia="zh-TW"/>
        </w:rPr>
        <w:footnoteReference w:id="98"/>
      </w:r>
      <w:r w:rsidRPr="00EE5050">
        <w:rPr>
          <w:rFonts w:eastAsia="PMingLiU"/>
          <w:lang w:val="en-GB" w:eastAsia="zh-TW"/>
        </w:rPr>
        <w:t xml:space="preserve"> Interpretation No</w:t>
      </w:r>
      <w:r w:rsidR="006633E2">
        <w:rPr>
          <w:rFonts w:eastAsia="PMingLiU"/>
          <w:lang w:val="en-GB" w:eastAsia="zh-TW"/>
        </w:rPr>
        <w:t> </w:t>
      </w:r>
      <w:r w:rsidRPr="00EE5050">
        <w:rPr>
          <w:rFonts w:eastAsia="PMingLiU"/>
          <w:lang w:val="en-GB" w:eastAsia="zh-TW"/>
        </w:rPr>
        <w:t xml:space="preserve">185 notes that </w:t>
      </w:r>
      <w:r w:rsidR="00AC357A">
        <w:rPr>
          <w:rFonts w:eastAsia="PMingLiU"/>
          <w:lang w:val="en-GB" w:eastAsia="zh-TW"/>
        </w:rPr>
        <w:t>‘</w:t>
      </w:r>
      <w:r w:rsidRPr="00EE5050">
        <w:rPr>
          <w:rFonts w:eastAsia="PMingLiU"/>
          <w:lang w:val="en-GB" w:eastAsia="zh-TW"/>
        </w:rPr>
        <w:t xml:space="preserve">interpretations of the Judicial Yuan </w:t>
      </w:r>
      <w:r w:rsidRPr="00EE5050">
        <w:rPr>
          <w:rFonts w:eastAsia="PMingLiU"/>
          <w:i/>
          <w:lang w:val="en-GB" w:eastAsia="zh-TW"/>
        </w:rPr>
        <w:t>shall be binding upon every institution and person in the country</w:t>
      </w:r>
      <w:r w:rsidRPr="00EE5050">
        <w:rPr>
          <w:rFonts w:eastAsia="PMingLiU"/>
          <w:lang w:val="en-GB" w:eastAsia="zh-TW"/>
        </w:rPr>
        <w:t>, and each institution shall abide by the meaning of these interpretations in handling relevant matters</w:t>
      </w:r>
      <w:r w:rsidR="00AC357A">
        <w:rPr>
          <w:rFonts w:eastAsia="PMingLiU"/>
          <w:lang w:val="en-GB" w:eastAsia="zh-TW"/>
        </w:rPr>
        <w:t>’</w:t>
      </w:r>
      <w:r w:rsidRPr="00EE5050">
        <w:rPr>
          <w:rFonts w:eastAsia="PMingLiU"/>
          <w:lang w:val="en-GB" w:eastAsia="zh-TW"/>
        </w:rPr>
        <w:t>.</w:t>
      </w:r>
      <w:r w:rsidRPr="00EE5050">
        <w:rPr>
          <w:rStyle w:val="FootnoteReference"/>
          <w:rFonts w:eastAsia="PMingLiU"/>
          <w:lang w:val="en-GB" w:eastAsia="zh-TW"/>
        </w:rPr>
        <w:footnoteReference w:id="99"/>
      </w:r>
      <w:r w:rsidRPr="00EE5050">
        <w:rPr>
          <w:rFonts w:eastAsia="PMingLiU"/>
          <w:lang w:val="en-GB" w:eastAsia="zh-TW"/>
        </w:rPr>
        <w:t xml:space="preserve"> Interpretation No</w:t>
      </w:r>
      <w:r w:rsidR="008048D6">
        <w:rPr>
          <w:rFonts w:eastAsia="PMingLiU"/>
          <w:lang w:val="en-GB" w:eastAsia="zh-TW"/>
        </w:rPr>
        <w:t> </w:t>
      </w:r>
      <w:r w:rsidRPr="00EE5050">
        <w:rPr>
          <w:rFonts w:eastAsia="PMingLiU"/>
          <w:lang w:val="en-GB" w:eastAsia="zh-TW"/>
        </w:rPr>
        <w:t>405 notes that Co</w:t>
      </w:r>
      <w:r w:rsidR="00B43EA3" w:rsidRPr="00EE5050">
        <w:rPr>
          <w:rFonts w:eastAsia="PMingLiU"/>
          <w:lang w:val="en-GB" w:eastAsia="zh-TW"/>
        </w:rPr>
        <w:t>urt interpretations are binding</w:t>
      </w:r>
      <w:r w:rsidRPr="00EE5050">
        <w:rPr>
          <w:rFonts w:eastAsia="PMingLiU"/>
          <w:lang w:val="en-GB" w:eastAsia="zh-TW"/>
        </w:rPr>
        <w:t xml:space="preserve"> </w:t>
      </w:r>
      <w:r w:rsidR="00AC357A">
        <w:rPr>
          <w:rFonts w:eastAsia="PMingLiU"/>
          <w:lang w:val="en-GB" w:eastAsia="zh-TW"/>
        </w:rPr>
        <w:t>‘</w:t>
      </w:r>
      <w:r w:rsidRPr="00EE5050">
        <w:rPr>
          <w:rFonts w:eastAsia="PMingLiU"/>
          <w:i/>
          <w:lang w:val="en-GB" w:eastAsia="zh-TW"/>
        </w:rPr>
        <w:t>regardless of whether the Interpretations concern the meaning of the Constitution</w:t>
      </w:r>
      <w:r w:rsidRPr="00EE5050">
        <w:rPr>
          <w:rFonts w:eastAsia="PMingLiU"/>
          <w:lang w:val="en-GB" w:eastAsia="zh-TW"/>
        </w:rPr>
        <w:t>, are solutions of disputes</w:t>
      </w:r>
      <w:r w:rsidR="00B43EA3" w:rsidRPr="00EE5050">
        <w:rPr>
          <w:rFonts w:eastAsia="PMingLiU"/>
          <w:lang w:val="en-GB" w:eastAsia="zh-TW"/>
        </w:rPr>
        <w:t xml:space="preserve"> concerning the applicability of</w:t>
      </w:r>
      <w:r w:rsidRPr="00EE5050">
        <w:rPr>
          <w:rFonts w:eastAsia="PMingLiU"/>
          <w:lang w:val="en-GB" w:eastAsia="zh-TW"/>
        </w:rPr>
        <w:t xml:space="preserve"> the Constitution or adjudication on the unconstitutionality of statutes</w:t>
      </w:r>
      <w:r w:rsidR="00AC357A">
        <w:rPr>
          <w:rFonts w:eastAsia="PMingLiU"/>
          <w:lang w:val="en-GB" w:eastAsia="zh-TW"/>
        </w:rPr>
        <w:t>’</w:t>
      </w:r>
      <w:r w:rsidRPr="00EE5050">
        <w:rPr>
          <w:rFonts w:eastAsia="PMingLiU"/>
          <w:lang w:val="en-GB" w:eastAsia="zh-TW"/>
        </w:rPr>
        <w:t>.</w:t>
      </w:r>
      <w:r w:rsidRPr="00EE5050">
        <w:rPr>
          <w:rStyle w:val="FootnoteReference"/>
          <w:rFonts w:eastAsia="PMingLiU"/>
          <w:lang w:val="en-GB" w:eastAsia="zh-TW"/>
        </w:rPr>
        <w:footnoteReference w:id="100"/>
      </w:r>
      <w:r w:rsidR="00E123C3" w:rsidRPr="00EE5050">
        <w:rPr>
          <w:rFonts w:eastAsia="PMingLiU"/>
          <w:lang w:val="en-GB" w:eastAsia="zh-TW"/>
        </w:rPr>
        <w:t xml:space="preserve"> These </w:t>
      </w:r>
      <w:r w:rsidRPr="00EE5050">
        <w:rPr>
          <w:rFonts w:eastAsia="PMingLiU"/>
          <w:lang w:val="en-GB" w:eastAsia="zh-TW"/>
        </w:rPr>
        <w:t xml:space="preserve">are </w:t>
      </w:r>
      <w:r w:rsidR="009F2AF6" w:rsidRPr="00EE5050">
        <w:rPr>
          <w:rFonts w:eastAsia="PMingLiU"/>
          <w:lang w:val="en-GB" w:eastAsia="zh-TW"/>
        </w:rPr>
        <w:t>audacious</w:t>
      </w:r>
      <w:r w:rsidRPr="00EE5050">
        <w:rPr>
          <w:rFonts w:eastAsia="PMingLiU"/>
          <w:lang w:val="en-GB" w:eastAsia="zh-TW"/>
        </w:rPr>
        <w:t xml:space="preserve"> words for a Court that </w:t>
      </w:r>
      <w:r w:rsidR="003F697C" w:rsidRPr="00EE5050">
        <w:rPr>
          <w:rFonts w:eastAsia="PMingLiU"/>
          <w:lang w:val="en-GB" w:eastAsia="zh-TW"/>
        </w:rPr>
        <w:t>operates</w:t>
      </w:r>
      <w:r w:rsidRPr="00EE5050">
        <w:rPr>
          <w:rFonts w:eastAsia="PMingLiU"/>
          <w:lang w:val="en-GB" w:eastAsia="zh-TW"/>
        </w:rPr>
        <w:t xml:space="preserve"> </w:t>
      </w:r>
      <w:r w:rsidR="000B594C" w:rsidRPr="00EE5050">
        <w:rPr>
          <w:rFonts w:eastAsia="PMingLiU"/>
          <w:lang w:val="en-GB" w:eastAsia="zh-TW"/>
        </w:rPr>
        <w:t xml:space="preserve">in </w:t>
      </w:r>
      <w:r w:rsidR="002F2D0B" w:rsidRPr="00EE5050">
        <w:rPr>
          <w:rFonts w:eastAsia="PMingLiU"/>
          <w:lang w:val="en-GB" w:eastAsia="zh-TW"/>
        </w:rPr>
        <w:t xml:space="preserve">a </w:t>
      </w:r>
      <w:r w:rsidR="00AC357A">
        <w:rPr>
          <w:rFonts w:eastAsia="PMingLiU"/>
          <w:lang w:val="en-GB" w:eastAsia="zh-TW"/>
        </w:rPr>
        <w:t>‘</w:t>
      </w:r>
      <w:r w:rsidR="000B594C" w:rsidRPr="00EE5050">
        <w:rPr>
          <w:rFonts w:eastAsia="PMingLiU"/>
          <w:lang w:val="en-GB" w:eastAsia="zh-TW"/>
        </w:rPr>
        <w:t>constitutional democracy</w:t>
      </w:r>
      <w:r w:rsidR="00AC357A">
        <w:rPr>
          <w:rFonts w:eastAsia="PMingLiU"/>
          <w:lang w:val="en-GB" w:eastAsia="zh-TW"/>
        </w:rPr>
        <w:t>’</w:t>
      </w:r>
      <w:r w:rsidR="006A2FDE" w:rsidRPr="00EE5050">
        <w:rPr>
          <w:rStyle w:val="FootnoteReference"/>
          <w:rFonts w:eastAsia="PMingLiU"/>
          <w:lang w:val="en-GB" w:eastAsia="zh-TW"/>
        </w:rPr>
        <w:footnoteReference w:id="101"/>
      </w:r>
      <w:r w:rsidR="000B594C" w:rsidRPr="00EE5050">
        <w:rPr>
          <w:rFonts w:eastAsia="PMingLiU"/>
          <w:lang w:val="en-GB" w:eastAsia="zh-TW"/>
        </w:rPr>
        <w:t xml:space="preserve"> and </w:t>
      </w:r>
      <w:r w:rsidR="006A2FDE" w:rsidRPr="00EE5050">
        <w:rPr>
          <w:rFonts w:eastAsia="PMingLiU"/>
          <w:lang w:val="en-GB" w:eastAsia="zh-TW"/>
        </w:rPr>
        <w:t xml:space="preserve">incorporates </w:t>
      </w:r>
      <w:r w:rsidR="000B594C" w:rsidRPr="00EE5050">
        <w:rPr>
          <w:rFonts w:eastAsia="PMingLiU"/>
          <w:lang w:val="en-GB" w:eastAsia="zh-TW"/>
        </w:rPr>
        <w:t xml:space="preserve">such </w:t>
      </w:r>
      <w:r w:rsidR="006A2FDE" w:rsidRPr="00EE5050">
        <w:rPr>
          <w:rFonts w:eastAsia="PMingLiU"/>
          <w:lang w:val="en-GB" w:eastAsia="zh-TW"/>
        </w:rPr>
        <w:t xml:space="preserve">principles </w:t>
      </w:r>
      <w:r w:rsidR="000B594C" w:rsidRPr="00EE5050">
        <w:rPr>
          <w:rFonts w:eastAsia="PMingLiU"/>
          <w:lang w:val="en-GB" w:eastAsia="zh-TW"/>
        </w:rPr>
        <w:t xml:space="preserve">as </w:t>
      </w:r>
      <w:r w:rsidR="00AC357A">
        <w:rPr>
          <w:rFonts w:eastAsia="PMingLiU"/>
          <w:lang w:val="en-GB" w:eastAsia="zh-TW"/>
        </w:rPr>
        <w:t>‘</w:t>
      </w:r>
      <w:r w:rsidR="000B594C" w:rsidRPr="00EE5050">
        <w:rPr>
          <w:rFonts w:eastAsia="PMingLiU"/>
          <w:lang w:val="en-GB" w:eastAsia="zh-TW"/>
        </w:rPr>
        <w:t>representative politics</w:t>
      </w:r>
      <w:r w:rsidR="00AC357A">
        <w:rPr>
          <w:rFonts w:eastAsia="PMingLiU"/>
          <w:lang w:val="en-GB" w:eastAsia="zh-TW"/>
        </w:rPr>
        <w:t>’</w:t>
      </w:r>
      <w:r w:rsidR="0098183F" w:rsidRPr="00EE5050">
        <w:rPr>
          <w:rFonts w:eastAsia="PMingLiU"/>
          <w:lang w:val="en-GB" w:eastAsia="zh-TW"/>
        </w:rPr>
        <w:t xml:space="preserve">, </w:t>
      </w:r>
      <w:r w:rsidR="00AC357A">
        <w:rPr>
          <w:rFonts w:eastAsia="PMingLiU"/>
          <w:lang w:val="en-GB" w:eastAsia="zh-TW"/>
        </w:rPr>
        <w:t>‘</w:t>
      </w:r>
      <w:r w:rsidR="000B594C" w:rsidRPr="00EE5050">
        <w:rPr>
          <w:rFonts w:eastAsia="PMingLiU"/>
          <w:lang w:val="en-GB" w:eastAsia="zh-TW"/>
        </w:rPr>
        <w:t>accountability of politics</w:t>
      </w:r>
      <w:r w:rsidR="00AC357A">
        <w:rPr>
          <w:rFonts w:eastAsia="PMingLiU"/>
          <w:lang w:val="en-GB" w:eastAsia="zh-TW"/>
        </w:rPr>
        <w:t>’</w:t>
      </w:r>
      <w:r w:rsidR="0098183F" w:rsidRPr="00EE5050">
        <w:rPr>
          <w:rStyle w:val="FootnoteReference"/>
          <w:rFonts w:eastAsia="PMingLiU"/>
          <w:lang w:val="en-GB" w:eastAsia="zh-TW"/>
        </w:rPr>
        <w:t xml:space="preserve"> </w:t>
      </w:r>
      <w:r w:rsidR="0098183F" w:rsidRPr="00EE5050">
        <w:rPr>
          <w:rStyle w:val="FootnoteReference"/>
          <w:rFonts w:eastAsia="PMingLiU"/>
          <w:lang w:val="en-GB" w:eastAsia="zh-TW"/>
        </w:rPr>
        <w:footnoteReference w:id="102"/>
      </w:r>
      <w:r w:rsidR="0098183F" w:rsidRPr="00EE5050">
        <w:rPr>
          <w:rFonts w:eastAsia="PMingLiU"/>
          <w:lang w:val="en-GB" w:eastAsia="zh-TW"/>
        </w:rPr>
        <w:t xml:space="preserve"> and </w:t>
      </w:r>
      <w:r w:rsidR="00AC357A">
        <w:rPr>
          <w:rFonts w:eastAsia="PMingLiU"/>
          <w:lang w:val="en-GB" w:eastAsia="zh-TW"/>
        </w:rPr>
        <w:t>‘</w:t>
      </w:r>
      <w:r w:rsidR="0098183F" w:rsidRPr="00EE5050">
        <w:rPr>
          <w:rFonts w:eastAsia="PMingLiU"/>
          <w:lang w:val="en-GB" w:eastAsia="zh-TW"/>
        </w:rPr>
        <w:t>legislative autonomy</w:t>
      </w:r>
      <w:r w:rsidR="00AC357A">
        <w:rPr>
          <w:rFonts w:eastAsia="PMingLiU"/>
          <w:lang w:val="en-GB" w:eastAsia="zh-TW"/>
        </w:rPr>
        <w:t>’</w:t>
      </w:r>
      <w:r w:rsidR="0098183F" w:rsidRPr="00EE5050">
        <w:rPr>
          <w:rStyle w:val="FootnoteReference"/>
          <w:rFonts w:eastAsia="PMingLiU"/>
          <w:lang w:val="en-GB" w:eastAsia="zh-TW"/>
        </w:rPr>
        <w:footnoteReference w:id="103"/>
      </w:r>
      <w:r w:rsidR="006A2FDE" w:rsidRPr="00EE5050">
        <w:rPr>
          <w:rFonts w:eastAsia="PMingLiU"/>
          <w:lang w:val="en-GB" w:eastAsia="zh-TW"/>
        </w:rPr>
        <w:t xml:space="preserve"> into their decisions. </w:t>
      </w:r>
      <w:r w:rsidR="00DC4A3F" w:rsidRPr="00EE5050">
        <w:rPr>
          <w:rFonts w:eastAsia="PMingLiU"/>
          <w:lang w:val="en-GB" w:eastAsia="zh-TW"/>
        </w:rPr>
        <w:t>A</w:t>
      </w:r>
      <w:r w:rsidR="00B43EA3" w:rsidRPr="00EE5050">
        <w:rPr>
          <w:rFonts w:eastAsia="PMingLiU"/>
          <w:lang w:val="en-GB" w:eastAsia="zh-TW"/>
        </w:rPr>
        <w:t xml:space="preserve">s the Court made clear in their decision on the unconstitutionality of the 1999 constitutional amendment, </w:t>
      </w:r>
      <w:r w:rsidR="00AC357A">
        <w:rPr>
          <w:rFonts w:eastAsia="PMingLiU"/>
          <w:lang w:val="en-GB" w:eastAsia="zh-TW"/>
        </w:rPr>
        <w:t>‘</w:t>
      </w:r>
      <w:r w:rsidR="00B43EA3" w:rsidRPr="00EE5050">
        <w:rPr>
          <w:rFonts w:eastAsia="PMingLiU"/>
          <w:lang w:val="en-GB" w:eastAsia="zh-TW"/>
        </w:rPr>
        <w:t>not all parliamentary proceedings that are clearly and grossly flawed may take the pretext of being internal, self-regulatory matters and evade their legal consequences</w:t>
      </w:r>
      <w:r w:rsidR="00AC357A">
        <w:rPr>
          <w:rFonts w:eastAsia="PMingLiU"/>
          <w:lang w:val="en-GB" w:eastAsia="zh-TW"/>
        </w:rPr>
        <w:t>’</w:t>
      </w:r>
      <w:r w:rsidR="00B43EA3" w:rsidRPr="00EE5050">
        <w:rPr>
          <w:rFonts w:eastAsia="PMingLiU"/>
          <w:lang w:val="en-GB" w:eastAsia="zh-TW"/>
        </w:rPr>
        <w:t>.</w:t>
      </w:r>
      <w:r w:rsidR="00B43EA3" w:rsidRPr="00EE5050">
        <w:rPr>
          <w:rStyle w:val="FootnoteReference"/>
          <w:rFonts w:eastAsia="PMingLiU"/>
          <w:lang w:val="en-GB" w:eastAsia="zh-TW"/>
        </w:rPr>
        <w:footnoteReference w:id="104"/>
      </w:r>
      <w:r w:rsidR="00196A58" w:rsidRPr="00EE5050">
        <w:rPr>
          <w:rFonts w:eastAsia="PMingLiU"/>
          <w:lang w:val="en-GB" w:eastAsia="zh-TW"/>
        </w:rPr>
        <w:t xml:space="preserve"> </w:t>
      </w:r>
      <w:r w:rsidR="00065F16" w:rsidRPr="00EE5050">
        <w:rPr>
          <w:rFonts w:eastAsia="PMingLiU"/>
          <w:lang w:val="en-GB" w:eastAsia="zh-TW"/>
        </w:rPr>
        <w:t>The meaning of</w:t>
      </w:r>
      <w:r w:rsidR="00196A58" w:rsidRPr="00EE5050">
        <w:rPr>
          <w:rFonts w:eastAsia="PMingLiU"/>
          <w:lang w:val="en-GB" w:eastAsia="zh-TW"/>
        </w:rPr>
        <w:t xml:space="preserve"> </w:t>
      </w:r>
      <w:r w:rsidR="00AC357A">
        <w:rPr>
          <w:rFonts w:eastAsia="PMingLiU"/>
          <w:lang w:val="en-GB" w:eastAsia="zh-TW"/>
        </w:rPr>
        <w:t>‘</w:t>
      </w:r>
      <w:r w:rsidR="00196A58" w:rsidRPr="00EE5050">
        <w:rPr>
          <w:rFonts w:eastAsia="PMingLiU"/>
          <w:lang w:val="en-GB" w:eastAsia="zh-TW"/>
        </w:rPr>
        <w:t>clearly and grossly flawed</w:t>
      </w:r>
      <w:r w:rsidR="00AC357A">
        <w:rPr>
          <w:rFonts w:eastAsia="PMingLiU"/>
          <w:lang w:val="en-GB" w:eastAsia="zh-TW"/>
        </w:rPr>
        <w:t>’</w:t>
      </w:r>
      <w:r w:rsidR="00DC4A3F" w:rsidRPr="00EE5050">
        <w:rPr>
          <w:rFonts w:eastAsia="PMingLiU"/>
          <w:lang w:val="en-GB" w:eastAsia="zh-TW"/>
        </w:rPr>
        <w:t xml:space="preserve">, </w:t>
      </w:r>
      <w:r w:rsidR="00EE63EC" w:rsidRPr="00EE5050">
        <w:rPr>
          <w:rFonts w:eastAsia="PMingLiU"/>
          <w:lang w:val="en-GB" w:eastAsia="zh-TW"/>
        </w:rPr>
        <w:t>however</w:t>
      </w:r>
      <w:r w:rsidR="00DC4A3F" w:rsidRPr="00EE5050">
        <w:rPr>
          <w:rFonts w:eastAsia="PMingLiU"/>
          <w:lang w:val="en-GB" w:eastAsia="zh-TW"/>
        </w:rPr>
        <w:t xml:space="preserve">, </w:t>
      </w:r>
      <w:r w:rsidR="00DC4A3F" w:rsidRPr="00EE5050">
        <w:rPr>
          <w:rFonts w:eastAsia="PMingLiU"/>
          <w:lang w:val="en-GB" w:eastAsia="zh-TW"/>
        </w:rPr>
        <w:lastRenderedPageBreak/>
        <w:t>obviously comes down to the interpreter</w:t>
      </w:r>
      <w:r w:rsidR="00C40ABC" w:rsidRPr="00EE5050">
        <w:rPr>
          <w:rFonts w:eastAsia="PMingLiU"/>
          <w:lang w:val="en-GB" w:eastAsia="zh-TW"/>
        </w:rPr>
        <w:t>; in Taiwan, such discretion is solely in the purview of the Constitutional Court</w:t>
      </w:r>
      <w:r w:rsidR="00196A58" w:rsidRPr="00EE5050">
        <w:rPr>
          <w:rFonts w:eastAsia="PMingLiU"/>
          <w:lang w:val="en-GB" w:eastAsia="zh-TW"/>
        </w:rPr>
        <w:t xml:space="preserve">. </w:t>
      </w:r>
    </w:p>
    <w:p w14:paraId="623C279E" w14:textId="0995B202" w:rsidR="000C1775" w:rsidRPr="00EE5050" w:rsidRDefault="00EE63EC" w:rsidP="00A31E24">
      <w:pPr>
        <w:pStyle w:val="NoSpacing"/>
        <w:tabs>
          <w:tab w:val="left" w:pos="720"/>
          <w:tab w:val="left" w:pos="1440"/>
        </w:tabs>
        <w:spacing w:line="480" w:lineRule="auto"/>
        <w:ind w:firstLineChars="295" w:firstLine="708"/>
        <w:jc w:val="both"/>
        <w:rPr>
          <w:rFonts w:eastAsia="PMingLiU"/>
          <w:lang w:val="en-GB" w:eastAsia="zh-TW"/>
        </w:rPr>
      </w:pPr>
      <w:r w:rsidRPr="00EE5050">
        <w:rPr>
          <w:rFonts w:eastAsia="PMingLiU"/>
          <w:lang w:val="en-GB" w:eastAsia="zh-TW"/>
        </w:rPr>
        <w:t>Yet</w:t>
      </w:r>
      <w:r w:rsidR="00DC4A3F" w:rsidRPr="00EE5050">
        <w:rPr>
          <w:rFonts w:eastAsia="PMingLiU"/>
          <w:lang w:val="en-GB" w:eastAsia="zh-TW"/>
        </w:rPr>
        <w:t xml:space="preserve"> recent events may provide some hope for non-judicial interpretation. </w:t>
      </w:r>
      <w:r w:rsidR="00060C9D" w:rsidRPr="00EE5050">
        <w:rPr>
          <w:rFonts w:eastAsia="PMingLiU"/>
          <w:lang w:val="en-GB" w:eastAsia="zh-TW"/>
        </w:rPr>
        <w:t>In 2009</w:t>
      </w:r>
      <w:r w:rsidR="00A54076" w:rsidRPr="00EE5050">
        <w:rPr>
          <w:rFonts w:eastAsia="PMingLiU"/>
          <w:lang w:val="en-GB" w:eastAsia="zh-TW"/>
        </w:rPr>
        <w:t xml:space="preserve"> the Legislative Yuan enacted the International Covenant on Civil and Political Rights</w:t>
      </w:r>
      <w:r w:rsidR="00EB3209" w:rsidRPr="00EE5050">
        <w:rPr>
          <w:rFonts w:eastAsia="PMingLiU"/>
          <w:lang w:val="en-GB" w:eastAsia="zh-TW"/>
        </w:rPr>
        <w:t xml:space="preserve"> (</w:t>
      </w:r>
      <w:r w:rsidR="00BE723B">
        <w:rPr>
          <w:rFonts w:eastAsia="PMingLiU"/>
          <w:lang w:val="en-GB" w:eastAsia="zh-TW"/>
        </w:rPr>
        <w:t>‘</w:t>
      </w:r>
      <w:r w:rsidR="00EB3209" w:rsidRPr="00EE5050">
        <w:rPr>
          <w:rFonts w:eastAsia="PMingLiU"/>
          <w:lang w:val="en-GB" w:eastAsia="zh-TW"/>
        </w:rPr>
        <w:t>ICCPR</w:t>
      </w:r>
      <w:r w:rsidR="00BE723B">
        <w:rPr>
          <w:rFonts w:eastAsia="PMingLiU"/>
          <w:lang w:val="en-GB" w:eastAsia="zh-TW"/>
        </w:rPr>
        <w:t>’</w:t>
      </w:r>
      <w:r w:rsidR="00EB3209" w:rsidRPr="00EE5050">
        <w:rPr>
          <w:rFonts w:eastAsia="PMingLiU"/>
          <w:lang w:val="en-GB" w:eastAsia="zh-TW"/>
        </w:rPr>
        <w:t>)</w:t>
      </w:r>
      <w:r w:rsidR="00A54076" w:rsidRPr="00EE5050">
        <w:rPr>
          <w:rFonts w:eastAsia="PMingLiU"/>
          <w:lang w:val="en-GB" w:eastAsia="zh-TW"/>
        </w:rPr>
        <w:t xml:space="preserve"> and the International Covenant on Economic, Social and Cultural Rights</w:t>
      </w:r>
      <w:r w:rsidR="00EB3209" w:rsidRPr="00EE5050">
        <w:rPr>
          <w:rFonts w:eastAsia="PMingLiU"/>
          <w:lang w:val="en-GB" w:eastAsia="zh-TW"/>
        </w:rPr>
        <w:t xml:space="preserve"> (</w:t>
      </w:r>
      <w:r w:rsidR="00BE723B">
        <w:rPr>
          <w:rFonts w:eastAsia="PMingLiU"/>
          <w:lang w:val="en-GB" w:eastAsia="zh-TW"/>
        </w:rPr>
        <w:t>‘</w:t>
      </w:r>
      <w:r w:rsidR="00EB3209" w:rsidRPr="00EE5050">
        <w:rPr>
          <w:rFonts w:eastAsia="PMingLiU"/>
          <w:lang w:val="en-GB" w:eastAsia="zh-TW"/>
        </w:rPr>
        <w:t>ICESCR</w:t>
      </w:r>
      <w:r w:rsidR="00BE723B">
        <w:rPr>
          <w:rFonts w:eastAsia="PMingLiU"/>
          <w:lang w:val="en-GB" w:eastAsia="zh-TW"/>
        </w:rPr>
        <w:t>’</w:t>
      </w:r>
      <w:r w:rsidR="00EB3209" w:rsidRPr="00EE5050">
        <w:rPr>
          <w:rFonts w:eastAsia="PMingLiU"/>
          <w:lang w:val="en-GB" w:eastAsia="zh-TW"/>
        </w:rPr>
        <w:t>)</w:t>
      </w:r>
      <w:r w:rsidR="00B5448E" w:rsidRPr="00EE5050">
        <w:rPr>
          <w:rFonts w:eastAsia="PMingLiU"/>
          <w:lang w:val="en-GB" w:eastAsia="zh-TW"/>
        </w:rPr>
        <w:t>.</w:t>
      </w:r>
      <w:r w:rsidR="00060C9D" w:rsidRPr="00EE5050">
        <w:rPr>
          <w:rStyle w:val="FootnoteReference"/>
          <w:rFonts w:eastAsia="PMingLiU"/>
          <w:lang w:val="en-GB" w:eastAsia="zh-TW"/>
        </w:rPr>
        <w:footnoteReference w:id="105"/>
      </w:r>
      <w:r w:rsidR="00B5448E" w:rsidRPr="00EE5050">
        <w:rPr>
          <w:rFonts w:eastAsia="PMingLiU"/>
          <w:lang w:val="en-GB" w:eastAsia="zh-TW"/>
        </w:rPr>
        <w:t xml:space="preserve"> </w:t>
      </w:r>
      <w:r w:rsidR="00DF3218" w:rsidRPr="00EE5050">
        <w:rPr>
          <w:rFonts w:eastAsia="PMingLiU"/>
          <w:lang w:val="en-GB" w:eastAsia="zh-TW"/>
        </w:rPr>
        <w:t>Surprisingly, j</w:t>
      </w:r>
      <w:r w:rsidR="00511982" w:rsidRPr="00EE5050">
        <w:rPr>
          <w:rFonts w:eastAsia="PMingLiU"/>
          <w:lang w:val="en-GB" w:eastAsia="zh-TW"/>
        </w:rPr>
        <w:t xml:space="preserve">udicial review enforcement of the </w:t>
      </w:r>
      <w:r w:rsidR="008E5F3C" w:rsidRPr="00EE5050">
        <w:rPr>
          <w:rFonts w:eastAsia="PMingLiU"/>
          <w:lang w:val="en-GB" w:eastAsia="zh-TW"/>
        </w:rPr>
        <w:t xml:space="preserve">covenants </w:t>
      </w:r>
      <w:r w:rsidR="00511982" w:rsidRPr="00EE5050">
        <w:rPr>
          <w:rFonts w:eastAsia="PMingLiU"/>
          <w:lang w:val="en-GB" w:eastAsia="zh-TW"/>
        </w:rPr>
        <w:t xml:space="preserve">was lacking. </w:t>
      </w:r>
      <w:r w:rsidR="00B5448E" w:rsidRPr="00EE5050">
        <w:rPr>
          <w:rFonts w:eastAsia="PMingLiU"/>
          <w:lang w:val="en-GB" w:eastAsia="zh-TW"/>
        </w:rPr>
        <w:t xml:space="preserve">Given the wide substantive nature of </w:t>
      </w:r>
      <w:r w:rsidR="00511982" w:rsidRPr="00EE5050">
        <w:rPr>
          <w:rFonts w:eastAsia="PMingLiU"/>
          <w:lang w:val="en-GB" w:eastAsia="zh-TW"/>
        </w:rPr>
        <w:t>both</w:t>
      </w:r>
      <w:r w:rsidR="00B5448E" w:rsidRPr="00EE5050">
        <w:rPr>
          <w:rFonts w:eastAsia="PMingLiU"/>
          <w:lang w:val="en-GB" w:eastAsia="zh-TW"/>
        </w:rPr>
        <w:t xml:space="preserve"> </w:t>
      </w:r>
      <w:r w:rsidR="00560C37" w:rsidRPr="00EE5050">
        <w:rPr>
          <w:rFonts w:eastAsia="PMingLiU"/>
          <w:lang w:val="en-GB" w:eastAsia="zh-TW"/>
        </w:rPr>
        <w:t>covenants</w:t>
      </w:r>
      <w:r w:rsidR="00B5448E" w:rsidRPr="00EE5050">
        <w:rPr>
          <w:rFonts w:eastAsia="PMingLiU"/>
          <w:lang w:val="en-GB" w:eastAsia="zh-TW"/>
        </w:rPr>
        <w:t xml:space="preserve">, their enactment </w:t>
      </w:r>
      <w:r w:rsidR="00BD1A01" w:rsidRPr="00EE5050">
        <w:rPr>
          <w:rFonts w:eastAsia="PMingLiU"/>
          <w:lang w:val="en-GB" w:eastAsia="zh-TW"/>
        </w:rPr>
        <w:t xml:space="preserve">may </w:t>
      </w:r>
      <w:r w:rsidR="00A54076" w:rsidRPr="00EE5050">
        <w:rPr>
          <w:rFonts w:eastAsia="PMingLiU"/>
          <w:lang w:val="en-GB" w:eastAsia="zh-TW"/>
        </w:rPr>
        <w:t xml:space="preserve">provide the Legislative Yuan </w:t>
      </w:r>
      <w:r w:rsidR="000C1775" w:rsidRPr="00EE5050">
        <w:rPr>
          <w:rFonts w:eastAsia="PMingLiU"/>
          <w:lang w:val="en-GB" w:eastAsia="zh-TW"/>
        </w:rPr>
        <w:t xml:space="preserve">and other non-judicial governmental entities </w:t>
      </w:r>
      <w:r w:rsidR="00A54076" w:rsidRPr="00EE5050">
        <w:rPr>
          <w:rFonts w:eastAsia="PMingLiU"/>
          <w:lang w:val="en-GB" w:eastAsia="zh-TW"/>
        </w:rPr>
        <w:t>with</w:t>
      </w:r>
      <w:r w:rsidR="00BD1A01" w:rsidRPr="00EE5050">
        <w:rPr>
          <w:rFonts w:eastAsia="PMingLiU"/>
          <w:lang w:val="en-GB" w:eastAsia="zh-TW"/>
        </w:rPr>
        <w:t xml:space="preserve"> </w:t>
      </w:r>
      <w:r w:rsidR="000C1775" w:rsidRPr="00EE5050">
        <w:rPr>
          <w:rFonts w:eastAsia="PMingLiU"/>
          <w:lang w:val="en-GB" w:eastAsia="zh-TW"/>
        </w:rPr>
        <w:t xml:space="preserve">increased </w:t>
      </w:r>
      <w:r w:rsidR="00BD1A01" w:rsidRPr="00EE5050">
        <w:rPr>
          <w:rFonts w:eastAsia="PMingLiU"/>
          <w:lang w:val="en-GB" w:eastAsia="zh-TW"/>
        </w:rPr>
        <w:t xml:space="preserve">constitutional </w:t>
      </w:r>
      <w:r w:rsidR="00FF0A4A" w:rsidRPr="00EE5050">
        <w:rPr>
          <w:rFonts w:eastAsia="PMingLiU"/>
          <w:lang w:val="en-GB" w:eastAsia="zh-TW"/>
        </w:rPr>
        <w:t xml:space="preserve">review </w:t>
      </w:r>
      <w:r w:rsidR="00BD1A01" w:rsidRPr="00EE5050">
        <w:rPr>
          <w:rFonts w:eastAsia="PMingLiU"/>
          <w:lang w:val="en-GB" w:eastAsia="zh-TW"/>
        </w:rPr>
        <w:t>authority</w:t>
      </w:r>
      <w:r w:rsidR="000C1775" w:rsidRPr="00EE5050">
        <w:rPr>
          <w:rFonts w:eastAsia="PMingLiU"/>
          <w:lang w:val="en-GB" w:eastAsia="zh-TW"/>
        </w:rPr>
        <w:t>. In partic</w:t>
      </w:r>
      <w:r w:rsidR="008E5F3C" w:rsidRPr="00EE5050">
        <w:rPr>
          <w:rFonts w:eastAsia="PMingLiU"/>
          <w:lang w:val="en-GB" w:eastAsia="zh-TW"/>
        </w:rPr>
        <w:t>ular, the implementing law notes</w:t>
      </w:r>
      <w:r w:rsidR="000C1775" w:rsidRPr="00EE5050">
        <w:rPr>
          <w:rFonts w:eastAsia="PMingLiU"/>
          <w:lang w:val="en-GB" w:eastAsia="zh-TW"/>
        </w:rPr>
        <w:t xml:space="preserve"> </w:t>
      </w:r>
      <w:r w:rsidR="00FF0A4A" w:rsidRPr="00EE5050">
        <w:rPr>
          <w:rFonts w:eastAsia="PMingLiU"/>
          <w:lang w:val="en-GB" w:eastAsia="zh-TW"/>
        </w:rPr>
        <w:t>that</w:t>
      </w:r>
      <w:r w:rsidR="00524E70">
        <w:rPr>
          <w:rFonts w:eastAsia="PMingLiU"/>
          <w:lang w:val="en-GB" w:eastAsia="zh-TW"/>
        </w:rPr>
        <w:t>:</w:t>
      </w:r>
      <w:r w:rsidR="00524E70" w:rsidRPr="00EE5050">
        <w:rPr>
          <w:rFonts w:eastAsia="PMingLiU"/>
          <w:lang w:val="en-GB" w:eastAsia="zh-TW"/>
        </w:rPr>
        <w:t xml:space="preserve"> </w:t>
      </w:r>
    </w:p>
    <w:p w14:paraId="38C8D561" w14:textId="77777777" w:rsidR="000C1775" w:rsidRPr="008E690D" w:rsidRDefault="000C1775" w:rsidP="000C1775">
      <w:pPr>
        <w:pStyle w:val="NoSpacing"/>
        <w:tabs>
          <w:tab w:val="left" w:pos="720"/>
          <w:tab w:val="left" w:pos="1440"/>
        </w:tabs>
        <w:ind w:leftChars="295" w:left="708"/>
        <w:jc w:val="both"/>
        <w:rPr>
          <w:rFonts w:eastAsia="PMingLiU"/>
          <w:sz w:val="22"/>
          <w:szCs w:val="22"/>
          <w:lang w:val="en-GB" w:eastAsia="zh-TW"/>
        </w:rPr>
      </w:pPr>
      <w:r w:rsidRPr="008E690D">
        <w:rPr>
          <w:rFonts w:eastAsia="PMingLiU"/>
          <w:sz w:val="22"/>
          <w:szCs w:val="22"/>
          <w:lang w:val="en-GB" w:eastAsia="zh-TW"/>
        </w:rPr>
        <w:t>All levels of governmental institutions and agencies should review laws, regulations, directions and administrative measures within their functions according to the two Covenants. All laws, regulations, directions and administrative measures incompatible to the two Covenants should be amended within two years after the Act enters into force by new laws, law amendments, law abolitions and improved administrative measures.</w:t>
      </w:r>
      <w:r w:rsidR="00155744" w:rsidRPr="008E690D">
        <w:rPr>
          <w:rStyle w:val="FootnoteReference"/>
          <w:rFonts w:eastAsia="PMingLiU"/>
          <w:sz w:val="22"/>
          <w:szCs w:val="22"/>
          <w:lang w:val="en-GB" w:eastAsia="zh-TW"/>
        </w:rPr>
        <w:footnoteReference w:id="106"/>
      </w:r>
    </w:p>
    <w:p w14:paraId="0BAEC32F" w14:textId="77777777" w:rsidR="000C1775" w:rsidRPr="00EE5050" w:rsidRDefault="000C1775" w:rsidP="000C1775">
      <w:pPr>
        <w:pStyle w:val="NoSpacing"/>
        <w:tabs>
          <w:tab w:val="left" w:pos="720"/>
          <w:tab w:val="left" w:pos="1440"/>
        </w:tabs>
        <w:ind w:firstLineChars="88" w:firstLine="211"/>
        <w:jc w:val="both"/>
        <w:rPr>
          <w:rFonts w:eastAsia="PMingLiU"/>
          <w:lang w:val="en-GB" w:eastAsia="zh-TW"/>
        </w:rPr>
      </w:pPr>
    </w:p>
    <w:p w14:paraId="4A82867D" w14:textId="49EB4EF0" w:rsidR="00A54076" w:rsidRPr="00EE5050" w:rsidRDefault="00DA26E5" w:rsidP="00FF0A4A">
      <w:pPr>
        <w:pStyle w:val="NoSpacing"/>
        <w:tabs>
          <w:tab w:val="left" w:pos="720"/>
          <w:tab w:val="left" w:pos="1440"/>
        </w:tabs>
        <w:spacing w:line="480" w:lineRule="auto"/>
        <w:jc w:val="both"/>
        <w:rPr>
          <w:rFonts w:eastAsia="PMingLiU"/>
          <w:lang w:val="en-GB" w:eastAsia="zh-TW"/>
        </w:rPr>
      </w:pPr>
      <w:r w:rsidRPr="00EE5050">
        <w:rPr>
          <w:rFonts w:eastAsia="PMingLiU"/>
          <w:lang w:val="en-GB" w:eastAsia="zh-TW"/>
        </w:rPr>
        <w:t xml:space="preserve">The deadline for reviews by governmental agencies was December 2011 </w:t>
      </w:r>
      <w:r w:rsidR="003F697C" w:rsidRPr="00EE5050">
        <w:rPr>
          <w:rFonts w:eastAsia="PMingLiU"/>
          <w:lang w:val="en-GB" w:eastAsia="zh-TW"/>
        </w:rPr>
        <w:t>and</w:t>
      </w:r>
      <w:r w:rsidRPr="00EE5050">
        <w:rPr>
          <w:rFonts w:eastAsia="PMingLiU"/>
          <w:lang w:val="en-GB" w:eastAsia="zh-TW"/>
        </w:rPr>
        <w:t xml:space="preserve"> a December 2012 report by a local NGO </w:t>
      </w:r>
      <w:r w:rsidR="00560C37" w:rsidRPr="00EE5050">
        <w:rPr>
          <w:rFonts w:eastAsia="PMingLiU"/>
          <w:lang w:val="en-GB" w:eastAsia="zh-TW"/>
        </w:rPr>
        <w:t>states</w:t>
      </w:r>
      <w:r w:rsidRPr="00EE5050">
        <w:rPr>
          <w:rFonts w:eastAsia="PMingLiU"/>
          <w:lang w:val="en-GB" w:eastAsia="zh-TW"/>
        </w:rPr>
        <w:t xml:space="preserve"> that while some action by the </w:t>
      </w:r>
      <w:r w:rsidR="006475DE">
        <w:rPr>
          <w:rFonts w:eastAsia="PMingLiU"/>
          <w:lang w:val="en-GB" w:eastAsia="zh-TW"/>
        </w:rPr>
        <w:t>E</w:t>
      </w:r>
      <w:r w:rsidR="006475DE" w:rsidRPr="00EE5050">
        <w:rPr>
          <w:rFonts w:eastAsia="PMingLiU"/>
          <w:lang w:val="en-GB" w:eastAsia="zh-TW"/>
        </w:rPr>
        <w:t xml:space="preserve">xecutive </w:t>
      </w:r>
      <w:r w:rsidRPr="00EE5050">
        <w:rPr>
          <w:rFonts w:eastAsia="PMingLiU"/>
          <w:lang w:val="en-GB" w:eastAsia="zh-TW"/>
        </w:rPr>
        <w:t xml:space="preserve">has taken place, </w:t>
      </w:r>
      <w:r w:rsidR="00AC357A">
        <w:rPr>
          <w:rFonts w:eastAsia="PMingLiU"/>
          <w:lang w:val="en-GB" w:eastAsia="zh-TW"/>
        </w:rPr>
        <w:t>‘</w:t>
      </w:r>
      <w:r w:rsidRPr="00EE5050">
        <w:rPr>
          <w:rFonts w:eastAsia="PMingLiU"/>
          <w:lang w:val="en-GB" w:eastAsia="zh-TW"/>
        </w:rPr>
        <w:t>the pace of review is clearly lagging behind, for which the executive and the legislature should bear joint responsibility</w:t>
      </w:r>
      <w:r w:rsidR="00AC357A">
        <w:rPr>
          <w:rFonts w:eastAsia="PMingLiU"/>
          <w:lang w:val="en-GB" w:eastAsia="zh-TW"/>
        </w:rPr>
        <w:t>’</w:t>
      </w:r>
      <w:r w:rsidRPr="00EE5050">
        <w:rPr>
          <w:rFonts w:eastAsia="PMingLiU"/>
          <w:lang w:val="en-GB" w:eastAsia="zh-TW"/>
        </w:rPr>
        <w:t>.</w:t>
      </w:r>
      <w:r w:rsidRPr="00EE5050">
        <w:rPr>
          <w:rStyle w:val="FootnoteReference"/>
          <w:rFonts w:eastAsia="PMingLiU"/>
          <w:lang w:val="en-GB" w:eastAsia="zh-TW"/>
        </w:rPr>
        <w:footnoteReference w:id="107"/>
      </w:r>
      <w:r w:rsidRPr="00EE5050">
        <w:rPr>
          <w:rFonts w:eastAsia="PMingLiU"/>
          <w:lang w:val="en-GB" w:eastAsia="zh-TW"/>
        </w:rPr>
        <w:t xml:space="preserve"> The report goes on to single out the Legislative Yuan, </w:t>
      </w:r>
      <w:r w:rsidR="00560C37" w:rsidRPr="00EE5050">
        <w:rPr>
          <w:rFonts w:eastAsia="PMingLiU"/>
          <w:lang w:val="en-GB" w:eastAsia="zh-TW"/>
        </w:rPr>
        <w:t xml:space="preserve">explicitly </w:t>
      </w:r>
      <w:r w:rsidRPr="00EE5050">
        <w:rPr>
          <w:rFonts w:eastAsia="PMingLiU"/>
          <w:lang w:val="en-GB" w:eastAsia="zh-TW"/>
        </w:rPr>
        <w:t xml:space="preserve">noting its </w:t>
      </w:r>
      <w:r w:rsidR="00AC357A">
        <w:rPr>
          <w:rFonts w:eastAsia="PMingLiU"/>
          <w:lang w:val="en-GB" w:eastAsia="zh-TW"/>
        </w:rPr>
        <w:t>‘</w:t>
      </w:r>
      <w:r w:rsidRPr="00EE5050">
        <w:rPr>
          <w:rFonts w:eastAsia="PMingLiU"/>
          <w:lang w:val="en-GB" w:eastAsia="zh-TW"/>
        </w:rPr>
        <w:t>agencies have not been checking for laws or administrative measures that violate the covenants</w:t>
      </w:r>
      <w:r w:rsidR="00AC357A">
        <w:rPr>
          <w:rFonts w:eastAsia="PMingLiU"/>
          <w:lang w:val="en-GB" w:eastAsia="zh-TW"/>
        </w:rPr>
        <w:t>’</w:t>
      </w:r>
      <w:r w:rsidRPr="00EE5050">
        <w:rPr>
          <w:rFonts w:eastAsia="PMingLiU"/>
          <w:lang w:val="en-GB" w:eastAsia="zh-TW"/>
        </w:rPr>
        <w:t>.</w:t>
      </w:r>
      <w:r w:rsidRPr="00EE5050">
        <w:rPr>
          <w:rStyle w:val="FootnoteReference"/>
          <w:rFonts w:eastAsia="PMingLiU"/>
          <w:lang w:val="en-GB" w:eastAsia="zh-TW"/>
        </w:rPr>
        <w:footnoteReference w:id="108"/>
      </w:r>
      <w:r w:rsidRPr="00EE5050">
        <w:rPr>
          <w:rFonts w:eastAsia="PMingLiU"/>
          <w:lang w:val="en-GB" w:eastAsia="zh-TW"/>
        </w:rPr>
        <w:t xml:space="preserve"> </w:t>
      </w:r>
      <w:r w:rsidR="00560C37" w:rsidRPr="00EE5050">
        <w:rPr>
          <w:rFonts w:eastAsia="PMingLiU"/>
          <w:lang w:val="en-GB" w:eastAsia="zh-TW"/>
        </w:rPr>
        <w:t>While t</w:t>
      </w:r>
      <w:r w:rsidR="000A4A3F" w:rsidRPr="00EE5050">
        <w:rPr>
          <w:rFonts w:eastAsia="PMingLiU"/>
          <w:lang w:val="en-GB" w:eastAsia="zh-TW"/>
        </w:rPr>
        <w:t xml:space="preserve">he Legislative Yuan still </w:t>
      </w:r>
      <w:r w:rsidR="000A4A3F" w:rsidRPr="00EE5050">
        <w:rPr>
          <w:rFonts w:eastAsia="PMingLiU"/>
          <w:lang w:val="en-GB" w:eastAsia="zh-TW"/>
        </w:rPr>
        <w:lastRenderedPageBreak/>
        <w:t>does not contain any official procedure by which the two covenants are assessed against pending legislation</w:t>
      </w:r>
      <w:r w:rsidR="00282F8F" w:rsidRPr="00EE5050">
        <w:rPr>
          <w:rFonts w:eastAsia="PMingLiU"/>
          <w:lang w:val="en-GB" w:eastAsia="zh-TW"/>
        </w:rPr>
        <w:t xml:space="preserve">, remedying this situation is discussed in more detail below. </w:t>
      </w:r>
    </w:p>
    <w:p w14:paraId="0C6E4DE4" w14:textId="77777777" w:rsidR="00D35AB9" w:rsidRPr="00EE5050" w:rsidRDefault="00D35AB9" w:rsidP="00FF0A4A">
      <w:pPr>
        <w:pStyle w:val="NoSpacing"/>
        <w:tabs>
          <w:tab w:val="left" w:pos="720"/>
          <w:tab w:val="left" w:pos="1440"/>
        </w:tabs>
        <w:spacing w:line="480" w:lineRule="auto"/>
        <w:jc w:val="both"/>
        <w:rPr>
          <w:rFonts w:eastAsia="PMingLiU"/>
          <w:smallCaps/>
          <w:sz w:val="32"/>
          <w:lang w:val="en-GB" w:eastAsia="zh-TW"/>
        </w:rPr>
      </w:pPr>
    </w:p>
    <w:p w14:paraId="7EAEED8E" w14:textId="77777777" w:rsidR="00AB12A6" w:rsidRPr="00EE5050" w:rsidRDefault="00714E47" w:rsidP="008E690D">
      <w:pPr>
        <w:pStyle w:val="NoSpacing"/>
        <w:tabs>
          <w:tab w:val="left" w:pos="993"/>
          <w:tab w:val="left" w:pos="1440"/>
        </w:tabs>
        <w:spacing w:line="480" w:lineRule="auto"/>
        <w:ind w:left="993"/>
        <w:jc w:val="center"/>
        <w:rPr>
          <w:rFonts w:eastAsia="PMingLiU"/>
          <w:b/>
          <w:sz w:val="28"/>
          <w:lang w:val="en-GB" w:eastAsia="zh-TW"/>
        </w:rPr>
      </w:pPr>
      <w:r>
        <w:rPr>
          <w:rFonts w:eastAsia="PMingLiU"/>
          <w:b/>
          <w:sz w:val="28"/>
          <w:lang w:val="en-GB" w:eastAsia="zh-TW"/>
        </w:rPr>
        <w:t>III. </w:t>
      </w:r>
      <w:r w:rsidR="00BD5217" w:rsidRPr="00EE5050">
        <w:rPr>
          <w:rFonts w:eastAsia="PMingLiU"/>
          <w:b/>
          <w:sz w:val="28"/>
          <w:lang w:val="en-GB" w:eastAsia="zh-TW"/>
        </w:rPr>
        <w:t xml:space="preserve">Legislative Yuan </w:t>
      </w:r>
      <w:r w:rsidR="001C74D7" w:rsidRPr="00EE5050">
        <w:rPr>
          <w:rFonts w:eastAsia="PMingLiU"/>
          <w:b/>
          <w:sz w:val="28"/>
          <w:lang w:val="en-GB" w:eastAsia="zh-TW"/>
        </w:rPr>
        <w:t>Insider Responses</w:t>
      </w:r>
    </w:p>
    <w:p w14:paraId="17DC569A" w14:textId="307939F5" w:rsidR="00E2056C" w:rsidRPr="008E690D" w:rsidRDefault="00E2056C" w:rsidP="00D27282">
      <w:pPr>
        <w:pStyle w:val="NoSpacing"/>
        <w:tabs>
          <w:tab w:val="left" w:pos="993"/>
          <w:tab w:val="left" w:pos="1440"/>
        </w:tabs>
        <w:spacing w:line="480" w:lineRule="auto"/>
        <w:jc w:val="both"/>
        <w:rPr>
          <w:rFonts w:eastAsia="PMingLiU"/>
          <w:b/>
          <w:i/>
          <w:sz w:val="28"/>
          <w:lang w:val="en-GB" w:eastAsia="zh-TW"/>
        </w:rPr>
      </w:pPr>
      <w:r w:rsidRPr="008E690D">
        <w:rPr>
          <w:rFonts w:eastAsia="PMingLiU"/>
          <w:b/>
          <w:i/>
          <w:sz w:val="28"/>
          <w:lang w:val="en-GB" w:eastAsia="zh-TW"/>
        </w:rPr>
        <w:t>A.  </w:t>
      </w:r>
      <w:r w:rsidR="00F304D1" w:rsidRPr="008E690D">
        <w:rPr>
          <w:rFonts w:eastAsia="PMingLiU"/>
          <w:b/>
          <w:i/>
          <w:sz w:val="28"/>
          <w:lang w:val="en-GB" w:eastAsia="zh-TW"/>
        </w:rPr>
        <w:t xml:space="preserve">Interview </w:t>
      </w:r>
      <w:r w:rsidR="00227FE3" w:rsidRPr="008E690D">
        <w:rPr>
          <w:rFonts w:eastAsia="PMingLiU"/>
          <w:b/>
          <w:i/>
          <w:sz w:val="28"/>
          <w:lang w:val="en-GB" w:eastAsia="zh-TW"/>
        </w:rPr>
        <w:t>details</w:t>
      </w:r>
    </w:p>
    <w:p w14:paraId="7AF308B7" w14:textId="0B006C0E" w:rsidR="00BD5217" w:rsidRPr="00EE5050" w:rsidRDefault="00D27282" w:rsidP="00D27282">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 xml:space="preserve">To examine whether </w:t>
      </w:r>
      <w:r w:rsidR="00BD5217" w:rsidRPr="00EE5050">
        <w:rPr>
          <w:rFonts w:eastAsia="PMingLiU"/>
          <w:lang w:val="en-GB" w:eastAsia="zh-TW"/>
        </w:rPr>
        <w:t xml:space="preserve">Legislative Yuan insiders actively assess the constitutionality of the bills they are drafting and voting on, </w:t>
      </w:r>
      <w:r w:rsidR="00915322">
        <w:rPr>
          <w:rFonts w:eastAsia="PMingLiU"/>
          <w:lang w:val="en-GB" w:eastAsia="zh-TW"/>
        </w:rPr>
        <w:t xml:space="preserve">the author </w:t>
      </w:r>
      <w:r w:rsidR="00BD5217" w:rsidRPr="00EE5050">
        <w:rPr>
          <w:rFonts w:eastAsia="PMingLiU"/>
          <w:lang w:val="en-GB" w:eastAsia="zh-TW"/>
        </w:rPr>
        <w:t>conducted interviews with Legislative Yuan insiders</w:t>
      </w:r>
      <w:r w:rsidR="00BD4145" w:rsidRPr="00EE5050">
        <w:rPr>
          <w:rFonts w:eastAsia="PMingLiU"/>
          <w:lang w:val="en-GB" w:eastAsia="zh-TW"/>
        </w:rPr>
        <w:t xml:space="preserve"> in the summer and autumn of 2013</w:t>
      </w:r>
      <w:r w:rsidR="00BD5217" w:rsidRPr="00EE5050">
        <w:rPr>
          <w:rFonts w:eastAsia="PMingLiU"/>
          <w:lang w:val="en-GB" w:eastAsia="zh-TW"/>
        </w:rPr>
        <w:t>.</w:t>
      </w:r>
      <w:r w:rsidR="00BB2720" w:rsidRPr="00EE5050">
        <w:rPr>
          <w:rStyle w:val="FootnoteReference"/>
          <w:rFonts w:eastAsia="PMingLiU"/>
          <w:lang w:val="en-GB" w:eastAsia="zh-TW"/>
        </w:rPr>
        <w:footnoteReference w:id="109"/>
      </w:r>
      <w:r w:rsidR="00BD5217" w:rsidRPr="00EE5050">
        <w:rPr>
          <w:rFonts w:eastAsia="PMingLiU"/>
          <w:lang w:val="en-GB" w:eastAsia="zh-TW"/>
        </w:rPr>
        <w:t xml:space="preserve"> In all, </w:t>
      </w:r>
      <w:r w:rsidR="001A0F71">
        <w:rPr>
          <w:rFonts w:eastAsia="PMingLiU"/>
          <w:lang w:val="en-GB" w:eastAsia="zh-TW"/>
        </w:rPr>
        <w:t>he</w:t>
      </w:r>
      <w:r w:rsidR="001A0F71" w:rsidRPr="00EE5050">
        <w:rPr>
          <w:rFonts w:eastAsia="PMingLiU"/>
          <w:lang w:val="en-GB" w:eastAsia="zh-TW"/>
        </w:rPr>
        <w:t xml:space="preserve"> </w:t>
      </w:r>
      <w:r w:rsidR="00BD5217" w:rsidRPr="00EE5050">
        <w:rPr>
          <w:rFonts w:eastAsia="PMingLiU"/>
          <w:lang w:val="en-GB" w:eastAsia="zh-TW"/>
        </w:rPr>
        <w:t xml:space="preserve">talked with 15 individuals: </w:t>
      </w:r>
    </w:p>
    <w:p w14:paraId="58A24C37" w14:textId="27967C9A" w:rsidR="00BD5217" w:rsidRPr="00EE5050" w:rsidRDefault="00227FE3" w:rsidP="00DE748B">
      <w:pPr>
        <w:pStyle w:val="NoSpacing"/>
        <w:numPr>
          <w:ilvl w:val="0"/>
          <w:numId w:val="20"/>
        </w:numPr>
        <w:tabs>
          <w:tab w:val="left" w:pos="993"/>
          <w:tab w:val="left" w:pos="1440"/>
        </w:tabs>
        <w:ind w:left="907" w:hanging="482"/>
        <w:jc w:val="both"/>
        <w:rPr>
          <w:rFonts w:eastAsia="PMingLiU"/>
          <w:lang w:val="en-GB" w:eastAsia="zh-TW"/>
        </w:rPr>
      </w:pPr>
      <w:r>
        <w:rPr>
          <w:rFonts w:eastAsia="PMingLiU"/>
          <w:lang w:val="en-GB" w:eastAsia="zh-TW"/>
        </w:rPr>
        <w:t>E</w:t>
      </w:r>
      <w:r w:rsidR="00692A18">
        <w:rPr>
          <w:rFonts w:eastAsia="PMingLiU"/>
          <w:lang w:val="en-GB" w:eastAsia="zh-TW"/>
        </w:rPr>
        <w:t>ight</w:t>
      </w:r>
      <w:r w:rsidR="00692A18" w:rsidRPr="00EE5050">
        <w:rPr>
          <w:rFonts w:eastAsia="PMingLiU"/>
          <w:lang w:val="en-GB" w:eastAsia="zh-TW"/>
        </w:rPr>
        <w:t xml:space="preserve"> </w:t>
      </w:r>
      <w:r w:rsidR="00BD5217" w:rsidRPr="00EE5050">
        <w:rPr>
          <w:rFonts w:eastAsia="PMingLiU"/>
          <w:lang w:val="en-GB" w:eastAsia="zh-TW"/>
        </w:rPr>
        <w:t>Lawmakers</w:t>
      </w:r>
      <w:r w:rsidR="00F94537">
        <w:rPr>
          <w:rFonts w:eastAsia="PMingLiU"/>
          <w:lang w:val="en-GB" w:eastAsia="zh-TW"/>
        </w:rPr>
        <w:t>;</w:t>
      </w:r>
    </w:p>
    <w:p w14:paraId="6552BE02" w14:textId="7A147F7F" w:rsidR="00BD5217" w:rsidRPr="00EE5050" w:rsidRDefault="00227FE3" w:rsidP="00DE748B">
      <w:pPr>
        <w:pStyle w:val="NoSpacing"/>
        <w:numPr>
          <w:ilvl w:val="0"/>
          <w:numId w:val="20"/>
        </w:numPr>
        <w:tabs>
          <w:tab w:val="left" w:pos="993"/>
          <w:tab w:val="left" w:pos="1440"/>
        </w:tabs>
        <w:ind w:left="907" w:hanging="482"/>
        <w:jc w:val="both"/>
        <w:rPr>
          <w:rFonts w:eastAsia="PMingLiU"/>
          <w:lang w:val="en-GB" w:eastAsia="zh-TW"/>
        </w:rPr>
      </w:pPr>
      <w:r>
        <w:rPr>
          <w:rFonts w:eastAsia="PMingLiU"/>
          <w:lang w:val="en-GB" w:eastAsia="zh-TW"/>
        </w:rPr>
        <w:t>S</w:t>
      </w:r>
      <w:r w:rsidR="00692A18">
        <w:rPr>
          <w:rFonts w:eastAsia="PMingLiU"/>
          <w:lang w:val="en-GB" w:eastAsia="zh-TW"/>
        </w:rPr>
        <w:t>ix</w:t>
      </w:r>
      <w:r w:rsidR="00692A18" w:rsidRPr="00EE5050">
        <w:rPr>
          <w:rFonts w:eastAsia="PMingLiU"/>
          <w:lang w:val="en-GB" w:eastAsia="zh-TW"/>
        </w:rPr>
        <w:t xml:space="preserve"> </w:t>
      </w:r>
      <w:r w:rsidR="00BD5217" w:rsidRPr="00EE5050">
        <w:rPr>
          <w:rFonts w:eastAsia="PMingLiU"/>
          <w:lang w:val="en-GB" w:eastAsia="zh-TW"/>
        </w:rPr>
        <w:t>Legislative Assistants</w:t>
      </w:r>
      <w:r w:rsidR="00F94537">
        <w:rPr>
          <w:rFonts w:eastAsia="PMingLiU"/>
          <w:lang w:val="en-GB" w:eastAsia="zh-TW"/>
        </w:rPr>
        <w:t>; and</w:t>
      </w:r>
    </w:p>
    <w:p w14:paraId="32503F60" w14:textId="73D01A09" w:rsidR="00BD5217" w:rsidRPr="00EE5050" w:rsidRDefault="00227FE3" w:rsidP="00DE748B">
      <w:pPr>
        <w:pStyle w:val="NoSpacing"/>
        <w:numPr>
          <w:ilvl w:val="0"/>
          <w:numId w:val="20"/>
        </w:numPr>
        <w:tabs>
          <w:tab w:val="left" w:pos="993"/>
          <w:tab w:val="left" w:pos="1440"/>
        </w:tabs>
        <w:ind w:left="907" w:hanging="482"/>
        <w:jc w:val="both"/>
        <w:rPr>
          <w:rFonts w:eastAsia="PMingLiU"/>
          <w:lang w:val="en-GB" w:eastAsia="zh-TW"/>
        </w:rPr>
      </w:pPr>
      <w:r>
        <w:rPr>
          <w:rFonts w:eastAsia="PMingLiU"/>
          <w:lang w:val="en-GB" w:eastAsia="zh-TW"/>
        </w:rPr>
        <w:t>O</w:t>
      </w:r>
      <w:r w:rsidR="00692A18">
        <w:rPr>
          <w:rFonts w:eastAsia="PMingLiU"/>
          <w:lang w:val="en-GB" w:eastAsia="zh-TW"/>
        </w:rPr>
        <w:t>ne</w:t>
      </w:r>
      <w:r w:rsidR="00692A18" w:rsidRPr="00EE5050">
        <w:rPr>
          <w:rFonts w:eastAsia="PMingLiU"/>
          <w:lang w:val="en-GB" w:eastAsia="zh-TW"/>
        </w:rPr>
        <w:t xml:space="preserve"> </w:t>
      </w:r>
      <w:r w:rsidR="00BD5217" w:rsidRPr="00EE5050">
        <w:rPr>
          <w:rFonts w:eastAsia="PMingLiU"/>
          <w:lang w:val="en-GB" w:eastAsia="zh-TW"/>
        </w:rPr>
        <w:t>Bureau Drafter</w:t>
      </w:r>
    </w:p>
    <w:p w14:paraId="4B9C07E3" w14:textId="77777777" w:rsidR="0032670B" w:rsidRPr="00EE5050" w:rsidRDefault="0032670B" w:rsidP="0032670B">
      <w:pPr>
        <w:pStyle w:val="NoSpacing"/>
        <w:tabs>
          <w:tab w:val="left" w:pos="993"/>
          <w:tab w:val="left" w:pos="1440"/>
        </w:tabs>
        <w:ind w:left="907"/>
        <w:jc w:val="both"/>
        <w:rPr>
          <w:rFonts w:eastAsia="PMingLiU"/>
          <w:lang w:val="en-GB" w:eastAsia="zh-TW"/>
        </w:rPr>
      </w:pPr>
    </w:p>
    <w:p w14:paraId="3BE76A47" w14:textId="743821FF" w:rsidR="00BD5217" w:rsidRPr="00EE5050" w:rsidRDefault="0032670B" w:rsidP="0032670B">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 xml:space="preserve">It is acknowledged that </w:t>
      </w:r>
      <w:r w:rsidR="006C49F9">
        <w:rPr>
          <w:rFonts w:eastAsia="PMingLiU"/>
          <w:lang w:val="en-GB" w:eastAsia="zh-TW"/>
        </w:rPr>
        <w:t>15</w:t>
      </w:r>
      <w:r w:rsidR="006C49F9" w:rsidRPr="00EE5050">
        <w:rPr>
          <w:rFonts w:eastAsia="PMingLiU"/>
          <w:lang w:val="en-GB" w:eastAsia="zh-TW"/>
        </w:rPr>
        <w:t xml:space="preserve"> </w:t>
      </w:r>
      <w:r w:rsidRPr="00EE5050">
        <w:rPr>
          <w:rFonts w:eastAsia="PMingLiU"/>
          <w:lang w:val="en-GB" w:eastAsia="zh-TW"/>
        </w:rPr>
        <w:t xml:space="preserve">individuals is not a representative sample of the Legislative Yuan. However the answers came from a diverse group of </w:t>
      </w:r>
      <w:r w:rsidR="00624403">
        <w:rPr>
          <w:rFonts w:eastAsia="PMingLiU"/>
          <w:lang w:val="en-GB" w:eastAsia="zh-TW"/>
        </w:rPr>
        <w:t>professionals</w:t>
      </w:r>
      <w:r w:rsidR="00624403" w:rsidRPr="00EE5050">
        <w:rPr>
          <w:rFonts w:eastAsia="PMingLiU"/>
          <w:lang w:val="en-GB" w:eastAsia="zh-TW"/>
        </w:rPr>
        <w:t xml:space="preserve"> </w:t>
      </w:r>
      <w:r w:rsidRPr="00EE5050">
        <w:rPr>
          <w:rFonts w:eastAsia="PMingLiU"/>
          <w:lang w:val="en-GB" w:eastAsia="zh-TW"/>
        </w:rPr>
        <w:t xml:space="preserve">with </w:t>
      </w:r>
      <w:r w:rsidR="0034708C" w:rsidRPr="00EE5050">
        <w:rPr>
          <w:rFonts w:eastAsia="PMingLiU"/>
          <w:lang w:val="en-GB" w:eastAsia="zh-TW"/>
        </w:rPr>
        <w:t>significant</w:t>
      </w:r>
      <w:r w:rsidRPr="00EE5050">
        <w:rPr>
          <w:rFonts w:eastAsia="PMingLiU"/>
          <w:lang w:val="en-GB" w:eastAsia="zh-TW"/>
        </w:rPr>
        <w:t xml:space="preserve"> </w:t>
      </w:r>
      <w:r w:rsidR="008F533C" w:rsidRPr="00EE5050">
        <w:rPr>
          <w:rFonts w:eastAsia="PMingLiU"/>
          <w:lang w:val="en-GB" w:eastAsia="zh-TW"/>
        </w:rPr>
        <w:t xml:space="preserve">institutional </w:t>
      </w:r>
      <w:r w:rsidRPr="00EE5050">
        <w:rPr>
          <w:rFonts w:eastAsia="PMingLiU"/>
          <w:lang w:val="en-GB" w:eastAsia="zh-TW"/>
        </w:rPr>
        <w:t>experience in Legi</w:t>
      </w:r>
      <w:r w:rsidR="006C3255" w:rsidRPr="00EE5050">
        <w:rPr>
          <w:rFonts w:eastAsia="PMingLiU"/>
          <w:lang w:val="en-GB" w:eastAsia="zh-TW"/>
        </w:rPr>
        <w:t>slative Yuan law-making</w:t>
      </w:r>
      <w:r w:rsidRPr="00EE5050">
        <w:rPr>
          <w:rFonts w:eastAsia="PMingLiU"/>
          <w:lang w:val="en-GB" w:eastAsia="zh-TW"/>
        </w:rPr>
        <w:t xml:space="preserve">. </w:t>
      </w:r>
      <w:r w:rsidR="00BD5217" w:rsidRPr="00EE5050">
        <w:rPr>
          <w:rFonts w:eastAsia="PMingLiU"/>
          <w:lang w:val="en-GB" w:eastAsia="zh-TW"/>
        </w:rPr>
        <w:t xml:space="preserve">Going directly to </w:t>
      </w:r>
      <w:r w:rsidR="006C3255" w:rsidRPr="00EE5050">
        <w:rPr>
          <w:rFonts w:eastAsia="PMingLiU"/>
          <w:lang w:val="en-GB" w:eastAsia="zh-TW"/>
        </w:rPr>
        <w:t>such</w:t>
      </w:r>
      <w:r w:rsidR="00BD5217" w:rsidRPr="00EE5050">
        <w:rPr>
          <w:rFonts w:eastAsia="PMingLiU"/>
          <w:lang w:val="en-GB" w:eastAsia="zh-TW"/>
        </w:rPr>
        <w:t xml:space="preserve"> insiders provided </w:t>
      </w:r>
      <w:r w:rsidR="00DF3218" w:rsidRPr="00EE5050">
        <w:rPr>
          <w:rFonts w:eastAsia="PMingLiU"/>
          <w:lang w:val="en-GB" w:eastAsia="zh-TW"/>
        </w:rPr>
        <w:t>insight</w:t>
      </w:r>
      <w:r w:rsidR="00BD5217" w:rsidRPr="00EE5050">
        <w:rPr>
          <w:rFonts w:eastAsia="PMingLiU"/>
          <w:lang w:val="en-GB" w:eastAsia="zh-TW"/>
        </w:rPr>
        <w:t xml:space="preserve"> regarding to what extent the legislature assess</w:t>
      </w:r>
      <w:r w:rsidR="00DF3218" w:rsidRPr="00EE5050">
        <w:rPr>
          <w:rFonts w:eastAsia="PMingLiU"/>
          <w:lang w:val="en-GB" w:eastAsia="zh-TW"/>
        </w:rPr>
        <w:t>es</w:t>
      </w:r>
      <w:r w:rsidR="00BD5217" w:rsidRPr="00EE5050">
        <w:rPr>
          <w:rFonts w:eastAsia="PMingLiU"/>
          <w:lang w:val="en-GB" w:eastAsia="zh-TW"/>
        </w:rPr>
        <w:t xml:space="preserve"> the constitutionality of prospective laws, and how legislators and staff were going about this. In addition to others, </w:t>
      </w:r>
      <w:r w:rsidR="00134B69">
        <w:rPr>
          <w:rFonts w:eastAsia="PMingLiU"/>
          <w:lang w:val="en-GB" w:eastAsia="zh-TW"/>
        </w:rPr>
        <w:t>the author</w:t>
      </w:r>
      <w:r w:rsidR="00134B69" w:rsidRPr="00EE5050">
        <w:rPr>
          <w:rFonts w:eastAsia="PMingLiU"/>
          <w:lang w:val="en-GB" w:eastAsia="zh-TW"/>
        </w:rPr>
        <w:t xml:space="preserve"> </w:t>
      </w:r>
      <w:r w:rsidR="00BD5217" w:rsidRPr="00EE5050">
        <w:rPr>
          <w:rFonts w:eastAsia="PMingLiU"/>
          <w:lang w:val="en-GB" w:eastAsia="zh-TW"/>
        </w:rPr>
        <w:t xml:space="preserve">asked two important questions during the interviews: </w:t>
      </w:r>
    </w:p>
    <w:p w14:paraId="6A214CC2" w14:textId="64C4E1AA" w:rsidR="00E0576E" w:rsidRDefault="00E0576E" w:rsidP="00601A91">
      <w:pPr>
        <w:pStyle w:val="NoSpacing"/>
        <w:tabs>
          <w:tab w:val="left" w:pos="993"/>
          <w:tab w:val="left" w:pos="1440"/>
        </w:tabs>
        <w:ind w:left="720" w:hanging="436"/>
        <w:jc w:val="both"/>
        <w:rPr>
          <w:rFonts w:eastAsia="PMingLiU"/>
          <w:lang w:val="en-GB" w:eastAsia="zh-TW"/>
        </w:rPr>
      </w:pPr>
      <w:r>
        <w:rPr>
          <w:rFonts w:eastAsia="PMingLiU"/>
          <w:lang w:val="en-GB" w:eastAsia="zh-TW"/>
        </w:rPr>
        <w:t>(1)</w:t>
      </w:r>
      <w:r>
        <w:rPr>
          <w:rFonts w:eastAsia="PMingLiU"/>
          <w:lang w:val="en-GB" w:eastAsia="zh-TW"/>
        </w:rPr>
        <w:tab/>
      </w:r>
      <w:r w:rsidR="00BD5217" w:rsidRPr="00EE5050">
        <w:rPr>
          <w:rFonts w:eastAsia="PMingLiU"/>
          <w:lang w:val="en-GB" w:eastAsia="zh-TW"/>
        </w:rPr>
        <w:t>When drafting or proposing legislation, do you think about whether the statute is constitutional?</w:t>
      </w:r>
    </w:p>
    <w:p w14:paraId="1A8A992D" w14:textId="77777777" w:rsidR="00E0576E" w:rsidRDefault="00E0576E" w:rsidP="00601A91">
      <w:pPr>
        <w:pStyle w:val="NoSpacing"/>
        <w:tabs>
          <w:tab w:val="left" w:pos="993"/>
          <w:tab w:val="left" w:pos="1440"/>
        </w:tabs>
        <w:ind w:left="720" w:hanging="436"/>
        <w:jc w:val="both"/>
        <w:rPr>
          <w:rFonts w:eastAsia="PMingLiU"/>
          <w:lang w:val="en-GB" w:eastAsia="zh-TW"/>
        </w:rPr>
      </w:pPr>
    </w:p>
    <w:p w14:paraId="52232000" w14:textId="77777777" w:rsidR="00BD5217" w:rsidRPr="00EE5050" w:rsidRDefault="00E0576E" w:rsidP="00601A91">
      <w:pPr>
        <w:pStyle w:val="NoSpacing"/>
        <w:tabs>
          <w:tab w:val="left" w:pos="993"/>
          <w:tab w:val="left" w:pos="1440"/>
        </w:tabs>
        <w:ind w:left="720" w:hanging="436"/>
        <w:jc w:val="both"/>
        <w:rPr>
          <w:rFonts w:eastAsia="PMingLiU"/>
          <w:lang w:val="en-GB" w:eastAsia="zh-TW"/>
        </w:rPr>
      </w:pPr>
      <w:r>
        <w:rPr>
          <w:rFonts w:eastAsia="PMingLiU"/>
          <w:lang w:val="en-GB" w:eastAsia="zh-TW"/>
        </w:rPr>
        <w:t>(2)</w:t>
      </w:r>
      <w:r>
        <w:rPr>
          <w:rFonts w:eastAsia="PMingLiU"/>
          <w:lang w:val="en-GB" w:eastAsia="zh-TW"/>
        </w:rPr>
        <w:tab/>
      </w:r>
      <w:r w:rsidR="00BD5217" w:rsidRPr="00EE5050">
        <w:rPr>
          <w:rFonts w:eastAsia="PMingLiU"/>
          <w:lang w:val="en-GB" w:eastAsia="zh-TW"/>
        </w:rPr>
        <w:t>If you do have questions regarding the constitutionality of a statute, who do you ask, and/or who resolves these matters?</w:t>
      </w:r>
    </w:p>
    <w:p w14:paraId="288F72DF" w14:textId="77777777" w:rsidR="00DE748B" w:rsidRPr="00EE5050" w:rsidRDefault="00DE748B" w:rsidP="00DE748B">
      <w:pPr>
        <w:pStyle w:val="NoSpacing"/>
        <w:tabs>
          <w:tab w:val="left" w:pos="993"/>
          <w:tab w:val="left" w:pos="1440"/>
        </w:tabs>
        <w:jc w:val="both"/>
        <w:rPr>
          <w:rFonts w:eastAsia="PMingLiU"/>
          <w:lang w:val="en-GB" w:eastAsia="zh-TW"/>
        </w:rPr>
      </w:pPr>
    </w:p>
    <w:p w14:paraId="2236AACF" w14:textId="42661489" w:rsidR="00BD5217" w:rsidRPr="00EE5050" w:rsidRDefault="00D35AB9" w:rsidP="00BD5217">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lastRenderedPageBreak/>
        <w:t>T</w:t>
      </w:r>
      <w:r w:rsidR="00BD5217" w:rsidRPr="00EE5050">
        <w:rPr>
          <w:rFonts w:eastAsia="PMingLiU"/>
          <w:lang w:val="en-GB" w:eastAsia="zh-TW"/>
        </w:rPr>
        <w:t xml:space="preserve">he first </w:t>
      </w:r>
      <w:r w:rsidR="00C77FA8" w:rsidRPr="00EE5050">
        <w:rPr>
          <w:rFonts w:eastAsia="PMingLiU"/>
          <w:lang w:val="en-GB" w:eastAsia="zh-TW"/>
        </w:rPr>
        <w:t>question</w:t>
      </w:r>
      <w:r w:rsidR="00BD5217" w:rsidRPr="00EE5050">
        <w:rPr>
          <w:rFonts w:eastAsia="PMingLiU"/>
          <w:lang w:val="en-GB" w:eastAsia="zh-TW"/>
        </w:rPr>
        <w:t xml:space="preserve"> </w:t>
      </w:r>
      <w:r w:rsidR="00624403">
        <w:rPr>
          <w:rFonts w:eastAsia="PMingLiU"/>
          <w:lang w:val="en-GB" w:eastAsia="zh-TW"/>
        </w:rPr>
        <w:t>seeks</w:t>
      </w:r>
      <w:r w:rsidR="004B4340" w:rsidRPr="00EE5050">
        <w:rPr>
          <w:rFonts w:eastAsia="PMingLiU"/>
          <w:lang w:val="en-GB" w:eastAsia="zh-TW"/>
        </w:rPr>
        <w:t xml:space="preserve"> </w:t>
      </w:r>
      <w:r w:rsidR="00BD5217" w:rsidRPr="00EE5050">
        <w:rPr>
          <w:rFonts w:eastAsia="PMingLiU"/>
          <w:lang w:val="en-GB" w:eastAsia="zh-TW"/>
        </w:rPr>
        <w:t xml:space="preserve">to determine if legislators </w:t>
      </w:r>
      <w:r w:rsidR="0034708C" w:rsidRPr="00EE5050">
        <w:rPr>
          <w:rFonts w:eastAsia="PMingLiU"/>
          <w:lang w:val="en-GB" w:eastAsia="zh-TW"/>
        </w:rPr>
        <w:t>conscientiously assess</w:t>
      </w:r>
      <w:r w:rsidR="00C77FA8" w:rsidRPr="00EE5050">
        <w:rPr>
          <w:rFonts w:eastAsia="PMingLiU"/>
          <w:lang w:val="en-GB" w:eastAsia="zh-TW"/>
        </w:rPr>
        <w:t xml:space="preserve"> constitutionality during the drafting process</w:t>
      </w:r>
      <w:r w:rsidR="00BD5217" w:rsidRPr="00EE5050">
        <w:rPr>
          <w:rFonts w:eastAsia="PMingLiU"/>
          <w:lang w:val="en-GB" w:eastAsia="zh-TW"/>
        </w:rPr>
        <w:t xml:space="preserve">, while the second asks a more substantive question: where do legislators go with constitutional questions. </w:t>
      </w:r>
    </w:p>
    <w:p w14:paraId="264379DA" w14:textId="77777777" w:rsidR="00D35AB9" w:rsidRPr="00EE5050" w:rsidRDefault="00D35AB9" w:rsidP="00BD5217">
      <w:pPr>
        <w:pStyle w:val="NoSpacing"/>
        <w:tabs>
          <w:tab w:val="left" w:pos="993"/>
          <w:tab w:val="left" w:pos="1440"/>
        </w:tabs>
        <w:spacing w:line="480" w:lineRule="auto"/>
        <w:jc w:val="both"/>
        <w:rPr>
          <w:rFonts w:eastAsia="PMingLiU"/>
          <w:lang w:val="en-GB" w:eastAsia="zh-TW"/>
        </w:rPr>
      </w:pPr>
    </w:p>
    <w:p w14:paraId="05A671F2" w14:textId="77777777" w:rsidR="00651AA6" w:rsidRPr="00421DCA" w:rsidRDefault="00453F43" w:rsidP="00421DCA">
      <w:pPr>
        <w:pStyle w:val="NoSpacing"/>
        <w:tabs>
          <w:tab w:val="left" w:pos="993"/>
          <w:tab w:val="left" w:pos="1440"/>
        </w:tabs>
        <w:spacing w:line="480" w:lineRule="auto"/>
        <w:jc w:val="both"/>
        <w:rPr>
          <w:rFonts w:eastAsia="PMingLiU"/>
          <w:b/>
          <w:i/>
          <w:sz w:val="28"/>
          <w:lang w:val="en-GB" w:eastAsia="zh-TW"/>
        </w:rPr>
      </w:pPr>
      <w:r w:rsidRPr="00421DCA">
        <w:rPr>
          <w:rFonts w:eastAsia="PMingLiU"/>
          <w:b/>
          <w:i/>
          <w:sz w:val="28"/>
          <w:lang w:val="en-GB" w:eastAsia="zh-TW"/>
        </w:rPr>
        <w:t>B.  </w:t>
      </w:r>
      <w:r w:rsidR="00681A57" w:rsidRPr="00421DCA">
        <w:rPr>
          <w:rFonts w:eastAsia="PMingLiU"/>
          <w:b/>
          <w:i/>
          <w:sz w:val="28"/>
          <w:lang w:val="en-GB" w:eastAsia="zh-TW"/>
        </w:rPr>
        <w:t>Thinking about c</w:t>
      </w:r>
      <w:r w:rsidR="0069054D" w:rsidRPr="00421DCA">
        <w:rPr>
          <w:rFonts w:eastAsia="PMingLiU"/>
          <w:b/>
          <w:i/>
          <w:sz w:val="28"/>
          <w:lang w:val="en-GB" w:eastAsia="zh-TW"/>
        </w:rPr>
        <w:t>onstitutionality</w:t>
      </w:r>
    </w:p>
    <w:p w14:paraId="5D6E0AE8" w14:textId="691EF7A3" w:rsidR="001D346A" w:rsidRPr="00EE5050" w:rsidRDefault="000172F1" w:rsidP="001D346A">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 xml:space="preserve">Some insiders proclaimed </w:t>
      </w:r>
      <w:r w:rsidR="0076763A" w:rsidRPr="00EE5050">
        <w:rPr>
          <w:rFonts w:eastAsia="PMingLiU"/>
          <w:lang w:val="en-GB" w:eastAsia="zh-TW"/>
        </w:rPr>
        <w:t>to</w:t>
      </w:r>
      <w:r w:rsidRPr="00EE5050">
        <w:rPr>
          <w:rFonts w:eastAsia="PMingLiU"/>
          <w:lang w:val="en-GB" w:eastAsia="zh-TW"/>
        </w:rPr>
        <w:t xml:space="preserve"> actively think about constitutionality. For instance, one legislator noted, </w:t>
      </w:r>
      <w:r w:rsidR="00AC357A">
        <w:rPr>
          <w:rFonts w:eastAsia="PMingLiU"/>
          <w:lang w:val="en-GB" w:eastAsia="zh-TW"/>
        </w:rPr>
        <w:t>‘</w:t>
      </w:r>
      <w:r w:rsidR="001D346A" w:rsidRPr="00EE5050">
        <w:rPr>
          <w:rFonts w:eastAsia="PMingLiU"/>
          <w:lang w:val="en-GB" w:eastAsia="zh-TW"/>
        </w:rPr>
        <w:t>I have more concern on human rights, democracy, and the constitutional structure o</w:t>
      </w:r>
      <w:r w:rsidR="0034708C" w:rsidRPr="00EE5050">
        <w:rPr>
          <w:rFonts w:eastAsia="PMingLiU"/>
          <w:lang w:val="en-GB" w:eastAsia="zh-TW"/>
        </w:rPr>
        <w:t xml:space="preserve">r concept of constitutionalism </w:t>
      </w:r>
      <w:r w:rsidR="001D346A" w:rsidRPr="00EE5050">
        <w:rPr>
          <w:rFonts w:eastAsia="PMingLiU"/>
          <w:lang w:val="en-GB" w:eastAsia="zh-TW"/>
        </w:rPr>
        <w:t>... so when I propose a bill, I will specifically make sure these concerns are being observed</w:t>
      </w:r>
      <w:r w:rsidR="00976FA6">
        <w:rPr>
          <w:rFonts w:eastAsia="PMingLiU"/>
          <w:lang w:val="en-GB" w:eastAsia="zh-TW"/>
        </w:rPr>
        <w:t>’</w:t>
      </w:r>
      <w:r w:rsidR="001D346A" w:rsidRPr="00EE5050">
        <w:rPr>
          <w:rFonts w:eastAsia="PMingLiU"/>
          <w:lang w:val="en-GB" w:eastAsia="zh-TW"/>
        </w:rPr>
        <w:t>.</w:t>
      </w:r>
      <w:r w:rsidR="001D346A" w:rsidRPr="00EE5050">
        <w:rPr>
          <w:rStyle w:val="FootnoteReference"/>
          <w:rFonts w:eastAsia="PMingLiU"/>
          <w:lang w:val="en-GB" w:eastAsia="zh-TW"/>
        </w:rPr>
        <w:footnoteReference w:id="110"/>
      </w:r>
      <w:r w:rsidR="001D346A" w:rsidRPr="00EE5050">
        <w:rPr>
          <w:rFonts w:eastAsia="PMingLiU"/>
          <w:lang w:val="en-GB" w:eastAsia="zh-TW"/>
        </w:rPr>
        <w:t xml:space="preserve"> </w:t>
      </w:r>
      <w:r w:rsidR="00395341" w:rsidRPr="00EE5050">
        <w:rPr>
          <w:rFonts w:eastAsia="PMingLiU"/>
          <w:lang w:val="en-GB" w:eastAsia="zh-TW"/>
        </w:rPr>
        <w:t xml:space="preserve">A couple </w:t>
      </w:r>
      <w:r w:rsidR="00802483">
        <w:rPr>
          <w:rFonts w:eastAsia="PMingLiU"/>
          <w:lang w:val="en-GB" w:eastAsia="zh-TW"/>
        </w:rPr>
        <w:t xml:space="preserve">of </w:t>
      </w:r>
      <w:r w:rsidR="00395341" w:rsidRPr="00EE5050">
        <w:rPr>
          <w:rFonts w:eastAsia="PMingLiU"/>
          <w:lang w:val="en-GB" w:eastAsia="zh-TW"/>
        </w:rPr>
        <w:t xml:space="preserve">assistants supported this notion, </w:t>
      </w:r>
      <w:r w:rsidR="00BD4145" w:rsidRPr="00EE5050">
        <w:rPr>
          <w:rFonts w:eastAsia="PMingLiU"/>
          <w:lang w:val="en-GB" w:eastAsia="zh-TW"/>
        </w:rPr>
        <w:t xml:space="preserve">one </w:t>
      </w:r>
      <w:r w:rsidR="00395341" w:rsidRPr="00EE5050">
        <w:rPr>
          <w:rFonts w:eastAsia="PMingLiU"/>
          <w:lang w:val="en-GB" w:eastAsia="zh-TW"/>
        </w:rPr>
        <w:t>adding</w:t>
      </w:r>
      <w:r w:rsidR="00BD4145" w:rsidRPr="00EE5050">
        <w:rPr>
          <w:rFonts w:eastAsia="PMingLiU"/>
          <w:lang w:val="en-GB" w:eastAsia="zh-TW"/>
        </w:rPr>
        <w:t>,</w:t>
      </w:r>
      <w:r w:rsidR="00395341" w:rsidRPr="00EE5050">
        <w:rPr>
          <w:rFonts w:eastAsia="PMingLiU"/>
          <w:lang w:val="en-GB" w:eastAsia="zh-TW"/>
        </w:rPr>
        <w:t xml:space="preserve"> </w:t>
      </w:r>
      <w:r w:rsidR="00AC357A">
        <w:rPr>
          <w:rFonts w:eastAsia="PMingLiU"/>
          <w:lang w:val="en-GB" w:eastAsia="zh-TW"/>
        </w:rPr>
        <w:t>‘</w:t>
      </w:r>
      <w:r w:rsidR="001D346A" w:rsidRPr="00EE5050">
        <w:rPr>
          <w:rFonts w:eastAsia="PMingLiU"/>
          <w:lang w:val="en-GB" w:eastAsia="zh-TW"/>
        </w:rPr>
        <w:t>we will find constitutional law or the Grand Judges</w:t>
      </w:r>
      <w:r w:rsidR="00AC357A">
        <w:rPr>
          <w:rFonts w:eastAsia="PMingLiU"/>
          <w:lang w:val="en-GB" w:eastAsia="zh-TW"/>
        </w:rPr>
        <w:t>’</w:t>
      </w:r>
      <w:r w:rsidR="001D346A" w:rsidRPr="00EE5050">
        <w:rPr>
          <w:rFonts w:eastAsia="PMingLiU"/>
          <w:lang w:val="en-GB" w:eastAsia="zh-TW"/>
        </w:rPr>
        <w:t xml:space="preserve"> interpretation to support our argument</w:t>
      </w:r>
      <w:r w:rsidR="00AC357A">
        <w:rPr>
          <w:rFonts w:eastAsia="PMingLiU"/>
          <w:lang w:val="en-GB" w:eastAsia="zh-TW"/>
        </w:rPr>
        <w:t>’</w:t>
      </w:r>
      <w:r w:rsidR="00395341" w:rsidRPr="00EE5050">
        <w:rPr>
          <w:rFonts w:eastAsia="PMingLiU"/>
          <w:lang w:val="en-GB" w:eastAsia="zh-TW"/>
        </w:rPr>
        <w:t>,</w:t>
      </w:r>
      <w:r w:rsidR="001D346A" w:rsidRPr="00EE5050">
        <w:rPr>
          <w:rStyle w:val="FootnoteReference"/>
          <w:rFonts w:eastAsia="PMingLiU"/>
          <w:lang w:val="en-GB" w:eastAsia="zh-TW"/>
        </w:rPr>
        <w:footnoteReference w:id="111"/>
      </w:r>
      <w:r w:rsidR="00395341" w:rsidRPr="00EE5050">
        <w:rPr>
          <w:rFonts w:eastAsia="PMingLiU"/>
          <w:lang w:val="en-GB" w:eastAsia="zh-TW"/>
        </w:rPr>
        <w:t xml:space="preserve"> while </w:t>
      </w:r>
      <w:r w:rsidR="00D542D4" w:rsidRPr="00EE5050">
        <w:rPr>
          <w:rFonts w:eastAsia="PMingLiU"/>
          <w:lang w:val="en-GB" w:eastAsia="zh-TW"/>
        </w:rPr>
        <w:t>the other</w:t>
      </w:r>
      <w:r w:rsidR="00395341" w:rsidRPr="00EE5050">
        <w:rPr>
          <w:rFonts w:eastAsia="PMingLiU"/>
          <w:lang w:val="en-GB" w:eastAsia="zh-TW"/>
        </w:rPr>
        <w:t xml:space="preserve"> noted, </w:t>
      </w:r>
      <w:r w:rsidR="00AC357A">
        <w:rPr>
          <w:rFonts w:eastAsia="PMingLiU"/>
          <w:lang w:val="en-GB" w:eastAsia="zh-TW"/>
        </w:rPr>
        <w:t>‘</w:t>
      </w:r>
      <w:r w:rsidR="001D346A" w:rsidRPr="00EE5050">
        <w:rPr>
          <w:rFonts w:eastAsia="PMingLiU"/>
          <w:lang w:val="en-GB" w:eastAsia="zh-TW"/>
        </w:rPr>
        <w:t>Yes, constitutionality is very fundamental, all the assistants and the experts take it into account</w:t>
      </w:r>
      <w:r w:rsidR="00AC357A">
        <w:rPr>
          <w:rFonts w:eastAsia="PMingLiU"/>
          <w:lang w:val="en-GB" w:eastAsia="zh-TW"/>
        </w:rPr>
        <w:t>’</w:t>
      </w:r>
      <w:r w:rsidR="001D346A" w:rsidRPr="00EE5050">
        <w:rPr>
          <w:rFonts w:eastAsia="PMingLiU"/>
          <w:lang w:val="en-GB" w:eastAsia="zh-TW"/>
        </w:rPr>
        <w:t>.</w:t>
      </w:r>
      <w:r w:rsidR="001D346A" w:rsidRPr="00EE5050">
        <w:rPr>
          <w:rStyle w:val="FootnoteReference"/>
          <w:rFonts w:eastAsia="PMingLiU"/>
          <w:lang w:val="en-GB" w:eastAsia="zh-TW"/>
        </w:rPr>
        <w:footnoteReference w:id="112"/>
      </w:r>
    </w:p>
    <w:p w14:paraId="61A556BF" w14:textId="40FC29A9" w:rsidR="001D346A" w:rsidRPr="00EE5050" w:rsidRDefault="00112E4F"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However</w:t>
      </w:r>
      <w:r w:rsidR="008F00E1">
        <w:rPr>
          <w:rFonts w:eastAsia="PMingLiU"/>
          <w:lang w:val="en-GB" w:eastAsia="zh-TW"/>
        </w:rPr>
        <w:t>,</w:t>
      </w:r>
      <w:r w:rsidR="00395341" w:rsidRPr="00EE5050">
        <w:rPr>
          <w:rFonts w:eastAsia="PMingLiU"/>
          <w:lang w:val="en-GB" w:eastAsia="zh-TW"/>
        </w:rPr>
        <w:t xml:space="preserve"> what </w:t>
      </w:r>
      <w:r w:rsidR="001A054B">
        <w:rPr>
          <w:rFonts w:eastAsia="PMingLiU"/>
          <w:lang w:val="en-GB" w:eastAsia="zh-TW"/>
        </w:rPr>
        <w:t>the author</w:t>
      </w:r>
      <w:r w:rsidR="00395341" w:rsidRPr="00EE5050">
        <w:rPr>
          <w:rFonts w:eastAsia="PMingLiU"/>
          <w:lang w:val="en-GB" w:eastAsia="zh-TW"/>
        </w:rPr>
        <w:t xml:space="preserve"> tended to see more with this question was an assumed constitutionality, where insiders took for granted the constitutional content of their proposals. </w:t>
      </w:r>
      <w:r w:rsidR="00EB3209" w:rsidRPr="00EE5050">
        <w:rPr>
          <w:rFonts w:eastAsia="PMingLiU"/>
          <w:lang w:val="en-GB" w:eastAsia="zh-TW"/>
        </w:rPr>
        <w:t>E</w:t>
      </w:r>
      <w:r w:rsidR="00B43F04" w:rsidRPr="00EE5050">
        <w:rPr>
          <w:rFonts w:eastAsia="PMingLiU"/>
          <w:lang w:val="en-GB" w:eastAsia="zh-TW"/>
        </w:rPr>
        <w:t>ven though many aspects of Taiwan</w:t>
      </w:r>
      <w:r w:rsidR="00AC357A">
        <w:rPr>
          <w:rFonts w:eastAsia="PMingLiU"/>
          <w:lang w:val="en-GB" w:eastAsia="zh-TW"/>
        </w:rPr>
        <w:t>’</w:t>
      </w:r>
      <w:r w:rsidR="00B43F04" w:rsidRPr="00EE5050">
        <w:rPr>
          <w:rFonts w:eastAsia="PMingLiU"/>
          <w:lang w:val="en-GB" w:eastAsia="zh-TW"/>
        </w:rPr>
        <w:t xml:space="preserve">s </w:t>
      </w:r>
      <w:r w:rsidR="00154F6B">
        <w:rPr>
          <w:rFonts w:eastAsia="PMingLiU"/>
          <w:lang w:val="en-GB" w:eastAsia="zh-TW"/>
        </w:rPr>
        <w:t>C</w:t>
      </w:r>
      <w:r w:rsidR="00154F6B" w:rsidRPr="00EE5050">
        <w:rPr>
          <w:rFonts w:eastAsia="PMingLiU"/>
          <w:lang w:val="en-GB" w:eastAsia="zh-TW"/>
        </w:rPr>
        <w:t xml:space="preserve">onstitution </w:t>
      </w:r>
      <w:r w:rsidR="00B43F04" w:rsidRPr="00EE5050">
        <w:rPr>
          <w:rFonts w:eastAsia="PMingLiU"/>
          <w:lang w:val="en-GB" w:eastAsia="zh-TW"/>
        </w:rPr>
        <w:t xml:space="preserve">remain </w:t>
      </w:r>
      <w:r w:rsidR="000520F6" w:rsidRPr="00EE5050">
        <w:rPr>
          <w:rFonts w:eastAsia="PMingLiU"/>
          <w:lang w:val="en-GB" w:eastAsia="zh-TW"/>
        </w:rPr>
        <w:t>exceedingly</w:t>
      </w:r>
      <w:r w:rsidR="00B43F04" w:rsidRPr="00EE5050">
        <w:rPr>
          <w:rFonts w:eastAsia="PMingLiU"/>
          <w:lang w:val="en-GB" w:eastAsia="zh-TW"/>
        </w:rPr>
        <w:t xml:space="preserve"> divisive</w:t>
      </w:r>
      <w:r w:rsidR="00395341" w:rsidRPr="00EE5050">
        <w:rPr>
          <w:rFonts w:eastAsia="PMingLiU"/>
          <w:lang w:val="en-GB" w:eastAsia="zh-TW"/>
        </w:rPr>
        <w:t xml:space="preserve">, one legislator </w:t>
      </w:r>
      <w:r w:rsidR="000520F6" w:rsidRPr="00EE5050">
        <w:rPr>
          <w:rFonts w:eastAsia="PMingLiU"/>
          <w:lang w:val="en-GB" w:eastAsia="zh-TW"/>
        </w:rPr>
        <w:t>answered</w:t>
      </w:r>
      <w:r w:rsidR="00395341" w:rsidRPr="00EE5050">
        <w:rPr>
          <w:rFonts w:eastAsia="PMingLiU"/>
          <w:lang w:val="en-GB" w:eastAsia="zh-TW"/>
        </w:rPr>
        <w:t xml:space="preserve">, </w:t>
      </w:r>
      <w:r w:rsidR="00AC357A">
        <w:rPr>
          <w:rFonts w:eastAsia="PMingLiU"/>
          <w:lang w:val="en-GB" w:eastAsia="zh-TW"/>
        </w:rPr>
        <w:t>‘</w:t>
      </w:r>
      <w:r w:rsidR="001D346A" w:rsidRPr="00EE5050">
        <w:rPr>
          <w:rFonts w:eastAsia="PMingLiU"/>
          <w:lang w:val="en-GB" w:eastAsia="zh-TW"/>
        </w:rPr>
        <w:t>Oh, it always has to be within our constitutional framework, yeah</w:t>
      </w:r>
      <w:r w:rsidR="00D13E43">
        <w:rPr>
          <w:rFonts w:eastAsia="PMingLiU"/>
          <w:lang w:val="en-GB" w:eastAsia="zh-TW"/>
        </w:rPr>
        <w:t>—</w:t>
      </w:r>
      <w:r w:rsidR="001D346A" w:rsidRPr="00EE5050">
        <w:rPr>
          <w:rFonts w:eastAsia="PMingLiU"/>
          <w:lang w:val="en-GB" w:eastAsia="zh-TW"/>
        </w:rPr>
        <w:t>It</w:t>
      </w:r>
      <w:r w:rsidR="00AC357A">
        <w:rPr>
          <w:rFonts w:eastAsia="PMingLiU"/>
          <w:lang w:val="en-GB" w:eastAsia="zh-TW"/>
        </w:rPr>
        <w:t>’</w:t>
      </w:r>
      <w:r w:rsidR="001D346A" w:rsidRPr="00EE5050">
        <w:rPr>
          <w:rFonts w:eastAsia="PMingLiU"/>
          <w:lang w:val="en-GB" w:eastAsia="zh-TW"/>
        </w:rPr>
        <w:t>s not really that controversial. I mean our constitutional principles are quite clear</w:t>
      </w:r>
      <w:r w:rsidR="00AC357A">
        <w:rPr>
          <w:rFonts w:eastAsia="PMingLiU"/>
          <w:lang w:val="en-GB" w:eastAsia="zh-TW"/>
        </w:rPr>
        <w:t>’</w:t>
      </w:r>
      <w:r w:rsidR="001D346A" w:rsidRPr="00EE5050">
        <w:rPr>
          <w:rFonts w:eastAsia="PMingLiU"/>
          <w:lang w:val="en-GB" w:eastAsia="zh-TW"/>
        </w:rPr>
        <w:t>.</w:t>
      </w:r>
      <w:r w:rsidR="001D346A" w:rsidRPr="00EE5050">
        <w:rPr>
          <w:rStyle w:val="FootnoteReference"/>
          <w:rFonts w:eastAsia="PMingLiU"/>
          <w:lang w:val="en-GB" w:eastAsia="zh-TW"/>
        </w:rPr>
        <w:footnoteReference w:id="113"/>
      </w:r>
      <w:r w:rsidR="00683E8D" w:rsidRPr="00EE5050">
        <w:rPr>
          <w:rFonts w:eastAsia="PMingLiU"/>
          <w:lang w:val="en-GB" w:eastAsia="zh-TW"/>
        </w:rPr>
        <w:t xml:space="preserve"> </w:t>
      </w:r>
      <w:r w:rsidRPr="00EE5050">
        <w:rPr>
          <w:rFonts w:eastAsia="PMingLiU"/>
          <w:lang w:val="en-GB" w:eastAsia="zh-TW"/>
        </w:rPr>
        <w:t>Given the rate at which the Constitutional Court has struck down legislation in recent years,</w:t>
      </w:r>
      <w:r w:rsidR="00DE41F7" w:rsidRPr="00EE5050">
        <w:rPr>
          <w:rStyle w:val="FootnoteReference"/>
          <w:rFonts w:eastAsia="PMingLiU"/>
          <w:lang w:val="en-GB" w:eastAsia="zh-TW"/>
        </w:rPr>
        <w:footnoteReference w:id="114"/>
      </w:r>
      <w:r w:rsidRPr="00EE5050">
        <w:rPr>
          <w:rFonts w:eastAsia="PMingLiU"/>
          <w:lang w:val="en-GB" w:eastAsia="zh-TW"/>
        </w:rPr>
        <w:t xml:space="preserve"> it was surprising to hear one assistant state that</w:t>
      </w:r>
      <w:r w:rsidR="001D346A" w:rsidRPr="00EE5050">
        <w:rPr>
          <w:rFonts w:eastAsia="PMingLiU"/>
          <w:lang w:val="en-GB" w:eastAsia="zh-TW"/>
        </w:rPr>
        <w:t xml:space="preserve"> </w:t>
      </w:r>
      <w:r w:rsidR="00AC357A">
        <w:rPr>
          <w:rFonts w:eastAsia="PMingLiU"/>
          <w:lang w:val="en-GB" w:eastAsia="zh-TW"/>
        </w:rPr>
        <w:t>‘</w:t>
      </w:r>
      <w:r w:rsidR="001D346A" w:rsidRPr="00EE5050">
        <w:rPr>
          <w:rFonts w:eastAsia="PMingLiU"/>
          <w:lang w:val="en-GB" w:eastAsia="zh-TW"/>
        </w:rPr>
        <w:t>it</w:t>
      </w:r>
      <w:r w:rsidR="00AC357A">
        <w:rPr>
          <w:rFonts w:eastAsia="PMingLiU"/>
          <w:lang w:val="en-GB" w:eastAsia="zh-TW"/>
        </w:rPr>
        <w:t>’</w:t>
      </w:r>
      <w:r w:rsidR="001D346A" w:rsidRPr="00EE5050">
        <w:rPr>
          <w:rFonts w:eastAsia="PMingLiU"/>
          <w:lang w:val="en-GB" w:eastAsia="zh-TW"/>
        </w:rPr>
        <w:t>s impossible for us to present unconstitutional bills</w:t>
      </w:r>
      <w:r w:rsidR="001263E3">
        <w:rPr>
          <w:rFonts w:eastAsia="PMingLiU"/>
          <w:lang w:val="en-GB" w:eastAsia="zh-TW"/>
        </w:rPr>
        <w:t xml:space="preserve"> </w:t>
      </w:r>
      <w:r w:rsidR="001D346A" w:rsidRPr="00EE5050">
        <w:rPr>
          <w:rFonts w:eastAsia="PMingLiU"/>
          <w:lang w:val="en-GB" w:eastAsia="zh-TW"/>
        </w:rPr>
        <w:t>…</w:t>
      </w:r>
      <w:r w:rsidR="001263E3">
        <w:rPr>
          <w:rFonts w:eastAsia="PMingLiU"/>
          <w:lang w:val="en-GB" w:eastAsia="zh-TW"/>
        </w:rPr>
        <w:t xml:space="preserve"> </w:t>
      </w:r>
      <w:r w:rsidR="001D346A" w:rsidRPr="00EE5050">
        <w:rPr>
          <w:rFonts w:eastAsia="PMingLiU"/>
          <w:lang w:val="en-GB" w:eastAsia="zh-TW"/>
        </w:rPr>
        <w:t>It</w:t>
      </w:r>
      <w:r w:rsidR="00AC357A">
        <w:rPr>
          <w:rFonts w:eastAsia="PMingLiU"/>
          <w:lang w:val="en-GB" w:eastAsia="zh-TW"/>
        </w:rPr>
        <w:t>’</w:t>
      </w:r>
      <w:r w:rsidR="001D346A" w:rsidRPr="00EE5050">
        <w:rPr>
          <w:rFonts w:eastAsia="PMingLiU"/>
          <w:lang w:val="en-GB" w:eastAsia="zh-TW"/>
        </w:rPr>
        <w:t xml:space="preserve">s common sense to know whether </w:t>
      </w:r>
      <w:r w:rsidR="001D346A" w:rsidRPr="00EE5050">
        <w:rPr>
          <w:rFonts w:eastAsia="PMingLiU"/>
          <w:lang w:val="en-GB" w:eastAsia="zh-TW"/>
        </w:rPr>
        <w:lastRenderedPageBreak/>
        <w:t>it</w:t>
      </w:r>
      <w:r w:rsidR="00AC357A">
        <w:rPr>
          <w:rFonts w:eastAsia="PMingLiU"/>
          <w:lang w:val="en-GB" w:eastAsia="zh-TW"/>
        </w:rPr>
        <w:t>’</w:t>
      </w:r>
      <w:r w:rsidR="001D346A" w:rsidRPr="00EE5050">
        <w:rPr>
          <w:rFonts w:eastAsia="PMingLiU"/>
          <w:lang w:val="en-GB" w:eastAsia="zh-TW"/>
        </w:rPr>
        <w:t>s const</w:t>
      </w:r>
      <w:r w:rsidRPr="00EE5050">
        <w:rPr>
          <w:rFonts w:eastAsia="PMingLiU"/>
          <w:lang w:val="en-GB" w:eastAsia="zh-TW"/>
        </w:rPr>
        <w:t>itutional or not while drafting</w:t>
      </w:r>
      <w:r w:rsidR="00AC357A">
        <w:rPr>
          <w:rFonts w:eastAsia="PMingLiU"/>
          <w:lang w:val="en-GB" w:eastAsia="zh-TW"/>
        </w:rPr>
        <w:t>’</w:t>
      </w:r>
      <w:r w:rsidRPr="00EE5050">
        <w:rPr>
          <w:rFonts w:eastAsia="PMingLiU"/>
          <w:lang w:val="en-GB" w:eastAsia="zh-TW"/>
        </w:rPr>
        <w:t>.</w:t>
      </w:r>
      <w:r w:rsidR="001D346A" w:rsidRPr="00EE5050">
        <w:rPr>
          <w:rStyle w:val="FootnoteReference"/>
          <w:rFonts w:eastAsia="PMingLiU"/>
          <w:lang w:val="en-GB" w:eastAsia="zh-TW"/>
        </w:rPr>
        <w:footnoteReference w:id="115"/>
      </w:r>
      <w:r w:rsidR="00D542D4" w:rsidRPr="00EE5050">
        <w:rPr>
          <w:rFonts w:eastAsia="PMingLiU"/>
          <w:lang w:val="en-GB" w:eastAsia="zh-TW"/>
        </w:rPr>
        <w:t xml:space="preserve"> Further</w:t>
      </w:r>
      <w:r w:rsidR="00DE41F7" w:rsidRPr="00EE5050">
        <w:rPr>
          <w:rFonts w:eastAsia="PMingLiU"/>
          <w:lang w:val="en-GB" w:eastAsia="zh-TW"/>
        </w:rPr>
        <w:t xml:space="preserve">, another staffer noted that </w:t>
      </w:r>
      <w:r w:rsidR="00AC357A">
        <w:rPr>
          <w:rFonts w:eastAsia="PMingLiU"/>
          <w:lang w:val="en-GB" w:eastAsia="zh-TW"/>
        </w:rPr>
        <w:t>‘</w:t>
      </w:r>
      <w:r w:rsidR="00DE41F7" w:rsidRPr="00EE5050">
        <w:rPr>
          <w:rFonts w:eastAsia="PMingLiU"/>
          <w:lang w:val="en-GB" w:eastAsia="zh-TW"/>
        </w:rPr>
        <w:t>Taiwan has a written law system and we strictly follow the levels of law, Constitutional Law, and other provisions. If the law or the author</w:t>
      </w:r>
      <w:r w:rsidR="001444E8">
        <w:rPr>
          <w:rFonts w:eastAsia="PMingLiU"/>
          <w:lang w:val="en-GB" w:eastAsia="zh-TW"/>
        </w:rPr>
        <w:t>is</w:t>
      </w:r>
      <w:r w:rsidR="00DE41F7" w:rsidRPr="00EE5050">
        <w:rPr>
          <w:rFonts w:eastAsia="PMingLiU"/>
          <w:lang w:val="en-GB" w:eastAsia="zh-TW"/>
        </w:rPr>
        <w:t>ing law are unconstitutional, it will be considered a joke</w:t>
      </w:r>
      <w:r w:rsidR="00AC357A">
        <w:rPr>
          <w:rFonts w:eastAsia="PMingLiU"/>
          <w:lang w:val="en-GB" w:eastAsia="zh-TW"/>
        </w:rPr>
        <w:t>’</w:t>
      </w:r>
      <w:r w:rsidR="00DE41F7" w:rsidRPr="00EE5050">
        <w:rPr>
          <w:rFonts w:eastAsia="PMingLiU"/>
          <w:lang w:val="en-GB" w:eastAsia="zh-TW"/>
        </w:rPr>
        <w:t>.</w:t>
      </w:r>
      <w:r w:rsidR="00DE41F7" w:rsidRPr="00EE5050">
        <w:rPr>
          <w:rStyle w:val="FootnoteReference"/>
          <w:rFonts w:eastAsia="PMingLiU"/>
          <w:lang w:val="en-GB" w:eastAsia="zh-TW"/>
        </w:rPr>
        <w:footnoteReference w:id="116"/>
      </w:r>
      <w:r w:rsidR="00DE41F7" w:rsidRPr="00EE5050">
        <w:rPr>
          <w:rFonts w:eastAsia="PMingLiU"/>
          <w:lang w:val="en-GB" w:eastAsia="zh-TW"/>
        </w:rPr>
        <w:t xml:space="preserve"> </w:t>
      </w:r>
      <w:r w:rsidR="00A70504" w:rsidRPr="00EE5050">
        <w:rPr>
          <w:rFonts w:eastAsia="PMingLiU"/>
          <w:lang w:val="en-GB" w:eastAsia="zh-TW"/>
        </w:rPr>
        <w:t>G</w:t>
      </w:r>
      <w:r w:rsidR="00DE41F7" w:rsidRPr="00EE5050">
        <w:rPr>
          <w:rFonts w:eastAsia="PMingLiU"/>
          <w:lang w:val="en-GB" w:eastAsia="zh-TW"/>
        </w:rPr>
        <w:t xml:space="preserve">iven the difficulty of assessing constitutionality in many cases, </w:t>
      </w:r>
      <w:r w:rsidR="0034708C" w:rsidRPr="00EE5050">
        <w:rPr>
          <w:rFonts w:eastAsia="PMingLiU"/>
          <w:lang w:val="en-GB" w:eastAsia="zh-TW"/>
        </w:rPr>
        <w:t xml:space="preserve">however, </w:t>
      </w:r>
      <w:r w:rsidR="00DE41F7" w:rsidRPr="00EE5050">
        <w:rPr>
          <w:rFonts w:eastAsia="PMingLiU"/>
          <w:lang w:val="en-GB" w:eastAsia="zh-TW"/>
        </w:rPr>
        <w:t xml:space="preserve">the disparaging of </w:t>
      </w:r>
      <w:r w:rsidR="000D2E6B" w:rsidRPr="00EE5050">
        <w:rPr>
          <w:rFonts w:eastAsia="PMingLiU"/>
          <w:lang w:val="en-GB" w:eastAsia="zh-TW"/>
        </w:rPr>
        <w:t xml:space="preserve">a </w:t>
      </w:r>
      <w:r w:rsidR="00A70504" w:rsidRPr="00EE5050">
        <w:rPr>
          <w:rFonts w:eastAsia="PMingLiU"/>
          <w:lang w:val="en-GB" w:eastAsia="zh-TW"/>
        </w:rPr>
        <w:t xml:space="preserve">particular </w:t>
      </w:r>
      <w:r w:rsidR="000D2E6B" w:rsidRPr="00EE5050">
        <w:rPr>
          <w:rFonts w:eastAsia="PMingLiU"/>
          <w:lang w:val="en-GB" w:eastAsia="zh-TW"/>
        </w:rPr>
        <w:t>proposal</w:t>
      </w:r>
      <w:r w:rsidR="00DE41F7" w:rsidRPr="00EE5050">
        <w:rPr>
          <w:rFonts w:eastAsia="PMingLiU"/>
          <w:lang w:val="en-GB" w:eastAsia="zh-TW"/>
        </w:rPr>
        <w:t xml:space="preserve"> may not nec</w:t>
      </w:r>
      <w:r w:rsidR="000D2E6B" w:rsidRPr="00EE5050">
        <w:rPr>
          <w:rFonts w:eastAsia="PMingLiU"/>
          <w:lang w:val="en-GB" w:eastAsia="zh-TW"/>
        </w:rPr>
        <w:t xml:space="preserve">essarily kill it </w:t>
      </w:r>
      <w:r w:rsidR="00DE41F7" w:rsidRPr="00EE5050">
        <w:rPr>
          <w:rFonts w:eastAsia="PMingLiU"/>
          <w:lang w:val="en-GB" w:eastAsia="zh-TW"/>
        </w:rPr>
        <w:t xml:space="preserve">or </w:t>
      </w:r>
      <w:r w:rsidR="000D2E6B" w:rsidRPr="00EE5050">
        <w:rPr>
          <w:rFonts w:eastAsia="PMingLiU"/>
          <w:lang w:val="en-GB" w:eastAsia="zh-TW"/>
        </w:rPr>
        <w:t xml:space="preserve">easily </w:t>
      </w:r>
      <w:r w:rsidR="00DE41F7" w:rsidRPr="00EE5050">
        <w:rPr>
          <w:rFonts w:eastAsia="PMingLiU"/>
          <w:lang w:val="en-GB" w:eastAsia="zh-TW"/>
        </w:rPr>
        <w:t xml:space="preserve">render it illegitimate. Finally, </w:t>
      </w:r>
      <w:r w:rsidR="000D2E6B" w:rsidRPr="00EE5050">
        <w:rPr>
          <w:rFonts w:eastAsia="PMingLiU"/>
          <w:lang w:val="en-GB" w:eastAsia="zh-TW"/>
        </w:rPr>
        <w:t xml:space="preserve">in connection with assumed constitutionality, </w:t>
      </w:r>
      <w:r w:rsidR="00A70504" w:rsidRPr="00EE5050">
        <w:rPr>
          <w:rFonts w:eastAsia="PMingLiU"/>
          <w:lang w:val="en-GB" w:eastAsia="zh-TW"/>
        </w:rPr>
        <w:t>one</w:t>
      </w:r>
      <w:r w:rsidR="00DE41F7" w:rsidRPr="00EE5050">
        <w:rPr>
          <w:rFonts w:eastAsia="PMingLiU"/>
          <w:lang w:val="en-GB" w:eastAsia="zh-TW"/>
        </w:rPr>
        <w:t xml:space="preserve"> assistant stated, </w:t>
      </w:r>
      <w:r w:rsidR="00AC357A">
        <w:rPr>
          <w:rFonts w:eastAsia="PMingLiU"/>
          <w:lang w:val="en-GB" w:eastAsia="zh-TW"/>
        </w:rPr>
        <w:t>‘</w:t>
      </w:r>
      <w:r w:rsidR="00DE41F7" w:rsidRPr="00EE5050">
        <w:rPr>
          <w:rFonts w:eastAsia="PMingLiU"/>
          <w:lang w:val="en-GB" w:eastAsia="zh-TW"/>
        </w:rPr>
        <w:t>y</w:t>
      </w:r>
      <w:r w:rsidR="001D346A" w:rsidRPr="00EE5050">
        <w:rPr>
          <w:rFonts w:eastAsia="PMingLiU"/>
          <w:lang w:val="en-GB" w:eastAsia="zh-TW"/>
        </w:rPr>
        <w:t>es, we certainly consider this. People working here have legal bac</w:t>
      </w:r>
      <w:r w:rsidR="00683E8D" w:rsidRPr="00EE5050">
        <w:rPr>
          <w:rFonts w:eastAsia="PMingLiU"/>
          <w:lang w:val="en-GB" w:eastAsia="zh-TW"/>
        </w:rPr>
        <w:t>kgrounds</w:t>
      </w:r>
      <w:r w:rsidR="00AC357A">
        <w:rPr>
          <w:rFonts w:eastAsia="PMingLiU"/>
          <w:lang w:val="en-GB" w:eastAsia="zh-TW"/>
        </w:rPr>
        <w:t>’</w:t>
      </w:r>
      <w:r w:rsidR="00683E8D" w:rsidRPr="00EE5050">
        <w:rPr>
          <w:rFonts w:eastAsia="PMingLiU"/>
          <w:lang w:val="en-GB" w:eastAsia="zh-TW"/>
        </w:rPr>
        <w:t>,</w:t>
      </w:r>
      <w:r w:rsidR="001D346A" w:rsidRPr="00EE5050">
        <w:rPr>
          <w:rStyle w:val="FootnoteReference"/>
          <w:rFonts w:eastAsia="PMingLiU"/>
          <w:lang w:val="en-GB" w:eastAsia="zh-TW"/>
        </w:rPr>
        <w:footnoteReference w:id="117"/>
      </w:r>
      <w:r w:rsidR="00683E8D" w:rsidRPr="00EE5050">
        <w:rPr>
          <w:rFonts w:eastAsia="PMingLiU"/>
          <w:lang w:val="en-GB" w:eastAsia="zh-TW"/>
        </w:rPr>
        <w:t xml:space="preserve"> while a lawmaker noted </w:t>
      </w:r>
      <w:r w:rsidR="00AC357A">
        <w:rPr>
          <w:rFonts w:eastAsia="PMingLiU"/>
          <w:lang w:val="en-GB" w:eastAsia="zh-TW"/>
        </w:rPr>
        <w:t>‘</w:t>
      </w:r>
      <w:r w:rsidR="00683E8D" w:rsidRPr="00EE5050">
        <w:rPr>
          <w:rFonts w:eastAsia="PMingLiU"/>
          <w:lang w:val="en-GB" w:eastAsia="zh-TW"/>
        </w:rPr>
        <w:t>[d]</w:t>
      </w:r>
      <w:proofErr w:type="spellStart"/>
      <w:r w:rsidR="00683E8D" w:rsidRPr="00EE5050">
        <w:rPr>
          <w:rFonts w:eastAsia="PMingLiU"/>
          <w:lang w:val="en-GB" w:eastAsia="zh-TW"/>
        </w:rPr>
        <w:t>ue</w:t>
      </w:r>
      <w:proofErr w:type="spellEnd"/>
      <w:r w:rsidR="00683E8D" w:rsidRPr="00EE5050">
        <w:rPr>
          <w:rFonts w:eastAsia="PMingLiU"/>
          <w:lang w:val="en-GB" w:eastAsia="zh-TW"/>
        </w:rPr>
        <w:t xml:space="preserve"> to my background in politics, constitutional law, and administrative law, I have no difficulty concerning the constitutionality of laws</w:t>
      </w:r>
      <w:r w:rsidR="00AC357A">
        <w:rPr>
          <w:rFonts w:eastAsia="PMingLiU"/>
          <w:lang w:val="en-GB" w:eastAsia="zh-TW"/>
        </w:rPr>
        <w:t>’</w:t>
      </w:r>
      <w:r w:rsidR="00683E8D" w:rsidRPr="00EE5050">
        <w:rPr>
          <w:rFonts w:eastAsia="PMingLiU"/>
          <w:lang w:val="en-GB" w:eastAsia="zh-TW"/>
        </w:rPr>
        <w:t>.</w:t>
      </w:r>
      <w:r w:rsidR="00683E8D" w:rsidRPr="00EE5050">
        <w:rPr>
          <w:rStyle w:val="FootnoteReference"/>
          <w:rFonts w:eastAsia="PMingLiU"/>
          <w:lang w:val="en-GB" w:eastAsia="zh-TW"/>
        </w:rPr>
        <w:footnoteReference w:id="118"/>
      </w:r>
      <w:r w:rsidR="00683E8D" w:rsidRPr="00EE5050">
        <w:rPr>
          <w:rFonts w:eastAsia="PMingLiU"/>
          <w:lang w:val="en-GB" w:eastAsia="zh-TW"/>
        </w:rPr>
        <w:t xml:space="preserve"> </w:t>
      </w:r>
      <w:r w:rsidR="00DE41F7" w:rsidRPr="00EE5050">
        <w:rPr>
          <w:rFonts w:eastAsia="PMingLiU"/>
          <w:lang w:val="en-GB" w:eastAsia="zh-TW"/>
        </w:rPr>
        <w:t>Yet having a legal background and actively assessing the constitutionality of legislation</w:t>
      </w:r>
      <w:r w:rsidR="000D2E6B" w:rsidRPr="00EE5050">
        <w:rPr>
          <w:rFonts w:eastAsia="PMingLiU"/>
          <w:lang w:val="en-GB" w:eastAsia="zh-TW"/>
        </w:rPr>
        <w:t xml:space="preserve"> are two quite separate things, and one is not necessarily predicated </w:t>
      </w:r>
      <w:r w:rsidR="00683E8D" w:rsidRPr="00EE5050">
        <w:rPr>
          <w:rFonts w:eastAsia="PMingLiU"/>
          <w:lang w:val="en-GB" w:eastAsia="zh-TW"/>
        </w:rPr>
        <w:t>up</w:t>
      </w:r>
      <w:r w:rsidR="000D2E6B" w:rsidRPr="00EE5050">
        <w:rPr>
          <w:rFonts w:eastAsia="PMingLiU"/>
          <w:lang w:val="en-GB" w:eastAsia="zh-TW"/>
        </w:rPr>
        <w:t xml:space="preserve">on the other. </w:t>
      </w:r>
    </w:p>
    <w:p w14:paraId="1EFDCFE1" w14:textId="77777777" w:rsidR="00D35AB9" w:rsidRPr="00EE5050" w:rsidRDefault="00D35AB9" w:rsidP="00E821E6">
      <w:pPr>
        <w:pStyle w:val="NoSpacing"/>
        <w:tabs>
          <w:tab w:val="left" w:pos="993"/>
          <w:tab w:val="left" w:pos="1440"/>
        </w:tabs>
        <w:spacing w:line="480" w:lineRule="auto"/>
        <w:ind w:firstLineChars="118" w:firstLine="283"/>
        <w:jc w:val="both"/>
        <w:rPr>
          <w:rFonts w:eastAsia="PMingLiU"/>
          <w:lang w:val="en-GB" w:eastAsia="zh-TW"/>
        </w:rPr>
      </w:pPr>
    </w:p>
    <w:p w14:paraId="0A1CB333" w14:textId="77777777" w:rsidR="003A21D4" w:rsidRPr="00F704DE" w:rsidRDefault="00453F43" w:rsidP="007D6189">
      <w:pPr>
        <w:pStyle w:val="NoSpacing"/>
        <w:tabs>
          <w:tab w:val="left" w:pos="993"/>
          <w:tab w:val="left" w:pos="1440"/>
        </w:tabs>
        <w:jc w:val="both"/>
        <w:rPr>
          <w:rFonts w:eastAsia="PMingLiU"/>
          <w:b/>
          <w:i/>
          <w:sz w:val="28"/>
          <w:szCs w:val="28"/>
          <w:lang w:val="en-GB" w:eastAsia="zh-TW"/>
        </w:rPr>
      </w:pPr>
      <w:r w:rsidRPr="007D6189">
        <w:rPr>
          <w:rFonts w:eastAsia="PMingLiU"/>
          <w:b/>
          <w:i/>
          <w:sz w:val="28"/>
          <w:szCs w:val="28"/>
          <w:lang w:val="en-GB" w:eastAsia="zh-TW"/>
        </w:rPr>
        <w:t>C.  </w:t>
      </w:r>
      <w:r w:rsidR="00681A57" w:rsidRPr="007D6189">
        <w:rPr>
          <w:rFonts w:eastAsia="PMingLiU"/>
          <w:b/>
          <w:i/>
          <w:sz w:val="28"/>
          <w:szCs w:val="28"/>
          <w:lang w:val="en-GB" w:eastAsia="zh-TW"/>
        </w:rPr>
        <w:t xml:space="preserve">Where do offices go with constitutional </w:t>
      </w:r>
      <w:r w:rsidR="00681A57" w:rsidRPr="00F704DE">
        <w:rPr>
          <w:rFonts w:eastAsia="PMingLiU"/>
          <w:b/>
          <w:i/>
          <w:sz w:val="28"/>
          <w:szCs w:val="28"/>
          <w:lang w:val="en-GB" w:eastAsia="zh-TW"/>
        </w:rPr>
        <w:t>q</w:t>
      </w:r>
      <w:r w:rsidR="0069054D" w:rsidRPr="00F704DE">
        <w:rPr>
          <w:rFonts w:eastAsia="PMingLiU"/>
          <w:b/>
          <w:i/>
          <w:sz w:val="28"/>
          <w:szCs w:val="28"/>
          <w:lang w:val="en-GB" w:eastAsia="zh-TW"/>
        </w:rPr>
        <w:t xml:space="preserve">uestions? </w:t>
      </w:r>
    </w:p>
    <w:p w14:paraId="0A135172" w14:textId="77777777" w:rsidR="00F5372E" w:rsidRPr="00EE5050" w:rsidRDefault="00F5372E" w:rsidP="00F5372E">
      <w:pPr>
        <w:pStyle w:val="NoSpacing"/>
        <w:tabs>
          <w:tab w:val="left" w:pos="993"/>
          <w:tab w:val="left" w:pos="1440"/>
        </w:tabs>
        <w:jc w:val="both"/>
        <w:rPr>
          <w:rFonts w:ascii="Palatino Linotype" w:eastAsia="PMingLiU" w:hAnsi="Palatino Linotype"/>
          <w:smallCaps/>
          <w:sz w:val="32"/>
          <w:lang w:val="en-GB" w:eastAsia="zh-TW"/>
        </w:rPr>
      </w:pPr>
    </w:p>
    <w:p w14:paraId="22283272" w14:textId="1E2F049D" w:rsidR="001D346A" w:rsidRPr="00EE5050" w:rsidRDefault="002418C0" w:rsidP="001D346A">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Since</w:t>
      </w:r>
      <w:r w:rsidR="00D35AB9" w:rsidRPr="00EE5050">
        <w:rPr>
          <w:rFonts w:eastAsia="PMingLiU"/>
          <w:lang w:val="en-GB" w:eastAsia="zh-TW"/>
        </w:rPr>
        <w:t xml:space="preserve"> t</w:t>
      </w:r>
      <w:r w:rsidR="00AF4DE4" w:rsidRPr="00EE5050">
        <w:rPr>
          <w:rFonts w:eastAsia="PMingLiU"/>
          <w:lang w:val="en-GB" w:eastAsia="zh-TW"/>
        </w:rPr>
        <w:t xml:space="preserve">he </w:t>
      </w:r>
      <w:r w:rsidR="00D542D4" w:rsidRPr="00EE5050">
        <w:rPr>
          <w:rFonts w:eastAsia="PMingLiU"/>
          <w:lang w:val="en-GB" w:eastAsia="zh-TW"/>
        </w:rPr>
        <w:t>initial</w:t>
      </w:r>
      <w:r w:rsidR="00AF4DE4" w:rsidRPr="00EE5050">
        <w:rPr>
          <w:rFonts w:eastAsia="PMingLiU"/>
          <w:lang w:val="en-GB" w:eastAsia="zh-TW"/>
        </w:rPr>
        <w:t xml:space="preserve"> question focused on how lawmakers perceive themselves as complying with constitutional norms</w:t>
      </w:r>
      <w:r w:rsidR="00046B85" w:rsidRPr="00EE5050">
        <w:rPr>
          <w:rFonts w:eastAsia="PMingLiU"/>
          <w:lang w:val="en-GB" w:eastAsia="zh-TW"/>
        </w:rPr>
        <w:t xml:space="preserve"> in the legislative and larger legal processes</w:t>
      </w:r>
      <w:r w:rsidR="000D2E6B" w:rsidRPr="00EE5050">
        <w:rPr>
          <w:rFonts w:eastAsia="PMingLiU"/>
          <w:lang w:val="en-GB" w:eastAsia="zh-TW"/>
        </w:rPr>
        <w:t>, the second</w:t>
      </w:r>
      <w:r w:rsidR="00D542D4" w:rsidRPr="00EE5050">
        <w:rPr>
          <w:rFonts w:eastAsia="PMingLiU"/>
          <w:lang w:val="en-GB" w:eastAsia="zh-TW"/>
        </w:rPr>
        <w:t xml:space="preserve"> question asked</w:t>
      </w:r>
      <w:r w:rsidR="00AF4DE4" w:rsidRPr="00EE5050">
        <w:rPr>
          <w:rFonts w:eastAsia="PMingLiU"/>
          <w:lang w:val="en-GB" w:eastAsia="zh-TW"/>
        </w:rPr>
        <w:t xml:space="preserve"> a more structural question</w:t>
      </w:r>
      <w:r w:rsidR="00046B85" w:rsidRPr="00EE5050">
        <w:rPr>
          <w:rFonts w:eastAsia="PMingLiU"/>
          <w:lang w:val="en-GB" w:eastAsia="zh-TW"/>
        </w:rPr>
        <w:t xml:space="preserve"> in regard to constitutional issues</w:t>
      </w:r>
      <w:r w:rsidR="00AF4DE4" w:rsidRPr="00EE5050">
        <w:rPr>
          <w:rFonts w:eastAsia="PMingLiU"/>
          <w:lang w:val="en-GB" w:eastAsia="zh-TW"/>
        </w:rPr>
        <w:t xml:space="preserve">: </w:t>
      </w:r>
      <w:r w:rsidR="00D542D4" w:rsidRPr="00EE5050">
        <w:rPr>
          <w:rFonts w:eastAsia="PMingLiU"/>
          <w:lang w:val="en-GB" w:eastAsia="zh-TW"/>
        </w:rPr>
        <w:t>where legislators (and staff)</w:t>
      </w:r>
      <w:r w:rsidR="00046B85" w:rsidRPr="00EE5050">
        <w:rPr>
          <w:rFonts w:eastAsia="PMingLiU"/>
          <w:lang w:val="en-GB" w:eastAsia="zh-TW"/>
        </w:rPr>
        <w:t xml:space="preserve"> can go with constitutional questions. A couple </w:t>
      </w:r>
      <w:r w:rsidR="00EE3318">
        <w:rPr>
          <w:rFonts w:eastAsia="PMingLiU"/>
          <w:lang w:val="en-GB" w:eastAsia="zh-TW"/>
        </w:rPr>
        <w:t xml:space="preserve">of </w:t>
      </w:r>
      <w:r w:rsidR="00046B85" w:rsidRPr="00EE5050">
        <w:rPr>
          <w:rFonts w:eastAsia="PMingLiU"/>
          <w:lang w:val="en-GB" w:eastAsia="zh-TW"/>
        </w:rPr>
        <w:t xml:space="preserve">legislators noted they would consult colleagues, friends, and other acquaintances. One </w:t>
      </w:r>
      <w:r w:rsidR="00F77EBC" w:rsidRPr="00EE5050">
        <w:rPr>
          <w:rFonts w:eastAsia="PMingLiU"/>
          <w:lang w:val="en-GB" w:eastAsia="zh-TW"/>
        </w:rPr>
        <w:t>said</w:t>
      </w:r>
      <w:r w:rsidR="00046B85" w:rsidRPr="00EE5050">
        <w:rPr>
          <w:rFonts w:eastAsia="PMingLiU"/>
          <w:lang w:val="en-GB" w:eastAsia="zh-TW"/>
        </w:rPr>
        <w:t xml:space="preserve"> </w:t>
      </w:r>
      <w:r w:rsidR="00AC357A">
        <w:rPr>
          <w:rFonts w:eastAsia="PMingLiU"/>
          <w:lang w:val="en-GB" w:eastAsia="zh-TW"/>
        </w:rPr>
        <w:t>‘</w:t>
      </w:r>
      <w:r w:rsidR="001D346A" w:rsidRPr="00EE5050">
        <w:rPr>
          <w:rFonts w:eastAsia="PMingLiU"/>
          <w:lang w:val="en-GB" w:eastAsia="zh-TW"/>
        </w:rPr>
        <w:t>I will seek consultations with my friends in legal circles or even colleagues (at the Legislative Yuan). If necessary, we can seek aid from other experts, but we ourselves c</w:t>
      </w:r>
      <w:r w:rsidR="00046B85" w:rsidRPr="00EE5050">
        <w:rPr>
          <w:rFonts w:eastAsia="PMingLiU"/>
          <w:lang w:val="en-GB" w:eastAsia="zh-TW"/>
        </w:rPr>
        <w:t xml:space="preserve">ould make a </w:t>
      </w:r>
      <w:r w:rsidR="00046B85" w:rsidRPr="00EE5050">
        <w:rPr>
          <w:rFonts w:eastAsia="PMingLiU"/>
          <w:lang w:val="en-GB" w:eastAsia="zh-TW"/>
        </w:rPr>
        <w:lastRenderedPageBreak/>
        <w:t>sufficient argument</w:t>
      </w:r>
      <w:r w:rsidR="00976FA6">
        <w:rPr>
          <w:rFonts w:eastAsia="PMingLiU"/>
          <w:lang w:val="en-GB" w:eastAsia="zh-TW"/>
        </w:rPr>
        <w:t>’</w:t>
      </w:r>
      <w:r w:rsidR="00046B85" w:rsidRPr="00EE5050">
        <w:rPr>
          <w:rFonts w:eastAsia="PMingLiU"/>
          <w:lang w:val="en-GB" w:eastAsia="zh-TW"/>
        </w:rPr>
        <w:t>,</w:t>
      </w:r>
      <w:r w:rsidR="001D346A" w:rsidRPr="00EE5050">
        <w:rPr>
          <w:rStyle w:val="FootnoteReference"/>
          <w:rFonts w:eastAsia="PMingLiU"/>
          <w:lang w:val="en-GB" w:eastAsia="zh-TW"/>
        </w:rPr>
        <w:footnoteReference w:id="119"/>
      </w:r>
      <w:r w:rsidR="00046B85" w:rsidRPr="00EE5050">
        <w:rPr>
          <w:rFonts w:eastAsia="PMingLiU"/>
          <w:lang w:val="en-GB" w:eastAsia="zh-TW"/>
        </w:rPr>
        <w:t xml:space="preserve"> while another stated, </w:t>
      </w:r>
      <w:r w:rsidR="00AC357A">
        <w:rPr>
          <w:rFonts w:eastAsia="PMingLiU"/>
          <w:lang w:val="en-GB" w:eastAsia="zh-TW"/>
        </w:rPr>
        <w:t>‘</w:t>
      </w:r>
      <w:r w:rsidR="00046B85" w:rsidRPr="00EE5050">
        <w:rPr>
          <w:rFonts w:eastAsia="PMingLiU"/>
          <w:lang w:val="en-GB" w:eastAsia="zh-TW"/>
        </w:rPr>
        <w:t>t</w:t>
      </w:r>
      <w:r w:rsidR="001D346A" w:rsidRPr="00EE5050">
        <w:rPr>
          <w:rFonts w:eastAsia="PMingLiU"/>
          <w:lang w:val="en-GB" w:eastAsia="zh-TW"/>
        </w:rPr>
        <w:t>here is a name list in my office, including professors, lawyers and other consultants. So if we or other legislators in my party find there might be some problem with the law, we will invite familiar consultants to offer opinions or even ask what kind of standpoint we should hold in the first and second reading</w:t>
      </w:r>
      <w:r w:rsidR="00976FA6">
        <w:rPr>
          <w:rFonts w:eastAsia="PMingLiU"/>
          <w:lang w:val="en-GB" w:eastAsia="zh-TW"/>
        </w:rPr>
        <w:t>’</w:t>
      </w:r>
      <w:r w:rsidR="001D346A" w:rsidRPr="00EE5050">
        <w:rPr>
          <w:rFonts w:eastAsia="PMingLiU"/>
          <w:lang w:val="en-GB" w:eastAsia="zh-TW"/>
        </w:rPr>
        <w:t>.</w:t>
      </w:r>
      <w:r w:rsidR="001D346A" w:rsidRPr="00EE5050">
        <w:rPr>
          <w:rStyle w:val="FootnoteReference"/>
          <w:rFonts w:eastAsia="PMingLiU"/>
          <w:lang w:val="en-GB" w:eastAsia="zh-TW"/>
        </w:rPr>
        <w:footnoteReference w:id="120"/>
      </w:r>
      <w:r w:rsidR="00B43F04" w:rsidRPr="00EE5050">
        <w:rPr>
          <w:rFonts w:eastAsia="PMingLiU"/>
          <w:lang w:val="en-GB" w:eastAsia="zh-TW"/>
        </w:rPr>
        <w:t xml:space="preserve"> Thus</w:t>
      </w:r>
      <w:r w:rsidR="00CF1A9E">
        <w:rPr>
          <w:rFonts w:eastAsia="PMingLiU"/>
          <w:lang w:val="en-GB" w:eastAsia="zh-TW"/>
        </w:rPr>
        <w:t>,</w:t>
      </w:r>
      <w:r w:rsidR="00046B85" w:rsidRPr="00EE5050">
        <w:rPr>
          <w:rFonts w:eastAsia="PMingLiU"/>
          <w:lang w:val="en-GB" w:eastAsia="zh-TW"/>
        </w:rPr>
        <w:t xml:space="preserve"> consultation </w:t>
      </w:r>
      <w:r w:rsidR="00C74FC6">
        <w:rPr>
          <w:rFonts w:eastAsia="PMingLiU"/>
          <w:lang w:val="en-GB" w:eastAsia="zh-TW"/>
        </w:rPr>
        <w:t>with</w:t>
      </w:r>
      <w:r w:rsidR="00C74FC6" w:rsidRPr="00EE5050">
        <w:rPr>
          <w:rFonts w:eastAsia="PMingLiU"/>
          <w:lang w:val="en-GB" w:eastAsia="zh-TW"/>
        </w:rPr>
        <w:t xml:space="preserve"> </w:t>
      </w:r>
      <w:r w:rsidR="00046B85" w:rsidRPr="00EE5050">
        <w:rPr>
          <w:rFonts w:eastAsia="PMingLiU"/>
          <w:lang w:val="en-GB" w:eastAsia="zh-TW"/>
        </w:rPr>
        <w:t xml:space="preserve">regard to constitutional issues </w:t>
      </w:r>
      <w:r w:rsidR="000D2E6B" w:rsidRPr="00EE5050">
        <w:rPr>
          <w:rFonts w:eastAsia="PMingLiU"/>
          <w:lang w:val="en-GB" w:eastAsia="zh-TW"/>
        </w:rPr>
        <w:t>did happen for</w:t>
      </w:r>
      <w:r w:rsidR="00046B85" w:rsidRPr="00EE5050">
        <w:rPr>
          <w:rFonts w:eastAsia="PMingLiU"/>
          <w:lang w:val="en-GB" w:eastAsia="zh-TW"/>
        </w:rPr>
        <w:t xml:space="preserve"> some legislators. </w:t>
      </w:r>
      <w:r w:rsidR="000D2E6B" w:rsidRPr="00EE5050">
        <w:rPr>
          <w:rFonts w:eastAsia="PMingLiU"/>
          <w:lang w:val="en-GB" w:eastAsia="zh-TW"/>
        </w:rPr>
        <w:t xml:space="preserve">It is important to point out, however, that these consultations are based on the quality of the individuals those people were asking and that there is not an </w:t>
      </w:r>
      <w:r w:rsidR="00AC357A">
        <w:rPr>
          <w:rFonts w:eastAsia="PMingLiU"/>
          <w:lang w:val="en-GB" w:eastAsia="zh-TW"/>
        </w:rPr>
        <w:t>‘</w:t>
      </w:r>
      <w:r w:rsidR="000D2E6B" w:rsidRPr="00EE5050">
        <w:rPr>
          <w:rFonts w:eastAsia="PMingLiU"/>
          <w:lang w:val="en-GB" w:eastAsia="zh-TW"/>
        </w:rPr>
        <w:t>official</w:t>
      </w:r>
      <w:r w:rsidR="00AC357A">
        <w:rPr>
          <w:rFonts w:eastAsia="PMingLiU"/>
          <w:lang w:val="en-GB" w:eastAsia="zh-TW"/>
        </w:rPr>
        <w:t>’</w:t>
      </w:r>
      <w:r w:rsidR="000D2E6B" w:rsidRPr="00EE5050">
        <w:rPr>
          <w:rFonts w:eastAsia="PMingLiU"/>
          <w:lang w:val="en-GB" w:eastAsia="zh-TW"/>
        </w:rPr>
        <w:t xml:space="preserve"> </w:t>
      </w:r>
      <w:r w:rsidR="000E57D9" w:rsidRPr="00EE5050">
        <w:rPr>
          <w:rFonts w:eastAsia="PMingLiU"/>
          <w:lang w:val="en-GB" w:eastAsia="zh-TW"/>
        </w:rPr>
        <w:t>o</w:t>
      </w:r>
      <w:r w:rsidR="00756980" w:rsidRPr="00EE5050">
        <w:rPr>
          <w:rFonts w:eastAsia="PMingLiU"/>
          <w:lang w:val="en-GB" w:eastAsia="zh-TW"/>
        </w:rPr>
        <w:t xml:space="preserve">ffice, </w:t>
      </w:r>
      <w:r w:rsidR="000E57D9" w:rsidRPr="00EE5050">
        <w:rPr>
          <w:rFonts w:eastAsia="PMingLiU"/>
          <w:lang w:val="en-GB" w:eastAsia="zh-TW"/>
        </w:rPr>
        <w:t>agency</w:t>
      </w:r>
      <w:r w:rsidR="000D2E6B" w:rsidRPr="00EE5050">
        <w:rPr>
          <w:rFonts w:eastAsia="PMingLiU"/>
          <w:lang w:val="en-GB" w:eastAsia="zh-TW"/>
        </w:rPr>
        <w:t xml:space="preserve"> </w:t>
      </w:r>
      <w:r w:rsidR="00756980" w:rsidRPr="00EE5050">
        <w:rPr>
          <w:rFonts w:eastAsia="PMingLiU"/>
          <w:lang w:val="en-GB" w:eastAsia="zh-TW"/>
        </w:rPr>
        <w:t xml:space="preserve">or organisation </w:t>
      </w:r>
      <w:r w:rsidR="000D2E6B" w:rsidRPr="00EE5050">
        <w:rPr>
          <w:rFonts w:eastAsia="PMingLiU"/>
          <w:lang w:val="en-GB" w:eastAsia="zh-TW"/>
        </w:rPr>
        <w:t xml:space="preserve">legislators can </w:t>
      </w:r>
      <w:r w:rsidR="0043601D" w:rsidRPr="00EE5050">
        <w:rPr>
          <w:rFonts w:eastAsia="PMingLiU"/>
          <w:lang w:val="en-GB" w:eastAsia="zh-TW"/>
        </w:rPr>
        <w:t>consult</w:t>
      </w:r>
      <w:r w:rsidR="000D2E6B" w:rsidRPr="00EE5050">
        <w:rPr>
          <w:rFonts w:eastAsia="PMingLiU"/>
          <w:lang w:val="en-GB" w:eastAsia="zh-TW"/>
        </w:rPr>
        <w:t xml:space="preserve"> </w:t>
      </w:r>
      <w:r w:rsidR="0043601D" w:rsidRPr="00EE5050">
        <w:rPr>
          <w:rFonts w:eastAsia="PMingLiU"/>
          <w:lang w:val="en-GB" w:eastAsia="zh-TW"/>
        </w:rPr>
        <w:t xml:space="preserve">regarding </w:t>
      </w:r>
      <w:r w:rsidR="000D2E6B" w:rsidRPr="00EE5050">
        <w:rPr>
          <w:rFonts w:eastAsia="PMingLiU"/>
          <w:lang w:val="en-GB" w:eastAsia="zh-TW"/>
        </w:rPr>
        <w:t xml:space="preserve">constitutional questions. </w:t>
      </w:r>
    </w:p>
    <w:p w14:paraId="7B240372" w14:textId="77777777" w:rsidR="001D346A" w:rsidRPr="00EE5050" w:rsidRDefault="00046B85"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Assistants, however, </w:t>
      </w:r>
      <w:r w:rsidR="00D35AB9" w:rsidRPr="00EE5050">
        <w:rPr>
          <w:rFonts w:eastAsia="PMingLiU"/>
          <w:lang w:val="en-GB" w:eastAsia="zh-TW"/>
        </w:rPr>
        <w:t>provided</w:t>
      </w:r>
      <w:r w:rsidRPr="00EE5050">
        <w:rPr>
          <w:rFonts w:eastAsia="PMingLiU"/>
          <w:lang w:val="en-GB" w:eastAsia="zh-TW"/>
        </w:rPr>
        <w:t xml:space="preserve"> a </w:t>
      </w:r>
      <w:r w:rsidR="00756980" w:rsidRPr="00EE5050">
        <w:rPr>
          <w:rFonts w:eastAsia="PMingLiU"/>
          <w:lang w:val="en-GB" w:eastAsia="zh-TW"/>
        </w:rPr>
        <w:t>somewhat different</w:t>
      </w:r>
      <w:r w:rsidRPr="00EE5050">
        <w:rPr>
          <w:rFonts w:eastAsia="PMingLiU"/>
          <w:lang w:val="en-GB" w:eastAsia="zh-TW"/>
        </w:rPr>
        <w:t xml:space="preserve"> </w:t>
      </w:r>
      <w:r w:rsidR="00756980" w:rsidRPr="00EE5050">
        <w:rPr>
          <w:rFonts w:eastAsia="PMingLiU"/>
          <w:lang w:val="en-GB" w:eastAsia="zh-TW"/>
        </w:rPr>
        <w:t>perspective</w:t>
      </w:r>
      <w:r w:rsidRPr="00EE5050">
        <w:rPr>
          <w:rFonts w:eastAsia="PMingLiU"/>
          <w:lang w:val="en-GB" w:eastAsia="zh-TW"/>
        </w:rPr>
        <w:t xml:space="preserve">. While one noted their office usually </w:t>
      </w:r>
      <w:r w:rsidR="00AC357A">
        <w:rPr>
          <w:rFonts w:eastAsia="PMingLiU"/>
          <w:lang w:val="en-GB" w:eastAsia="zh-TW"/>
        </w:rPr>
        <w:t>‘</w:t>
      </w:r>
      <w:r w:rsidR="001D346A" w:rsidRPr="00EE5050">
        <w:rPr>
          <w:rFonts w:eastAsia="PMingLiU"/>
          <w:lang w:val="en-GB" w:eastAsia="zh-TW"/>
        </w:rPr>
        <w:t>consult</w:t>
      </w:r>
      <w:r w:rsidRPr="00EE5050">
        <w:rPr>
          <w:rFonts w:eastAsia="PMingLiU"/>
          <w:lang w:val="en-GB" w:eastAsia="zh-TW"/>
        </w:rPr>
        <w:t>[s] law professors</w:t>
      </w:r>
      <w:r w:rsidR="00AC357A">
        <w:rPr>
          <w:rFonts w:eastAsia="PMingLiU"/>
          <w:lang w:val="en-GB" w:eastAsia="zh-TW"/>
        </w:rPr>
        <w:t>’</w:t>
      </w:r>
      <w:r w:rsidR="000520F6" w:rsidRPr="00EE5050">
        <w:rPr>
          <w:rFonts w:eastAsia="PMingLiU"/>
          <w:lang w:val="en-GB" w:eastAsia="zh-TW"/>
        </w:rPr>
        <w:t>,</w:t>
      </w:r>
      <w:r w:rsidR="001D346A" w:rsidRPr="00EE5050">
        <w:rPr>
          <w:rStyle w:val="FootnoteReference"/>
          <w:rFonts w:eastAsia="PMingLiU"/>
          <w:lang w:val="en-GB" w:eastAsia="zh-TW"/>
        </w:rPr>
        <w:footnoteReference w:id="121"/>
      </w:r>
      <w:r w:rsidR="00091554" w:rsidRPr="00EE5050">
        <w:rPr>
          <w:rFonts w:eastAsia="PMingLiU"/>
          <w:lang w:val="en-GB" w:eastAsia="zh-TW"/>
        </w:rPr>
        <w:t xml:space="preserve"> others </w:t>
      </w:r>
      <w:r w:rsidR="00F77EBC" w:rsidRPr="00EE5050">
        <w:rPr>
          <w:rFonts w:eastAsia="PMingLiU"/>
          <w:lang w:val="en-GB" w:eastAsia="zh-TW"/>
        </w:rPr>
        <w:t>presented</w:t>
      </w:r>
      <w:r w:rsidR="00091554" w:rsidRPr="00EE5050">
        <w:rPr>
          <w:rFonts w:eastAsia="PMingLiU"/>
          <w:lang w:val="en-GB" w:eastAsia="zh-TW"/>
        </w:rPr>
        <w:t xml:space="preserve"> a </w:t>
      </w:r>
      <w:r w:rsidR="00E821E6" w:rsidRPr="00EE5050">
        <w:rPr>
          <w:rFonts w:eastAsia="PMingLiU"/>
          <w:lang w:val="en-GB" w:eastAsia="zh-TW"/>
        </w:rPr>
        <w:t>disturbing</w:t>
      </w:r>
      <w:r w:rsidR="00091554" w:rsidRPr="00EE5050">
        <w:rPr>
          <w:rFonts w:eastAsia="PMingLiU"/>
          <w:lang w:val="en-GB" w:eastAsia="zh-TW"/>
        </w:rPr>
        <w:t xml:space="preserve"> lack of options in regard to exploring constitutional questions. One </w:t>
      </w:r>
      <w:r w:rsidR="00F77EBC" w:rsidRPr="00EE5050">
        <w:rPr>
          <w:rFonts w:eastAsia="PMingLiU"/>
          <w:lang w:val="en-GB" w:eastAsia="zh-TW"/>
        </w:rPr>
        <w:t>said</w:t>
      </w:r>
      <w:r w:rsidR="00091554" w:rsidRPr="00EE5050">
        <w:rPr>
          <w:rFonts w:eastAsia="PMingLiU"/>
          <w:lang w:val="en-GB" w:eastAsia="zh-TW"/>
        </w:rPr>
        <w:t xml:space="preserve">, </w:t>
      </w:r>
      <w:r w:rsidR="00AC357A">
        <w:rPr>
          <w:rFonts w:eastAsia="PMingLiU"/>
          <w:lang w:val="en-GB" w:eastAsia="zh-TW"/>
        </w:rPr>
        <w:t>‘</w:t>
      </w:r>
      <w:r w:rsidR="00091554" w:rsidRPr="00EE5050">
        <w:rPr>
          <w:rFonts w:eastAsia="PMingLiU"/>
          <w:lang w:val="en-GB" w:eastAsia="zh-TW"/>
        </w:rPr>
        <w:t>usually we won</w:t>
      </w:r>
      <w:r w:rsidR="00AC357A">
        <w:rPr>
          <w:rFonts w:eastAsia="PMingLiU"/>
          <w:lang w:val="en-GB" w:eastAsia="zh-TW"/>
        </w:rPr>
        <w:t>’</w:t>
      </w:r>
      <w:r w:rsidR="00091554" w:rsidRPr="00EE5050">
        <w:rPr>
          <w:rFonts w:eastAsia="PMingLiU"/>
          <w:lang w:val="en-GB" w:eastAsia="zh-TW"/>
        </w:rPr>
        <w:t>t ask</w:t>
      </w:r>
      <w:r w:rsidR="00AC357A">
        <w:rPr>
          <w:rFonts w:eastAsia="PMingLiU"/>
          <w:lang w:val="en-GB" w:eastAsia="zh-TW"/>
        </w:rPr>
        <w:t>’</w:t>
      </w:r>
      <w:r w:rsidR="00091554" w:rsidRPr="00EE5050">
        <w:rPr>
          <w:rFonts w:eastAsia="PMingLiU"/>
          <w:lang w:val="en-GB" w:eastAsia="zh-TW"/>
        </w:rPr>
        <w:t>,</w:t>
      </w:r>
      <w:r w:rsidR="001D346A" w:rsidRPr="00EE5050">
        <w:rPr>
          <w:rStyle w:val="FootnoteReference"/>
          <w:rFonts w:eastAsia="PMingLiU"/>
          <w:lang w:val="en-GB" w:eastAsia="zh-TW"/>
        </w:rPr>
        <w:footnoteReference w:id="122"/>
      </w:r>
      <w:r w:rsidR="00091554" w:rsidRPr="00EE5050">
        <w:rPr>
          <w:rFonts w:eastAsia="PMingLiU"/>
          <w:lang w:val="en-GB" w:eastAsia="zh-TW"/>
        </w:rPr>
        <w:t xml:space="preserve"> while another </w:t>
      </w:r>
      <w:r w:rsidR="00E821E6" w:rsidRPr="00EE5050">
        <w:rPr>
          <w:rFonts w:eastAsia="PMingLiU"/>
          <w:lang w:val="en-GB" w:eastAsia="zh-TW"/>
        </w:rPr>
        <w:t xml:space="preserve">peculiarly </w:t>
      </w:r>
      <w:r w:rsidR="00091554" w:rsidRPr="00EE5050">
        <w:rPr>
          <w:rFonts w:eastAsia="PMingLiU"/>
          <w:lang w:val="en-GB" w:eastAsia="zh-TW"/>
        </w:rPr>
        <w:t xml:space="preserve">added, </w:t>
      </w:r>
      <w:r w:rsidR="00AC357A">
        <w:rPr>
          <w:rFonts w:eastAsia="PMingLiU"/>
          <w:lang w:val="en-GB" w:eastAsia="zh-TW"/>
        </w:rPr>
        <w:t>‘</w:t>
      </w:r>
      <w:r w:rsidR="00091554" w:rsidRPr="00EE5050">
        <w:rPr>
          <w:rFonts w:eastAsia="PMingLiU"/>
          <w:lang w:val="en-GB" w:eastAsia="zh-TW"/>
        </w:rPr>
        <w:t>w</w:t>
      </w:r>
      <w:r w:rsidR="001D346A" w:rsidRPr="00EE5050">
        <w:rPr>
          <w:rFonts w:eastAsia="PMingLiU"/>
          <w:lang w:val="en-GB" w:eastAsia="zh-TW"/>
        </w:rPr>
        <w:t>hen a law is unconstitutional, it</w:t>
      </w:r>
      <w:r w:rsidR="00AC357A">
        <w:rPr>
          <w:rFonts w:eastAsia="PMingLiU"/>
          <w:lang w:val="en-GB" w:eastAsia="zh-TW"/>
        </w:rPr>
        <w:t>’</w:t>
      </w:r>
      <w:r w:rsidR="001D346A" w:rsidRPr="00EE5050">
        <w:rPr>
          <w:rFonts w:eastAsia="PMingLiU"/>
          <w:lang w:val="en-GB" w:eastAsia="zh-TW"/>
        </w:rPr>
        <w:t xml:space="preserve">s actually </w:t>
      </w:r>
      <w:r w:rsidR="00091554" w:rsidRPr="00EE5050">
        <w:rPr>
          <w:rFonts w:eastAsia="PMingLiU"/>
          <w:lang w:val="en-GB" w:eastAsia="zh-TW"/>
        </w:rPr>
        <w:t>not too difficult to understand</w:t>
      </w:r>
      <w:r w:rsidR="00AC357A">
        <w:rPr>
          <w:rFonts w:eastAsia="PMingLiU"/>
          <w:lang w:val="en-GB" w:eastAsia="zh-TW"/>
        </w:rPr>
        <w:t>’</w:t>
      </w:r>
      <w:r w:rsidR="00091554" w:rsidRPr="00EE5050">
        <w:rPr>
          <w:rFonts w:eastAsia="PMingLiU"/>
          <w:lang w:val="en-GB" w:eastAsia="zh-TW"/>
        </w:rPr>
        <w:t>.</w:t>
      </w:r>
      <w:r w:rsidR="001D346A" w:rsidRPr="00EE5050">
        <w:rPr>
          <w:rStyle w:val="FootnoteReference"/>
          <w:rFonts w:eastAsia="PMingLiU"/>
          <w:lang w:val="en-GB" w:eastAsia="zh-TW"/>
        </w:rPr>
        <w:footnoteReference w:id="123"/>
      </w:r>
      <w:r w:rsidR="00091554" w:rsidRPr="00EE5050">
        <w:rPr>
          <w:rFonts w:eastAsia="PMingLiU"/>
          <w:lang w:val="en-GB" w:eastAsia="zh-TW"/>
        </w:rPr>
        <w:t xml:space="preserve"> Further, an experienced assistant noted: </w:t>
      </w:r>
    </w:p>
    <w:p w14:paraId="2FA529EC" w14:textId="77777777" w:rsidR="001D346A" w:rsidRPr="00C40BA5" w:rsidRDefault="001D346A" w:rsidP="000D2E6B">
      <w:pPr>
        <w:pStyle w:val="NoSpacing"/>
        <w:tabs>
          <w:tab w:val="left" w:pos="993"/>
          <w:tab w:val="left" w:pos="1440"/>
        </w:tabs>
        <w:ind w:leftChars="295" w:left="708" w:rightChars="-2" w:right="-5"/>
        <w:jc w:val="both"/>
        <w:rPr>
          <w:rFonts w:eastAsia="PMingLiU"/>
          <w:sz w:val="22"/>
          <w:szCs w:val="22"/>
          <w:lang w:val="en-GB" w:eastAsia="zh-TW"/>
        </w:rPr>
      </w:pPr>
      <w:r w:rsidRPr="00C40BA5">
        <w:rPr>
          <w:rFonts w:eastAsia="PMingLiU"/>
          <w:sz w:val="22"/>
          <w:szCs w:val="22"/>
          <w:lang w:val="en-GB" w:eastAsia="zh-TW"/>
        </w:rPr>
        <w:t>Sometimes, legislators do not care about the constitutionality or whether it</w:t>
      </w:r>
      <w:r w:rsidR="00AC357A" w:rsidRPr="00C40BA5">
        <w:rPr>
          <w:rFonts w:eastAsia="PMingLiU"/>
          <w:sz w:val="22"/>
          <w:szCs w:val="22"/>
          <w:lang w:val="en-GB" w:eastAsia="zh-TW"/>
        </w:rPr>
        <w:t>’</w:t>
      </w:r>
      <w:r w:rsidRPr="00C40BA5">
        <w:rPr>
          <w:rFonts w:eastAsia="PMingLiU"/>
          <w:sz w:val="22"/>
          <w:szCs w:val="22"/>
          <w:lang w:val="en-GB" w:eastAsia="zh-TW"/>
        </w:rPr>
        <w:t>s going to pass or not; they care more about media exposure or whether certain groups feel that the legislator is contributing something for them. In our office, we pay much attention to the fundamental constitut</w:t>
      </w:r>
      <w:r w:rsidR="00C776F7" w:rsidRPr="00C40BA5">
        <w:rPr>
          <w:rFonts w:eastAsia="PMingLiU"/>
          <w:sz w:val="22"/>
          <w:szCs w:val="22"/>
          <w:lang w:val="en-GB" w:eastAsia="zh-TW"/>
        </w:rPr>
        <w:t>ional rules as much as possible</w:t>
      </w:r>
      <w:r w:rsidR="00091554" w:rsidRPr="00C40BA5">
        <w:rPr>
          <w:rFonts w:eastAsia="PMingLiU"/>
          <w:sz w:val="22"/>
          <w:szCs w:val="22"/>
          <w:lang w:val="en-GB" w:eastAsia="zh-TW"/>
        </w:rPr>
        <w:t>.</w:t>
      </w:r>
      <w:r w:rsidRPr="00C40BA5">
        <w:rPr>
          <w:rStyle w:val="FootnoteReference"/>
          <w:rFonts w:eastAsia="PMingLiU"/>
          <w:sz w:val="22"/>
          <w:szCs w:val="22"/>
          <w:lang w:val="en-GB" w:eastAsia="zh-TW"/>
        </w:rPr>
        <w:footnoteReference w:id="124"/>
      </w:r>
    </w:p>
    <w:p w14:paraId="6E45FFCC" w14:textId="77777777" w:rsidR="00C776F7" w:rsidRPr="00EE5050" w:rsidRDefault="00C776F7" w:rsidP="00C776F7">
      <w:pPr>
        <w:pStyle w:val="NoSpacing"/>
        <w:tabs>
          <w:tab w:val="left" w:pos="993"/>
          <w:tab w:val="left" w:pos="1440"/>
        </w:tabs>
        <w:ind w:leftChars="295" w:left="708" w:rightChars="292" w:right="701"/>
        <w:jc w:val="both"/>
        <w:rPr>
          <w:rFonts w:eastAsia="PMingLiU"/>
          <w:lang w:val="en-GB" w:eastAsia="zh-TW"/>
        </w:rPr>
      </w:pPr>
    </w:p>
    <w:p w14:paraId="0E7336BD" w14:textId="7A65E3DC" w:rsidR="00036DF1" w:rsidRPr="00EE5050" w:rsidRDefault="0089377C" w:rsidP="00A31E24">
      <w:pPr>
        <w:pStyle w:val="NoSpacing"/>
        <w:tabs>
          <w:tab w:val="left" w:pos="993"/>
          <w:tab w:val="left" w:pos="1440"/>
        </w:tabs>
        <w:spacing w:line="480" w:lineRule="auto"/>
        <w:jc w:val="both"/>
        <w:rPr>
          <w:rFonts w:eastAsia="PMingLiU"/>
          <w:smallCaps/>
          <w:sz w:val="32"/>
          <w:lang w:val="en-GB" w:eastAsia="zh-TW"/>
        </w:rPr>
      </w:pPr>
      <w:r>
        <w:rPr>
          <w:rFonts w:eastAsia="PMingLiU"/>
          <w:lang w:val="en-GB" w:eastAsia="zh-TW"/>
        </w:rPr>
        <w:t xml:space="preserve">            </w:t>
      </w:r>
      <w:r w:rsidR="00F77EBC" w:rsidRPr="00EE5050">
        <w:rPr>
          <w:rFonts w:eastAsia="PMingLiU"/>
          <w:lang w:val="en-GB" w:eastAsia="zh-TW"/>
        </w:rPr>
        <w:t xml:space="preserve">Exhibiting signs </w:t>
      </w:r>
      <w:r w:rsidR="0050101D" w:rsidRPr="00EE5050">
        <w:rPr>
          <w:rFonts w:eastAsia="PMingLiU"/>
          <w:lang w:val="en-GB" w:eastAsia="zh-TW"/>
        </w:rPr>
        <w:t>of judicial overhang, a</w:t>
      </w:r>
      <w:r w:rsidR="00E821E6" w:rsidRPr="00EE5050">
        <w:rPr>
          <w:rFonts w:eastAsia="PMingLiU"/>
          <w:lang w:val="en-GB" w:eastAsia="zh-TW"/>
        </w:rPr>
        <w:t xml:space="preserve"> few</w:t>
      </w:r>
      <w:r w:rsidR="00091554" w:rsidRPr="00EE5050">
        <w:rPr>
          <w:rFonts w:eastAsia="PMingLiU"/>
          <w:lang w:val="en-GB" w:eastAsia="zh-TW"/>
        </w:rPr>
        <w:t xml:space="preserve"> participants displayed overt nods to Taiwan</w:t>
      </w:r>
      <w:r w:rsidR="00AC357A">
        <w:rPr>
          <w:rFonts w:eastAsia="PMingLiU"/>
          <w:lang w:val="en-GB" w:eastAsia="zh-TW"/>
        </w:rPr>
        <w:t>’</w:t>
      </w:r>
      <w:r w:rsidR="00091554" w:rsidRPr="00EE5050">
        <w:rPr>
          <w:rFonts w:eastAsia="PMingLiU"/>
          <w:lang w:val="en-GB" w:eastAsia="zh-TW"/>
        </w:rPr>
        <w:t xml:space="preserve">s Constitutional Court. </w:t>
      </w:r>
      <w:r w:rsidR="0034708C" w:rsidRPr="00EE5050">
        <w:rPr>
          <w:rFonts w:eastAsia="PMingLiU"/>
          <w:lang w:val="en-GB" w:eastAsia="zh-TW"/>
        </w:rPr>
        <w:t>O</w:t>
      </w:r>
      <w:r w:rsidR="00091554" w:rsidRPr="00EE5050">
        <w:rPr>
          <w:rFonts w:eastAsia="PMingLiU"/>
          <w:lang w:val="en-GB" w:eastAsia="zh-TW"/>
        </w:rPr>
        <w:t>ne staffer suggested that i</w:t>
      </w:r>
      <w:r w:rsidR="001D346A" w:rsidRPr="00EE5050">
        <w:rPr>
          <w:rFonts w:eastAsia="PMingLiU"/>
          <w:lang w:val="en-GB" w:eastAsia="zh-TW"/>
        </w:rPr>
        <w:t>f one</w:t>
      </w:r>
      <w:r w:rsidR="00036DF1" w:rsidRPr="00EE5050">
        <w:rPr>
          <w:rFonts w:eastAsia="PMingLiU"/>
          <w:lang w:val="en-GB" w:eastAsia="zh-TW"/>
        </w:rPr>
        <w:t xml:space="preserve"> doubts the constitutionality</w:t>
      </w:r>
      <w:r w:rsidR="00091554" w:rsidRPr="00EE5050">
        <w:rPr>
          <w:rFonts w:eastAsia="PMingLiU"/>
          <w:lang w:val="en-GB" w:eastAsia="zh-TW"/>
        </w:rPr>
        <w:t xml:space="preserve"> of a bill</w:t>
      </w:r>
      <w:r w:rsidR="0050101D" w:rsidRPr="00EE5050">
        <w:rPr>
          <w:rFonts w:eastAsia="PMingLiU"/>
          <w:lang w:val="en-GB" w:eastAsia="zh-TW"/>
        </w:rPr>
        <w:t xml:space="preserve">, </w:t>
      </w:r>
      <w:r w:rsidR="00AC357A">
        <w:rPr>
          <w:rFonts w:eastAsia="PMingLiU"/>
          <w:lang w:val="en-GB" w:eastAsia="zh-TW"/>
        </w:rPr>
        <w:t>‘</w:t>
      </w:r>
      <w:r w:rsidR="001D346A" w:rsidRPr="00EE5050">
        <w:rPr>
          <w:rFonts w:eastAsia="PMingLiU"/>
          <w:lang w:val="en-GB" w:eastAsia="zh-TW"/>
        </w:rPr>
        <w:t>he or she needs to petition for interpretation, instead of interpretin</w:t>
      </w:r>
      <w:r w:rsidR="0050101D" w:rsidRPr="00EE5050">
        <w:rPr>
          <w:rFonts w:eastAsia="PMingLiU"/>
          <w:lang w:val="en-GB" w:eastAsia="zh-TW"/>
        </w:rPr>
        <w:t>g it on his or her own</w:t>
      </w:r>
      <w:r w:rsidR="00AC357A">
        <w:rPr>
          <w:rFonts w:eastAsia="PMingLiU"/>
          <w:lang w:val="en-GB" w:eastAsia="zh-TW"/>
        </w:rPr>
        <w:t>’</w:t>
      </w:r>
      <w:r w:rsidR="0050101D" w:rsidRPr="00EE5050">
        <w:rPr>
          <w:rFonts w:eastAsia="PMingLiU"/>
          <w:lang w:val="en-GB" w:eastAsia="zh-TW"/>
        </w:rPr>
        <w:t>.</w:t>
      </w:r>
      <w:r w:rsidR="00036DF1" w:rsidRPr="00EE5050">
        <w:rPr>
          <w:rStyle w:val="FootnoteReference"/>
          <w:rFonts w:eastAsia="PMingLiU"/>
          <w:lang w:val="en-GB" w:eastAsia="zh-TW"/>
        </w:rPr>
        <w:footnoteReference w:id="125"/>
      </w:r>
      <w:r w:rsidR="00091554" w:rsidRPr="00EE5050">
        <w:rPr>
          <w:rFonts w:eastAsia="PMingLiU"/>
          <w:lang w:val="en-GB" w:eastAsia="zh-TW"/>
        </w:rPr>
        <w:t xml:space="preserve"> </w:t>
      </w:r>
      <w:r w:rsidR="0034708C" w:rsidRPr="00EE5050">
        <w:rPr>
          <w:rFonts w:eastAsia="PMingLiU"/>
          <w:lang w:val="en-GB" w:eastAsia="zh-TW"/>
        </w:rPr>
        <w:t xml:space="preserve">Another lawmaker stated something similar, noting, </w:t>
      </w:r>
      <w:r w:rsidR="00AC357A">
        <w:rPr>
          <w:rFonts w:eastAsia="PMingLiU"/>
          <w:lang w:val="en-GB" w:eastAsia="zh-TW"/>
        </w:rPr>
        <w:t>‘</w:t>
      </w:r>
      <w:r w:rsidR="0034708C" w:rsidRPr="00EE5050">
        <w:rPr>
          <w:rFonts w:eastAsia="PMingLiU"/>
          <w:lang w:val="en-GB" w:eastAsia="zh-TW"/>
        </w:rPr>
        <w:t xml:space="preserve">if we have a very controversial case that means we have to ask the constitutional court, </w:t>
      </w:r>
      <w:r w:rsidR="0034708C" w:rsidRPr="00EE5050">
        <w:rPr>
          <w:rFonts w:eastAsia="PMingLiU"/>
          <w:lang w:val="en-GB" w:eastAsia="zh-TW"/>
        </w:rPr>
        <w:lastRenderedPageBreak/>
        <w:t>or [if] we have made the law and find that it</w:t>
      </w:r>
      <w:r w:rsidR="00AC357A">
        <w:rPr>
          <w:rFonts w:eastAsia="PMingLiU"/>
          <w:lang w:val="en-GB" w:eastAsia="zh-TW"/>
        </w:rPr>
        <w:t>’</w:t>
      </w:r>
      <w:r w:rsidR="0034708C" w:rsidRPr="00EE5050">
        <w:rPr>
          <w:rFonts w:eastAsia="PMingLiU"/>
          <w:lang w:val="en-GB" w:eastAsia="zh-TW"/>
        </w:rPr>
        <w:t>s very controversial, or maybe [we] have different opinions among the society or general public, then we can call for the joint proposal from different legislators and then we can send it to the Constitutional Court</w:t>
      </w:r>
      <w:r w:rsidR="00AC357A">
        <w:rPr>
          <w:rFonts w:eastAsia="PMingLiU"/>
          <w:lang w:val="en-GB" w:eastAsia="zh-TW"/>
        </w:rPr>
        <w:t>’</w:t>
      </w:r>
      <w:r w:rsidR="0034708C" w:rsidRPr="00EE5050">
        <w:rPr>
          <w:rFonts w:eastAsia="PMingLiU"/>
          <w:lang w:val="en-GB" w:eastAsia="zh-TW"/>
        </w:rPr>
        <w:t>.</w:t>
      </w:r>
      <w:r w:rsidR="0034708C" w:rsidRPr="00EE5050">
        <w:rPr>
          <w:rStyle w:val="FootnoteReference"/>
          <w:rFonts w:eastAsia="PMingLiU"/>
          <w:lang w:val="en-GB" w:eastAsia="zh-TW"/>
        </w:rPr>
        <w:footnoteReference w:id="126"/>
      </w:r>
      <w:r w:rsidR="0034708C" w:rsidRPr="00EE5050">
        <w:rPr>
          <w:rFonts w:eastAsia="PMingLiU"/>
          <w:lang w:val="en-GB" w:eastAsia="zh-TW"/>
        </w:rPr>
        <w:t xml:space="preserve"> </w:t>
      </w:r>
      <w:r w:rsidR="00E56CE3" w:rsidRPr="00EE5050">
        <w:rPr>
          <w:rFonts w:eastAsia="PMingLiU"/>
          <w:lang w:val="en-GB" w:eastAsia="zh-TW"/>
        </w:rPr>
        <w:t>These answers</w:t>
      </w:r>
      <w:r w:rsidR="00091554" w:rsidRPr="00EE5050">
        <w:rPr>
          <w:rFonts w:eastAsia="PMingLiU"/>
          <w:lang w:val="en-GB" w:eastAsia="zh-TW"/>
        </w:rPr>
        <w:t xml:space="preserve"> </w:t>
      </w:r>
      <w:r w:rsidR="00E56CE3" w:rsidRPr="00EE5050">
        <w:rPr>
          <w:rFonts w:eastAsia="PMingLiU"/>
          <w:lang w:val="en-GB" w:eastAsia="zh-TW"/>
        </w:rPr>
        <w:t>demonstrate</w:t>
      </w:r>
      <w:r w:rsidR="00161F6B" w:rsidRPr="00EE5050">
        <w:rPr>
          <w:rFonts w:eastAsia="PMingLiU"/>
          <w:lang w:val="en-GB" w:eastAsia="zh-TW"/>
        </w:rPr>
        <w:t xml:space="preserve"> the </w:t>
      </w:r>
      <w:r w:rsidR="002D7C8C" w:rsidRPr="00EE5050">
        <w:rPr>
          <w:rFonts w:eastAsia="PMingLiU"/>
          <w:lang w:val="en-GB" w:eastAsia="zh-TW"/>
        </w:rPr>
        <w:t>deference</w:t>
      </w:r>
      <w:r w:rsidR="00091554" w:rsidRPr="00EE5050">
        <w:rPr>
          <w:rFonts w:eastAsia="PMingLiU"/>
          <w:lang w:val="en-GB" w:eastAsia="zh-TW"/>
        </w:rPr>
        <w:t xml:space="preserve"> that some have for the Constitutional Court and </w:t>
      </w:r>
      <w:r w:rsidR="00756980" w:rsidRPr="00EE5050">
        <w:rPr>
          <w:rFonts w:eastAsia="PMingLiU"/>
          <w:lang w:val="en-GB" w:eastAsia="zh-TW"/>
        </w:rPr>
        <w:t>its</w:t>
      </w:r>
      <w:r w:rsidR="00E56CE3" w:rsidRPr="00EE5050">
        <w:rPr>
          <w:rFonts w:eastAsia="PMingLiU"/>
          <w:lang w:val="en-GB" w:eastAsia="zh-TW"/>
        </w:rPr>
        <w:t xml:space="preserve"> powerful </w:t>
      </w:r>
      <w:r w:rsidR="00556AEE" w:rsidRPr="00EE5050">
        <w:rPr>
          <w:rFonts w:eastAsia="PMingLiU"/>
          <w:lang w:val="en-GB" w:eastAsia="zh-TW"/>
        </w:rPr>
        <w:t>but</w:t>
      </w:r>
      <w:r w:rsidR="00E56CE3" w:rsidRPr="00EE5050">
        <w:rPr>
          <w:rFonts w:eastAsia="PMingLiU"/>
          <w:lang w:val="en-GB" w:eastAsia="zh-TW"/>
        </w:rPr>
        <w:t xml:space="preserve"> passive </w:t>
      </w:r>
      <w:r w:rsidR="00091554" w:rsidRPr="00EE5050">
        <w:rPr>
          <w:rFonts w:eastAsia="PMingLiU"/>
          <w:lang w:val="en-GB" w:eastAsia="zh-TW"/>
        </w:rPr>
        <w:t xml:space="preserve">role in the </w:t>
      </w:r>
      <w:r w:rsidR="00B97244" w:rsidRPr="00EE5050">
        <w:rPr>
          <w:rFonts w:eastAsia="PMingLiU"/>
          <w:lang w:val="en-GB" w:eastAsia="zh-TW"/>
        </w:rPr>
        <w:t>law</w:t>
      </w:r>
      <w:r w:rsidR="00E821E6" w:rsidRPr="00EE5050">
        <w:rPr>
          <w:rFonts w:eastAsia="PMingLiU"/>
          <w:lang w:val="en-GB" w:eastAsia="zh-TW"/>
        </w:rPr>
        <w:t>-</w:t>
      </w:r>
      <w:r w:rsidR="00E56CE3" w:rsidRPr="00EE5050">
        <w:rPr>
          <w:rFonts w:eastAsia="PMingLiU"/>
          <w:lang w:val="en-GB" w:eastAsia="zh-TW"/>
        </w:rPr>
        <w:t>making process</w:t>
      </w:r>
      <w:r w:rsidR="0034708C" w:rsidRPr="00EE5050">
        <w:rPr>
          <w:rFonts w:eastAsia="PMingLiU"/>
          <w:lang w:val="en-GB" w:eastAsia="zh-TW"/>
        </w:rPr>
        <w:t xml:space="preserve">. </w:t>
      </w:r>
    </w:p>
    <w:p w14:paraId="7507AD6D" w14:textId="77777777" w:rsidR="00112E4F" w:rsidRPr="00EE5050" w:rsidRDefault="00112E4F"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And yet, </w:t>
      </w:r>
      <w:r w:rsidR="00064635" w:rsidRPr="00EE5050">
        <w:rPr>
          <w:rFonts w:eastAsia="PMingLiU"/>
          <w:lang w:val="en-GB" w:eastAsia="zh-TW"/>
        </w:rPr>
        <w:t xml:space="preserve">among the responses </w:t>
      </w:r>
      <w:r w:rsidRPr="00EE5050">
        <w:rPr>
          <w:rFonts w:eastAsia="PMingLiU"/>
          <w:lang w:val="en-GB" w:eastAsia="zh-TW"/>
        </w:rPr>
        <w:t xml:space="preserve">there were </w:t>
      </w:r>
      <w:r w:rsidR="00064635" w:rsidRPr="00EE5050">
        <w:rPr>
          <w:rFonts w:eastAsia="PMingLiU"/>
          <w:lang w:val="en-GB" w:eastAsia="zh-TW"/>
        </w:rPr>
        <w:t xml:space="preserve">also </w:t>
      </w:r>
      <w:r w:rsidRPr="00EE5050">
        <w:rPr>
          <w:rFonts w:eastAsia="PMingLiU"/>
          <w:lang w:val="en-GB" w:eastAsia="zh-TW"/>
        </w:rPr>
        <w:t>calls for reform. One lawmaker pointedly noted:</w:t>
      </w:r>
    </w:p>
    <w:p w14:paraId="4295145A" w14:textId="77777777" w:rsidR="00D34C6B" w:rsidRPr="003D5B3F" w:rsidRDefault="00036DF1" w:rsidP="00064635">
      <w:pPr>
        <w:pStyle w:val="NoSpacing"/>
        <w:tabs>
          <w:tab w:val="left" w:pos="993"/>
          <w:tab w:val="left" w:pos="1440"/>
        </w:tabs>
        <w:ind w:leftChars="295" w:left="708" w:rightChars="-2" w:right="-5"/>
        <w:contextualSpacing/>
        <w:jc w:val="both"/>
        <w:rPr>
          <w:rFonts w:eastAsia="PMingLiU"/>
          <w:sz w:val="22"/>
          <w:szCs w:val="22"/>
          <w:lang w:val="en-GB" w:eastAsia="zh-TW"/>
        </w:rPr>
      </w:pPr>
      <w:r w:rsidRPr="003D5B3F">
        <w:rPr>
          <w:rFonts w:eastAsia="PMingLiU"/>
          <w:sz w:val="22"/>
          <w:szCs w:val="22"/>
          <w:lang w:val="en-GB" w:eastAsia="zh-TW"/>
        </w:rPr>
        <w:t>It is paramount to check if all the laws conform to the constitution, human rights, and this is especially true after we ratified ICCPR and IC</w:t>
      </w:r>
      <w:r w:rsidR="00756980" w:rsidRPr="003D5B3F">
        <w:rPr>
          <w:rFonts w:eastAsia="PMingLiU"/>
          <w:sz w:val="22"/>
          <w:szCs w:val="22"/>
          <w:lang w:val="en-GB" w:eastAsia="zh-TW"/>
        </w:rPr>
        <w:t>ESCR. There should be an organis</w:t>
      </w:r>
      <w:r w:rsidRPr="003D5B3F">
        <w:rPr>
          <w:rFonts w:eastAsia="PMingLiU"/>
          <w:sz w:val="22"/>
          <w:szCs w:val="22"/>
          <w:lang w:val="en-GB" w:eastAsia="zh-TW"/>
        </w:rPr>
        <w:t>ation to monitor that all the passed law conforms to the standards of constitutions and conventions. However, th</w:t>
      </w:r>
      <w:r w:rsidR="00756980" w:rsidRPr="003D5B3F">
        <w:rPr>
          <w:rFonts w:eastAsia="PMingLiU"/>
          <w:sz w:val="22"/>
          <w:szCs w:val="22"/>
          <w:lang w:val="en-GB" w:eastAsia="zh-TW"/>
        </w:rPr>
        <w:t>ere is currently no such organis</w:t>
      </w:r>
      <w:r w:rsidRPr="003D5B3F">
        <w:rPr>
          <w:rFonts w:eastAsia="PMingLiU"/>
          <w:sz w:val="22"/>
          <w:szCs w:val="22"/>
          <w:lang w:val="en-GB" w:eastAsia="zh-TW"/>
        </w:rPr>
        <w:t xml:space="preserve">ation. We always </w:t>
      </w:r>
      <w:r w:rsidR="00E821E6" w:rsidRPr="003D5B3F">
        <w:rPr>
          <w:rFonts w:eastAsia="PMingLiU"/>
          <w:sz w:val="22"/>
          <w:szCs w:val="22"/>
          <w:lang w:val="en-GB" w:eastAsia="zh-TW"/>
        </w:rPr>
        <w:t>hope to transform this system</w:t>
      </w:r>
      <w:r w:rsidR="00112E4F" w:rsidRPr="003D5B3F">
        <w:rPr>
          <w:rFonts w:eastAsia="PMingLiU"/>
          <w:sz w:val="22"/>
          <w:szCs w:val="22"/>
          <w:lang w:val="en-GB" w:eastAsia="zh-TW"/>
        </w:rPr>
        <w:t>.</w:t>
      </w:r>
      <w:r w:rsidRPr="003D5B3F">
        <w:rPr>
          <w:rStyle w:val="FootnoteReference"/>
          <w:rFonts w:eastAsia="PMingLiU"/>
          <w:sz w:val="22"/>
          <w:szCs w:val="22"/>
          <w:lang w:val="en-GB" w:eastAsia="zh-TW"/>
        </w:rPr>
        <w:footnoteReference w:id="127"/>
      </w:r>
      <w:r w:rsidRPr="003D5B3F">
        <w:rPr>
          <w:rFonts w:eastAsia="PMingLiU"/>
          <w:sz w:val="22"/>
          <w:szCs w:val="22"/>
          <w:lang w:val="en-GB" w:eastAsia="zh-TW"/>
        </w:rPr>
        <w:t xml:space="preserve"> </w:t>
      </w:r>
    </w:p>
    <w:p w14:paraId="6C3A8DF2" w14:textId="77777777" w:rsidR="00C776F7" w:rsidRPr="00EE5050" w:rsidRDefault="00C776F7" w:rsidP="00C776F7">
      <w:pPr>
        <w:pStyle w:val="NoSpacing"/>
        <w:tabs>
          <w:tab w:val="left" w:pos="993"/>
          <w:tab w:val="left" w:pos="1440"/>
        </w:tabs>
        <w:ind w:leftChars="295" w:left="708" w:rightChars="292" w:right="701"/>
        <w:contextualSpacing/>
        <w:jc w:val="both"/>
        <w:rPr>
          <w:rFonts w:eastAsia="PMingLiU"/>
          <w:lang w:val="en-GB" w:eastAsia="zh-TW"/>
        </w:rPr>
      </w:pPr>
    </w:p>
    <w:p w14:paraId="1D64612C" w14:textId="28121A1C" w:rsidR="00B924E1" w:rsidRPr="00EE5050" w:rsidRDefault="00F77EBC" w:rsidP="000F3A16">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F</w:t>
      </w:r>
      <w:r w:rsidR="00BD5217" w:rsidRPr="00EE5050">
        <w:rPr>
          <w:rFonts w:eastAsia="PMingLiU"/>
          <w:lang w:val="en-GB" w:eastAsia="zh-TW"/>
        </w:rPr>
        <w:t xml:space="preserve">rom the </w:t>
      </w:r>
      <w:r w:rsidR="0050101D" w:rsidRPr="00EE5050">
        <w:rPr>
          <w:rFonts w:eastAsia="PMingLiU"/>
          <w:lang w:val="en-GB" w:eastAsia="zh-TW"/>
        </w:rPr>
        <w:t>interviewees</w:t>
      </w:r>
      <w:r w:rsidR="00272BF5">
        <w:rPr>
          <w:rFonts w:eastAsia="PMingLiU"/>
          <w:lang w:val="en-GB" w:eastAsia="zh-TW"/>
        </w:rPr>
        <w:t>’</w:t>
      </w:r>
      <w:r w:rsidR="0050101D" w:rsidRPr="00EE5050">
        <w:rPr>
          <w:rFonts w:eastAsia="PMingLiU"/>
          <w:lang w:val="en-GB" w:eastAsia="zh-TW"/>
        </w:rPr>
        <w:t xml:space="preserve"> answers </w:t>
      </w:r>
      <w:r w:rsidR="00670105" w:rsidRPr="00EE5050">
        <w:rPr>
          <w:rFonts w:eastAsia="PMingLiU"/>
          <w:lang w:val="en-GB" w:eastAsia="zh-TW"/>
        </w:rPr>
        <w:t xml:space="preserve">above </w:t>
      </w:r>
      <w:r w:rsidRPr="00EE5050">
        <w:rPr>
          <w:rFonts w:eastAsia="PMingLiU"/>
          <w:lang w:val="en-GB" w:eastAsia="zh-TW"/>
        </w:rPr>
        <w:t xml:space="preserve">it is apparent </w:t>
      </w:r>
      <w:r w:rsidR="0050101D" w:rsidRPr="00EE5050">
        <w:rPr>
          <w:rFonts w:eastAsia="PMingLiU"/>
          <w:lang w:val="en-GB" w:eastAsia="zh-TW"/>
        </w:rPr>
        <w:t xml:space="preserve">that </w:t>
      </w:r>
      <w:r w:rsidR="00BD5217" w:rsidRPr="00EE5050">
        <w:rPr>
          <w:rFonts w:eastAsia="PMingLiU"/>
          <w:lang w:val="en-GB" w:eastAsia="zh-TW"/>
        </w:rPr>
        <w:t xml:space="preserve">Legislative Yuan </w:t>
      </w:r>
      <w:r w:rsidR="0050101D" w:rsidRPr="00EE5050">
        <w:rPr>
          <w:rFonts w:eastAsia="PMingLiU"/>
          <w:lang w:val="en-GB" w:eastAsia="zh-TW"/>
        </w:rPr>
        <w:t xml:space="preserve">insiders </w:t>
      </w:r>
      <w:r w:rsidR="00BD5217" w:rsidRPr="00EE5050">
        <w:rPr>
          <w:rFonts w:eastAsia="PMingLiU"/>
          <w:lang w:val="en-GB" w:eastAsia="zh-TW"/>
        </w:rPr>
        <w:t>do not have a well-deve</w:t>
      </w:r>
      <w:r w:rsidR="00670105" w:rsidRPr="00EE5050">
        <w:rPr>
          <w:rFonts w:eastAsia="PMingLiU"/>
          <w:lang w:val="en-GB" w:eastAsia="zh-TW"/>
        </w:rPr>
        <w:t>loped sense of constitutional interpretative authority</w:t>
      </w:r>
      <w:r w:rsidR="00BD5217" w:rsidRPr="00EE5050">
        <w:rPr>
          <w:rFonts w:eastAsia="PMingLiU"/>
          <w:lang w:val="en-GB" w:eastAsia="zh-TW"/>
        </w:rPr>
        <w:t xml:space="preserve"> as bills are travelling through the legislative pr</w:t>
      </w:r>
      <w:r w:rsidR="0050101D" w:rsidRPr="00EE5050">
        <w:rPr>
          <w:rFonts w:eastAsia="PMingLiU"/>
          <w:lang w:val="en-GB" w:eastAsia="zh-TW"/>
        </w:rPr>
        <w:t xml:space="preserve">ocess. Importantly, </w:t>
      </w:r>
      <w:r w:rsidR="00BD5217" w:rsidRPr="00EE5050">
        <w:rPr>
          <w:rFonts w:eastAsia="PMingLiU"/>
          <w:lang w:val="en-GB" w:eastAsia="zh-TW"/>
        </w:rPr>
        <w:t xml:space="preserve">the legislature lacks any formal mechanisms that may either enhance constitutional scrutiny </w:t>
      </w:r>
      <w:r w:rsidR="00915B7B" w:rsidRPr="00EE5050">
        <w:rPr>
          <w:rFonts w:eastAsia="PMingLiU"/>
          <w:lang w:val="en-GB" w:eastAsia="zh-TW"/>
        </w:rPr>
        <w:t xml:space="preserve">or spark constitutional debate and some interviewees displayed </w:t>
      </w:r>
      <w:r w:rsidR="000F44A9" w:rsidRPr="00EE5050">
        <w:rPr>
          <w:rFonts w:eastAsia="PMingLiU"/>
          <w:lang w:val="en-GB" w:eastAsia="zh-TW"/>
        </w:rPr>
        <w:t xml:space="preserve">overt </w:t>
      </w:r>
      <w:r w:rsidR="00915B7B" w:rsidRPr="00EE5050">
        <w:rPr>
          <w:rFonts w:eastAsia="PMingLiU"/>
          <w:lang w:val="en-GB" w:eastAsia="zh-TW"/>
        </w:rPr>
        <w:t xml:space="preserve">evidence of judicial overhang. </w:t>
      </w:r>
      <w:r w:rsidR="00BD5217" w:rsidRPr="00EE5050">
        <w:rPr>
          <w:rFonts w:eastAsia="PMingLiU"/>
          <w:lang w:val="en-GB" w:eastAsia="zh-TW"/>
        </w:rPr>
        <w:t>Thus, the following se</w:t>
      </w:r>
      <w:r w:rsidR="0023484F" w:rsidRPr="00EE5050">
        <w:rPr>
          <w:rFonts w:eastAsia="PMingLiU"/>
          <w:lang w:val="en-GB" w:eastAsia="zh-TW"/>
        </w:rPr>
        <w:t xml:space="preserve">ction </w:t>
      </w:r>
      <w:r w:rsidR="00915B7B" w:rsidRPr="00EE5050">
        <w:rPr>
          <w:rFonts w:eastAsia="PMingLiU"/>
          <w:lang w:val="en-GB" w:eastAsia="zh-TW"/>
        </w:rPr>
        <w:t>provides</w:t>
      </w:r>
      <w:r w:rsidR="00670105" w:rsidRPr="00EE5050">
        <w:rPr>
          <w:rFonts w:eastAsia="PMingLiU"/>
          <w:lang w:val="en-GB" w:eastAsia="zh-TW"/>
        </w:rPr>
        <w:t xml:space="preserve"> </w:t>
      </w:r>
      <w:r w:rsidR="009E07E3" w:rsidRPr="00EE5050">
        <w:rPr>
          <w:rFonts w:eastAsia="PMingLiU"/>
          <w:lang w:val="en-GB" w:eastAsia="zh-TW"/>
        </w:rPr>
        <w:t>proposals</w:t>
      </w:r>
      <w:r w:rsidR="00670105" w:rsidRPr="00EE5050">
        <w:rPr>
          <w:rFonts w:eastAsia="PMingLiU"/>
          <w:lang w:val="en-GB" w:eastAsia="zh-TW"/>
        </w:rPr>
        <w:t xml:space="preserve"> for </w:t>
      </w:r>
      <w:r w:rsidR="00863C7E">
        <w:rPr>
          <w:rFonts w:eastAsia="PMingLiU"/>
          <w:lang w:val="en-GB" w:eastAsia="zh-TW"/>
        </w:rPr>
        <w:t xml:space="preserve">the </w:t>
      </w:r>
      <w:r w:rsidR="00670105" w:rsidRPr="00EE5050">
        <w:rPr>
          <w:rFonts w:eastAsia="PMingLiU"/>
          <w:lang w:val="en-GB" w:eastAsia="zh-TW"/>
        </w:rPr>
        <w:t xml:space="preserve">Legislative Yuan </w:t>
      </w:r>
      <w:r w:rsidR="009E07E3" w:rsidRPr="00EE5050">
        <w:rPr>
          <w:rFonts w:eastAsia="PMingLiU"/>
          <w:lang w:val="en-GB" w:eastAsia="zh-TW"/>
        </w:rPr>
        <w:t>and the Constitutional Court</w:t>
      </w:r>
      <w:r w:rsidR="00556AEE" w:rsidRPr="00EE5050">
        <w:rPr>
          <w:rFonts w:eastAsia="PMingLiU"/>
          <w:lang w:val="en-GB" w:eastAsia="zh-TW"/>
        </w:rPr>
        <w:t xml:space="preserve"> going forward</w:t>
      </w:r>
      <w:r w:rsidR="0023484F" w:rsidRPr="00EE5050">
        <w:rPr>
          <w:rFonts w:eastAsia="PMingLiU"/>
          <w:lang w:val="en-GB" w:eastAsia="zh-TW"/>
        </w:rPr>
        <w:t xml:space="preserve">. </w:t>
      </w:r>
    </w:p>
    <w:p w14:paraId="2EF089F6" w14:textId="77777777" w:rsidR="00274182" w:rsidRPr="00EE5050" w:rsidRDefault="00274182" w:rsidP="005D50B6">
      <w:pPr>
        <w:pStyle w:val="NoSpacing"/>
        <w:tabs>
          <w:tab w:val="left" w:pos="720"/>
          <w:tab w:val="left" w:pos="1440"/>
        </w:tabs>
        <w:spacing w:line="480" w:lineRule="auto"/>
        <w:ind w:firstLineChars="118" w:firstLine="283"/>
        <w:jc w:val="both"/>
        <w:rPr>
          <w:rFonts w:eastAsia="PMingLiU"/>
          <w:lang w:val="en-GB" w:eastAsia="zh-TW"/>
        </w:rPr>
      </w:pPr>
    </w:p>
    <w:p w14:paraId="5CE965F3" w14:textId="1C2AAEC0" w:rsidR="0003743F" w:rsidRPr="00EE5050" w:rsidRDefault="002756F4" w:rsidP="00A37E96">
      <w:pPr>
        <w:pStyle w:val="NoSpacing"/>
        <w:tabs>
          <w:tab w:val="left" w:pos="993"/>
          <w:tab w:val="left" w:pos="1440"/>
        </w:tabs>
        <w:ind w:left="720"/>
        <w:jc w:val="center"/>
        <w:rPr>
          <w:rFonts w:eastAsia="PMingLiU"/>
          <w:b/>
          <w:sz w:val="28"/>
          <w:lang w:val="en-GB" w:eastAsia="zh-TW"/>
        </w:rPr>
      </w:pPr>
      <w:r>
        <w:rPr>
          <w:rFonts w:eastAsia="PMingLiU"/>
          <w:b/>
          <w:sz w:val="28"/>
          <w:lang w:val="en-GB" w:eastAsia="zh-TW"/>
        </w:rPr>
        <w:t>IV. </w:t>
      </w:r>
      <w:r w:rsidR="00612175" w:rsidRPr="00EE5050">
        <w:rPr>
          <w:rFonts w:eastAsia="PMingLiU"/>
          <w:b/>
          <w:sz w:val="28"/>
          <w:lang w:val="en-GB" w:eastAsia="zh-TW"/>
        </w:rPr>
        <w:t xml:space="preserve">Proposals for </w:t>
      </w:r>
      <w:r w:rsidR="00B24DE5" w:rsidRPr="00EE5050">
        <w:rPr>
          <w:rFonts w:eastAsia="PMingLiU"/>
          <w:b/>
          <w:sz w:val="28"/>
          <w:lang w:val="en-GB" w:eastAsia="zh-TW"/>
        </w:rPr>
        <w:t xml:space="preserve">the </w:t>
      </w:r>
      <w:r w:rsidR="00612175" w:rsidRPr="00EE5050">
        <w:rPr>
          <w:rFonts w:eastAsia="PMingLiU"/>
          <w:b/>
          <w:sz w:val="28"/>
          <w:lang w:val="en-GB" w:eastAsia="zh-TW"/>
        </w:rPr>
        <w:t>Legislative Yuan</w:t>
      </w:r>
      <w:r w:rsidR="00B24DE5" w:rsidRPr="00EE5050">
        <w:rPr>
          <w:rFonts w:eastAsia="PMingLiU"/>
          <w:b/>
          <w:sz w:val="28"/>
          <w:lang w:val="en-GB" w:eastAsia="zh-TW"/>
        </w:rPr>
        <w:t xml:space="preserve"> </w:t>
      </w:r>
      <w:r w:rsidR="00F93D7D">
        <w:rPr>
          <w:rFonts w:eastAsia="PMingLiU"/>
          <w:b/>
          <w:sz w:val="28"/>
          <w:lang w:val="en-GB" w:eastAsia="zh-TW"/>
        </w:rPr>
        <w:t>and</w:t>
      </w:r>
      <w:r w:rsidR="00F93D7D" w:rsidRPr="00EE5050">
        <w:rPr>
          <w:rFonts w:eastAsia="PMingLiU"/>
          <w:b/>
          <w:sz w:val="28"/>
          <w:lang w:val="en-GB" w:eastAsia="zh-TW"/>
        </w:rPr>
        <w:t xml:space="preserve"> </w:t>
      </w:r>
      <w:r w:rsidR="00B24DE5" w:rsidRPr="00EE5050">
        <w:rPr>
          <w:rFonts w:eastAsia="PMingLiU"/>
          <w:b/>
          <w:sz w:val="28"/>
          <w:lang w:val="en-GB" w:eastAsia="zh-TW"/>
        </w:rPr>
        <w:t>the Constitutional Court</w:t>
      </w:r>
    </w:p>
    <w:p w14:paraId="00F91557" w14:textId="77777777" w:rsidR="00A90790" w:rsidRPr="00A37E96" w:rsidRDefault="00A90790" w:rsidP="00F5372E">
      <w:pPr>
        <w:pStyle w:val="NoSpacing"/>
        <w:tabs>
          <w:tab w:val="left" w:pos="993"/>
          <w:tab w:val="left" w:pos="1440"/>
        </w:tabs>
        <w:jc w:val="both"/>
        <w:rPr>
          <w:rFonts w:eastAsia="PMingLiU"/>
          <w:b/>
          <w:i/>
          <w:smallCaps/>
          <w:sz w:val="28"/>
          <w:szCs w:val="28"/>
          <w:lang w:val="en-GB" w:eastAsia="zh-TW"/>
        </w:rPr>
      </w:pPr>
    </w:p>
    <w:p w14:paraId="6EB459F5" w14:textId="35F92E91" w:rsidR="005A0628" w:rsidRPr="00EE5050" w:rsidRDefault="004E2E81" w:rsidP="004E2E81">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Below</w:t>
      </w:r>
      <w:r w:rsidR="00EC5060" w:rsidRPr="00EE5050">
        <w:rPr>
          <w:rFonts w:eastAsia="PMingLiU"/>
          <w:lang w:val="en-GB" w:eastAsia="zh-TW"/>
        </w:rPr>
        <w:t xml:space="preserve"> </w:t>
      </w:r>
      <w:r w:rsidRPr="00EE5050">
        <w:rPr>
          <w:rFonts w:eastAsia="PMingLiU"/>
          <w:lang w:val="en-GB" w:eastAsia="zh-TW"/>
        </w:rPr>
        <w:t xml:space="preserve">specific recommendations </w:t>
      </w:r>
      <w:r w:rsidR="0049374D">
        <w:rPr>
          <w:rFonts w:eastAsia="PMingLiU"/>
          <w:lang w:val="en-GB" w:eastAsia="zh-TW"/>
        </w:rPr>
        <w:t xml:space="preserve">are provided </w:t>
      </w:r>
      <w:r w:rsidR="00EC5060" w:rsidRPr="00EE5050">
        <w:rPr>
          <w:rFonts w:eastAsia="PMingLiU"/>
          <w:lang w:val="en-GB" w:eastAsia="zh-TW"/>
        </w:rPr>
        <w:t xml:space="preserve">that hopefully </w:t>
      </w:r>
      <w:r w:rsidRPr="00EE5050">
        <w:rPr>
          <w:rFonts w:eastAsia="PMingLiU"/>
          <w:lang w:val="en-GB" w:eastAsia="zh-TW"/>
        </w:rPr>
        <w:t>increase the Legislative Yuan</w:t>
      </w:r>
      <w:r w:rsidR="00AC357A">
        <w:rPr>
          <w:rFonts w:eastAsia="PMingLiU"/>
          <w:lang w:val="en-GB" w:eastAsia="zh-TW"/>
        </w:rPr>
        <w:t>’</w:t>
      </w:r>
      <w:r w:rsidRPr="00EE5050">
        <w:rPr>
          <w:rFonts w:eastAsia="PMingLiU"/>
          <w:lang w:val="en-GB" w:eastAsia="zh-TW"/>
        </w:rPr>
        <w:t xml:space="preserve">s interpretative authority, and </w:t>
      </w:r>
      <w:r w:rsidR="00FA5E40" w:rsidRPr="00EE5050">
        <w:rPr>
          <w:rFonts w:eastAsia="PMingLiU"/>
          <w:lang w:val="en-GB" w:eastAsia="zh-TW"/>
        </w:rPr>
        <w:t>in doing so</w:t>
      </w:r>
      <w:r w:rsidR="00307E40">
        <w:rPr>
          <w:rFonts w:eastAsia="PMingLiU"/>
          <w:lang w:val="en-GB" w:eastAsia="zh-TW"/>
        </w:rPr>
        <w:t>,</w:t>
      </w:r>
      <w:r w:rsidRPr="00EE5050">
        <w:rPr>
          <w:rFonts w:eastAsia="PMingLiU"/>
          <w:lang w:val="en-GB" w:eastAsia="zh-TW"/>
        </w:rPr>
        <w:t xml:space="preserve"> increase</w:t>
      </w:r>
      <w:r w:rsidR="00307E40">
        <w:rPr>
          <w:rFonts w:eastAsia="PMingLiU"/>
          <w:lang w:val="en-GB" w:eastAsia="zh-TW"/>
        </w:rPr>
        <w:t>s</w:t>
      </w:r>
      <w:r w:rsidRPr="00EE5050">
        <w:rPr>
          <w:rFonts w:eastAsia="PMingLiU"/>
          <w:lang w:val="en-GB" w:eastAsia="zh-TW"/>
        </w:rPr>
        <w:t xml:space="preserve"> Taiwan</w:t>
      </w:r>
      <w:r w:rsidR="00AC357A">
        <w:rPr>
          <w:rFonts w:eastAsia="PMingLiU"/>
          <w:lang w:val="en-GB" w:eastAsia="zh-TW"/>
        </w:rPr>
        <w:t>’</w:t>
      </w:r>
      <w:r w:rsidRPr="00EE5050">
        <w:rPr>
          <w:rFonts w:eastAsia="PMingLiU"/>
          <w:lang w:val="en-GB" w:eastAsia="zh-TW"/>
        </w:rPr>
        <w:t xml:space="preserve">s political </w:t>
      </w:r>
      <w:r w:rsidRPr="00EE5050">
        <w:rPr>
          <w:rFonts w:eastAsia="PMingLiU"/>
          <w:lang w:val="en-GB" w:eastAsia="zh-TW"/>
        </w:rPr>
        <w:lastRenderedPageBreak/>
        <w:t>constitutionalism</w:t>
      </w:r>
      <w:r w:rsidR="007272B1" w:rsidRPr="00EE5050">
        <w:rPr>
          <w:rFonts w:eastAsia="PMingLiU"/>
          <w:lang w:val="en-GB" w:eastAsia="zh-TW"/>
        </w:rPr>
        <w:t xml:space="preserve">. </w:t>
      </w:r>
      <w:r w:rsidR="00FA5E40" w:rsidRPr="00EE5050">
        <w:rPr>
          <w:rFonts w:eastAsia="PMingLiU"/>
          <w:lang w:val="en-GB" w:eastAsia="zh-TW"/>
        </w:rPr>
        <w:t xml:space="preserve">Three </w:t>
      </w:r>
      <w:r w:rsidRPr="00EE5050">
        <w:rPr>
          <w:rFonts w:eastAsia="PMingLiU"/>
          <w:lang w:val="en-GB" w:eastAsia="zh-TW"/>
        </w:rPr>
        <w:t>of the proposals solely conce</w:t>
      </w:r>
      <w:r w:rsidR="009E07E3" w:rsidRPr="00EE5050">
        <w:rPr>
          <w:rFonts w:eastAsia="PMingLiU"/>
          <w:lang w:val="en-GB" w:eastAsia="zh-TW"/>
        </w:rPr>
        <w:t>rn the parliament</w:t>
      </w:r>
      <w:r w:rsidR="00E65461" w:rsidRPr="00EE5050">
        <w:rPr>
          <w:rFonts w:eastAsia="PMingLiU"/>
          <w:lang w:val="en-GB" w:eastAsia="zh-TW"/>
        </w:rPr>
        <w:t>, while the final suggestions affect</w:t>
      </w:r>
      <w:r w:rsidR="009D7868" w:rsidRPr="00EE5050">
        <w:rPr>
          <w:rFonts w:eastAsia="PMingLiU"/>
          <w:lang w:val="en-GB" w:eastAsia="zh-TW"/>
        </w:rPr>
        <w:t xml:space="preserve"> the Constitutional Court.</w:t>
      </w:r>
      <w:r w:rsidR="00D5175B" w:rsidRPr="00EE5050">
        <w:rPr>
          <w:rFonts w:eastAsia="PMingLiU"/>
          <w:lang w:val="en-GB" w:eastAsia="zh-TW"/>
        </w:rPr>
        <w:t xml:space="preserve"> </w:t>
      </w:r>
    </w:p>
    <w:p w14:paraId="17EC046B" w14:textId="77777777" w:rsidR="00C17187" w:rsidRPr="00EE5050" w:rsidRDefault="00C17187" w:rsidP="004E2E81">
      <w:pPr>
        <w:pStyle w:val="NoSpacing"/>
        <w:tabs>
          <w:tab w:val="left" w:pos="993"/>
          <w:tab w:val="left" w:pos="1440"/>
        </w:tabs>
        <w:spacing w:line="480" w:lineRule="auto"/>
        <w:jc w:val="both"/>
        <w:rPr>
          <w:rFonts w:eastAsia="PMingLiU"/>
          <w:lang w:val="en-GB" w:eastAsia="zh-TW"/>
        </w:rPr>
      </w:pPr>
    </w:p>
    <w:p w14:paraId="547237FD" w14:textId="77777777" w:rsidR="00D021E0" w:rsidRPr="00484DBD" w:rsidRDefault="00A90790" w:rsidP="00484DBD">
      <w:pPr>
        <w:pStyle w:val="NoSpacing"/>
        <w:tabs>
          <w:tab w:val="left" w:pos="1560"/>
          <w:tab w:val="left" w:pos="1701"/>
        </w:tabs>
        <w:spacing w:line="480" w:lineRule="auto"/>
        <w:jc w:val="both"/>
        <w:rPr>
          <w:rFonts w:eastAsia="PMingLiU"/>
          <w:b/>
          <w:i/>
          <w:sz w:val="28"/>
          <w:lang w:val="en-GB" w:eastAsia="zh-TW"/>
        </w:rPr>
      </w:pPr>
      <w:r w:rsidRPr="00484DBD">
        <w:rPr>
          <w:rFonts w:eastAsia="PMingLiU"/>
          <w:b/>
          <w:i/>
          <w:sz w:val="28"/>
          <w:lang w:val="en-GB" w:eastAsia="zh-TW"/>
        </w:rPr>
        <w:t>A.  </w:t>
      </w:r>
      <w:r w:rsidR="00FA5E40" w:rsidRPr="00484DBD">
        <w:rPr>
          <w:rFonts w:eastAsia="PMingLiU"/>
          <w:b/>
          <w:i/>
          <w:sz w:val="28"/>
          <w:lang w:val="en-GB" w:eastAsia="zh-TW"/>
        </w:rPr>
        <w:t>Legislative Yuan proposals</w:t>
      </w:r>
    </w:p>
    <w:p w14:paraId="3CDACAD0" w14:textId="1F6AB6B0" w:rsidR="007272B1" w:rsidRPr="00EE5050" w:rsidRDefault="007272B1" w:rsidP="005A0628">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First, the implementation of a legislative or parliamentary counsel that can aid legislators in drafting and scrutin</w:t>
      </w:r>
      <w:r w:rsidR="00A4528C">
        <w:rPr>
          <w:rFonts w:eastAsia="PMingLiU"/>
          <w:lang w:val="en-GB" w:eastAsia="zh-TW"/>
        </w:rPr>
        <w:t>is</w:t>
      </w:r>
      <w:r w:rsidRPr="00EE5050">
        <w:rPr>
          <w:rFonts w:eastAsia="PMingLiU"/>
          <w:lang w:val="en-GB" w:eastAsia="zh-TW"/>
        </w:rPr>
        <w:t xml:space="preserve">ing legislation </w:t>
      </w:r>
      <w:r w:rsidR="00D46AF8" w:rsidRPr="00EE5050">
        <w:rPr>
          <w:rFonts w:eastAsia="PMingLiU"/>
          <w:lang w:val="en-GB" w:eastAsia="zh-TW"/>
        </w:rPr>
        <w:t>should</w:t>
      </w:r>
      <w:r w:rsidRPr="00EE5050">
        <w:rPr>
          <w:rFonts w:eastAsia="PMingLiU"/>
          <w:lang w:val="en-GB" w:eastAsia="zh-TW"/>
        </w:rPr>
        <w:t xml:space="preserve"> be established. </w:t>
      </w:r>
      <w:r w:rsidR="001C4862" w:rsidRPr="00EE5050">
        <w:rPr>
          <w:rFonts w:eastAsia="PMingLiU"/>
          <w:lang w:val="en-GB" w:eastAsia="zh-TW"/>
        </w:rPr>
        <w:t xml:space="preserve">Interviewees revealed that they often get outside help for drafting bills, such as from law professors or from NGOs. </w:t>
      </w:r>
      <w:r w:rsidR="00EC5060" w:rsidRPr="00EE5050">
        <w:rPr>
          <w:rFonts w:eastAsia="PMingLiU"/>
          <w:lang w:val="en-GB" w:eastAsia="zh-TW"/>
        </w:rPr>
        <w:t>Alt</w:t>
      </w:r>
      <w:r w:rsidR="00B46F42" w:rsidRPr="00EE5050">
        <w:rPr>
          <w:rFonts w:eastAsia="PMingLiU"/>
          <w:lang w:val="en-GB" w:eastAsia="zh-TW"/>
        </w:rPr>
        <w:t>hough the legislature is relatively young,</w:t>
      </w:r>
      <w:r w:rsidR="00FA5E40" w:rsidRPr="00EE5050">
        <w:rPr>
          <w:rFonts w:eastAsia="PMingLiU"/>
          <w:lang w:val="en-GB" w:eastAsia="zh-TW"/>
        </w:rPr>
        <w:t xml:space="preserve"> it</w:t>
      </w:r>
      <w:r w:rsidRPr="00EE5050">
        <w:rPr>
          <w:rFonts w:eastAsia="PMingLiU"/>
          <w:lang w:val="en-GB" w:eastAsia="zh-TW"/>
        </w:rPr>
        <w:t xml:space="preserve"> was </w:t>
      </w:r>
      <w:r w:rsidR="00EC5060" w:rsidRPr="00EE5050">
        <w:rPr>
          <w:rFonts w:eastAsia="PMingLiU"/>
          <w:lang w:val="en-GB" w:eastAsia="zh-TW"/>
        </w:rPr>
        <w:t xml:space="preserve">a bit </w:t>
      </w:r>
      <w:r w:rsidR="0076763A" w:rsidRPr="00EE5050">
        <w:rPr>
          <w:rFonts w:eastAsia="PMingLiU"/>
          <w:lang w:val="en-GB" w:eastAsia="zh-TW"/>
        </w:rPr>
        <w:t>surprising</w:t>
      </w:r>
      <w:r w:rsidR="00FA5E40" w:rsidRPr="00EE5050">
        <w:rPr>
          <w:rFonts w:eastAsia="PMingLiU"/>
          <w:lang w:val="en-GB" w:eastAsia="zh-TW"/>
        </w:rPr>
        <w:t xml:space="preserve"> </w:t>
      </w:r>
      <w:r w:rsidRPr="00EE5050">
        <w:rPr>
          <w:rFonts w:eastAsia="PMingLiU"/>
          <w:lang w:val="en-GB" w:eastAsia="zh-TW"/>
        </w:rPr>
        <w:t xml:space="preserve">to find the Legislative Yuan </w:t>
      </w:r>
      <w:r w:rsidR="00EC5060" w:rsidRPr="00EE5050">
        <w:rPr>
          <w:rFonts w:eastAsia="PMingLiU"/>
          <w:lang w:val="en-GB" w:eastAsia="zh-TW"/>
        </w:rPr>
        <w:t xml:space="preserve">without such an office. </w:t>
      </w:r>
      <w:r w:rsidR="00A8116C" w:rsidRPr="00EE5050">
        <w:rPr>
          <w:rFonts w:eastAsia="PMingLiU"/>
          <w:lang w:val="en-GB" w:eastAsia="zh-TW"/>
        </w:rPr>
        <w:t>Other</w:t>
      </w:r>
      <w:r w:rsidR="00E721C2" w:rsidRPr="00EE5050">
        <w:rPr>
          <w:rFonts w:eastAsia="PMingLiU"/>
          <w:lang w:val="en-GB" w:eastAsia="zh-TW"/>
        </w:rPr>
        <w:t xml:space="preserve"> unicameral legislatures, </w:t>
      </w:r>
      <w:r w:rsidR="005E1AAE" w:rsidRPr="00EE5050">
        <w:rPr>
          <w:rFonts w:eastAsia="PMingLiU"/>
          <w:lang w:val="en-GB" w:eastAsia="zh-TW"/>
        </w:rPr>
        <w:t>such as the Scottish Parliament</w:t>
      </w:r>
      <w:r w:rsidR="005E1AAE" w:rsidRPr="00EE5050">
        <w:rPr>
          <w:rStyle w:val="FootnoteReference"/>
          <w:rFonts w:eastAsia="PMingLiU"/>
          <w:lang w:val="en-GB" w:eastAsia="zh-TW"/>
        </w:rPr>
        <w:footnoteReference w:id="128"/>
      </w:r>
      <w:r w:rsidR="005E1AAE" w:rsidRPr="00EE5050">
        <w:rPr>
          <w:rFonts w:eastAsia="PMingLiU"/>
          <w:lang w:val="en-GB" w:eastAsia="zh-TW"/>
        </w:rPr>
        <w:t xml:space="preserve"> and Hong Kong Legislative Coun</w:t>
      </w:r>
      <w:r w:rsidR="00272BF5">
        <w:rPr>
          <w:rFonts w:eastAsia="PMingLiU"/>
          <w:lang w:val="en-GB" w:eastAsia="zh-TW"/>
        </w:rPr>
        <w:t>cil</w:t>
      </w:r>
      <w:r w:rsidR="001F7129" w:rsidRPr="00EE5050">
        <w:rPr>
          <w:rStyle w:val="FootnoteReference"/>
          <w:rFonts w:eastAsia="PMingLiU"/>
          <w:lang w:val="en-GB" w:eastAsia="zh-TW"/>
        </w:rPr>
        <w:footnoteReference w:id="129"/>
      </w:r>
      <w:r w:rsidR="00E721C2" w:rsidRPr="00EE5050">
        <w:rPr>
          <w:rFonts w:eastAsia="PMingLiU"/>
          <w:lang w:val="en-GB" w:eastAsia="zh-TW"/>
        </w:rPr>
        <w:t xml:space="preserve"> a</w:t>
      </w:r>
      <w:r w:rsidR="005E1AAE" w:rsidRPr="00EE5050">
        <w:rPr>
          <w:rFonts w:eastAsia="PMingLiU"/>
          <w:lang w:val="en-GB" w:eastAsia="zh-TW"/>
        </w:rPr>
        <w:t>re equipped with such offices</w:t>
      </w:r>
      <w:r w:rsidR="00E721C2" w:rsidRPr="00EE5050">
        <w:rPr>
          <w:rFonts w:eastAsia="PMingLiU"/>
          <w:lang w:val="en-GB" w:eastAsia="zh-TW"/>
        </w:rPr>
        <w:t xml:space="preserve">. </w:t>
      </w:r>
      <w:r w:rsidR="00FA5E40" w:rsidRPr="00EE5050">
        <w:rPr>
          <w:rFonts w:eastAsia="PMingLiU"/>
          <w:lang w:val="en-GB" w:eastAsia="zh-TW"/>
        </w:rPr>
        <w:t>Sometimes</w:t>
      </w:r>
      <w:r w:rsidR="00B46F42" w:rsidRPr="00EE5050">
        <w:rPr>
          <w:rFonts w:eastAsia="PMingLiU"/>
          <w:lang w:val="en-GB" w:eastAsia="zh-TW"/>
        </w:rPr>
        <w:t xml:space="preserve"> </w:t>
      </w:r>
      <w:r w:rsidR="00A457E5" w:rsidRPr="00EE5050">
        <w:rPr>
          <w:rFonts w:eastAsia="PMingLiU"/>
          <w:lang w:val="en-GB" w:eastAsia="zh-TW"/>
        </w:rPr>
        <w:t>the Legislative Research Bureau</w:t>
      </w:r>
      <w:r w:rsidR="00B46F42" w:rsidRPr="00EE5050">
        <w:rPr>
          <w:rFonts w:eastAsia="PMingLiU"/>
          <w:lang w:val="en-GB" w:eastAsia="zh-TW"/>
        </w:rPr>
        <w:t xml:space="preserve"> </w:t>
      </w:r>
      <w:r w:rsidR="00FA5E40" w:rsidRPr="00EE5050">
        <w:rPr>
          <w:rFonts w:eastAsia="PMingLiU"/>
          <w:lang w:val="en-GB" w:eastAsia="zh-TW"/>
        </w:rPr>
        <w:t xml:space="preserve">is mentioned as a comparable </w:t>
      </w:r>
      <w:r w:rsidR="005A0628" w:rsidRPr="00EE5050">
        <w:rPr>
          <w:rFonts w:eastAsia="PMingLiU"/>
          <w:lang w:val="en-GB" w:eastAsia="zh-TW"/>
        </w:rPr>
        <w:t>organisation</w:t>
      </w:r>
      <w:r w:rsidR="00B46F42" w:rsidRPr="00EE5050">
        <w:rPr>
          <w:rFonts w:eastAsia="PMingLiU"/>
          <w:lang w:val="en-GB" w:eastAsia="zh-TW"/>
        </w:rPr>
        <w:t xml:space="preserve">, but most of </w:t>
      </w:r>
      <w:r w:rsidR="00961362">
        <w:rPr>
          <w:rFonts w:eastAsia="PMingLiU"/>
          <w:lang w:val="en-GB" w:eastAsia="zh-TW"/>
        </w:rPr>
        <w:t>the</w:t>
      </w:r>
      <w:r w:rsidR="00961362" w:rsidRPr="00EE5050">
        <w:rPr>
          <w:rFonts w:eastAsia="PMingLiU"/>
          <w:lang w:val="en-GB" w:eastAsia="zh-TW"/>
        </w:rPr>
        <w:t xml:space="preserve"> </w:t>
      </w:r>
      <w:r w:rsidR="00B46F42" w:rsidRPr="00EE5050">
        <w:rPr>
          <w:rFonts w:eastAsia="PMingLiU"/>
          <w:lang w:val="en-GB" w:eastAsia="zh-TW"/>
        </w:rPr>
        <w:t>interview</w:t>
      </w:r>
      <w:r w:rsidR="00D5175B" w:rsidRPr="00EE5050">
        <w:rPr>
          <w:rFonts w:eastAsia="PMingLiU"/>
          <w:lang w:val="en-GB" w:eastAsia="zh-TW"/>
        </w:rPr>
        <w:t>ees</w:t>
      </w:r>
      <w:r w:rsidR="00C17187" w:rsidRPr="00EE5050">
        <w:rPr>
          <w:rFonts w:eastAsia="PMingLiU"/>
          <w:lang w:val="en-GB" w:eastAsia="zh-TW"/>
        </w:rPr>
        <w:t xml:space="preserve"> made it cl</w:t>
      </w:r>
      <w:r w:rsidR="00205BFC" w:rsidRPr="00EE5050">
        <w:rPr>
          <w:rFonts w:eastAsia="PMingLiU"/>
          <w:lang w:val="en-GB" w:eastAsia="zh-TW"/>
        </w:rPr>
        <w:t>ear that</w:t>
      </w:r>
      <w:r w:rsidR="00D5175B" w:rsidRPr="00EE5050">
        <w:rPr>
          <w:rFonts w:eastAsia="PMingLiU"/>
          <w:lang w:val="en-GB" w:eastAsia="zh-TW"/>
        </w:rPr>
        <w:t xml:space="preserve"> </w:t>
      </w:r>
      <w:r w:rsidR="002F2D0B" w:rsidRPr="00EE5050">
        <w:rPr>
          <w:rFonts w:eastAsia="PMingLiU"/>
          <w:lang w:val="en-GB" w:eastAsia="zh-TW"/>
        </w:rPr>
        <w:t xml:space="preserve">that </w:t>
      </w:r>
      <w:r w:rsidR="00D5175B" w:rsidRPr="00EE5050">
        <w:rPr>
          <w:rFonts w:eastAsia="PMingLiU"/>
          <w:lang w:val="en-GB" w:eastAsia="zh-TW"/>
        </w:rPr>
        <w:t>office focuses on legislative research</w:t>
      </w:r>
      <w:r w:rsidR="00A457E5" w:rsidRPr="00EE5050">
        <w:rPr>
          <w:rFonts w:eastAsia="PMingLiU"/>
          <w:lang w:val="en-GB" w:eastAsia="zh-TW"/>
        </w:rPr>
        <w:t>, and does not officially engage in aiding legislators with their drafting responsibilities.</w:t>
      </w:r>
      <w:r w:rsidR="00B46F42" w:rsidRPr="00EE5050">
        <w:rPr>
          <w:rStyle w:val="FootnoteReference"/>
          <w:rFonts w:eastAsia="PMingLiU"/>
          <w:lang w:val="en-GB" w:eastAsia="zh-TW"/>
        </w:rPr>
        <w:footnoteReference w:id="130"/>
      </w:r>
      <w:r w:rsidR="00D5175B" w:rsidRPr="00EE5050">
        <w:rPr>
          <w:rFonts w:eastAsia="PMingLiU"/>
          <w:lang w:val="en-GB" w:eastAsia="zh-TW"/>
        </w:rPr>
        <w:t xml:space="preserve"> P</w:t>
      </w:r>
      <w:r w:rsidR="00A457E5" w:rsidRPr="00EE5050">
        <w:rPr>
          <w:rFonts w:eastAsia="PMingLiU"/>
          <w:lang w:val="en-GB" w:eastAsia="zh-TW"/>
        </w:rPr>
        <w:t>arliamentary counsel offices are essential</w:t>
      </w:r>
      <w:r w:rsidR="005A7E72" w:rsidRPr="00EE5050">
        <w:rPr>
          <w:rFonts w:eastAsia="PMingLiU"/>
          <w:lang w:val="en-GB" w:eastAsia="zh-TW"/>
        </w:rPr>
        <w:t xml:space="preserve"> to contemporary legislatures: t</w:t>
      </w:r>
      <w:r w:rsidR="00A457E5" w:rsidRPr="00EE5050">
        <w:rPr>
          <w:rFonts w:eastAsia="PMingLiU"/>
          <w:lang w:val="en-GB" w:eastAsia="zh-TW"/>
        </w:rPr>
        <w:t>he</w:t>
      </w:r>
      <w:r w:rsidR="005A7E72" w:rsidRPr="00EE5050">
        <w:rPr>
          <w:rFonts w:eastAsia="PMingLiU"/>
          <w:lang w:val="en-GB" w:eastAsia="zh-TW"/>
        </w:rPr>
        <w:t>y</w:t>
      </w:r>
      <w:r w:rsidR="00A457E5" w:rsidRPr="00EE5050">
        <w:rPr>
          <w:rFonts w:eastAsia="PMingLiU"/>
          <w:lang w:val="en-GB" w:eastAsia="zh-TW"/>
        </w:rPr>
        <w:t xml:space="preserve"> professionalise the drafting of bills and laws, </w:t>
      </w:r>
      <w:r w:rsidR="009C4A99" w:rsidRPr="00EE5050">
        <w:rPr>
          <w:rFonts w:eastAsia="PMingLiU"/>
          <w:lang w:val="en-GB" w:eastAsia="zh-TW"/>
        </w:rPr>
        <w:t>aid legislators through the drafting and legislative process,</w:t>
      </w:r>
      <w:r w:rsidR="009628E0" w:rsidRPr="00EE5050">
        <w:rPr>
          <w:rStyle w:val="FootnoteReference"/>
          <w:rFonts w:eastAsia="PMingLiU"/>
          <w:lang w:val="en-GB" w:eastAsia="zh-TW"/>
        </w:rPr>
        <w:footnoteReference w:id="131"/>
      </w:r>
      <w:r w:rsidR="009C4A99" w:rsidRPr="00EE5050">
        <w:rPr>
          <w:rFonts w:eastAsia="PMingLiU"/>
          <w:lang w:val="en-GB" w:eastAsia="zh-TW"/>
        </w:rPr>
        <w:t xml:space="preserve"> </w:t>
      </w:r>
      <w:r w:rsidR="00A457E5" w:rsidRPr="00EE5050">
        <w:rPr>
          <w:rFonts w:eastAsia="PMingLiU"/>
          <w:lang w:val="en-GB" w:eastAsia="zh-TW"/>
        </w:rPr>
        <w:t xml:space="preserve">and </w:t>
      </w:r>
      <w:r w:rsidR="009C4A99" w:rsidRPr="00EE5050">
        <w:rPr>
          <w:rFonts w:eastAsia="PMingLiU"/>
          <w:lang w:val="en-GB" w:eastAsia="zh-TW"/>
        </w:rPr>
        <w:t xml:space="preserve">can even advise </w:t>
      </w:r>
      <w:r w:rsidR="005A7E72" w:rsidRPr="00EE5050">
        <w:rPr>
          <w:rFonts w:eastAsia="PMingLiU"/>
          <w:lang w:val="en-GB" w:eastAsia="zh-TW"/>
        </w:rPr>
        <w:t xml:space="preserve">legislators </w:t>
      </w:r>
      <w:r w:rsidR="005A0628" w:rsidRPr="00EE5050">
        <w:rPr>
          <w:rFonts w:eastAsia="PMingLiU"/>
          <w:lang w:val="en-GB" w:eastAsia="zh-TW"/>
        </w:rPr>
        <w:t xml:space="preserve">on some of the constitutional </w:t>
      </w:r>
      <w:r w:rsidR="0020179E" w:rsidRPr="00EE5050">
        <w:rPr>
          <w:rFonts w:eastAsia="PMingLiU"/>
          <w:lang w:val="en-GB" w:eastAsia="zh-TW"/>
        </w:rPr>
        <w:t xml:space="preserve">and policy </w:t>
      </w:r>
      <w:r w:rsidR="005A0628" w:rsidRPr="00EE5050">
        <w:rPr>
          <w:rFonts w:eastAsia="PMingLiU"/>
          <w:lang w:val="en-GB" w:eastAsia="zh-TW"/>
        </w:rPr>
        <w:t xml:space="preserve">dimensions of </w:t>
      </w:r>
      <w:r w:rsidR="005A7E72" w:rsidRPr="00EE5050">
        <w:rPr>
          <w:rFonts w:eastAsia="PMingLiU"/>
          <w:lang w:val="en-GB" w:eastAsia="zh-TW"/>
        </w:rPr>
        <w:t>their proposals.</w:t>
      </w:r>
      <w:r w:rsidR="0020179E" w:rsidRPr="00EE5050">
        <w:rPr>
          <w:rStyle w:val="FootnoteReference"/>
          <w:rFonts w:eastAsia="PMingLiU"/>
          <w:lang w:val="en-GB" w:eastAsia="zh-TW"/>
        </w:rPr>
        <w:footnoteReference w:id="132"/>
      </w:r>
      <w:r w:rsidR="005A7E72" w:rsidRPr="00EE5050">
        <w:rPr>
          <w:rFonts w:eastAsia="PMingLiU"/>
          <w:lang w:val="en-GB" w:eastAsia="zh-TW"/>
        </w:rPr>
        <w:t xml:space="preserve"> </w:t>
      </w:r>
      <w:r w:rsidR="000E4D02" w:rsidRPr="00EE5050">
        <w:rPr>
          <w:rFonts w:eastAsia="PMingLiU"/>
          <w:lang w:val="en-GB" w:eastAsia="zh-TW"/>
        </w:rPr>
        <w:t>Usually composed of trained attorneys, t</w:t>
      </w:r>
      <w:r w:rsidR="005A0628" w:rsidRPr="00EE5050">
        <w:rPr>
          <w:rFonts w:eastAsia="PMingLiU"/>
          <w:lang w:val="en-GB" w:eastAsia="zh-TW"/>
        </w:rPr>
        <w:t xml:space="preserve">he </w:t>
      </w:r>
      <w:r w:rsidR="005A0628" w:rsidRPr="00EE5050">
        <w:rPr>
          <w:rFonts w:eastAsia="PMingLiU"/>
          <w:lang w:val="en-GB" w:eastAsia="zh-TW"/>
        </w:rPr>
        <w:lastRenderedPageBreak/>
        <w:t xml:space="preserve">offices provide </w:t>
      </w:r>
      <w:r w:rsidR="000E4D02" w:rsidRPr="00EE5050">
        <w:rPr>
          <w:rFonts w:eastAsia="PMingLiU"/>
          <w:lang w:val="en-GB" w:eastAsia="zh-TW"/>
        </w:rPr>
        <w:t xml:space="preserve">highly specialised individuals </w:t>
      </w:r>
      <w:r w:rsidR="005A0628" w:rsidRPr="00EE5050">
        <w:rPr>
          <w:rFonts w:eastAsia="PMingLiU"/>
          <w:lang w:val="en-GB" w:eastAsia="zh-TW"/>
        </w:rPr>
        <w:t>to aid</w:t>
      </w:r>
      <w:r w:rsidR="00FA5E40" w:rsidRPr="00EE5050">
        <w:rPr>
          <w:rFonts w:eastAsia="PMingLiU"/>
          <w:lang w:val="en-GB" w:eastAsia="zh-TW"/>
        </w:rPr>
        <w:t xml:space="preserve"> </w:t>
      </w:r>
      <w:r w:rsidR="000E4D02" w:rsidRPr="00EE5050">
        <w:rPr>
          <w:rFonts w:eastAsia="PMingLiU"/>
          <w:lang w:val="en-GB" w:eastAsia="zh-TW"/>
        </w:rPr>
        <w:t>legislators</w:t>
      </w:r>
      <w:r w:rsidR="00FA5E40" w:rsidRPr="00EE5050">
        <w:rPr>
          <w:rFonts w:eastAsia="PMingLiU"/>
          <w:lang w:val="en-GB" w:eastAsia="zh-TW"/>
        </w:rPr>
        <w:t xml:space="preserve"> </w:t>
      </w:r>
      <w:r w:rsidR="00AC7792" w:rsidRPr="00EE5050">
        <w:rPr>
          <w:rFonts w:eastAsia="PMingLiU"/>
          <w:lang w:val="en-GB" w:eastAsia="zh-TW"/>
        </w:rPr>
        <w:t>and</w:t>
      </w:r>
      <w:r w:rsidR="00FA5E40" w:rsidRPr="00EE5050">
        <w:rPr>
          <w:rFonts w:eastAsia="PMingLiU"/>
          <w:lang w:val="en-GB" w:eastAsia="zh-TW"/>
        </w:rPr>
        <w:t xml:space="preserve"> their staff</w:t>
      </w:r>
      <w:r w:rsidR="005A0628" w:rsidRPr="00EE5050">
        <w:rPr>
          <w:rFonts w:eastAsia="PMingLiU"/>
          <w:lang w:val="en-GB" w:eastAsia="zh-TW"/>
        </w:rPr>
        <w:t xml:space="preserve"> in the drafting process</w:t>
      </w:r>
      <w:r w:rsidR="000E4D02" w:rsidRPr="00EE5050">
        <w:rPr>
          <w:rFonts w:eastAsia="PMingLiU"/>
          <w:lang w:val="en-GB" w:eastAsia="zh-TW"/>
        </w:rPr>
        <w:t xml:space="preserve">. </w:t>
      </w:r>
      <w:r w:rsidR="005A0628" w:rsidRPr="00EE5050">
        <w:rPr>
          <w:rFonts w:eastAsia="PMingLiU"/>
          <w:lang w:val="en-GB" w:eastAsia="zh-TW"/>
        </w:rPr>
        <w:t xml:space="preserve">Also, </w:t>
      </w:r>
      <w:r w:rsidR="00DE3A8B">
        <w:rPr>
          <w:rFonts w:eastAsia="PMingLiU"/>
          <w:lang w:val="en-GB" w:eastAsia="zh-TW"/>
        </w:rPr>
        <w:t>it has been</w:t>
      </w:r>
      <w:r w:rsidR="005A7E72" w:rsidRPr="00EE5050">
        <w:rPr>
          <w:rFonts w:eastAsia="PMingLiU"/>
          <w:lang w:val="en-GB" w:eastAsia="zh-TW"/>
        </w:rPr>
        <w:t xml:space="preserve"> previously noted that such offices help to keep the focus of statutory text on </w:t>
      </w:r>
      <w:r w:rsidR="0020179E" w:rsidRPr="00EE5050">
        <w:rPr>
          <w:rFonts w:eastAsia="PMingLiU"/>
          <w:lang w:val="en-GB" w:eastAsia="zh-TW"/>
        </w:rPr>
        <w:t xml:space="preserve">neutral </w:t>
      </w:r>
      <w:r w:rsidR="005A7E72" w:rsidRPr="00EE5050">
        <w:rPr>
          <w:rFonts w:eastAsia="PMingLiU"/>
          <w:lang w:val="en-GB" w:eastAsia="zh-TW"/>
        </w:rPr>
        <w:t xml:space="preserve">legal </w:t>
      </w:r>
      <w:r w:rsidR="00AC7792" w:rsidRPr="00EE5050">
        <w:rPr>
          <w:rFonts w:eastAsia="PMingLiU"/>
          <w:lang w:val="en-GB" w:eastAsia="zh-TW"/>
        </w:rPr>
        <w:t>language</w:t>
      </w:r>
      <w:r w:rsidR="005A7E72" w:rsidRPr="00EE5050">
        <w:rPr>
          <w:rFonts w:eastAsia="PMingLiU"/>
          <w:lang w:val="en-GB" w:eastAsia="zh-TW"/>
        </w:rPr>
        <w:t>, rather than incorporating overtly political language.</w:t>
      </w:r>
      <w:r w:rsidR="005A7E72" w:rsidRPr="00EE5050">
        <w:rPr>
          <w:rStyle w:val="FootnoteReference"/>
          <w:rFonts w:eastAsia="PMingLiU"/>
          <w:lang w:val="en-GB" w:eastAsia="zh-TW"/>
        </w:rPr>
        <w:footnoteReference w:id="133"/>
      </w:r>
      <w:r w:rsidR="001C4862" w:rsidRPr="00EE5050">
        <w:rPr>
          <w:rFonts w:eastAsia="PMingLiU"/>
          <w:lang w:val="en-GB" w:eastAsia="zh-TW"/>
        </w:rPr>
        <w:t xml:space="preserve"> </w:t>
      </w:r>
      <w:r w:rsidR="00205BFC" w:rsidRPr="00EE5050">
        <w:rPr>
          <w:rFonts w:eastAsia="PMingLiU"/>
          <w:lang w:val="en-GB" w:eastAsia="zh-TW"/>
        </w:rPr>
        <w:t>Creating</w:t>
      </w:r>
      <w:r w:rsidR="001C4862" w:rsidRPr="00EE5050">
        <w:rPr>
          <w:rFonts w:eastAsia="PMingLiU"/>
          <w:lang w:val="en-GB" w:eastAsia="zh-TW"/>
        </w:rPr>
        <w:t xml:space="preserve"> such an office would bring the legislature in line with many other </w:t>
      </w:r>
      <w:r w:rsidR="00205BFC" w:rsidRPr="00EE5050">
        <w:rPr>
          <w:rFonts w:eastAsia="PMingLiU"/>
          <w:lang w:val="en-GB" w:eastAsia="zh-TW"/>
        </w:rPr>
        <w:t>long-</w:t>
      </w:r>
      <w:r w:rsidR="001C4862" w:rsidRPr="00EE5050">
        <w:rPr>
          <w:rFonts w:eastAsia="PMingLiU"/>
          <w:lang w:val="en-GB" w:eastAsia="zh-TW"/>
        </w:rPr>
        <w:t xml:space="preserve">established law-making bodies. </w:t>
      </w:r>
    </w:p>
    <w:p w14:paraId="30A3689A" w14:textId="155051AD" w:rsidR="00FA5E40" w:rsidRPr="00EE5050" w:rsidRDefault="00D5175B"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Second, </w:t>
      </w:r>
      <w:r w:rsidR="00205BFC" w:rsidRPr="00EE5050">
        <w:rPr>
          <w:rFonts w:eastAsia="PMingLiU"/>
          <w:lang w:val="en-GB" w:eastAsia="zh-TW"/>
        </w:rPr>
        <w:t xml:space="preserve">for every proposed bill </w:t>
      </w:r>
      <w:r w:rsidRPr="00EE5050">
        <w:rPr>
          <w:rFonts w:eastAsia="PMingLiU"/>
          <w:lang w:val="en-GB" w:eastAsia="zh-TW"/>
        </w:rPr>
        <w:t xml:space="preserve">the Legislative Yuan should </w:t>
      </w:r>
      <w:r w:rsidR="00AC7792" w:rsidRPr="00EE5050">
        <w:rPr>
          <w:rFonts w:eastAsia="PMingLiU"/>
          <w:lang w:val="en-GB" w:eastAsia="zh-TW"/>
        </w:rPr>
        <w:t>require</w:t>
      </w:r>
      <w:r w:rsidRPr="00EE5050">
        <w:rPr>
          <w:rFonts w:eastAsia="PMingLiU"/>
          <w:lang w:val="en-GB" w:eastAsia="zh-TW"/>
        </w:rPr>
        <w:t xml:space="preserve"> some type of statements of compatibility</w:t>
      </w:r>
      <w:r w:rsidR="00205BFC" w:rsidRPr="00EE5050">
        <w:rPr>
          <w:rFonts w:eastAsia="PMingLiU"/>
          <w:lang w:val="en-GB" w:eastAsia="zh-TW"/>
        </w:rPr>
        <w:t xml:space="preserve"> with the ratified ICCPR and ICESCR</w:t>
      </w:r>
      <w:r w:rsidRPr="00EE5050">
        <w:rPr>
          <w:rFonts w:eastAsia="PMingLiU"/>
          <w:lang w:val="en-GB" w:eastAsia="zh-TW"/>
        </w:rPr>
        <w:t xml:space="preserve">. These relatively minor adjustments can be </w:t>
      </w:r>
      <w:r w:rsidR="00274182" w:rsidRPr="00EE5050">
        <w:rPr>
          <w:rFonts w:eastAsia="PMingLiU"/>
          <w:lang w:val="en-GB" w:eastAsia="zh-TW"/>
        </w:rPr>
        <w:t xml:space="preserve">easily </w:t>
      </w:r>
      <w:r w:rsidRPr="00EE5050">
        <w:rPr>
          <w:rFonts w:eastAsia="PMingLiU"/>
          <w:lang w:val="en-GB" w:eastAsia="zh-TW"/>
        </w:rPr>
        <w:t>made to t</w:t>
      </w:r>
      <w:r w:rsidR="00274182" w:rsidRPr="00EE5050">
        <w:rPr>
          <w:rFonts w:eastAsia="PMingLiU"/>
          <w:lang w:val="en-GB" w:eastAsia="zh-TW"/>
        </w:rPr>
        <w:t xml:space="preserve">he standing orders of the </w:t>
      </w:r>
      <w:r w:rsidR="00086299">
        <w:rPr>
          <w:rFonts w:eastAsia="PMingLiU"/>
          <w:lang w:val="en-GB" w:eastAsia="zh-TW"/>
        </w:rPr>
        <w:t xml:space="preserve">Legislative </w:t>
      </w:r>
      <w:r w:rsidR="00274182" w:rsidRPr="00EE5050">
        <w:rPr>
          <w:rFonts w:eastAsia="PMingLiU"/>
          <w:lang w:val="en-GB" w:eastAsia="zh-TW"/>
        </w:rPr>
        <w:t xml:space="preserve">Yuan, and </w:t>
      </w:r>
      <w:r w:rsidR="00B24DE5" w:rsidRPr="00EE5050">
        <w:rPr>
          <w:rFonts w:eastAsia="PMingLiU"/>
          <w:lang w:val="en-GB" w:eastAsia="zh-TW"/>
        </w:rPr>
        <w:t>cost little</w:t>
      </w:r>
      <w:r w:rsidR="00274182" w:rsidRPr="00EE5050">
        <w:rPr>
          <w:rFonts w:eastAsia="PMingLiU"/>
          <w:lang w:val="en-GB" w:eastAsia="zh-TW"/>
        </w:rPr>
        <w:t xml:space="preserve"> in terms of implementation</w:t>
      </w:r>
      <w:r w:rsidR="00B24DE5" w:rsidRPr="00EE5050">
        <w:rPr>
          <w:rFonts w:eastAsia="PMingLiU"/>
          <w:lang w:val="en-GB" w:eastAsia="zh-TW"/>
        </w:rPr>
        <w:t xml:space="preserve">. </w:t>
      </w:r>
      <w:r w:rsidRPr="00EE5050">
        <w:rPr>
          <w:rFonts w:eastAsia="PMingLiU"/>
          <w:lang w:val="en-GB" w:eastAsia="zh-TW"/>
        </w:rPr>
        <w:t xml:space="preserve">Additionally, </w:t>
      </w:r>
      <w:r w:rsidR="00274182" w:rsidRPr="00EE5050">
        <w:rPr>
          <w:rFonts w:eastAsia="PMingLiU"/>
          <w:lang w:val="en-GB" w:eastAsia="zh-TW"/>
        </w:rPr>
        <w:t>incorporating</w:t>
      </w:r>
      <w:r w:rsidRPr="00EE5050">
        <w:rPr>
          <w:rFonts w:eastAsia="PMingLiU"/>
          <w:lang w:val="en-GB" w:eastAsia="zh-TW"/>
        </w:rPr>
        <w:t xml:space="preserve"> </w:t>
      </w:r>
      <w:r w:rsidR="00274182" w:rsidRPr="00EE5050">
        <w:rPr>
          <w:rFonts w:eastAsia="PMingLiU"/>
          <w:lang w:val="en-GB" w:eastAsia="zh-TW"/>
        </w:rPr>
        <w:t>such</w:t>
      </w:r>
      <w:r w:rsidRPr="00EE5050">
        <w:rPr>
          <w:rFonts w:eastAsia="PMingLiU"/>
          <w:lang w:val="en-GB" w:eastAsia="zh-TW"/>
        </w:rPr>
        <w:t xml:space="preserve"> statements </w:t>
      </w:r>
      <w:r w:rsidR="00270AF8" w:rsidRPr="00EE5050">
        <w:rPr>
          <w:rFonts w:eastAsia="PMingLiU"/>
          <w:lang w:val="en-GB" w:eastAsia="zh-TW"/>
        </w:rPr>
        <w:t>could</w:t>
      </w:r>
      <w:r w:rsidRPr="00EE5050">
        <w:rPr>
          <w:rFonts w:eastAsia="PMingLiU"/>
          <w:lang w:val="en-GB" w:eastAsia="zh-TW"/>
        </w:rPr>
        <w:t xml:space="preserve"> spark deb</w:t>
      </w:r>
      <w:r w:rsidR="00274182" w:rsidRPr="00EE5050">
        <w:rPr>
          <w:rFonts w:eastAsia="PMingLiU"/>
          <w:lang w:val="en-GB" w:eastAsia="zh-TW"/>
        </w:rPr>
        <w:t>ate</w:t>
      </w:r>
      <w:r w:rsidRPr="00EE5050">
        <w:rPr>
          <w:rFonts w:eastAsia="PMingLiU"/>
          <w:lang w:val="en-GB" w:eastAsia="zh-TW"/>
        </w:rPr>
        <w:t xml:space="preserve"> and get legislators actively thi</w:t>
      </w:r>
      <w:r w:rsidR="00D46AF8" w:rsidRPr="00EE5050">
        <w:rPr>
          <w:rFonts w:eastAsia="PMingLiU"/>
          <w:lang w:val="en-GB" w:eastAsia="zh-TW"/>
        </w:rPr>
        <w:t>nking about their proposals in terms of constitutional and human rights issues</w:t>
      </w:r>
      <w:r w:rsidRPr="00EE5050">
        <w:rPr>
          <w:rFonts w:eastAsia="PMingLiU"/>
          <w:lang w:val="en-GB" w:eastAsia="zh-TW"/>
        </w:rPr>
        <w:t>,</w:t>
      </w:r>
      <w:r w:rsidR="00CF1972" w:rsidRPr="00EE5050">
        <w:rPr>
          <w:rStyle w:val="FootnoteReference"/>
          <w:rFonts w:eastAsia="PMingLiU"/>
          <w:lang w:val="en-GB" w:eastAsia="zh-TW"/>
        </w:rPr>
        <w:footnoteReference w:id="134"/>
      </w:r>
      <w:r w:rsidRPr="00EE5050">
        <w:rPr>
          <w:rFonts w:eastAsia="PMingLiU"/>
          <w:lang w:val="en-GB" w:eastAsia="zh-TW"/>
        </w:rPr>
        <w:t xml:space="preserve"> </w:t>
      </w:r>
      <w:r w:rsidR="00DA2738" w:rsidRPr="00EE5050">
        <w:rPr>
          <w:rFonts w:eastAsia="PMingLiU"/>
          <w:lang w:val="en-GB" w:eastAsia="zh-TW"/>
        </w:rPr>
        <w:t xml:space="preserve">which was noticeably lacking in </w:t>
      </w:r>
      <w:r w:rsidR="00B35B0B">
        <w:rPr>
          <w:rFonts w:eastAsia="PMingLiU"/>
          <w:lang w:val="en-GB" w:eastAsia="zh-TW"/>
        </w:rPr>
        <w:t>the</w:t>
      </w:r>
      <w:r w:rsidR="00B35B0B" w:rsidRPr="00EE5050">
        <w:rPr>
          <w:rFonts w:eastAsia="PMingLiU"/>
          <w:lang w:val="en-GB" w:eastAsia="zh-TW"/>
        </w:rPr>
        <w:t xml:space="preserve"> </w:t>
      </w:r>
      <w:r w:rsidR="00DA2738" w:rsidRPr="00EE5050">
        <w:rPr>
          <w:rFonts w:eastAsia="PMingLiU"/>
          <w:lang w:val="en-GB" w:eastAsia="zh-TW"/>
        </w:rPr>
        <w:t>interview data</w:t>
      </w:r>
      <w:r w:rsidRPr="00EE5050">
        <w:rPr>
          <w:rFonts w:eastAsia="PMingLiU"/>
          <w:lang w:val="en-GB" w:eastAsia="zh-TW"/>
        </w:rPr>
        <w:t>.</w:t>
      </w:r>
      <w:r w:rsidR="00CA467D" w:rsidRPr="00EE5050">
        <w:rPr>
          <w:rFonts w:eastAsia="PMingLiU"/>
          <w:lang w:val="en-GB" w:eastAsia="zh-TW"/>
        </w:rPr>
        <w:t xml:space="preserve"> Taking this step would also demonstrate to </w:t>
      </w:r>
      <w:r w:rsidR="00CF1972" w:rsidRPr="00EE5050">
        <w:rPr>
          <w:rFonts w:eastAsia="PMingLiU"/>
          <w:lang w:val="en-GB" w:eastAsia="zh-TW"/>
        </w:rPr>
        <w:t>Taiwan</w:t>
      </w:r>
      <w:r w:rsidR="00AC357A">
        <w:rPr>
          <w:rFonts w:eastAsia="PMingLiU"/>
          <w:lang w:val="en-GB" w:eastAsia="zh-TW"/>
        </w:rPr>
        <w:t>’</w:t>
      </w:r>
      <w:r w:rsidR="00CF1972" w:rsidRPr="00EE5050">
        <w:rPr>
          <w:rFonts w:eastAsia="PMingLiU"/>
          <w:lang w:val="en-GB" w:eastAsia="zh-TW"/>
        </w:rPr>
        <w:t>s Constitutional Court and perhaps even to international organisations (</w:t>
      </w:r>
      <w:r w:rsidR="00CA467D" w:rsidRPr="00EE5050">
        <w:rPr>
          <w:rFonts w:eastAsia="PMingLiU"/>
          <w:lang w:val="en-GB" w:eastAsia="zh-TW"/>
        </w:rPr>
        <w:t>such as the U</w:t>
      </w:r>
      <w:r w:rsidR="005A0628" w:rsidRPr="00EE5050">
        <w:rPr>
          <w:rFonts w:eastAsia="PMingLiU"/>
          <w:lang w:val="en-GB" w:eastAsia="zh-TW"/>
        </w:rPr>
        <w:t xml:space="preserve">nited </w:t>
      </w:r>
      <w:r w:rsidR="00CA467D" w:rsidRPr="00EE5050">
        <w:rPr>
          <w:rFonts w:eastAsia="PMingLiU"/>
          <w:lang w:val="en-GB" w:eastAsia="zh-TW"/>
        </w:rPr>
        <w:t>N</w:t>
      </w:r>
      <w:r w:rsidR="005A0628" w:rsidRPr="00EE5050">
        <w:rPr>
          <w:rFonts w:eastAsia="PMingLiU"/>
          <w:lang w:val="en-GB" w:eastAsia="zh-TW"/>
        </w:rPr>
        <w:t>ations</w:t>
      </w:r>
      <w:r w:rsidR="00CF1972" w:rsidRPr="00EE5050">
        <w:rPr>
          <w:rFonts w:eastAsia="PMingLiU"/>
          <w:lang w:val="en-GB" w:eastAsia="zh-TW"/>
        </w:rPr>
        <w:t>)</w:t>
      </w:r>
      <w:r w:rsidR="00CA467D" w:rsidRPr="00EE5050">
        <w:rPr>
          <w:rFonts w:eastAsia="PMingLiU"/>
          <w:lang w:val="en-GB" w:eastAsia="zh-TW"/>
        </w:rPr>
        <w:t>, that Taiwan</w:t>
      </w:r>
      <w:r w:rsidR="00AC357A">
        <w:rPr>
          <w:rFonts w:eastAsia="PMingLiU"/>
          <w:lang w:val="en-GB" w:eastAsia="zh-TW"/>
        </w:rPr>
        <w:t>’</w:t>
      </w:r>
      <w:r w:rsidR="00CF1972" w:rsidRPr="00EE5050">
        <w:rPr>
          <w:rFonts w:eastAsia="PMingLiU"/>
          <w:lang w:val="en-GB" w:eastAsia="zh-TW"/>
        </w:rPr>
        <w:t>s legislature</w:t>
      </w:r>
      <w:r w:rsidR="00CA467D" w:rsidRPr="00EE5050">
        <w:rPr>
          <w:rFonts w:eastAsia="PMingLiU"/>
          <w:lang w:val="en-GB" w:eastAsia="zh-TW"/>
        </w:rPr>
        <w:t xml:space="preserve"> is taking human rights seriously.</w:t>
      </w:r>
    </w:p>
    <w:p w14:paraId="07F0AA06" w14:textId="05EE4086" w:rsidR="005A0628" w:rsidRPr="00EE5050" w:rsidRDefault="0097470B"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Next</w:t>
      </w:r>
      <w:r w:rsidR="00FA5E40" w:rsidRPr="00EE5050">
        <w:rPr>
          <w:rFonts w:eastAsia="PMingLiU"/>
          <w:lang w:val="en-GB" w:eastAsia="zh-TW"/>
        </w:rPr>
        <w:t xml:space="preserve">, </w:t>
      </w:r>
      <w:r w:rsidR="00C927E7" w:rsidRPr="00EE5050">
        <w:rPr>
          <w:rFonts w:eastAsia="PMingLiU"/>
          <w:lang w:val="en-GB" w:eastAsia="zh-TW"/>
        </w:rPr>
        <w:t>a</w:t>
      </w:r>
      <w:r w:rsidR="009D7868" w:rsidRPr="00EE5050">
        <w:rPr>
          <w:rFonts w:eastAsia="PMingLiU"/>
          <w:lang w:val="en-GB" w:eastAsia="zh-TW"/>
        </w:rPr>
        <w:t xml:space="preserve"> standing or ad hoc Constitutional Committee should be developed in the </w:t>
      </w:r>
      <w:r w:rsidR="00D46AF8" w:rsidRPr="00EE5050">
        <w:rPr>
          <w:rFonts w:eastAsia="PMingLiU"/>
          <w:lang w:val="en-GB" w:eastAsia="zh-TW"/>
        </w:rPr>
        <w:t>Legislative Yuan</w:t>
      </w:r>
      <w:r w:rsidR="009D7868" w:rsidRPr="00EE5050">
        <w:rPr>
          <w:rStyle w:val="FootnoteReference"/>
          <w:rFonts w:eastAsia="PMingLiU"/>
          <w:lang w:val="en-GB" w:eastAsia="zh-TW"/>
        </w:rPr>
        <w:footnoteReference w:id="135"/>
      </w:r>
      <w:r w:rsidR="009D7868" w:rsidRPr="00EE5050">
        <w:rPr>
          <w:rFonts w:eastAsia="PMingLiU"/>
          <w:lang w:val="en-GB" w:eastAsia="zh-TW"/>
        </w:rPr>
        <w:t xml:space="preserve"> which can discuss and debate significant constitutional issues that arise in the legislative process</w:t>
      </w:r>
      <w:r w:rsidR="00C927E7" w:rsidRPr="00EE5050">
        <w:rPr>
          <w:rFonts w:eastAsia="PMingLiU"/>
          <w:lang w:val="en-GB" w:eastAsia="zh-TW"/>
        </w:rPr>
        <w:t xml:space="preserve"> in regard to bills and other issues</w:t>
      </w:r>
      <w:r w:rsidR="009D7868" w:rsidRPr="00EE5050">
        <w:rPr>
          <w:rFonts w:eastAsia="PMingLiU"/>
          <w:lang w:val="en-GB" w:eastAsia="zh-TW"/>
        </w:rPr>
        <w:t xml:space="preserve">. </w:t>
      </w:r>
      <w:r w:rsidR="000F561E" w:rsidRPr="00EE5050">
        <w:rPr>
          <w:rFonts w:eastAsia="PMingLiU"/>
          <w:lang w:val="en-GB" w:eastAsia="zh-TW"/>
        </w:rPr>
        <w:t>Composition of the committee should be multi-partisan, in that it would be composed of members of each political party and no o</w:t>
      </w:r>
      <w:r w:rsidR="0002006A" w:rsidRPr="00EE5050">
        <w:rPr>
          <w:rFonts w:eastAsia="PMingLiU"/>
          <w:lang w:val="en-GB" w:eastAsia="zh-TW"/>
        </w:rPr>
        <w:t xml:space="preserve">ne political party would have </w:t>
      </w:r>
      <w:r w:rsidR="000F561E" w:rsidRPr="00EE5050">
        <w:rPr>
          <w:rFonts w:eastAsia="PMingLiU"/>
          <w:lang w:val="en-GB" w:eastAsia="zh-TW"/>
        </w:rPr>
        <w:t>majority</w:t>
      </w:r>
      <w:r w:rsidR="0002006A" w:rsidRPr="00EE5050">
        <w:rPr>
          <w:rFonts w:eastAsia="PMingLiU"/>
          <w:lang w:val="en-GB" w:eastAsia="zh-TW"/>
        </w:rPr>
        <w:t xml:space="preserve"> powers</w:t>
      </w:r>
      <w:r w:rsidR="000F561E" w:rsidRPr="00EE5050">
        <w:rPr>
          <w:rFonts w:eastAsia="PMingLiU"/>
          <w:lang w:val="en-GB" w:eastAsia="zh-TW"/>
        </w:rPr>
        <w:t xml:space="preserve">. </w:t>
      </w:r>
      <w:r w:rsidR="00205BFC" w:rsidRPr="00EE5050">
        <w:rPr>
          <w:rFonts w:eastAsia="PMingLiU"/>
          <w:lang w:val="en-GB" w:eastAsia="zh-TW"/>
        </w:rPr>
        <w:t>Thus, minority view</w:t>
      </w:r>
      <w:r w:rsidR="003E0544" w:rsidRPr="00EE5050">
        <w:rPr>
          <w:rFonts w:eastAsia="PMingLiU"/>
          <w:lang w:val="en-GB" w:eastAsia="zh-TW"/>
        </w:rPr>
        <w:t>s</w:t>
      </w:r>
      <w:r w:rsidR="00205BFC" w:rsidRPr="00EE5050">
        <w:rPr>
          <w:rFonts w:eastAsia="PMingLiU"/>
          <w:lang w:val="en-GB" w:eastAsia="zh-TW"/>
        </w:rPr>
        <w:t xml:space="preserve"> would be actively </w:t>
      </w:r>
      <w:r w:rsidR="0002006A" w:rsidRPr="00EE5050">
        <w:rPr>
          <w:rFonts w:eastAsia="PMingLiU"/>
          <w:lang w:val="en-GB" w:eastAsia="zh-TW"/>
        </w:rPr>
        <w:t xml:space="preserve">and overtly </w:t>
      </w:r>
      <w:r w:rsidR="00205BFC" w:rsidRPr="00EE5050">
        <w:rPr>
          <w:rFonts w:eastAsia="PMingLiU"/>
          <w:lang w:val="en-GB" w:eastAsia="zh-TW"/>
        </w:rPr>
        <w:t xml:space="preserve">heard. </w:t>
      </w:r>
      <w:r w:rsidR="009D7868" w:rsidRPr="00EE5050">
        <w:rPr>
          <w:rFonts w:eastAsia="PMingLiU"/>
          <w:lang w:val="en-GB" w:eastAsia="zh-TW"/>
        </w:rPr>
        <w:t>The committee</w:t>
      </w:r>
      <w:r w:rsidR="00E83141" w:rsidRPr="00EE5050">
        <w:rPr>
          <w:rFonts w:eastAsia="PMingLiU"/>
          <w:lang w:val="en-GB" w:eastAsia="zh-TW"/>
        </w:rPr>
        <w:t xml:space="preserve"> could operate on the same </w:t>
      </w:r>
      <w:r w:rsidR="00E83141" w:rsidRPr="00EE5050">
        <w:rPr>
          <w:rFonts w:eastAsia="PMingLiU"/>
          <w:lang w:val="en-GB" w:eastAsia="zh-TW"/>
        </w:rPr>
        <w:lastRenderedPageBreak/>
        <w:t xml:space="preserve">principles </w:t>
      </w:r>
      <w:r w:rsidR="00BE1FD0" w:rsidRPr="00EE5050">
        <w:rPr>
          <w:rFonts w:eastAsia="PMingLiU"/>
          <w:lang w:val="en-GB" w:eastAsia="zh-TW"/>
        </w:rPr>
        <w:t>the Yuan</w:t>
      </w:r>
      <w:r w:rsidR="00E83141" w:rsidRPr="00EE5050">
        <w:rPr>
          <w:rFonts w:eastAsia="PMingLiU"/>
          <w:lang w:val="en-GB" w:eastAsia="zh-TW"/>
        </w:rPr>
        <w:t xml:space="preserve"> currently do</w:t>
      </w:r>
      <w:r w:rsidR="00BE1FD0" w:rsidRPr="00EE5050">
        <w:rPr>
          <w:rFonts w:eastAsia="PMingLiU"/>
          <w:lang w:val="en-GB" w:eastAsia="zh-TW"/>
        </w:rPr>
        <w:t>es</w:t>
      </w:r>
      <w:r w:rsidR="00E83141" w:rsidRPr="00EE5050">
        <w:rPr>
          <w:rFonts w:eastAsia="PMingLiU"/>
          <w:lang w:val="en-GB" w:eastAsia="zh-TW"/>
        </w:rPr>
        <w:t xml:space="preserve"> </w:t>
      </w:r>
      <w:r w:rsidR="00D57F62" w:rsidRPr="00EE5050">
        <w:rPr>
          <w:rFonts w:eastAsia="PMingLiU"/>
          <w:lang w:val="en-GB" w:eastAsia="zh-TW"/>
        </w:rPr>
        <w:t xml:space="preserve">for requesting the Constitutional Court </w:t>
      </w:r>
      <w:r w:rsidR="00205BFC" w:rsidRPr="00EE5050">
        <w:rPr>
          <w:rFonts w:eastAsia="PMingLiU"/>
          <w:lang w:val="en-GB" w:eastAsia="zh-TW"/>
        </w:rPr>
        <w:t xml:space="preserve">to </w:t>
      </w:r>
      <w:r w:rsidR="00D57F62" w:rsidRPr="00EE5050">
        <w:rPr>
          <w:rFonts w:eastAsia="PMingLiU"/>
          <w:lang w:val="en-GB" w:eastAsia="zh-TW"/>
        </w:rPr>
        <w:t xml:space="preserve">examine an issue: the </w:t>
      </w:r>
      <w:r w:rsidR="00630C6E">
        <w:rPr>
          <w:rFonts w:eastAsia="PMingLiU"/>
          <w:lang w:val="en-GB" w:eastAsia="zh-TW"/>
        </w:rPr>
        <w:t>‘</w:t>
      </w:r>
      <w:r w:rsidR="00AC56AD">
        <w:rPr>
          <w:rFonts w:eastAsia="PMingLiU"/>
          <w:lang w:val="en-GB" w:eastAsia="zh-TW"/>
        </w:rPr>
        <w:t>one</w:t>
      </w:r>
      <w:r w:rsidR="00086299">
        <w:rPr>
          <w:rFonts w:eastAsia="PMingLiU"/>
          <w:lang w:val="en-GB" w:eastAsia="zh-TW"/>
        </w:rPr>
        <w:t>-</w:t>
      </w:r>
      <w:r w:rsidR="00AC56AD">
        <w:rPr>
          <w:rFonts w:eastAsia="PMingLiU"/>
          <w:lang w:val="en-GB" w:eastAsia="zh-TW"/>
        </w:rPr>
        <w:t>third</w:t>
      </w:r>
      <w:r w:rsidR="00145E19" w:rsidRPr="00EE5050">
        <w:rPr>
          <w:rFonts w:eastAsia="PMingLiU"/>
          <w:lang w:val="en-GB" w:eastAsia="zh-TW"/>
        </w:rPr>
        <w:t xml:space="preserve"> </w:t>
      </w:r>
      <w:r w:rsidR="00D57F62" w:rsidRPr="00EE5050">
        <w:rPr>
          <w:rFonts w:eastAsia="PMingLiU"/>
          <w:lang w:val="en-GB" w:eastAsia="zh-TW"/>
        </w:rPr>
        <w:t>vote</w:t>
      </w:r>
      <w:r w:rsidR="00630C6E">
        <w:rPr>
          <w:rFonts w:eastAsia="PMingLiU"/>
          <w:lang w:val="en-GB" w:eastAsia="zh-TW"/>
        </w:rPr>
        <w:t>’</w:t>
      </w:r>
      <w:r w:rsidR="00D57F62" w:rsidRPr="00EE5050">
        <w:rPr>
          <w:rFonts w:eastAsia="PMingLiU"/>
          <w:lang w:val="en-GB" w:eastAsia="zh-TW"/>
        </w:rPr>
        <w:t xml:space="preserve"> principle could be the standard</w:t>
      </w:r>
      <w:r w:rsidR="00205BFC" w:rsidRPr="00EE5050">
        <w:rPr>
          <w:rFonts w:eastAsia="PMingLiU"/>
          <w:lang w:val="en-GB" w:eastAsia="zh-TW"/>
        </w:rPr>
        <w:t xml:space="preserve"> for review</w:t>
      </w:r>
      <w:r w:rsidR="004F6C30" w:rsidRPr="00EE5050">
        <w:rPr>
          <w:rFonts w:eastAsia="PMingLiU"/>
          <w:lang w:val="en-GB" w:eastAsia="zh-TW"/>
        </w:rPr>
        <w:t>.</w:t>
      </w:r>
      <w:r w:rsidR="004F6C30" w:rsidRPr="00EE5050">
        <w:rPr>
          <w:rStyle w:val="FootnoteReference"/>
          <w:rFonts w:eastAsia="PMingLiU"/>
          <w:lang w:val="en-GB" w:eastAsia="zh-TW"/>
        </w:rPr>
        <w:footnoteReference w:id="136"/>
      </w:r>
      <w:r w:rsidR="00252E6A" w:rsidRPr="00EE5050">
        <w:rPr>
          <w:rFonts w:eastAsia="PMingLiU"/>
          <w:lang w:val="en-GB" w:eastAsia="zh-TW"/>
        </w:rPr>
        <w:t xml:space="preserve"> </w:t>
      </w:r>
      <w:r w:rsidRPr="00EE5050">
        <w:rPr>
          <w:rFonts w:eastAsia="PMingLiU"/>
          <w:lang w:val="en-GB" w:eastAsia="zh-TW"/>
        </w:rPr>
        <w:t xml:space="preserve">Additionally, the committee should not be able to hold legislation back, but merely make recommendations on how </w:t>
      </w:r>
      <w:r w:rsidR="0064760C" w:rsidRPr="00EE5050">
        <w:rPr>
          <w:rFonts w:eastAsia="PMingLiU"/>
          <w:lang w:val="en-GB" w:eastAsia="zh-TW"/>
        </w:rPr>
        <w:t>it</w:t>
      </w:r>
      <w:r w:rsidRPr="00EE5050">
        <w:rPr>
          <w:rFonts w:eastAsia="PMingLiU"/>
          <w:lang w:val="en-GB" w:eastAsia="zh-TW"/>
        </w:rPr>
        <w:t xml:space="preserve"> can be improved, in order to enhance constitutional </w:t>
      </w:r>
      <w:r w:rsidR="00C17187" w:rsidRPr="00EE5050">
        <w:rPr>
          <w:rFonts w:eastAsia="PMingLiU"/>
          <w:lang w:val="en-GB" w:eastAsia="zh-TW"/>
        </w:rPr>
        <w:t xml:space="preserve">scrutiny and </w:t>
      </w:r>
      <w:r w:rsidRPr="00EE5050">
        <w:rPr>
          <w:rFonts w:eastAsia="PMingLiU"/>
          <w:lang w:val="en-GB" w:eastAsia="zh-TW"/>
        </w:rPr>
        <w:t xml:space="preserve">discussion in the legislative stages. </w:t>
      </w:r>
      <w:r w:rsidR="001C4862" w:rsidRPr="00EE5050">
        <w:rPr>
          <w:rFonts w:eastAsia="PMingLiU"/>
          <w:lang w:val="en-GB" w:eastAsia="zh-TW"/>
        </w:rPr>
        <w:t xml:space="preserve">Establishing a committee of this magnitude would place the </w:t>
      </w:r>
      <w:r w:rsidR="00086299">
        <w:rPr>
          <w:rFonts w:eastAsia="PMingLiU"/>
          <w:lang w:val="en-GB" w:eastAsia="zh-TW"/>
        </w:rPr>
        <w:t xml:space="preserve">Legislative </w:t>
      </w:r>
      <w:r w:rsidR="001C4862" w:rsidRPr="00EE5050">
        <w:rPr>
          <w:rFonts w:eastAsia="PMingLiU"/>
          <w:lang w:val="en-GB" w:eastAsia="zh-TW"/>
        </w:rPr>
        <w:t xml:space="preserve">Yuan amongst the forefront of legislative bodies that take constitutional </w:t>
      </w:r>
      <w:r w:rsidR="00C17187" w:rsidRPr="00EE5050">
        <w:rPr>
          <w:rFonts w:eastAsia="PMingLiU"/>
          <w:lang w:val="en-GB" w:eastAsia="zh-TW"/>
        </w:rPr>
        <w:t>scrutiny</w:t>
      </w:r>
      <w:r w:rsidR="00BE1FD0" w:rsidRPr="00EE5050">
        <w:rPr>
          <w:rFonts w:eastAsia="PMingLiU"/>
          <w:lang w:val="en-GB" w:eastAsia="zh-TW"/>
        </w:rPr>
        <w:t xml:space="preserve"> seriously and would</w:t>
      </w:r>
      <w:r w:rsidR="001C4862" w:rsidRPr="00EE5050">
        <w:rPr>
          <w:rFonts w:eastAsia="PMingLiU"/>
          <w:lang w:val="en-GB" w:eastAsia="zh-TW"/>
        </w:rPr>
        <w:t xml:space="preserve"> increase constitutional deliberat</w:t>
      </w:r>
      <w:r w:rsidR="00BA336F" w:rsidRPr="00EE5050">
        <w:rPr>
          <w:rFonts w:eastAsia="PMingLiU"/>
          <w:lang w:val="en-GB" w:eastAsia="zh-TW"/>
        </w:rPr>
        <w:t>ion in the law-making process. While Westminster has two major committees that do this (Lords Constitution Committee, Commons Political and Constitutional Reform Committee), not e</w:t>
      </w:r>
      <w:r w:rsidR="001C4862" w:rsidRPr="00EE5050">
        <w:rPr>
          <w:rFonts w:eastAsia="PMingLiU"/>
          <w:lang w:val="en-GB" w:eastAsia="zh-TW"/>
        </w:rPr>
        <w:t xml:space="preserve">ven the </w:t>
      </w:r>
      <w:r w:rsidR="00205BFC" w:rsidRPr="00EE5050">
        <w:rPr>
          <w:rFonts w:eastAsia="PMingLiU"/>
          <w:lang w:val="en-GB" w:eastAsia="zh-TW"/>
        </w:rPr>
        <w:t>long</w:t>
      </w:r>
      <w:r w:rsidR="00BA336F" w:rsidRPr="00EE5050">
        <w:rPr>
          <w:rFonts w:eastAsia="PMingLiU"/>
          <w:lang w:val="en-GB" w:eastAsia="zh-TW"/>
        </w:rPr>
        <w:t>-established US Congress has</w:t>
      </w:r>
      <w:r w:rsidR="001C4862" w:rsidRPr="00EE5050">
        <w:rPr>
          <w:rFonts w:eastAsia="PMingLiU"/>
          <w:lang w:val="en-GB" w:eastAsia="zh-TW"/>
        </w:rPr>
        <w:t xml:space="preserve"> a comparable committee that tackles constitutional issues in this manner. </w:t>
      </w:r>
    </w:p>
    <w:p w14:paraId="36B765FF" w14:textId="4C9AABAB" w:rsidR="00405762" w:rsidRPr="00EE5050" w:rsidRDefault="00446F35" w:rsidP="00A31E24">
      <w:pPr>
        <w:pStyle w:val="NoSpacing"/>
        <w:tabs>
          <w:tab w:val="left" w:pos="720"/>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A couple </w:t>
      </w:r>
      <w:r w:rsidR="00014F96">
        <w:rPr>
          <w:rFonts w:eastAsia="PMingLiU"/>
          <w:lang w:val="en-GB" w:eastAsia="zh-TW"/>
        </w:rPr>
        <w:t xml:space="preserve">of </w:t>
      </w:r>
      <w:r w:rsidRPr="00EE5050">
        <w:rPr>
          <w:rFonts w:eastAsia="PMingLiU"/>
          <w:lang w:val="en-GB" w:eastAsia="zh-TW"/>
        </w:rPr>
        <w:t>i</w:t>
      </w:r>
      <w:r w:rsidR="00405762" w:rsidRPr="00EE5050">
        <w:rPr>
          <w:rFonts w:eastAsia="PMingLiU"/>
          <w:lang w:val="en-GB" w:eastAsia="zh-TW"/>
        </w:rPr>
        <w:t xml:space="preserve">mportant </w:t>
      </w:r>
      <w:r w:rsidR="00A87F3F" w:rsidRPr="00EE5050">
        <w:rPr>
          <w:rFonts w:eastAsia="PMingLiU"/>
          <w:lang w:val="en-GB" w:eastAsia="zh-TW"/>
        </w:rPr>
        <w:t>admonition</w:t>
      </w:r>
      <w:r w:rsidRPr="00EE5050">
        <w:rPr>
          <w:rFonts w:eastAsia="PMingLiU"/>
          <w:lang w:val="en-GB" w:eastAsia="zh-TW"/>
        </w:rPr>
        <w:t>s</w:t>
      </w:r>
      <w:r w:rsidR="00405762" w:rsidRPr="00EE5050">
        <w:rPr>
          <w:rFonts w:eastAsia="PMingLiU"/>
          <w:lang w:val="en-GB" w:eastAsia="zh-TW"/>
        </w:rPr>
        <w:t xml:space="preserve"> </w:t>
      </w:r>
      <w:r w:rsidR="00A87F3F" w:rsidRPr="00EE5050">
        <w:rPr>
          <w:rFonts w:eastAsia="PMingLiU"/>
          <w:lang w:val="en-GB" w:eastAsia="zh-TW"/>
        </w:rPr>
        <w:t>for any attempts at increasing interpretative auth</w:t>
      </w:r>
      <w:r w:rsidR="00BE1FD0" w:rsidRPr="00EE5050">
        <w:rPr>
          <w:rFonts w:eastAsia="PMingLiU"/>
          <w:lang w:val="en-GB" w:eastAsia="zh-TW"/>
        </w:rPr>
        <w:t xml:space="preserve">ority in the Legislative Yuan: </w:t>
      </w:r>
      <w:r w:rsidRPr="00EE5050">
        <w:rPr>
          <w:rFonts w:eastAsia="PMingLiU"/>
          <w:lang w:val="en-GB" w:eastAsia="zh-TW"/>
        </w:rPr>
        <w:t>change often arrives slowly and respect needs to be earned</w:t>
      </w:r>
      <w:r w:rsidR="00BE1FD0" w:rsidRPr="00EE5050">
        <w:rPr>
          <w:rFonts w:eastAsia="PMingLiU"/>
          <w:lang w:val="en-GB" w:eastAsia="zh-TW"/>
        </w:rPr>
        <w:t>. I</w:t>
      </w:r>
      <w:r w:rsidR="00405762" w:rsidRPr="00EE5050">
        <w:rPr>
          <w:rFonts w:eastAsia="PMingLiU"/>
          <w:lang w:val="en-GB" w:eastAsia="zh-TW"/>
        </w:rPr>
        <w:t>f one or more of the recommendations taken above are implemented, such changes (especially those of a parliamentary committee),</w:t>
      </w:r>
      <w:r w:rsidR="00BA336F" w:rsidRPr="00EE5050">
        <w:rPr>
          <w:rStyle w:val="FootnoteReference"/>
          <w:rFonts w:eastAsia="PMingLiU"/>
          <w:lang w:val="en-GB" w:eastAsia="zh-TW"/>
        </w:rPr>
        <w:footnoteReference w:id="137"/>
      </w:r>
      <w:r w:rsidR="00405762" w:rsidRPr="00EE5050">
        <w:rPr>
          <w:rFonts w:eastAsia="PMingLiU"/>
          <w:lang w:val="en-GB" w:eastAsia="zh-TW"/>
        </w:rPr>
        <w:t xml:space="preserve"> take time to mature and grow into effective constitutional reviewers and guardians of fundamental rights.</w:t>
      </w:r>
      <w:r w:rsidR="00405762" w:rsidRPr="00EE5050">
        <w:rPr>
          <w:rStyle w:val="FootnoteReference"/>
          <w:rFonts w:eastAsia="PMingLiU"/>
          <w:lang w:val="en-GB" w:eastAsia="zh-TW"/>
        </w:rPr>
        <w:footnoteReference w:id="138"/>
      </w:r>
      <w:r w:rsidR="00405762" w:rsidRPr="00EE5050">
        <w:rPr>
          <w:rFonts w:eastAsia="PMingLiU"/>
          <w:lang w:val="en-GB" w:eastAsia="zh-TW"/>
        </w:rPr>
        <w:t xml:space="preserve"> </w:t>
      </w:r>
      <w:r w:rsidR="0064760C" w:rsidRPr="00EE5050">
        <w:rPr>
          <w:rFonts w:eastAsia="PMingLiU"/>
          <w:lang w:val="en-GB" w:eastAsia="zh-TW"/>
        </w:rPr>
        <w:t>However</w:t>
      </w:r>
      <w:r w:rsidR="00405762" w:rsidRPr="00EE5050">
        <w:rPr>
          <w:rFonts w:eastAsia="PMingLiU"/>
          <w:lang w:val="en-GB" w:eastAsia="zh-TW"/>
        </w:rPr>
        <w:t xml:space="preserve">, </w:t>
      </w:r>
      <w:r w:rsidR="00BE1FD0" w:rsidRPr="00EE5050">
        <w:rPr>
          <w:rFonts w:eastAsia="PMingLiU"/>
          <w:lang w:val="en-GB" w:eastAsia="zh-TW"/>
        </w:rPr>
        <w:t xml:space="preserve">it should not be forgotten that </w:t>
      </w:r>
      <w:r w:rsidR="00405762" w:rsidRPr="00EE5050">
        <w:rPr>
          <w:rFonts w:eastAsia="PMingLiU"/>
          <w:lang w:val="en-GB" w:eastAsia="zh-TW"/>
        </w:rPr>
        <w:t xml:space="preserve">constitutional change is possible and frequently occurs. Just a decade ago in the UK, the Executive used to be known as the branch that protected legal and fundamental rights in the legislative process. Now it is </w:t>
      </w:r>
      <w:r w:rsidR="0049374D">
        <w:rPr>
          <w:rFonts w:eastAsia="PMingLiU"/>
          <w:lang w:val="en-GB" w:eastAsia="zh-TW"/>
        </w:rPr>
        <w:t>primarily</w:t>
      </w:r>
      <w:r w:rsidR="0049374D" w:rsidRPr="00EE5050">
        <w:rPr>
          <w:rFonts w:eastAsia="PMingLiU"/>
          <w:lang w:val="en-GB" w:eastAsia="zh-TW"/>
        </w:rPr>
        <w:t xml:space="preserve"> </w:t>
      </w:r>
      <w:r w:rsidR="00405762" w:rsidRPr="00EE5050">
        <w:rPr>
          <w:rFonts w:eastAsia="PMingLiU"/>
          <w:lang w:val="en-GB" w:eastAsia="zh-TW"/>
        </w:rPr>
        <w:t xml:space="preserve">Parliament that </w:t>
      </w:r>
      <w:r w:rsidR="00405762" w:rsidRPr="00EE5050">
        <w:rPr>
          <w:rFonts w:eastAsia="PMingLiU"/>
          <w:lang w:val="en-GB" w:eastAsia="zh-TW"/>
        </w:rPr>
        <w:lastRenderedPageBreak/>
        <w:t xml:space="preserve">does so, primarily because </w:t>
      </w:r>
      <w:r w:rsidR="00BE1FD0" w:rsidRPr="00EE5050">
        <w:rPr>
          <w:rFonts w:eastAsia="PMingLiU"/>
          <w:lang w:val="en-GB" w:eastAsia="zh-TW"/>
        </w:rPr>
        <w:t>of the establishment of the J</w:t>
      </w:r>
      <w:r w:rsidR="00086299">
        <w:rPr>
          <w:rFonts w:eastAsia="PMingLiU"/>
          <w:lang w:val="en-GB" w:eastAsia="zh-TW"/>
        </w:rPr>
        <w:t>CHR</w:t>
      </w:r>
      <w:r w:rsidR="00405762" w:rsidRPr="00EE5050">
        <w:rPr>
          <w:rFonts w:eastAsia="PMingLiU"/>
          <w:lang w:val="en-GB" w:eastAsia="zh-TW"/>
        </w:rPr>
        <w:t xml:space="preserve"> and th</w:t>
      </w:r>
      <w:r w:rsidR="00966CA8" w:rsidRPr="00EE5050">
        <w:rPr>
          <w:rFonts w:eastAsia="PMingLiU"/>
          <w:lang w:val="en-GB" w:eastAsia="zh-TW"/>
        </w:rPr>
        <w:t>e Lords Constitution Committee.</w:t>
      </w:r>
      <w:r w:rsidR="00966CA8" w:rsidRPr="00EE5050">
        <w:rPr>
          <w:rStyle w:val="FootnoteReference"/>
          <w:rFonts w:eastAsia="PMingLiU"/>
          <w:lang w:val="en-GB" w:eastAsia="zh-TW"/>
        </w:rPr>
        <w:footnoteReference w:id="139"/>
      </w:r>
    </w:p>
    <w:p w14:paraId="34D0BBDB" w14:textId="77777777" w:rsidR="00C17187" w:rsidRPr="00EE5050" w:rsidRDefault="00C17187" w:rsidP="002049E9">
      <w:pPr>
        <w:pStyle w:val="NoSpacing"/>
        <w:tabs>
          <w:tab w:val="left" w:pos="993"/>
          <w:tab w:val="left" w:pos="1440"/>
        </w:tabs>
        <w:spacing w:line="480" w:lineRule="auto"/>
        <w:ind w:firstLineChars="88" w:firstLine="211"/>
        <w:jc w:val="both"/>
        <w:rPr>
          <w:rFonts w:eastAsia="PMingLiU"/>
          <w:lang w:val="en-GB" w:eastAsia="zh-TW"/>
        </w:rPr>
      </w:pPr>
    </w:p>
    <w:p w14:paraId="46C3A0B1" w14:textId="77777777" w:rsidR="00BD7E58" w:rsidRPr="00277352" w:rsidRDefault="00A90790" w:rsidP="00277352">
      <w:pPr>
        <w:pStyle w:val="NoSpacing"/>
        <w:tabs>
          <w:tab w:val="left" w:pos="1560"/>
        </w:tabs>
        <w:jc w:val="both"/>
        <w:rPr>
          <w:rFonts w:eastAsia="PMingLiU"/>
          <w:b/>
          <w:i/>
          <w:sz w:val="28"/>
          <w:lang w:val="en-GB" w:eastAsia="zh-TW"/>
        </w:rPr>
      </w:pPr>
      <w:r w:rsidRPr="00277352">
        <w:rPr>
          <w:rFonts w:eastAsia="PMingLiU"/>
          <w:b/>
          <w:i/>
          <w:sz w:val="28"/>
          <w:lang w:val="en-GB" w:eastAsia="zh-TW"/>
        </w:rPr>
        <w:t>B.  </w:t>
      </w:r>
      <w:r w:rsidR="005A0628" w:rsidRPr="00277352">
        <w:rPr>
          <w:rFonts w:eastAsia="PMingLiU"/>
          <w:b/>
          <w:i/>
          <w:sz w:val="28"/>
          <w:lang w:val="en-GB" w:eastAsia="zh-TW"/>
        </w:rPr>
        <w:t>Constitutional Court a</w:t>
      </w:r>
      <w:r w:rsidR="00BD7E58" w:rsidRPr="00277352">
        <w:rPr>
          <w:rFonts w:eastAsia="PMingLiU"/>
          <w:b/>
          <w:i/>
          <w:sz w:val="28"/>
          <w:lang w:val="en-GB" w:eastAsia="zh-TW"/>
        </w:rPr>
        <w:t>ppointments</w:t>
      </w:r>
      <w:r w:rsidR="00681A57" w:rsidRPr="00277352">
        <w:rPr>
          <w:rFonts w:eastAsia="PMingLiU"/>
          <w:b/>
          <w:i/>
          <w:sz w:val="28"/>
          <w:lang w:val="en-GB" w:eastAsia="zh-TW"/>
        </w:rPr>
        <w:t xml:space="preserve"> and formal a</w:t>
      </w:r>
      <w:r w:rsidR="00D530A6" w:rsidRPr="00277352">
        <w:rPr>
          <w:rFonts w:eastAsia="PMingLiU"/>
          <w:b/>
          <w:i/>
          <w:sz w:val="28"/>
          <w:lang w:val="en-GB" w:eastAsia="zh-TW"/>
        </w:rPr>
        <w:t xml:space="preserve">cknowledgement of </w:t>
      </w:r>
      <w:r w:rsidR="00681A57" w:rsidRPr="00277352">
        <w:rPr>
          <w:rFonts w:eastAsia="PMingLiU"/>
          <w:b/>
          <w:i/>
          <w:sz w:val="28"/>
          <w:lang w:val="en-GB" w:eastAsia="zh-TW"/>
        </w:rPr>
        <w:t>legislative a</w:t>
      </w:r>
      <w:r w:rsidR="00E65461" w:rsidRPr="00277352">
        <w:rPr>
          <w:rFonts w:eastAsia="PMingLiU"/>
          <w:b/>
          <w:i/>
          <w:sz w:val="28"/>
          <w:lang w:val="en-GB" w:eastAsia="zh-TW"/>
        </w:rPr>
        <w:t>uthority</w:t>
      </w:r>
    </w:p>
    <w:p w14:paraId="59F881DD" w14:textId="77777777" w:rsidR="00133603" w:rsidRPr="00EE5050" w:rsidRDefault="00133603" w:rsidP="00F55A3C">
      <w:pPr>
        <w:pStyle w:val="NoSpacing"/>
        <w:tabs>
          <w:tab w:val="left" w:pos="993"/>
          <w:tab w:val="left" w:pos="1440"/>
        </w:tabs>
        <w:spacing w:line="480" w:lineRule="auto"/>
        <w:jc w:val="both"/>
        <w:rPr>
          <w:rFonts w:eastAsia="PMingLiU"/>
          <w:lang w:val="en-GB" w:eastAsia="zh-TW"/>
        </w:rPr>
      </w:pPr>
    </w:p>
    <w:p w14:paraId="2D9AD3C7" w14:textId="77777777" w:rsidR="00BD1145" w:rsidRPr="00EE5050" w:rsidRDefault="0097470B" w:rsidP="00F55A3C">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Finally</w:t>
      </w:r>
      <w:r w:rsidR="001C4862" w:rsidRPr="00EE5050">
        <w:rPr>
          <w:rFonts w:eastAsia="PMingLiU"/>
          <w:lang w:val="en-GB" w:eastAsia="zh-TW"/>
        </w:rPr>
        <w:t>,</w:t>
      </w:r>
      <w:r w:rsidR="00E01E82" w:rsidRPr="00EE5050">
        <w:rPr>
          <w:rFonts w:eastAsia="PMingLiU"/>
          <w:lang w:val="en-GB" w:eastAsia="zh-TW"/>
        </w:rPr>
        <w:t xml:space="preserve"> there </w:t>
      </w:r>
      <w:r w:rsidR="00200706" w:rsidRPr="00EE5050">
        <w:rPr>
          <w:rFonts w:eastAsia="PMingLiU"/>
          <w:lang w:val="en-GB" w:eastAsia="zh-TW"/>
        </w:rPr>
        <w:t>are</w:t>
      </w:r>
      <w:r w:rsidR="00E01E82" w:rsidRPr="00EE5050">
        <w:rPr>
          <w:rFonts w:eastAsia="PMingLiU"/>
          <w:lang w:val="en-GB" w:eastAsia="zh-TW"/>
        </w:rPr>
        <w:t xml:space="preserve"> the issue</w:t>
      </w:r>
      <w:r w:rsidR="00200706" w:rsidRPr="00EE5050">
        <w:rPr>
          <w:rFonts w:eastAsia="PMingLiU"/>
          <w:lang w:val="en-GB" w:eastAsia="zh-TW"/>
        </w:rPr>
        <w:t>s</w:t>
      </w:r>
      <w:r w:rsidR="00E01E82" w:rsidRPr="00EE5050">
        <w:rPr>
          <w:rFonts w:eastAsia="PMingLiU"/>
          <w:lang w:val="en-GB" w:eastAsia="zh-TW"/>
        </w:rPr>
        <w:t xml:space="preserve"> of Constitutional Court appointments</w:t>
      </w:r>
      <w:r w:rsidR="006E01AC" w:rsidRPr="00EE5050">
        <w:rPr>
          <w:rStyle w:val="FootnoteReference"/>
          <w:rFonts w:eastAsia="PMingLiU"/>
          <w:lang w:val="en-GB" w:eastAsia="zh-TW"/>
        </w:rPr>
        <w:footnoteReference w:id="140"/>
      </w:r>
      <w:r w:rsidR="00E65461" w:rsidRPr="00EE5050">
        <w:rPr>
          <w:rFonts w:eastAsia="PMingLiU"/>
          <w:lang w:val="en-GB" w:eastAsia="zh-TW"/>
        </w:rPr>
        <w:t xml:space="preserve"> and formal acknowledgement of Legislative Yuan authority</w:t>
      </w:r>
      <w:r w:rsidR="00E01E82" w:rsidRPr="00EE5050">
        <w:rPr>
          <w:rFonts w:eastAsia="PMingLiU"/>
          <w:lang w:val="en-GB" w:eastAsia="zh-TW"/>
        </w:rPr>
        <w:t xml:space="preserve">. </w:t>
      </w:r>
      <w:r w:rsidR="003E0544" w:rsidRPr="00EE5050">
        <w:rPr>
          <w:rFonts w:eastAsia="PMingLiU"/>
          <w:lang w:val="en-GB" w:eastAsia="zh-TW"/>
        </w:rPr>
        <w:t>While the nomination criteria</w:t>
      </w:r>
      <w:r w:rsidR="007933DC" w:rsidRPr="00EE5050">
        <w:rPr>
          <w:rFonts w:eastAsia="PMingLiU"/>
          <w:lang w:val="en-GB" w:eastAsia="zh-TW"/>
        </w:rPr>
        <w:t xml:space="preserve"> was </w:t>
      </w:r>
      <w:r w:rsidR="00C53F78" w:rsidRPr="00EE5050">
        <w:rPr>
          <w:rFonts w:eastAsia="PMingLiU"/>
          <w:lang w:val="en-GB" w:eastAsia="zh-TW"/>
        </w:rPr>
        <w:t>recently changed (</w:t>
      </w:r>
      <w:r w:rsidR="003E0544" w:rsidRPr="00EE5050">
        <w:rPr>
          <w:rFonts w:eastAsia="PMingLiU"/>
          <w:lang w:val="en-GB" w:eastAsia="zh-TW"/>
        </w:rPr>
        <w:t xml:space="preserve">4 February </w:t>
      </w:r>
      <w:r w:rsidR="007933DC" w:rsidRPr="00EE5050">
        <w:rPr>
          <w:rFonts w:eastAsia="PMingLiU"/>
          <w:lang w:val="en-GB" w:eastAsia="zh-TW"/>
        </w:rPr>
        <w:t>2015</w:t>
      </w:r>
      <w:r w:rsidR="00C53F78" w:rsidRPr="00EE5050">
        <w:rPr>
          <w:rFonts w:eastAsia="PMingLiU"/>
          <w:lang w:val="en-GB" w:eastAsia="zh-TW"/>
        </w:rPr>
        <w:t>)</w:t>
      </w:r>
      <w:r w:rsidR="007933DC" w:rsidRPr="00EE5050">
        <w:rPr>
          <w:rFonts w:eastAsia="PMingLiU"/>
          <w:lang w:val="en-GB" w:eastAsia="zh-TW"/>
        </w:rPr>
        <w:t>, t</w:t>
      </w:r>
      <w:r w:rsidR="00BD1145" w:rsidRPr="00EE5050">
        <w:rPr>
          <w:rFonts w:eastAsia="PMingLiU"/>
          <w:lang w:val="en-GB" w:eastAsia="zh-TW"/>
        </w:rPr>
        <w:t xml:space="preserve">he </w:t>
      </w:r>
      <w:r w:rsidR="00BE3DD6" w:rsidRPr="00EE5050">
        <w:rPr>
          <w:rFonts w:eastAsia="PMingLiU"/>
          <w:lang w:val="en-GB" w:eastAsia="zh-TW"/>
        </w:rPr>
        <w:t xml:space="preserve">second </w:t>
      </w:r>
      <w:r w:rsidR="004F6C30" w:rsidRPr="00EE5050">
        <w:rPr>
          <w:rFonts w:eastAsia="PMingLiU"/>
          <w:lang w:val="en-GB" w:eastAsia="zh-TW"/>
        </w:rPr>
        <w:t>appointment criterion</w:t>
      </w:r>
      <w:r w:rsidR="00BD1145" w:rsidRPr="00EE5050">
        <w:rPr>
          <w:rFonts w:eastAsia="PMingLiU"/>
          <w:lang w:val="en-GB" w:eastAsia="zh-TW"/>
        </w:rPr>
        <w:t xml:space="preserve"> for justices on the Constitutional Court </w:t>
      </w:r>
      <w:r w:rsidR="007933DC" w:rsidRPr="00EE5050">
        <w:rPr>
          <w:rFonts w:eastAsia="PMingLiU"/>
          <w:lang w:val="en-GB" w:eastAsia="zh-TW"/>
        </w:rPr>
        <w:t>previously listed</w:t>
      </w:r>
      <w:r w:rsidR="00BD1145" w:rsidRPr="00EE5050">
        <w:rPr>
          <w:rFonts w:eastAsia="PMingLiU"/>
          <w:lang w:val="en-GB" w:eastAsia="zh-TW"/>
        </w:rPr>
        <w:t xml:space="preserve"> </w:t>
      </w:r>
      <w:r w:rsidR="00C927E7" w:rsidRPr="00EE5050">
        <w:rPr>
          <w:rFonts w:eastAsia="PMingLiU"/>
          <w:lang w:val="en-GB" w:eastAsia="zh-TW"/>
        </w:rPr>
        <w:t xml:space="preserve">nine years of </w:t>
      </w:r>
      <w:r w:rsidR="00BD1145" w:rsidRPr="00EE5050">
        <w:rPr>
          <w:rFonts w:eastAsia="PMingLiU"/>
          <w:lang w:val="en-GB" w:eastAsia="zh-TW"/>
        </w:rPr>
        <w:t>Legislative Yuan membership as one</w:t>
      </w:r>
      <w:r w:rsidR="00C927E7" w:rsidRPr="00EE5050">
        <w:rPr>
          <w:rFonts w:eastAsia="PMingLiU"/>
          <w:lang w:val="en-GB" w:eastAsia="zh-TW"/>
        </w:rPr>
        <w:t xml:space="preserve"> possible avenue of becoming a justice</w:t>
      </w:r>
      <w:r w:rsidR="00E65461" w:rsidRPr="00EE5050">
        <w:rPr>
          <w:rFonts w:eastAsia="PMingLiU"/>
          <w:lang w:val="en-GB" w:eastAsia="zh-TW"/>
        </w:rPr>
        <w:t>.</w:t>
      </w:r>
      <w:r w:rsidR="00C35250" w:rsidRPr="00EE5050">
        <w:rPr>
          <w:rStyle w:val="FootnoteReference"/>
          <w:rFonts w:eastAsia="PMingLiU"/>
          <w:lang w:val="en-GB" w:eastAsia="zh-TW"/>
        </w:rPr>
        <w:footnoteReference w:id="141"/>
      </w:r>
      <w:r w:rsidR="00E65461" w:rsidRPr="00EE5050">
        <w:rPr>
          <w:rFonts w:eastAsia="PMingLiU"/>
          <w:lang w:val="en-GB" w:eastAsia="zh-TW"/>
        </w:rPr>
        <w:t xml:space="preserve"> </w:t>
      </w:r>
      <w:r w:rsidR="007933DC" w:rsidRPr="00EE5050">
        <w:rPr>
          <w:rFonts w:eastAsia="PMingLiU"/>
          <w:lang w:val="en-GB" w:eastAsia="zh-TW"/>
        </w:rPr>
        <w:t xml:space="preserve">Even though </w:t>
      </w:r>
      <w:r w:rsidR="00C53F78" w:rsidRPr="00EE5050">
        <w:rPr>
          <w:rFonts w:eastAsia="PMingLiU"/>
          <w:lang w:val="en-GB" w:eastAsia="zh-TW"/>
        </w:rPr>
        <w:t>it</w:t>
      </w:r>
      <w:r w:rsidR="007933DC" w:rsidRPr="00EE5050">
        <w:rPr>
          <w:rFonts w:eastAsia="PMingLiU"/>
          <w:lang w:val="en-GB" w:eastAsia="zh-TW"/>
        </w:rPr>
        <w:t xml:space="preserve"> was seldom used throughout the years</w:t>
      </w:r>
      <w:r w:rsidR="0089780F">
        <w:rPr>
          <w:rFonts w:eastAsia="PMingLiU"/>
          <w:lang w:val="en-GB" w:eastAsia="zh-TW"/>
        </w:rPr>
        <w:t>,</w:t>
      </w:r>
      <w:r w:rsidR="00D3256E" w:rsidRPr="00EE5050">
        <w:rPr>
          <w:rStyle w:val="FootnoteReference"/>
          <w:rFonts w:eastAsia="PMingLiU"/>
          <w:lang w:val="en-GB" w:eastAsia="zh-TW"/>
        </w:rPr>
        <w:footnoteReference w:id="142"/>
      </w:r>
      <w:r w:rsidR="007933DC" w:rsidRPr="00EE5050">
        <w:rPr>
          <w:rFonts w:eastAsia="PMingLiU"/>
          <w:lang w:val="en-GB" w:eastAsia="zh-TW"/>
        </w:rPr>
        <w:t xml:space="preserve"> and subsequently repealed, </w:t>
      </w:r>
      <w:r w:rsidR="00C53F78" w:rsidRPr="00EE5050">
        <w:rPr>
          <w:rFonts w:eastAsia="PMingLiU"/>
          <w:lang w:val="en-GB" w:eastAsia="zh-TW"/>
        </w:rPr>
        <w:t xml:space="preserve">the fact this criterion was present </w:t>
      </w:r>
      <w:r w:rsidR="003E0544" w:rsidRPr="00EE5050">
        <w:rPr>
          <w:rFonts w:eastAsia="PMingLiU"/>
          <w:lang w:val="en-GB" w:eastAsia="zh-TW"/>
        </w:rPr>
        <w:t xml:space="preserve">since 1947 </w:t>
      </w:r>
      <w:r w:rsidR="009F2AF6" w:rsidRPr="00EE5050">
        <w:rPr>
          <w:rFonts w:eastAsia="PMingLiU"/>
          <w:lang w:val="en-GB" w:eastAsia="zh-TW"/>
        </w:rPr>
        <w:t xml:space="preserve">provides </w:t>
      </w:r>
      <w:r w:rsidR="00C53F78" w:rsidRPr="00EE5050">
        <w:rPr>
          <w:rFonts w:eastAsia="PMingLiU"/>
          <w:lang w:val="en-GB" w:eastAsia="zh-TW"/>
        </w:rPr>
        <w:t>relatively</w:t>
      </w:r>
      <w:r w:rsidR="00E05C00" w:rsidRPr="00EE5050">
        <w:rPr>
          <w:rFonts w:eastAsia="PMingLiU"/>
          <w:lang w:val="en-GB" w:eastAsia="zh-TW"/>
        </w:rPr>
        <w:t xml:space="preserve"> </w:t>
      </w:r>
      <w:r w:rsidR="009F2AF6" w:rsidRPr="00EE5050">
        <w:rPr>
          <w:rFonts w:eastAsia="PMingLiU"/>
          <w:lang w:val="en-GB" w:eastAsia="zh-TW"/>
        </w:rPr>
        <w:t>solid footing</w:t>
      </w:r>
      <w:r w:rsidR="00BE7815" w:rsidRPr="00EE5050">
        <w:rPr>
          <w:rFonts w:eastAsia="PMingLiU"/>
          <w:lang w:val="en-GB" w:eastAsia="zh-TW"/>
        </w:rPr>
        <w:t xml:space="preserve"> that </w:t>
      </w:r>
      <w:r w:rsidR="00F55A3C" w:rsidRPr="00EE5050">
        <w:rPr>
          <w:rFonts w:eastAsia="PMingLiU"/>
          <w:lang w:val="en-GB" w:eastAsia="zh-TW"/>
        </w:rPr>
        <w:t xml:space="preserve">experienced </w:t>
      </w:r>
      <w:r w:rsidR="00BE7815" w:rsidRPr="00EE5050">
        <w:rPr>
          <w:rFonts w:eastAsia="PMingLiU"/>
          <w:lang w:val="en-GB" w:eastAsia="zh-TW"/>
        </w:rPr>
        <w:t>membe</w:t>
      </w:r>
      <w:r w:rsidR="00205BFC" w:rsidRPr="00EE5050">
        <w:rPr>
          <w:rFonts w:eastAsia="PMingLiU"/>
          <w:lang w:val="en-GB" w:eastAsia="zh-TW"/>
        </w:rPr>
        <w:t>rs of the legislature</w:t>
      </w:r>
      <w:r w:rsidR="00C927E7" w:rsidRPr="00EE5050">
        <w:rPr>
          <w:rFonts w:eastAsia="PMingLiU"/>
          <w:lang w:val="en-GB" w:eastAsia="zh-TW"/>
        </w:rPr>
        <w:t xml:space="preserve">, and </w:t>
      </w:r>
      <w:r w:rsidR="00C35250" w:rsidRPr="00EE5050">
        <w:rPr>
          <w:rFonts w:eastAsia="PMingLiU"/>
          <w:lang w:val="en-GB" w:eastAsia="zh-TW"/>
        </w:rPr>
        <w:t xml:space="preserve">also the institution itself, </w:t>
      </w:r>
      <w:r w:rsidR="00F55A3C" w:rsidRPr="00EE5050">
        <w:rPr>
          <w:rFonts w:eastAsia="PMingLiU"/>
          <w:lang w:val="en-GB" w:eastAsia="zh-TW"/>
        </w:rPr>
        <w:t>possess</w:t>
      </w:r>
      <w:r w:rsidR="00BE7815" w:rsidRPr="00EE5050">
        <w:rPr>
          <w:rFonts w:eastAsia="PMingLiU"/>
          <w:lang w:val="en-GB" w:eastAsia="zh-TW"/>
        </w:rPr>
        <w:t xml:space="preserve"> at least some constitutional in</w:t>
      </w:r>
      <w:r w:rsidR="00BF2D3A" w:rsidRPr="00EE5050">
        <w:rPr>
          <w:rFonts w:eastAsia="PMingLiU"/>
          <w:lang w:val="en-GB" w:eastAsia="zh-TW"/>
        </w:rPr>
        <w:t>terpretative authority.</w:t>
      </w:r>
      <w:r w:rsidR="001C4862" w:rsidRPr="00EE5050">
        <w:rPr>
          <w:rFonts w:eastAsia="PMingLiU"/>
          <w:lang w:val="en-GB" w:eastAsia="zh-TW"/>
        </w:rPr>
        <w:t xml:space="preserve"> </w:t>
      </w:r>
    </w:p>
    <w:p w14:paraId="27BB40A0" w14:textId="5E0D6487" w:rsidR="000A0FCC" w:rsidRPr="00EE5050" w:rsidRDefault="00E05C00"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T</w:t>
      </w:r>
      <w:r w:rsidR="000A0FCC" w:rsidRPr="00EE5050">
        <w:rPr>
          <w:rFonts w:eastAsia="PMingLiU"/>
          <w:lang w:val="en-GB" w:eastAsia="zh-TW"/>
        </w:rPr>
        <w:t xml:space="preserve">here is another, less formative, avenue for seasoned politicians with scholarly records to ascend to the Court. </w:t>
      </w:r>
      <w:r w:rsidR="000A0FCC" w:rsidRPr="00EC37B8">
        <w:rPr>
          <w:rFonts w:eastAsia="PMingLiU"/>
          <w:lang w:val="en-GB" w:eastAsia="zh-TW"/>
        </w:rPr>
        <w:t xml:space="preserve">Section </w:t>
      </w:r>
      <w:r w:rsidR="00D3256E" w:rsidRPr="00EC37B8">
        <w:rPr>
          <w:rFonts w:eastAsia="PMingLiU"/>
          <w:lang w:val="en-GB" w:eastAsia="zh-TW"/>
        </w:rPr>
        <w:t>six</w:t>
      </w:r>
      <w:r w:rsidR="000A0FCC" w:rsidRPr="00EE5050">
        <w:rPr>
          <w:rFonts w:eastAsia="PMingLiU"/>
          <w:lang w:val="en-GB" w:eastAsia="zh-TW"/>
        </w:rPr>
        <w:t xml:space="preserve"> states that those with notable scholarly achievement in legal research and with political experience may also become justices.</w:t>
      </w:r>
      <w:r w:rsidR="005E0539" w:rsidRPr="00EE5050">
        <w:rPr>
          <w:rStyle w:val="FootnoteReference"/>
          <w:rFonts w:eastAsia="PMingLiU"/>
          <w:lang w:val="en-GB" w:eastAsia="zh-TW"/>
        </w:rPr>
        <w:footnoteReference w:id="143"/>
      </w:r>
      <w:r w:rsidR="000A0FCC" w:rsidRPr="00EE5050">
        <w:rPr>
          <w:rFonts w:eastAsia="PMingLiU"/>
          <w:lang w:val="en-GB" w:eastAsia="zh-TW"/>
        </w:rPr>
        <w:t xml:space="preserve"> Nominations under </w:t>
      </w:r>
      <w:r w:rsidR="000A0FCC" w:rsidRPr="00EC37B8">
        <w:rPr>
          <w:rFonts w:eastAsia="PMingLiU"/>
          <w:lang w:val="en-GB" w:eastAsia="zh-TW"/>
        </w:rPr>
        <w:t>this section have</w:t>
      </w:r>
      <w:r w:rsidR="000A0FCC" w:rsidRPr="00EE5050">
        <w:rPr>
          <w:rFonts w:eastAsia="PMingLiU"/>
          <w:lang w:val="en-GB" w:eastAsia="zh-TW"/>
        </w:rPr>
        <w:t xml:space="preserve"> produced </w:t>
      </w:r>
      <w:r w:rsidR="004E3C98">
        <w:rPr>
          <w:rFonts w:eastAsia="PMingLiU"/>
          <w:lang w:val="en-GB" w:eastAsia="zh-TW"/>
        </w:rPr>
        <w:t>17</w:t>
      </w:r>
      <w:r w:rsidR="004E3C98" w:rsidRPr="00EE5050">
        <w:rPr>
          <w:rFonts w:eastAsia="PMingLiU"/>
          <w:lang w:val="en-GB" w:eastAsia="zh-TW"/>
        </w:rPr>
        <w:t xml:space="preserve"> </w:t>
      </w:r>
      <w:r w:rsidR="000A0FCC" w:rsidRPr="00EE5050">
        <w:rPr>
          <w:rFonts w:eastAsia="PMingLiU"/>
          <w:lang w:val="en-GB" w:eastAsia="zh-TW"/>
        </w:rPr>
        <w:t>justices</w:t>
      </w:r>
      <w:r w:rsidR="008B4632" w:rsidRPr="00EE5050">
        <w:rPr>
          <w:rFonts w:eastAsia="PMingLiU"/>
          <w:lang w:val="en-GB" w:eastAsia="zh-TW"/>
        </w:rPr>
        <w:t xml:space="preserve"> since 1985</w:t>
      </w:r>
      <w:r w:rsidR="000A0FCC" w:rsidRPr="00EE5050">
        <w:rPr>
          <w:rFonts w:eastAsia="PMingLiU"/>
          <w:lang w:val="en-GB" w:eastAsia="zh-TW"/>
        </w:rPr>
        <w:t>,</w:t>
      </w:r>
      <w:r w:rsidR="000A0FCC" w:rsidRPr="00EE5050">
        <w:rPr>
          <w:rStyle w:val="FootnoteReference"/>
          <w:rFonts w:eastAsia="PMingLiU"/>
          <w:lang w:val="en-GB" w:eastAsia="zh-TW"/>
        </w:rPr>
        <w:footnoteReference w:id="144"/>
      </w:r>
      <w:r w:rsidR="009F2AF6" w:rsidRPr="00EE5050">
        <w:rPr>
          <w:rFonts w:eastAsia="PMingLiU"/>
          <w:lang w:val="en-GB" w:eastAsia="zh-TW"/>
        </w:rPr>
        <w:t xml:space="preserve"> although </w:t>
      </w:r>
      <w:r w:rsidR="000A0FCC" w:rsidRPr="00EE5050">
        <w:rPr>
          <w:rFonts w:eastAsia="PMingLiU"/>
          <w:lang w:val="en-GB" w:eastAsia="zh-TW"/>
        </w:rPr>
        <w:t>the political expe</w:t>
      </w:r>
      <w:r w:rsidR="00CF601D" w:rsidRPr="00EE5050">
        <w:rPr>
          <w:rFonts w:eastAsia="PMingLiU"/>
          <w:lang w:val="en-GB" w:eastAsia="zh-TW"/>
        </w:rPr>
        <w:t xml:space="preserve">rience for many of these candidates usually amounted to being government </w:t>
      </w:r>
      <w:r w:rsidR="00CF601D" w:rsidRPr="00EE5050">
        <w:rPr>
          <w:rFonts w:eastAsia="PMingLiU"/>
          <w:lang w:val="en-GB" w:eastAsia="zh-TW"/>
        </w:rPr>
        <w:lastRenderedPageBreak/>
        <w:t xml:space="preserve">officials of some sort and not democratically elected members of a </w:t>
      </w:r>
      <w:r w:rsidR="005E0539" w:rsidRPr="00EE5050">
        <w:rPr>
          <w:rFonts w:eastAsia="PMingLiU"/>
          <w:lang w:val="en-GB" w:eastAsia="zh-TW"/>
        </w:rPr>
        <w:t>legislative</w:t>
      </w:r>
      <w:r w:rsidR="00CF601D" w:rsidRPr="00EE5050">
        <w:rPr>
          <w:rFonts w:eastAsia="PMingLiU"/>
          <w:lang w:val="en-GB" w:eastAsia="zh-TW"/>
        </w:rPr>
        <w:t xml:space="preserve"> body</w:t>
      </w:r>
      <w:r w:rsidR="000A0FCC" w:rsidRPr="00EE5050">
        <w:rPr>
          <w:rFonts w:eastAsia="PMingLiU"/>
          <w:lang w:val="en-GB" w:eastAsia="zh-TW"/>
        </w:rPr>
        <w:t xml:space="preserve">. Nevertheless, it would be wise for future candidates </w:t>
      </w:r>
      <w:r w:rsidR="008B4632" w:rsidRPr="00EE5050">
        <w:rPr>
          <w:rFonts w:eastAsia="PMingLiU"/>
          <w:lang w:val="en-GB" w:eastAsia="zh-TW"/>
        </w:rPr>
        <w:t>with significant scholarly achievement and elected political experience (</w:t>
      </w:r>
      <w:r w:rsidR="00F3702A" w:rsidRPr="00363292">
        <w:rPr>
          <w:rFonts w:eastAsia="PMingLiU"/>
          <w:lang w:val="en-GB" w:eastAsia="zh-TW"/>
        </w:rPr>
        <w:t>that is</w:t>
      </w:r>
      <w:r w:rsidR="008B4632" w:rsidRPr="00EE5050">
        <w:rPr>
          <w:rFonts w:eastAsia="PMingLiU"/>
          <w:lang w:val="en-GB" w:eastAsia="zh-TW"/>
        </w:rPr>
        <w:t xml:space="preserve">, </w:t>
      </w:r>
      <w:r w:rsidR="00CF601D" w:rsidRPr="00EE5050">
        <w:rPr>
          <w:rFonts w:eastAsia="PMingLiU"/>
          <w:lang w:val="en-GB" w:eastAsia="zh-TW"/>
        </w:rPr>
        <w:t xml:space="preserve">Legislative Yuan members, </w:t>
      </w:r>
      <w:r w:rsidR="008B4632" w:rsidRPr="00EE5050">
        <w:rPr>
          <w:rFonts w:eastAsia="PMingLiU"/>
          <w:lang w:val="en-GB" w:eastAsia="zh-TW"/>
        </w:rPr>
        <w:t>mayors</w:t>
      </w:r>
      <w:r w:rsidR="006E01AC" w:rsidRPr="00EE5050">
        <w:rPr>
          <w:rFonts w:eastAsia="PMingLiU"/>
          <w:lang w:val="en-GB" w:eastAsia="zh-TW"/>
        </w:rPr>
        <w:t xml:space="preserve">, city council members </w:t>
      </w:r>
      <w:proofErr w:type="spellStart"/>
      <w:r w:rsidR="006E01AC" w:rsidRPr="00EE5050">
        <w:rPr>
          <w:rFonts w:eastAsia="PMingLiU"/>
          <w:lang w:val="en-GB" w:eastAsia="zh-TW"/>
        </w:rPr>
        <w:t>etc</w:t>
      </w:r>
      <w:proofErr w:type="spellEnd"/>
      <w:r w:rsidR="006E01AC" w:rsidRPr="00EE5050">
        <w:rPr>
          <w:rFonts w:eastAsia="PMingLiU"/>
          <w:lang w:val="en-GB" w:eastAsia="zh-TW"/>
        </w:rPr>
        <w:t xml:space="preserve">), to receive nominations to the Court. </w:t>
      </w:r>
    </w:p>
    <w:p w14:paraId="55AB10F7" w14:textId="0000B510" w:rsidR="003257BF" w:rsidRPr="00EE5050" w:rsidRDefault="00BE3DD6"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G</w:t>
      </w:r>
      <w:r w:rsidR="00E421F1" w:rsidRPr="00EE5050">
        <w:rPr>
          <w:rFonts w:eastAsia="PMingLiU"/>
          <w:lang w:val="en-GB" w:eastAsia="zh-TW"/>
        </w:rPr>
        <w:t xml:space="preserve">iven the importance of </w:t>
      </w:r>
      <w:r w:rsidR="00C927E7" w:rsidRPr="00EE5050">
        <w:rPr>
          <w:rFonts w:eastAsia="PMingLiU"/>
          <w:lang w:val="en-GB" w:eastAsia="zh-TW"/>
        </w:rPr>
        <w:t xml:space="preserve">the </w:t>
      </w:r>
      <w:r w:rsidR="00D243EC" w:rsidRPr="00EC37B8">
        <w:rPr>
          <w:rFonts w:eastAsia="PMingLiU"/>
          <w:lang w:val="en-GB" w:eastAsia="zh-TW"/>
        </w:rPr>
        <w:t xml:space="preserve">previous </w:t>
      </w:r>
      <w:r w:rsidR="00E421F1" w:rsidRPr="00EC37B8">
        <w:rPr>
          <w:rFonts w:eastAsia="PMingLiU"/>
          <w:lang w:val="en-GB" w:eastAsia="zh-TW"/>
        </w:rPr>
        <w:t>section two</w:t>
      </w:r>
      <w:r w:rsidR="00C927E7" w:rsidRPr="00EC37B8">
        <w:rPr>
          <w:rFonts w:eastAsia="PMingLiU"/>
          <w:lang w:val="en-GB" w:eastAsia="zh-TW"/>
        </w:rPr>
        <w:t xml:space="preserve"> </w:t>
      </w:r>
      <w:r w:rsidR="000A0FCC" w:rsidRPr="00EC37B8">
        <w:rPr>
          <w:rFonts w:eastAsia="PMingLiU"/>
          <w:lang w:val="en-GB" w:eastAsia="zh-TW"/>
        </w:rPr>
        <w:t xml:space="preserve">and </w:t>
      </w:r>
      <w:r w:rsidR="00D243EC" w:rsidRPr="00EC37B8">
        <w:rPr>
          <w:rFonts w:eastAsia="PMingLiU"/>
          <w:lang w:val="en-GB" w:eastAsia="zh-TW"/>
        </w:rPr>
        <w:t xml:space="preserve">current </w:t>
      </w:r>
      <w:r w:rsidR="000A0FCC" w:rsidRPr="00EC37B8">
        <w:rPr>
          <w:rFonts w:eastAsia="PMingLiU"/>
          <w:lang w:val="en-GB" w:eastAsia="zh-TW"/>
        </w:rPr>
        <w:t>section</w:t>
      </w:r>
      <w:r w:rsidR="000A0FCC" w:rsidRPr="00EE5050">
        <w:rPr>
          <w:rFonts w:eastAsia="PMingLiU"/>
          <w:lang w:val="en-GB" w:eastAsia="zh-TW"/>
        </w:rPr>
        <w:t xml:space="preserve"> </w:t>
      </w:r>
      <w:r w:rsidR="00D3256E" w:rsidRPr="00EE5050">
        <w:rPr>
          <w:rFonts w:eastAsia="PMingLiU"/>
          <w:lang w:val="en-GB" w:eastAsia="zh-TW"/>
        </w:rPr>
        <w:t>six</w:t>
      </w:r>
      <w:r w:rsidR="000A0FCC" w:rsidRPr="00EE5050">
        <w:rPr>
          <w:rFonts w:eastAsia="PMingLiU"/>
          <w:lang w:val="en-GB" w:eastAsia="zh-TW"/>
        </w:rPr>
        <w:t xml:space="preserve"> </w:t>
      </w:r>
      <w:r w:rsidR="003B1AE1" w:rsidRPr="00EE5050">
        <w:rPr>
          <w:rFonts w:eastAsia="PMingLiU"/>
          <w:lang w:val="en-GB" w:eastAsia="zh-TW"/>
        </w:rPr>
        <w:t>appointment</w:t>
      </w:r>
      <w:r w:rsidR="00C927E7" w:rsidRPr="00EE5050">
        <w:rPr>
          <w:rFonts w:eastAsia="PMingLiU"/>
          <w:lang w:val="en-GB" w:eastAsia="zh-TW"/>
        </w:rPr>
        <w:t xml:space="preserve"> article</w:t>
      </w:r>
      <w:r w:rsidR="000A0FCC" w:rsidRPr="00EE5050">
        <w:rPr>
          <w:rFonts w:eastAsia="PMingLiU"/>
          <w:lang w:val="en-GB" w:eastAsia="zh-TW"/>
        </w:rPr>
        <w:t>s</w:t>
      </w:r>
      <w:r w:rsidRPr="00EE5050">
        <w:rPr>
          <w:rFonts w:eastAsia="PMingLiU"/>
          <w:lang w:val="en-GB" w:eastAsia="zh-TW"/>
        </w:rPr>
        <w:t xml:space="preserve">, </w:t>
      </w:r>
      <w:r w:rsidR="00D34CBB" w:rsidRPr="00EE5050">
        <w:rPr>
          <w:rFonts w:eastAsia="PMingLiU"/>
          <w:lang w:val="en-GB" w:eastAsia="zh-TW"/>
        </w:rPr>
        <w:t>two changes need to occur going forward</w:t>
      </w:r>
      <w:r w:rsidRPr="00EE5050">
        <w:rPr>
          <w:rFonts w:eastAsia="PMingLiU"/>
          <w:lang w:val="en-GB" w:eastAsia="zh-TW"/>
        </w:rPr>
        <w:t xml:space="preserve">: (1) more nominations to the Constitutional Court should be made </w:t>
      </w:r>
      <w:r w:rsidR="006E01AC" w:rsidRPr="00EE5050">
        <w:rPr>
          <w:rFonts w:eastAsia="PMingLiU"/>
          <w:lang w:val="en-GB" w:eastAsia="zh-TW"/>
        </w:rPr>
        <w:t>from those with elected</w:t>
      </w:r>
      <w:r w:rsidR="004D7CE1" w:rsidRPr="00EE5050">
        <w:rPr>
          <w:rFonts w:eastAsia="PMingLiU"/>
          <w:lang w:val="en-GB" w:eastAsia="zh-TW"/>
        </w:rPr>
        <w:t xml:space="preserve"> political experience in general</w:t>
      </w:r>
      <w:r w:rsidR="00D243EC" w:rsidRPr="00EE5050">
        <w:rPr>
          <w:rFonts w:eastAsia="PMingLiU"/>
          <w:lang w:val="en-GB" w:eastAsia="zh-TW"/>
        </w:rPr>
        <w:t xml:space="preserve"> (preferably from the Legislative Yuan)</w:t>
      </w:r>
      <w:r w:rsidR="006D5711">
        <w:rPr>
          <w:rFonts w:eastAsia="PMingLiU"/>
          <w:lang w:val="en-GB" w:eastAsia="zh-TW"/>
        </w:rPr>
        <w:t xml:space="preserve">; and </w:t>
      </w:r>
      <w:r w:rsidR="00BF2D3A" w:rsidRPr="00EE5050">
        <w:rPr>
          <w:rFonts w:eastAsia="PMingLiU"/>
          <w:lang w:val="en-GB" w:eastAsia="zh-TW"/>
        </w:rPr>
        <w:t xml:space="preserve">(2) the Constitutional Court </w:t>
      </w:r>
      <w:r w:rsidR="00050749" w:rsidRPr="00EE5050">
        <w:rPr>
          <w:rFonts w:eastAsia="PMingLiU"/>
          <w:lang w:val="en-GB" w:eastAsia="zh-TW"/>
        </w:rPr>
        <w:t>should</w:t>
      </w:r>
      <w:r w:rsidRPr="00EE5050">
        <w:rPr>
          <w:rFonts w:eastAsia="PMingLiU"/>
          <w:lang w:val="en-GB" w:eastAsia="zh-TW"/>
        </w:rPr>
        <w:t xml:space="preserve"> </w:t>
      </w:r>
      <w:r w:rsidR="00CD40FC" w:rsidRPr="00EE5050">
        <w:rPr>
          <w:rFonts w:eastAsia="PMingLiU"/>
          <w:lang w:val="en-GB" w:eastAsia="zh-TW"/>
        </w:rPr>
        <w:t xml:space="preserve">formally </w:t>
      </w:r>
      <w:r w:rsidRPr="00EE5050">
        <w:rPr>
          <w:rFonts w:eastAsia="PMingLiU"/>
          <w:lang w:val="en-GB" w:eastAsia="zh-TW"/>
        </w:rPr>
        <w:t>acknowledge the Legislative Yuan also contains some amount</w:t>
      </w:r>
      <w:r w:rsidR="00050749" w:rsidRPr="00EE5050">
        <w:rPr>
          <w:rFonts w:eastAsia="PMingLiU"/>
          <w:lang w:val="en-GB" w:eastAsia="zh-TW"/>
        </w:rPr>
        <w:t>, however limited,</w:t>
      </w:r>
      <w:r w:rsidRPr="00EE5050">
        <w:rPr>
          <w:rFonts w:eastAsia="PMingLiU"/>
          <w:lang w:val="en-GB" w:eastAsia="zh-TW"/>
        </w:rPr>
        <w:t xml:space="preserve"> of constitutional review powers. </w:t>
      </w:r>
      <w:r w:rsidR="00260AF6" w:rsidRPr="00EE5050">
        <w:rPr>
          <w:rFonts w:eastAsia="PMingLiU"/>
          <w:lang w:val="en-GB" w:eastAsia="zh-TW"/>
        </w:rPr>
        <w:t>As noted above, merely having one branch of government as sole constitutional adjudicators is unhealthy for a fully-functioning democracy.</w:t>
      </w:r>
      <w:r w:rsidR="00260AF6" w:rsidRPr="00EE5050">
        <w:rPr>
          <w:rStyle w:val="FootnoteReference"/>
          <w:rFonts w:eastAsia="PMingLiU"/>
          <w:lang w:val="en-GB" w:eastAsia="zh-TW"/>
        </w:rPr>
        <w:footnoteReference w:id="145"/>
      </w:r>
      <w:r w:rsidR="00260AF6" w:rsidRPr="00EE5050">
        <w:rPr>
          <w:rFonts w:eastAsia="PMingLiU"/>
          <w:lang w:val="en-GB" w:eastAsia="zh-TW"/>
        </w:rPr>
        <w:t xml:space="preserve"> Upholding the constitution involves multiple branches and actors and it is the interplay between these entities that determines a country</w:t>
      </w:r>
      <w:r w:rsidR="00AC357A">
        <w:rPr>
          <w:rFonts w:eastAsia="PMingLiU"/>
          <w:lang w:val="en-GB" w:eastAsia="zh-TW"/>
        </w:rPr>
        <w:t>’</w:t>
      </w:r>
      <w:r w:rsidR="00260AF6" w:rsidRPr="00EE5050">
        <w:rPr>
          <w:rFonts w:eastAsia="PMingLiU"/>
          <w:lang w:val="en-GB" w:eastAsia="zh-TW"/>
        </w:rPr>
        <w:t xml:space="preserve">s constitutional foundation. Acknowledging this </w:t>
      </w:r>
      <w:r w:rsidRPr="00EE5050">
        <w:rPr>
          <w:rFonts w:eastAsia="PMingLiU"/>
          <w:lang w:val="en-GB" w:eastAsia="zh-TW"/>
        </w:rPr>
        <w:t xml:space="preserve">would help </w:t>
      </w:r>
      <w:r w:rsidR="00BF2D3A" w:rsidRPr="00EE5050">
        <w:rPr>
          <w:rFonts w:eastAsia="PMingLiU"/>
          <w:lang w:val="en-GB" w:eastAsia="zh-TW"/>
        </w:rPr>
        <w:t>bridge</w:t>
      </w:r>
      <w:r w:rsidRPr="00EE5050">
        <w:rPr>
          <w:rFonts w:eastAsia="PMingLiU"/>
          <w:lang w:val="en-GB" w:eastAsia="zh-TW"/>
        </w:rPr>
        <w:t xml:space="preserve"> the </w:t>
      </w:r>
      <w:r w:rsidR="00050749" w:rsidRPr="00EE5050">
        <w:rPr>
          <w:rFonts w:eastAsia="PMingLiU"/>
          <w:lang w:val="en-GB" w:eastAsia="zh-TW"/>
        </w:rPr>
        <w:t xml:space="preserve">wide </w:t>
      </w:r>
      <w:r w:rsidRPr="00EE5050">
        <w:rPr>
          <w:rFonts w:eastAsia="PMingLiU"/>
          <w:lang w:val="en-GB" w:eastAsia="zh-TW"/>
        </w:rPr>
        <w:t xml:space="preserve">divide between political and legal constitutionalism in Taiwan, and decrease the inherent problems of the </w:t>
      </w:r>
      <w:proofErr w:type="spellStart"/>
      <w:r w:rsidRPr="00EE5050">
        <w:rPr>
          <w:rFonts w:eastAsia="PMingLiU"/>
          <w:lang w:val="en-GB" w:eastAsia="zh-TW"/>
        </w:rPr>
        <w:t>countermajoritarian</w:t>
      </w:r>
      <w:proofErr w:type="spellEnd"/>
      <w:r w:rsidRPr="00EE5050">
        <w:rPr>
          <w:rFonts w:eastAsia="PMingLiU"/>
          <w:lang w:val="en-GB" w:eastAsia="zh-TW"/>
        </w:rPr>
        <w:t xml:space="preserve"> difficulty. </w:t>
      </w:r>
    </w:p>
    <w:p w14:paraId="1EB6C194" w14:textId="77777777" w:rsidR="00BE3DD6" w:rsidRPr="00EE5050" w:rsidRDefault="003257BF"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 xml:space="preserve">It should also be </w:t>
      </w:r>
      <w:r w:rsidR="007407A6" w:rsidRPr="00EE5050">
        <w:rPr>
          <w:rFonts w:eastAsia="PMingLiU"/>
          <w:lang w:val="en-GB" w:eastAsia="zh-TW"/>
        </w:rPr>
        <w:t>emphasised</w:t>
      </w:r>
      <w:r w:rsidRPr="00EE5050">
        <w:rPr>
          <w:rFonts w:eastAsia="PMingLiU"/>
          <w:lang w:val="en-GB" w:eastAsia="zh-TW"/>
        </w:rPr>
        <w:t xml:space="preserve"> that</w:t>
      </w:r>
      <w:r w:rsidR="004D7CE1" w:rsidRPr="00EE5050">
        <w:rPr>
          <w:rFonts w:eastAsia="PMingLiU"/>
          <w:lang w:val="en-GB" w:eastAsia="zh-TW"/>
        </w:rPr>
        <w:t xml:space="preserve"> </w:t>
      </w:r>
      <w:r w:rsidRPr="00EE5050">
        <w:rPr>
          <w:rFonts w:eastAsia="PMingLiU"/>
          <w:lang w:val="en-GB" w:eastAsia="zh-TW"/>
        </w:rPr>
        <w:t>m</w:t>
      </w:r>
      <w:r w:rsidR="004D7CE1" w:rsidRPr="00EE5050">
        <w:rPr>
          <w:rFonts w:eastAsia="PMingLiU"/>
          <w:lang w:val="en-GB" w:eastAsia="zh-TW"/>
        </w:rPr>
        <w:t>any of the Court</w:t>
      </w:r>
      <w:r w:rsidR="00AC357A">
        <w:rPr>
          <w:rFonts w:eastAsia="PMingLiU"/>
          <w:lang w:val="en-GB" w:eastAsia="zh-TW"/>
        </w:rPr>
        <w:t>’</w:t>
      </w:r>
      <w:r w:rsidR="004D7CE1" w:rsidRPr="00EE5050">
        <w:rPr>
          <w:rFonts w:eastAsia="PMingLiU"/>
          <w:lang w:val="en-GB" w:eastAsia="zh-TW"/>
        </w:rPr>
        <w:t xml:space="preserve">s foundational opinions </w:t>
      </w:r>
      <w:r w:rsidRPr="00EE5050">
        <w:rPr>
          <w:rFonts w:eastAsia="PMingLiU"/>
          <w:lang w:val="en-GB" w:eastAsia="zh-TW"/>
        </w:rPr>
        <w:t>and expa</w:t>
      </w:r>
      <w:r w:rsidR="00133603" w:rsidRPr="00EE5050">
        <w:rPr>
          <w:rFonts w:eastAsia="PMingLiU"/>
          <w:lang w:val="en-GB" w:eastAsia="zh-TW"/>
        </w:rPr>
        <w:t>nsion of judicial review powers</w:t>
      </w:r>
      <w:r w:rsidR="00E211DA" w:rsidRPr="00EE5050">
        <w:rPr>
          <w:rFonts w:eastAsia="PMingLiU"/>
          <w:lang w:val="en-GB" w:eastAsia="zh-TW"/>
        </w:rPr>
        <w:t xml:space="preserve"> </w:t>
      </w:r>
      <w:r w:rsidR="004D7CE1" w:rsidRPr="00EE5050">
        <w:rPr>
          <w:rFonts w:eastAsia="PMingLiU"/>
          <w:lang w:val="en-GB" w:eastAsia="zh-TW"/>
        </w:rPr>
        <w:t xml:space="preserve">occurred before the Legislative Yuan was fully elected. </w:t>
      </w:r>
      <w:r w:rsidRPr="00EE5050">
        <w:rPr>
          <w:rFonts w:eastAsia="PMingLiU"/>
          <w:lang w:val="en-GB" w:eastAsia="zh-TW"/>
        </w:rPr>
        <w:t xml:space="preserve">While it </w:t>
      </w:r>
      <w:r w:rsidR="00146E9D" w:rsidRPr="00EE5050">
        <w:rPr>
          <w:rFonts w:eastAsia="PMingLiU"/>
          <w:lang w:val="en-GB" w:eastAsia="zh-TW"/>
        </w:rPr>
        <w:t>may prove more appropriate</w:t>
      </w:r>
      <w:r w:rsidRPr="00EE5050">
        <w:rPr>
          <w:rFonts w:eastAsia="PMingLiU"/>
          <w:lang w:val="en-GB" w:eastAsia="zh-TW"/>
        </w:rPr>
        <w:t xml:space="preserve"> to constrain and consolidate the powers of other governmental branches during a period of autocratic leadership, it is quite another to continue to do so when the legislature and the pre</w:t>
      </w:r>
      <w:r w:rsidR="00E548F2" w:rsidRPr="00EE5050">
        <w:rPr>
          <w:rFonts w:eastAsia="PMingLiU"/>
          <w:lang w:val="en-GB" w:eastAsia="zh-TW"/>
        </w:rPr>
        <w:t>sident are democratically elected</w:t>
      </w:r>
      <w:r w:rsidRPr="00EE5050">
        <w:rPr>
          <w:rFonts w:eastAsia="PMingLiU"/>
          <w:lang w:val="en-GB" w:eastAsia="zh-TW"/>
        </w:rPr>
        <w:t xml:space="preserve">. </w:t>
      </w:r>
      <w:r w:rsidR="007407A6" w:rsidRPr="00EE5050">
        <w:rPr>
          <w:rFonts w:eastAsia="PMingLiU"/>
          <w:lang w:val="en-GB" w:eastAsia="zh-TW"/>
        </w:rPr>
        <w:t>C</w:t>
      </w:r>
      <w:r w:rsidRPr="00EE5050">
        <w:rPr>
          <w:rFonts w:eastAsia="PMingLiU"/>
          <w:lang w:val="en-GB" w:eastAsia="zh-TW"/>
        </w:rPr>
        <w:t xml:space="preserve">ontinuing with the precedents </w:t>
      </w:r>
      <w:r w:rsidR="007407A6" w:rsidRPr="00EE5050">
        <w:rPr>
          <w:rFonts w:eastAsia="PMingLiU"/>
          <w:lang w:val="en-GB" w:eastAsia="zh-TW"/>
        </w:rPr>
        <w:t>and doctrine established in the provincial period</w:t>
      </w:r>
      <w:r w:rsidR="00B843E1" w:rsidRPr="00EE5050">
        <w:rPr>
          <w:rFonts w:eastAsia="PMingLiU"/>
          <w:lang w:val="en-GB" w:eastAsia="zh-TW"/>
        </w:rPr>
        <w:t xml:space="preserve">, without </w:t>
      </w:r>
      <w:r w:rsidR="00B843E1" w:rsidRPr="00EE5050">
        <w:rPr>
          <w:rFonts w:eastAsia="PMingLiU"/>
          <w:lang w:val="en-GB" w:eastAsia="zh-TW"/>
        </w:rPr>
        <w:lastRenderedPageBreak/>
        <w:t xml:space="preserve">a thorough re-examination of some major opinions, </w:t>
      </w:r>
      <w:r w:rsidR="007407A6" w:rsidRPr="00EE5050">
        <w:rPr>
          <w:rFonts w:eastAsia="PMingLiU"/>
          <w:lang w:val="en-GB" w:eastAsia="zh-TW"/>
        </w:rPr>
        <w:t xml:space="preserve">is </w:t>
      </w:r>
      <w:r w:rsidR="00133603" w:rsidRPr="00EE5050">
        <w:rPr>
          <w:rFonts w:eastAsia="PMingLiU"/>
          <w:lang w:val="en-GB" w:eastAsia="zh-TW"/>
        </w:rPr>
        <w:t>troubling</w:t>
      </w:r>
      <w:r w:rsidR="007407A6" w:rsidRPr="00EE5050">
        <w:rPr>
          <w:rFonts w:eastAsia="PMingLiU"/>
          <w:lang w:val="en-GB" w:eastAsia="zh-TW"/>
        </w:rPr>
        <w:t xml:space="preserve"> and unhealthy to democracy; </w:t>
      </w:r>
      <w:r w:rsidR="00146E9D" w:rsidRPr="00EE5050">
        <w:rPr>
          <w:rFonts w:eastAsia="PMingLiU"/>
          <w:lang w:val="en-GB" w:eastAsia="zh-TW"/>
        </w:rPr>
        <w:t>the reality of an</w:t>
      </w:r>
      <w:r w:rsidR="004D7CE1" w:rsidRPr="00EE5050">
        <w:rPr>
          <w:rFonts w:eastAsia="PMingLiU"/>
          <w:lang w:val="en-GB" w:eastAsia="zh-TW"/>
        </w:rPr>
        <w:t xml:space="preserve"> elected legislature passing laws through the will of the people should be fully taken into consideration by the Court. </w:t>
      </w:r>
    </w:p>
    <w:p w14:paraId="642D092E" w14:textId="77777777" w:rsidR="00C17187" w:rsidRPr="00EE5050" w:rsidRDefault="00C17187" w:rsidP="00BD1145">
      <w:pPr>
        <w:pStyle w:val="NoSpacing"/>
        <w:tabs>
          <w:tab w:val="left" w:pos="993"/>
          <w:tab w:val="left" w:pos="1440"/>
        </w:tabs>
        <w:spacing w:line="480" w:lineRule="auto"/>
        <w:ind w:firstLineChars="88" w:firstLine="211"/>
        <w:jc w:val="both"/>
        <w:rPr>
          <w:rFonts w:eastAsia="PMingLiU"/>
          <w:lang w:val="en-GB" w:eastAsia="zh-TW"/>
        </w:rPr>
      </w:pPr>
    </w:p>
    <w:p w14:paraId="2EC60F51" w14:textId="77777777" w:rsidR="00050749" w:rsidRPr="00F00D69" w:rsidRDefault="00382FE3" w:rsidP="00F00D69">
      <w:pPr>
        <w:pStyle w:val="NoSpacing"/>
        <w:tabs>
          <w:tab w:val="left" w:pos="1560"/>
        </w:tabs>
        <w:spacing w:line="480" w:lineRule="auto"/>
        <w:jc w:val="both"/>
        <w:rPr>
          <w:rFonts w:eastAsia="PMingLiU"/>
          <w:b/>
          <w:i/>
          <w:sz w:val="28"/>
          <w:lang w:val="en-GB" w:eastAsia="zh-TW"/>
        </w:rPr>
      </w:pPr>
      <w:r w:rsidRPr="00F00D69">
        <w:rPr>
          <w:rFonts w:eastAsia="PMingLiU"/>
          <w:b/>
          <w:i/>
          <w:sz w:val="28"/>
          <w:lang w:val="en-GB" w:eastAsia="zh-TW"/>
        </w:rPr>
        <w:t>C.  </w:t>
      </w:r>
      <w:r w:rsidR="00681A57" w:rsidRPr="00F00D69">
        <w:rPr>
          <w:rFonts w:eastAsia="PMingLiU"/>
          <w:b/>
          <w:i/>
          <w:sz w:val="28"/>
          <w:lang w:val="en-GB" w:eastAsia="zh-TW"/>
        </w:rPr>
        <w:t>Barriers to r</w:t>
      </w:r>
      <w:r w:rsidR="00050749" w:rsidRPr="00F00D69">
        <w:rPr>
          <w:rFonts w:eastAsia="PMingLiU"/>
          <w:b/>
          <w:i/>
          <w:sz w:val="28"/>
          <w:lang w:val="en-GB" w:eastAsia="zh-TW"/>
        </w:rPr>
        <w:t>eform</w:t>
      </w:r>
    </w:p>
    <w:p w14:paraId="7F465596" w14:textId="0AFF0068" w:rsidR="00CD40FC" w:rsidRPr="00EE5050" w:rsidRDefault="005564CF" w:rsidP="00CD40FC">
      <w:pPr>
        <w:pStyle w:val="NoSpacing"/>
        <w:tabs>
          <w:tab w:val="left" w:pos="993"/>
          <w:tab w:val="left" w:pos="1440"/>
        </w:tabs>
        <w:spacing w:line="480" w:lineRule="auto"/>
        <w:jc w:val="both"/>
        <w:rPr>
          <w:rFonts w:eastAsia="PMingLiU"/>
          <w:lang w:val="en-GB" w:eastAsia="zh-TW"/>
        </w:rPr>
      </w:pPr>
      <w:r w:rsidRPr="00EE5050">
        <w:rPr>
          <w:rFonts w:eastAsia="PMingLiU"/>
          <w:lang w:val="en-GB" w:eastAsia="zh-TW"/>
        </w:rPr>
        <w:t xml:space="preserve">While </w:t>
      </w:r>
      <w:r w:rsidR="00203137" w:rsidRPr="00EE5050">
        <w:rPr>
          <w:rFonts w:eastAsia="PMingLiU"/>
          <w:lang w:val="en-GB" w:eastAsia="zh-TW"/>
        </w:rPr>
        <w:t xml:space="preserve">at least some reform is </w:t>
      </w:r>
      <w:r w:rsidR="008B030F" w:rsidRPr="00EE5050">
        <w:rPr>
          <w:rFonts w:eastAsia="PMingLiU"/>
          <w:lang w:val="en-GB" w:eastAsia="zh-TW"/>
        </w:rPr>
        <w:t xml:space="preserve">necessary in Taiwan, </w:t>
      </w:r>
      <w:r w:rsidR="00CD40FC" w:rsidRPr="00EE5050">
        <w:rPr>
          <w:rFonts w:eastAsia="PMingLiU"/>
          <w:lang w:val="en-GB" w:eastAsia="zh-TW"/>
        </w:rPr>
        <w:t xml:space="preserve">many barriers may prevent </w:t>
      </w:r>
      <w:r w:rsidR="00D34CBB" w:rsidRPr="00EE5050">
        <w:rPr>
          <w:rFonts w:eastAsia="PMingLiU"/>
          <w:lang w:val="en-GB" w:eastAsia="zh-TW"/>
        </w:rPr>
        <w:t>it</w:t>
      </w:r>
      <w:r w:rsidR="00CD40FC" w:rsidRPr="00EE5050">
        <w:rPr>
          <w:rFonts w:eastAsia="PMingLiU"/>
          <w:lang w:val="en-GB" w:eastAsia="zh-TW"/>
        </w:rPr>
        <w:t xml:space="preserve">. First, members of the Legislative Yuan may find </w:t>
      </w:r>
      <w:r w:rsidR="00F74CD9" w:rsidRPr="00EE5050">
        <w:rPr>
          <w:rFonts w:eastAsia="PMingLiU"/>
          <w:lang w:val="en-GB" w:eastAsia="zh-TW"/>
        </w:rPr>
        <w:t>the above</w:t>
      </w:r>
      <w:r w:rsidR="00CD40FC" w:rsidRPr="00EE5050">
        <w:rPr>
          <w:rFonts w:eastAsia="PMingLiU"/>
          <w:lang w:val="en-GB" w:eastAsia="zh-TW"/>
        </w:rPr>
        <w:t xml:space="preserve"> proposals unnecessary.</w:t>
      </w:r>
      <w:r w:rsidRPr="00EE5050">
        <w:rPr>
          <w:rFonts w:eastAsia="PMingLiU"/>
          <w:lang w:val="en-GB" w:eastAsia="zh-TW"/>
        </w:rPr>
        <w:t xml:space="preserve"> Such are the effects of judicial overhang. </w:t>
      </w:r>
      <w:r w:rsidR="00CD40FC" w:rsidRPr="00EE5050">
        <w:rPr>
          <w:rFonts w:eastAsia="PMingLiU"/>
          <w:lang w:val="en-GB" w:eastAsia="zh-TW"/>
        </w:rPr>
        <w:t xml:space="preserve">Perhaps </w:t>
      </w:r>
      <w:r w:rsidR="00887952" w:rsidRPr="00EE5050">
        <w:rPr>
          <w:rFonts w:eastAsia="PMingLiU"/>
          <w:lang w:val="en-GB" w:eastAsia="zh-TW"/>
        </w:rPr>
        <w:t>legislators</w:t>
      </w:r>
      <w:r w:rsidR="00CD40FC" w:rsidRPr="00EE5050">
        <w:rPr>
          <w:rFonts w:eastAsia="PMingLiU"/>
          <w:lang w:val="en-GB" w:eastAsia="zh-TW"/>
        </w:rPr>
        <w:t xml:space="preserve"> believe their constitutional review scrutiny already operates at acceptable</w:t>
      </w:r>
      <w:r w:rsidR="00702575" w:rsidRPr="00EE5050">
        <w:rPr>
          <w:rFonts w:eastAsia="PMingLiU"/>
          <w:lang w:val="en-GB" w:eastAsia="zh-TW"/>
        </w:rPr>
        <w:t xml:space="preserve"> levels</w:t>
      </w:r>
      <w:r w:rsidR="00A508FA" w:rsidRPr="00EE5050">
        <w:rPr>
          <w:rFonts w:eastAsia="PMingLiU"/>
          <w:lang w:val="en-GB" w:eastAsia="zh-TW"/>
        </w:rPr>
        <w:t xml:space="preserve"> or</w:t>
      </w:r>
      <w:r w:rsidR="00CD40FC" w:rsidRPr="00EE5050">
        <w:rPr>
          <w:rFonts w:eastAsia="PMingLiU"/>
          <w:lang w:val="en-GB" w:eastAsia="zh-TW"/>
        </w:rPr>
        <w:t xml:space="preserve"> perhaps they feel that constitutional review does not form part of their </w:t>
      </w:r>
      <w:r w:rsidR="00702575" w:rsidRPr="00EE5050">
        <w:rPr>
          <w:rFonts w:eastAsia="PMingLiU"/>
          <w:lang w:val="en-GB" w:eastAsia="zh-TW"/>
        </w:rPr>
        <w:t>remit</w:t>
      </w:r>
      <w:r w:rsidR="000C09A2" w:rsidRPr="00EE5050">
        <w:rPr>
          <w:rFonts w:eastAsia="PMingLiU"/>
          <w:lang w:val="en-GB" w:eastAsia="zh-TW"/>
        </w:rPr>
        <w:t>. This may indeed be the case, given the constitutional and statutory provisions that e</w:t>
      </w:r>
      <w:r w:rsidR="00887952" w:rsidRPr="00EE5050">
        <w:rPr>
          <w:rFonts w:eastAsia="PMingLiU"/>
          <w:lang w:val="en-GB" w:eastAsia="zh-TW"/>
        </w:rPr>
        <w:t xml:space="preserve">xplicitly state the role of the </w:t>
      </w:r>
      <w:r w:rsidR="00702575" w:rsidRPr="00EE5050">
        <w:rPr>
          <w:rFonts w:eastAsia="PMingLiU"/>
          <w:lang w:val="en-GB" w:eastAsia="zh-TW"/>
        </w:rPr>
        <w:t>Judicial Yuan</w:t>
      </w:r>
      <w:r w:rsidR="00887952" w:rsidRPr="00EE5050">
        <w:rPr>
          <w:rFonts w:eastAsia="PMingLiU"/>
          <w:lang w:val="en-GB" w:eastAsia="zh-TW"/>
        </w:rPr>
        <w:t xml:space="preserve"> </w:t>
      </w:r>
      <w:r w:rsidR="000C09A2" w:rsidRPr="00EE5050">
        <w:rPr>
          <w:rFonts w:eastAsia="PMingLiU"/>
          <w:lang w:val="en-GB" w:eastAsia="zh-TW"/>
        </w:rPr>
        <w:t xml:space="preserve">in interpreting the </w:t>
      </w:r>
      <w:r w:rsidR="008603B5">
        <w:rPr>
          <w:rFonts w:eastAsia="PMingLiU"/>
          <w:lang w:val="en-GB" w:eastAsia="zh-TW"/>
        </w:rPr>
        <w:t>C</w:t>
      </w:r>
      <w:r w:rsidR="008603B5" w:rsidRPr="00EE5050">
        <w:rPr>
          <w:rFonts w:eastAsia="PMingLiU"/>
          <w:lang w:val="en-GB" w:eastAsia="zh-TW"/>
        </w:rPr>
        <w:t>onstitution</w:t>
      </w:r>
      <w:r w:rsidR="000C09A2" w:rsidRPr="00EE5050">
        <w:rPr>
          <w:rFonts w:eastAsia="PMingLiU"/>
          <w:lang w:val="en-GB" w:eastAsia="zh-TW"/>
        </w:rPr>
        <w:t>.</w:t>
      </w:r>
      <w:r w:rsidR="009863A0" w:rsidRPr="00EE5050">
        <w:rPr>
          <w:rStyle w:val="FootnoteReference"/>
          <w:rFonts w:eastAsia="PMingLiU"/>
          <w:lang w:val="en-GB" w:eastAsia="zh-TW"/>
        </w:rPr>
        <w:footnoteReference w:id="146"/>
      </w:r>
      <w:r w:rsidR="000C09A2" w:rsidRPr="00EE5050">
        <w:rPr>
          <w:rFonts w:eastAsia="PMingLiU"/>
          <w:lang w:val="en-GB" w:eastAsia="zh-TW"/>
        </w:rPr>
        <w:t xml:space="preserve"> </w:t>
      </w:r>
    </w:p>
    <w:p w14:paraId="484E606A" w14:textId="640776E7" w:rsidR="008B030F" w:rsidRPr="00EE5050" w:rsidRDefault="004B48BF"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Of course</w:t>
      </w:r>
      <w:r w:rsidR="000C09A2" w:rsidRPr="00EE5050">
        <w:rPr>
          <w:rFonts w:eastAsia="PMingLiU"/>
          <w:lang w:val="en-GB" w:eastAsia="zh-TW"/>
        </w:rPr>
        <w:t xml:space="preserve">, </w:t>
      </w:r>
      <w:r w:rsidR="0042484A">
        <w:rPr>
          <w:rFonts w:eastAsia="PMingLiU"/>
          <w:lang w:val="en-GB" w:eastAsia="zh-TW"/>
        </w:rPr>
        <w:t>the a</w:t>
      </w:r>
      <w:r w:rsidR="00986A89">
        <w:rPr>
          <w:rFonts w:eastAsia="PMingLiU"/>
          <w:lang w:val="en-GB" w:eastAsia="zh-TW"/>
        </w:rPr>
        <w:t>bove</w:t>
      </w:r>
      <w:r w:rsidR="0042484A" w:rsidRPr="00EE5050">
        <w:rPr>
          <w:rFonts w:eastAsia="PMingLiU"/>
          <w:lang w:val="en-GB" w:eastAsia="zh-TW"/>
        </w:rPr>
        <w:t xml:space="preserve"> </w:t>
      </w:r>
      <w:r w:rsidR="000C09A2" w:rsidRPr="00EE5050">
        <w:rPr>
          <w:rFonts w:eastAsia="PMingLiU"/>
          <w:lang w:val="en-GB" w:eastAsia="zh-TW"/>
        </w:rPr>
        <w:t xml:space="preserve">recommendations </w:t>
      </w:r>
      <w:r w:rsidR="00050749" w:rsidRPr="00EE5050">
        <w:rPr>
          <w:rFonts w:eastAsia="PMingLiU"/>
          <w:lang w:val="en-GB" w:eastAsia="zh-TW"/>
        </w:rPr>
        <w:t>also contain</w:t>
      </w:r>
      <w:r w:rsidR="000C09A2" w:rsidRPr="00EE5050">
        <w:rPr>
          <w:rFonts w:eastAsia="PMingLiU"/>
          <w:lang w:val="en-GB" w:eastAsia="zh-TW"/>
        </w:rPr>
        <w:t xml:space="preserve"> </w:t>
      </w:r>
      <w:r w:rsidR="00E716C9" w:rsidRPr="00EE5050">
        <w:rPr>
          <w:rFonts w:eastAsia="PMingLiU"/>
          <w:lang w:val="en-GB" w:eastAsia="zh-TW"/>
        </w:rPr>
        <w:t xml:space="preserve">budget and </w:t>
      </w:r>
      <w:r w:rsidR="005564CF" w:rsidRPr="00EE5050">
        <w:rPr>
          <w:rFonts w:eastAsia="PMingLiU"/>
          <w:lang w:val="en-GB" w:eastAsia="zh-TW"/>
        </w:rPr>
        <w:t>legislative processes</w:t>
      </w:r>
      <w:r w:rsidR="000C09A2" w:rsidRPr="00EE5050">
        <w:rPr>
          <w:rFonts w:eastAsia="PMingLiU"/>
          <w:lang w:val="en-GB" w:eastAsia="zh-TW"/>
        </w:rPr>
        <w:t xml:space="preserve"> constraints. </w:t>
      </w:r>
      <w:r w:rsidR="00E716C9" w:rsidRPr="00EE5050">
        <w:rPr>
          <w:rFonts w:eastAsia="PMingLiU"/>
          <w:lang w:val="en-GB" w:eastAsia="zh-TW"/>
        </w:rPr>
        <w:t xml:space="preserve">The introduction of a parliamentary counsel would indeed </w:t>
      </w:r>
      <w:r w:rsidR="008D6991" w:rsidRPr="00EE5050">
        <w:rPr>
          <w:rFonts w:eastAsia="PMingLiU"/>
          <w:lang w:val="en-GB" w:eastAsia="zh-TW"/>
        </w:rPr>
        <w:t>require necessary</w:t>
      </w:r>
      <w:r w:rsidR="00E716C9" w:rsidRPr="00EE5050">
        <w:rPr>
          <w:rFonts w:eastAsia="PMingLiU"/>
          <w:lang w:val="en-GB" w:eastAsia="zh-TW"/>
        </w:rPr>
        <w:t xml:space="preserve"> </w:t>
      </w:r>
      <w:r w:rsidR="008D6991" w:rsidRPr="00EE5050">
        <w:rPr>
          <w:rFonts w:eastAsia="PMingLiU"/>
          <w:lang w:val="en-GB" w:eastAsia="zh-TW"/>
        </w:rPr>
        <w:t>appropriations</w:t>
      </w:r>
      <w:r w:rsidR="00A6060E" w:rsidRPr="00EE5050">
        <w:rPr>
          <w:rFonts w:eastAsia="PMingLiU"/>
          <w:lang w:val="en-GB" w:eastAsia="zh-TW"/>
        </w:rPr>
        <w:t>, and t</w:t>
      </w:r>
      <w:r w:rsidR="008B030F" w:rsidRPr="00EE5050">
        <w:rPr>
          <w:rFonts w:eastAsia="PMingLiU"/>
          <w:lang w:val="en-GB" w:eastAsia="zh-TW"/>
        </w:rPr>
        <w:t>he i</w:t>
      </w:r>
      <w:r w:rsidR="00A6060E" w:rsidRPr="00EE5050">
        <w:rPr>
          <w:rFonts w:eastAsia="PMingLiU"/>
          <w:lang w:val="en-GB" w:eastAsia="zh-TW"/>
        </w:rPr>
        <w:t>ntroduction of a constitutional</w:t>
      </w:r>
      <w:r w:rsidRPr="00EE5050">
        <w:rPr>
          <w:rFonts w:eastAsia="PMingLiU"/>
          <w:lang w:val="en-GB" w:eastAsia="zh-TW"/>
        </w:rPr>
        <w:t xml:space="preserve"> </w:t>
      </w:r>
      <w:r w:rsidR="008B030F" w:rsidRPr="00EE5050">
        <w:rPr>
          <w:rFonts w:eastAsia="PMingLiU"/>
          <w:lang w:val="en-GB" w:eastAsia="zh-TW"/>
        </w:rPr>
        <w:t xml:space="preserve">committee would </w:t>
      </w:r>
      <w:r w:rsidR="00050749" w:rsidRPr="00EE5050">
        <w:rPr>
          <w:rFonts w:eastAsia="PMingLiU"/>
          <w:lang w:val="en-GB" w:eastAsia="zh-TW"/>
        </w:rPr>
        <w:t xml:space="preserve">require a </w:t>
      </w:r>
      <w:r w:rsidR="006661E6" w:rsidRPr="00EE5050">
        <w:rPr>
          <w:rFonts w:eastAsia="PMingLiU"/>
          <w:lang w:val="en-GB" w:eastAsia="zh-TW"/>
        </w:rPr>
        <w:t>significant</w:t>
      </w:r>
      <w:r w:rsidR="00050749" w:rsidRPr="00EE5050">
        <w:rPr>
          <w:rFonts w:eastAsia="PMingLiU"/>
          <w:lang w:val="en-GB" w:eastAsia="zh-TW"/>
        </w:rPr>
        <w:t xml:space="preserve"> amount of resources</w:t>
      </w:r>
      <w:r w:rsidR="001C56B5" w:rsidRPr="00EE5050">
        <w:rPr>
          <w:rFonts w:eastAsia="PMingLiU"/>
          <w:lang w:val="en-GB" w:eastAsia="zh-TW"/>
        </w:rPr>
        <w:t xml:space="preserve"> to be allocated</w:t>
      </w:r>
      <w:r w:rsidR="008B030F" w:rsidRPr="00EE5050">
        <w:rPr>
          <w:rFonts w:eastAsia="PMingLiU"/>
          <w:lang w:val="en-GB" w:eastAsia="zh-TW"/>
        </w:rPr>
        <w:t>. The committee would have to be staffed and worked into the operati</w:t>
      </w:r>
      <w:r w:rsidR="00050749" w:rsidRPr="00EE5050">
        <w:rPr>
          <w:rFonts w:eastAsia="PMingLiU"/>
          <w:lang w:val="en-GB" w:eastAsia="zh-TW"/>
        </w:rPr>
        <w:t>on of the L</w:t>
      </w:r>
      <w:r w:rsidR="00887952" w:rsidRPr="00EE5050">
        <w:rPr>
          <w:rFonts w:eastAsia="PMingLiU"/>
          <w:lang w:val="en-GB" w:eastAsia="zh-TW"/>
        </w:rPr>
        <w:t xml:space="preserve">egislative </w:t>
      </w:r>
      <w:r w:rsidR="00050749" w:rsidRPr="00EE5050">
        <w:rPr>
          <w:rFonts w:eastAsia="PMingLiU"/>
          <w:lang w:val="en-GB" w:eastAsia="zh-TW"/>
        </w:rPr>
        <w:t>Y</w:t>
      </w:r>
      <w:r w:rsidR="00887952" w:rsidRPr="00EE5050">
        <w:rPr>
          <w:rFonts w:eastAsia="PMingLiU"/>
          <w:lang w:val="en-GB" w:eastAsia="zh-TW"/>
        </w:rPr>
        <w:t>uan</w:t>
      </w:r>
      <w:r w:rsidR="00702575" w:rsidRPr="00EE5050">
        <w:rPr>
          <w:rFonts w:eastAsia="PMingLiU"/>
          <w:lang w:val="en-GB" w:eastAsia="zh-TW"/>
        </w:rPr>
        <w:t xml:space="preserve"> and t</w:t>
      </w:r>
      <w:r w:rsidR="008B030F" w:rsidRPr="00EE5050">
        <w:rPr>
          <w:rFonts w:eastAsia="PMingLiU"/>
          <w:lang w:val="en-GB" w:eastAsia="zh-TW"/>
        </w:rPr>
        <w:t xml:space="preserve">he practicalities </w:t>
      </w:r>
      <w:r w:rsidR="00050749" w:rsidRPr="00EE5050">
        <w:rPr>
          <w:rFonts w:eastAsia="PMingLiU"/>
          <w:lang w:val="en-GB" w:eastAsia="zh-TW"/>
        </w:rPr>
        <w:t>of the constitutional committee</w:t>
      </w:r>
      <w:r w:rsidR="008B030F" w:rsidRPr="00EE5050">
        <w:rPr>
          <w:rFonts w:eastAsia="PMingLiU"/>
          <w:lang w:val="en-GB" w:eastAsia="zh-TW"/>
        </w:rPr>
        <w:t xml:space="preserve"> and how those would operate would also have to be</w:t>
      </w:r>
      <w:r w:rsidR="005564CF" w:rsidRPr="00EE5050">
        <w:rPr>
          <w:rFonts w:eastAsia="PMingLiU"/>
          <w:lang w:val="en-GB" w:eastAsia="zh-TW"/>
        </w:rPr>
        <w:t xml:space="preserve"> taken into consideration</w:t>
      </w:r>
      <w:r w:rsidR="008B030F" w:rsidRPr="00EE5050">
        <w:rPr>
          <w:rFonts w:eastAsia="PMingLiU"/>
          <w:lang w:val="en-GB" w:eastAsia="zh-TW"/>
        </w:rPr>
        <w:t>. Also, some of the ideas may</w:t>
      </w:r>
      <w:r w:rsidR="00887952" w:rsidRPr="00EE5050">
        <w:rPr>
          <w:rFonts w:eastAsia="PMingLiU"/>
          <w:lang w:val="en-GB" w:eastAsia="zh-TW"/>
        </w:rPr>
        <w:t xml:space="preserve"> not structurally fit into the Legislative </w:t>
      </w:r>
      <w:r w:rsidR="008B030F" w:rsidRPr="00EE5050">
        <w:rPr>
          <w:rFonts w:eastAsia="PMingLiU"/>
          <w:lang w:val="en-GB" w:eastAsia="zh-TW"/>
        </w:rPr>
        <w:t>Y</w:t>
      </w:r>
      <w:r w:rsidR="00887952" w:rsidRPr="00EE5050">
        <w:rPr>
          <w:rFonts w:eastAsia="PMingLiU"/>
          <w:lang w:val="en-GB" w:eastAsia="zh-TW"/>
        </w:rPr>
        <w:t>uan</w:t>
      </w:r>
      <w:r w:rsidR="008B030F" w:rsidRPr="00EE5050">
        <w:rPr>
          <w:rFonts w:eastAsia="PMingLiU"/>
          <w:lang w:val="en-GB" w:eastAsia="zh-TW"/>
        </w:rPr>
        <w:t xml:space="preserve">. </w:t>
      </w:r>
      <w:r w:rsidR="00A508FA" w:rsidRPr="00EE5050">
        <w:rPr>
          <w:rFonts w:eastAsia="PMingLiU"/>
          <w:lang w:val="en-GB" w:eastAsia="zh-TW"/>
        </w:rPr>
        <w:t>Westminster and Congress</w:t>
      </w:r>
      <w:r w:rsidR="00887952" w:rsidRPr="00EE5050">
        <w:rPr>
          <w:rFonts w:eastAsia="PMingLiU"/>
          <w:lang w:val="en-GB" w:eastAsia="zh-TW"/>
        </w:rPr>
        <w:t xml:space="preserve"> are both bicameral and Taiwan</w:t>
      </w:r>
      <w:r w:rsidR="00AC357A">
        <w:rPr>
          <w:rFonts w:eastAsia="PMingLiU"/>
          <w:lang w:val="en-GB" w:eastAsia="zh-TW"/>
        </w:rPr>
        <w:t>’</w:t>
      </w:r>
      <w:r w:rsidR="00887952" w:rsidRPr="00EE5050">
        <w:rPr>
          <w:rFonts w:eastAsia="PMingLiU"/>
          <w:lang w:val="en-GB" w:eastAsia="zh-TW"/>
        </w:rPr>
        <w:t xml:space="preserve">s legislature </w:t>
      </w:r>
      <w:r w:rsidR="008B030F" w:rsidRPr="00EE5050">
        <w:rPr>
          <w:rFonts w:eastAsia="PMingLiU"/>
          <w:lang w:val="en-GB" w:eastAsia="zh-TW"/>
        </w:rPr>
        <w:t>is unicameral.</w:t>
      </w:r>
      <w:r w:rsidR="00E01360" w:rsidRPr="00EE5050">
        <w:rPr>
          <w:rStyle w:val="FootnoteReference"/>
          <w:rFonts w:eastAsia="PMingLiU"/>
          <w:lang w:val="en-GB" w:eastAsia="zh-TW"/>
        </w:rPr>
        <w:footnoteReference w:id="147"/>
      </w:r>
      <w:r w:rsidR="00F55A3C" w:rsidRPr="00EE5050">
        <w:rPr>
          <w:rFonts w:eastAsia="PMingLiU"/>
          <w:lang w:val="en-GB" w:eastAsia="zh-TW"/>
        </w:rPr>
        <w:t xml:space="preserve"> Thus</w:t>
      </w:r>
      <w:r w:rsidR="00774DE2">
        <w:rPr>
          <w:rFonts w:eastAsia="PMingLiU"/>
          <w:lang w:val="en-GB" w:eastAsia="zh-TW"/>
        </w:rPr>
        <w:t>,</w:t>
      </w:r>
      <w:r w:rsidR="00F55A3C" w:rsidRPr="00EE5050">
        <w:rPr>
          <w:rFonts w:eastAsia="PMingLiU"/>
          <w:lang w:val="en-GB" w:eastAsia="zh-TW"/>
        </w:rPr>
        <w:t xml:space="preserve"> i</w:t>
      </w:r>
      <w:r w:rsidR="008B030F" w:rsidRPr="00EE5050">
        <w:rPr>
          <w:rFonts w:eastAsia="PMingLiU"/>
          <w:lang w:val="en-GB" w:eastAsia="zh-TW"/>
        </w:rPr>
        <w:t xml:space="preserve">ncorporating a constitution committee may prove </w:t>
      </w:r>
      <w:r w:rsidR="003C221B" w:rsidRPr="00EE5050">
        <w:rPr>
          <w:rFonts w:eastAsia="PMingLiU"/>
          <w:lang w:val="en-GB" w:eastAsia="zh-TW"/>
        </w:rPr>
        <w:t>overly-</w:t>
      </w:r>
      <w:r w:rsidR="003C221B" w:rsidRPr="00EE5050">
        <w:rPr>
          <w:rFonts w:eastAsia="PMingLiU"/>
          <w:lang w:val="en-GB" w:eastAsia="zh-TW"/>
        </w:rPr>
        <w:lastRenderedPageBreak/>
        <w:t>burdensome</w:t>
      </w:r>
      <w:r w:rsidR="008B030F" w:rsidRPr="00EE5050">
        <w:rPr>
          <w:rFonts w:eastAsia="PMingLiU"/>
          <w:lang w:val="en-GB" w:eastAsia="zh-TW"/>
        </w:rPr>
        <w:t xml:space="preserve"> for the law-making body, and could potentially delay legislation for various reasons if the committee is overw</w:t>
      </w:r>
      <w:r w:rsidR="00931F7F" w:rsidRPr="00EE5050">
        <w:rPr>
          <w:rFonts w:eastAsia="PMingLiU"/>
          <w:lang w:val="en-GB" w:eastAsia="zh-TW"/>
        </w:rPr>
        <w:t xml:space="preserve">helmed or inadequately staffed. </w:t>
      </w:r>
    </w:p>
    <w:p w14:paraId="01D5A558" w14:textId="709D1C15" w:rsidR="00A6060E" w:rsidRPr="00EE5050" w:rsidRDefault="00A6060E" w:rsidP="00A31E24">
      <w:pPr>
        <w:pStyle w:val="NoSpacing"/>
        <w:tabs>
          <w:tab w:val="left" w:pos="993"/>
          <w:tab w:val="left" w:pos="1440"/>
        </w:tabs>
        <w:spacing w:line="480" w:lineRule="auto"/>
        <w:ind w:firstLineChars="295" w:firstLine="708"/>
        <w:jc w:val="both"/>
        <w:rPr>
          <w:rFonts w:eastAsia="PMingLiU"/>
          <w:lang w:val="en-GB" w:eastAsia="zh-TW"/>
        </w:rPr>
      </w:pPr>
      <w:r w:rsidRPr="00EE5050">
        <w:rPr>
          <w:rFonts w:eastAsia="PMingLiU"/>
          <w:lang w:val="en-GB" w:eastAsia="zh-TW"/>
        </w:rPr>
        <w:t>Finally, barriers may arise because of negative perceptions of Legislative Yuan members. A recent conference held by the Brookings Institution</w:t>
      </w:r>
      <w:r w:rsidR="00F55A3C" w:rsidRPr="00EE5050">
        <w:rPr>
          <w:rFonts w:eastAsia="PMingLiU"/>
          <w:lang w:val="en-GB" w:eastAsia="zh-TW"/>
        </w:rPr>
        <w:t xml:space="preserve"> in Washington DC,</w:t>
      </w:r>
      <w:r w:rsidRPr="00EE5050">
        <w:rPr>
          <w:rFonts w:eastAsia="PMingLiU"/>
          <w:lang w:val="en-GB" w:eastAsia="zh-TW"/>
        </w:rPr>
        <w:t xml:space="preserve"> noted that the fist fights among </w:t>
      </w:r>
      <w:r w:rsidR="00795420" w:rsidRPr="00EE5050">
        <w:rPr>
          <w:rFonts w:eastAsia="PMingLiU"/>
          <w:lang w:val="en-GB" w:eastAsia="zh-TW"/>
        </w:rPr>
        <w:t>lawmakers negatively impacted</w:t>
      </w:r>
      <w:r w:rsidRPr="00EE5050">
        <w:rPr>
          <w:rFonts w:eastAsia="PMingLiU"/>
          <w:lang w:val="en-GB" w:eastAsia="zh-TW"/>
        </w:rPr>
        <w:t xml:space="preserve"> </w:t>
      </w:r>
      <w:r w:rsidR="003C221B" w:rsidRPr="00EE5050">
        <w:rPr>
          <w:rFonts w:eastAsia="PMingLiU"/>
          <w:lang w:val="en-GB" w:eastAsia="zh-TW"/>
        </w:rPr>
        <w:t xml:space="preserve">foreign </w:t>
      </w:r>
      <w:r w:rsidR="00702575" w:rsidRPr="00EE5050">
        <w:rPr>
          <w:rFonts w:eastAsia="PMingLiU"/>
          <w:lang w:val="en-GB" w:eastAsia="zh-TW"/>
        </w:rPr>
        <w:t>perceptions of the legislature,</w:t>
      </w:r>
      <w:r w:rsidR="00795420" w:rsidRPr="00EE5050">
        <w:rPr>
          <w:rStyle w:val="FootnoteReference"/>
          <w:rFonts w:eastAsia="PMingLiU"/>
          <w:lang w:val="en-GB" w:eastAsia="zh-TW"/>
        </w:rPr>
        <w:footnoteReference w:id="148"/>
      </w:r>
      <w:r w:rsidR="00702575" w:rsidRPr="00EE5050">
        <w:rPr>
          <w:rFonts w:eastAsia="PMingLiU"/>
          <w:lang w:val="en-GB" w:eastAsia="zh-TW"/>
        </w:rPr>
        <w:t xml:space="preserve"> and d</w:t>
      </w:r>
      <w:r w:rsidR="003C221B" w:rsidRPr="00EE5050">
        <w:rPr>
          <w:rFonts w:eastAsia="PMingLiU"/>
          <w:lang w:val="en-GB" w:eastAsia="zh-TW"/>
        </w:rPr>
        <w:t>uring</w:t>
      </w:r>
      <w:r w:rsidR="00795420" w:rsidRPr="00EE5050">
        <w:rPr>
          <w:rFonts w:eastAsia="PMingLiU"/>
          <w:lang w:val="en-GB" w:eastAsia="zh-TW"/>
        </w:rPr>
        <w:t xml:space="preserve"> the same conference a</w:t>
      </w:r>
      <w:r w:rsidRPr="00EE5050">
        <w:rPr>
          <w:rFonts w:eastAsia="PMingLiU"/>
          <w:lang w:val="en-GB" w:eastAsia="zh-TW"/>
        </w:rPr>
        <w:t xml:space="preserve"> member of the policy think-tank Taipei For</w:t>
      </w:r>
      <w:r w:rsidR="00980307" w:rsidRPr="00EE5050">
        <w:rPr>
          <w:rFonts w:eastAsia="PMingLiU"/>
          <w:lang w:val="en-GB" w:eastAsia="zh-TW"/>
        </w:rPr>
        <w:t>u</w:t>
      </w:r>
      <w:r w:rsidRPr="00EE5050">
        <w:rPr>
          <w:rFonts w:eastAsia="PMingLiU"/>
          <w:lang w:val="en-GB" w:eastAsia="zh-TW"/>
        </w:rPr>
        <w:t xml:space="preserve">m </w:t>
      </w:r>
      <w:r w:rsidR="00795420" w:rsidRPr="00EE5050">
        <w:rPr>
          <w:rFonts w:eastAsia="PMingLiU"/>
          <w:lang w:val="en-GB" w:eastAsia="zh-TW"/>
        </w:rPr>
        <w:t xml:space="preserve">said </w:t>
      </w:r>
      <w:r w:rsidR="00980307" w:rsidRPr="00EE5050">
        <w:rPr>
          <w:rFonts w:eastAsia="PMingLiU"/>
          <w:lang w:val="en-GB" w:eastAsia="zh-TW"/>
        </w:rPr>
        <w:t xml:space="preserve">it was an </w:t>
      </w:r>
      <w:r w:rsidR="00AC357A">
        <w:rPr>
          <w:rFonts w:eastAsia="PMingLiU"/>
          <w:lang w:val="en-GB" w:eastAsia="zh-TW"/>
        </w:rPr>
        <w:t>‘</w:t>
      </w:r>
      <w:r w:rsidR="00980307" w:rsidRPr="00EE5050">
        <w:rPr>
          <w:rFonts w:eastAsia="PMingLiU"/>
          <w:lang w:val="en-GB" w:eastAsia="zh-TW"/>
        </w:rPr>
        <w:t>open secret</w:t>
      </w:r>
      <w:r w:rsidR="00AC357A">
        <w:rPr>
          <w:rFonts w:eastAsia="PMingLiU"/>
          <w:lang w:val="en-GB" w:eastAsia="zh-TW"/>
        </w:rPr>
        <w:t>’</w:t>
      </w:r>
      <w:r w:rsidR="00980307" w:rsidRPr="00EE5050">
        <w:rPr>
          <w:rFonts w:eastAsia="PMingLiU"/>
          <w:lang w:val="en-GB" w:eastAsia="zh-TW"/>
        </w:rPr>
        <w:t xml:space="preserve"> in Taiwan </w:t>
      </w:r>
      <w:r w:rsidRPr="00EE5050">
        <w:rPr>
          <w:rFonts w:eastAsia="PMingLiU"/>
          <w:lang w:val="en-GB" w:eastAsia="zh-TW"/>
        </w:rPr>
        <w:t xml:space="preserve">that legislators were </w:t>
      </w:r>
      <w:r w:rsidR="00AC357A">
        <w:rPr>
          <w:rFonts w:eastAsia="PMingLiU"/>
          <w:lang w:val="en-GB" w:eastAsia="zh-TW"/>
        </w:rPr>
        <w:t>‘</w:t>
      </w:r>
      <w:r w:rsidRPr="00EE5050">
        <w:rPr>
          <w:rFonts w:eastAsia="PMingLiU"/>
          <w:lang w:val="en-GB" w:eastAsia="zh-TW"/>
        </w:rPr>
        <w:t>weak, lazy and ineffective</w:t>
      </w:r>
      <w:r w:rsidR="00AC357A">
        <w:rPr>
          <w:rFonts w:eastAsia="PMingLiU"/>
          <w:lang w:val="en-GB" w:eastAsia="zh-TW"/>
        </w:rPr>
        <w:t>’</w:t>
      </w:r>
      <w:r w:rsidRPr="00EE5050">
        <w:rPr>
          <w:rFonts w:eastAsia="PMingLiU"/>
          <w:lang w:val="en-GB" w:eastAsia="zh-TW"/>
        </w:rPr>
        <w:t>.</w:t>
      </w:r>
      <w:r w:rsidRPr="00EE5050">
        <w:rPr>
          <w:rStyle w:val="FootnoteReference"/>
          <w:rFonts w:eastAsia="PMingLiU"/>
          <w:lang w:val="en-GB" w:eastAsia="zh-TW"/>
        </w:rPr>
        <w:footnoteReference w:id="149"/>
      </w:r>
      <w:r w:rsidR="00795420" w:rsidRPr="00EE5050">
        <w:rPr>
          <w:rFonts w:eastAsia="PMingLiU"/>
          <w:lang w:val="en-GB" w:eastAsia="zh-TW"/>
        </w:rPr>
        <w:t xml:space="preserve"> </w:t>
      </w:r>
      <w:r w:rsidR="00980307" w:rsidRPr="00EE5050">
        <w:rPr>
          <w:rFonts w:eastAsia="PMingLiU"/>
          <w:lang w:val="en-GB" w:eastAsia="zh-TW"/>
        </w:rPr>
        <w:t xml:space="preserve">Scholars have even disparaged Taiwanese politicians, calling them </w:t>
      </w:r>
      <w:r w:rsidR="00AC357A">
        <w:rPr>
          <w:rFonts w:eastAsia="PMingLiU"/>
          <w:lang w:val="en-GB" w:eastAsia="zh-TW"/>
        </w:rPr>
        <w:t>‘</w:t>
      </w:r>
      <w:r w:rsidR="00980307" w:rsidRPr="00EE5050">
        <w:rPr>
          <w:rFonts w:eastAsia="PMingLiU"/>
          <w:lang w:val="en-GB" w:eastAsia="zh-TW"/>
        </w:rPr>
        <w:t>outlaw legislators</w:t>
      </w:r>
      <w:r w:rsidR="00AC357A">
        <w:rPr>
          <w:rFonts w:eastAsia="PMingLiU"/>
          <w:lang w:val="en-GB" w:eastAsia="zh-TW"/>
        </w:rPr>
        <w:t>’</w:t>
      </w:r>
      <w:r w:rsidR="00980307" w:rsidRPr="00EE5050">
        <w:rPr>
          <w:rFonts w:eastAsia="PMingLiU"/>
          <w:lang w:val="en-GB" w:eastAsia="zh-TW"/>
        </w:rPr>
        <w:t>.</w:t>
      </w:r>
      <w:r w:rsidR="00980307" w:rsidRPr="00EE5050">
        <w:rPr>
          <w:rStyle w:val="FootnoteReference"/>
          <w:rFonts w:eastAsia="PMingLiU"/>
          <w:lang w:val="en-GB" w:eastAsia="zh-TW"/>
        </w:rPr>
        <w:footnoteReference w:id="150"/>
      </w:r>
      <w:r w:rsidR="009A7545" w:rsidRPr="00EE5050">
        <w:rPr>
          <w:rFonts w:eastAsia="PMingLiU"/>
          <w:lang w:val="en-GB" w:eastAsia="zh-TW"/>
        </w:rPr>
        <w:t xml:space="preserve"> These negative perceptions could </w:t>
      </w:r>
      <w:r w:rsidR="003C221B" w:rsidRPr="00EE5050">
        <w:rPr>
          <w:rFonts w:eastAsia="PMingLiU"/>
          <w:lang w:val="en-GB" w:eastAsia="zh-TW"/>
        </w:rPr>
        <w:t>certainly</w:t>
      </w:r>
      <w:r w:rsidR="009A7545" w:rsidRPr="00EE5050">
        <w:rPr>
          <w:rFonts w:eastAsia="PMingLiU"/>
          <w:lang w:val="en-GB" w:eastAsia="zh-TW"/>
        </w:rPr>
        <w:t xml:space="preserve"> play a role in the potential expansion </w:t>
      </w:r>
      <w:r w:rsidR="00702575" w:rsidRPr="00EE5050">
        <w:rPr>
          <w:rFonts w:eastAsia="PMingLiU"/>
          <w:lang w:val="en-GB" w:eastAsia="zh-TW"/>
        </w:rPr>
        <w:t>(or status quo</w:t>
      </w:r>
      <w:r w:rsidR="003C221B" w:rsidRPr="00EE5050">
        <w:rPr>
          <w:rFonts w:eastAsia="PMingLiU"/>
          <w:lang w:val="en-GB" w:eastAsia="zh-TW"/>
        </w:rPr>
        <w:t xml:space="preserve">) </w:t>
      </w:r>
      <w:r w:rsidR="00702575" w:rsidRPr="00EE5050">
        <w:rPr>
          <w:rFonts w:eastAsia="PMingLiU"/>
          <w:lang w:val="en-GB" w:eastAsia="zh-TW"/>
        </w:rPr>
        <w:t>regarding the</w:t>
      </w:r>
      <w:r w:rsidR="009A7545" w:rsidRPr="00EE5050">
        <w:rPr>
          <w:rFonts w:eastAsia="PMingLiU"/>
          <w:lang w:val="en-GB" w:eastAsia="zh-TW"/>
        </w:rPr>
        <w:t xml:space="preserve"> constitutional review authority of the Legislative Yuan. </w:t>
      </w:r>
    </w:p>
    <w:p w14:paraId="7C34C47B" w14:textId="77777777" w:rsidR="00702575" w:rsidRPr="00EE5050" w:rsidRDefault="00702575" w:rsidP="004B48BF">
      <w:pPr>
        <w:pStyle w:val="NoSpacing"/>
        <w:tabs>
          <w:tab w:val="left" w:pos="993"/>
          <w:tab w:val="left" w:pos="1440"/>
        </w:tabs>
        <w:spacing w:line="480" w:lineRule="auto"/>
        <w:ind w:firstLineChars="118" w:firstLine="283"/>
        <w:jc w:val="both"/>
        <w:rPr>
          <w:rFonts w:eastAsia="PMingLiU"/>
          <w:lang w:val="en-GB" w:eastAsia="zh-TW"/>
        </w:rPr>
      </w:pPr>
    </w:p>
    <w:p w14:paraId="0F62A6A3" w14:textId="77777777" w:rsidR="004F32AE" w:rsidRPr="00EE5050" w:rsidRDefault="001C7257" w:rsidP="001B0BD0">
      <w:pPr>
        <w:pStyle w:val="NoSpacing"/>
        <w:tabs>
          <w:tab w:val="left" w:pos="993"/>
          <w:tab w:val="left" w:pos="1440"/>
        </w:tabs>
        <w:spacing w:line="480" w:lineRule="auto"/>
        <w:ind w:left="720"/>
        <w:jc w:val="center"/>
        <w:rPr>
          <w:rFonts w:eastAsia="PMingLiU"/>
          <w:b/>
          <w:sz w:val="28"/>
          <w:lang w:val="en-GB" w:eastAsia="zh-TW"/>
        </w:rPr>
      </w:pPr>
      <w:r>
        <w:rPr>
          <w:rFonts w:eastAsia="PMingLiU"/>
          <w:b/>
          <w:sz w:val="28"/>
          <w:lang w:val="en-GB" w:eastAsia="zh-TW"/>
        </w:rPr>
        <w:t>V. </w:t>
      </w:r>
      <w:r w:rsidR="00ED44E9" w:rsidRPr="00EE5050">
        <w:rPr>
          <w:rFonts w:eastAsia="PMingLiU"/>
          <w:b/>
          <w:sz w:val="28"/>
          <w:lang w:val="en-GB" w:eastAsia="zh-TW"/>
        </w:rPr>
        <w:t>Conclusion</w:t>
      </w:r>
    </w:p>
    <w:p w14:paraId="4D3CCA8C" w14:textId="77777777" w:rsidR="005C31DB" w:rsidRPr="00EE5050" w:rsidRDefault="005C31DB" w:rsidP="005C31DB">
      <w:pPr>
        <w:pStyle w:val="NoSpacing"/>
        <w:ind w:left="3544"/>
        <w:jc w:val="both"/>
        <w:rPr>
          <w:rFonts w:eastAsia="PMingLiU"/>
          <w:i/>
          <w:lang w:val="en-GB" w:eastAsia="zh-TW"/>
        </w:rPr>
      </w:pPr>
      <w:r w:rsidRPr="004D5F31">
        <w:rPr>
          <w:rFonts w:eastAsia="PMingLiU"/>
          <w:i/>
          <w:lang w:val="en-GB" w:eastAsia="zh-TW"/>
        </w:rPr>
        <w:t>Whoever hath an absolute authority to interpret any written or spoken laws, it is he who is truly the lawgiver, to all intents and purposes, and not the person who first wrote or spoke them.</w:t>
      </w:r>
      <w:r w:rsidRPr="00084737">
        <w:rPr>
          <w:rStyle w:val="FootnoteReference"/>
          <w:rFonts w:eastAsia="PMingLiU"/>
          <w:lang w:val="en-GB" w:eastAsia="zh-TW"/>
        </w:rPr>
        <w:footnoteReference w:id="151"/>
      </w:r>
    </w:p>
    <w:p w14:paraId="30334B15" w14:textId="77777777" w:rsidR="005C31DB" w:rsidRPr="00EE5050" w:rsidRDefault="005C31DB" w:rsidP="005C31DB">
      <w:pPr>
        <w:pStyle w:val="NoSpacing"/>
        <w:tabs>
          <w:tab w:val="left" w:pos="720"/>
          <w:tab w:val="left" w:pos="1440"/>
        </w:tabs>
        <w:jc w:val="both"/>
        <w:rPr>
          <w:rFonts w:eastAsia="PMingLiU"/>
          <w:i/>
          <w:lang w:val="en-GB" w:eastAsia="zh-TW"/>
        </w:rPr>
      </w:pPr>
    </w:p>
    <w:p w14:paraId="3532DDB9" w14:textId="75B15909" w:rsidR="00754F84" w:rsidRPr="00EE5050" w:rsidRDefault="00754F84" w:rsidP="00ED44E9">
      <w:pPr>
        <w:pStyle w:val="NoSpacing"/>
        <w:tabs>
          <w:tab w:val="left" w:pos="720"/>
          <w:tab w:val="left" w:pos="1440"/>
        </w:tabs>
        <w:spacing w:line="480" w:lineRule="auto"/>
        <w:jc w:val="both"/>
        <w:rPr>
          <w:rFonts w:eastAsia="PMingLiU"/>
          <w:lang w:val="en-GB" w:eastAsia="zh-TW"/>
        </w:rPr>
      </w:pPr>
      <w:r w:rsidRPr="00EE5050">
        <w:rPr>
          <w:rFonts w:eastAsia="PMingLiU"/>
          <w:lang w:val="en-GB" w:eastAsia="zh-TW"/>
        </w:rPr>
        <w:t xml:space="preserve">Some may read this article and say that Taiwan is a young democracy, still attempting to determine </w:t>
      </w:r>
      <w:r w:rsidR="00FD3406">
        <w:rPr>
          <w:rFonts w:eastAsia="PMingLiU"/>
          <w:lang w:val="en-GB" w:eastAsia="zh-TW"/>
        </w:rPr>
        <w:t>its</w:t>
      </w:r>
      <w:r w:rsidR="00FD3406" w:rsidRPr="00EE5050">
        <w:rPr>
          <w:rFonts w:eastAsia="PMingLiU"/>
          <w:lang w:val="en-GB" w:eastAsia="zh-TW"/>
        </w:rPr>
        <w:t xml:space="preserve"> </w:t>
      </w:r>
      <w:r w:rsidRPr="00EE5050">
        <w:rPr>
          <w:rFonts w:eastAsia="PMingLiU"/>
          <w:lang w:val="en-GB" w:eastAsia="zh-TW"/>
        </w:rPr>
        <w:t xml:space="preserve">structure </w:t>
      </w:r>
      <w:r w:rsidR="00BD74D0" w:rsidRPr="00EE5050">
        <w:rPr>
          <w:rFonts w:eastAsia="PMingLiU"/>
          <w:lang w:val="en-GB" w:eastAsia="zh-TW"/>
        </w:rPr>
        <w:t xml:space="preserve">and mechanics </w:t>
      </w:r>
      <w:r w:rsidRPr="00EE5050">
        <w:rPr>
          <w:rFonts w:eastAsia="PMingLiU"/>
          <w:lang w:val="en-GB" w:eastAsia="zh-TW"/>
        </w:rPr>
        <w:t>of constitutional governance. Thus, there is little need to make reforms in regard to legislative interpret</w:t>
      </w:r>
      <w:r w:rsidR="00A221EE" w:rsidRPr="00EE5050">
        <w:rPr>
          <w:rFonts w:eastAsia="PMingLiU"/>
          <w:lang w:val="en-GB" w:eastAsia="zh-TW"/>
        </w:rPr>
        <w:t>ative authority and political versus</w:t>
      </w:r>
      <w:r w:rsidRPr="00EE5050">
        <w:rPr>
          <w:rFonts w:eastAsia="PMingLiU"/>
          <w:lang w:val="en-GB" w:eastAsia="zh-TW"/>
        </w:rPr>
        <w:t xml:space="preserve"> legal constitutionalism. </w:t>
      </w:r>
      <w:r w:rsidR="00AF1A17">
        <w:rPr>
          <w:rFonts w:eastAsia="PMingLiU"/>
          <w:lang w:val="en-GB" w:eastAsia="zh-TW"/>
        </w:rPr>
        <w:t xml:space="preserve">Such </w:t>
      </w:r>
      <w:r w:rsidR="006E6A3C" w:rsidRPr="00EE5050">
        <w:rPr>
          <w:rFonts w:eastAsia="PMingLiU"/>
          <w:lang w:val="en-GB" w:eastAsia="zh-TW"/>
        </w:rPr>
        <w:t xml:space="preserve">arguments </w:t>
      </w:r>
      <w:r w:rsidR="00986A89">
        <w:rPr>
          <w:rFonts w:eastAsia="PMingLiU"/>
          <w:lang w:val="en-GB" w:eastAsia="zh-TW"/>
        </w:rPr>
        <w:t xml:space="preserve">are </w:t>
      </w:r>
      <w:r w:rsidR="00702575" w:rsidRPr="00EE5050">
        <w:rPr>
          <w:rFonts w:eastAsia="PMingLiU"/>
          <w:lang w:val="en-GB" w:eastAsia="zh-TW"/>
        </w:rPr>
        <w:t xml:space="preserve">obtuse and </w:t>
      </w:r>
      <w:r w:rsidR="005F66E9" w:rsidRPr="00EE5050">
        <w:rPr>
          <w:rFonts w:eastAsia="PMingLiU"/>
          <w:lang w:val="en-GB" w:eastAsia="zh-TW"/>
        </w:rPr>
        <w:t>irrelevant</w:t>
      </w:r>
      <w:r w:rsidR="006E6A3C" w:rsidRPr="00EE5050">
        <w:rPr>
          <w:rFonts w:eastAsia="PMingLiU"/>
          <w:lang w:val="en-GB" w:eastAsia="zh-TW"/>
        </w:rPr>
        <w:t xml:space="preserve">. These types of </w:t>
      </w:r>
      <w:r w:rsidR="006E6A3C" w:rsidRPr="00EE5050">
        <w:rPr>
          <w:rFonts w:eastAsia="PMingLiU"/>
          <w:lang w:val="en-GB" w:eastAsia="zh-TW"/>
        </w:rPr>
        <w:lastRenderedPageBreak/>
        <w:t xml:space="preserve">discussions </w:t>
      </w:r>
      <w:r w:rsidR="001531D8" w:rsidRPr="00EE5050">
        <w:rPr>
          <w:rFonts w:eastAsia="PMingLiU"/>
          <w:lang w:val="en-GB" w:eastAsia="zh-TW"/>
        </w:rPr>
        <w:t>are essential, especially</w:t>
      </w:r>
      <w:r w:rsidR="008D6991" w:rsidRPr="00EE5050">
        <w:rPr>
          <w:rFonts w:eastAsia="PMingLiU"/>
          <w:lang w:val="en-GB" w:eastAsia="zh-TW"/>
        </w:rPr>
        <w:t xml:space="preserve"> in young democracies</w:t>
      </w:r>
      <w:r w:rsidR="006E6A3C" w:rsidRPr="00EE5050">
        <w:rPr>
          <w:rFonts w:eastAsia="PMingLiU"/>
          <w:lang w:val="en-GB" w:eastAsia="zh-TW"/>
        </w:rPr>
        <w:t xml:space="preserve">. If </w:t>
      </w:r>
      <w:r w:rsidR="00702575" w:rsidRPr="00EE5050">
        <w:rPr>
          <w:rFonts w:eastAsia="PMingLiU"/>
          <w:lang w:val="en-GB" w:eastAsia="zh-TW"/>
        </w:rPr>
        <w:t xml:space="preserve">they </w:t>
      </w:r>
      <w:r w:rsidR="00A221EE" w:rsidRPr="00EE5050">
        <w:rPr>
          <w:rFonts w:eastAsia="PMingLiU"/>
          <w:lang w:val="en-GB" w:eastAsia="zh-TW"/>
        </w:rPr>
        <w:t>are left for a later period the current overreliance on legal constitutionalism</w:t>
      </w:r>
      <w:r w:rsidR="006E6A3C" w:rsidRPr="00EE5050">
        <w:rPr>
          <w:rFonts w:eastAsia="PMingLiU"/>
          <w:lang w:val="en-GB" w:eastAsia="zh-TW"/>
        </w:rPr>
        <w:t xml:space="preserve"> </w:t>
      </w:r>
      <w:r w:rsidR="00767742" w:rsidRPr="00EE5050">
        <w:rPr>
          <w:rFonts w:eastAsia="PMingLiU"/>
          <w:lang w:val="en-GB" w:eastAsia="zh-TW"/>
        </w:rPr>
        <w:t>will</w:t>
      </w:r>
      <w:r w:rsidR="006E6A3C" w:rsidRPr="00EE5050">
        <w:rPr>
          <w:rFonts w:eastAsia="PMingLiU"/>
          <w:lang w:val="en-GB" w:eastAsia="zh-TW"/>
        </w:rPr>
        <w:t xml:space="preserve"> become </w:t>
      </w:r>
      <w:r w:rsidR="009A7545" w:rsidRPr="00EE5050">
        <w:rPr>
          <w:rFonts w:eastAsia="PMingLiU"/>
          <w:lang w:val="en-GB" w:eastAsia="zh-TW"/>
        </w:rPr>
        <w:t>even more</w:t>
      </w:r>
      <w:r w:rsidR="006E6A3C" w:rsidRPr="00EE5050">
        <w:rPr>
          <w:rFonts w:eastAsia="PMingLiU"/>
          <w:lang w:val="en-GB" w:eastAsia="zh-TW"/>
        </w:rPr>
        <w:t xml:space="preserve"> firmly entrenched, thus diminishing the chances for change at a later date. </w:t>
      </w:r>
      <w:r w:rsidR="004D385A" w:rsidRPr="00EE5050">
        <w:rPr>
          <w:rFonts w:eastAsia="PMingLiU"/>
          <w:lang w:val="en-GB" w:eastAsia="zh-TW"/>
        </w:rPr>
        <w:t>Further, the changes advocate</w:t>
      </w:r>
      <w:r w:rsidR="00521289">
        <w:rPr>
          <w:rFonts w:eastAsia="PMingLiU"/>
          <w:lang w:val="en-GB" w:eastAsia="zh-TW"/>
        </w:rPr>
        <w:t>d here</w:t>
      </w:r>
      <w:r w:rsidR="004D385A" w:rsidRPr="00EE5050">
        <w:rPr>
          <w:rFonts w:eastAsia="PMingLiU"/>
          <w:lang w:val="en-GB" w:eastAsia="zh-TW"/>
        </w:rPr>
        <w:t xml:space="preserve"> in rega</w:t>
      </w:r>
      <w:r w:rsidR="008D6991" w:rsidRPr="00EE5050">
        <w:rPr>
          <w:rFonts w:eastAsia="PMingLiU"/>
          <w:lang w:val="en-GB" w:eastAsia="zh-TW"/>
        </w:rPr>
        <w:t xml:space="preserve">rd to constitutional review are practical and realistic. </w:t>
      </w:r>
      <w:r w:rsidR="005F66E9" w:rsidRPr="00EE5050">
        <w:rPr>
          <w:rFonts w:eastAsia="PMingLiU"/>
          <w:lang w:val="en-GB" w:eastAsia="zh-TW"/>
        </w:rPr>
        <w:t>In fact</w:t>
      </w:r>
      <w:r w:rsidR="008D6991" w:rsidRPr="00EE5050">
        <w:rPr>
          <w:rFonts w:eastAsia="PMingLiU"/>
          <w:lang w:val="en-GB" w:eastAsia="zh-TW"/>
        </w:rPr>
        <w:t xml:space="preserve"> they are </w:t>
      </w:r>
      <w:r w:rsidR="004D385A" w:rsidRPr="00EE5050">
        <w:rPr>
          <w:rFonts w:eastAsia="PMingLiU"/>
          <w:lang w:val="en-GB" w:eastAsia="zh-TW"/>
        </w:rPr>
        <w:t xml:space="preserve">much less dramatic than </w:t>
      </w:r>
      <w:r w:rsidR="00AC357A">
        <w:rPr>
          <w:rFonts w:eastAsia="PMingLiU"/>
          <w:lang w:val="en-GB" w:eastAsia="zh-TW"/>
        </w:rPr>
        <w:t>‘</w:t>
      </w:r>
      <w:r w:rsidR="004D385A" w:rsidRPr="00EE5050">
        <w:rPr>
          <w:rFonts w:eastAsia="PMingLiU"/>
          <w:lang w:val="en-GB" w:eastAsia="zh-TW"/>
        </w:rPr>
        <w:t>abolishing judicial review</w:t>
      </w:r>
      <w:r w:rsidR="00AC357A">
        <w:rPr>
          <w:rFonts w:eastAsia="PMingLiU"/>
          <w:lang w:val="en-GB" w:eastAsia="zh-TW"/>
        </w:rPr>
        <w:t>’</w:t>
      </w:r>
      <w:r w:rsidR="004D385A" w:rsidRPr="00EE5050">
        <w:rPr>
          <w:rStyle w:val="FootnoteReference"/>
          <w:rFonts w:eastAsia="PMingLiU"/>
          <w:lang w:val="en-GB" w:eastAsia="zh-TW"/>
        </w:rPr>
        <w:footnoteReference w:id="152"/>
      </w:r>
      <w:r w:rsidR="004D385A" w:rsidRPr="00EE5050">
        <w:rPr>
          <w:rFonts w:eastAsia="PMingLiU"/>
          <w:lang w:val="en-GB" w:eastAsia="zh-TW"/>
        </w:rPr>
        <w:t xml:space="preserve"> or even laying out a </w:t>
      </w:r>
      <w:r w:rsidR="00AC357A">
        <w:rPr>
          <w:rFonts w:eastAsia="PMingLiU"/>
          <w:lang w:val="en-GB" w:eastAsia="zh-TW"/>
        </w:rPr>
        <w:t>‘</w:t>
      </w:r>
      <w:r w:rsidR="004D385A" w:rsidRPr="00EE5050">
        <w:rPr>
          <w:rFonts w:eastAsia="PMingLiU"/>
          <w:lang w:val="en-GB" w:eastAsia="zh-TW"/>
        </w:rPr>
        <w:t>case against judicial review</w:t>
      </w:r>
      <w:r w:rsidR="00AC357A">
        <w:rPr>
          <w:rFonts w:eastAsia="PMingLiU"/>
          <w:lang w:val="en-GB" w:eastAsia="zh-TW"/>
        </w:rPr>
        <w:t>’</w:t>
      </w:r>
      <w:r w:rsidR="004D385A" w:rsidRPr="00EE5050">
        <w:rPr>
          <w:rFonts w:eastAsia="PMingLiU"/>
          <w:lang w:val="en-GB" w:eastAsia="zh-TW"/>
        </w:rPr>
        <w:t>,</w:t>
      </w:r>
      <w:r w:rsidR="001531D8" w:rsidRPr="00EE5050">
        <w:rPr>
          <w:rStyle w:val="FootnoteReference"/>
          <w:rFonts w:eastAsia="PMingLiU"/>
          <w:lang w:val="en-GB" w:eastAsia="zh-TW"/>
        </w:rPr>
        <w:footnoteReference w:id="153"/>
      </w:r>
      <w:r w:rsidR="004D385A" w:rsidRPr="00EE5050">
        <w:rPr>
          <w:rFonts w:eastAsia="PMingLiU"/>
          <w:lang w:val="en-GB" w:eastAsia="zh-TW"/>
        </w:rPr>
        <w:t xml:space="preserve"> proposed by two very highly </w:t>
      </w:r>
      <w:r w:rsidR="00F74CD9" w:rsidRPr="00EE5050">
        <w:rPr>
          <w:rFonts w:eastAsia="PMingLiU"/>
          <w:lang w:val="en-GB" w:eastAsia="zh-TW"/>
        </w:rPr>
        <w:t>respected</w:t>
      </w:r>
      <w:r w:rsidR="004D385A" w:rsidRPr="00EE5050">
        <w:rPr>
          <w:rFonts w:eastAsia="PMingLiU"/>
          <w:lang w:val="en-GB" w:eastAsia="zh-TW"/>
        </w:rPr>
        <w:t xml:space="preserve"> constitutional law scholars. </w:t>
      </w:r>
    </w:p>
    <w:p w14:paraId="7B70CCC2" w14:textId="2FB1B777" w:rsidR="00ED44E9" w:rsidRPr="00EE5050" w:rsidRDefault="00F74CD9" w:rsidP="00A31E24">
      <w:pPr>
        <w:pStyle w:val="NoSpacing"/>
        <w:tabs>
          <w:tab w:val="left" w:pos="720"/>
          <w:tab w:val="left" w:pos="1440"/>
        </w:tabs>
        <w:spacing w:line="480" w:lineRule="auto"/>
        <w:ind w:firstLine="709"/>
        <w:jc w:val="both"/>
        <w:rPr>
          <w:rFonts w:eastAsia="PMingLiU"/>
          <w:lang w:val="en-GB" w:eastAsia="zh-TW"/>
        </w:rPr>
      </w:pPr>
      <w:r w:rsidRPr="00EE5050">
        <w:rPr>
          <w:rFonts w:eastAsia="PMingLiU"/>
          <w:lang w:val="en-GB" w:eastAsia="zh-TW"/>
        </w:rPr>
        <w:t>Ultimately, Taiwan</w:t>
      </w:r>
      <w:r w:rsidR="00ED44E9" w:rsidRPr="00EE5050">
        <w:rPr>
          <w:rFonts w:eastAsia="PMingLiU"/>
          <w:lang w:val="en-GB" w:eastAsia="zh-TW"/>
        </w:rPr>
        <w:t xml:space="preserve"> must addr</w:t>
      </w:r>
      <w:r w:rsidR="001531D8" w:rsidRPr="00EE5050">
        <w:rPr>
          <w:rFonts w:eastAsia="PMingLiU"/>
          <w:lang w:val="en-GB" w:eastAsia="zh-TW"/>
        </w:rPr>
        <w:t xml:space="preserve">ess the pitfalls of the </w:t>
      </w:r>
      <w:proofErr w:type="spellStart"/>
      <w:r w:rsidR="001531D8" w:rsidRPr="00EE5050">
        <w:rPr>
          <w:rFonts w:eastAsia="PMingLiU"/>
          <w:lang w:val="en-GB" w:eastAsia="zh-TW"/>
        </w:rPr>
        <w:t>counter</w:t>
      </w:r>
      <w:r w:rsidR="00ED44E9" w:rsidRPr="00EE5050">
        <w:rPr>
          <w:rFonts w:eastAsia="PMingLiU"/>
          <w:lang w:val="en-GB" w:eastAsia="zh-TW"/>
        </w:rPr>
        <w:t>majoritarian</w:t>
      </w:r>
      <w:proofErr w:type="spellEnd"/>
      <w:r w:rsidR="00ED44E9" w:rsidRPr="00EE5050">
        <w:rPr>
          <w:rFonts w:eastAsia="PMingLiU"/>
          <w:lang w:val="en-GB" w:eastAsia="zh-TW"/>
        </w:rPr>
        <w:t xml:space="preserve"> difficulty</w:t>
      </w:r>
      <w:r w:rsidR="002418C0" w:rsidRPr="00EE5050">
        <w:rPr>
          <w:rFonts w:eastAsia="PMingLiU"/>
          <w:lang w:val="en-GB" w:eastAsia="zh-TW"/>
        </w:rPr>
        <w:t xml:space="preserve"> and judicial overhang</w:t>
      </w:r>
      <w:r w:rsidR="005F66E9" w:rsidRPr="00EE5050">
        <w:rPr>
          <w:rFonts w:eastAsia="PMingLiU"/>
          <w:lang w:val="en-GB" w:eastAsia="zh-TW"/>
        </w:rPr>
        <w:t xml:space="preserve"> and</w:t>
      </w:r>
      <w:r w:rsidR="008D6991" w:rsidRPr="00EE5050">
        <w:rPr>
          <w:rFonts w:eastAsia="PMingLiU"/>
          <w:lang w:val="en-GB" w:eastAsia="zh-TW"/>
        </w:rPr>
        <w:t xml:space="preserve"> it must </w:t>
      </w:r>
      <w:r w:rsidR="005F66E9" w:rsidRPr="00EE5050">
        <w:rPr>
          <w:rFonts w:eastAsia="PMingLiU"/>
          <w:lang w:val="en-GB" w:eastAsia="zh-TW"/>
        </w:rPr>
        <w:t>confront</w:t>
      </w:r>
      <w:r w:rsidR="008D6991" w:rsidRPr="00EE5050">
        <w:rPr>
          <w:rFonts w:eastAsia="PMingLiU"/>
          <w:lang w:val="en-GB" w:eastAsia="zh-TW"/>
        </w:rPr>
        <w:t xml:space="preserve"> </w:t>
      </w:r>
      <w:r w:rsidR="002049E9" w:rsidRPr="00EE5050">
        <w:rPr>
          <w:rFonts w:eastAsia="PMingLiU"/>
          <w:lang w:val="en-GB" w:eastAsia="zh-TW"/>
        </w:rPr>
        <w:t>its</w:t>
      </w:r>
      <w:r w:rsidR="004D385A" w:rsidRPr="00EE5050">
        <w:rPr>
          <w:rFonts w:eastAsia="PMingLiU"/>
          <w:lang w:val="en-GB" w:eastAsia="zh-TW"/>
        </w:rPr>
        <w:t xml:space="preserve"> over-reliance on legal constitutionalism</w:t>
      </w:r>
      <w:r w:rsidR="00ED44E9" w:rsidRPr="00EE5050">
        <w:rPr>
          <w:rFonts w:eastAsia="PMingLiU"/>
          <w:lang w:val="en-GB" w:eastAsia="zh-TW"/>
        </w:rPr>
        <w:t xml:space="preserve">. This is especially apparent if </w:t>
      </w:r>
      <w:r w:rsidR="005F66E9" w:rsidRPr="00EE5050">
        <w:rPr>
          <w:rFonts w:eastAsia="PMingLiU"/>
          <w:lang w:val="en-GB" w:eastAsia="zh-TW"/>
        </w:rPr>
        <w:t>Taiwan</w:t>
      </w:r>
      <w:r w:rsidR="00ED44E9" w:rsidRPr="00EE5050">
        <w:rPr>
          <w:rFonts w:eastAsia="PMingLiU"/>
          <w:lang w:val="en-GB" w:eastAsia="zh-TW"/>
        </w:rPr>
        <w:t xml:space="preserve"> continue</w:t>
      </w:r>
      <w:r w:rsidR="005F66E9" w:rsidRPr="00EE5050">
        <w:rPr>
          <w:rFonts w:eastAsia="PMingLiU"/>
          <w:lang w:val="en-GB" w:eastAsia="zh-TW"/>
        </w:rPr>
        <w:t>s</w:t>
      </w:r>
      <w:r w:rsidR="00ED44E9" w:rsidRPr="00EE5050">
        <w:rPr>
          <w:rFonts w:eastAsia="PMingLiU"/>
          <w:lang w:val="en-GB" w:eastAsia="zh-TW"/>
        </w:rPr>
        <w:t xml:space="preserve"> with the status quo, allowing th</w:t>
      </w:r>
      <w:r w:rsidR="002049E9" w:rsidRPr="00EE5050">
        <w:rPr>
          <w:rFonts w:eastAsia="PMingLiU"/>
          <w:lang w:val="en-GB" w:eastAsia="zh-TW"/>
        </w:rPr>
        <w:t xml:space="preserve">e Constitutional Court, as wise, </w:t>
      </w:r>
      <w:r w:rsidR="00B347AE" w:rsidRPr="00EE5050">
        <w:rPr>
          <w:rFonts w:eastAsia="PMingLiU"/>
          <w:lang w:val="en-GB" w:eastAsia="zh-TW"/>
        </w:rPr>
        <w:t xml:space="preserve">just </w:t>
      </w:r>
      <w:r w:rsidR="002049E9" w:rsidRPr="00EE5050">
        <w:rPr>
          <w:rFonts w:eastAsia="PMingLiU"/>
          <w:lang w:val="en-GB" w:eastAsia="zh-TW"/>
        </w:rPr>
        <w:t xml:space="preserve">and respected </w:t>
      </w:r>
      <w:r w:rsidR="00ED44E9" w:rsidRPr="00EE5050">
        <w:rPr>
          <w:rFonts w:eastAsia="PMingLiU"/>
          <w:lang w:val="en-GB" w:eastAsia="zh-TW"/>
        </w:rPr>
        <w:t>as they may be, to adjudicate the most important</w:t>
      </w:r>
      <w:r w:rsidR="005F66E9" w:rsidRPr="00EE5050">
        <w:rPr>
          <w:rFonts w:eastAsia="PMingLiU"/>
          <w:lang w:val="en-GB" w:eastAsia="zh-TW"/>
        </w:rPr>
        <w:t xml:space="preserve"> </w:t>
      </w:r>
      <w:r w:rsidRPr="00EE5050">
        <w:rPr>
          <w:rFonts w:eastAsia="PMingLiU"/>
          <w:lang w:val="en-GB" w:eastAsia="zh-TW"/>
        </w:rPr>
        <w:t>issues of the day</w:t>
      </w:r>
      <w:r w:rsidR="00ED44E9" w:rsidRPr="00EE5050">
        <w:rPr>
          <w:rFonts w:eastAsia="PMingLiU"/>
          <w:lang w:val="en-GB" w:eastAsia="zh-TW"/>
        </w:rPr>
        <w:t xml:space="preserve">. At some point a more perfect balance between </w:t>
      </w:r>
      <w:r w:rsidR="008D6991" w:rsidRPr="00EE5050">
        <w:rPr>
          <w:rFonts w:eastAsia="PMingLiU"/>
          <w:lang w:val="en-GB" w:eastAsia="zh-TW"/>
        </w:rPr>
        <w:t xml:space="preserve">legal and political </w:t>
      </w:r>
      <w:r w:rsidR="00ED44E9" w:rsidRPr="00EE5050">
        <w:rPr>
          <w:rFonts w:eastAsia="PMingLiU"/>
          <w:lang w:val="en-GB" w:eastAsia="zh-TW"/>
        </w:rPr>
        <w:t>c</w:t>
      </w:r>
      <w:r w:rsidR="008D6991" w:rsidRPr="00EE5050">
        <w:rPr>
          <w:rFonts w:eastAsia="PMingLiU"/>
          <w:lang w:val="en-GB" w:eastAsia="zh-TW"/>
        </w:rPr>
        <w:t>onstitutionalism must develop</w:t>
      </w:r>
      <w:r w:rsidR="00AF1A17">
        <w:rPr>
          <w:rFonts w:eastAsia="PMingLiU"/>
          <w:lang w:val="en-GB" w:eastAsia="zh-TW"/>
        </w:rPr>
        <w:t>,</w:t>
      </w:r>
      <w:r w:rsidR="00ED44E9" w:rsidRPr="00EE5050">
        <w:rPr>
          <w:rFonts w:eastAsia="PMingLiU"/>
          <w:lang w:val="en-GB" w:eastAsia="zh-TW"/>
        </w:rPr>
        <w:t xml:space="preserve"> and there is no reason for the Legislative Yuan to hold back on this for maturity</w:t>
      </w:r>
      <w:r w:rsidR="00AC357A">
        <w:rPr>
          <w:rFonts w:eastAsia="PMingLiU"/>
          <w:lang w:val="en-GB" w:eastAsia="zh-TW"/>
        </w:rPr>
        <w:t>’</w:t>
      </w:r>
      <w:r w:rsidR="00ED44E9" w:rsidRPr="00EE5050">
        <w:rPr>
          <w:rFonts w:eastAsia="PMingLiU"/>
          <w:lang w:val="en-GB" w:eastAsia="zh-TW"/>
        </w:rPr>
        <w:t xml:space="preserve">s sake. </w:t>
      </w:r>
    </w:p>
    <w:sectPr w:rsidR="00ED44E9" w:rsidRPr="00EE5050" w:rsidSect="007E151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0A841" w14:textId="77777777" w:rsidR="00510EED" w:rsidRDefault="00510EED" w:rsidP="00CE4CE7">
      <w:r>
        <w:separator/>
      </w:r>
    </w:p>
  </w:endnote>
  <w:endnote w:type="continuationSeparator" w:id="0">
    <w:p w14:paraId="4F942FD4" w14:textId="77777777" w:rsidR="00510EED" w:rsidRDefault="00510EED" w:rsidP="00CE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Italic">
    <w:panose1 w:val="0202050305040509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AC8F" w14:textId="77777777" w:rsidR="00F55FAE" w:rsidRDefault="00F55FAE">
    <w:pPr>
      <w:pStyle w:val="Footer"/>
      <w:jc w:val="right"/>
    </w:pPr>
  </w:p>
  <w:p w14:paraId="6E821DB3" w14:textId="77777777" w:rsidR="00F55FAE" w:rsidRDefault="00F55FAE" w:rsidP="006333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61E94" w14:textId="77777777" w:rsidR="00510EED" w:rsidRDefault="00510EED" w:rsidP="00CE4CE7">
      <w:r>
        <w:separator/>
      </w:r>
    </w:p>
  </w:footnote>
  <w:footnote w:type="continuationSeparator" w:id="0">
    <w:p w14:paraId="1EE6DA61" w14:textId="77777777" w:rsidR="00510EED" w:rsidRDefault="00510EED" w:rsidP="00CE4CE7">
      <w:r>
        <w:continuationSeparator/>
      </w:r>
    </w:p>
  </w:footnote>
  <w:footnote w:id="1">
    <w:p w14:paraId="6C8208A4" w14:textId="4FD81A2F" w:rsidR="009C5B3A" w:rsidRDefault="00F55FAE" w:rsidP="009C5B3A">
      <w:pPr>
        <w:pStyle w:val="FootnoteText"/>
        <w:jc w:val="both"/>
      </w:pPr>
      <w:r>
        <w:rPr>
          <w:rStyle w:val="FootnoteReference"/>
        </w:rPr>
        <w:sym w:font="Symbol" w:char="F02A"/>
      </w:r>
      <w:r>
        <w:t xml:space="preserve"> </w:t>
      </w:r>
      <w:r w:rsidR="009C5B3A">
        <w:t>Lecturer in Public Law, Liverpool Hope University. The author wishes to thank Yen-</w:t>
      </w:r>
      <w:proofErr w:type="spellStart"/>
      <w:r w:rsidR="009C5B3A">
        <w:t>Tu</w:t>
      </w:r>
      <w:proofErr w:type="spellEnd"/>
      <w:r w:rsidR="009C5B3A">
        <w:t xml:space="preserve"> Su (</w:t>
      </w:r>
      <w:proofErr w:type="spellStart"/>
      <w:r w:rsidR="009C5B3A" w:rsidRPr="008A7352">
        <w:t>Institutum</w:t>
      </w:r>
      <w:proofErr w:type="spellEnd"/>
      <w:r w:rsidR="009C5B3A" w:rsidRPr="008A7352">
        <w:t xml:space="preserve"> </w:t>
      </w:r>
      <w:proofErr w:type="spellStart"/>
      <w:r w:rsidR="009C5B3A" w:rsidRPr="008A7352">
        <w:t>Iurisprudentiae</w:t>
      </w:r>
      <w:proofErr w:type="spellEnd"/>
      <w:r w:rsidR="009C5B3A" w:rsidRPr="008A7352">
        <w:t xml:space="preserve">, Academia </w:t>
      </w:r>
      <w:proofErr w:type="spellStart"/>
      <w:r w:rsidR="009C5B3A" w:rsidRPr="008A7352">
        <w:t>Sinica</w:t>
      </w:r>
      <w:proofErr w:type="spellEnd"/>
      <w:r w:rsidR="009C5B3A">
        <w:t xml:space="preserve">) for his insightful comments throughout the writing of this piece, and also Ying-Fan Liao, for her excellent research assistance. Any errors are the author’s alone. The author can be reached at: </w:t>
      </w:r>
      <w:r w:rsidR="00BD59D7">
        <w:t>brianchristopherjones@gmail.com</w:t>
      </w:r>
      <w:r w:rsidR="00946814">
        <w:t>.</w:t>
      </w:r>
    </w:p>
  </w:footnote>
  <w:footnote w:id="2">
    <w:p w14:paraId="7369EF55" w14:textId="276ECFE2" w:rsidR="00F55FAE" w:rsidRPr="004B6DE6"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427B24">
        <w:rPr>
          <w:lang w:val="en-GB"/>
        </w:rPr>
        <w:t>See</w:t>
      </w:r>
      <w:r w:rsidRPr="009600BE">
        <w:rPr>
          <w:lang w:val="en-GB"/>
        </w:rPr>
        <w:t xml:space="preserve"> </w:t>
      </w:r>
      <w:r w:rsidRPr="00427B24">
        <w:rPr>
          <w:lang w:val="en-GB"/>
        </w:rPr>
        <w:t>generally</w:t>
      </w:r>
      <w:r>
        <w:rPr>
          <w:lang w:val="en-GB"/>
        </w:rPr>
        <w:t xml:space="preserve"> P</w:t>
      </w:r>
      <w:r w:rsidRPr="00E725AB">
        <w:rPr>
          <w:lang w:val="en-GB"/>
        </w:rPr>
        <w:t xml:space="preserve"> Brest, </w:t>
      </w:r>
      <w:r>
        <w:rPr>
          <w:lang w:val="en-GB"/>
        </w:rPr>
        <w:t>‘</w:t>
      </w:r>
      <w:r w:rsidRPr="002768AD">
        <w:rPr>
          <w:lang w:val="en-GB"/>
        </w:rPr>
        <w:t>The Conscientious Legislator</w:t>
      </w:r>
      <w:r>
        <w:rPr>
          <w:lang w:val="en-GB"/>
        </w:rPr>
        <w:t>’</w:t>
      </w:r>
      <w:r w:rsidRPr="002768AD">
        <w:rPr>
          <w:lang w:val="en-GB"/>
        </w:rPr>
        <w:t>s Guide to Constitutional Interpretation</w:t>
      </w:r>
      <w:r>
        <w:rPr>
          <w:lang w:val="en-GB"/>
        </w:rPr>
        <w:t>’ (1975)</w:t>
      </w:r>
      <w:r w:rsidRPr="00E725AB">
        <w:rPr>
          <w:lang w:val="en-GB"/>
        </w:rPr>
        <w:t xml:space="preserve"> 27 </w:t>
      </w:r>
      <w:r w:rsidRPr="004B6DE6">
        <w:rPr>
          <w:rFonts w:ascii="Times New Roman Italic" w:hAnsi="Times New Roman Italic"/>
          <w:i/>
          <w:lang w:val="en-GB"/>
        </w:rPr>
        <w:t xml:space="preserve">Stanford Law Review </w:t>
      </w:r>
      <w:r>
        <w:rPr>
          <w:lang w:val="en-GB"/>
        </w:rPr>
        <w:t>585; WF</w:t>
      </w:r>
      <w:r w:rsidRPr="00E725AB">
        <w:rPr>
          <w:lang w:val="en-GB"/>
        </w:rPr>
        <w:t xml:space="preserve"> Murphy, </w:t>
      </w:r>
      <w:r>
        <w:rPr>
          <w:lang w:val="en-GB"/>
        </w:rPr>
        <w:t>‘</w:t>
      </w:r>
      <w:r w:rsidRPr="002768AD">
        <w:rPr>
          <w:lang w:val="en-GB"/>
        </w:rPr>
        <w:t>Who Shall Interpret? The Quest for the Ultimate Constitutional Interpreter</w:t>
      </w:r>
      <w:r>
        <w:rPr>
          <w:lang w:val="en-GB"/>
        </w:rPr>
        <w:t>’</w:t>
      </w:r>
      <w:r w:rsidRPr="00E725AB">
        <w:rPr>
          <w:lang w:val="en-GB"/>
        </w:rPr>
        <w:t xml:space="preserve"> </w:t>
      </w:r>
      <w:r>
        <w:rPr>
          <w:lang w:val="en-GB"/>
        </w:rPr>
        <w:t xml:space="preserve">(1986) </w:t>
      </w:r>
      <w:r w:rsidRPr="00E725AB">
        <w:rPr>
          <w:lang w:val="en-GB"/>
        </w:rPr>
        <w:t xml:space="preserve">48 </w:t>
      </w:r>
      <w:r w:rsidRPr="004B6DE6">
        <w:rPr>
          <w:rFonts w:ascii="Times New Roman Italic" w:hAnsi="Times New Roman Italic"/>
          <w:i/>
          <w:lang w:val="en-GB"/>
        </w:rPr>
        <w:t>Review of Politics</w:t>
      </w:r>
      <w:r>
        <w:rPr>
          <w:lang w:val="en-GB"/>
        </w:rPr>
        <w:t xml:space="preserve"> 401</w:t>
      </w:r>
      <w:r w:rsidRPr="00E725AB">
        <w:rPr>
          <w:lang w:val="en-GB"/>
        </w:rPr>
        <w:t xml:space="preserve">; </w:t>
      </w:r>
      <w:r>
        <w:rPr>
          <w:lang w:val="en-GB"/>
        </w:rPr>
        <w:t>L</w:t>
      </w:r>
      <w:r w:rsidRPr="004B6DE6">
        <w:rPr>
          <w:lang w:val="en-GB"/>
        </w:rPr>
        <w:t xml:space="preserve"> </w:t>
      </w:r>
      <w:r>
        <w:rPr>
          <w:lang w:val="en-GB"/>
        </w:rPr>
        <w:t>F</w:t>
      </w:r>
      <w:r w:rsidRPr="004B6DE6">
        <w:rPr>
          <w:lang w:val="en-GB"/>
        </w:rPr>
        <w:t xml:space="preserve">isher, </w:t>
      </w:r>
      <w:r w:rsidRPr="004B6DE6">
        <w:rPr>
          <w:i/>
          <w:lang w:val="en-GB"/>
        </w:rPr>
        <w:t>Constitutional Dialogues: Interpretation As Political Process</w:t>
      </w:r>
      <w:r w:rsidRPr="004B6DE6">
        <w:rPr>
          <w:lang w:val="en-GB"/>
        </w:rPr>
        <w:t xml:space="preserve"> (</w:t>
      </w:r>
      <w:r>
        <w:rPr>
          <w:lang w:val="en-GB"/>
        </w:rPr>
        <w:t xml:space="preserve">Princeton University Press, Princeton, </w:t>
      </w:r>
      <w:r w:rsidRPr="004B6DE6">
        <w:rPr>
          <w:lang w:val="en-GB"/>
        </w:rPr>
        <w:t xml:space="preserve">1988); </w:t>
      </w:r>
      <w:r>
        <w:rPr>
          <w:lang w:val="en-GB"/>
        </w:rPr>
        <w:t>B</w:t>
      </w:r>
      <w:r w:rsidRPr="004B6DE6">
        <w:rPr>
          <w:lang w:val="en-GB"/>
        </w:rPr>
        <w:t xml:space="preserve"> Ackerman, </w:t>
      </w:r>
      <w:r w:rsidRPr="004B6DE6">
        <w:rPr>
          <w:i/>
          <w:lang w:val="en-GB"/>
        </w:rPr>
        <w:t>We The People, Volume 1: Foundations</w:t>
      </w:r>
      <w:r w:rsidRPr="004B6DE6">
        <w:rPr>
          <w:lang w:val="en-GB"/>
        </w:rPr>
        <w:t xml:space="preserve"> (</w:t>
      </w:r>
      <w:r>
        <w:rPr>
          <w:lang w:val="en-GB"/>
        </w:rPr>
        <w:t>Harvard University Press, Cambridge, 1993); M</w:t>
      </w:r>
      <w:r w:rsidRPr="004B6DE6">
        <w:rPr>
          <w:lang w:val="en-GB"/>
        </w:rPr>
        <w:t xml:space="preserve"> </w:t>
      </w:r>
      <w:proofErr w:type="spellStart"/>
      <w:r w:rsidRPr="004B6DE6">
        <w:rPr>
          <w:lang w:val="en-GB"/>
        </w:rPr>
        <w:t>Tushnet</w:t>
      </w:r>
      <w:proofErr w:type="spellEnd"/>
      <w:r w:rsidRPr="004B6DE6">
        <w:rPr>
          <w:lang w:val="en-GB"/>
        </w:rPr>
        <w:t xml:space="preserve">, </w:t>
      </w:r>
      <w:r w:rsidRPr="004B6DE6">
        <w:rPr>
          <w:i/>
          <w:lang w:val="en-GB"/>
        </w:rPr>
        <w:t xml:space="preserve">Taking The Constitution Away </w:t>
      </w:r>
      <w:r>
        <w:rPr>
          <w:i/>
          <w:lang w:val="en-GB"/>
        </w:rPr>
        <w:t>f</w:t>
      </w:r>
      <w:r w:rsidRPr="004B6DE6">
        <w:rPr>
          <w:i/>
          <w:lang w:val="en-GB"/>
        </w:rPr>
        <w:t xml:space="preserve">rom </w:t>
      </w:r>
      <w:r>
        <w:rPr>
          <w:i/>
          <w:lang w:val="en-GB"/>
        </w:rPr>
        <w:t>t</w:t>
      </w:r>
      <w:r w:rsidRPr="004B6DE6">
        <w:rPr>
          <w:i/>
          <w:lang w:val="en-GB"/>
        </w:rPr>
        <w:t>he Courts</w:t>
      </w:r>
      <w:r w:rsidRPr="004B6DE6">
        <w:rPr>
          <w:lang w:val="en-GB"/>
        </w:rPr>
        <w:t xml:space="preserve"> (</w:t>
      </w:r>
      <w:r>
        <w:rPr>
          <w:lang w:val="en-GB"/>
        </w:rPr>
        <w:t xml:space="preserve">Princeton University Press, Princeton, </w:t>
      </w:r>
      <w:r w:rsidRPr="004B6DE6">
        <w:rPr>
          <w:lang w:val="en-GB"/>
        </w:rPr>
        <w:t xml:space="preserve">1999); </w:t>
      </w:r>
      <w:r>
        <w:rPr>
          <w:lang w:val="en-GB"/>
        </w:rPr>
        <w:t xml:space="preserve">J Waldron, </w:t>
      </w:r>
      <w:r w:rsidRPr="00B14ADE">
        <w:rPr>
          <w:i/>
          <w:lang w:val="en-GB"/>
        </w:rPr>
        <w:t>Law and Disagreement</w:t>
      </w:r>
      <w:r w:rsidRPr="004B6DE6">
        <w:rPr>
          <w:lang w:val="en-GB"/>
        </w:rPr>
        <w:t xml:space="preserve"> (</w:t>
      </w:r>
      <w:r>
        <w:rPr>
          <w:lang w:val="en-GB"/>
        </w:rPr>
        <w:t xml:space="preserve">Oxford University Press, Oxford, </w:t>
      </w:r>
      <w:r w:rsidRPr="004B6DE6">
        <w:rPr>
          <w:lang w:val="en-GB"/>
        </w:rPr>
        <w:t xml:space="preserve">1999); </w:t>
      </w:r>
      <w:r>
        <w:rPr>
          <w:lang w:val="en-GB"/>
        </w:rPr>
        <w:t xml:space="preserve">J Waldron, </w:t>
      </w:r>
      <w:r w:rsidRPr="00B14ADE">
        <w:rPr>
          <w:i/>
          <w:lang w:val="en-GB"/>
        </w:rPr>
        <w:t>The Dignity of Legislation</w:t>
      </w:r>
      <w:r w:rsidRPr="004B6DE6">
        <w:rPr>
          <w:lang w:val="en-GB"/>
        </w:rPr>
        <w:t xml:space="preserve"> (</w:t>
      </w:r>
      <w:r>
        <w:rPr>
          <w:lang w:val="en-GB"/>
        </w:rPr>
        <w:t xml:space="preserve">Cambridge University Press, Cambridge, 1999); E Garrett </w:t>
      </w:r>
      <w:r w:rsidR="00095871">
        <w:rPr>
          <w:lang w:val="en-GB"/>
        </w:rPr>
        <w:t>and</w:t>
      </w:r>
      <w:r>
        <w:rPr>
          <w:lang w:val="en-GB"/>
        </w:rPr>
        <w:t xml:space="preserve"> A</w:t>
      </w:r>
      <w:r w:rsidRPr="004B6DE6">
        <w:rPr>
          <w:lang w:val="en-GB"/>
        </w:rPr>
        <w:t xml:space="preserve"> </w:t>
      </w:r>
      <w:proofErr w:type="spellStart"/>
      <w:r w:rsidRPr="004B6DE6">
        <w:rPr>
          <w:lang w:val="en-GB"/>
        </w:rPr>
        <w:t>Vermeule</w:t>
      </w:r>
      <w:proofErr w:type="spellEnd"/>
      <w:r w:rsidRPr="004B6DE6">
        <w:rPr>
          <w:lang w:val="en-GB"/>
        </w:rPr>
        <w:t xml:space="preserve">, </w:t>
      </w:r>
      <w:r>
        <w:rPr>
          <w:lang w:val="en-GB"/>
        </w:rPr>
        <w:t>‘</w:t>
      </w:r>
      <w:r w:rsidRPr="004B6DE6">
        <w:rPr>
          <w:lang w:val="en-GB"/>
        </w:rPr>
        <w:t xml:space="preserve">Institutional Design of a </w:t>
      </w:r>
      <w:proofErr w:type="spellStart"/>
      <w:r w:rsidRPr="004B6DE6">
        <w:rPr>
          <w:lang w:val="en-GB"/>
        </w:rPr>
        <w:t>Thayerian</w:t>
      </w:r>
      <w:proofErr w:type="spellEnd"/>
      <w:r w:rsidRPr="004B6DE6">
        <w:rPr>
          <w:lang w:val="en-GB"/>
        </w:rPr>
        <w:t xml:space="preserve"> Congress</w:t>
      </w:r>
      <w:r>
        <w:rPr>
          <w:lang w:val="en-GB"/>
        </w:rPr>
        <w:t>’</w:t>
      </w:r>
      <w:r w:rsidRPr="004B6DE6">
        <w:rPr>
          <w:lang w:val="en-GB"/>
        </w:rPr>
        <w:t xml:space="preserve"> </w:t>
      </w:r>
      <w:r>
        <w:rPr>
          <w:lang w:val="en-GB"/>
        </w:rPr>
        <w:t xml:space="preserve">(2000–2001) </w:t>
      </w:r>
      <w:r w:rsidRPr="004B6DE6">
        <w:rPr>
          <w:lang w:val="en-GB"/>
        </w:rPr>
        <w:t xml:space="preserve">50 </w:t>
      </w:r>
      <w:r w:rsidRPr="00B14ADE">
        <w:rPr>
          <w:i/>
          <w:lang w:val="en-GB"/>
        </w:rPr>
        <w:t>Duke Law Journal</w:t>
      </w:r>
      <w:r w:rsidRPr="004B6DE6">
        <w:rPr>
          <w:lang w:val="en-GB"/>
        </w:rPr>
        <w:t xml:space="preserve"> </w:t>
      </w:r>
      <w:r>
        <w:rPr>
          <w:lang w:val="en-GB"/>
        </w:rPr>
        <w:t>1277</w:t>
      </w:r>
      <w:r w:rsidRPr="004B6DE6">
        <w:rPr>
          <w:lang w:val="en-GB"/>
        </w:rPr>
        <w:t xml:space="preserve">; </w:t>
      </w:r>
      <w:r>
        <w:rPr>
          <w:lang w:val="en-GB"/>
        </w:rPr>
        <w:t xml:space="preserve">N </w:t>
      </w:r>
      <w:proofErr w:type="spellStart"/>
      <w:r>
        <w:rPr>
          <w:lang w:val="en-GB"/>
        </w:rPr>
        <w:t>Devins</w:t>
      </w:r>
      <w:proofErr w:type="spellEnd"/>
      <w:r>
        <w:rPr>
          <w:lang w:val="en-GB"/>
        </w:rPr>
        <w:t xml:space="preserve"> </w:t>
      </w:r>
      <w:r w:rsidR="00095871">
        <w:rPr>
          <w:lang w:val="en-GB"/>
        </w:rPr>
        <w:t>and</w:t>
      </w:r>
      <w:r>
        <w:rPr>
          <w:lang w:val="en-GB"/>
        </w:rPr>
        <w:t xml:space="preserve"> L</w:t>
      </w:r>
      <w:r w:rsidRPr="004B6DE6">
        <w:rPr>
          <w:lang w:val="en-GB"/>
        </w:rPr>
        <w:t xml:space="preserve"> Fisher, </w:t>
      </w:r>
      <w:r w:rsidRPr="00B14ADE">
        <w:rPr>
          <w:i/>
          <w:lang w:val="en-GB"/>
        </w:rPr>
        <w:t>The Democratic Constitution</w:t>
      </w:r>
      <w:r w:rsidRPr="004B6DE6">
        <w:rPr>
          <w:lang w:val="en-GB"/>
        </w:rPr>
        <w:t xml:space="preserve"> (</w:t>
      </w:r>
      <w:r>
        <w:rPr>
          <w:lang w:val="en-GB"/>
        </w:rPr>
        <w:t xml:space="preserve">Oxford University Press, Oxford, </w:t>
      </w:r>
      <w:r w:rsidRPr="004B6DE6">
        <w:rPr>
          <w:lang w:val="en-GB"/>
        </w:rPr>
        <w:t xml:space="preserve">2004); </w:t>
      </w:r>
      <w:r>
        <w:rPr>
          <w:lang w:val="en-GB"/>
        </w:rPr>
        <w:t>N</w:t>
      </w:r>
      <w:r w:rsidRPr="004B6DE6">
        <w:rPr>
          <w:lang w:val="en-GB"/>
        </w:rPr>
        <w:t xml:space="preserve"> </w:t>
      </w:r>
      <w:proofErr w:type="spellStart"/>
      <w:r w:rsidRPr="004B6DE6">
        <w:rPr>
          <w:lang w:val="en-GB"/>
        </w:rPr>
        <w:t>Devins</w:t>
      </w:r>
      <w:proofErr w:type="spellEnd"/>
      <w:r w:rsidRPr="004B6DE6">
        <w:rPr>
          <w:lang w:val="en-GB"/>
        </w:rPr>
        <w:t xml:space="preserve"> </w:t>
      </w:r>
      <w:r w:rsidR="00095871">
        <w:rPr>
          <w:lang w:val="en-GB"/>
        </w:rPr>
        <w:t>and</w:t>
      </w:r>
      <w:r w:rsidRPr="004B6DE6">
        <w:rPr>
          <w:lang w:val="en-GB"/>
        </w:rPr>
        <w:t xml:space="preserve"> </w:t>
      </w:r>
      <w:r>
        <w:rPr>
          <w:lang w:val="en-GB"/>
        </w:rPr>
        <w:t>KE Whittington</w:t>
      </w:r>
      <w:r w:rsidR="00961BBC">
        <w:rPr>
          <w:lang w:val="en-GB"/>
        </w:rPr>
        <w:t xml:space="preserve"> (eds.)</w:t>
      </w:r>
      <w:r>
        <w:rPr>
          <w:lang w:val="en-GB"/>
        </w:rPr>
        <w:t xml:space="preserve">, </w:t>
      </w:r>
      <w:r w:rsidRPr="00B14ADE">
        <w:rPr>
          <w:i/>
          <w:lang w:val="en-GB"/>
        </w:rPr>
        <w:t>Congress and the Constitution</w:t>
      </w:r>
      <w:r w:rsidRPr="004B6DE6">
        <w:rPr>
          <w:lang w:val="en-GB"/>
        </w:rPr>
        <w:t xml:space="preserve"> (</w:t>
      </w:r>
      <w:r>
        <w:rPr>
          <w:lang w:val="en-GB"/>
        </w:rPr>
        <w:t>Duke University Press, Durham, 2005)</w:t>
      </w:r>
      <w:r w:rsidRPr="004B6DE6">
        <w:rPr>
          <w:lang w:val="en-GB"/>
        </w:rPr>
        <w:t xml:space="preserve">; </w:t>
      </w:r>
      <w:r>
        <w:rPr>
          <w:lang w:val="en-GB"/>
        </w:rPr>
        <w:t xml:space="preserve">A </w:t>
      </w:r>
      <w:proofErr w:type="spellStart"/>
      <w:r>
        <w:rPr>
          <w:lang w:val="en-GB"/>
        </w:rPr>
        <w:t>Vermeule</w:t>
      </w:r>
      <w:proofErr w:type="spellEnd"/>
      <w:r>
        <w:rPr>
          <w:lang w:val="en-GB"/>
        </w:rPr>
        <w:t xml:space="preserve">, </w:t>
      </w:r>
      <w:r w:rsidRPr="00427B24">
        <w:rPr>
          <w:i/>
          <w:lang w:val="en-GB"/>
        </w:rPr>
        <w:t>Mechanisms of Democracy</w:t>
      </w:r>
      <w:r w:rsidRPr="004B6DE6">
        <w:rPr>
          <w:lang w:val="en-GB"/>
        </w:rPr>
        <w:t xml:space="preserve"> (</w:t>
      </w:r>
      <w:r>
        <w:rPr>
          <w:lang w:val="en-GB"/>
        </w:rPr>
        <w:t>Oxford University Press, Oxford, 2007)</w:t>
      </w:r>
      <w:r w:rsidRPr="004B6DE6">
        <w:rPr>
          <w:lang w:val="en-GB"/>
        </w:rPr>
        <w:t>.</w:t>
      </w:r>
    </w:p>
  </w:footnote>
  <w:footnote w:id="3">
    <w:p w14:paraId="420F7449" w14:textId="10054EA1" w:rsidR="00F55FAE" w:rsidRPr="004B6DE6" w:rsidRDefault="00F55FAE" w:rsidP="00750E0E">
      <w:pPr>
        <w:pStyle w:val="FootnoteText"/>
        <w:jc w:val="both"/>
        <w:rPr>
          <w:lang w:val="en-GB"/>
        </w:rPr>
      </w:pPr>
      <w:r w:rsidRPr="004B6DE6">
        <w:rPr>
          <w:rStyle w:val="FootnoteReference"/>
          <w:lang w:val="en-GB"/>
        </w:rPr>
        <w:footnoteRef/>
      </w:r>
      <w:r w:rsidRPr="004B6DE6">
        <w:rPr>
          <w:lang w:val="en-GB"/>
        </w:rPr>
        <w:t xml:space="preserve"> </w:t>
      </w:r>
      <w:proofErr w:type="spellStart"/>
      <w:r w:rsidRPr="004B6DE6">
        <w:rPr>
          <w:lang w:val="en-GB"/>
        </w:rPr>
        <w:t>Vermeule</w:t>
      </w:r>
      <w:proofErr w:type="spellEnd"/>
      <w:r>
        <w:rPr>
          <w:lang w:val="en-GB"/>
        </w:rPr>
        <w:t xml:space="preserve"> </w:t>
      </w:r>
      <w:r w:rsidR="0023627B">
        <w:rPr>
          <w:lang w:val="en-GB"/>
        </w:rPr>
        <w:t>(note 1, above),</w:t>
      </w:r>
      <w:r>
        <w:rPr>
          <w:lang w:val="en-GB"/>
        </w:rPr>
        <w:t xml:space="preserve"> p</w:t>
      </w:r>
      <w:r w:rsidRPr="004B6DE6">
        <w:rPr>
          <w:lang w:val="en-GB"/>
        </w:rPr>
        <w:t xml:space="preserve"> </w:t>
      </w:r>
      <w:r>
        <w:rPr>
          <w:lang w:val="en-GB"/>
        </w:rPr>
        <w:t xml:space="preserve">217. </w:t>
      </w:r>
    </w:p>
  </w:footnote>
  <w:footnote w:id="4">
    <w:p w14:paraId="65ECE2D1" w14:textId="204F2F6A"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Pr>
          <w:lang w:val="en-GB"/>
        </w:rPr>
        <w:t xml:space="preserve">M Elliott </w:t>
      </w:r>
      <w:r w:rsidR="00095871">
        <w:rPr>
          <w:lang w:val="en-GB"/>
        </w:rPr>
        <w:t>and</w:t>
      </w:r>
      <w:r>
        <w:rPr>
          <w:lang w:val="en-GB"/>
        </w:rPr>
        <w:t xml:space="preserve"> R</w:t>
      </w:r>
      <w:r w:rsidRPr="0082551D">
        <w:rPr>
          <w:lang w:val="en-GB"/>
        </w:rPr>
        <w:t xml:space="preserve"> Thomas, </w:t>
      </w:r>
      <w:r w:rsidRPr="0082551D">
        <w:rPr>
          <w:i/>
          <w:lang w:val="en-GB"/>
        </w:rPr>
        <w:t>Public Law</w:t>
      </w:r>
      <w:r w:rsidRPr="0082551D">
        <w:rPr>
          <w:lang w:val="en-GB"/>
        </w:rPr>
        <w:t xml:space="preserve">, </w:t>
      </w:r>
      <w:r>
        <w:rPr>
          <w:lang w:val="en-GB"/>
        </w:rPr>
        <w:t>(Oxford University Press, Oxford, 2011), p</w:t>
      </w:r>
      <w:r w:rsidRPr="00E725AB">
        <w:rPr>
          <w:lang w:val="en-GB"/>
        </w:rPr>
        <w:t xml:space="preserve"> 38. </w:t>
      </w:r>
    </w:p>
  </w:footnote>
  <w:footnote w:id="5">
    <w:p w14:paraId="4BC66502" w14:textId="2195698A"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R</w:t>
      </w:r>
      <w:r w:rsidRPr="00E725AB">
        <w:rPr>
          <w:lang w:val="en-GB"/>
        </w:rPr>
        <w:t xml:space="preserve"> Bellamy, </w:t>
      </w:r>
      <w:r>
        <w:rPr>
          <w:lang w:val="en-GB"/>
        </w:rPr>
        <w:t>‘</w:t>
      </w:r>
      <w:r w:rsidRPr="002768AD">
        <w:rPr>
          <w:lang w:val="en-GB"/>
        </w:rPr>
        <w:t xml:space="preserve">Political </w:t>
      </w:r>
      <w:r>
        <w:rPr>
          <w:lang w:val="en-GB"/>
        </w:rPr>
        <w:t>C</w:t>
      </w:r>
      <w:r w:rsidRPr="002768AD">
        <w:rPr>
          <w:lang w:val="en-GB"/>
        </w:rPr>
        <w:t>onstitutionalism and the Human Rights Act</w:t>
      </w:r>
      <w:r>
        <w:rPr>
          <w:lang w:val="en-GB"/>
        </w:rPr>
        <w:t>’ (2011) 9</w:t>
      </w:r>
      <w:r w:rsidRPr="00E725AB">
        <w:rPr>
          <w:lang w:val="en-GB"/>
        </w:rPr>
        <w:t xml:space="preserve"> </w:t>
      </w:r>
      <w:r w:rsidRPr="0082551D">
        <w:rPr>
          <w:i/>
          <w:lang w:val="en-GB"/>
        </w:rPr>
        <w:t>International Journal of Constitutional Law</w:t>
      </w:r>
      <w:r w:rsidRPr="00E725AB">
        <w:rPr>
          <w:lang w:val="en-GB"/>
        </w:rPr>
        <w:t xml:space="preserve"> </w:t>
      </w:r>
      <w:r>
        <w:rPr>
          <w:lang w:val="en-GB"/>
        </w:rPr>
        <w:t xml:space="preserve">86 at </w:t>
      </w:r>
      <w:r w:rsidRPr="00E725AB">
        <w:rPr>
          <w:lang w:val="en-GB"/>
        </w:rPr>
        <w:t>89.</w:t>
      </w:r>
    </w:p>
  </w:footnote>
  <w:footnote w:id="6">
    <w:p w14:paraId="151DEBF3" w14:textId="1A5A7D26"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Elliott </w:t>
      </w:r>
      <w:r w:rsidR="00095871">
        <w:rPr>
          <w:lang w:val="en-GB"/>
        </w:rPr>
        <w:t>and</w:t>
      </w:r>
      <w:r w:rsidRPr="00E725AB">
        <w:rPr>
          <w:lang w:val="en-GB"/>
        </w:rPr>
        <w:t xml:space="preserve"> Thomas </w:t>
      </w:r>
      <w:r>
        <w:rPr>
          <w:lang w:val="en-GB"/>
        </w:rPr>
        <w:t>(note 3 above), p</w:t>
      </w:r>
      <w:r w:rsidRPr="00E725AB">
        <w:rPr>
          <w:lang w:val="en-GB"/>
        </w:rPr>
        <w:t xml:space="preserve"> 21. Emphasis added. </w:t>
      </w:r>
    </w:p>
  </w:footnote>
  <w:footnote w:id="7">
    <w:p w14:paraId="37F1842C" w14:textId="757513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Ginsburg notes that c</w:t>
      </w:r>
      <w:r w:rsidRPr="00E725AB">
        <w:rPr>
          <w:lang w:val="en-GB"/>
        </w:rPr>
        <w:t xml:space="preserve">onstitutional review is </w:t>
      </w:r>
      <w:r>
        <w:rPr>
          <w:lang w:val="en-GB"/>
        </w:rPr>
        <w:t>exclusively</w:t>
      </w:r>
      <w:r w:rsidRPr="00E725AB">
        <w:rPr>
          <w:lang w:val="en-GB"/>
        </w:rPr>
        <w:t xml:space="preserve"> carried </w:t>
      </w:r>
      <w:r>
        <w:rPr>
          <w:lang w:val="en-GB"/>
        </w:rPr>
        <w:t xml:space="preserve">out </w:t>
      </w:r>
      <w:r w:rsidRPr="00E725AB">
        <w:rPr>
          <w:lang w:val="en-GB"/>
        </w:rPr>
        <w:t>by the Council of Grand Justices (</w:t>
      </w:r>
      <w:r>
        <w:rPr>
          <w:lang w:val="en-GB"/>
        </w:rPr>
        <w:t xml:space="preserve">T Ginsburg, </w:t>
      </w:r>
      <w:r w:rsidRPr="0082551D">
        <w:rPr>
          <w:i/>
          <w:lang w:val="en-GB"/>
        </w:rPr>
        <w:t>Judicial Review in New Democracies</w:t>
      </w:r>
      <w:r w:rsidRPr="00E725AB">
        <w:rPr>
          <w:lang w:val="en-GB"/>
        </w:rPr>
        <w:t xml:space="preserve"> </w:t>
      </w:r>
      <w:r>
        <w:rPr>
          <w:lang w:val="en-GB"/>
        </w:rPr>
        <w:t>(Cambridge University Press, Cambridge, 2003), p</w:t>
      </w:r>
      <w:r w:rsidR="00B475AA">
        <w:rPr>
          <w:lang w:val="en-GB"/>
        </w:rPr>
        <w:t> </w:t>
      </w:r>
      <w:r>
        <w:rPr>
          <w:lang w:val="en-GB"/>
        </w:rPr>
        <w:t>116</w:t>
      </w:r>
      <w:r w:rsidRPr="00E725AB">
        <w:rPr>
          <w:lang w:val="en-GB"/>
        </w:rPr>
        <w:t xml:space="preserve">). </w:t>
      </w:r>
      <w:r>
        <w:rPr>
          <w:lang w:val="en-GB"/>
        </w:rPr>
        <w:t xml:space="preserve">While lower courts can hear constitutional cases and refuse to apply regulations or other secondary measures they deem unconstitutional, only the Constitutional Court can strike down statutes. </w:t>
      </w:r>
    </w:p>
  </w:footnote>
  <w:footnote w:id="8">
    <w:p w14:paraId="47685CFB"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Pr>
          <w:lang w:val="en-GB"/>
        </w:rPr>
        <w:t xml:space="preserve">CF Lo, </w:t>
      </w:r>
      <w:r w:rsidRPr="007D52BD">
        <w:rPr>
          <w:i/>
          <w:lang w:val="en-GB"/>
        </w:rPr>
        <w:t>The Legal Culture and System of Taiwan</w:t>
      </w:r>
      <w:r w:rsidRPr="00E725AB">
        <w:rPr>
          <w:lang w:val="en-GB"/>
        </w:rPr>
        <w:t xml:space="preserve">, </w:t>
      </w:r>
      <w:r>
        <w:rPr>
          <w:lang w:val="en-GB"/>
        </w:rPr>
        <w:t>(Kluwer, Netherlands, 2006), p 4</w:t>
      </w:r>
      <w:r w:rsidRPr="00E725AB">
        <w:rPr>
          <w:lang w:val="en-GB"/>
        </w:rPr>
        <w:t xml:space="preserve">. </w:t>
      </w:r>
    </w:p>
  </w:footnote>
  <w:footnote w:id="9">
    <w:p w14:paraId="09C3F097" w14:textId="48CF41A8"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C</w:t>
      </w:r>
      <w:r w:rsidRPr="00E725AB">
        <w:rPr>
          <w:lang w:val="en-GB"/>
        </w:rPr>
        <w:t xml:space="preserve"> Wang, </w:t>
      </w:r>
      <w:r>
        <w:rPr>
          <w:lang w:val="en-GB"/>
        </w:rPr>
        <w:t>‘</w:t>
      </w:r>
      <w:r w:rsidRPr="007D52BD">
        <w:rPr>
          <w:lang w:val="en-GB"/>
        </w:rPr>
        <w:t xml:space="preserve">DPP </w:t>
      </w:r>
      <w:r>
        <w:rPr>
          <w:lang w:val="en-GB"/>
        </w:rPr>
        <w:t>C</w:t>
      </w:r>
      <w:r w:rsidRPr="007D52BD">
        <w:rPr>
          <w:lang w:val="en-GB"/>
        </w:rPr>
        <w:t xml:space="preserve">autious on </w:t>
      </w:r>
      <w:r>
        <w:rPr>
          <w:lang w:val="en-GB"/>
        </w:rPr>
        <w:t>P</w:t>
      </w:r>
      <w:r w:rsidRPr="007D52BD">
        <w:rPr>
          <w:lang w:val="en-GB"/>
        </w:rPr>
        <w:t xml:space="preserve">arliament </w:t>
      </w:r>
      <w:r>
        <w:rPr>
          <w:lang w:val="en-GB"/>
        </w:rPr>
        <w:t>M</w:t>
      </w:r>
      <w:r w:rsidRPr="007D52BD">
        <w:rPr>
          <w:lang w:val="en-GB"/>
        </w:rPr>
        <w:t xml:space="preserve">odel, but </w:t>
      </w:r>
      <w:r>
        <w:rPr>
          <w:lang w:val="en-GB"/>
        </w:rPr>
        <w:t>D</w:t>
      </w:r>
      <w:r w:rsidRPr="007D52BD">
        <w:rPr>
          <w:lang w:val="en-GB"/>
        </w:rPr>
        <w:t xml:space="preserve">ebate </w:t>
      </w:r>
      <w:r>
        <w:rPr>
          <w:lang w:val="en-GB"/>
        </w:rPr>
        <w:t>N</w:t>
      </w:r>
      <w:r w:rsidRPr="007D52BD">
        <w:rPr>
          <w:lang w:val="en-GB"/>
        </w:rPr>
        <w:t>eeded</w:t>
      </w:r>
      <w:r>
        <w:rPr>
          <w:lang w:val="en-GB"/>
        </w:rPr>
        <w:t>’</w:t>
      </w:r>
      <w:r w:rsidRPr="00E725AB">
        <w:rPr>
          <w:lang w:val="en-GB"/>
        </w:rPr>
        <w:t xml:space="preserve">, </w:t>
      </w:r>
      <w:r w:rsidRPr="007D52BD">
        <w:rPr>
          <w:i/>
          <w:lang w:val="en-GB"/>
        </w:rPr>
        <w:t>Taipei Times</w:t>
      </w:r>
      <w:r>
        <w:rPr>
          <w:lang w:val="en-GB"/>
        </w:rPr>
        <w:t xml:space="preserve">, </w:t>
      </w:r>
      <w:r w:rsidRPr="00E725AB">
        <w:rPr>
          <w:lang w:val="en-GB"/>
        </w:rPr>
        <w:t xml:space="preserve">20 May 2014. </w:t>
      </w:r>
    </w:p>
  </w:footnote>
  <w:footnote w:id="10">
    <w:p w14:paraId="3CF17772" w14:textId="1E0D95FB" w:rsidR="00F55FAE" w:rsidRPr="00A2063C" w:rsidRDefault="00F55FAE" w:rsidP="00750E0E">
      <w:pPr>
        <w:pStyle w:val="FootnoteText"/>
        <w:jc w:val="both"/>
      </w:pPr>
      <w:r w:rsidRPr="00E725AB">
        <w:rPr>
          <w:rStyle w:val="FootnoteReference"/>
          <w:lang w:val="en-GB"/>
        </w:rPr>
        <w:footnoteRef/>
      </w:r>
      <w:r w:rsidRPr="00E725AB">
        <w:rPr>
          <w:lang w:val="en-GB"/>
        </w:rPr>
        <w:t xml:space="preserve"> </w:t>
      </w:r>
      <w:r w:rsidRPr="0084465D">
        <w:rPr>
          <w:lang w:val="en-GB"/>
        </w:rPr>
        <w:t>See</w:t>
      </w:r>
      <w:r w:rsidRPr="00E725AB">
        <w:rPr>
          <w:lang w:val="en-GB"/>
        </w:rPr>
        <w:t xml:space="preserve"> </w:t>
      </w:r>
      <w:r>
        <w:rPr>
          <w:lang w:val="en-GB"/>
        </w:rPr>
        <w:t xml:space="preserve">Ginsburg (note 6 above), pp 115–144. </w:t>
      </w:r>
      <w:r w:rsidRPr="0084465D">
        <w:rPr>
          <w:lang w:val="en-GB"/>
        </w:rPr>
        <w:t>See</w:t>
      </w:r>
      <w:r w:rsidRPr="00835215">
        <w:rPr>
          <w:lang w:val="en-GB"/>
        </w:rPr>
        <w:t xml:space="preserve"> </w:t>
      </w:r>
      <w:r w:rsidRPr="0084465D">
        <w:rPr>
          <w:lang w:val="en-GB"/>
        </w:rPr>
        <w:t>also</w:t>
      </w:r>
      <w:r>
        <w:rPr>
          <w:lang w:val="en-GB"/>
        </w:rPr>
        <w:t xml:space="preserve"> </w:t>
      </w:r>
      <w:r>
        <w:t>CC Lin, ‘</w:t>
      </w:r>
      <w:r w:rsidRPr="00D215E0">
        <w:t>The Birth and Rebirth of</w:t>
      </w:r>
      <w:r>
        <w:t xml:space="preserve"> the Judicial Review in Taiwan—</w:t>
      </w:r>
      <w:r w:rsidRPr="00D215E0">
        <w:t>Its Establishment, Empowerment, and Evolvement</w:t>
      </w:r>
      <w:r>
        <w:t xml:space="preserve">’ (2012) 7 </w:t>
      </w:r>
      <w:r w:rsidRPr="007D52BD">
        <w:rPr>
          <w:i/>
        </w:rPr>
        <w:t>National Taiwan University Law Review</w:t>
      </w:r>
      <w:r w:rsidRPr="00102002">
        <w:rPr>
          <w:smallCaps/>
        </w:rPr>
        <w:t xml:space="preserve"> </w:t>
      </w:r>
      <w:r>
        <w:t>157 at 198–209.</w:t>
      </w:r>
    </w:p>
  </w:footnote>
  <w:footnote w:id="11">
    <w:p w14:paraId="168018CC" w14:textId="319852D0"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w:t>
      </w:r>
      <w:proofErr w:type="spellStart"/>
      <w:r>
        <w:rPr>
          <w:lang w:val="en-GB"/>
        </w:rPr>
        <w:t>Institutum</w:t>
      </w:r>
      <w:proofErr w:type="spellEnd"/>
      <w:r>
        <w:rPr>
          <w:lang w:val="en-GB"/>
        </w:rPr>
        <w:t xml:space="preserve"> </w:t>
      </w:r>
      <w:proofErr w:type="spellStart"/>
      <w:r>
        <w:rPr>
          <w:lang w:val="en-GB"/>
        </w:rPr>
        <w:t>Iurisprudentiae</w:t>
      </w:r>
      <w:proofErr w:type="spellEnd"/>
      <w:r w:rsidRPr="00E725AB">
        <w:rPr>
          <w:lang w:val="en-GB"/>
        </w:rPr>
        <w:t xml:space="preserve"> Academia </w:t>
      </w:r>
      <w:proofErr w:type="spellStart"/>
      <w:r w:rsidRPr="00E725AB">
        <w:rPr>
          <w:lang w:val="en-GB"/>
        </w:rPr>
        <w:t>Sinica</w:t>
      </w:r>
      <w:proofErr w:type="spellEnd"/>
      <w:r w:rsidRPr="00E725AB">
        <w:rPr>
          <w:lang w:val="en-GB"/>
        </w:rPr>
        <w:t xml:space="preserve"> (IIAS), Taiwan Constitutional Court</w:t>
      </w:r>
      <w:r>
        <w:rPr>
          <w:lang w:val="en-GB"/>
        </w:rPr>
        <w:t xml:space="preserve"> (TCC) Database (2015)</w:t>
      </w:r>
      <w:r w:rsidR="00EC37B8">
        <w:rPr>
          <w:lang w:val="en-GB"/>
        </w:rPr>
        <w:t xml:space="preserve">, available at </w:t>
      </w:r>
      <w:hyperlink r:id="rId1" w:history="1">
        <w:r w:rsidR="00EC37B8" w:rsidRPr="00FF7550">
          <w:rPr>
            <w:rStyle w:val="Hyperlink"/>
            <w:color w:val="auto"/>
            <w:u w:val="none"/>
            <w:lang w:val="en-GB"/>
          </w:rPr>
          <w:t>http://www.els.iias.sinica.edu.tw/iias/public/</w:t>
        </w:r>
      </w:hyperlink>
      <w:r w:rsidR="00EC37B8">
        <w:rPr>
          <w:lang w:val="en-GB"/>
        </w:rPr>
        <w:t xml:space="preserve">. </w:t>
      </w:r>
      <w:r>
        <w:rPr>
          <w:lang w:val="en-GB"/>
        </w:rPr>
        <w:t>However, 40</w:t>
      </w:r>
      <w:r w:rsidRPr="00E725AB">
        <w:rPr>
          <w:lang w:val="en-GB"/>
        </w:rPr>
        <w:t xml:space="preserve"> of the </w:t>
      </w:r>
      <w:r>
        <w:rPr>
          <w:lang w:val="en-GB"/>
        </w:rPr>
        <w:t xml:space="preserve">95 </w:t>
      </w:r>
      <w:r w:rsidRPr="00E725AB">
        <w:rPr>
          <w:lang w:val="en-GB"/>
        </w:rPr>
        <w:t>acts declared uncon</w:t>
      </w:r>
      <w:r>
        <w:rPr>
          <w:lang w:val="en-GB"/>
        </w:rPr>
        <w:t>stitutional from 1994–2013</w:t>
      </w:r>
      <w:r w:rsidRPr="00E725AB">
        <w:rPr>
          <w:lang w:val="en-GB"/>
        </w:rPr>
        <w:t xml:space="preserve"> were </w:t>
      </w:r>
      <w:r>
        <w:rPr>
          <w:lang w:val="en-GB"/>
        </w:rPr>
        <w:t xml:space="preserve">enacted (or went into effect) before the Legislature was </w:t>
      </w:r>
      <w:r w:rsidRPr="00E725AB">
        <w:rPr>
          <w:lang w:val="en-GB"/>
        </w:rPr>
        <w:t>ful</w:t>
      </w:r>
      <w:r>
        <w:rPr>
          <w:lang w:val="en-GB"/>
        </w:rPr>
        <w:t>ly democratically elected in 1992</w:t>
      </w:r>
      <w:r w:rsidRPr="00E725AB">
        <w:rPr>
          <w:lang w:val="en-GB"/>
        </w:rPr>
        <w:t xml:space="preserve">. </w:t>
      </w:r>
      <w:r w:rsidR="006C4D23">
        <w:rPr>
          <w:lang w:val="en-GB"/>
        </w:rPr>
        <w:t xml:space="preserve"> </w:t>
      </w:r>
    </w:p>
  </w:footnote>
  <w:footnote w:id="12">
    <w:p w14:paraId="4B440F6B" w14:textId="26C73BC4"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From 1994</w:t>
      </w:r>
      <w:r>
        <w:rPr>
          <w:lang w:val="en-GB"/>
        </w:rPr>
        <w:t>–</w:t>
      </w:r>
      <w:r w:rsidRPr="00E725AB">
        <w:rPr>
          <w:lang w:val="en-GB"/>
        </w:rPr>
        <w:t>2013, there were 244 cases regarding laws/acts b</w:t>
      </w:r>
      <w:r>
        <w:rPr>
          <w:lang w:val="en-GB"/>
        </w:rPr>
        <w:t>efore the court. The court ruled</w:t>
      </w:r>
      <w:r w:rsidRPr="00E725AB">
        <w:rPr>
          <w:lang w:val="en-GB"/>
        </w:rPr>
        <w:t xml:space="preserve"> 131 (53.69%) constitutional, 95 (38.93%) unconstitutional and 18 (7.38%) neither constitutional nor unconstitutional. </w:t>
      </w:r>
    </w:p>
  </w:footnote>
  <w:footnote w:id="13">
    <w:p w14:paraId="0D105663" w14:textId="6E47669D"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A 2002 Government Printing Office document track</w:t>
      </w:r>
      <w:r>
        <w:rPr>
          <w:lang w:val="en-GB"/>
        </w:rPr>
        <w:t>ed</w:t>
      </w:r>
      <w:r w:rsidRPr="00E725AB">
        <w:rPr>
          <w:lang w:val="en-GB"/>
        </w:rPr>
        <w:t xml:space="preserve"> how many acts (and provisions) </w:t>
      </w:r>
      <w:r>
        <w:rPr>
          <w:lang w:val="en-GB"/>
        </w:rPr>
        <w:t xml:space="preserve">the </w:t>
      </w:r>
      <w:r w:rsidRPr="00E725AB">
        <w:rPr>
          <w:lang w:val="en-GB"/>
        </w:rPr>
        <w:t>S</w:t>
      </w:r>
      <w:r>
        <w:rPr>
          <w:lang w:val="en-GB"/>
        </w:rPr>
        <w:t>upreme Court of the United States (S</w:t>
      </w:r>
      <w:r w:rsidRPr="00E725AB">
        <w:rPr>
          <w:lang w:val="en-GB"/>
        </w:rPr>
        <w:t>COTU</w:t>
      </w:r>
      <w:r>
        <w:rPr>
          <w:lang w:val="en-GB"/>
        </w:rPr>
        <w:t>S) has struck down through 2002</w:t>
      </w:r>
      <w:r w:rsidRPr="00E725AB">
        <w:rPr>
          <w:lang w:val="en-GB"/>
        </w:rPr>
        <w:t xml:space="preserve">. It is </w:t>
      </w:r>
      <w:r w:rsidRPr="005154B2">
        <w:rPr>
          <w:lang w:val="en-GB"/>
        </w:rPr>
        <w:t>available at</w:t>
      </w:r>
      <w:r w:rsidRPr="00E725AB">
        <w:rPr>
          <w:lang w:val="en-GB"/>
        </w:rPr>
        <w:t xml:space="preserve"> </w:t>
      </w:r>
      <w:hyperlink r:id="rId2" w:history="1">
        <w:r w:rsidRPr="00E725AB">
          <w:rPr>
            <w:rStyle w:val="Hyperlink"/>
            <w:color w:val="auto"/>
            <w:u w:val="none"/>
            <w:lang w:val="en-GB"/>
          </w:rPr>
          <w:t>http://www.gpo.gov/fdsys/pkg/GPO-CONAN-2002/pdf/GPO-CONAN-2002-10.pdf</w:t>
        </w:r>
      </w:hyperlink>
      <w:r w:rsidRPr="00E725AB">
        <w:rPr>
          <w:lang w:val="en-GB"/>
        </w:rPr>
        <w:t>.</w:t>
      </w:r>
      <w:r>
        <w:rPr>
          <w:lang w:val="en-GB"/>
        </w:rPr>
        <w:t xml:space="preserve"> Importantly, however, this figure is only in relation to Acts of Congress and does not include state laws, which would significantly increase the total. </w:t>
      </w:r>
    </w:p>
  </w:footnote>
  <w:footnote w:id="14">
    <w:p w14:paraId="46CED7A0" w14:textId="777777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IIAS TCC Database (note 10 above)</w:t>
      </w:r>
      <w:r w:rsidRPr="00E725AB">
        <w:rPr>
          <w:lang w:val="en-GB"/>
        </w:rPr>
        <w:t xml:space="preserve">. Also, there were only </w:t>
      </w:r>
      <w:r>
        <w:rPr>
          <w:lang w:val="en-GB"/>
        </w:rPr>
        <w:t>12</w:t>
      </w:r>
      <w:r w:rsidRPr="00E725AB">
        <w:rPr>
          <w:lang w:val="en-GB"/>
        </w:rPr>
        <w:t xml:space="preserve"> petitions regarding such cases that year, which means th</w:t>
      </w:r>
      <w:r>
        <w:rPr>
          <w:lang w:val="en-GB"/>
        </w:rPr>
        <w:t>at the court struck down laws 66</w:t>
      </w:r>
      <w:r w:rsidRPr="00E725AB">
        <w:rPr>
          <w:lang w:val="en-GB"/>
        </w:rPr>
        <w:t xml:space="preserve">% of the time. </w:t>
      </w:r>
    </w:p>
  </w:footnote>
  <w:footnote w:id="15">
    <w:p w14:paraId="0832EFCB" w14:textId="462D2016"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proofErr w:type="spellStart"/>
      <w:r w:rsidRPr="00E725AB">
        <w:rPr>
          <w:lang w:val="en-GB"/>
        </w:rPr>
        <w:t>Vermeule</w:t>
      </w:r>
      <w:proofErr w:type="spellEnd"/>
      <w:r>
        <w:rPr>
          <w:lang w:val="en-GB"/>
        </w:rPr>
        <w:t xml:space="preserve"> (note 1 above), p</w:t>
      </w:r>
      <w:r w:rsidRPr="00E725AB">
        <w:rPr>
          <w:lang w:val="en-GB"/>
        </w:rPr>
        <w:t xml:space="preserve"> 217. </w:t>
      </w:r>
    </w:p>
  </w:footnote>
  <w:footnote w:id="16">
    <w:p w14:paraId="0EA4E751" w14:textId="0A9D7534" w:rsidR="00F55FAE" w:rsidRPr="00E725AB" w:rsidRDefault="00F55FAE" w:rsidP="00482C0B">
      <w:pPr>
        <w:pStyle w:val="FootnoteText"/>
        <w:jc w:val="both"/>
        <w:rPr>
          <w:lang w:val="en-GB"/>
        </w:rPr>
      </w:pPr>
      <w:r w:rsidRPr="00E725AB">
        <w:rPr>
          <w:rStyle w:val="FootnoteReference"/>
          <w:lang w:val="en-GB"/>
        </w:rPr>
        <w:footnoteRef/>
      </w:r>
      <w:r w:rsidRPr="00E725AB">
        <w:rPr>
          <w:lang w:val="en-GB"/>
        </w:rPr>
        <w:t xml:space="preserve"> </w:t>
      </w:r>
      <w:r w:rsidRPr="00D111D3">
        <w:rPr>
          <w:lang w:val="en-GB"/>
        </w:rPr>
        <w:t>See</w:t>
      </w:r>
      <w:r w:rsidRPr="002D7B9E">
        <w:rPr>
          <w:lang w:val="en-GB"/>
        </w:rPr>
        <w:t xml:space="preserve"> </w:t>
      </w:r>
      <w:r>
        <w:rPr>
          <w:lang w:val="en-GB"/>
        </w:rPr>
        <w:t>notes 2</w:t>
      </w:r>
      <w:r w:rsidR="00A4402A">
        <w:rPr>
          <w:lang w:val="en-GB"/>
        </w:rPr>
        <w:t>5</w:t>
      </w:r>
      <w:r>
        <w:rPr>
          <w:lang w:val="en-GB"/>
        </w:rPr>
        <w:t xml:space="preserve"> and 2</w:t>
      </w:r>
      <w:r w:rsidR="00A4402A">
        <w:rPr>
          <w:lang w:val="en-GB"/>
        </w:rPr>
        <w:t>6</w:t>
      </w:r>
      <w:r>
        <w:rPr>
          <w:lang w:val="en-GB"/>
        </w:rPr>
        <w:t xml:space="preserve"> below</w:t>
      </w:r>
      <w:r w:rsidRPr="00E725AB">
        <w:rPr>
          <w:lang w:val="en-GB"/>
        </w:rPr>
        <w:t xml:space="preserve">. </w:t>
      </w:r>
    </w:p>
  </w:footnote>
  <w:footnote w:id="17">
    <w:p w14:paraId="674AD84E" w14:textId="77777777" w:rsidR="00F55FAE" w:rsidRPr="00E725AB" w:rsidRDefault="00F55FAE" w:rsidP="00482C0B">
      <w:pPr>
        <w:pStyle w:val="FootnoteText"/>
        <w:jc w:val="both"/>
        <w:rPr>
          <w:lang w:val="en-GB"/>
        </w:rPr>
      </w:pPr>
      <w:r w:rsidRPr="00E725AB">
        <w:rPr>
          <w:rStyle w:val="FootnoteReference"/>
          <w:lang w:val="en-GB"/>
        </w:rPr>
        <w:footnoteRef/>
      </w:r>
      <w:r w:rsidRPr="00E725AB">
        <w:rPr>
          <w:lang w:val="en-GB"/>
        </w:rPr>
        <w:t xml:space="preserve"> </w:t>
      </w:r>
      <w:r>
        <w:rPr>
          <w:lang w:val="en-GB"/>
        </w:rPr>
        <w:t xml:space="preserve">M de </w:t>
      </w:r>
      <w:proofErr w:type="spellStart"/>
      <w:r w:rsidRPr="00B033C5">
        <w:rPr>
          <w:lang w:val="en-GB"/>
        </w:rPr>
        <w:t>Visser</w:t>
      </w:r>
      <w:proofErr w:type="spellEnd"/>
      <w:r w:rsidRPr="00B033C5">
        <w:rPr>
          <w:lang w:val="en-GB"/>
        </w:rPr>
        <w:t xml:space="preserve">, </w:t>
      </w:r>
      <w:r w:rsidRPr="00B033C5">
        <w:rPr>
          <w:i/>
          <w:lang w:val="en-GB"/>
        </w:rPr>
        <w:t xml:space="preserve">Constitutional Review </w:t>
      </w:r>
      <w:r>
        <w:rPr>
          <w:i/>
          <w:lang w:val="en-GB"/>
        </w:rPr>
        <w:t>i</w:t>
      </w:r>
      <w:r w:rsidRPr="00B033C5">
        <w:rPr>
          <w:i/>
          <w:lang w:val="en-GB"/>
        </w:rPr>
        <w:t>n Europe</w:t>
      </w:r>
      <w:r w:rsidRPr="00E725AB">
        <w:rPr>
          <w:lang w:val="en-GB"/>
        </w:rPr>
        <w:t xml:space="preserve"> </w:t>
      </w:r>
      <w:r>
        <w:rPr>
          <w:lang w:val="en-GB"/>
        </w:rPr>
        <w:t>(Hart, Oxford, 2014) pp 29–32, 83</w:t>
      </w:r>
      <w:r w:rsidRPr="00E725AB">
        <w:rPr>
          <w:lang w:val="en-GB"/>
        </w:rPr>
        <w:t xml:space="preserve">. </w:t>
      </w:r>
    </w:p>
  </w:footnote>
  <w:footnote w:id="18">
    <w:p w14:paraId="2525E9FB" w14:textId="001A0C59"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Lo</w:t>
      </w:r>
      <w:r w:rsidRPr="00E725AB">
        <w:rPr>
          <w:lang w:val="en-GB"/>
        </w:rPr>
        <w:t xml:space="preserve"> </w:t>
      </w:r>
      <w:r>
        <w:rPr>
          <w:lang w:val="en-GB"/>
        </w:rPr>
        <w:t>(note 7 above), p 3; LSL</w:t>
      </w:r>
      <w:r w:rsidRPr="00E725AB">
        <w:rPr>
          <w:lang w:val="en-GB"/>
        </w:rPr>
        <w:t xml:space="preserve"> Liu, </w:t>
      </w:r>
      <w:r>
        <w:rPr>
          <w:lang w:val="en-GB"/>
        </w:rPr>
        <w:t>‘</w:t>
      </w:r>
      <w:r w:rsidRPr="002768AD">
        <w:rPr>
          <w:lang w:val="en-GB"/>
        </w:rPr>
        <w:t xml:space="preserve">Judicial Review </w:t>
      </w:r>
      <w:r>
        <w:rPr>
          <w:lang w:val="en-GB"/>
        </w:rPr>
        <w:t>a</w:t>
      </w:r>
      <w:r w:rsidRPr="002768AD">
        <w:rPr>
          <w:lang w:val="en-GB"/>
        </w:rPr>
        <w:t xml:space="preserve">nd Emerging Constitutionalism: The Uneasy Case </w:t>
      </w:r>
      <w:r>
        <w:rPr>
          <w:lang w:val="en-GB"/>
        </w:rPr>
        <w:t>f</w:t>
      </w:r>
      <w:r w:rsidRPr="002768AD">
        <w:rPr>
          <w:lang w:val="en-GB"/>
        </w:rPr>
        <w:t xml:space="preserve">or </w:t>
      </w:r>
      <w:r>
        <w:rPr>
          <w:lang w:val="en-GB"/>
        </w:rPr>
        <w:t>t</w:t>
      </w:r>
      <w:r w:rsidRPr="002768AD">
        <w:rPr>
          <w:lang w:val="en-GB"/>
        </w:rPr>
        <w:t xml:space="preserve">he Republic </w:t>
      </w:r>
      <w:r>
        <w:rPr>
          <w:lang w:val="en-GB"/>
        </w:rPr>
        <w:t>o</w:t>
      </w:r>
      <w:r w:rsidRPr="002768AD">
        <w:rPr>
          <w:lang w:val="en-GB"/>
        </w:rPr>
        <w:t xml:space="preserve">f China </w:t>
      </w:r>
      <w:r>
        <w:rPr>
          <w:lang w:val="en-GB"/>
        </w:rPr>
        <w:t>o</w:t>
      </w:r>
      <w:r w:rsidRPr="002768AD">
        <w:rPr>
          <w:lang w:val="en-GB"/>
        </w:rPr>
        <w:t>n Taiwan</w:t>
      </w:r>
      <w:r>
        <w:rPr>
          <w:lang w:val="en-GB"/>
        </w:rPr>
        <w:t>’ (1991)</w:t>
      </w:r>
      <w:r w:rsidRPr="00E725AB">
        <w:rPr>
          <w:lang w:val="en-GB"/>
        </w:rPr>
        <w:t xml:space="preserve"> 39 </w:t>
      </w:r>
      <w:r w:rsidRPr="00B033C5">
        <w:rPr>
          <w:i/>
          <w:lang w:val="en-GB"/>
        </w:rPr>
        <w:t>American Journal of Comparative Law</w:t>
      </w:r>
      <w:r>
        <w:rPr>
          <w:lang w:val="en-GB"/>
        </w:rPr>
        <w:t xml:space="preserve"> 509 at 511, 515–516</w:t>
      </w:r>
      <w:r w:rsidRPr="00E725AB">
        <w:rPr>
          <w:lang w:val="en-GB"/>
        </w:rPr>
        <w:t xml:space="preserve">; </w:t>
      </w:r>
      <w:r w:rsidRPr="00DE1279">
        <w:rPr>
          <w:lang w:val="en-GB"/>
        </w:rPr>
        <w:t>See</w:t>
      </w:r>
      <w:r w:rsidRPr="002D7B9E">
        <w:rPr>
          <w:lang w:val="en-GB"/>
        </w:rPr>
        <w:t xml:space="preserve"> </w:t>
      </w:r>
      <w:r w:rsidRPr="00DE1279">
        <w:rPr>
          <w:lang w:val="en-GB"/>
        </w:rPr>
        <w:t>also</w:t>
      </w:r>
      <w:r>
        <w:rPr>
          <w:lang w:val="en-GB"/>
        </w:rPr>
        <w:t xml:space="preserve"> N</w:t>
      </w:r>
      <w:r w:rsidRPr="00E725AB">
        <w:rPr>
          <w:lang w:val="en-GB"/>
        </w:rPr>
        <w:t xml:space="preserve"> Chisolm, </w:t>
      </w:r>
      <w:r>
        <w:rPr>
          <w:lang w:val="en-GB"/>
        </w:rPr>
        <w:t>‘</w:t>
      </w:r>
      <w:r w:rsidRPr="002768AD">
        <w:rPr>
          <w:lang w:val="en-GB"/>
        </w:rPr>
        <w:t xml:space="preserve">The Faces of Judicial Independence: Democratic </w:t>
      </w:r>
      <w:r>
        <w:rPr>
          <w:lang w:val="en-GB"/>
        </w:rPr>
        <w:t>V</w:t>
      </w:r>
      <w:r w:rsidRPr="002768AD">
        <w:rPr>
          <w:lang w:val="en-GB"/>
        </w:rPr>
        <w:t>ersus Bureaucratic Accountability in Judicial Selection, Training, and Prom</w:t>
      </w:r>
      <w:r>
        <w:rPr>
          <w:lang w:val="en-GB"/>
        </w:rPr>
        <w:t>otion in South Korea and Taiwan’ (2014)</w:t>
      </w:r>
      <w:r w:rsidRPr="00E725AB">
        <w:rPr>
          <w:lang w:val="en-GB"/>
        </w:rPr>
        <w:t xml:space="preserve"> </w:t>
      </w:r>
      <w:r>
        <w:rPr>
          <w:lang w:val="en-GB"/>
        </w:rPr>
        <w:t xml:space="preserve">62 </w:t>
      </w:r>
      <w:r w:rsidRPr="00B033C5">
        <w:rPr>
          <w:i/>
          <w:lang w:val="en-GB"/>
        </w:rPr>
        <w:t>American Journal of Comparative Law</w:t>
      </w:r>
      <w:r>
        <w:rPr>
          <w:i/>
          <w:lang w:val="en-GB"/>
        </w:rPr>
        <w:t xml:space="preserve"> </w:t>
      </w:r>
      <w:r>
        <w:rPr>
          <w:lang w:val="en-GB"/>
        </w:rPr>
        <w:t>893</w:t>
      </w:r>
      <w:r w:rsidRPr="00E725AB">
        <w:rPr>
          <w:lang w:val="en-GB"/>
        </w:rPr>
        <w:t>.</w:t>
      </w:r>
    </w:p>
  </w:footnote>
  <w:footnote w:id="19">
    <w:p w14:paraId="1B580869" w14:textId="0174577A"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Garrett </w:t>
      </w:r>
      <w:r w:rsidR="00A53193">
        <w:rPr>
          <w:lang w:val="en-GB"/>
        </w:rPr>
        <w:t>and</w:t>
      </w:r>
      <w:r w:rsidRPr="00E725AB">
        <w:rPr>
          <w:lang w:val="en-GB"/>
        </w:rPr>
        <w:t xml:space="preserve"> </w:t>
      </w:r>
      <w:proofErr w:type="spellStart"/>
      <w:r w:rsidRPr="00E725AB">
        <w:rPr>
          <w:lang w:val="en-GB"/>
        </w:rPr>
        <w:t>Vermeule</w:t>
      </w:r>
      <w:proofErr w:type="spellEnd"/>
      <w:r w:rsidRPr="00E725AB">
        <w:rPr>
          <w:lang w:val="en-GB"/>
        </w:rPr>
        <w:t xml:space="preserve"> </w:t>
      </w:r>
      <w:r>
        <w:rPr>
          <w:lang w:val="en-GB"/>
        </w:rPr>
        <w:t>(note 1 above),</w:t>
      </w:r>
      <w:r w:rsidRPr="00E725AB">
        <w:rPr>
          <w:lang w:val="en-GB"/>
        </w:rPr>
        <w:t xml:space="preserve"> </w:t>
      </w:r>
      <w:r>
        <w:rPr>
          <w:lang w:val="en-GB"/>
        </w:rPr>
        <w:t xml:space="preserve">p </w:t>
      </w:r>
      <w:r w:rsidRPr="00E725AB">
        <w:rPr>
          <w:lang w:val="en-GB"/>
        </w:rPr>
        <w:t>1292</w:t>
      </w:r>
      <w:r>
        <w:rPr>
          <w:lang w:val="en-GB"/>
        </w:rPr>
        <w:t>:</w:t>
      </w:r>
      <w:r w:rsidRPr="00E725AB">
        <w:rPr>
          <w:lang w:val="en-GB"/>
        </w:rPr>
        <w:t xml:space="preserve"> </w:t>
      </w:r>
      <w:r>
        <w:rPr>
          <w:lang w:val="en-GB"/>
        </w:rPr>
        <w:t>‘</w:t>
      </w:r>
      <w:r w:rsidRPr="00E725AB">
        <w:rPr>
          <w:lang w:val="en-GB"/>
        </w:rPr>
        <w:t>It seems indisputable that, on net, some congressional deliberation on constitutional questions is better than none at all. The real question is not whether deliberation is beneficial, but how much deliberation is optimal</w:t>
      </w:r>
      <w:r>
        <w:rPr>
          <w:lang w:val="en-GB"/>
        </w:rPr>
        <w:t>’</w:t>
      </w:r>
      <w:r w:rsidRPr="00E725AB">
        <w:rPr>
          <w:lang w:val="en-GB"/>
        </w:rPr>
        <w:t>.</w:t>
      </w:r>
    </w:p>
  </w:footnote>
  <w:footnote w:id="20">
    <w:p w14:paraId="1B4773CC" w14:textId="270527E1" w:rsidR="00F55FAE" w:rsidRPr="00E725AB" w:rsidRDefault="00F55FAE" w:rsidP="00750E0E">
      <w:pPr>
        <w:pStyle w:val="FootnoteText"/>
        <w:jc w:val="both"/>
        <w:rPr>
          <w:lang w:val="en-GB"/>
        </w:rPr>
      </w:pPr>
      <w:r w:rsidRPr="00EE5050">
        <w:rPr>
          <w:rStyle w:val="FootnoteReference"/>
          <w:rFonts w:eastAsia="PMingLiU"/>
          <w:lang w:val="en-GB"/>
        </w:rPr>
        <w:footnoteRef/>
      </w:r>
      <w:r w:rsidRPr="00E725AB">
        <w:rPr>
          <w:lang w:val="en-GB"/>
        </w:rPr>
        <w:t xml:space="preserve"> </w:t>
      </w:r>
      <w:r>
        <w:rPr>
          <w:lang w:val="en-GB"/>
        </w:rPr>
        <w:t>A</w:t>
      </w:r>
      <w:r w:rsidRPr="00E04964">
        <w:rPr>
          <w:lang w:val="en-GB"/>
        </w:rPr>
        <w:t xml:space="preserve"> Watson, </w:t>
      </w:r>
      <w:r w:rsidRPr="00E04964">
        <w:rPr>
          <w:i/>
          <w:lang w:val="en-GB"/>
        </w:rPr>
        <w:t xml:space="preserve">Legal Transplants: An Approach </w:t>
      </w:r>
      <w:r>
        <w:rPr>
          <w:i/>
          <w:lang w:val="en-GB"/>
        </w:rPr>
        <w:t>t</w:t>
      </w:r>
      <w:r w:rsidRPr="00E04964">
        <w:rPr>
          <w:i/>
          <w:lang w:val="en-GB"/>
        </w:rPr>
        <w:t>o Comparative Law</w:t>
      </w:r>
      <w:r w:rsidRPr="00E725AB">
        <w:rPr>
          <w:smallCaps/>
          <w:lang w:val="en-GB"/>
        </w:rPr>
        <w:t xml:space="preserve"> (</w:t>
      </w:r>
      <w:r w:rsidRPr="00E04964">
        <w:rPr>
          <w:lang w:val="en-GB"/>
        </w:rPr>
        <w:t>2</w:t>
      </w:r>
      <w:r w:rsidRPr="00DC01B1">
        <w:rPr>
          <w:vertAlign w:val="superscript"/>
          <w:lang w:val="en-GB"/>
        </w:rPr>
        <w:t>nd</w:t>
      </w:r>
      <w:r w:rsidRPr="00E04964">
        <w:rPr>
          <w:lang w:val="en-GB"/>
        </w:rPr>
        <w:t xml:space="preserve"> </w:t>
      </w:r>
      <w:proofErr w:type="spellStart"/>
      <w:r w:rsidRPr="00E04964">
        <w:rPr>
          <w:lang w:val="en-GB"/>
        </w:rPr>
        <w:t>ed</w:t>
      </w:r>
      <w:proofErr w:type="spellEnd"/>
      <w:r>
        <w:rPr>
          <w:lang w:val="en-GB"/>
        </w:rPr>
        <w:t>, University of Georgia Press, Athens, 1993</w:t>
      </w:r>
      <w:r w:rsidRPr="00E725AB">
        <w:rPr>
          <w:smallCaps/>
          <w:lang w:val="en-GB"/>
        </w:rPr>
        <w:t>)</w:t>
      </w:r>
      <w:r>
        <w:rPr>
          <w:lang w:val="en-GB"/>
        </w:rPr>
        <w:t>, p 107</w:t>
      </w:r>
      <w:r w:rsidRPr="00E725AB">
        <w:rPr>
          <w:lang w:val="en-GB"/>
        </w:rPr>
        <w:t xml:space="preserve">. </w:t>
      </w:r>
    </w:p>
  </w:footnote>
  <w:footnote w:id="21">
    <w:p w14:paraId="1F320FCF" w14:textId="0BD7B9A9"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During interviews </w:t>
      </w:r>
      <w:r>
        <w:rPr>
          <w:lang w:val="en-GB"/>
        </w:rPr>
        <w:t>the author</w:t>
      </w:r>
      <w:r w:rsidRPr="00E725AB">
        <w:rPr>
          <w:lang w:val="en-GB"/>
        </w:rPr>
        <w:t xml:space="preserve"> also asked insiders ab</w:t>
      </w:r>
      <w:r>
        <w:rPr>
          <w:lang w:val="en-GB"/>
        </w:rPr>
        <w:t xml:space="preserve">out statutory borrowing. Many acknowledged the </w:t>
      </w:r>
      <w:r w:rsidRPr="00E725AB">
        <w:rPr>
          <w:lang w:val="en-GB"/>
        </w:rPr>
        <w:t>Legisla</w:t>
      </w:r>
      <w:r>
        <w:rPr>
          <w:lang w:val="en-GB"/>
        </w:rPr>
        <w:t xml:space="preserve">tive Yuan </w:t>
      </w:r>
      <w:r w:rsidRPr="00E725AB">
        <w:rPr>
          <w:lang w:val="en-GB"/>
        </w:rPr>
        <w:t>frequent</w:t>
      </w:r>
      <w:r>
        <w:rPr>
          <w:lang w:val="en-GB"/>
        </w:rPr>
        <w:t xml:space="preserve">ly did so, especially from </w:t>
      </w:r>
      <w:r w:rsidRPr="00E725AB">
        <w:rPr>
          <w:lang w:val="en-GB"/>
        </w:rPr>
        <w:t xml:space="preserve">(in no particular order) the US, UK, Germany and Japan. </w:t>
      </w:r>
    </w:p>
  </w:footnote>
  <w:footnote w:id="22">
    <w:p w14:paraId="5E95429A" w14:textId="6DFA307B" w:rsidR="00F55FAE" w:rsidRPr="00674E03" w:rsidRDefault="00F55FAE" w:rsidP="00750E0E">
      <w:pPr>
        <w:pStyle w:val="FootnoteText"/>
        <w:jc w:val="both"/>
      </w:pPr>
      <w:r w:rsidRPr="00E725AB">
        <w:rPr>
          <w:rStyle w:val="FootnoteReference"/>
          <w:lang w:val="en-GB"/>
        </w:rPr>
        <w:footnoteRef/>
      </w:r>
      <w:r>
        <w:rPr>
          <w:lang w:val="en-GB"/>
        </w:rPr>
        <w:t xml:space="preserve"> Lo (note 7 above), p 12; Ginsburg (note 6 above)</w:t>
      </w:r>
      <w:r w:rsidRPr="00E725AB">
        <w:rPr>
          <w:lang w:val="en-GB"/>
        </w:rPr>
        <w:t xml:space="preserve">, </w:t>
      </w:r>
      <w:r>
        <w:rPr>
          <w:lang w:val="en-GB"/>
        </w:rPr>
        <w:t>pp</w:t>
      </w:r>
      <w:r w:rsidRPr="00E725AB">
        <w:rPr>
          <w:lang w:val="en-GB"/>
        </w:rPr>
        <w:t xml:space="preserve"> 108</w:t>
      </w:r>
      <w:r>
        <w:rPr>
          <w:lang w:val="en-GB"/>
        </w:rPr>
        <w:t xml:space="preserve"> and </w:t>
      </w:r>
      <w:r w:rsidRPr="00E725AB">
        <w:rPr>
          <w:lang w:val="en-GB"/>
        </w:rPr>
        <w:t xml:space="preserve">110; </w:t>
      </w:r>
      <w:r w:rsidRPr="00DC01B1">
        <w:rPr>
          <w:lang w:val="en-GB"/>
        </w:rPr>
        <w:t>see</w:t>
      </w:r>
      <w:r w:rsidRPr="00F7423D">
        <w:rPr>
          <w:lang w:val="en-GB"/>
        </w:rPr>
        <w:t xml:space="preserve"> </w:t>
      </w:r>
      <w:r w:rsidRPr="00DC01B1">
        <w:rPr>
          <w:lang w:val="en-GB"/>
        </w:rPr>
        <w:t>also</w:t>
      </w:r>
      <w:r w:rsidRPr="00E725AB">
        <w:rPr>
          <w:i/>
          <w:lang w:val="en-GB"/>
        </w:rPr>
        <w:t xml:space="preserve"> </w:t>
      </w:r>
      <w:r>
        <w:rPr>
          <w:lang w:val="en-GB"/>
        </w:rPr>
        <w:t xml:space="preserve">T </w:t>
      </w:r>
      <w:proofErr w:type="spellStart"/>
      <w:r w:rsidRPr="00E725AB">
        <w:rPr>
          <w:lang w:val="en-GB"/>
        </w:rPr>
        <w:t>Tetzlaff</w:t>
      </w:r>
      <w:proofErr w:type="spellEnd"/>
      <w:r w:rsidRPr="00E725AB">
        <w:rPr>
          <w:lang w:val="en-GB"/>
        </w:rPr>
        <w:t xml:space="preserve">, </w:t>
      </w:r>
      <w:r>
        <w:rPr>
          <w:lang w:val="en-GB"/>
        </w:rPr>
        <w:t>‘</w:t>
      </w:r>
      <w:proofErr w:type="spellStart"/>
      <w:r w:rsidRPr="002768AD">
        <w:rPr>
          <w:lang w:val="en-GB"/>
        </w:rPr>
        <w:t>Kelsen</w:t>
      </w:r>
      <w:r>
        <w:rPr>
          <w:lang w:val="en-GB"/>
        </w:rPr>
        <w:t>’</w:t>
      </w:r>
      <w:r w:rsidRPr="002768AD">
        <w:rPr>
          <w:lang w:val="en-GB"/>
        </w:rPr>
        <w:t>s</w:t>
      </w:r>
      <w:proofErr w:type="spellEnd"/>
      <w:r w:rsidRPr="002768AD">
        <w:rPr>
          <w:lang w:val="en-GB"/>
        </w:rPr>
        <w:t xml:space="preserve"> Concept of Constitutional Review Accord in Europe and Asia: The Grand Justices in Taiwan</w:t>
      </w:r>
      <w:r>
        <w:rPr>
          <w:lang w:val="en-GB"/>
        </w:rPr>
        <w:t>’ (2006)</w:t>
      </w:r>
      <w:r w:rsidRPr="00E725AB">
        <w:rPr>
          <w:lang w:val="en-GB"/>
        </w:rPr>
        <w:t xml:space="preserve"> 1</w:t>
      </w:r>
      <w:r>
        <w:rPr>
          <w:smallCaps/>
          <w:lang w:val="en-GB"/>
        </w:rPr>
        <w:t xml:space="preserve"> </w:t>
      </w:r>
      <w:r w:rsidRPr="00E04964">
        <w:rPr>
          <w:i/>
          <w:lang w:val="en-GB"/>
        </w:rPr>
        <w:t>NTU Law Review</w:t>
      </w:r>
      <w:r>
        <w:rPr>
          <w:smallCaps/>
          <w:lang w:val="en-GB"/>
        </w:rPr>
        <w:t xml:space="preserve"> </w:t>
      </w:r>
      <w:r>
        <w:rPr>
          <w:lang w:val="en-GB"/>
        </w:rPr>
        <w:t>75</w:t>
      </w:r>
      <w:r>
        <w:t xml:space="preserve">. </w:t>
      </w:r>
    </w:p>
  </w:footnote>
  <w:footnote w:id="23">
    <w:p w14:paraId="1F28F5F3" w14:textId="3222BF58"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de </w:t>
      </w:r>
      <w:proofErr w:type="spellStart"/>
      <w:r>
        <w:rPr>
          <w:lang w:val="en-GB"/>
        </w:rPr>
        <w:t>Visser</w:t>
      </w:r>
      <w:proofErr w:type="spellEnd"/>
      <w:r>
        <w:rPr>
          <w:lang w:val="en-GB"/>
        </w:rPr>
        <w:t xml:space="preserve"> (note 16 above), p</w:t>
      </w:r>
      <w:r w:rsidRPr="00E725AB">
        <w:rPr>
          <w:lang w:val="en-GB"/>
        </w:rPr>
        <w:t xml:space="preserve"> 1. </w:t>
      </w:r>
    </w:p>
  </w:footnote>
  <w:footnote w:id="24">
    <w:p w14:paraId="01702341" w14:textId="3B94CF00" w:rsidR="00F55FAE" w:rsidRPr="00E725AB" w:rsidRDefault="00F55FAE" w:rsidP="007648B7">
      <w:pPr>
        <w:pStyle w:val="FootnoteText"/>
        <w:jc w:val="both"/>
        <w:rPr>
          <w:lang w:val="en-GB"/>
        </w:rPr>
      </w:pPr>
      <w:r w:rsidRPr="00E725AB">
        <w:rPr>
          <w:rStyle w:val="FootnoteReference"/>
          <w:lang w:val="en-GB"/>
        </w:rPr>
        <w:footnoteRef/>
      </w:r>
      <w:r w:rsidRPr="00E725AB">
        <w:rPr>
          <w:lang w:val="en-GB"/>
        </w:rPr>
        <w:t xml:space="preserve"> </w:t>
      </w:r>
      <w:r w:rsidRPr="00E04964">
        <w:rPr>
          <w:lang w:val="en-GB"/>
        </w:rPr>
        <w:t>D</w:t>
      </w:r>
      <w:r>
        <w:rPr>
          <w:lang w:val="en-GB"/>
        </w:rPr>
        <w:t xml:space="preserve"> Oliver </w:t>
      </w:r>
      <w:r w:rsidR="00945EFA">
        <w:rPr>
          <w:lang w:val="en-GB"/>
        </w:rPr>
        <w:t>and</w:t>
      </w:r>
      <w:r>
        <w:rPr>
          <w:lang w:val="en-GB"/>
        </w:rPr>
        <w:t xml:space="preserve"> C</w:t>
      </w:r>
      <w:r w:rsidRPr="00E04964">
        <w:rPr>
          <w:lang w:val="en-GB"/>
        </w:rPr>
        <w:t xml:space="preserve"> </w:t>
      </w:r>
      <w:proofErr w:type="spellStart"/>
      <w:r w:rsidRPr="00E04964">
        <w:rPr>
          <w:lang w:val="en-GB"/>
        </w:rPr>
        <w:t>Fusaro</w:t>
      </w:r>
      <w:proofErr w:type="spellEnd"/>
      <w:r w:rsidR="00B86AEB">
        <w:rPr>
          <w:lang w:val="en-GB"/>
        </w:rPr>
        <w:t xml:space="preserve"> (eds.)</w:t>
      </w:r>
      <w:r w:rsidRPr="00E04964">
        <w:rPr>
          <w:lang w:val="en-GB"/>
        </w:rPr>
        <w:t xml:space="preserve">, </w:t>
      </w:r>
      <w:r w:rsidRPr="00E04964">
        <w:rPr>
          <w:i/>
          <w:lang w:val="en-GB"/>
        </w:rPr>
        <w:t>How Constitutions Change: A Comparative Study</w:t>
      </w:r>
      <w:r w:rsidRPr="00E725AB">
        <w:rPr>
          <w:smallCaps/>
          <w:lang w:val="en-GB"/>
        </w:rPr>
        <w:t xml:space="preserve"> </w:t>
      </w:r>
      <w:r w:rsidRPr="00E725AB">
        <w:rPr>
          <w:lang w:val="en-GB"/>
        </w:rPr>
        <w:t>(</w:t>
      </w:r>
      <w:r>
        <w:rPr>
          <w:lang w:val="en-GB"/>
        </w:rPr>
        <w:t>Hart, Oxford, 2013), p</w:t>
      </w:r>
      <w:r w:rsidR="004D123F">
        <w:rPr>
          <w:lang w:val="en-GB"/>
        </w:rPr>
        <w:t> </w:t>
      </w:r>
      <w:r>
        <w:rPr>
          <w:lang w:val="en-GB"/>
        </w:rPr>
        <w:t>4.</w:t>
      </w:r>
    </w:p>
  </w:footnote>
  <w:footnote w:id="25">
    <w:p w14:paraId="46051C07" w14:textId="777777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Although</w:t>
      </w:r>
      <w:r w:rsidRPr="00E725AB">
        <w:rPr>
          <w:lang w:val="en-GB"/>
        </w:rPr>
        <w:t xml:space="preserve"> courts can now issue </w:t>
      </w:r>
      <w:r>
        <w:rPr>
          <w:lang w:val="en-GB"/>
        </w:rPr>
        <w:t>‘</w:t>
      </w:r>
      <w:r w:rsidRPr="00E725AB">
        <w:rPr>
          <w:lang w:val="en-GB"/>
        </w:rPr>
        <w:t>statements of incompatibility</w:t>
      </w:r>
      <w:r>
        <w:rPr>
          <w:lang w:val="en-GB"/>
        </w:rPr>
        <w:t>’</w:t>
      </w:r>
      <w:r w:rsidRPr="00E725AB">
        <w:rPr>
          <w:lang w:val="en-GB"/>
        </w:rPr>
        <w:t xml:space="preserve"> with statutes that violate the Human Rights</w:t>
      </w:r>
      <w:r>
        <w:rPr>
          <w:lang w:val="en-GB"/>
        </w:rPr>
        <w:t xml:space="preserve"> Act 1998. </w:t>
      </w:r>
    </w:p>
  </w:footnote>
  <w:footnote w:id="26">
    <w:p w14:paraId="4D1100D9" w14:textId="619F1D2F"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Bellamy (note 4 above), p </w:t>
      </w:r>
      <w:r w:rsidRPr="00E725AB">
        <w:rPr>
          <w:lang w:val="en-GB"/>
        </w:rPr>
        <w:t>87;</w:t>
      </w:r>
      <w:r>
        <w:rPr>
          <w:lang w:val="en-GB"/>
        </w:rPr>
        <w:t xml:space="preserve"> Elliott </w:t>
      </w:r>
      <w:r w:rsidR="00095871">
        <w:rPr>
          <w:lang w:val="en-GB"/>
        </w:rPr>
        <w:t>and</w:t>
      </w:r>
      <w:r>
        <w:rPr>
          <w:lang w:val="en-GB"/>
        </w:rPr>
        <w:t xml:space="preserve"> Thomas (note 3 above)</w:t>
      </w:r>
      <w:r w:rsidRPr="00E725AB">
        <w:rPr>
          <w:lang w:val="en-GB"/>
        </w:rPr>
        <w:t xml:space="preserve">, </w:t>
      </w:r>
      <w:r>
        <w:rPr>
          <w:lang w:val="en-GB"/>
        </w:rPr>
        <w:t>pp 38–41; D</w:t>
      </w:r>
      <w:r w:rsidRPr="00E725AB">
        <w:rPr>
          <w:lang w:val="en-GB"/>
        </w:rPr>
        <w:t xml:space="preserve"> Oliver, </w:t>
      </w:r>
      <w:r>
        <w:rPr>
          <w:lang w:val="en-GB"/>
        </w:rPr>
        <w:t>‘</w:t>
      </w:r>
      <w:r w:rsidRPr="00A2063C">
        <w:rPr>
          <w:lang w:val="en-GB"/>
        </w:rPr>
        <w:t>United Kingdom</w:t>
      </w:r>
      <w:r>
        <w:rPr>
          <w:lang w:val="en-GB"/>
        </w:rPr>
        <w:t>’</w:t>
      </w:r>
      <w:r w:rsidRPr="00E725AB">
        <w:rPr>
          <w:lang w:val="en-GB"/>
        </w:rPr>
        <w:t xml:space="preserve">, in </w:t>
      </w:r>
      <w:r>
        <w:rPr>
          <w:lang w:val="en-GB"/>
        </w:rPr>
        <w:t>O</w:t>
      </w:r>
      <w:r w:rsidRPr="00A71E6B">
        <w:rPr>
          <w:lang w:val="en-GB"/>
        </w:rPr>
        <w:t xml:space="preserve">liver </w:t>
      </w:r>
      <w:r w:rsidR="00095871">
        <w:rPr>
          <w:lang w:val="en-GB"/>
        </w:rPr>
        <w:t>and</w:t>
      </w:r>
      <w:r w:rsidRPr="00A71E6B">
        <w:rPr>
          <w:lang w:val="en-GB"/>
        </w:rPr>
        <w:t xml:space="preserve"> </w:t>
      </w:r>
      <w:proofErr w:type="spellStart"/>
      <w:r>
        <w:rPr>
          <w:lang w:val="en-GB"/>
        </w:rPr>
        <w:t>Fusaro</w:t>
      </w:r>
      <w:proofErr w:type="spellEnd"/>
      <w:r w:rsidR="00B86AEB">
        <w:rPr>
          <w:lang w:val="en-GB"/>
        </w:rPr>
        <w:t xml:space="preserve"> (eds.)</w:t>
      </w:r>
      <w:r>
        <w:rPr>
          <w:lang w:val="en-GB"/>
        </w:rPr>
        <w:t xml:space="preserve"> (note 2</w:t>
      </w:r>
      <w:r w:rsidR="00FB4D4D">
        <w:rPr>
          <w:lang w:val="en-GB"/>
        </w:rPr>
        <w:t>3</w:t>
      </w:r>
      <w:r>
        <w:rPr>
          <w:lang w:val="en-GB"/>
        </w:rPr>
        <w:t xml:space="preserve"> above)</w:t>
      </w:r>
      <w:r w:rsidRPr="00A71E6B">
        <w:rPr>
          <w:lang w:val="en-GB"/>
        </w:rPr>
        <w:t xml:space="preserve">, </w:t>
      </w:r>
      <w:r>
        <w:rPr>
          <w:lang w:val="en-GB"/>
        </w:rPr>
        <w:t>pp</w:t>
      </w:r>
      <w:r w:rsidRPr="00A71E6B">
        <w:rPr>
          <w:lang w:val="en-GB"/>
        </w:rPr>
        <w:t xml:space="preserve"> </w:t>
      </w:r>
      <w:r>
        <w:rPr>
          <w:lang w:val="en-GB"/>
        </w:rPr>
        <w:t xml:space="preserve">342 at </w:t>
      </w:r>
      <w:r>
        <w:rPr>
          <w:smallCaps/>
          <w:lang w:val="en-GB"/>
        </w:rPr>
        <w:t>350–352</w:t>
      </w:r>
      <w:r w:rsidRPr="00E725AB">
        <w:rPr>
          <w:lang w:val="en-GB"/>
        </w:rPr>
        <w:t xml:space="preserve">. </w:t>
      </w:r>
    </w:p>
  </w:footnote>
  <w:footnote w:id="27">
    <w:p w14:paraId="205A7500"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From an American perspective</w:t>
      </w:r>
      <w:r w:rsidRPr="00D03EDE">
        <w:rPr>
          <w:lang w:val="en-GB"/>
        </w:rPr>
        <w:t xml:space="preserve">, </w:t>
      </w:r>
      <w:r w:rsidRPr="00FB4D4D">
        <w:rPr>
          <w:lang w:val="en-GB"/>
        </w:rPr>
        <w:t>see</w:t>
      </w:r>
      <w:r>
        <w:rPr>
          <w:lang w:val="en-GB"/>
        </w:rPr>
        <w:t xml:space="preserve"> EF</w:t>
      </w:r>
      <w:r w:rsidRPr="00E725AB">
        <w:rPr>
          <w:lang w:val="en-GB"/>
        </w:rPr>
        <w:t xml:space="preserve"> Delaney, </w:t>
      </w:r>
      <w:r>
        <w:rPr>
          <w:lang w:val="en-GB"/>
        </w:rPr>
        <w:t>‘</w:t>
      </w:r>
      <w:r w:rsidRPr="00A71E6B">
        <w:rPr>
          <w:lang w:val="en-GB"/>
        </w:rPr>
        <w:t>Judiciary Rising: Constitutional Change in the United Kingdom</w:t>
      </w:r>
      <w:r>
        <w:rPr>
          <w:lang w:val="en-GB"/>
        </w:rPr>
        <w:t xml:space="preserve">’ (2014) 108 </w:t>
      </w:r>
      <w:proofErr w:type="spellStart"/>
      <w:r w:rsidRPr="00B550C8">
        <w:rPr>
          <w:i/>
          <w:lang w:val="en-GB"/>
        </w:rPr>
        <w:t>Northwestern</w:t>
      </w:r>
      <w:proofErr w:type="spellEnd"/>
      <w:r w:rsidRPr="00B550C8">
        <w:rPr>
          <w:i/>
          <w:lang w:val="en-GB"/>
        </w:rPr>
        <w:t xml:space="preserve"> University Law Review</w:t>
      </w:r>
      <w:r>
        <w:rPr>
          <w:lang w:val="en-GB"/>
        </w:rPr>
        <w:t xml:space="preserve"> 543</w:t>
      </w:r>
      <w:r w:rsidRPr="00E725AB">
        <w:rPr>
          <w:lang w:val="en-GB"/>
        </w:rPr>
        <w:t>.</w:t>
      </w:r>
    </w:p>
  </w:footnote>
  <w:footnote w:id="28">
    <w:p w14:paraId="4947579E"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House of Commons Political and Constitutional Reform Committee. </w:t>
      </w:r>
    </w:p>
  </w:footnote>
  <w:footnote w:id="29">
    <w:p w14:paraId="50F92156" w14:textId="7001765A"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 regard to the </w:t>
      </w:r>
      <w:r w:rsidR="00B86AEB">
        <w:rPr>
          <w:lang w:val="en-GB"/>
        </w:rPr>
        <w:t>House of Lords (</w:t>
      </w:r>
      <w:r w:rsidR="008C36FB">
        <w:rPr>
          <w:lang w:val="en-GB"/>
        </w:rPr>
        <w:t>‘</w:t>
      </w:r>
      <w:r w:rsidRPr="00E725AB">
        <w:rPr>
          <w:lang w:val="en-GB"/>
        </w:rPr>
        <w:t>HOL</w:t>
      </w:r>
      <w:r w:rsidR="008C36FB">
        <w:rPr>
          <w:lang w:val="en-GB"/>
        </w:rPr>
        <w:t>’</w:t>
      </w:r>
      <w:r w:rsidR="00B86AEB">
        <w:rPr>
          <w:lang w:val="en-GB"/>
        </w:rPr>
        <w:t>)</w:t>
      </w:r>
      <w:r w:rsidRPr="00E725AB">
        <w:rPr>
          <w:lang w:val="en-GB"/>
        </w:rPr>
        <w:t xml:space="preserve"> Constitution Committee, </w:t>
      </w:r>
      <w:r w:rsidRPr="00FB4D4D">
        <w:rPr>
          <w:lang w:val="en-GB"/>
        </w:rPr>
        <w:t>see</w:t>
      </w:r>
      <w:r w:rsidRPr="00E725AB">
        <w:rPr>
          <w:lang w:val="en-GB"/>
        </w:rPr>
        <w:t xml:space="preserve"> </w:t>
      </w:r>
      <w:r>
        <w:rPr>
          <w:lang w:val="en-GB"/>
        </w:rPr>
        <w:t xml:space="preserve">A Le </w:t>
      </w:r>
      <w:proofErr w:type="spellStart"/>
      <w:r>
        <w:rPr>
          <w:lang w:val="en-GB"/>
        </w:rPr>
        <w:t>Sueur</w:t>
      </w:r>
      <w:proofErr w:type="spellEnd"/>
      <w:r>
        <w:rPr>
          <w:lang w:val="en-GB"/>
        </w:rPr>
        <w:t xml:space="preserve"> </w:t>
      </w:r>
      <w:r w:rsidR="00095871">
        <w:rPr>
          <w:lang w:val="en-GB"/>
        </w:rPr>
        <w:t>and</w:t>
      </w:r>
      <w:r>
        <w:rPr>
          <w:lang w:val="en-GB"/>
        </w:rPr>
        <w:t xml:space="preserve"> J Simson </w:t>
      </w:r>
      <w:proofErr w:type="spellStart"/>
      <w:r>
        <w:rPr>
          <w:lang w:val="en-GB"/>
        </w:rPr>
        <w:t>Caird</w:t>
      </w:r>
      <w:proofErr w:type="spellEnd"/>
      <w:r>
        <w:rPr>
          <w:lang w:val="en-GB"/>
        </w:rPr>
        <w:t>,</w:t>
      </w:r>
      <w:r w:rsidRPr="00E725AB">
        <w:rPr>
          <w:lang w:val="en-GB"/>
        </w:rPr>
        <w:t xml:space="preserve"> </w:t>
      </w:r>
      <w:r>
        <w:rPr>
          <w:lang w:val="en-GB"/>
        </w:rPr>
        <w:t>‘</w:t>
      </w:r>
      <w:r w:rsidRPr="00A2063C">
        <w:rPr>
          <w:lang w:val="en-GB"/>
        </w:rPr>
        <w:t>The Lords Constitution Committee</w:t>
      </w:r>
      <w:r>
        <w:rPr>
          <w:lang w:val="en-GB"/>
        </w:rPr>
        <w:t>’</w:t>
      </w:r>
      <w:r w:rsidRPr="00E725AB">
        <w:rPr>
          <w:lang w:val="en-GB"/>
        </w:rPr>
        <w:t xml:space="preserve">, in </w:t>
      </w:r>
      <w:r>
        <w:rPr>
          <w:lang w:val="en-GB"/>
        </w:rPr>
        <w:t xml:space="preserve">A Horne, G </w:t>
      </w:r>
      <w:proofErr w:type="spellStart"/>
      <w:r>
        <w:rPr>
          <w:lang w:val="en-GB"/>
        </w:rPr>
        <w:t>Drewry</w:t>
      </w:r>
      <w:proofErr w:type="spellEnd"/>
      <w:r>
        <w:rPr>
          <w:lang w:val="en-GB"/>
        </w:rPr>
        <w:t xml:space="preserve"> </w:t>
      </w:r>
      <w:r w:rsidR="000E3C44">
        <w:rPr>
          <w:lang w:val="en-GB"/>
        </w:rPr>
        <w:t>and</w:t>
      </w:r>
      <w:r>
        <w:rPr>
          <w:lang w:val="en-GB"/>
        </w:rPr>
        <w:t xml:space="preserve"> D</w:t>
      </w:r>
      <w:r w:rsidRPr="0082551D">
        <w:rPr>
          <w:lang w:val="en-GB"/>
        </w:rPr>
        <w:t xml:space="preserve"> Oliver</w:t>
      </w:r>
      <w:r>
        <w:rPr>
          <w:lang w:val="en-GB"/>
        </w:rPr>
        <w:t xml:space="preserve"> (eds</w:t>
      </w:r>
      <w:r w:rsidR="00B86AEB">
        <w:rPr>
          <w:lang w:val="en-GB"/>
        </w:rPr>
        <w:t>.</w:t>
      </w:r>
      <w:r>
        <w:rPr>
          <w:lang w:val="en-GB"/>
        </w:rPr>
        <w:t>)</w:t>
      </w:r>
      <w:r w:rsidRPr="0082551D">
        <w:rPr>
          <w:lang w:val="en-GB"/>
        </w:rPr>
        <w:t xml:space="preserve">, </w:t>
      </w:r>
      <w:r w:rsidRPr="0082551D">
        <w:rPr>
          <w:i/>
          <w:lang w:val="en-GB"/>
        </w:rPr>
        <w:t xml:space="preserve">Parliament </w:t>
      </w:r>
      <w:r>
        <w:rPr>
          <w:i/>
          <w:lang w:val="en-GB"/>
        </w:rPr>
        <w:t>a</w:t>
      </w:r>
      <w:r w:rsidRPr="0082551D">
        <w:rPr>
          <w:i/>
          <w:lang w:val="en-GB"/>
        </w:rPr>
        <w:t xml:space="preserve">nd </w:t>
      </w:r>
      <w:r>
        <w:rPr>
          <w:i/>
          <w:lang w:val="en-GB"/>
        </w:rPr>
        <w:t>t</w:t>
      </w:r>
      <w:r w:rsidRPr="0082551D">
        <w:rPr>
          <w:i/>
          <w:lang w:val="en-GB"/>
        </w:rPr>
        <w:t>he Law</w:t>
      </w:r>
      <w:r>
        <w:rPr>
          <w:i/>
          <w:lang w:val="en-GB"/>
        </w:rPr>
        <w:t xml:space="preserve">, </w:t>
      </w:r>
      <w:r w:rsidRPr="00E725AB">
        <w:rPr>
          <w:lang w:val="en-GB"/>
        </w:rPr>
        <w:t>(</w:t>
      </w:r>
      <w:r>
        <w:rPr>
          <w:lang w:val="en-GB"/>
        </w:rPr>
        <w:t xml:space="preserve">Hart, Oxford, </w:t>
      </w:r>
      <w:r w:rsidRPr="00E725AB">
        <w:rPr>
          <w:lang w:val="en-GB"/>
        </w:rPr>
        <w:t>2013)</w:t>
      </w:r>
      <w:r>
        <w:rPr>
          <w:lang w:val="en-GB"/>
        </w:rPr>
        <w:t>, pp 281–308</w:t>
      </w:r>
      <w:r w:rsidRPr="00E725AB">
        <w:rPr>
          <w:lang w:val="en-GB"/>
        </w:rPr>
        <w:t>.</w:t>
      </w:r>
    </w:p>
  </w:footnote>
  <w:footnote w:id="30">
    <w:p w14:paraId="0080D163" w14:textId="113C7AB1"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 regard to the JCHR, </w:t>
      </w:r>
      <w:r w:rsidRPr="00FB4D4D">
        <w:rPr>
          <w:lang w:val="en-GB"/>
        </w:rPr>
        <w:t>see</w:t>
      </w:r>
      <w:r w:rsidRPr="006F589C">
        <w:rPr>
          <w:lang w:val="en-GB"/>
        </w:rPr>
        <w:t xml:space="preserve"> </w:t>
      </w:r>
      <w:r>
        <w:rPr>
          <w:lang w:val="en-GB"/>
        </w:rPr>
        <w:t>M</w:t>
      </w:r>
      <w:r w:rsidRPr="00E725AB">
        <w:rPr>
          <w:lang w:val="en-GB"/>
        </w:rPr>
        <w:t xml:space="preserve"> Hunt, </w:t>
      </w:r>
      <w:r>
        <w:rPr>
          <w:lang w:val="en-GB"/>
        </w:rPr>
        <w:t>‘</w:t>
      </w:r>
      <w:r w:rsidRPr="002768AD">
        <w:rPr>
          <w:lang w:val="en-GB"/>
        </w:rPr>
        <w:t>The Joint Committee on Human Rights</w:t>
      </w:r>
      <w:r>
        <w:rPr>
          <w:lang w:val="en-GB"/>
        </w:rPr>
        <w:t>’</w:t>
      </w:r>
      <w:r w:rsidRPr="00E725AB">
        <w:rPr>
          <w:lang w:val="en-GB"/>
        </w:rPr>
        <w:t>, in</w:t>
      </w:r>
      <w:r w:rsidR="00B86AEB">
        <w:rPr>
          <w:lang w:val="en-GB"/>
        </w:rPr>
        <w:t xml:space="preserve"> Horne, </w:t>
      </w:r>
      <w:proofErr w:type="spellStart"/>
      <w:r w:rsidR="00B86AEB">
        <w:rPr>
          <w:lang w:val="en-GB"/>
        </w:rPr>
        <w:t>Drewry</w:t>
      </w:r>
      <w:proofErr w:type="spellEnd"/>
      <w:r w:rsidR="00B86AEB">
        <w:rPr>
          <w:lang w:val="en-GB"/>
        </w:rPr>
        <w:t xml:space="preserve"> </w:t>
      </w:r>
      <w:r w:rsidR="00095871">
        <w:rPr>
          <w:lang w:val="en-GB"/>
        </w:rPr>
        <w:t>and</w:t>
      </w:r>
      <w:r w:rsidR="00B86AEB">
        <w:rPr>
          <w:lang w:val="en-GB"/>
        </w:rPr>
        <w:t xml:space="preserve"> </w:t>
      </w:r>
      <w:r w:rsidR="00B86AEB" w:rsidRPr="0082551D">
        <w:rPr>
          <w:lang w:val="en-GB"/>
        </w:rPr>
        <w:t>Oliver</w:t>
      </w:r>
      <w:r w:rsidR="00B86AEB">
        <w:rPr>
          <w:lang w:val="en-GB"/>
        </w:rPr>
        <w:t xml:space="preserve"> (eds.), </w:t>
      </w:r>
      <w:r w:rsidR="00B86AEB" w:rsidRPr="00FB4D4D">
        <w:rPr>
          <w:i/>
          <w:lang w:val="en-GB"/>
        </w:rPr>
        <w:t>ibid</w:t>
      </w:r>
      <w:r>
        <w:rPr>
          <w:lang w:val="en-GB"/>
        </w:rPr>
        <w:t xml:space="preserve">, pp 223–250; P Norton ‘A Democratic Dialogue? Parliament and Human Rights in the United Kingdom’ (2013) 21 </w:t>
      </w:r>
      <w:r w:rsidRPr="00BA336F">
        <w:rPr>
          <w:i/>
          <w:lang w:val="en-GB"/>
        </w:rPr>
        <w:t>Asia Pacific Law Review</w:t>
      </w:r>
      <w:r>
        <w:rPr>
          <w:lang w:val="en-GB"/>
        </w:rPr>
        <w:t xml:space="preserve"> 141.</w:t>
      </w:r>
    </w:p>
  </w:footnote>
  <w:footnote w:id="31">
    <w:p w14:paraId="68ED8114" w14:textId="6558CC9B"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de </w:t>
      </w:r>
      <w:proofErr w:type="spellStart"/>
      <w:r>
        <w:rPr>
          <w:lang w:val="en-GB"/>
        </w:rPr>
        <w:t>Visser</w:t>
      </w:r>
      <w:proofErr w:type="spellEnd"/>
      <w:r>
        <w:rPr>
          <w:lang w:val="en-GB"/>
        </w:rPr>
        <w:t xml:space="preserve"> (</w:t>
      </w:r>
      <w:r w:rsidRPr="00E725AB">
        <w:rPr>
          <w:lang w:val="en-GB"/>
        </w:rPr>
        <w:t xml:space="preserve">note </w:t>
      </w:r>
      <w:r>
        <w:rPr>
          <w:lang w:val="en-GB"/>
        </w:rPr>
        <w:t>16 above), p</w:t>
      </w:r>
      <w:r w:rsidRPr="00E725AB">
        <w:rPr>
          <w:lang w:val="en-GB"/>
        </w:rPr>
        <w:t xml:space="preserve"> 83. </w:t>
      </w:r>
    </w:p>
  </w:footnote>
  <w:footnote w:id="32">
    <w:p w14:paraId="7A7DCC5B"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5 U.S. 137 (1803).</w:t>
      </w:r>
      <w:r>
        <w:rPr>
          <w:lang w:val="en-GB"/>
        </w:rPr>
        <w:t xml:space="preserve"> According to Thayer</w:t>
      </w:r>
      <w:r w:rsidRPr="00E725AB">
        <w:rPr>
          <w:lang w:val="en-GB"/>
        </w:rPr>
        <w:t xml:space="preserve"> the Supreme Court did not strike down an act by</w:t>
      </w:r>
      <w:r>
        <w:rPr>
          <w:lang w:val="en-GB"/>
        </w:rPr>
        <w:t xml:space="preserve"> a state legislature until 1814</w:t>
      </w:r>
      <w:r w:rsidRPr="00E725AB">
        <w:rPr>
          <w:lang w:val="en-GB"/>
        </w:rPr>
        <w:t xml:space="preserve"> </w:t>
      </w:r>
      <w:r>
        <w:rPr>
          <w:lang w:val="en-GB"/>
        </w:rPr>
        <w:t>(JB</w:t>
      </w:r>
      <w:r w:rsidRPr="00E725AB">
        <w:rPr>
          <w:lang w:val="en-GB"/>
        </w:rPr>
        <w:t xml:space="preserve"> Thayer, </w:t>
      </w:r>
      <w:r>
        <w:rPr>
          <w:lang w:val="en-GB"/>
        </w:rPr>
        <w:t>‘</w:t>
      </w:r>
      <w:r w:rsidRPr="002768AD">
        <w:rPr>
          <w:lang w:val="en-GB"/>
        </w:rPr>
        <w:t>The Origin and Scope of the American Doctrine of Constitutional Law</w:t>
      </w:r>
      <w:r>
        <w:rPr>
          <w:lang w:val="en-GB"/>
        </w:rPr>
        <w:t>’ (1893) 7</w:t>
      </w:r>
      <w:r w:rsidRPr="00E725AB">
        <w:rPr>
          <w:lang w:val="en-GB"/>
        </w:rPr>
        <w:t xml:space="preserve"> </w:t>
      </w:r>
      <w:r w:rsidRPr="00B550C8">
        <w:rPr>
          <w:rFonts w:ascii="Times New Roman Italic" w:hAnsi="Times New Roman Italic"/>
          <w:i/>
          <w:lang w:val="en-GB"/>
        </w:rPr>
        <w:t xml:space="preserve">Harvard Law Review </w:t>
      </w:r>
      <w:r>
        <w:rPr>
          <w:lang w:val="en-GB"/>
        </w:rPr>
        <w:t>129 at 134</w:t>
      </w:r>
      <w:r w:rsidRPr="00E725AB">
        <w:rPr>
          <w:lang w:val="en-GB"/>
        </w:rPr>
        <w:t xml:space="preserve">). </w:t>
      </w:r>
    </w:p>
  </w:footnote>
  <w:footnote w:id="33">
    <w:p w14:paraId="4715C089"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705FD8">
        <w:rPr>
          <w:lang w:val="en-GB"/>
        </w:rPr>
        <w:t>See</w:t>
      </w:r>
      <w:r w:rsidRPr="00E725AB">
        <w:rPr>
          <w:lang w:val="en-GB"/>
        </w:rPr>
        <w:t xml:space="preserve"> Government Printing Office, </w:t>
      </w:r>
      <w:r w:rsidRPr="00E725AB">
        <w:rPr>
          <w:i/>
          <w:lang w:val="en-GB"/>
        </w:rPr>
        <w:t>Acts of Congress Held Unconstitutional in Whole or in Part by the Supreme Court of the United States</w:t>
      </w:r>
      <w:r w:rsidRPr="00E725AB">
        <w:rPr>
          <w:lang w:val="en-GB"/>
        </w:rPr>
        <w:t xml:space="preserve">, </w:t>
      </w:r>
      <w:r w:rsidRPr="00705FD8">
        <w:rPr>
          <w:lang w:val="en-GB"/>
        </w:rPr>
        <w:t>available at</w:t>
      </w:r>
      <w:r w:rsidRPr="00E725AB">
        <w:rPr>
          <w:lang w:val="en-GB"/>
        </w:rPr>
        <w:t xml:space="preserve"> </w:t>
      </w:r>
      <w:hyperlink r:id="rId3" w:history="1">
        <w:r w:rsidRPr="00E725AB">
          <w:rPr>
            <w:rStyle w:val="Hyperlink"/>
            <w:color w:val="auto"/>
            <w:u w:val="none"/>
            <w:lang w:val="en-GB"/>
          </w:rPr>
          <w:t>http://www.gpo.gov/fdsys/pkg/GPO-CONAN-2002/pdf/GPO-CONAN-2002-10.pdf</w:t>
        </w:r>
      </w:hyperlink>
      <w:r w:rsidRPr="00E725AB">
        <w:rPr>
          <w:lang w:val="en-GB"/>
        </w:rPr>
        <w:t xml:space="preserve">. </w:t>
      </w:r>
    </w:p>
  </w:footnote>
  <w:footnote w:id="34">
    <w:p w14:paraId="28881CD1" w14:textId="08A99946"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F</w:t>
      </w:r>
      <w:r w:rsidRPr="00E725AB">
        <w:rPr>
          <w:lang w:val="en-GB"/>
        </w:rPr>
        <w:t xml:space="preserve">or comprehensive accounts on the rise of judicial supremacy, </w:t>
      </w:r>
      <w:r w:rsidRPr="00414DDE">
        <w:rPr>
          <w:lang w:val="en-GB"/>
        </w:rPr>
        <w:t xml:space="preserve">see </w:t>
      </w:r>
      <w:proofErr w:type="spellStart"/>
      <w:r w:rsidRPr="00414DDE">
        <w:rPr>
          <w:lang w:val="en-GB"/>
        </w:rPr>
        <w:t>eg</w:t>
      </w:r>
      <w:proofErr w:type="spellEnd"/>
      <w:r w:rsidRPr="005608E3">
        <w:rPr>
          <w:lang w:val="en-GB"/>
        </w:rPr>
        <w:t xml:space="preserve"> KE Whittington, </w:t>
      </w:r>
      <w:r w:rsidRPr="004B2167">
        <w:rPr>
          <w:i/>
          <w:lang w:val="en-GB"/>
        </w:rPr>
        <w:t xml:space="preserve">Political Foundations </w:t>
      </w:r>
      <w:r w:rsidRPr="00414DDE">
        <w:rPr>
          <w:i/>
          <w:lang w:val="en-GB"/>
        </w:rPr>
        <w:t>o</w:t>
      </w:r>
      <w:r w:rsidRPr="004B2167">
        <w:rPr>
          <w:i/>
          <w:lang w:val="en-GB"/>
        </w:rPr>
        <w:t xml:space="preserve">f </w:t>
      </w:r>
      <w:r w:rsidRPr="003B0027">
        <w:rPr>
          <w:i/>
          <w:lang w:val="en-GB"/>
        </w:rPr>
        <w:t>Judicial Supremacy</w:t>
      </w:r>
      <w:r w:rsidRPr="005608E3">
        <w:rPr>
          <w:lang w:val="en-GB"/>
        </w:rPr>
        <w:t xml:space="preserve"> (P</w:t>
      </w:r>
      <w:r w:rsidR="00B86AEB">
        <w:rPr>
          <w:lang w:val="en-GB"/>
        </w:rPr>
        <w:t xml:space="preserve">rinceton </w:t>
      </w:r>
      <w:r w:rsidRPr="005608E3">
        <w:rPr>
          <w:lang w:val="en-GB"/>
        </w:rPr>
        <w:t>U</w:t>
      </w:r>
      <w:r w:rsidR="00B86AEB">
        <w:rPr>
          <w:lang w:val="en-GB"/>
        </w:rPr>
        <w:t xml:space="preserve">niversity </w:t>
      </w:r>
      <w:r w:rsidRPr="005608E3">
        <w:rPr>
          <w:lang w:val="en-GB"/>
        </w:rPr>
        <w:t>P</w:t>
      </w:r>
      <w:r w:rsidR="00B86AEB">
        <w:rPr>
          <w:lang w:val="en-GB"/>
        </w:rPr>
        <w:t>ress</w:t>
      </w:r>
      <w:r w:rsidRPr="005608E3">
        <w:rPr>
          <w:lang w:val="en-GB"/>
        </w:rPr>
        <w:t>, Princeton, 2007); B</w:t>
      </w:r>
      <w:r w:rsidR="00954D78">
        <w:rPr>
          <w:lang w:val="en-GB"/>
        </w:rPr>
        <w:t> </w:t>
      </w:r>
      <w:r w:rsidRPr="005608E3">
        <w:rPr>
          <w:lang w:val="en-GB"/>
        </w:rPr>
        <w:t>Friedman</w:t>
      </w:r>
      <w:r>
        <w:rPr>
          <w:lang w:val="en-GB"/>
        </w:rPr>
        <w:t xml:space="preserve"> </w:t>
      </w:r>
      <w:r w:rsidR="00095871">
        <w:rPr>
          <w:lang w:val="en-GB"/>
        </w:rPr>
        <w:t>and</w:t>
      </w:r>
      <w:r>
        <w:rPr>
          <w:lang w:val="en-GB"/>
        </w:rPr>
        <w:t xml:space="preserve"> EF</w:t>
      </w:r>
      <w:r w:rsidR="00954D78">
        <w:rPr>
          <w:lang w:val="en-GB"/>
        </w:rPr>
        <w:t> </w:t>
      </w:r>
      <w:r w:rsidRPr="00E725AB">
        <w:rPr>
          <w:lang w:val="en-GB"/>
        </w:rPr>
        <w:t xml:space="preserve">Delaney, </w:t>
      </w:r>
      <w:r>
        <w:rPr>
          <w:lang w:val="en-GB"/>
        </w:rPr>
        <w:t>‘</w:t>
      </w:r>
      <w:r w:rsidRPr="002768AD">
        <w:rPr>
          <w:iCs/>
          <w:lang w:val="en-GB"/>
        </w:rPr>
        <w:t>Becoming Supreme: The Federal Foundation of Judicial</w:t>
      </w:r>
      <w:r w:rsidRPr="002768AD">
        <w:rPr>
          <w:lang w:val="en-GB"/>
        </w:rPr>
        <w:t xml:space="preserve"> </w:t>
      </w:r>
      <w:r w:rsidRPr="002768AD">
        <w:rPr>
          <w:iCs/>
          <w:lang w:val="en-GB"/>
        </w:rPr>
        <w:t>Supremacy</w:t>
      </w:r>
      <w:r>
        <w:rPr>
          <w:iCs/>
          <w:lang w:val="en-GB"/>
        </w:rPr>
        <w:t>’</w:t>
      </w:r>
      <w:r>
        <w:rPr>
          <w:lang w:val="en-GB"/>
        </w:rPr>
        <w:t xml:space="preserve"> (2011) </w:t>
      </w:r>
      <w:r w:rsidRPr="00E725AB">
        <w:rPr>
          <w:lang w:val="en-GB"/>
        </w:rPr>
        <w:t xml:space="preserve">111 </w:t>
      </w:r>
      <w:r w:rsidRPr="00B550C8">
        <w:rPr>
          <w:i/>
          <w:lang w:val="en-GB"/>
        </w:rPr>
        <w:t>Columbia Law Review</w:t>
      </w:r>
      <w:r w:rsidRPr="00E725AB">
        <w:rPr>
          <w:smallCaps/>
          <w:lang w:val="en-GB"/>
        </w:rPr>
        <w:t xml:space="preserve"> </w:t>
      </w:r>
      <w:r>
        <w:rPr>
          <w:lang w:val="en-GB"/>
        </w:rPr>
        <w:t>1137</w:t>
      </w:r>
      <w:r w:rsidRPr="00E725AB">
        <w:rPr>
          <w:lang w:val="en-GB"/>
        </w:rPr>
        <w:t>.</w:t>
      </w:r>
    </w:p>
  </w:footnote>
  <w:footnote w:id="35">
    <w:p w14:paraId="08C637A0"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414DDE">
        <w:rPr>
          <w:lang w:val="en-GB"/>
        </w:rPr>
        <w:t>See</w:t>
      </w:r>
      <w:r w:rsidRPr="003B0027">
        <w:rPr>
          <w:lang w:val="en-GB"/>
        </w:rPr>
        <w:t xml:space="preserve"> </w:t>
      </w:r>
      <w:r>
        <w:rPr>
          <w:lang w:val="en-GB"/>
        </w:rPr>
        <w:t>note 1 above</w:t>
      </w:r>
      <w:r w:rsidRPr="00E725AB">
        <w:rPr>
          <w:lang w:val="en-GB"/>
        </w:rPr>
        <w:t xml:space="preserve">. </w:t>
      </w:r>
    </w:p>
  </w:footnote>
  <w:footnote w:id="36">
    <w:p w14:paraId="3750A35B" w14:textId="5B1C057B"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Pr>
          <w:lang w:val="en-GB"/>
        </w:rPr>
        <w:t xml:space="preserve">WN Eskridge Jr </w:t>
      </w:r>
      <w:r w:rsidR="00095871">
        <w:rPr>
          <w:lang w:val="en-GB"/>
        </w:rPr>
        <w:t>and</w:t>
      </w:r>
      <w:r>
        <w:rPr>
          <w:lang w:val="en-GB"/>
        </w:rPr>
        <w:t xml:space="preserve"> J</w:t>
      </w:r>
      <w:r w:rsidRPr="004B6DE6">
        <w:rPr>
          <w:lang w:val="en-GB"/>
        </w:rPr>
        <w:t xml:space="preserve"> </w:t>
      </w:r>
      <w:proofErr w:type="spellStart"/>
      <w:r w:rsidRPr="004B6DE6">
        <w:rPr>
          <w:lang w:val="en-GB"/>
        </w:rPr>
        <w:t>Ferejohn</w:t>
      </w:r>
      <w:proofErr w:type="spellEnd"/>
      <w:r w:rsidRPr="004B6DE6">
        <w:rPr>
          <w:lang w:val="en-GB"/>
        </w:rPr>
        <w:t xml:space="preserve">, </w:t>
      </w:r>
      <w:r w:rsidRPr="005D03AC">
        <w:rPr>
          <w:i/>
          <w:lang w:val="en-GB"/>
        </w:rPr>
        <w:t xml:space="preserve">A Republic </w:t>
      </w:r>
      <w:r>
        <w:rPr>
          <w:i/>
          <w:lang w:val="en-GB"/>
        </w:rPr>
        <w:t>o</w:t>
      </w:r>
      <w:r w:rsidRPr="005D03AC">
        <w:rPr>
          <w:i/>
          <w:lang w:val="en-GB"/>
        </w:rPr>
        <w:t>f Statutes: The New American Constitution</w:t>
      </w:r>
      <w:r w:rsidRPr="004B6DE6">
        <w:rPr>
          <w:lang w:val="en-GB"/>
        </w:rPr>
        <w:t xml:space="preserve"> (</w:t>
      </w:r>
      <w:r>
        <w:rPr>
          <w:lang w:val="en-GB"/>
        </w:rPr>
        <w:t>Y</w:t>
      </w:r>
      <w:r w:rsidR="00DA35F7">
        <w:rPr>
          <w:lang w:val="en-GB"/>
        </w:rPr>
        <w:t xml:space="preserve">ale </w:t>
      </w:r>
      <w:r>
        <w:rPr>
          <w:lang w:val="en-GB"/>
        </w:rPr>
        <w:t>U</w:t>
      </w:r>
      <w:r w:rsidR="00DA35F7">
        <w:rPr>
          <w:lang w:val="en-GB"/>
        </w:rPr>
        <w:t xml:space="preserve">niversity </w:t>
      </w:r>
      <w:r>
        <w:rPr>
          <w:lang w:val="en-GB"/>
        </w:rPr>
        <w:t>P</w:t>
      </w:r>
      <w:r w:rsidR="00DA35F7">
        <w:rPr>
          <w:lang w:val="en-GB"/>
        </w:rPr>
        <w:t>ress</w:t>
      </w:r>
      <w:r>
        <w:rPr>
          <w:lang w:val="en-GB"/>
        </w:rPr>
        <w:t xml:space="preserve">, New Haven, </w:t>
      </w:r>
      <w:r w:rsidRPr="004B6DE6">
        <w:rPr>
          <w:lang w:val="en-GB"/>
        </w:rPr>
        <w:t>2010)</w:t>
      </w:r>
      <w:r w:rsidRPr="00E725AB">
        <w:rPr>
          <w:lang w:val="en-GB"/>
        </w:rPr>
        <w:t xml:space="preserve">. </w:t>
      </w:r>
    </w:p>
  </w:footnote>
  <w:footnote w:id="37">
    <w:p w14:paraId="2B97B6AC" w14:textId="474B540B"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w:t>
      </w:r>
      <w:r w:rsidRPr="00E725AB">
        <w:rPr>
          <w:lang w:val="en-GB"/>
        </w:rPr>
        <w:t xml:space="preserve"> 4. </w:t>
      </w:r>
    </w:p>
  </w:footnote>
  <w:footnote w:id="38">
    <w:p w14:paraId="7647AB70" w14:textId="5D0B176C"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414DDE">
        <w:rPr>
          <w:lang w:val="en-GB"/>
        </w:rPr>
        <w:t>See</w:t>
      </w:r>
      <w:r w:rsidRPr="00E725AB">
        <w:rPr>
          <w:lang w:val="en-GB"/>
        </w:rPr>
        <w:t xml:space="preserve"> Garret</w:t>
      </w:r>
      <w:r>
        <w:rPr>
          <w:lang w:val="en-GB"/>
        </w:rPr>
        <w:t xml:space="preserve">t and </w:t>
      </w:r>
      <w:proofErr w:type="spellStart"/>
      <w:r>
        <w:rPr>
          <w:lang w:val="en-GB"/>
        </w:rPr>
        <w:t>Vermeule</w:t>
      </w:r>
      <w:proofErr w:type="spellEnd"/>
      <w:r>
        <w:rPr>
          <w:lang w:val="en-GB"/>
        </w:rPr>
        <w:t xml:space="preserve"> (note 1 above)</w:t>
      </w:r>
      <w:r w:rsidRPr="00E725AB">
        <w:rPr>
          <w:lang w:val="en-GB"/>
        </w:rPr>
        <w:t xml:space="preserve">, </w:t>
      </w:r>
      <w:r>
        <w:rPr>
          <w:lang w:val="en-GB"/>
        </w:rPr>
        <w:t>pp</w:t>
      </w:r>
      <w:r w:rsidRPr="00E725AB">
        <w:rPr>
          <w:lang w:val="en-GB"/>
        </w:rPr>
        <w:t xml:space="preserve"> 1284</w:t>
      </w:r>
      <w:r>
        <w:rPr>
          <w:lang w:val="en-GB"/>
        </w:rPr>
        <w:t>–</w:t>
      </w:r>
      <w:r w:rsidRPr="00E725AB">
        <w:rPr>
          <w:lang w:val="en-GB"/>
        </w:rPr>
        <w:t>1285.</w:t>
      </w:r>
    </w:p>
  </w:footnote>
  <w:footnote w:id="39">
    <w:p w14:paraId="3688E86A" w14:textId="5C4B39B1" w:rsidR="00F55FAE" w:rsidRPr="00E725AB" w:rsidRDefault="00F55FAE" w:rsidP="00750E0E">
      <w:pPr>
        <w:pStyle w:val="FootnoteText"/>
        <w:jc w:val="both"/>
        <w:rPr>
          <w:lang w:val="en-GB"/>
        </w:rPr>
      </w:pPr>
      <w:r w:rsidRPr="00E725AB">
        <w:rPr>
          <w:rStyle w:val="FootnoteReference"/>
          <w:lang w:val="en-GB"/>
        </w:rPr>
        <w:footnoteRef/>
      </w:r>
      <w:r w:rsidR="00961BBC">
        <w:rPr>
          <w:i/>
          <w:lang w:val="en-GB"/>
        </w:rPr>
        <w:t xml:space="preserve"> </w:t>
      </w:r>
      <w:r w:rsidR="000920DC">
        <w:rPr>
          <w:i/>
          <w:lang w:val="en-GB"/>
        </w:rPr>
        <w:t>Ibid</w:t>
      </w:r>
    </w:p>
  </w:footnote>
  <w:footnote w:id="40">
    <w:p w14:paraId="3D4906BF" w14:textId="2B9EFE72" w:rsidR="00F55FAE" w:rsidRDefault="00F55FAE" w:rsidP="00750E0E">
      <w:pPr>
        <w:pStyle w:val="FootnoteText"/>
        <w:jc w:val="both"/>
      </w:pPr>
      <w:r>
        <w:rPr>
          <w:rStyle w:val="FootnoteReference"/>
        </w:rPr>
        <w:footnoteRef/>
      </w:r>
      <w:r>
        <w:t xml:space="preserve"> de </w:t>
      </w:r>
      <w:proofErr w:type="spellStart"/>
      <w:r>
        <w:t>Visser</w:t>
      </w:r>
      <w:proofErr w:type="spellEnd"/>
      <w:r>
        <w:t xml:space="preserve"> (note 16 above), p 57. </w:t>
      </w:r>
    </w:p>
  </w:footnote>
  <w:footnote w:id="41">
    <w:p w14:paraId="359497DE" w14:textId="5C6DC214"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w:t>
      </w:r>
      <w:r w:rsidR="000920DC">
        <w:rPr>
          <w:i/>
          <w:lang w:val="en-GB"/>
        </w:rPr>
        <w:t>Ibid</w:t>
      </w:r>
      <w:r w:rsidRPr="00E725AB">
        <w:rPr>
          <w:lang w:val="en-GB"/>
        </w:rPr>
        <w:t xml:space="preserve">, </w:t>
      </w:r>
      <w:r>
        <w:rPr>
          <w:lang w:val="en-GB"/>
        </w:rPr>
        <w:t>pp</w:t>
      </w:r>
      <w:r w:rsidRPr="00E725AB">
        <w:rPr>
          <w:lang w:val="en-GB"/>
        </w:rPr>
        <w:t xml:space="preserve"> 60</w:t>
      </w:r>
      <w:r>
        <w:rPr>
          <w:lang w:val="en-GB"/>
        </w:rPr>
        <w:t>–</w:t>
      </w:r>
      <w:r w:rsidRPr="00E725AB">
        <w:rPr>
          <w:lang w:val="en-GB"/>
        </w:rPr>
        <w:t>61.</w:t>
      </w:r>
    </w:p>
  </w:footnote>
  <w:footnote w:id="42">
    <w:p w14:paraId="2092E842" w14:textId="24C8C974"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pp</w:t>
      </w:r>
      <w:r w:rsidRPr="00E725AB">
        <w:rPr>
          <w:lang w:val="en-GB"/>
        </w:rPr>
        <w:t xml:space="preserve"> 74</w:t>
      </w:r>
      <w:r>
        <w:rPr>
          <w:lang w:val="en-GB"/>
        </w:rPr>
        <w:t>–</w:t>
      </w:r>
      <w:r w:rsidRPr="00E725AB">
        <w:rPr>
          <w:lang w:val="en-GB"/>
        </w:rPr>
        <w:t xml:space="preserve">75. </w:t>
      </w:r>
      <w:r>
        <w:rPr>
          <w:lang w:val="en-GB"/>
        </w:rPr>
        <w:t xml:space="preserve">Although this move has been heavily criticised both within Hungary and abroad. </w:t>
      </w:r>
    </w:p>
  </w:footnote>
  <w:footnote w:id="43">
    <w:p w14:paraId="3EE4DFD4" w14:textId="3E69C576"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2768AD">
        <w:rPr>
          <w:lang w:val="en-GB"/>
        </w:rPr>
        <w:t xml:space="preserve">Oliver </w:t>
      </w:r>
      <w:r w:rsidR="00095871">
        <w:rPr>
          <w:lang w:val="en-GB"/>
        </w:rPr>
        <w:t>and</w:t>
      </w:r>
      <w:r w:rsidRPr="002768AD">
        <w:rPr>
          <w:lang w:val="en-GB"/>
        </w:rPr>
        <w:t xml:space="preserve"> </w:t>
      </w:r>
      <w:proofErr w:type="spellStart"/>
      <w:r w:rsidRPr="002768AD">
        <w:rPr>
          <w:lang w:val="en-GB"/>
        </w:rPr>
        <w:t>Fusaro</w:t>
      </w:r>
      <w:proofErr w:type="spellEnd"/>
      <w:r w:rsidR="00961BBC">
        <w:rPr>
          <w:lang w:val="en-GB"/>
        </w:rPr>
        <w:t xml:space="preserve"> (eds.)</w:t>
      </w:r>
      <w:r>
        <w:rPr>
          <w:smallCaps/>
          <w:lang w:val="en-GB"/>
        </w:rPr>
        <w:t xml:space="preserve"> (</w:t>
      </w:r>
      <w:r>
        <w:rPr>
          <w:lang w:val="en-GB"/>
        </w:rPr>
        <w:t>note 2</w:t>
      </w:r>
      <w:r w:rsidR="00492546">
        <w:rPr>
          <w:lang w:val="en-GB"/>
        </w:rPr>
        <w:t>3</w:t>
      </w:r>
      <w:r>
        <w:rPr>
          <w:lang w:val="en-GB"/>
        </w:rPr>
        <w:t xml:space="preserve"> above), pp</w:t>
      </w:r>
      <w:r w:rsidRPr="00E725AB">
        <w:rPr>
          <w:smallCaps/>
          <w:lang w:val="en-GB"/>
        </w:rPr>
        <w:t xml:space="preserve"> 9</w:t>
      </w:r>
      <w:r>
        <w:rPr>
          <w:smallCaps/>
          <w:lang w:val="en-GB"/>
        </w:rPr>
        <w:t>–</w:t>
      </w:r>
      <w:r w:rsidRPr="00E725AB">
        <w:rPr>
          <w:smallCaps/>
          <w:lang w:val="en-GB"/>
        </w:rPr>
        <w:t>10</w:t>
      </w:r>
      <w:r w:rsidRPr="00E725AB">
        <w:rPr>
          <w:lang w:val="en-GB"/>
        </w:rPr>
        <w:t>. Canada</w:t>
      </w:r>
      <w:r>
        <w:rPr>
          <w:lang w:val="en-GB"/>
        </w:rPr>
        <w:t>’</w:t>
      </w:r>
      <w:r w:rsidRPr="00E725AB">
        <w:rPr>
          <w:lang w:val="en-GB"/>
        </w:rPr>
        <w:t xml:space="preserve">s Supreme Court has </w:t>
      </w:r>
      <w:r>
        <w:rPr>
          <w:lang w:val="en-GB"/>
        </w:rPr>
        <w:t>‘</w:t>
      </w:r>
      <w:r w:rsidRPr="00E725AB">
        <w:rPr>
          <w:lang w:val="en-GB"/>
        </w:rPr>
        <w:t>created unwritten yet justiciable constitutional principles</w:t>
      </w:r>
      <w:r>
        <w:rPr>
          <w:lang w:val="en-GB"/>
        </w:rPr>
        <w:t>’</w:t>
      </w:r>
      <w:r w:rsidRPr="00E725AB">
        <w:rPr>
          <w:lang w:val="en-GB"/>
        </w:rPr>
        <w:t xml:space="preserve">, including </w:t>
      </w:r>
      <w:r>
        <w:rPr>
          <w:lang w:val="en-GB"/>
        </w:rPr>
        <w:t>‘</w:t>
      </w:r>
      <w:r w:rsidRPr="00E725AB">
        <w:rPr>
          <w:lang w:val="en-GB"/>
        </w:rPr>
        <w:t>a provision that disallows the unilateral secession of a province</w:t>
      </w:r>
      <w:r>
        <w:rPr>
          <w:lang w:val="en-GB"/>
        </w:rPr>
        <w:t>’</w:t>
      </w:r>
      <w:r w:rsidRPr="00E725AB">
        <w:rPr>
          <w:lang w:val="en-GB"/>
        </w:rPr>
        <w:t>. And Canada</w:t>
      </w:r>
      <w:r>
        <w:rPr>
          <w:lang w:val="en-GB"/>
        </w:rPr>
        <w:t>’</w:t>
      </w:r>
      <w:r w:rsidRPr="00E725AB">
        <w:rPr>
          <w:lang w:val="en-GB"/>
        </w:rPr>
        <w:t xml:space="preserve">s Parliament has created legislation that allows the provinces veto power over some constitutional amendments. </w:t>
      </w:r>
    </w:p>
  </w:footnote>
  <w:footnote w:id="44">
    <w:p w14:paraId="6D6B962A" w14:textId="04544D61"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w:t>
      </w:r>
      <w:r w:rsidRPr="00E725AB">
        <w:rPr>
          <w:lang w:val="en-GB"/>
        </w:rPr>
        <w:t xml:space="preserve"> 145. Germany amended the federal system in 2006 and 2009, and made further constitutional amendments permitting the ratification of the Lisbon Treaty in 2009. </w:t>
      </w:r>
    </w:p>
  </w:footnote>
  <w:footnote w:id="45">
    <w:p w14:paraId="536CB468" w14:textId="16F2A8A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w:t>
      </w:r>
      <w:r w:rsidRPr="00E725AB">
        <w:rPr>
          <w:lang w:val="en-GB"/>
        </w:rPr>
        <w:t xml:space="preserve"> 303. Switzerland</w:t>
      </w:r>
      <w:r>
        <w:rPr>
          <w:lang w:val="en-GB"/>
        </w:rPr>
        <w:t>’</w:t>
      </w:r>
      <w:r w:rsidRPr="00E725AB">
        <w:rPr>
          <w:lang w:val="en-GB"/>
        </w:rPr>
        <w:t xml:space="preserve">s third Constitution came into force on 1 January 2000, </w:t>
      </w:r>
      <w:r>
        <w:rPr>
          <w:lang w:val="en-GB"/>
        </w:rPr>
        <w:t>125 </w:t>
      </w:r>
      <w:r w:rsidRPr="00E725AB">
        <w:rPr>
          <w:lang w:val="en-GB"/>
        </w:rPr>
        <w:t xml:space="preserve">years after their second constitution. </w:t>
      </w:r>
    </w:p>
  </w:footnote>
  <w:footnote w:id="46">
    <w:p w14:paraId="0C51CA08" w14:textId="17F038C3"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de </w:t>
      </w:r>
      <w:proofErr w:type="spellStart"/>
      <w:r>
        <w:rPr>
          <w:lang w:val="en-GB"/>
        </w:rPr>
        <w:t>Vissser</w:t>
      </w:r>
      <w:proofErr w:type="spellEnd"/>
      <w:r>
        <w:rPr>
          <w:lang w:val="en-GB"/>
        </w:rPr>
        <w:t xml:space="preserve"> (note 16 above), p</w:t>
      </w:r>
      <w:r w:rsidRPr="00E725AB">
        <w:rPr>
          <w:lang w:val="en-GB"/>
        </w:rPr>
        <w:t xml:space="preserve"> 1.</w:t>
      </w:r>
    </w:p>
  </w:footnote>
  <w:footnote w:id="47">
    <w:p w14:paraId="38C05CFD" w14:textId="741C112E"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w:t>
      </w:r>
      <w:proofErr w:type="spellStart"/>
      <w:r>
        <w:rPr>
          <w:lang w:val="en-GB"/>
        </w:rPr>
        <w:t>Vermeule</w:t>
      </w:r>
      <w:proofErr w:type="spellEnd"/>
      <w:r>
        <w:rPr>
          <w:lang w:val="en-GB"/>
        </w:rPr>
        <w:t xml:space="preserve"> (note 1 above), p</w:t>
      </w:r>
      <w:r w:rsidRPr="00E725AB">
        <w:rPr>
          <w:lang w:val="en-GB"/>
        </w:rPr>
        <w:t xml:space="preserve"> 2</w:t>
      </w:r>
      <w:r>
        <w:rPr>
          <w:lang w:val="en-GB"/>
        </w:rPr>
        <w:t>:</w:t>
      </w:r>
      <w:r w:rsidRPr="00E725AB">
        <w:rPr>
          <w:lang w:val="en-GB"/>
        </w:rPr>
        <w:t xml:space="preserve"> </w:t>
      </w:r>
      <w:r>
        <w:rPr>
          <w:lang w:val="en-GB"/>
        </w:rPr>
        <w:t>‘</w:t>
      </w:r>
      <w:r w:rsidRPr="00E725AB">
        <w:rPr>
          <w:lang w:val="en-GB"/>
        </w:rPr>
        <w:t>The fact is that in most democratic polities, the basic constitutional arrangements are no longer up for grabs. …small scale institutional design is all that is on offer</w:t>
      </w:r>
      <w:r>
        <w:rPr>
          <w:lang w:val="en-GB"/>
        </w:rPr>
        <w:t>’</w:t>
      </w:r>
      <w:r w:rsidRPr="00E725AB">
        <w:rPr>
          <w:lang w:val="en-GB"/>
        </w:rPr>
        <w:t>.</w:t>
      </w:r>
    </w:p>
  </w:footnote>
  <w:footnote w:id="48">
    <w:p w14:paraId="46BC25B5" w14:textId="777777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Elliott and Thomas (note 3 above), p</w:t>
      </w:r>
      <w:r w:rsidRPr="00E725AB">
        <w:rPr>
          <w:lang w:val="en-GB"/>
        </w:rPr>
        <w:t xml:space="preserve"> 20.</w:t>
      </w:r>
    </w:p>
  </w:footnote>
  <w:footnote w:id="49">
    <w:p w14:paraId="3AFF7BC1" w14:textId="1B6CD7FD"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Garrett and </w:t>
      </w:r>
      <w:proofErr w:type="spellStart"/>
      <w:r>
        <w:rPr>
          <w:lang w:val="en-GB"/>
        </w:rPr>
        <w:t>Vermeule</w:t>
      </w:r>
      <w:proofErr w:type="spellEnd"/>
      <w:r>
        <w:rPr>
          <w:lang w:val="en-GB"/>
        </w:rPr>
        <w:t xml:space="preserve"> (note 1 above),</w:t>
      </w:r>
      <w:r w:rsidRPr="00E725AB">
        <w:rPr>
          <w:lang w:val="en-GB"/>
        </w:rPr>
        <w:t xml:space="preserve"> </w:t>
      </w:r>
      <w:r>
        <w:rPr>
          <w:lang w:val="en-GB"/>
        </w:rPr>
        <w:t>p</w:t>
      </w:r>
      <w:r w:rsidRPr="00E725AB">
        <w:rPr>
          <w:lang w:val="en-GB"/>
        </w:rPr>
        <w:t xml:space="preserve"> 1306</w:t>
      </w:r>
      <w:r>
        <w:rPr>
          <w:lang w:val="en-GB"/>
        </w:rPr>
        <w:t>:</w:t>
      </w:r>
      <w:r w:rsidRPr="00E725AB">
        <w:rPr>
          <w:lang w:val="en-GB"/>
        </w:rPr>
        <w:t xml:space="preserve"> </w:t>
      </w:r>
      <w:r>
        <w:rPr>
          <w:lang w:val="en-GB"/>
        </w:rPr>
        <w:t>‘</w:t>
      </w:r>
      <w:r w:rsidRPr="00E725AB">
        <w:rPr>
          <w:lang w:val="en-GB"/>
        </w:rPr>
        <w:t>Normatively, most mainstream theories of constitutionalism deem congressional review for constitutionality to be an affirmative good, regardless of the scope of subsequent judicial review</w:t>
      </w:r>
      <w:r>
        <w:rPr>
          <w:lang w:val="en-GB"/>
        </w:rPr>
        <w:t>’</w:t>
      </w:r>
      <w:r w:rsidRPr="00E725AB">
        <w:rPr>
          <w:lang w:val="en-GB"/>
        </w:rPr>
        <w:t>.</w:t>
      </w:r>
    </w:p>
  </w:footnote>
  <w:footnote w:id="50">
    <w:p w14:paraId="763B5D46" w14:textId="39A6D78F"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de </w:t>
      </w:r>
      <w:proofErr w:type="spellStart"/>
      <w:r>
        <w:rPr>
          <w:lang w:val="en-GB"/>
        </w:rPr>
        <w:t>Visser</w:t>
      </w:r>
      <w:proofErr w:type="spellEnd"/>
      <w:r>
        <w:rPr>
          <w:lang w:val="en-GB"/>
        </w:rPr>
        <w:t xml:space="preserve"> (note 16 above), p</w:t>
      </w:r>
      <w:r w:rsidRPr="00E725AB">
        <w:rPr>
          <w:lang w:val="en-GB"/>
        </w:rPr>
        <w:t xml:space="preserve"> 23. </w:t>
      </w:r>
    </w:p>
  </w:footnote>
  <w:footnote w:id="51">
    <w:p w14:paraId="5E762F2E" w14:textId="301781E3"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HM</w:t>
      </w:r>
      <w:r w:rsidRPr="004B6DE6">
        <w:rPr>
          <w:lang w:val="en-GB"/>
        </w:rPr>
        <w:t xml:space="preserve"> </w:t>
      </w:r>
      <w:proofErr w:type="spellStart"/>
      <w:r w:rsidRPr="004B6DE6">
        <w:rPr>
          <w:lang w:val="en-GB"/>
        </w:rPr>
        <w:t>Volokh</w:t>
      </w:r>
      <w:proofErr w:type="spellEnd"/>
      <w:r w:rsidRPr="004B6DE6">
        <w:rPr>
          <w:lang w:val="en-GB"/>
        </w:rPr>
        <w:t xml:space="preserve">, </w:t>
      </w:r>
      <w:r>
        <w:rPr>
          <w:lang w:val="en-GB"/>
        </w:rPr>
        <w:t>‘</w:t>
      </w:r>
      <w:r w:rsidRPr="004B6DE6">
        <w:rPr>
          <w:lang w:val="en-GB"/>
        </w:rPr>
        <w:t>Constitutional Authority Statements in Congress</w:t>
      </w:r>
      <w:r>
        <w:rPr>
          <w:lang w:val="en-GB"/>
        </w:rPr>
        <w:t>’ (2013) 65</w:t>
      </w:r>
      <w:r w:rsidRPr="004B6DE6">
        <w:rPr>
          <w:lang w:val="en-GB"/>
        </w:rPr>
        <w:t xml:space="preserve"> </w:t>
      </w:r>
      <w:r w:rsidRPr="0082551D">
        <w:rPr>
          <w:i/>
          <w:lang w:val="en-GB"/>
        </w:rPr>
        <w:t>Florida Law Review</w:t>
      </w:r>
      <w:r>
        <w:rPr>
          <w:lang w:val="en-GB"/>
        </w:rPr>
        <w:t xml:space="preserve"> 177 at </w:t>
      </w:r>
      <w:r w:rsidRPr="00E725AB">
        <w:rPr>
          <w:lang w:val="en-GB"/>
        </w:rPr>
        <w:t>183</w:t>
      </w:r>
      <w:r>
        <w:rPr>
          <w:lang w:val="en-GB"/>
        </w:rPr>
        <w:t>–</w:t>
      </w:r>
      <w:r w:rsidRPr="00E725AB">
        <w:rPr>
          <w:lang w:val="en-GB"/>
        </w:rPr>
        <w:t xml:space="preserve">184; </w:t>
      </w:r>
      <w:r>
        <w:rPr>
          <w:lang w:val="en-GB"/>
        </w:rPr>
        <w:t>s</w:t>
      </w:r>
      <w:r w:rsidRPr="00866455">
        <w:rPr>
          <w:lang w:val="en-GB"/>
        </w:rPr>
        <w:t>ee</w:t>
      </w:r>
      <w:r w:rsidRPr="0091271D">
        <w:rPr>
          <w:lang w:val="en-GB"/>
        </w:rPr>
        <w:t xml:space="preserve"> </w:t>
      </w:r>
      <w:r w:rsidRPr="00866455">
        <w:rPr>
          <w:lang w:val="en-GB"/>
        </w:rPr>
        <w:t>also</w:t>
      </w:r>
      <w:r>
        <w:rPr>
          <w:lang w:val="en-GB"/>
        </w:rPr>
        <w:t xml:space="preserve"> R</w:t>
      </w:r>
      <w:r w:rsidRPr="00E725AB">
        <w:rPr>
          <w:lang w:val="en-GB"/>
        </w:rPr>
        <w:t xml:space="preserve"> Feingold, </w:t>
      </w:r>
      <w:r>
        <w:rPr>
          <w:lang w:val="en-GB"/>
        </w:rPr>
        <w:t>‘</w:t>
      </w:r>
      <w:r w:rsidRPr="002768AD">
        <w:rPr>
          <w:lang w:val="en-GB"/>
        </w:rPr>
        <w:t>Upholding an Oath to the Constitution: A Legislator</w:t>
      </w:r>
      <w:r>
        <w:rPr>
          <w:lang w:val="en-GB"/>
        </w:rPr>
        <w:t>’</w:t>
      </w:r>
      <w:r w:rsidRPr="002768AD">
        <w:rPr>
          <w:lang w:val="en-GB"/>
        </w:rPr>
        <w:t>s Responsibilities</w:t>
      </w:r>
      <w:r>
        <w:rPr>
          <w:lang w:val="en-GB"/>
        </w:rPr>
        <w:t>’ (</w:t>
      </w:r>
      <w:r w:rsidRPr="00E725AB">
        <w:rPr>
          <w:lang w:val="en-GB"/>
        </w:rPr>
        <w:t>2006</w:t>
      </w:r>
      <w:r>
        <w:rPr>
          <w:lang w:val="en-GB"/>
        </w:rPr>
        <w:t>)</w:t>
      </w:r>
      <w:r w:rsidRPr="00E725AB">
        <w:rPr>
          <w:lang w:val="en-GB"/>
        </w:rPr>
        <w:t xml:space="preserve"> </w:t>
      </w:r>
      <w:r w:rsidRPr="00025B56">
        <w:rPr>
          <w:rFonts w:ascii="Times New Roman Italic" w:hAnsi="Times New Roman Italic"/>
          <w:i/>
          <w:lang w:val="en-GB"/>
        </w:rPr>
        <w:t>Wisconsin Law Review</w:t>
      </w:r>
      <w:r w:rsidRPr="00E725AB">
        <w:rPr>
          <w:lang w:val="en-GB"/>
        </w:rPr>
        <w:t xml:space="preserve"> 1. </w:t>
      </w:r>
    </w:p>
  </w:footnote>
  <w:footnote w:id="52">
    <w:p w14:paraId="76FCCF26" w14:textId="6B9AA8E5"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de </w:t>
      </w:r>
      <w:proofErr w:type="spellStart"/>
      <w:r w:rsidRPr="00E725AB">
        <w:rPr>
          <w:lang w:val="en-GB"/>
        </w:rPr>
        <w:t>Visser</w:t>
      </w:r>
      <w:proofErr w:type="spellEnd"/>
      <w:r w:rsidRPr="00E725AB">
        <w:rPr>
          <w:lang w:val="en-GB"/>
        </w:rPr>
        <w:t xml:space="preserve"> </w:t>
      </w:r>
      <w:r>
        <w:rPr>
          <w:lang w:val="en-GB"/>
        </w:rPr>
        <w:t>(note 16 above), p</w:t>
      </w:r>
      <w:r w:rsidRPr="00E725AB">
        <w:rPr>
          <w:lang w:val="en-GB"/>
        </w:rPr>
        <w:t xml:space="preserve"> 23</w:t>
      </w:r>
      <w:r>
        <w:rPr>
          <w:lang w:val="en-GB"/>
        </w:rPr>
        <w:t xml:space="preserve">, </w:t>
      </w:r>
      <w:r w:rsidRPr="00E725AB">
        <w:rPr>
          <w:lang w:val="en-GB"/>
        </w:rPr>
        <w:t>writes</w:t>
      </w:r>
      <w:r w:rsidR="001E1215">
        <w:rPr>
          <w:lang w:val="en-GB"/>
        </w:rPr>
        <w:t>:</w:t>
      </w:r>
      <w:r w:rsidRPr="00E725AB">
        <w:rPr>
          <w:lang w:val="en-GB"/>
        </w:rPr>
        <w:t xml:space="preserve"> </w:t>
      </w:r>
      <w:r>
        <w:rPr>
          <w:lang w:val="en-GB"/>
        </w:rPr>
        <w:t>‘</w:t>
      </w:r>
      <w:r w:rsidRPr="00E725AB">
        <w:rPr>
          <w:lang w:val="en-GB"/>
        </w:rPr>
        <w:t>Parliament as a whole must work within constitutional limits when performing its functions. This notably entails that constitutional rules, principles and values are respected during the drafting and enactmen</w:t>
      </w:r>
      <w:r>
        <w:rPr>
          <w:lang w:val="en-GB"/>
        </w:rPr>
        <w:t>t of new statutes’</w:t>
      </w:r>
      <w:r w:rsidRPr="00E725AB">
        <w:rPr>
          <w:lang w:val="en-GB"/>
        </w:rPr>
        <w:t xml:space="preserve">. </w:t>
      </w:r>
    </w:p>
  </w:footnote>
  <w:footnote w:id="53">
    <w:p w14:paraId="5BA3E408" w14:textId="471942BF"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2B31F7">
        <w:rPr>
          <w:lang w:val="en-GB"/>
        </w:rPr>
        <w:t xml:space="preserve">See </w:t>
      </w:r>
      <w:r>
        <w:rPr>
          <w:lang w:val="en-GB"/>
        </w:rPr>
        <w:t>GJ</w:t>
      </w:r>
      <w:r w:rsidRPr="00E725AB">
        <w:rPr>
          <w:lang w:val="en-GB"/>
        </w:rPr>
        <w:t xml:space="preserve"> </w:t>
      </w:r>
      <w:proofErr w:type="spellStart"/>
      <w:r w:rsidRPr="00E725AB">
        <w:rPr>
          <w:lang w:val="en-GB"/>
        </w:rPr>
        <w:t>Jacobsohn</w:t>
      </w:r>
      <w:proofErr w:type="spellEnd"/>
      <w:r w:rsidRPr="00E725AB">
        <w:rPr>
          <w:lang w:val="en-GB"/>
        </w:rPr>
        <w:t xml:space="preserve">, </w:t>
      </w:r>
      <w:r>
        <w:rPr>
          <w:lang w:val="en-GB"/>
        </w:rPr>
        <w:t>‘</w:t>
      </w:r>
      <w:r w:rsidRPr="002768AD">
        <w:rPr>
          <w:lang w:val="en-GB"/>
        </w:rPr>
        <w:t xml:space="preserve">An </w:t>
      </w:r>
      <w:r>
        <w:rPr>
          <w:lang w:val="en-GB"/>
        </w:rPr>
        <w:t>U</w:t>
      </w:r>
      <w:r w:rsidRPr="002768AD">
        <w:rPr>
          <w:lang w:val="en-GB"/>
        </w:rPr>
        <w:t xml:space="preserve">nconstitutional </w:t>
      </w:r>
      <w:r>
        <w:rPr>
          <w:lang w:val="en-GB"/>
        </w:rPr>
        <w:t>C</w:t>
      </w:r>
      <w:r w:rsidRPr="002768AD">
        <w:rPr>
          <w:lang w:val="en-GB"/>
        </w:rPr>
        <w:t xml:space="preserve">onstitution? A </w:t>
      </w:r>
      <w:r>
        <w:rPr>
          <w:lang w:val="en-GB"/>
        </w:rPr>
        <w:t>C</w:t>
      </w:r>
      <w:r w:rsidRPr="002768AD">
        <w:rPr>
          <w:lang w:val="en-GB"/>
        </w:rPr>
        <w:t xml:space="preserve">omparative </w:t>
      </w:r>
      <w:r>
        <w:rPr>
          <w:lang w:val="en-GB"/>
        </w:rPr>
        <w:t>P</w:t>
      </w:r>
      <w:r w:rsidRPr="002768AD">
        <w:rPr>
          <w:lang w:val="en-GB"/>
        </w:rPr>
        <w:t>erspective</w:t>
      </w:r>
      <w:r>
        <w:rPr>
          <w:lang w:val="en-GB"/>
        </w:rPr>
        <w:t>’ (2006)</w:t>
      </w:r>
      <w:r w:rsidRPr="002768AD">
        <w:rPr>
          <w:lang w:val="en-GB"/>
        </w:rPr>
        <w:t xml:space="preserve"> </w:t>
      </w:r>
      <w:r>
        <w:rPr>
          <w:lang w:val="en-GB"/>
        </w:rPr>
        <w:t>4</w:t>
      </w:r>
      <w:r w:rsidRPr="00E725AB">
        <w:rPr>
          <w:lang w:val="en-GB"/>
        </w:rPr>
        <w:t xml:space="preserve"> </w:t>
      </w:r>
      <w:r w:rsidRPr="00866455">
        <w:rPr>
          <w:i/>
          <w:smallCaps/>
          <w:lang w:val="en-GB"/>
        </w:rPr>
        <w:t>I</w:t>
      </w:r>
      <w:r w:rsidRPr="00E36CA8">
        <w:rPr>
          <w:i/>
          <w:lang w:val="en-GB"/>
        </w:rPr>
        <w:t>nternational Journal of Constitutional Law</w:t>
      </w:r>
      <w:r w:rsidRPr="00E725AB">
        <w:rPr>
          <w:smallCaps/>
          <w:lang w:val="en-GB"/>
        </w:rPr>
        <w:t xml:space="preserve"> </w:t>
      </w:r>
      <w:r>
        <w:rPr>
          <w:lang w:val="en-GB"/>
        </w:rPr>
        <w:t>460 at 463.</w:t>
      </w:r>
    </w:p>
  </w:footnote>
  <w:footnote w:id="54">
    <w:p w14:paraId="396FF13B" w14:textId="0C25FFB0"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S</w:t>
      </w:r>
      <w:r w:rsidRPr="00E725AB">
        <w:rPr>
          <w:lang w:val="en-GB"/>
        </w:rPr>
        <w:t xml:space="preserve">ometimes </w:t>
      </w:r>
      <w:r>
        <w:rPr>
          <w:lang w:val="en-GB"/>
        </w:rPr>
        <w:t>‘</w:t>
      </w:r>
      <w:r w:rsidRPr="00E725AB">
        <w:rPr>
          <w:lang w:val="en-GB"/>
        </w:rPr>
        <w:t xml:space="preserve">bemoaned as </w:t>
      </w:r>
      <w:r w:rsidR="0051258D">
        <w:rPr>
          <w:lang w:val="en-GB"/>
        </w:rPr>
        <w:t xml:space="preserve">the </w:t>
      </w:r>
      <w:r>
        <w:rPr>
          <w:lang w:val="en-GB"/>
        </w:rPr>
        <w:t>“</w:t>
      </w:r>
      <w:r w:rsidRPr="00E725AB">
        <w:rPr>
          <w:lang w:val="en-GB"/>
        </w:rPr>
        <w:t>central obsession</w:t>
      </w:r>
      <w:r>
        <w:rPr>
          <w:lang w:val="en-GB"/>
        </w:rPr>
        <w:t>”</w:t>
      </w:r>
      <w:r w:rsidRPr="00E725AB">
        <w:rPr>
          <w:lang w:val="en-GB"/>
        </w:rPr>
        <w:t xml:space="preserve"> of cons</w:t>
      </w:r>
      <w:r>
        <w:rPr>
          <w:lang w:val="en-GB"/>
        </w:rPr>
        <w:t>titutional scholarship’: EC</w:t>
      </w:r>
      <w:r w:rsidRPr="00E725AB">
        <w:rPr>
          <w:lang w:val="en-GB"/>
        </w:rPr>
        <w:t xml:space="preserve"> Dawson, </w:t>
      </w:r>
      <w:r>
        <w:rPr>
          <w:lang w:val="en-GB"/>
        </w:rPr>
        <w:t>‘</w:t>
      </w:r>
      <w:r w:rsidRPr="00DC7B9F">
        <w:rPr>
          <w:lang w:val="en-GB"/>
        </w:rPr>
        <w:t>Adjusting the Presumption of Constitutionality Based</w:t>
      </w:r>
      <w:r>
        <w:rPr>
          <w:lang w:val="en-GB"/>
        </w:rPr>
        <w:t xml:space="preserve"> on Margin of Statutory Passage’ (2013) 16</w:t>
      </w:r>
      <w:r w:rsidRPr="00E725AB">
        <w:rPr>
          <w:lang w:val="en-GB"/>
        </w:rPr>
        <w:t xml:space="preserve"> </w:t>
      </w:r>
      <w:r w:rsidRPr="00E36CA8">
        <w:rPr>
          <w:i/>
          <w:lang w:val="en-GB"/>
        </w:rPr>
        <w:t>University of Pennsylvania Journal of Constitutional Law</w:t>
      </w:r>
      <w:r>
        <w:rPr>
          <w:lang w:val="en-GB"/>
        </w:rPr>
        <w:t xml:space="preserve"> 97 at 100</w:t>
      </w:r>
      <w:r w:rsidRPr="00E725AB">
        <w:rPr>
          <w:lang w:val="en-GB"/>
        </w:rPr>
        <w:t>.</w:t>
      </w:r>
    </w:p>
  </w:footnote>
  <w:footnote w:id="55">
    <w:p w14:paraId="1686349C" w14:textId="777777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Brest (note 1 above)</w:t>
      </w:r>
      <w:r w:rsidRPr="00E725AB">
        <w:rPr>
          <w:lang w:val="en-GB"/>
        </w:rPr>
        <w:t xml:space="preserve">, at 588. </w:t>
      </w:r>
    </w:p>
  </w:footnote>
  <w:footnote w:id="56">
    <w:p w14:paraId="359D05C9" w14:textId="76811A22"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B02F5D">
        <w:rPr>
          <w:lang w:val="en-GB"/>
        </w:rPr>
        <w:t>See</w:t>
      </w:r>
      <w:r w:rsidRPr="0037166C">
        <w:rPr>
          <w:lang w:val="en-GB"/>
        </w:rPr>
        <w:t xml:space="preserve"> </w:t>
      </w:r>
      <w:r w:rsidRPr="00B02F5D">
        <w:rPr>
          <w:lang w:val="en-GB"/>
        </w:rPr>
        <w:t>generally</w:t>
      </w:r>
      <w:r w:rsidRPr="00E725AB">
        <w:rPr>
          <w:lang w:val="en-GB"/>
        </w:rPr>
        <w:t xml:space="preserve"> </w:t>
      </w:r>
      <w:r>
        <w:rPr>
          <w:lang w:val="en-GB"/>
        </w:rPr>
        <w:t>AM</w:t>
      </w:r>
      <w:r w:rsidRPr="00E36CA8">
        <w:rPr>
          <w:lang w:val="en-GB"/>
        </w:rPr>
        <w:t xml:space="preserve"> Bickel, </w:t>
      </w:r>
      <w:r w:rsidRPr="00E36CA8">
        <w:rPr>
          <w:i/>
          <w:lang w:val="en-GB"/>
        </w:rPr>
        <w:t>The Least Dangerous Branch: The Supreme Court at the Bar of Politics</w:t>
      </w:r>
      <w:r w:rsidRPr="00E725AB">
        <w:rPr>
          <w:lang w:val="en-GB"/>
        </w:rPr>
        <w:t xml:space="preserve"> (2nd </w:t>
      </w:r>
      <w:proofErr w:type="spellStart"/>
      <w:r w:rsidRPr="00E725AB">
        <w:rPr>
          <w:lang w:val="en-GB"/>
        </w:rPr>
        <w:t>ed</w:t>
      </w:r>
      <w:proofErr w:type="spellEnd"/>
      <w:r w:rsidRPr="00E725AB">
        <w:rPr>
          <w:lang w:val="en-GB"/>
        </w:rPr>
        <w:t>,</w:t>
      </w:r>
      <w:r>
        <w:rPr>
          <w:lang w:val="en-GB"/>
        </w:rPr>
        <w:t xml:space="preserve"> Y</w:t>
      </w:r>
      <w:r w:rsidR="00961BBC">
        <w:rPr>
          <w:lang w:val="en-GB"/>
        </w:rPr>
        <w:t xml:space="preserve">ale </w:t>
      </w:r>
      <w:r>
        <w:rPr>
          <w:lang w:val="en-GB"/>
        </w:rPr>
        <w:t>U</w:t>
      </w:r>
      <w:r w:rsidR="00961BBC">
        <w:rPr>
          <w:lang w:val="en-GB"/>
        </w:rPr>
        <w:t xml:space="preserve">niversity </w:t>
      </w:r>
      <w:r>
        <w:rPr>
          <w:lang w:val="en-GB"/>
        </w:rPr>
        <w:t>P</w:t>
      </w:r>
      <w:r w:rsidR="00961BBC">
        <w:rPr>
          <w:lang w:val="en-GB"/>
        </w:rPr>
        <w:t>ress</w:t>
      </w:r>
      <w:r>
        <w:rPr>
          <w:lang w:val="en-GB"/>
        </w:rPr>
        <w:t>, New Haven,</w:t>
      </w:r>
      <w:r w:rsidRPr="00E725AB">
        <w:rPr>
          <w:lang w:val="en-GB"/>
        </w:rPr>
        <w:t xml:space="preserve"> 1986) and the copious</w:t>
      </w:r>
      <w:r>
        <w:rPr>
          <w:lang w:val="en-GB"/>
        </w:rPr>
        <w:t xml:space="preserve"> amounts of literature this </w:t>
      </w:r>
      <w:r w:rsidRPr="00E725AB">
        <w:rPr>
          <w:lang w:val="en-GB"/>
        </w:rPr>
        <w:t xml:space="preserve">work has spawned. </w:t>
      </w:r>
    </w:p>
  </w:footnote>
  <w:footnote w:id="57">
    <w:p w14:paraId="63F3C3F0" w14:textId="51D47F64"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Pr>
          <w:lang w:val="en-GB"/>
        </w:rPr>
        <w:t>BG</w:t>
      </w:r>
      <w:r w:rsidRPr="00E725AB">
        <w:rPr>
          <w:lang w:val="en-GB"/>
        </w:rPr>
        <w:t xml:space="preserve"> Peabody, </w:t>
      </w:r>
      <w:r>
        <w:rPr>
          <w:lang w:val="en-GB"/>
        </w:rPr>
        <w:t>‘</w:t>
      </w:r>
      <w:r w:rsidRPr="00064701">
        <w:rPr>
          <w:lang w:val="en-GB"/>
        </w:rPr>
        <w:t xml:space="preserve">Congressional Attitudes </w:t>
      </w:r>
      <w:r>
        <w:rPr>
          <w:lang w:val="en-GB"/>
        </w:rPr>
        <w:t>T</w:t>
      </w:r>
      <w:r w:rsidRPr="00064701">
        <w:rPr>
          <w:lang w:val="en-GB"/>
        </w:rPr>
        <w:t>oward Constitutional Interpretation</w:t>
      </w:r>
      <w:r>
        <w:rPr>
          <w:lang w:val="en-GB"/>
        </w:rPr>
        <w:t xml:space="preserve">’, in </w:t>
      </w:r>
      <w:proofErr w:type="spellStart"/>
      <w:r>
        <w:rPr>
          <w:lang w:val="en-GB"/>
        </w:rPr>
        <w:t>Devins</w:t>
      </w:r>
      <w:proofErr w:type="spellEnd"/>
      <w:r>
        <w:rPr>
          <w:lang w:val="en-GB"/>
        </w:rPr>
        <w:t xml:space="preserve"> </w:t>
      </w:r>
      <w:r w:rsidR="00095871">
        <w:rPr>
          <w:lang w:val="en-GB"/>
        </w:rPr>
        <w:t>and</w:t>
      </w:r>
      <w:r>
        <w:rPr>
          <w:lang w:val="en-GB"/>
        </w:rPr>
        <w:t xml:space="preserve"> </w:t>
      </w:r>
      <w:r w:rsidRPr="00E36CA8">
        <w:rPr>
          <w:lang w:val="en-GB"/>
        </w:rPr>
        <w:t>Whittington</w:t>
      </w:r>
      <w:r w:rsidR="00961BBC">
        <w:rPr>
          <w:lang w:val="en-GB"/>
        </w:rPr>
        <w:t xml:space="preserve"> (eds.)</w:t>
      </w:r>
      <w:r w:rsidRPr="00E36CA8">
        <w:rPr>
          <w:lang w:val="en-GB"/>
        </w:rPr>
        <w:t xml:space="preserve"> </w:t>
      </w:r>
      <w:r>
        <w:rPr>
          <w:lang w:val="en-GB"/>
        </w:rPr>
        <w:t>(note 1 above),</w:t>
      </w:r>
      <w:r w:rsidRPr="00E725AB">
        <w:rPr>
          <w:lang w:val="en-GB"/>
        </w:rPr>
        <w:t xml:space="preserve"> </w:t>
      </w:r>
      <w:r>
        <w:rPr>
          <w:lang w:val="en-GB"/>
        </w:rPr>
        <w:t>p</w:t>
      </w:r>
      <w:r w:rsidRPr="00E725AB">
        <w:rPr>
          <w:lang w:val="en-GB"/>
        </w:rPr>
        <w:t xml:space="preserve"> 40. Yet the author goes on</w:t>
      </w:r>
      <w:r>
        <w:rPr>
          <w:lang w:val="en-GB"/>
        </w:rPr>
        <w:t xml:space="preserve"> </w:t>
      </w:r>
      <w:r w:rsidRPr="00E725AB">
        <w:rPr>
          <w:lang w:val="en-GB"/>
        </w:rPr>
        <w:t xml:space="preserve">to note, </w:t>
      </w:r>
      <w:r>
        <w:rPr>
          <w:lang w:val="en-GB"/>
        </w:rPr>
        <w:t>‘</w:t>
      </w:r>
      <w:r w:rsidRPr="00E725AB">
        <w:rPr>
          <w:lang w:val="en-GB"/>
        </w:rPr>
        <w:t>although it has somewhat conflicted and underdeveloped views about how to achieve this aspiration</w:t>
      </w:r>
      <w:r>
        <w:rPr>
          <w:lang w:val="en-GB"/>
        </w:rPr>
        <w:t>’</w:t>
      </w:r>
      <w:r w:rsidRPr="00E725AB">
        <w:rPr>
          <w:lang w:val="en-GB"/>
        </w:rPr>
        <w:t>.</w:t>
      </w:r>
    </w:p>
  </w:footnote>
  <w:footnote w:id="58">
    <w:p w14:paraId="19B0B8D0" w14:textId="15A5C375"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w:t>
      </w:r>
      <w:r w:rsidRPr="00E725AB">
        <w:rPr>
          <w:lang w:val="en-GB"/>
        </w:rPr>
        <w:t xml:space="preserve"> 50. </w:t>
      </w:r>
    </w:p>
  </w:footnote>
  <w:footnote w:id="59">
    <w:p w14:paraId="2BAEC93F" w14:textId="1A78AF75"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M</w:t>
      </w:r>
      <w:r w:rsidRPr="00E725AB">
        <w:rPr>
          <w:lang w:val="en-GB"/>
        </w:rPr>
        <w:t xml:space="preserve"> </w:t>
      </w:r>
      <w:proofErr w:type="spellStart"/>
      <w:r w:rsidRPr="00E725AB">
        <w:rPr>
          <w:lang w:val="en-GB"/>
        </w:rPr>
        <w:t>Tushnet</w:t>
      </w:r>
      <w:proofErr w:type="spellEnd"/>
      <w:r w:rsidRPr="00E725AB">
        <w:rPr>
          <w:lang w:val="en-GB"/>
        </w:rPr>
        <w:t xml:space="preserve">, </w:t>
      </w:r>
      <w:r>
        <w:rPr>
          <w:lang w:val="en-GB"/>
        </w:rPr>
        <w:t>‘</w:t>
      </w:r>
      <w:r w:rsidRPr="00E36CA8">
        <w:rPr>
          <w:lang w:val="en-GB"/>
        </w:rPr>
        <w:t>Evaluating Congressional Constitutional Interpretation: Some Criteria and Two Informal Case Studies</w:t>
      </w:r>
      <w:r>
        <w:rPr>
          <w:lang w:val="en-GB"/>
        </w:rPr>
        <w:t>’</w:t>
      </w:r>
      <w:r w:rsidRPr="00E725AB">
        <w:rPr>
          <w:lang w:val="en-GB"/>
        </w:rPr>
        <w:t xml:space="preserve">, in </w:t>
      </w:r>
      <w:proofErr w:type="spellStart"/>
      <w:r w:rsidRPr="00064701">
        <w:rPr>
          <w:lang w:val="en-GB"/>
        </w:rPr>
        <w:t>Devins</w:t>
      </w:r>
      <w:proofErr w:type="spellEnd"/>
      <w:r w:rsidRPr="00064701">
        <w:rPr>
          <w:lang w:val="en-GB"/>
        </w:rPr>
        <w:t xml:space="preserve"> </w:t>
      </w:r>
      <w:r w:rsidR="00095871">
        <w:rPr>
          <w:lang w:val="en-GB"/>
        </w:rPr>
        <w:t>and</w:t>
      </w:r>
      <w:r w:rsidRPr="00064701">
        <w:rPr>
          <w:lang w:val="en-GB"/>
        </w:rPr>
        <w:t xml:space="preserve"> Whittington</w:t>
      </w:r>
      <w:r w:rsidR="00961BBC">
        <w:rPr>
          <w:lang w:val="en-GB"/>
        </w:rPr>
        <w:t xml:space="preserve"> (eds.)</w:t>
      </w:r>
      <w:r>
        <w:rPr>
          <w:lang w:val="en-GB"/>
        </w:rPr>
        <w:t xml:space="preserve"> (note 1 above), pp</w:t>
      </w:r>
      <w:r w:rsidRPr="00064701">
        <w:rPr>
          <w:lang w:val="en-GB"/>
        </w:rPr>
        <w:t xml:space="preserve"> </w:t>
      </w:r>
      <w:r>
        <w:rPr>
          <w:lang w:val="en-GB"/>
        </w:rPr>
        <w:t>269–270</w:t>
      </w:r>
      <w:r w:rsidRPr="00E725AB">
        <w:rPr>
          <w:lang w:val="en-GB"/>
        </w:rPr>
        <w:t>.</w:t>
      </w:r>
    </w:p>
  </w:footnote>
  <w:footnote w:id="60">
    <w:p w14:paraId="6B6B4CE0" w14:textId="777777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M</w:t>
      </w:r>
      <w:r w:rsidRPr="00E725AB">
        <w:rPr>
          <w:lang w:val="en-GB"/>
        </w:rPr>
        <w:t xml:space="preserve"> </w:t>
      </w:r>
      <w:proofErr w:type="spellStart"/>
      <w:r w:rsidRPr="00E725AB">
        <w:rPr>
          <w:lang w:val="en-GB"/>
        </w:rPr>
        <w:t>Tushnet</w:t>
      </w:r>
      <w:proofErr w:type="spellEnd"/>
      <w:r w:rsidRPr="00E725AB">
        <w:rPr>
          <w:lang w:val="en-GB"/>
        </w:rPr>
        <w:t xml:space="preserve">, </w:t>
      </w:r>
      <w:r>
        <w:rPr>
          <w:lang w:val="en-GB"/>
        </w:rPr>
        <w:t>‘</w:t>
      </w:r>
      <w:r w:rsidRPr="00DC7B9F">
        <w:rPr>
          <w:lang w:val="en-GB"/>
        </w:rPr>
        <w:t>Is Congress Capable of Conscientious, Responsible Constitutional Interpretation?</w:t>
      </w:r>
      <w:r>
        <w:rPr>
          <w:lang w:val="en-GB"/>
        </w:rPr>
        <w:t>’ (2009)</w:t>
      </w:r>
      <w:r w:rsidRPr="00E725AB">
        <w:rPr>
          <w:lang w:val="en-GB"/>
        </w:rPr>
        <w:t xml:space="preserve"> 89 </w:t>
      </w:r>
      <w:r w:rsidRPr="00B70855">
        <w:rPr>
          <w:rFonts w:ascii="Times New Roman Italic" w:hAnsi="Times New Roman Italic"/>
          <w:i/>
          <w:lang w:val="en-GB"/>
        </w:rPr>
        <w:t>Boston University Law Review</w:t>
      </w:r>
      <w:r>
        <w:rPr>
          <w:smallCaps/>
          <w:lang w:val="en-GB"/>
        </w:rPr>
        <w:t xml:space="preserve"> </w:t>
      </w:r>
      <w:r>
        <w:rPr>
          <w:lang w:val="en-GB"/>
        </w:rPr>
        <w:t>499 at 500</w:t>
      </w:r>
      <w:r w:rsidRPr="00E725AB">
        <w:rPr>
          <w:lang w:val="en-GB"/>
        </w:rPr>
        <w:t xml:space="preserve">. </w:t>
      </w:r>
    </w:p>
  </w:footnote>
  <w:footnote w:id="61">
    <w:p w14:paraId="0E712929" w14:textId="68D250C5"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89548B">
        <w:rPr>
          <w:lang w:val="en-GB"/>
        </w:rPr>
        <w:t>See</w:t>
      </w:r>
      <w:r w:rsidRPr="005608E3">
        <w:rPr>
          <w:lang w:val="en-GB"/>
        </w:rPr>
        <w:t xml:space="preserve"> </w:t>
      </w:r>
      <w:proofErr w:type="spellStart"/>
      <w:r w:rsidRPr="0089548B">
        <w:rPr>
          <w:lang w:val="en-GB"/>
        </w:rPr>
        <w:t>eg</w:t>
      </w:r>
      <w:proofErr w:type="spellEnd"/>
      <w:r>
        <w:rPr>
          <w:lang w:val="en-GB"/>
        </w:rPr>
        <w:t xml:space="preserve"> E</w:t>
      </w:r>
      <w:r w:rsidRPr="00E725AB">
        <w:rPr>
          <w:lang w:val="en-GB"/>
        </w:rPr>
        <w:t xml:space="preserve"> </w:t>
      </w:r>
      <w:proofErr w:type="spellStart"/>
      <w:r w:rsidRPr="00E725AB">
        <w:rPr>
          <w:lang w:val="en-GB"/>
        </w:rPr>
        <w:t>Chemerinsky</w:t>
      </w:r>
      <w:proofErr w:type="spellEnd"/>
      <w:r w:rsidRPr="00E725AB">
        <w:rPr>
          <w:lang w:val="en-GB"/>
        </w:rPr>
        <w:t xml:space="preserve">, </w:t>
      </w:r>
      <w:r>
        <w:rPr>
          <w:lang w:val="en-GB"/>
        </w:rPr>
        <w:t>‘</w:t>
      </w:r>
      <w:r w:rsidRPr="00DC7B9F">
        <w:rPr>
          <w:lang w:val="en-GB"/>
        </w:rPr>
        <w:t xml:space="preserve">In </w:t>
      </w:r>
      <w:proofErr w:type="spellStart"/>
      <w:r w:rsidRPr="00DC7B9F">
        <w:rPr>
          <w:lang w:val="en-GB"/>
        </w:rPr>
        <w:t>Defense</w:t>
      </w:r>
      <w:proofErr w:type="spellEnd"/>
      <w:r w:rsidRPr="00DC7B9F">
        <w:rPr>
          <w:lang w:val="en-GB"/>
        </w:rPr>
        <w:t xml:space="preserve"> of Judicial Review: The Perils of Popular Constitutionalism</w:t>
      </w:r>
      <w:r>
        <w:rPr>
          <w:lang w:val="en-GB"/>
        </w:rPr>
        <w:t>’ (2004)</w:t>
      </w:r>
      <w:r w:rsidRPr="00E725AB">
        <w:rPr>
          <w:lang w:val="en-GB"/>
        </w:rPr>
        <w:t xml:space="preserve"> </w:t>
      </w:r>
      <w:r w:rsidRPr="00B70855">
        <w:rPr>
          <w:rFonts w:ascii="Times New Roman Italic" w:hAnsi="Times New Roman Italic"/>
          <w:i/>
          <w:lang w:val="en-GB"/>
        </w:rPr>
        <w:t>University of Illinois Law Review</w:t>
      </w:r>
      <w:r w:rsidRPr="00E725AB">
        <w:rPr>
          <w:lang w:val="en-GB"/>
        </w:rPr>
        <w:t xml:space="preserve"> 673; </w:t>
      </w:r>
      <w:r w:rsidRPr="0089548B">
        <w:rPr>
          <w:lang w:val="en-GB"/>
        </w:rPr>
        <w:t>see</w:t>
      </w:r>
      <w:r w:rsidRPr="004D1C89">
        <w:rPr>
          <w:lang w:val="en-GB"/>
        </w:rPr>
        <w:t xml:space="preserve"> </w:t>
      </w:r>
      <w:r w:rsidRPr="0089548B">
        <w:rPr>
          <w:lang w:val="en-GB"/>
        </w:rPr>
        <w:t>also</w:t>
      </w:r>
      <w:r>
        <w:rPr>
          <w:lang w:val="en-GB"/>
        </w:rPr>
        <w:t xml:space="preserve"> L Alexander </w:t>
      </w:r>
      <w:r w:rsidR="00095871">
        <w:rPr>
          <w:lang w:val="en-GB"/>
        </w:rPr>
        <w:t>and</w:t>
      </w:r>
      <w:r>
        <w:rPr>
          <w:lang w:val="en-GB"/>
        </w:rPr>
        <w:t xml:space="preserve"> F</w:t>
      </w:r>
      <w:r w:rsidRPr="00E725AB">
        <w:rPr>
          <w:lang w:val="en-GB"/>
        </w:rPr>
        <w:t xml:space="preserve"> </w:t>
      </w:r>
      <w:proofErr w:type="spellStart"/>
      <w:r w:rsidRPr="00E725AB">
        <w:rPr>
          <w:lang w:val="en-GB"/>
        </w:rPr>
        <w:t>Schauer</w:t>
      </w:r>
      <w:proofErr w:type="spellEnd"/>
      <w:r w:rsidRPr="00E725AB">
        <w:rPr>
          <w:lang w:val="en-GB"/>
        </w:rPr>
        <w:t xml:space="preserve">, </w:t>
      </w:r>
      <w:r>
        <w:rPr>
          <w:lang w:val="en-GB"/>
        </w:rPr>
        <w:t>‘</w:t>
      </w:r>
      <w:r w:rsidRPr="00DC7B9F">
        <w:rPr>
          <w:lang w:val="en-GB"/>
        </w:rPr>
        <w:t>On Extrajudicial Constitutional Interpretation</w:t>
      </w:r>
      <w:r>
        <w:rPr>
          <w:lang w:val="en-GB"/>
        </w:rPr>
        <w:t>’ (1997)</w:t>
      </w:r>
      <w:r w:rsidRPr="00E725AB">
        <w:rPr>
          <w:lang w:val="en-GB"/>
        </w:rPr>
        <w:t xml:space="preserve"> 110 </w:t>
      </w:r>
      <w:r w:rsidRPr="00B70855">
        <w:rPr>
          <w:rFonts w:ascii="Times New Roman Italic" w:hAnsi="Times New Roman Italic"/>
          <w:i/>
          <w:lang w:val="en-GB"/>
        </w:rPr>
        <w:t>Harvard Law Review</w:t>
      </w:r>
      <w:r>
        <w:rPr>
          <w:smallCaps/>
          <w:lang w:val="en-GB"/>
        </w:rPr>
        <w:t xml:space="preserve"> </w:t>
      </w:r>
      <w:r>
        <w:rPr>
          <w:lang w:val="en-GB"/>
        </w:rPr>
        <w:t>1359 at 1377</w:t>
      </w:r>
      <w:r w:rsidRPr="00E725AB">
        <w:rPr>
          <w:lang w:val="en-GB"/>
        </w:rPr>
        <w:t>.</w:t>
      </w:r>
    </w:p>
  </w:footnote>
  <w:footnote w:id="62">
    <w:p w14:paraId="2644C012" w14:textId="5BD2C0CF"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proofErr w:type="spellStart"/>
      <w:r w:rsidRPr="0074587F">
        <w:rPr>
          <w:lang w:val="en-GB"/>
        </w:rPr>
        <w:t>Tushnet</w:t>
      </w:r>
      <w:proofErr w:type="spellEnd"/>
      <w:r>
        <w:rPr>
          <w:smallCaps/>
          <w:lang w:val="en-GB"/>
        </w:rPr>
        <w:t xml:space="preserve"> (</w:t>
      </w:r>
      <w:r>
        <w:rPr>
          <w:lang w:val="en-GB"/>
        </w:rPr>
        <w:t>note 1 above)</w:t>
      </w:r>
      <w:r w:rsidRPr="00E725AB">
        <w:rPr>
          <w:lang w:val="en-GB"/>
        </w:rPr>
        <w:t xml:space="preserve">, </w:t>
      </w:r>
      <w:r>
        <w:rPr>
          <w:lang w:val="en-GB"/>
        </w:rPr>
        <w:t>p</w:t>
      </w:r>
      <w:r w:rsidRPr="00E725AB">
        <w:rPr>
          <w:smallCaps/>
          <w:lang w:val="en-GB"/>
        </w:rPr>
        <w:t xml:space="preserve"> </w:t>
      </w:r>
      <w:r>
        <w:rPr>
          <w:lang w:val="en-GB"/>
        </w:rPr>
        <w:t>57</w:t>
      </w:r>
      <w:r w:rsidRPr="00E725AB">
        <w:rPr>
          <w:lang w:val="en-GB"/>
        </w:rPr>
        <w:t xml:space="preserve">; </w:t>
      </w:r>
      <w:r>
        <w:rPr>
          <w:lang w:val="en-GB"/>
        </w:rPr>
        <w:t>s</w:t>
      </w:r>
      <w:r w:rsidRPr="0089548B">
        <w:rPr>
          <w:lang w:val="en-GB"/>
        </w:rPr>
        <w:t>ee also</w:t>
      </w:r>
      <w:r>
        <w:rPr>
          <w:lang w:val="en-GB"/>
        </w:rPr>
        <w:t xml:space="preserve"> </w:t>
      </w:r>
      <w:proofErr w:type="spellStart"/>
      <w:r w:rsidRPr="00E725AB">
        <w:rPr>
          <w:lang w:val="en-GB"/>
        </w:rPr>
        <w:t>Tushnet</w:t>
      </w:r>
      <w:proofErr w:type="spellEnd"/>
      <w:r>
        <w:rPr>
          <w:i/>
          <w:lang w:val="en-GB"/>
        </w:rPr>
        <w:t xml:space="preserve"> </w:t>
      </w:r>
      <w:r>
        <w:rPr>
          <w:lang w:val="en-GB"/>
        </w:rPr>
        <w:t xml:space="preserve">(note </w:t>
      </w:r>
      <w:r w:rsidR="00563459">
        <w:rPr>
          <w:lang w:val="en-GB"/>
        </w:rPr>
        <w:t>59</w:t>
      </w:r>
      <w:r>
        <w:rPr>
          <w:lang w:val="en-GB"/>
        </w:rPr>
        <w:t xml:space="preserve"> above)</w:t>
      </w:r>
      <w:r w:rsidRPr="00E725AB">
        <w:rPr>
          <w:lang w:val="en-GB"/>
        </w:rPr>
        <w:t>.</w:t>
      </w:r>
    </w:p>
  </w:footnote>
  <w:footnote w:id="63">
    <w:p w14:paraId="36893287" w14:textId="78764E9E"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proofErr w:type="spellStart"/>
      <w:r>
        <w:rPr>
          <w:lang w:val="en-GB"/>
        </w:rPr>
        <w:t>Tushnet</w:t>
      </w:r>
      <w:proofErr w:type="spellEnd"/>
      <w:r>
        <w:rPr>
          <w:lang w:val="en-GB"/>
        </w:rPr>
        <w:t xml:space="preserve">, </w:t>
      </w:r>
      <w:r w:rsidRPr="00E81518">
        <w:rPr>
          <w:i/>
          <w:lang w:val="en-GB"/>
        </w:rPr>
        <w:t>Weak Courts, Strong Rights: Judicial Review and Social Welfare Rights in Comparative Constitutional Law</w:t>
      </w:r>
      <w:r>
        <w:rPr>
          <w:lang w:val="en-GB"/>
        </w:rPr>
        <w:t xml:space="preserve"> (P</w:t>
      </w:r>
      <w:r w:rsidR="00221FCA">
        <w:rPr>
          <w:lang w:val="en-GB"/>
        </w:rPr>
        <w:t xml:space="preserve">rinceton </w:t>
      </w:r>
      <w:r>
        <w:rPr>
          <w:lang w:val="en-GB"/>
        </w:rPr>
        <w:t>U</w:t>
      </w:r>
      <w:r w:rsidR="00221FCA">
        <w:rPr>
          <w:lang w:val="en-GB"/>
        </w:rPr>
        <w:t xml:space="preserve">niversity </w:t>
      </w:r>
      <w:r>
        <w:rPr>
          <w:lang w:val="en-GB"/>
        </w:rPr>
        <w:t>P</w:t>
      </w:r>
      <w:r w:rsidR="00221FCA">
        <w:rPr>
          <w:lang w:val="en-GB"/>
        </w:rPr>
        <w:t>ress</w:t>
      </w:r>
      <w:r>
        <w:rPr>
          <w:lang w:val="en-GB"/>
        </w:rPr>
        <w:t>, Princeton, 2009)</w:t>
      </w:r>
      <w:r w:rsidRPr="00E725AB">
        <w:rPr>
          <w:lang w:val="en-GB"/>
        </w:rPr>
        <w:t xml:space="preserve">, </w:t>
      </w:r>
      <w:r>
        <w:rPr>
          <w:lang w:val="en-GB"/>
        </w:rPr>
        <w:t>p</w:t>
      </w:r>
      <w:r w:rsidRPr="00E725AB">
        <w:rPr>
          <w:lang w:val="en-GB"/>
        </w:rPr>
        <w:t xml:space="preserve"> 81. </w:t>
      </w:r>
    </w:p>
  </w:footnote>
  <w:footnote w:id="64">
    <w:p w14:paraId="48644387" w14:textId="7C3E6F3F"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Pr>
          <w:i/>
          <w:lang w:val="en-GB"/>
        </w:rPr>
        <w:t>Ibid</w:t>
      </w:r>
      <w:r w:rsidR="00961BBC">
        <w:rPr>
          <w:i/>
          <w:lang w:val="en-GB"/>
        </w:rPr>
        <w:t>.</w:t>
      </w:r>
    </w:p>
  </w:footnote>
  <w:footnote w:id="65">
    <w:p w14:paraId="497F6DC1" w14:textId="63E7DA4A"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w:t>
      </w:r>
      <w:r w:rsidRPr="00E725AB">
        <w:rPr>
          <w:lang w:val="en-GB"/>
        </w:rPr>
        <w:t xml:space="preserve"> 58. Emphasis in original. </w:t>
      </w:r>
    </w:p>
  </w:footnote>
  <w:footnote w:id="66">
    <w:p w14:paraId="38A26B8B" w14:textId="475F37E0"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pp</w:t>
      </w:r>
      <w:r w:rsidRPr="00E725AB">
        <w:rPr>
          <w:lang w:val="en-GB"/>
        </w:rPr>
        <w:t xml:space="preserve"> 60</w:t>
      </w:r>
      <w:r>
        <w:rPr>
          <w:lang w:val="en-GB"/>
        </w:rPr>
        <w:t>–</w:t>
      </w:r>
      <w:r w:rsidRPr="00E725AB">
        <w:rPr>
          <w:lang w:val="en-GB"/>
        </w:rPr>
        <w:t xml:space="preserve">63. </w:t>
      </w:r>
    </w:p>
  </w:footnote>
  <w:footnote w:id="67">
    <w:p w14:paraId="4A047296" w14:textId="3AEC77C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pp</w:t>
      </w:r>
      <w:r w:rsidRPr="00E725AB">
        <w:rPr>
          <w:lang w:val="en-GB"/>
        </w:rPr>
        <w:t xml:space="preserve"> 61</w:t>
      </w:r>
      <w:r>
        <w:rPr>
          <w:lang w:val="en-GB"/>
        </w:rPr>
        <w:t>–</w:t>
      </w:r>
      <w:r w:rsidRPr="00E725AB">
        <w:rPr>
          <w:lang w:val="en-GB"/>
        </w:rPr>
        <w:t xml:space="preserve">62. </w:t>
      </w:r>
      <w:r>
        <w:rPr>
          <w:lang w:val="en-GB"/>
        </w:rPr>
        <w:t xml:space="preserve">Here </w:t>
      </w:r>
      <w:proofErr w:type="spellStart"/>
      <w:r w:rsidRPr="00E725AB">
        <w:rPr>
          <w:lang w:val="en-GB"/>
        </w:rPr>
        <w:t>Tushnet</w:t>
      </w:r>
      <w:proofErr w:type="spellEnd"/>
      <w:r w:rsidRPr="00E725AB">
        <w:rPr>
          <w:lang w:val="en-GB"/>
        </w:rPr>
        <w:t xml:space="preserve"> </w:t>
      </w:r>
      <w:r>
        <w:rPr>
          <w:lang w:val="en-GB"/>
        </w:rPr>
        <w:t>cites</w:t>
      </w:r>
      <w:r w:rsidRPr="00E725AB">
        <w:rPr>
          <w:lang w:val="en-GB"/>
        </w:rPr>
        <w:t xml:space="preserve"> the Office of Legal Counsel in </w:t>
      </w:r>
      <w:r>
        <w:rPr>
          <w:lang w:val="en-GB"/>
        </w:rPr>
        <w:t>the Department of Justice</w:t>
      </w:r>
      <w:r w:rsidRPr="00E725AB">
        <w:rPr>
          <w:lang w:val="en-GB"/>
        </w:rPr>
        <w:t xml:space="preserve">. </w:t>
      </w:r>
      <w:r>
        <w:rPr>
          <w:lang w:val="en-GB"/>
        </w:rPr>
        <w:t xml:space="preserve">Meanwhile, Ackerman also writes about this phenomenon, noting the establishment of the Office of Legal Counsel and the While House Counsel ‘have vastly increased [Executive] constitutional authority’, although he heavily criticises them: </w:t>
      </w:r>
      <w:r w:rsidRPr="00D46555">
        <w:rPr>
          <w:lang w:val="en-GB"/>
        </w:rPr>
        <w:t xml:space="preserve">B Ackerman, </w:t>
      </w:r>
      <w:r w:rsidRPr="00D46555">
        <w:rPr>
          <w:i/>
          <w:lang w:val="en-GB"/>
        </w:rPr>
        <w:t>The Decline and Fall of the American Republic</w:t>
      </w:r>
      <w:r>
        <w:rPr>
          <w:lang w:val="en-GB"/>
        </w:rPr>
        <w:t xml:space="preserve"> (H</w:t>
      </w:r>
      <w:r w:rsidR="00221FCA">
        <w:rPr>
          <w:lang w:val="en-GB"/>
        </w:rPr>
        <w:t xml:space="preserve">arvard </w:t>
      </w:r>
      <w:r>
        <w:rPr>
          <w:lang w:val="en-GB"/>
        </w:rPr>
        <w:t>U</w:t>
      </w:r>
      <w:r w:rsidR="00221FCA">
        <w:rPr>
          <w:lang w:val="en-GB"/>
        </w:rPr>
        <w:t xml:space="preserve">niversity </w:t>
      </w:r>
      <w:r>
        <w:rPr>
          <w:lang w:val="en-GB"/>
        </w:rPr>
        <w:t>P</w:t>
      </w:r>
      <w:r w:rsidR="00221FCA">
        <w:rPr>
          <w:lang w:val="en-GB"/>
        </w:rPr>
        <w:t>ress</w:t>
      </w:r>
      <w:r>
        <w:rPr>
          <w:lang w:val="en-GB"/>
        </w:rPr>
        <w:t xml:space="preserve">, Cambridge, 2010), pp 68, 87–88, 95–110. </w:t>
      </w:r>
    </w:p>
  </w:footnote>
  <w:footnote w:id="68">
    <w:p w14:paraId="27ACBC16" w14:textId="60F86DF3"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proofErr w:type="spellStart"/>
      <w:r w:rsidRPr="00C71FF5">
        <w:rPr>
          <w:lang w:val="en-GB"/>
        </w:rPr>
        <w:t>Tushnet</w:t>
      </w:r>
      <w:proofErr w:type="spellEnd"/>
      <w:r w:rsidRPr="00C71FF5">
        <w:rPr>
          <w:lang w:val="en-GB"/>
        </w:rPr>
        <w:t xml:space="preserve"> (note 6</w:t>
      </w:r>
      <w:r w:rsidR="002B6222">
        <w:rPr>
          <w:lang w:val="en-GB"/>
        </w:rPr>
        <w:t>2</w:t>
      </w:r>
      <w:r w:rsidRPr="00C71FF5">
        <w:rPr>
          <w:lang w:val="en-GB"/>
        </w:rPr>
        <w:t xml:space="preserve"> above)</w:t>
      </w:r>
      <w:r w:rsidRPr="00DD29D4">
        <w:rPr>
          <w:lang w:val="en-GB"/>
        </w:rPr>
        <w:t>, pp 63–65.</w:t>
      </w:r>
      <w:r w:rsidRPr="00E725AB">
        <w:rPr>
          <w:lang w:val="en-GB"/>
        </w:rPr>
        <w:t xml:space="preserve"> </w:t>
      </w:r>
    </w:p>
  </w:footnote>
  <w:footnote w:id="69">
    <w:p w14:paraId="28B8586F" w14:textId="6DD2E9B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C71FF5">
        <w:rPr>
          <w:i/>
          <w:lang w:val="en-GB"/>
        </w:rPr>
        <w:t>,</w:t>
      </w:r>
      <w:r w:rsidRPr="00E725AB">
        <w:rPr>
          <w:lang w:val="en-GB"/>
        </w:rPr>
        <w:t xml:space="preserve"> </w:t>
      </w:r>
      <w:r>
        <w:rPr>
          <w:lang w:val="en-GB"/>
        </w:rPr>
        <w:t>p</w:t>
      </w:r>
      <w:r w:rsidRPr="00E725AB">
        <w:rPr>
          <w:lang w:val="en-GB"/>
        </w:rPr>
        <w:t xml:space="preserve"> 65. </w:t>
      </w:r>
    </w:p>
  </w:footnote>
  <w:footnote w:id="70">
    <w:p w14:paraId="432555E4" w14:textId="777777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H</w:t>
      </w:r>
      <w:r w:rsidRPr="00E725AB">
        <w:rPr>
          <w:lang w:val="en-GB"/>
        </w:rPr>
        <w:t xml:space="preserve"> Baxter, </w:t>
      </w:r>
      <w:r>
        <w:rPr>
          <w:lang w:val="en-GB"/>
        </w:rPr>
        <w:t>‘</w:t>
      </w:r>
      <w:r w:rsidRPr="00DC7B9F">
        <w:rPr>
          <w:lang w:val="en-GB"/>
        </w:rPr>
        <w:t xml:space="preserve">A Comment on Mark </w:t>
      </w:r>
      <w:proofErr w:type="spellStart"/>
      <w:r w:rsidRPr="00DC7B9F">
        <w:rPr>
          <w:lang w:val="en-GB"/>
        </w:rPr>
        <w:t>Tushnet</w:t>
      </w:r>
      <w:r>
        <w:rPr>
          <w:lang w:val="en-GB"/>
        </w:rPr>
        <w:t>’</w:t>
      </w:r>
      <w:r w:rsidRPr="00DC7B9F">
        <w:rPr>
          <w:lang w:val="en-GB"/>
        </w:rPr>
        <w:t>s</w:t>
      </w:r>
      <w:proofErr w:type="spellEnd"/>
      <w:r w:rsidRPr="00DC7B9F">
        <w:rPr>
          <w:lang w:val="en-GB"/>
        </w:rPr>
        <w:t xml:space="preserve"> Some Notes on Congressional Capacity to Interpret the</w:t>
      </w:r>
      <w:r>
        <w:rPr>
          <w:lang w:val="en-GB"/>
        </w:rPr>
        <w:t xml:space="preserve"> </w:t>
      </w:r>
      <w:r w:rsidRPr="00DC7B9F">
        <w:rPr>
          <w:lang w:val="en-GB"/>
        </w:rPr>
        <w:t>Constitution</w:t>
      </w:r>
      <w:r>
        <w:rPr>
          <w:lang w:val="en-GB"/>
        </w:rPr>
        <w:t>’ (2009)</w:t>
      </w:r>
      <w:r w:rsidRPr="00E725AB">
        <w:rPr>
          <w:lang w:val="en-GB"/>
        </w:rPr>
        <w:t xml:space="preserve"> 89 </w:t>
      </w:r>
      <w:r w:rsidRPr="00DF4CA9">
        <w:rPr>
          <w:rFonts w:ascii="Times New Roman Italic" w:hAnsi="Times New Roman Italic"/>
          <w:i/>
          <w:lang w:val="en-GB"/>
        </w:rPr>
        <w:t>Boston University Law Review</w:t>
      </w:r>
      <w:r>
        <w:rPr>
          <w:lang w:val="en-GB"/>
        </w:rPr>
        <w:t xml:space="preserve"> 511</w:t>
      </w:r>
      <w:r w:rsidRPr="00E725AB">
        <w:rPr>
          <w:lang w:val="en-GB"/>
        </w:rPr>
        <w:t xml:space="preserve">. </w:t>
      </w:r>
    </w:p>
  </w:footnote>
  <w:footnote w:id="71">
    <w:p w14:paraId="0A5CF52E" w14:textId="3BBF2EE6"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sidRPr="00E725AB">
        <w:rPr>
          <w:lang w:val="en-GB"/>
        </w:rPr>
        <w:t xml:space="preserve">, </w:t>
      </w:r>
      <w:r>
        <w:rPr>
          <w:lang w:val="en-GB"/>
        </w:rPr>
        <w:t>p</w:t>
      </w:r>
      <w:r w:rsidRPr="00E725AB">
        <w:rPr>
          <w:lang w:val="en-GB"/>
        </w:rPr>
        <w:t xml:space="preserve"> 512.</w:t>
      </w:r>
    </w:p>
  </w:footnote>
  <w:footnote w:id="72">
    <w:p w14:paraId="2B36A806" w14:textId="21CBE0A1"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Lo</w:t>
      </w:r>
      <w:r>
        <w:rPr>
          <w:smallCaps/>
          <w:lang w:val="en-GB"/>
        </w:rPr>
        <w:t xml:space="preserve"> (</w:t>
      </w:r>
      <w:r>
        <w:rPr>
          <w:lang w:val="en-GB"/>
        </w:rPr>
        <w:t>note 7 above)</w:t>
      </w:r>
      <w:r w:rsidRPr="00E725AB">
        <w:rPr>
          <w:lang w:val="en-GB"/>
        </w:rPr>
        <w:t xml:space="preserve">, </w:t>
      </w:r>
      <w:r>
        <w:rPr>
          <w:lang w:val="en-GB"/>
        </w:rPr>
        <w:t>p</w:t>
      </w:r>
      <w:r w:rsidRPr="00E725AB">
        <w:rPr>
          <w:smallCaps/>
          <w:lang w:val="en-GB"/>
        </w:rPr>
        <w:t xml:space="preserve"> </w:t>
      </w:r>
      <w:r w:rsidRPr="00E725AB">
        <w:rPr>
          <w:lang w:val="en-GB"/>
        </w:rPr>
        <w:t>17. Although, even the German Constitutional Court was influenced by the American structure of constitutional review and t</w:t>
      </w:r>
      <w:r>
        <w:rPr>
          <w:lang w:val="en-GB"/>
        </w:rPr>
        <w:t xml:space="preserve">he US Supreme Court (de </w:t>
      </w:r>
      <w:proofErr w:type="spellStart"/>
      <w:r>
        <w:rPr>
          <w:lang w:val="en-GB"/>
        </w:rPr>
        <w:t>Visser</w:t>
      </w:r>
      <w:proofErr w:type="spellEnd"/>
      <w:r>
        <w:rPr>
          <w:lang w:val="en-GB"/>
        </w:rPr>
        <w:t xml:space="preserve"> (note 16 above), p 64)</w:t>
      </w:r>
      <w:r w:rsidRPr="00E725AB">
        <w:rPr>
          <w:lang w:val="en-GB"/>
        </w:rPr>
        <w:t>.</w:t>
      </w:r>
    </w:p>
  </w:footnote>
  <w:footnote w:id="73">
    <w:p w14:paraId="6AD8BE80" w14:textId="257535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proofErr w:type="spellStart"/>
      <w:r w:rsidRPr="00E17123">
        <w:rPr>
          <w:i/>
          <w:lang w:val="en-GB"/>
        </w:rPr>
        <w:t>Marbury</w:t>
      </w:r>
      <w:proofErr w:type="spellEnd"/>
      <w:r w:rsidRPr="00E17123">
        <w:rPr>
          <w:i/>
          <w:lang w:val="en-GB"/>
        </w:rPr>
        <w:t xml:space="preserve"> v Madison</w:t>
      </w:r>
      <w:r>
        <w:rPr>
          <w:lang w:val="en-GB"/>
        </w:rPr>
        <w:t xml:space="preserve"> 5 U.S. 137 [1803]</w:t>
      </w:r>
      <w:r w:rsidRPr="00E725AB">
        <w:rPr>
          <w:lang w:val="en-GB"/>
        </w:rPr>
        <w:t xml:space="preserve">. </w:t>
      </w:r>
    </w:p>
  </w:footnote>
  <w:footnote w:id="74">
    <w:p w14:paraId="181129EA" w14:textId="76F2E4BB"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E17123">
        <w:rPr>
          <w:lang w:val="en-GB"/>
        </w:rPr>
        <w:t xml:space="preserve">See </w:t>
      </w:r>
      <w:proofErr w:type="spellStart"/>
      <w:r w:rsidRPr="00E17123">
        <w:rPr>
          <w:lang w:val="en-GB"/>
        </w:rPr>
        <w:t>eg</w:t>
      </w:r>
      <w:proofErr w:type="spellEnd"/>
      <w:r w:rsidRPr="00E725AB">
        <w:rPr>
          <w:lang w:val="en-GB"/>
        </w:rPr>
        <w:t xml:space="preserve"> </w:t>
      </w:r>
      <w:r>
        <w:rPr>
          <w:lang w:val="en-GB"/>
        </w:rPr>
        <w:t>a</w:t>
      </w:r>
      <w:r w:rsidRPr="00E725AB">
        <w:rPr>
          <w:lang w:val="en-GB"/>
        </w:rPr>
        <w:t>rti</w:t>
      </w:r>
      <w:r>
        <w:rPr>
          <w:lang w:val="en-GB"/>
        </w:rPr>
        <w:t xml:space="preserve">cles 78, 171 </w:t>
      </w:r>
      <w:r w:rsidR="00095871">
        <w:rPr>
          <w:lang w:val="en-GB"/>
        </w:rPr>
        <w:t>and</w:t>
      </w:r>
      <w:r>
        <w:rPr>
          <w:lang w:val="en-GB"/>
        </w:rPr>
        <w:t xml:space="preserve"> 173</w:t>
      </w:r>
      <w:r w:rsidRPr="00E725AB">
        <w:rPr>
          <w:lang w:val="en-GB"/>
        </w:rPr>
        <w:t xml:space="preserve">. </w:t>
      </w:r>
      <w:r w:rsidR="00221FCA">
        <w:rPr>
          <w:lang w:val="en-GB"/>
        </w:rPr>
        <w:t>A</w:t>
      </w:r>
      <w:r w:rsidRPr="00631323">
        <w:rPr>
          <w:lang w:val="en-GB"/>
        </w:rPr>
        <w:t>rt</w:t>
      </w:r>
      <w:r w:rsidR="002D1D76">
        <w:rPr>
          <w:lang w:val="en-GB"/>
        </w:rPr>
        <w:t>icle</w:t>
      </w:r>
      <w:r w:rsidRPr="00631323">
        <w:rPr>
          <w:lang w:val="en-GB"/>
        </w:rPr>
        <w:t xml:space="preserve"> 78 provides: </w:t>
      </w:r>
      <w:r w:rsidRPr="00E17123">
        <w:rPr>
          <w:lang w:val="en-GB"/>
        </w:rPr>
        <w:t>‘</w:t>
      </w:r>
      <w:r w:rsidRPr="00631323">
        <w:rPr>
          <w:lang w:val="en-GB"/>
        </w:rPr>
        <w:t>The Judicial Yuan shall interpret the Constitution and shall have the power to unify the interpretation of laws and orders</w:t>
      </w:r>
      <w:r w:rsidRPr="00E17123">
        <w:rPr>
          <w:lang w:val="en-GB"/>
        </w:rPr>
        <w:t>’</w:t>
      </w:r>
      <w:r w:rsidRPr="00631323">
        <w:rPr>
          <w:lang w:val="en-GB"/>
        </w:rPr>
        <w:t xml:space="preserve">; art 171: </w:t>
      </w:r>
      <w:r w:rsidRPr="00E17123">
        <w:rPr>
          <w:lang w:val="en-GB"/>
        </w:rPr>
        <w:t>‘</w:t>
      </w:r>
      <w:r w:rsidRPr="00631323">
        <w:rPr>
          <w:lang w:val="en-GB"/>
        </w:rPr>
        <w:t>Laws that are in conflict with the Constitution shall be null and void. When doubt arises as to whether or not a law is in conflict with the Constitution, interpretation thereon shall be made by the Judicial Yuan</w:t>
      </w:r>
      <w:r w:rsidRPr="00E17123">
        <w:rPr>
          <w:lang w:val="en-GB"/>
        </w:rPr>
        <w:t>’</w:t>
      </w:r>
      <w:r w:rsidRPr="00631323">
        <w:rPr>
          <w:lang w:val="en-GB"/>
        </w:rPr>
        <w:t xml:space="preserve">; </w:t>
      </w:r>
      <w:r w:rsidRPr="00E17123">
        <w:rPr>
          <w:lang w:val="en-GB"/>
        </w:rPr>
        <w:t>a</w:t>
      </w:r>
      <w:r w:rsidRPr="00631323">
        <w:rPr>
          <w:lang w:val="en-GB"/>
        </w:rPr>
        <w:t>rt</w:t>
      </w:r>
      <w:r w:rsidRPr="00E17123">
        <w:rPr>
          <w:lang w:val="en-GB"/>
        </w:rPr>
        <w:t> </w:t>
      </w:r>
      <w:r w:rsidRPr="00631323">
        <w:rPr>
          <w:lang w:val="en-GB"/>
        </w:rPr>
        <w:t xml:space="preserve">173: </w:t>
      </w:r>
      <w:r w:rsidRPr="00E17123">
        <w:rPr>
          <w:lang w:val="en-GB"/>
        </w:rPr>
        <w:t>‘</w:t>
      </w:r>
      <w:r w:rsidRPr="00631323">
        <w:rPr>
          <w:lang w:val="en-GB"/>
        </w:rPr>
        <w:t>The Constitution shall be interpreted by the Judicial Yuan</w:t>
      </w:r>
      <w:r w:rsidRPr="00E17123">
        <w:rPr>
          <w:lang w:val="en-GB"/>
        </w:rPr>
        <w:t>’</w:t>
      </w:r>
      <w:r w:rsidRPr="00631323">
        <w:rPr>
          <w:lang w:val="en-GB"/>
        </w:rPr>
        <w:t>.</w:t>
      </w:r>
    </w:p>
  </w:footnote>
  <w:footnote w:id="75">
    <w:p w14:paraId="6581C1C2"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Constitutional Interpretation Procedure Act (1993). </w:t>
      </w:r>
    </w:p>
  </w:footnote>
  <w:footnote w:id="76">
    <w:p w14:paraId="3DF321D1" w14:textId="39A851AB"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221FCA">
        <w:rPr>
          <w:lang w:val="en-GB"/>
        </w:rPr>
        <w:t>Art</w:t>
      </w:r>
      <w:r w:rsidR="002853A5">
        <w:rPr>
          <w:lang w:val="en-GB"/>
        </w:rPr>
        <w:t>icle</w:t>
      </w:r>
      <w:r w:rsidR="00221FCA">
        <w:rPr>
          <w:lang w:val="en-GB"/>
        </w:rPr>
        <w:t xml:space="preserve"> </w:t>
      </w:r>
      <w:r w:rsidRPr="00E725AB">
        <w:rPr>
          <w:lang w:val="en-GB"/>
        </w:rPr>
        <w:t xml:space="preserve">5(iii) notes that: </w:t>
      </w:r>
      <w:r>
        <w:rPr>
          <w:lang w:val="en-GB"/>
        </w:rPr>
        <w:t>‘</w:t>
      </w:r>
      <w:r w:rsidRPr="00E725AB">
        <w:rPr>
          <w:lang w:val="en-GB"/>
        </w:rPr>
        <w:t>The grounds on which the petitions for interpretation of the Constitution may be made are as follows:</w:t>
      </w:r>
      <w:r>
        <w:rPr>
          <w:lang w:val="en-GB"/>
        </w:rPr>
        <w:t xml:space="preserve"> </w:t>
      </w:r>
      <w:r w:rsidRPr="00E725AB">
        <w:rPr>
          <w:lang w:val="en-GB"/>
        </w:rPr>
        <w:t>…</w:t>
      </w:r>
      <w:r>
        <w:rPr>
          <w:lang w:val="en-GB"/>
        </w:rPr>
        <w:t xml:space="preserve"> 3. When one-third of the Legislators or more have doubt about </w:t>
      </w:r>
      <w:r w:rsidRPr="00E725AB">
        <w:rPr>
          <w:lang w:val="en-GB"/>
        </w:rPr>
        <w:t>the meanings of a c</w:t>
      </w:r>
      <w:r>
        <w:rPr>
          <w:lang w:val="en-GB"/>
        </w:rPr>
        <w:t xml:space="preserve">onstitutional </w:t>
      </w:r>
      <w:r w:rsidRPr="00E725AB">
        <w:rPr>
          <w:lang w:val="en-GB"/>
        </w:rPr>
        <w:t>provision governing their fun</w:t>
      </w:r>
      <w:r>
        <w:rPr>
          <w:lang w:val="en-GB"/>
        </w:rPr>
        <w:t xml:space="preserve">ctions and duties, or question on the constitutionality </w:t>
      </w:r>
      <w:r w:rsidRPr="00E725AB">
        <w:rPr>
          <w:lang w:val="en-GB"/>
        </w:rPr>
        <w:t>of a statute at issue, and have therefor initiated a petition</w:t>
      </w:r>
      <w:r>
        <w:rPr>
          <w:lang w:val="en-GB"/>
        </w:rPr>
        <w:t>’</w:t>
      </w:r>
      <w:r w:rsidRPr="00E725AB">
        <w:rPr>
          <w:lang w:val="en-GB"/>
        </w:rPr>
        <w:t>.</w:t>
      </w:r>
    </w:p>
  </w:footnote>
  <w:footnote w:id="77">
    <w:p w14:paraId="33652FCF" w14:textId="4B430701"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Elliott </w:t>
      </w:r>
      <w:r w:rsidR="00095871">
        <w:rPr>
          <w:lang w:val="en-GB"/>
        </w:rPr>
        <w:t>and</w:t>
      </w:r>
      <w:r w:rsidRPr="00E725AB">
        <w:rPr>
          <w:lang w:val="en-GB"/>
        </w:rPr>
        <w:t xml:space="preserve"> Th</w:t>
      </w:r>
      <w:r>
        <w:rPr>
          <w:lang w:val="en-GB"/>
        </w:rPr>
        <w:t>omas (note 3 above), p 21.</w:t>
      </w:r>
    </w:p>
  </w:footnote>
  <w:footnote w:id="78">
    <w:p w14:paraId="4BE7ECB8" w14:textId="01604A4F" w:rsidR="00F55FAE" w:rsidRDefault="00F55FAE" w:rsidP="00850E46">
      <w:pPr>
        <w:pStyle w:val="FootnoteText"/>
      </w:pPr>
      <w:r>
        <w:rPr>
          <w:rStyle w:val="FootnoteReference"/>
        </w:rPr>
        <w:footnoteRef/>
      </w:r>
      <w:r>
        <w:t xml:space="preserve"> J</w:t>
      </w:r>
      <w:r w:rsidR="000E4293">
        <w:t xml:space="preserve">udicial </w:t>
      </w:r>
      <w:r>
        <w:t>Y</w:t>
      </w:r>
      <w:r w:rsidR="000E4293">
        <w:t xml:space="preserve">uan (J. Y.) </w:t>
      </w:r>
      <w:r>
        <w:t>Interpretation No 499 (24 March 2000), Holding, para 8: ‘</w:t>
      </w:r>
      <w:r w:rsidRPr="00850E46">
        <w:t>It is, therefore, unequivocal that the Justices of the Judicial Yuan are charged with the power to interpret the Constitution and unify the inte</w:t>
      </w:r>
      <w:r>
        <w:t>rpretation of laws and statutes’.</w:t>
      </w:r>
    </w:p>
  </w:footnote>
  <w:footnote w:id="79">
    <w:p w14:paraId="1B71247D" w14:textId="08754B06" w:rsidR="00F55FAE" w:rsidRDefault="00F55FAE" w:rsidP="00750E0E">
      <w:pPr>
        <w:pStyle w:val="FootnoteText"/>
        <w:jc w:val="both"/>
      </w:pPr>
      <w:r>
        <w:rPr>
          <w:rStyle w:val="FootnoteReference"/>
        </w:rPr>
        <w:footnoteRef/>
      </w:r>
      <w:r>
        <w:t xml:space="preserve"> Ginsburg (note 6 above), pp 134–157. </w:t>
      </w:r>
    </w:p>
  </w:footnote>
  <w:footnote w:id="80">
    <w:p w14:paraId="5E919A7D" w14:textId="362074AC" w:rsidR="00F55FAE" w:rsidRDefault="00F55FAE" w:rsidP="00750E0E">
      <w:pPr>
        <w:pStyle w:val="FootnoteText"/>
        <w:jc w:val="both"/>
      </w:pPr>
      <w:r>
        <w:rPr>
          <w:rStyle w:val="FootnoteReference"/>
        </w:rPr>
        <w:footnoteRef/>
      </w:r>
      <w:r w:rsidR="000E4293">
        <w:t xml:space="preserve"> </w:t>
      </w:r>
      <w:r>
        <w:t>Lin</w:t>
      </w:r>
      <w:r w:rsidR="000E4293">
        <w:t xml:space="preserve"> (note 9 above).</w:t>
      </w:r>
      <w:r>
        <w:t xml:space="preserve"> </w:t>
      </w:r>
    </w:p>
  </w:footnote>
  <w:footnote w:id="81">
    <w:p w14:paraId="12E08767" w14:textId="1628AA2E" w:rsidR="00F55FAE" w:rsidRDefault="00F55FAE">
      <w:pPr>
        <w:pStyle w:val="FootnoteText"/>
      </w:pPr>
      <w:r>
        <w:rPr>
          <w:rStyle w:val="FootnoteReference"/>
        </w:rPr>
        <w:footnoteRef/>
      </w:r>
      <w:r>
        <w:t xml:space="preserve"> </w:t>
      </w:r>
      <w:r>
        <w:rPr>
          <w:lang w:val="en-GB"/>
        </w:rPr>
        <w:t>CL Lee, ‘A Comparative Study of Judicial Review Procedure Types</w:t>
      </w:r>
      <w:r w:rsidRPr="00674E03">
        <w:t>—</w:t>
      </w:r>
      <w:r>
        <w:t xml:space="preserve">The Option of Constitutional Procedure System in Reform of the Constitutional Review of Taiwan’ (2010) 5 </w:t>
      </w:r>
      <w:r w:rsidRPr="00E04964">
        <w:rPr>
          <w:i/>
        </w:rPr>
        <w:t>NTU Law Review</w:t>
      </w:r>
      <w:r>
        <w:t xml:space="preserve"> 73. </w:t>
      </w:r>
    </w:p>
  </w:footnote>
  <w:footnote w:id="82">
    <w:p w14:paraId="4AB733AA" w14:textId="3565A179" w:rsidR="00F55FAE" w:rsidRDefault="00F55FAE" w:rsidP="00750E0E">
      <w:pPr>
        <w:pStyle w:val="FootnoteText"/>
        <w:jc w:val="both"/>
      </w:pPr>
      <w:r>
        <w:rPr>
          <w:rStyle w:val="FootnoteReference"/>
        </w:rPr>
        <w:footnoteRef/>
      </w:r>
      <w:r>
        <w:t xml:space="preserve"> Ginsburg (note 6 above), pp 143–144. </w:t>
      </w:r>
      <w:r w:rsidRPr="000109FD">
        <w:t>See</w:t>
      </w:r>
      <w:r w:rsidRPr="00E41FF0">
        <w:t xml:space="preserve"> </w:t>
      </w:r>
      <w:r w:rsidRPr="000109FD">
        <w:t>also</w:t>
      </w:r>
      <w:r>
        <w:t xml:space="preserve"> J.Y. Interpretation </w:t>
      </w:r>
      <w:r w:rsidRPr="00631323">
        <w:t>No</w:t>
      </w:r>
      <w:r w:rsidR="00976FA6">
        <w:t> </w:t>
      </w:r>
      <w:r w:rsidRPr="00631323">
        <w:t>188</w:t>
      </w:r>
      <w:r>
        <w:t xml:space="preserve"> (noting that unless otherwise specified, interpretations come into effect immediately). </w:t>
      </w:r>
    </w:p>
  </w:footnote>
  <w:footnote w:id="83">
    <w:p w14:paraId="7145D1E7" w14:textId="4AFE5CFF" w:rsidR="00F55FAE" w:rsidRDefault="00F55FAE" w:rsidP="00750E0E">
      <w:pPr>
        <w:pStyle w:val="FootnoteText"/>
        <w:jc w:val="both"/>
      </w:pPr>
      <w:r>
        <w:rPr>
          <w:rStyle w:val="FootnoteReference"/>
        </w:rPr>
        <w:footnoteRef/>
      </w:r>
      <w:r>
        <w:t xml:space="preserve"> Lin (note </w:t>
      </w:r>
      <w:r w:rsidR="000E4293">
        <w:t>9</w:t>
      </w:r>
      <w:r>
        <w:t xml:space="preserve"> above), pp 199–206.</w:t>
      </w:r>
    </w:p>
  </w:footnote>
  <w:footnote w:id="84">
    <w:p w14:paraId="1E928042" w14:textId="1B427523" w:rsidR="00F55FAE" w:rsidRDefault="00F55FAE" w:rsidP="00750E0E">
      <w:pPr>
        <w:pStyle w:val="FootnoteText"/>
        <w:jc w:val="both"/>
      </w:pPr>
      <w:r>
        <w:rPr>
          <w:rStyle w:val="FootnoteReference"/>
        </w:rPr>
        <w:footnoteRef/>
      </w:r>
      <w:r>
        <w:t xml:space="preserve"> </w:t>
      </w:r>
      <w:r w:rsidR="000920DC">
        <w:rPr>
          <w:i/>
        </w:rPr>
        <w:t>Ibid</w:t>
      </w:r>
      <w:r>
        <w:t xml:space="preserve">, pp 206–210. </w:t>
      </w:r>
    </w:p>
  </w:footnote>
  <w:footnote w:id="85">
    <w:p w14:paraId="754F28D5" w14:textId="77777777" w:rsidR="00F55FAE" w:rsidRDefault="00F55FAE" w:rsidP="00750E0E">
      <w:pPr>
        <w:pStyle w:val="FootnoteText"/>
        <w:jc w:val="both"/>
      </w:pPr>
      <w:r>
        <w:rPr>
          <w:rStyle w:val="FootnoteReference"/>
        </w:rPr>
        <w:footnoteRef/>
      </w:r>
      <w:r>
        <w:t xml:space="preserve"> </w:t>
      </w:r>
      <w:r w:rsidRPr="00913D29">
        <w:t>The Act of the Special Commission on the Investigation of the Truth in Respect of the 319 Shooting</w:t>
      </w:r>
      <w:r>
        <w:t xml:space="preserve">. </w:t>
      </w:r>
    </w:p>
  </w:footnote>
  <w:footnote w:id="86">
    <w:p w14:paraId="78DE70CE" w14:textId="660F70AB" w:rsidR="00F55FAE" w:rsidRDefault="00F55FAE" w:rsidP="008B1C47">
      <w:pPr>
        <w:pStyle w:val="FootnoteText"/>
        <w:tabs>
          <w:tab w:val="left" w:pos="1985"/>
        </w:tabs>
        <w:jc w:val="both"/>
      </w:pPr>
      <w:r>
        <w:rPr>
          <w:rStyle w:val="FootnoteReference"/>
        </w:rPr>
        <w:footnoteRef/>
      </w:r>
      <w:r>
        <w:t xml:space="preserve"> J.Y. Interpretation No 585 (15 December 2004). </w:t>
      </w:r>
    </w:p>
  </w:footnote>
  <w:footnote w:id="87">
    <w:p w14:paraId="089A91BD" w14:textId="22025244" w:rsidR="00F55FAE" w:rsidRDefault="00F55FAE" w:rsidP="00750E0E">
      <w:pPr>
        <w:pStyle w:val="FootnoteText"/>
        <w:jc w:val="both"/>
      </w:pPr>
      <w:r>
        <w:rPr>
          <w:rStyle w:val="FootnoteReference"/>
        </w:rPr>
        <w:footnoteRef/>
      </w:r>
      <w:r>
        <w:t xml:space="preserve"> </w:t>
      </w:r>
      <w:r w:rsidR="000920DC">
        <w:rPr>
          <w:i/>
        </w:rPr>
        <w:t>Ibid</w:t>
      </w:r>
      <w:r w:rsidR="0042237D">
        <w:rPr>
          <w:i/>
        </w:rPr>
        <w:t>.</w:t>
      </w:r>
    </w:p>
  </w:footnote>
  <w:footnote w:id="88">
    <w:p w14:paraId="2CD5BFBA" w14:textId="0B0D28D4" w:rsidR="00F55FAE" w:rsidRPr="00750E0E" w:rsidRDefault="00F55FAE" w:rsidP="00750E0E">
      <w:pPr>
        <w:pStyle w:val="FootnoteText"/>
        <w:jc w:val="both"/>
        <w:rPr>
          <w:lang w:val="en-GB"/>
        </w:rPr>
      </w:pPr>
      <w:r>
        <w:rPr>
          <w:rStyle w:val="FootnoteReference"/>
        </w:rPr>
        <w:footnoteRef/>
      </w:r>
      <w:r>
        <w:t xml:space="preserve"> </w:t>
      </w:r>
      <w:r>
        <w:rPr>
          <w:lang w:val="en-GB"/>
        </w:rPr>
        <w:t>J.Y. Interpretation No 216 (19 June 1987): ‘</w:t>
      </w:r>
      <w:r w:rsidRPr="00750E0E">
        <w:rPr>
          <w:lang w:val="en-GB"/>
        </w:rPr>
        <w:t>Judicial administrations shall not put forth their own legal views and order judges to follow such views in the course of adjudication. If any legal views are presented, they are references for judges only and shall not bind judge</w:t>
      </w:r>
      <w:r>
        <w:rPr>
          <w:lang w:val="en-GB"/>
        </w:rPr>
        <w:t xml:space="preserve">s in the course of adjudication’. </w:t>
      </w:r>
    </w:p>
  </w:footnote>
  <w:footnote w:id="89">
    <w:p w14:paraId="1F2901AA" w14:textId="77777777" w:rsidR="00F55FAE" w:rsidRDefault="00F55FAE" w:rsidP="00750E0E">
      <w:pPr>
        <w:pStyle w:val="FootnoteText"/>
        <w:jc w:val="both"/>
      </w:pPr>
      <w:r>
        <w:rPr>
          <w:rStyle w:val="FootnoteReference"/>
        </w:rPr>
        <w:footnoteRef/>
      </w:r>
      <w:r>
        <w:t xml:space="preserve"> The Justices salaries consist of a base salary, public expenses, and the specialty premiums. </w:t>
      </w:r>
    </w:p>
  </w:footnote>
  <w:footnote w:id="90">
    <w:p w14:paraId="033187FD" w14:textId="79624442" w:rsidR="00F55FAE" w:rsidRDefault="00F55FAE" w:rsidP="00750E0E">
      <w:pPr>
        <w:pStyle w:val="FootnoteText"/>
        <w:jc w:val="both"/>
      </w:pPr>
      <w:r>
        <w:rPr>
          <w:rStyle w:val="FootnoteReference"/>
        </w:rPr>
        <w:footnoteRef/>
      </w:r>
      <w:r>
        <w:t xml:space="preserve"> J.Y. Interpretation No 601, Holding, para 2. </w:t>
      </w:r>
    </w:p>
  </w:footnote>
  <w:footnote w:id="91">
    <w:p w14:paraId="1E3AB55A" w14:textId="49E1921C" w:rsidR="00F55FAE" w:rsidRDefault="00F55FAE">
      <w:pPr>
        <w:pStyle w:val="FootnoteText"/>
      </w:pPr>
      <w:r>
        <w:rPr>
          <w:rStyle w:val="FootnoteReference"/>
        </w:rPr>
        <w:footnoteRef/>
      </w:r>
      <w:r>
        <w:t xml:space="preserve"> Although, others note there was an attitude change after J.Y. Interpretation No 530 (in relation to whether the Judicial Yuan may enact trial rules or supervisory regulations on their own): </w:t>
      </w:r>
      <w:r w:rsidRPr="00750282">
        <w:t>see</w:t>
      </w:r>
      <w:r>
        <w:t xml:space="preserve"> CT Lee, ‘Taiwan’s Legislators’ Attitude Toward Grand Justices Constitutional Interpretation’ (2012) 37 </w:t>
      </w:r>
      <w:r w:rsidRPr="00152AEC">
        <w:rPr>
          <w:i/>
        </w:rPr>
        <w:t>The Constitutional Review</w:t>
      </w:r>
      <w:r>
        <w:t xml:space="preserve"> 488.</w:t>
      </w:r>
    </w:p>
  </w:footnote>
  <w:footnote w:id="92">
    <w:p w14:paraId="4D4BF944" w14:textId="6DAF1901" w:rsidR="00F55FAE" w:rsidRDefault="00F55FAE" w:rsidP="00750E0E">
      <w:pPr>
        <w:pStyle w:val="FootnoteText"/>
        <w:jc w:val="both"/>
      </w:pPr>
      <w:r>
        <w:rPr>
          <w:rStyle w:val="FootnoteReference"/>
        </w:rPr>
        <w:footnoteRef/>
      </w:r>
      <w:r>
        <w:t xml:space="preserve"> J.Y. Interpretation No 261 (21 June 1990); Lin</w:t>
      </w:r>
      <w:r w:rsidR="0023206A">
        <w:t xml:space="preserve"> </w:t>
      </w:r>
      <w:r>
        <w:t>(</w:t>
      </w:r>
      <w:r w:rsidRPr="00631323">
        <w:t xml:space="preserve">note </w:t>
      </w:r>
      <w:r w:rsidR="0023206A">
        <w:t>9</w:t>
      </w:r>
      <w:r w:rsidRPr="00631323">
        <w:t xml:space="preserve"> above</w:t>
      </w:r>
      <w:r>
        <w:t xml:space="preserve">), </w:t>
      </w:r>
      <w:r w:rsidR="0023206A">
        <w:t xml:space="preserve">p </w:t>
      </w:r>
      <w:r>
        <w:t xml:space="preserve">203. </w:t>
      </w:r>
    </w:p>
  </w:footnote>
  <w:footnote w:id="93">
    <w:p w14:paraId="76A67FB0" w14:textId="765E808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J.Y. Interpretation No</w:t>
      </w:r>
      <w:r>
        <w:rPr>
          <w:lang w:val="en-GB"/>
        </w:rPr>
        <w:t> </w:t>
      </w:r>
      <w:r w:rsidRPr="00E725AB">
        <w:rPr>
          <w:lang w:val="en-GB"/>
        </w:rPr>
        <w:t xml:space="preserve">499 (2000). </w:t>
      </w:r>
    </w:p>
  </w:footnote>
  <w:footnote w:id="94">
    <w:p w14:paraId="6C7D88E8" w14:textId="6D71F7BC" w:rsidR="00F55FAE" w:rsidRDefault="00F55FAE" w:rsidP="00750E0E">
      <w:pPr>
        <w:pStyle w:val="FootnoteText"/>
        <w:jc w:val="both"/>
      </w:pPr>
      <w:r>
        <w:rPr>
          <w:rStyle w:val="FootnoteReference"/>
        </w:rPr>
        <w:footnoteRef/>
      </w:r>
      <w:r>
        <w:t xml:space="preserve"> Lin (note </w:t>
      </w:r>
      <w:r w:rsidR="0023206A">
        <w:t>9</w:t>
      </w:r>
      <w:r>
        <w:t xml:space="preserve"> above), </w:t>
      </w:r>
      <w:r w:rsidR="0023206A">
        <w:t xml:space="preserve">p </w:t>
      </w:r>
      <w:r>
        <w:t xml:space="preserve">203. </w:t>
      </w:r>
    </w:p>
  </w:footnote>
  <w:footnote w:id="95">
    <w:p w14:paraId="26FA23CB" w14:textId="2FB06B1C"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750282">
        <w:rPr>
          <w:lang w:val="en-GB"/>
        </w:rPr>
        <w:t>See</w:t>
      </w:r>
      <w:r w:rsidRPr="005608E3">
        <w:rPr>
          <w:lang w:val="en-GB"/>
        </w:rPr>
        <w:t xml:space="preserve"> </w:t>
      </w:r>
      <w:proofErr w:type="spellStart"/>
      <w:r w:rsidRPr="00750282">
        <w:rPr>
          <w:lang w:val="en-GB"/>
        </w:rPr>
        <w:t>eg</w:t>
      </w:r>
      <w:proofErr w:type="spellEnd"/>
      <w:r>
        <w:rPr>
          <w:lang w:val="en-GB"/>
        </w:rPr>
        <w:t xml:space="preserve"> </w:t>
      </w:r>
      <w:proofErr w:type="spellStart"/>
      <w:r>
        <w:rPr>
          <w:lang w:val="en-GB"/>
        </w:rPr>
        <w:t>Jacobsohn</w:t>
      </w:r>
      <w:proofErr w:type="spellEnd"/>
      <w:r>
        <w:rPr>
          <w:lang w:val="en-GB"/>
        </w:rPr>
        <w:t xml:space="preserve"> (note 5</w:t>
      </w:r>
      <w:r w:rsidR="00A4175D">
        <w:rPr>
          <w:lang w:val="en-GB"/>
        </w:rPr>
        <w:t>2</w:t>
      </w:r>
      <w:r>
        <w:rPr>
          <w:lang w:val="en-GB"/>
        </w:rPr>
        <w:t xml:space="preserve"> above)</w:t>
      </w:r>
      <w:r w:rsidRPr="00E725AB">
        <w:rPr>
          <w:lang w:val="en-GB"/>
        </w:rPr>
        <w:t xml:space="preserve">, </w:t>
      </w:r>
      <w:r w:rsidR="0023206A">
        <w:rPr>
          <w:lang w:val="en-GB"/>
        </w:rPr>
        <w:t>p</w:t>
      </w:r>
      <w:r w:rsidRPr="00E725AB">
        <w:rPr>
          <w:lang w:val="en-GB"/>
        </w:rPr>
        <w:t xml:space="preserve"> 460. </w:t>
      </w:r>
    </w:p>
  </w:footnote>
  <w:footnote w:id="96">
    <w:p w14:paraId="653BF1CB" w14:textId="799844E6" w:rsidR="00F55FAE" w:rsidRDefault="00F55FAE" w:rsidP="00750E0E">
      <w:pPr>
        <w:pStyle w:val="FootnoteText"/>
        <w:jc w:val="both"/>
      </w:pPr>
      <w:r>
        <w:rPr>
          <w:rStyle w:val="FootnoteReference"/>
        </w:rPr>
        <w:footnoteRef/>
      </w:r>
      <w:r>
        <w:t xml:space="preserve"> However other courts in liberal democracies (</w:t>
      </w:r>
      <w:proofErr w:type="spellStart"/>
      <w:r>
        <w:t>eg</w:t>
      </w:r>
      <w:proofErr w:type="spellEnd"/>
      <w:r>
        <w:t xml:space="preserve"> Germany), do have such powers. The ancillary powers of constitutional courts have risen dramatically since the early 20</w:t>
      </w:r>
      <w:r w:rsidRPr="002648CB">
        <w:t>th</w:t>
      </w:r>
      <w:r>
        <w:t xml:space="preserve"> century: T Ginsburg </w:t>
      </w:r>
      <w:r w:rsidR="00095871">
        <w:t>and</w:t>
      </w:r>
      <w:r>
        <w:t xml:space="preserve"> Z Elkins, ‘</w:t>
      </w:r>
      <w:r w:rsidRPr="00D8315F">
        <w:t>Ancillary Powers of Constitutional Courts</w:t>
      </w:r>
      <w:r>
        <w:t>’ (2009) 87</w:t>
      </w:r>
      <w:r w:rsidR="0023206A">
        <w:t xml:space="preserve"> </w:t>
      </w:r>
      <w:r w:rsidRPr="00EB3209">
        <w:rPr>
          <w:i/>
        </w:rPr>
        <w:t>Texas Law Review</w:t>
      </w:r>
      <w:r>
        <w:t xml:space="preserve"> 1431 at 1440, 1443. </w:t>
      </w:r>
    </w:p>
  </w:footnote>
  <w:footnote w:id="97">
    <w:p w14:paraId="47B7EAC9" w14:textId="2498856D"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w:t>
      </w:r>
      <w:proofErr w:type="spellStart"/>
      <w:r>
        <w:rPr>
          <w:lang w:val="en-GB"/>
        </w:rPr>
        <w:t>Tetzlaff</w:t>
      </w:r>
      <w:proofErr w:type="spellEnd"/>
      <w:r>
        <w:rPr>
          <w:lang w:val="en-GB"/>
        </w:rPr>
        <w:t xml:space="preserve"> (note 2</w:t>
      </w:r>
      <w:r w:rsidR="00A4175D">
        <w:rPr>
          <w:lang w:val="en-GB"/>
        </w:rPr>
        <w:t>1</w:t>
      </w:r>
      <w:r>
        <w:rPr>
          <w:lang w:val="en-GB"/>
        </w:rPr>
        <w:t xml:space="preserve"> above), p 9; f</w:t>
      </w:r>
      <w:r w:rsidRPr="00E725AB">
        <w:rPr>
          <w:lang w:val="en-GB"/>
        </w:rPr>
        <w:t>or a more complete description of how the Court</w:t>
      </w:r>
      <w:r>
        <w:rPr>
          <w:lang w:val="en-GB"/>
        </w:rPr>
        <w:t>’</w:t>
      </w:r>
      <w:r w:rsidRPr="00E725AB">
        <w:rPr>
          <w:lang w:val="en-GB"/>
        </w:rPr>
        <w:t xml:space="preserve">s political power was attained, </w:t>
      </w:r>
      <w:r w:rsidRPr="00750282">
        <w:rPr>
          <w:lang w:val="en-GB"/>
        </w:rPr>
        <w:t>see</w:t>
      </w:r>
      <w:r>
        <w:rPr>
          <w:lang w:val="en-GB"/>
        </w:rPr>
        <w:t xml:space="preserve"> Lin (note </w:t>
      </w:r>
      <w:r w:rsidR="0023206A">
        <w:rPr>
          <w:lang w:val="en-GB"/>
        </w:rPr>
        <w:t>9</w:t>
      </w:r>
      <w:r>
        <w:rPr>
          <w:lang w:val="en-GB"/>
        </w:rPr>
        <w:t xml:space="preserve"> above)</w:t>
      </w:r>
      <w:r w:rsidRPr="00E725AB">
        <w:rPr>
          <w:lang w:val="en-GB"/>
        </w:rPr>
        <w:t xml:space="preserve">, </w:t>
      </w:r>
      <w:r>
        <w:rPr>
          <w:lang w:val="en-GB"/>
        </w:rPr>
        <w:t>pp</w:t>
      </w:r>
      <w:r w:rsidRPr="00E725AB">
        <w:rPr>
          <w:lang w:val="en-GB"/>
        </w:rPr>
        <w:t xml:space="preserve"> 186</w:t>
      </w:r>
      <w:r>
        <w:rPr>
          <w:lang w:val="en-GB"/>
        </w:rPr>
        <w:t>–</w:t>
      </w:r>
      <w:r w:rsidRPr="00E725AB">
        <w:rPr>
          <w:lang w:val="en-GB"/>
        </w:rPr>
        <w:t>192.</w:t>
      </w:r>
    </w:p>
  </w:footnote>
  <w:footnote w:id="98">
    <w:p w14:paraId="75B70C64" w14:textId="64817848" w:rsidR="00F55FAE" w:rsidRDefault="00F55FAE">
      <w:pPr>
        <w:pStyle w:val="FootnoteText"/>
      </w:pPr>
      <w:r>
        <w:rPr>
          <w:rStyle w:val="FootnoteReference"/>
        </w:rPr>
        <w:footnoteRef/>
      </w:r>
      <w:r>
        <w:t xml:space="preserve"> </w:t>
      </w:r>
      <w:r w:rsidRPr="003C3A7B">
        <w:t>See</w:t>
      </w:r>
      <w:r>
        <w:t xml:space="preserve"> note 7</w:t>
      </w:r>
      <w:r w:rsidR="007E40A2">
        <w:t>7</w:t>
      </w:r>
      <w:r>
        <w:t xml:space="preserve"> above about the ‘</w:t>
      </w:r>
      <w:r w:rsidRPr="0098183F">
        <w:t>unequivocal</w:t>
      </w:r>
      <w:r>
        <w:t xml:space="preserve">’ nature of their interpretative responsibilities. </w:t>
      </w:r>
    </w:p>
  </w:footnote>
  <w:footnote w:id="99">
    <w:p w14:paraId="0A633D56" w14:textId="0681A864" w:rsidR="00F55FAE" w:rsidRDefault="00F55FAE" w:rsidP="00750E0E">
      <w:pPr>
        <w:pStyle w:val="FootnoteText"/>
        <w:jc w:val="both"/>
      </w:pPr>
      <w:r>
        <w:rPr>
          <w:rStyle w:val="FootnoteReference"/>
        </w:rPr>
        <w:footnoteRef/>
      </w:r>
      <w:r>
        <w:t xml:space="preserve"> J.Y. Interpretation No 185 (27 January 1984), Holding, para 1. Emphasis added. </w:t>
      </w:r>
    </w:p>
  </w:footnote>
  <w:footnote w:id="100">
    <w:p w14:paraId="1C34BA07" w14:textId="3725C884" w:rsidR="00F55FAE" w:rsidRDefault="00F55FAE" w:rsidP="00750E0E">
      <w:pPr>
        <w:pStyle w:val="FootnoteText"/>
        <w:jc w:val="both"/>
      </w:pPr>
      <w:r>
        <w:rPr>
          <w:rStyle w:val="FootnoteReference"/>
        </w:rPr>
        <w:footnoteRef/>
      </w:r>
      <w:r>
        <w:t xml:space="preserve"> J.Y. Interpretation No 405 (7 June 1996), Reasoning, para 1. Emphasis added. </w:t>
      </w:r>
    </w:p>
  </w:footnote>
  <w:footnote w:id="101">
    <w:p w14:paraId="2DD15159" w14:textId="3F8A2EAB" w:rsidR="00F55FAE" w:rsidRDefault="00F55FAE">
      <w:pPr>
        <w:pStyle w:val="FootnoteText"/>
      </w:pPr>
      <w:r>
        <w:rPr>
          <w:rStyle w:val="FootnoteReference"/>
        </w:rPr>
        <w:footnoteRef/>
      </w:r>
      <w:r>
        <w:t xml:space="preserve"> J.Y. </w:t>
      </w:r>
      <w:r w:rsidRPr="00EE5050">
        <w:rPr>
          <w:rFonts w:eastAsia="PMingLiU"/>
          <w:lang w:val="en-GB" w:eastAsia="zh-TW"/>
        </w:rPr>
        <w:t xml:space="preserve">Interpretation </w:t>
      </w:r>
      <w:r w:rsidR="00282A50">
        <w:rPr>
          <w:rFonts w:eastAsia="PMingLiU"/>
          <w:lang w:val="en-GB" w:eastAsia="zh-TW"/>
        </w:rPr>
        <w:t>No</w:t>
      </w:r>
      <w:r>
        <w:rPr>
          <w:rFonts w:eastAsia="PMingLiU"/>
          <w:lang w:val="en-GB" w:eastAsia="zh-TW"/>
        </w:rPr>
        <w:t> </w:t>
      </w:r>
      <w:r w:rsidRPr="00EE5050">
        <w:rPr>
          <w:rFonts w:eastAsia="PMingLiU"/>
          <w:lang w:val="en-GB" w:eastAsia="zh-TW"/>
        </w:rPr>
        <w:t>585 (15 Dec</w:t>
      </w:r>
      <w:r>
        <w:rPr>
          <w:rFonts w:eastAsia="PMingLiU"/>
          <w:lang w:val="en-GB" w:eastAsia="zh-TW"/>
        </w:rPr>
        <w:t>ember</w:t>
      </w:r>
      <w:r w:rsidRPr="00EE5050">
        <w:rPr>
          <w:rFonts w:eastAsia="PMingLiU"/>
          <w:lang w:val="en-GB" w:eastAsia="zh-TW"/>
        </w:rPr>
        <w:t xml:space="preserve"> 2004), Holding 5, para 5.</w:t>
      </w:r>
    </w:p>
  </w:footnote>
  <w:footnote w:id="102">
    <w:p w14:paraId="522A7CA7" w14:textId="332D313C" w:rsidR="00F55FAE" w:rsidRDefault="00F55FAE" w:rsidP="0098183F">
      <w:pPr>
        <w:pStyle w:val="FootnoteText"/>
        <w:jc w:val="both"/>
      </w:pPr>
      <w:r>
        <w:rPr>
          <w:rStyle w:val="FootnoteReference"/>
        </w:rPr>
        <w:footnoteRef/>
      </w:r>
      <w:r>
        <w:t xml:space="preserve"> </w:t>
      </w:r>
      <w:r w:rsidR="000920DC">
        <w:rPr>
          <w:i/>
        </w:rPr>
        <w:t>Ibid</w:t>
      </w:r>
      <w:r>
        <w:t xml:space="preserve">, Holding 2, para 4. </w:t>
      </w:r>
    </w:p>
  </w:footnote>
  <w:footnote w:id="103">
    <w:p w14:paraId="42FCEAC9" w14:textId="10F2BDCF" w:rsidR="00F55FAE" w:rsidRDefault="00F55FAE">
      <w:pPr>
        <w:pStyle w:val="FootnoteText"/>
      </w:pPr>
      <w:r>
        <w:rPr>
          <w:rStyle w:val="FootnoteReference"/>
        </w:rPr>
        <w:footnoteRef/>
      </w:r>
      <w:r>
        <w:t xml:space="preserve"> J.Y. Interpretation No 342 (8 April 1994), Holding, para 1. This decision notes that the Justices may intervene in legislative procedures if there is an ‘apparent violation’ of the constitution significant enough for them to do so: </w:t>
      </w:r>
      <w:r w:rsidRPr="00EE5050">
        <w:rPr>
          <w:rFonts w:eastAsia="PMingLiU"/>
          <w:lang w:val="en-GB" w:eastAsia="zh-TW"/>
        </w:rPr>
        <w:t xml:space="preserve">Lo </w:t>
      </w:r>
      <w:r>
        <w:rPr>
          <w:rFonts w:eastAsia="PMingLiU"/>
          <w:lang w:val="en-GB" w:eastAsia="zh-TW"/>
        </w:rPr>
        <w:t>(</w:t>
      </w:r>
      <w:r w:rsidRPr="00EE5050">
        <w:rPr>
          <w:rFonts w:eastAsia="PMingLiU"/>
          <w:lang w:val="en-GB" w:eastAsia="zh-TW"/>
        </w:rPr>
        <w:t>note 7 above</w:t>
      </w:r>
      <w:r>
        <w:rPr>
          <w:rFonts w:eastAsia="PMingLiU"/>
          <w:lang w:val="en-GB" w:eastAsia="zh-TW"/>
        </w:rPr>
        <w:t>)</w:t>
      </w:r>
      <w:r w:rsidRPr="00EE5050">
        <w:rPr>
          <w:rFonts w:eastAsia="PMingLiU"/>
          <w:lang w:val="en-GB" w:eastAsia="zh-TW"/>
        </w:rPr>
        <w:t xml:space="preserve">, p 27. </w:t>
      </w:r>
    </w:p>
  </w:footnote>
  <w:footnote w:id="104">
    <w:p w14:paraId="7BC7EBDF" w14:textId="4B687528" w:rsidR="00F55FAE" w:rsidRDefault="00F55FAE">
      <w:pPr>
        <w:pStyle w:val="FootnoteText"/>
      </w:pPr>
      <w:r>
        <w:rPr>
          <w:rStyle w:val="FootnoteReference"/>
        </w:rPr>
        <w:footnoteRef/>
      </w:r>
      <w:r>
        <w:t xml:space="preserve"> J.Y. Interpretation No 499, Holding, para 12. </w:t>
      </w:r>
    </w:p>
  </w:footnote>
  <w:footnote w:id="105">
    <w:p w14:paraId="3FB0B576"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Act to Implement the International Covenant on Civil and Political Rights and the International Covenant on Economic, Social and C</w:t>
      </w:r>
      <w:r>
        <w:rPr>
          <w:lang w:val="en-GB"/>
        </w:rPr>
        <w:t>ultural Rights (22 April 2009). See WC</w:t>
      </w:r>
      <w:r w:rsidRPr="00E725AB">
        <w:rPr>
          <w:lang w:val="en-GB"/>
        </w:rPr>
        <w:t xml:space="preserve"> Chang, </w:t>
      </w:r>
      <w:r>
        <w:rPr>
          <w:lang w:val="en-GB"/>
        </w:rPr>
        <w:t>‘</w:t>
      </w:r>
      <w:r w:rsidRPr="00152AEC">
        <w:rPr>
          <w:lang w:val="en-GB"/>
        </w:rPr>
        <w:t>An Isolated Nation with Global-minded Citizens: Bottom-up Transnational Constitutionalism in Taiwan</w:t>
      </w:r>
      <w:r>
        <w:rPr>
          <w:lang w:val="en-GB"/>
        </w:rPr>
        <w:t>’ (2009) 4</w:t>
      </w:r>
      <w:r w:rsidRPr="00E725AB">
        <w:rPr>
          <w:lang w:val="en-GB"/>
        </w:rPr>
        <w:t xml:space="preserve"> </w:t>
      </w:r>
      <w:r w:rsidRPr="00152AEC">
        <w:rPr>
          <w:rFonts w:ascii="Times New Roman Italic" w:hAnsi="Times New Roman Italic"/>
          <w:i/>
          <w:lang w:val="en-GB"/>
        </w:rPr>
        <w:t>NTU Law Review</w:t>
      </w:r>
      <w:r>
        <w:rPr>
          <w:lang w:val="en-GB"/>
        </w:rPr>
        <w:t xml:space="preserve"> 203 at 211</w:t>
      </w:r>
      <w:r w:rsidRPr="00E725AB">
        <w:rPr>
          <w:lang w:val="en-GB"/>
        </w:rPr>
        <w:t xml:space="preserve">. </w:t>
      </w:r>
    </w:p>
  </w:footnote>
  <w:footnote w:id="106">
    <w:p w14:paraId="792E359F" w14:textId="2A89AD02"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624403">
        <w:rPr>
          <w:lang w:val="en-GB"/>
        </w:rPr>
        <w:t>Act to Implement the International Covenant on Civil and Political Rights and the International Covenant on Economic, Social and Cultural Rights (22 April 2009)</w:t>
      </w:r>
      <w:r w:rsidR="00F15A0A">
        <w:rPr>
          <w:lang w:val="en-GB"/>
        </w:rPr>
        <w:t xml:space="preserve">, </w:t>
      </w:r>
      <w:r>
        <w:rPr>
          <w:lang w:val="en-GB"/>
        </w:rPr>
        <w:t>a</w:t>
      </w:r>
      <w:r w:rsidRPr="00E725AB">
        <w:rPr>
          <w:lang w:val="en-GB"/>
        </w:rPr>
        <w:t>rt</w:t>
      </w:r>
      <w:r>
        <w:rPr>
          <w:lang w:val="en-GB"/>
        </w:rPr>
        <w:t> </w:t>
      </w:r>
      <w:r w:rsidRPr="00E725AB">
        <w:rPr>
          <w:lang w:val="en-GB"/>
        </w:rPr>
        <w:t>8.</w:t>
      </w:r>
      <w:r>
        <w:rPr>
          <w:lang w:val="en-GB"/>
        </w:rPr>
        <w:t xml:space="preserve"> </w:t>
      </w:r>
    </w:p>
  </w:footnote>
  <w:footnote w:id="107">
    <w:p w14:paraId="7CCC1915" w14:textId="56234A09"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Covenants Watch, </w:t>
      </w:r>
      <w:r w:rsidR="00BD59D7">
        <w:rPr>
          <w:lang w:val="en-GB"/>
        </w:rPr>
        <w:t>‘</w:t>
      </w:r>
      <w:r w:rsidRPr="00205BFC">
        <w:rPr>
          <w:lang w:val="en-GB"/>
        </w:rPr>
        <w:t>Taiwan Human Rights Report Parallel Report on the Core Document Forming Part of the Reports</w:t>
      </w:r>
      <w:r w:rsidR="00BD59D7">
        <w:rPr>
          <w:lang w:val="en-GB"/>
        </w:rPr>
        <w:t>’</w:t>
      </w:r>
      <w:r w:rsidRPr="00E725AB">
        <w:rPr>
          <w:lang w:val="en-GB"/>
        </w:rPr>
        <w:t xml:space="preserve">, </w:t>
      </w:r>
      <w:r>
        <w:rPr>
          <w:lang w:val="en-GB"/>
        </w:rPr>
        <w:t xml:space="preserve">p </w:t>
      </w:r>
      <w:r w:rsidRPr="00E725AB">
        <w:rPr>
          <w:lang w:val="en-GB"/>
        </w:rPr>
        <w:t xml:space="preserve">50 (14 December 2012). </w:t>
      </w:r>
    </w:p>
  </w:footnote>
  <w:footnote w:id="108">
    <w:p w14:paraId="3CEB3271" w14:textId="24C3F625"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000920DC">
        <w:rPr>
          <w:i/>
          <w:lang w:val="en-GB"/>
        </w:rPr>
        <w:t>Ibid</w:t>
      </w:r>
      <w:r>
        <w:rPr>
          <w:lang w:val="en-GB"/>
        </w:rPr>
        <w:t>, p 51. However</w:t>
      </w:r>
      <w:r w:rsidRPr="00E725AB">
        <w:rPr>
          <w:lang w:val="en-GB"/>
        </w:rPr>
        <w:t xml:space="preserve"> the judiciary has increasingly referenced human rights laws more after the statutory ra</w:t>
      </w:r>
      <w:r>
        <w:rPr>
          <w:lang w:val="en-GB"/>
        </w:rPr>
        <w:t>tification of the treaties: WC</w:t>
      </w:r>
      <w:r w:rsidRPr="00E725AB">
        <w:rPr>
          <w:lang w:val="en-GB"/>
        </w:rPr>
        <w:t xml:space="preserve"> Chang, </w:t>
      </w:r>
      <w:r>
        <w:rPr>
          <w:lang w:val="en-GB"/>
        </w:rPr>
        <w:t>‘</w:t>
      </w:r>
      <w:r w:rsidRPr="00205BFC">
        <w:rPr>
          <w:lang w:val="en-GB"/>
        </w:rPr>
        <w:t>The Convergence of Constitutions and International Human Rights: Taiwan and South Korea in Comparison</w:t>
      </w:r>
      <w:r>
        <w:rPr>
          <w:lang w:val="en-GB"/>
        </w:rPr>
        <w:t>’ (2011)</w:t>
      </w:r>
      <w:r w:rsidRPr="00E725AB">
        <w:rPr>
          <w:lang w:val="en-GB"/>
        </w:rPr>
        <w:t xml:space="preserve"> 36</w:t>
      </w:r>
      <w:r>
        <w:rPr>
          <w:lang w:val="en-GB"/>
        </w:rPr>
        <w:t xml:space="preserve"> </w:t>
      </w:r>
      <w:r w:rsidRPr="00BF6C77">
        <w:rPr>
          <w:rFonts w:ascii="Times New Roman Italic" w:hAnsi="Times New Roman Italic"/>
          <w:i/>
          <w:lang w:val="en-GB"/>
        </w:rPr>
        <w:t>North Carolina Journal of International Law and C</w:t>
      </w:r>
      <w:r>
        <w:rPr>
          <w:rFonts w:ascii="Times New Roman Italic" w:hAnsi="Times New Roman Italic"/>
          <w:i/>
          <w:lang w:val="en-GB"/>
        </w:rPr>
        <w:t>ommercial</w:t>
      </w:r>
      <w:r w:rsidRPr="00BF6C77">
        <w:rPr>
          <w:rFonts w:ascii="Times New Roman Italic" w:hAnsi="Times New Roman Italic"/>
          <w:i/>
          <w:lang w:val="en-GB"/>
        </w:rPr>
        <w:t xml:space="preserve"> Regulation</w:t>
      </w:r>
      <w:r w:rsidRPr="00E725AB">
        <w:rPr>
          <w:smallCaps/>
          <w:lang w:val="en-GB"/>
        </w:rPr>
        <w:t xml:space="preserve"> </w:t>
      </w:r>
      <w:r>
        <w:rPr>
          <w:lang w:val="en-GB"/>
        </w:rPr>
        <w:t>593 at 602</w:t>
      </w:r>
      <w:r w:rsidRPr="00E725AB">
        <w:rPr>
          <w:lang w:val="en-GB"/>
        </w:rPr>
        <w:t xml:space="preserve">. </w:t>
      </w:r>
    </w:p>
  </w:footnote>
  <w:footnote w:id="109">
    <w:p w14:paraId="25FADD9D" w14:textId="09F2FC24"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M</w:t>
      </w:r>
      <w:r w:rsidRPr="00E725AB">
        <w:rPr>
          <w:lang w:val="en-GB"/>
        </w:rPr>
        <w:t xml:space="preserve">ost of these interviews were conducted in Chinese via an interpreter. Thus, the original answers have been twice translated from Chinese to English by </w:t>
      </w:r>
      <w:r>
        <w:rPr>
          <w:lang w:val="en-GB"/>
        </w:rPr>
        <w:t xml:space="preserve">research assistants and </w:t>
      </w:r>
      <w:r w:rsidRPr="00E725AB">
        <w:rPr>
          <w:lang w:val="en-GB"/>
        </w:rPr>
        <w:t>the most logical and accurate comp</w:t>
      </w:r>
      <w:r>
        <w:rPr>
          <w:lang w:val="en-GB"/>
        </w:rPr>
        <w:t>ilations were used</w:t>
      </w:r>
      <w:r w:rsidRPr="00E725AB">
        <w:rPr>
          <w:lang w:val="en-GB"/>
        </w:rPr>
        <w:t xml:space="preserve">. Should the original Chinese translations be desired, these can be proffered. </w:t>
      </w:r>
    </w:p>
  </w:footnote>
  <w:footnote w:id="110">
    <w:p w14:paraId="24148B3B" w14:textId="6C27FF58"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Member </w:t>
      </w:r>
      <w:r w:rsidR="00282A50">
        <w:rPr>
          <w:lang w:val="en-GB"/>
        </w:rPr>
        <w:t>No</w:t>
      </w:r>
      <w:r>
        <w:rPr>
          <w:lang w:val="en-GB"/>
        </w:rPr>
        <w:t> </w:t>
      </w:r>
      <w:r w:rsidRPr="00E725AB">
        <w:rPr>
          <w:lang w:val="en-GB"/>
        </w:rPr>
        <w:t>3 (</w:t>
      </w:r>
      <w:r>
        <w:rPr>
          <w:lang w:val="en-GB"/>
        </w:rPr>
        <w:t>‘</w:t>
      </w:r>
      <w:r w:rsidRPr="00E725AB">
        <w:rPr>
          <w:lang w:val="en-GB"/>
        </w:rPr>
        <w:t>LYM3</w:t>
      </w:r>
      <w:r>
        <w:rPr>
          <w:lang w:val="en-GB"/>
        </w:rPr>
        <w:t>’</w:t>
      </w:r>
      <w:r w:rsidRPr="00E725AB">
        <w:rPr>
          <w:lang w:val="en-GB"/>
        </w:rPr>
        <w:t>) in Taipei, Taiwan (</w:t>
      </w:r>
      <w:r>
        <w:rPr>
          <w:lang w:val="en-GB"/>
        </w:rPr>
        <w:t>10 </w:t>
      </w:r>
      <w:r w:rsidRPr="00E725AB">
        <w:rPr>
          <w:lang w:val="en-GB"/>
        </w:rPr>
        <w:t xml:space="preserve">July 2013). </w:t>
      </w:r>
    </w:p>
  </w:footnote>
  <w:footnote w:id="111">
    <w:p w14:paraId="432E1CF1" w14:textId="064ABFCF"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Assistant </w:t>
      </w:r>
      <w:r w:rsidR="00282A50">
        <w:rPr>
          <w:lang w:val="en-GB"/>
        </w:rPr>
        <w:t>No</w:t>
      </w:r>
      <w:r>
        <w:rPr>
          <w:lang w:val="en-GB"/>
        </w:rPr>
        <w:t> </w:t>
      </w:r>
      <w:r w:rsidRPr="00E725AB">
        <w:rPr>
          <w:lang w:val="en-GB"/>
        </w:rPr>
        <w:t>2 (</w:t>
      </w:r>
      <w:r>
        <w:rPr>
          <w:lang w:val="en-GB"/>
        </w:rPr>
        <w:t>‘</w:t>
      </w:r>
      <w:r w:rsidRPr="00E725AB">
        <w:rPr>
          <w:lang w:val="en-GB"/>
        </w:rPr>
        <w:t>LYASST2</w:t>
      </w:r>
      <w:r>
        <w:rPr>
          <w:lang w:val="en-GB"/>
        </w:rPr>
        <w:t>’</w:t>
      </w:r>
      <w:r w:rsidRPr="00E725AB">
        <w:rPr>
          <w:lang w:val="en-GB"/>
        </w:rPr>
        <w:t>) in Taipei, Taiwan (</w:t>
      </w:r>
      <w:r>
        <w:rPr>
          <w:lang w:val="en-GB"/>
        </w:rPr>
        <w:t>22 </w:t>
      </w:r>
      <w:r w:rsidRPr="00E725AB">
        <w:rPr>
          <w:lang w:val="en-GB"/>
        </w:rPr>
        <w:t>October</w:t>
      </w:r>
      <w:r>
        <w:rPr>
          <w:lang w:val="en-GB"/>
        </w:rPr>
        <w:t xml:space="preserve"> </w:t>
      </w:r>
      <w:r w:rsidRPr="00E725AB">
        <w:rPr>
          <w:lang w:val="en-GB"/>
        </w:rPr>
        <w:t>2013).</w:t>
      </w:r>
    </w:p>
  </w:footnote>
  <w:footnote w:id="112">
    <w:p w14:paraId="5B192077" w14:textId="199B1B8C"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Assistant </w:t>
      </w:r>
      <w:r w:rsidR="00282A50">
        <w:rPr>
          <w:lang w:val="en-GB"/>
        </w:rPr>
        <w:t>No</w:t>
      </w:r>
      <w:r>
        <w:rPr>
          <w:lang w:val="en-GB"/>
        </w:rPr>
        <w:t> </w:t>
      </w:r>
      <w:r w:rsidRPr="00E725AB">
        <w:rPr>
          <w:lang w:val="en-GB"/>
        </w:rPr>
        <w:t>4 (</w:t>
      </w:r>
      <w:r>
        <w:rPr>
          <w:lang w:val="en-GB"/>
        </w:rPr>
        <w:t>‘</w:t>
      </w:r>
      <w:r w:rsidRPr="00E725AB">
        <w:rPr>
          <w:lang w:val="en-GB"/>
        </w:rPr>
        <w:t>LYASST4</w:t>
      </w:r>
      <w:r>
        <w:rPr>
          <w:lang w:val="en-GB"/>
        </w:rPr>
        <w:t>’</w:t>
      </w:r>
      <w:r w:rsidRPr="00E725AB">
        <w:rPr>
          <w:lang w:val="en-GB"/>
        </w:rPr>
        <w:t>) in Taipei, Taiwan (</w:t>
      </w:r>
      <w:r>
        <w:rPr>
          <w:lang w:val="en-GB"/>
        </w:rPr>
        <w:t>31 </w:t>
      </w:r>
      <w:r w:rsidRPr="00E725AB">
        <w:rPr>
          <w:lang w:val="en-GB"/>
        </w:rPr>
        <w:t xml:space="preserve">October 2013). </w:t>
      </w:r>
    </w:p>
  </w:footnote>
  <w:footnote w:id="113">
    <w:p w14:paraId="6DFF6A0B" w14:textId="39375A09"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Member </w:t>
      </w:r>
      <w:r w:rsidR="00282A50">
        <w:rPr>
          <w:lang w:val="en-GB"/>
        </w:rPr>
        <w:t>No</w:t>
      </w:r>
      <w:r>
        <w:rPr>
          <w:lang w:val="en-GB"/>
        </w:rPr>
        <w:t> </w:t>
      </w:r>
      <w:r w:rsidRPr="00E725AB">
        <w:rPr>
          <w:lang w:val="en-GB"/>
        </w:rPr>
        <w:t>1 (</w:t>
      </w:r>
      <w:r>
        <w:rPr>
          <w:lang w:val="en-GB"/>
        </w:rPr>
        <w:t>‘</w:t>
      </w:r>
      <w:r w:rsidRPr="00E725AB">
        <w:rPr>
          <w:lang w:val="en-GB"/>
        </w:rPr>
        <w:t>LYM1</w:t>
      </w:r>
      <w:r>
        <w:rPr>
          <w:lang w:val="en-GB"/>
        </w:rPr>
        <w:t>’</w:t>
      </w:r>
      <w:r w:rsidRPr="00E725AB">
        <w:rPr>
          <w:lang w:val="en-GB"/>
        </w:rPr>
        <w:t>) in</w:t>
      </w:r>
      <w:r>
        <w:rPr>
          <w:lang w:val="en-GB"/>
        </w:rPr>
        <w:t xml:space="preserve"> Taipei, Taiwan (18 July 2013)</w:t>
      </w:r>
      <w:r w:rsidRPr="00E725AB">
        <w:rPr>
          <w:lang w:val="en-GB"/>
        </w:rPr>
        <w:t>.</w:t>
      </w:r>
    </w:p>
  </w:footnote>
  <w:footnote w:id="114">
    <w:p w14:paraId="7A9408A6"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8F00E1">
        <w:rPr>
          <w:lang w:val="en-GB"/>
        </w:rPr>
        <w:t>See</w:t>
      </w:r>
      <w:r>
        <w:rPr>
          <w:lang w:val="en-GB"/>
        </w:rPr>
        <w:t xml:space="preserve"> IIAS TCC database (note 10 above)</w:t>
      </w:r>
      <w:r w:rsidRPr="00E725AB">
        <w:rPr>
          <w:lang w:val="en-GB"/>
        </w:rPr>
        <w:t xml:space="preserve">. </w:t>
      </w:r>
    </w:p>
  </w:footnote>
  <w:footnote w:id="115">
    <w:p w14:paraId="1C1CD4CC" w14:textId="795A445C"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Assistant </w:t>
      </w:r>
      <w:r w:rsidR="00282A50">
        <w:rPr>
          <w:lang w:val="en-GB"/>
        </w:rPr>
        <w:t>No</w:t>
      </w:r>
      <w:r>
        <w:rPr>
          <w:lang w:val="en-GB"/>
        </w:rPr>
        <w:t> </w:t>
      </w:r>
      <w:r w:rsidRPr="00E725AB">
        <w:rPr>
          <w:lang w:val="en-GB"/>
        </w:rPr>
        <w:t>6 (</w:t>
      </w:r>
      <w:r>
        <w:rPr>
          <w:lang w:val="en-GB"/>
        </w:rPr>
        <w:t>‘</w:t>
      </w:r>
      <w:r w:rsidRPr="00E725AB">
        <w:rPr>
          <w:lang w:val="en-GB"/>
        </w:rPr>
        <w:t>LYASST6</w:t>
      </w:r>
      <w:r>
        <w:rPr>
          <w:lang w:val="en-GB"/>
        </w:rPr>
        <w:t>’</w:t>
      </w:r>
      <w:r w:rsidRPr="00E725AB">
        <w:rPr>
          <w:lang w:val="en-GB"/>
        </w:rPr>
        <w:t>) in Taipei, Taiwan (</w:t>
      </w:r>
      <w:r>
        <w:rPr>
          <w:lang w:val="en-GB"/>
        </w:rPr>
        <w:t>9 </w:t>
      </w:r>
      <w:r w:rsidRPr="00E725AB">
        <w:rPr>
          <w:lang w:val="en-GB"/>
        </w:rPr>
        <w:t xml:space="preserve">October 2013). </w:t>
      </w:r>
    </w:p>
  </w:footnote>
  <w:footnote w:id="116">
    <w:p w14:paraId="191C5FC4" w14:textId="1516FCE5"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Assistant </w:t>
      </w:r>
      <w:r w:rsidR="00282A50">
        <w:rPr>
          <w:lang w:val="en-GB"/>
        </w:rPr>
        <w:t>No</w:t>
      </w:r>
      <w:r>
        <w:rPr>
          <w:lang w:val="en-GB"/>
        </w:rPr>
        <w:t> </w:t>
      </w:r>
      <w:r w:rsidRPr="00E725AB">
        <w:rPr>
          <w:lang w:val="en-GB"/>
        </w:rPr>
        <w:t>3 (</w:t>
      </w:r>
      <w:r>
        <w:rPr>
          <w:lang w:val="en-GB"/>
        </w:rPr>
        <w:t>‘</w:t>
      </w:r>
      <w:r w:rsidRPr="00E725AB">
        <w:rPr>
          <w:lang w:val="en-GB"/>
        </w:rPr>
        <w:t>LYASST3</w:t>
      </w:r>
      <w:r>
        <w:rPr>
          <w:lang w:val="en-GB"/>
        </w:rPr>
        <w:t>’</w:t>
      </w:r>
      <w:r w:rsidRPr="00E725AB">
        <w:rPr>
          <w:lang w:val="en-GB"/>
        </w:rPr>
        <w:t>) in Taipei, Taiwan (</w:t>
      </w:r>
      <w:r>
        <w:rPr>
          <w:lang w:val="en-GB"/>
        </w:rPr>
        <w:t>28 </w:t>
      </w:r>
      <w:r w:rsidRPr="00E725AB">
        <w:rPr>
          <w:lang w:val="en-GB"/>
        </w:rPr>
        <w:t xml:space="preserve">October 2013). </w:t>
      </w:r>
    </w:p>
  </w:footnote>
  <w:footnote w:id="117">
    <w:p w14:paraId="7092AAE2" w14:textId="7FF0AD0A"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Assistant </w:t>
      </w:r>
      <w:r w:rsidR="00282A50">
        <w:rPr>
          <w:lang w:val="en-GB"/>
        </w:rPr>
        <w:t>No</w:t>
      </w:r>
      <w:r>
        <w:rPr>
          <w:lang w:val="en-GB"/>
        </w:rPr>
        <w:t> </w:t>
      </w:r>
      <w:r w:rsidRPr="00E725AB">
        <w:rPr>
          <w:lang w:val="en-GB"/>
        </w:rPr>
        <w:t>1 (</w:t>
      </w:r>
      <w:r>
        <w:rPr>
          <w:lang w:val="en-GB"/>
        </w:rPr>
        <w:t>‘</w:t>
      </w:r>
      <w:r w:rsidRPr="00E725AB">
        <w:rPr>
          <w:lang w:val="en-GB"/>
        </w:rPr>
        <w:t>LYASST1</w:t>
      </w:r>
      <w:r>
        <w:rPr>
          <w:lang w:val="en-GB"/>
        </w:rPr>
        <w:t>’</w:t>
      </w:r>
      <w:r w:rsidRPr="00E725AB">
        <w:rPr>
          <w:lang w:val="en-GB"/>
        </w:rPr>
        <w:t>), in Taipei, Taiwan (</w:t>
      </w:r>
      <w:r>
        <w:rPr>
          <w:lang w:val="en-GB"/>
        </w:rPr>
        <w:t>30 </w:t>
      </w:r>
      <w:r w:rsidRPr="00E725AB">
        <w:rPr>
          <w:lang w:val="en-GB"/>
        </w:rPr>
        <w:t xml:space="preserve">October 2013). </w:t>
      </w:r>
    </w:p>
  </w:footnote>
  <w:footnote w:id="118">
    <w:p w14:paraId="45B28149" w14:textId="3E6FF5FE"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Member </w:t>
      </w:r>
      <w:r w:rsidR="00282A50">
        <w:rPr>
          <w:lang w:val="en-GB"/>
        </w:rPr>
        <w:t>No</w:t>
      </w:r>
      <w:r>
        <w:rPr>
          <w:lang w:val="en-GB"/>
        </w:rPr>
        <w:t> </w:t>
      </w:r>
      <w:r w:rsidRPr="00E725AB">
        <w:rPr>
          <w:lang w:val="en-GB"/>
        </w:rPr>
        <w:t>6 (</w:t>
      </w:r>
      <w:r>
        <w:rPr>
          <w:lang w:val="en-GB"/>
        </w:rPr>
        <w:t>‘</w:t>
      </w:r>
      <w:r w:rsidRPr="00E725AB">
        <w:rPr>
          <w:lang w:val="en-GB"/>
        </w:rPr>
        <w:t>LYM6</w:t>
      </w:r>
      <w:r>
        <w:rPr>
          <w:lang w:val="en-GB"/>
        </w:rPr>
        <w:t>’</w:t>
      </w:r>
      <w:r w:rsidRPr="00E725AB">
        <w:rPr>
          <w:lang w:val="en-GB"/>
        </w:rPr>
        <w:t>) in Taipei, Taiwan (</w:t>
      </w:r>
      <w:r>
        <w:rPr>
          <w:lang w:val="en-GB"/>
        </w:rPr>
        <w:t>17 </w:t>
      </w:r>
      <w:r w:rsidRPr="00E725AB">
        <w:rPr>
          <w:lang w:val="en-GB"/>
        </w:rPr>
        <w:t xml:space="preserve">July 2013). </w:t>
      </w:r>
    </w:p>
  </w:footnote>
  <w:footnote w:id="119">
    <w:p w14:paraId="6C16979F" w14:textId="7C9AFBA0"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Interview with </w:t>
      </w:r>
      <w:r w:rsidRPr="00AB4C1E">
        <w:rPr>
          <w:color w:val="000000" w:themeColor="text1"/>
          <w:lang w:val="en-GB"/>
        </w:rPr>
        <w:t xml:space="preserve">LYM3 (note </w:t>
      </w:r>
      <w:r>
        <w:rPr>
          <w:lang w:val="en-GB"/>
        </w:rPr>
        <w:t>1</w:t>
      </w:r>
      <w:r w:rsidR="004E5252">
        <w:rPr>
          <w:lang w:val="en-GB"/>
        </w:rPr>
        <w:t>09</w:t>
      </w:r>
      <w:r>
        <w:rPr>
          <w:lang w:val="en-GB"/>
        </w:rPr>
        <w:t xml:space="preserve"> above)</w:t>
      </w:r>
      <w:r w:rsidRPr="00E725AB">
        <w:rPr>
          <w:lang w:val="en-GB"/>
        </w:rPr>
        <w:t xml:space="preserve">. </w:t>
      </w:r>
    </w:p>
  </w:footnote>
  <w:footnote w:id="120">
    <w:p w14:paraId="39C3A141" w14:textId="7E44A95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Member </w:t>
      </w:r>
      <w:r w:rsidR="00282A50">
        <w:rPr>
          <w:lang w:val="en-GB"/>
        </w:rPr>
        <w:t>No</w:t>
      </w:r>
      <w:r>
        <w:rPr>
          <w:lang w:val="en-GB"/>
        </w:rPr>
        <w:t> </w:t>
      </w:r>
      <w:r w:rsidRPr="00E725AB">
        <w:rPr>
          <w:lang w:val="en-GB"/>
        </w:rPr>
        <w:t>5 (</w:t>
      </w:r>
      <w:r>
        <w:rPr>
          <w:lang w:val="en-GB"/>
        </w:rPr>
        <w:t>‘</w:t>
      </w:r>
      <w:r w:rsidRPr="00E725AB">
        <w:rPr>
          <w:lang w:val="en-GB"/>
        </w:rPr>
        <w:t>LYM5</w:t>
      </w:r>
      <w:r>
        <w:rPr>
          <w:lang w:val="en-GB"/>
        </w:rPr>
        <w:t>’</w:t>
      </w:r>
      <w:r w:rsidRPr="00E725AB">
        <w:rPr>
          <w:lang w:val="en-GB"/>
        </w:rPr>
        <w:t xml:space="preserve">) in Taipei, Taiwan </w:t>
      </w:r>
      <w:r>
        <w:rPr>
          <w:lang w:val="en-GB"/>
        </w:rPr>
        <w:t>(9 </w:t>
      </w:r>
      <w:r w:rsidRPr="00E725AB">
        <w:rPr>
          <w:lang w:val="en-GB"/>
        </w:rPr>
        <w:t>July 2013</w:t>
      </w:r>
      <w:r>
        <w:rPr>
          <w:lang w:val="en-GB"/>
        </w:rPr>
        <w:t>)</w:t>
      </w:r>
      <w:r w:rsidRPr="00E725AB">
        <w:rPr>
          <w:lang w:val="en-GB"/>
        </w:rPr>
        <w:t xml:space="preserve">. </w:t>
      </w:r>
    </w:p>
  </w:footnote>
  <w:footnote w:id="121">
    <w:p w14:paraId="210E0312" w14:textId="6ABA3AA4"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Interview with LYASST4 (note 11</w:t>
      </w:r>
      <w:r w:rsidR="00F22151">
        <w:rPr>
          <w:lang w:val="en-GB"/>
        </w:rPr>
        <w:t>1</w:t>
      </w:r>
      <w:r>
        <w:rPr>
          <w:lang w:val="en-GB"/>
        </w:rPr>
        <w:t xml:space="preserve"> above)</w:t>
      </w:r>
      <w:r w:rsidRPr="00E725AB">
        <w:rPr>
          <w:lang w:val="en-GB"/>
        </w:rPr>
        <w:t xml:space="preserve">. </w:t>
      </w:r>
    </w:p>
  </w:footnote>
  <w:footnote w:id="122">
    <w:p w14:paraId="319895D1" w14:textId="16F54623"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Interview with LYASST3 (note 11</w:t>
      </w:r>
      <w:r w:rsidR="00F22151">
        <w:rPr>
          <w:lang w:val="en-GB"/>
        </w:rPr>
        <w:t>5</w:t>
      </w:r>
      <w:r>
        <w:rPr>
          <w:lang w:val="en-GB"/>
        </w:rPr>
        <w:t xml:space="preserve"> above)</w:t>
      </w:r>
      <w:r w:rsidRPr="00E725AB">
        <w:rPr>
          <w:lang w:val="en-GB"/>
        </w:rPr>
        <w:t xml:space="preserve">. </w:t>
      </w:r>
    </w:p>
  </w:footnote>
  <w:footnote w:id="123">
    <w:p w14:paraId="45B84951" w14:textId="72E90563"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Interview with LYASST1 (note 11</w:t>
      </w:r>
      <w:r w:rsidR="00F22151">
        <w:rPr>
          <w:lang w:val="en-GB"/>
        </w:rPr>
        <w:t>6</w:t>
      </w:r>
      <w:r>
        <w:rPr>
          <w:lang w:val="en-GB"/>
        </w:rPr>
        <w:t xml:space="preserve"> above)</w:t>
      </w:r>
      <w:r w:rsidRPr="00E725AB">
        <w:rPr>
          <w:lang w:val="en-GB"/>
        </w:rPr>
        <w:t xml:space="preserve">. </w:t>
      </w:r>
    </w:p>
  </w:footnote>
  <w:footnote w:id="124">
    <w:p w14:paraId="49E192D3" w14:textId="19F7F86B"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Assistant </w:t>
      </w:r>
      <w:r w:rsidR="00282A50">
        <w:rPr>
          <w:lang w:val="en-GB"/>
        </w:rPr>
        <w:t>No</w:t>
      </w:r>
      <w:r>
        <w:rPr>
          <w:lang w:val="en-GB"/>
        </w:rPr>
        <w:t> </w:t>
      </w:r>
      <w:r w:rsidRPr="00E725AB">
        <w:rPr>
          <w:lang w:val="en-GB"/>
        </w:rPr>
        <w:t>5 (</w:t>
      </w:r>
      <w:r>
        <w:rPr>
          <w:lang w:val="en-GB"/>
        </w:rPr>
        <w:t>‘</w:t>
      </w:r>
      <w:r w:rsidRPr="00E725AB">
        <w:rPr>
          <w:lang w:val="en-GB"/>
        </w:rPr>
        <w:t>LYASST5</w:t>
      </w:r>
      <w:r>
        <w:rPr>
          <w:lang w:val="en-GB"/>
        </w:rPr>
        <w:t>’</w:t>
      </w:r>
      <w:r w:rsidRPr="00E725AB">
        <w:rPr>
          <w:lang w:val="en-GB"/>
        </w:rPr>
        <w:t>) in Taipei, Taiwan (</w:t>
      </w:r>
      <w:r>
        <w:rPr>
          <w:lang w:val="en-GB"/>
        </w:rPr>
        <w:t>12 </w:t>
      </w:r>
      <w:r w:rsidRPr="00E725AB">
        <w:rPr>
          <w:lang w:val="en-GB"/>
        </w:rPr>
        <w:t xml:space="preserve">November 2013). </w:t>
      </w:r>
    </w:p>
  </w:footnote>
  <w:footnote w:id="125">
    <w:p w14:paraId="6DCA7FCB" w14:textId="12B3CD22"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Interview with LYASST3 (note 11</w:t>
      </w:r>
      <w:r w:rsidR="00F22151">
        <w:rPr>
          <w:lang w:val="en-GB"/>
        </w:rPr>
        <w:t>5</w:t>
      </w:r>
      <w:r>
        <w:rPr>
          <w:lang w:val="en-GB"/>
        </w:rPr>
        <w:t xml:space="preserve"> above)</w:t>
      </w:r>
      <w:r w:rsidRPr="00E725AB">
        <w:rPr>
          <w:lang w:val="en-GB"/>
        </w:rPr>
        <w:t xml:space="preserve">. </w:t>
      </w:r>
    </w:p>
  </w:footnote>
  <w:footnote w:id="126">
    <w:p w14:paraId="0C95721B" w14:textId="72A99D1F"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Member </w:t>
      </w:r>
      <w:r w:rsidR="00282A50">
        <w:rPr>
          <w:lang w:val="en-GB"/>
        </w:rPr>
        <w:t>No</w:t>
      </w:r>
      <w:r>
        <w:rPr>
          <w:lang w:val="en-GB"/>
        </w:rPr>
        <w:t> </w:t>
      </w:r>
      <w:r w:rsidRPr="00E725AB">
        <w:rPr>
          <w:lang w:val="en-GB"/>
        </w:rPr>
        <w:t>7 (</w:t>
      </w:r>
      <w:r>
        <w:rPr>
          <w:lang w:val="en-GB"/>
        </w:rPr>
        <w:t>‘</w:t>
      </w:r>
      <w:r w:rsidRPr="00E725AB">
        <w:rPr>
          <w:lang w:val="en-GB"/>
        </w:rPr>
        <w:t>LYM7</w:t>
      </w:r>
      <w:r>
        <w:rPr>
          <w:lang w:val="en-GB"/>
        </w:rPr>
        <w:t>’</w:t>
      </w:r>
      <w:r w:rsidRPr="00E725AB">
        <w:rPr>
          <w:lang w:val="en-GB"/>
        </w:rPr>
        <w:t>) in Taipei, Taiwan (</w:t>
      </w:r>
      <w:r>
        <w:rPr>
          <w:lang w:val="en-GB"/>
        </w:rPr>
        <w:t xml:space="preserve">14 </w:t>
      </w:r>
      <w:r w:rsidR="00095871">
        <w:rPr>
          <w:lang w:val="en-GB"/>
        </w:rPr>
        <w:t>and</w:t>
      </w:r>
      <w:r>
        <w:rPr>
          <w:lang w:val="en-GB"/>
        </w:rPr>
        <w:t xml:space="preserve"> 26</w:t>
      </w:r>
      <w:r w:rsidRPr="00E725AB">
        <w:rPr>
          <w:lang w:val="en-GB"/>
        </w:rPr>
        <w:t xml:space="preserve"> November 2013). </w:t>
      </w:r>
    </w:p>
  </w:footnote>
  <w:footnote w:id="127">
    <w:p w14:paraId="5C4723E3" w14:textId="3B5FC45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Interview with Legislative Yuan Member </w:t>
      </w:r>
      <w:r w:rsidR="00282A50">
        <w:rPr>
          <w:lang w:val="en-GB"/>
        </w:rPr>
        <w:t>No</w:t>
      </w:r>
      <w:r>
        <w:rPr>
          <w:lang w:val="en-GB"/>
        </w:rPr>
        <w:t> </w:t>
      </w:r>
      <w:r w:rsidRPr="00E725AB">
        <w:rPr>
          <w:lang w:val="en-GB"/>
        </w:rPr>
        <w:t>4 (</w:t>
      </w:r>
      <w:r>
        <w:rPr>
          <w:lang w:val="en-GB"/>
        </w:rPr>
        <w:t>‘</w:t>
      </w:r>
      <w:r w:rsidRPr="00E725AB">
        <w:rPr>
          <w:lang w:val="en-GB"/>
        </w:rPr>
        <w:t>LYM4</w:t>
      </w:r>
      <w:r>
        <w:rPr>
          <w:lang w:val="en-GB"/>
        </w:rPr>
        <w:t>’</w:t>
      </w:r>
      <w:r w:rsidRPr="00E725AB">
        <w:rPr>
          <w:lang w:val="en-GB"/>
        </w:rPr>
        <w:t>) in Taipei, Taiwan (</w:t>
      </w:r>
      <w:r>
        <w:rPr>
          <w:lang w:val="en-GB"/>
        </w:rPr>
        <w:t>18 </w:t>
      </w:r>
      <w:r w:rsidRPr="00E725AB">
        <w:rPr>
          <w:lang w:val="en-GB"/>
        </w:rPr>
        <w:t xml:space="preserve">July 2013). </w:t>
      </w:r>
    </w:p>
  </w:footnote>
  <w:footnote w:id="128">
    <w:p w14:paraId="3038B081"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F868C4">
        <w:rPr>
          <w:lang w:val="en-GB"/>
        </w:rPr>
        <w:t>See</w:t>
      </w:r>
      <w:r w:rsidRPr="00E725AB">
        <w:rPr>
          <w:lang w:val="en-GB"/>
        </w:rPr>
        <w:t xml:space="preserve"> The Scottish Government, Office of the Scottish Parliamentary Counsel, </w:t>
      </w:r>
      <w:r w:rsidRPr="00F868C4">
        <w:rPr>
          <w:lang w:val="en-GB"/>
        </w:rPr>
        <w:t>available at</w:t>
      </w:r>
      <w:r w:rsidRPr="00E725AB">
        <w:rPr>
          <w:lang w:val="en-GB"/>
        </w:rPr>
        <w:t xml:space="preserve"> </w:t>
      </w:r>
      <w:hyperlink r:id="rId4" w:history="1">
        <w:r w:rsidRPr="00E725AB">
          <w:rPr>
            <w:rStyle w:val="Hyperlink"/>
            <w:color w:val="auto"/>
            <w:u w:val="none"/>
            <w:lang w:val="en-GB"/>
          </w:rPr>
          <w:t>http://www.scotland.gov.uk/About/People/strategic-board/Finance/OSPC</w:t>
        </w:r>
      </w:hyperlink>
      <w:r w:rsidRPr="00E725AB">
        <w:rPr>
          <w:lang w:val="en-GB"/>
        </w:rPr>
        <w:t xml:space="preserve">. </w:t>
      </w:r>
    </w:p>
  </w:footnote>
  <w:footnote w:id="129">
    <w:p w14:paraId="09D81411" w14:textId="75607F71"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HK Law Drafting Division, Department of Justice, </w:t>
      </w:r>
      <w:r w:rsidRPr="00E725AB">
        <w:rPr>
          <w:i/>
          <w:lang w:val="en-GB"/>
        </w:rPr>
        <w:t>How Legislation is Made in Hong Kong</w:t>
      </w:r>
      <w:r w:rsidRPr="00E725AB">
        <w:rPr>
          <w:lang w:val="en-GB"/>
        </w:rPr>
        <w:t xml:space="preserve">, </w:t>
      </w:r>
      <w:r w:rsidRPr="00F868C4">
        <w:rPr>
          <w:lang w:val="en-GB"/>
        </w:rPr>
        <w:t>available at</w:t>
      </w:r>
      <w:r w:rsidRPr="00E725AB">
        <w:rPr>
          <w:lang w:val="en-GB"/>
        </w:rPr>
        <w:t xml:space="preserve"> http://www.doj.gov.hk/eng/public/pdf/2012/Drafter_booke.PDF</w:t>
      </w:r>
      <w:r>
        <w:rPr>
          <w:lang w:val="en-GB"/>
        </w:rPr>
        <w:t>.</w:t>
      </w:r>
    </w:p>
  </w:footnote>
  <w:footnote w:id="130">
    <w:p w14:paraId="4186836D" w14:textId="68D2954B"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The Legislative Research Bureau (</w:t>
      </w:r>
      <w:r>
        <w:rPr>
          <w:lang w:val="en-GB"/>
        </w:rPr>
        <w:t>‘</w:t>
      </w:r>
      <w:r w:rsidRPr="00E725AB">
        <w:rPr>
          <w:lang w:val="en-GB"/>
        </w:rPr>
        <w:t>LRB</w:t>
      </w:r>
      <w:r>
        <w:rPr>
          <w:lang w:val="en-GB"/>
        </w:rPr>
        <w:t>’</w:t>
      </w:r>
      <w:r w:rsidRPr="00E725AB">
        <w:rPr>
          <w:lang w:val="en-GB"/>
        </w:rPr>
        <w:t xml:space="preserve">) does </w:t>
      </w:r>
      <w:r>
        <w:rPr>
          <w:lang w:val="en-GB"/>
        </w:rPr>
        <w:t>good</w:t>
      </w:r>
      <w:r w:rsidRPr="00E725AB">
        <w:rPr>
          <w:lang w:val="en-GB"/>
        </w:rPr>
        <w:t xml:space="preserve"> work, but they are not a legislative drafting office. They are primarily a research office that reports on the effects or potential effects of le</w:t>
      </w:r>
      <w:r>
        <w:rPr>
          <w:lang w:val="en-GB"/>
        </w:rPr>
        <w:t>gislation</w:t>
      </w:r>
      <w:r w:rsidRPr="00E725AB">
        <w:rPr>
          <w:lang w:val="en-GB"/>
        </w:rPr>
        <w:t xml:space="preserve">. Work from the LRB can be found </w:t>
      </w:r>
      <w:r>
        <w:rPr>
          <w:lang w:val="en-GB"/>
        </w:rPr>
        <w:t>at</w:t>
      </w:r>
      <w:r w:rsidRPr="00E725AB">
        <w:rPr>
          <w:lang w:val="en-GB"/>
        </w:rPr>
        <w:t xml:space="preserve"> </w:t>
      </w:r>
      <w:hyperlink r:id="rId5" w:history="1">
        <w:r w:rsidRPr="00E725AB">
          <w:rPr>
            <w:rStyle w:val="Hyperlink"/>
            <w:color w:val="auto"/>
            <w:u w:val="none"/>
            <w:lang w:val="en-GB"/>
          </w:rPr>
          <w:t>http://www.ly.gov.tw/05_orglaw/search/lawSearch.action</w:t>
        </w:r>
      </w:hyperlink>
      <w:r w:rsidRPr="00E725AB">
        <w:rPr>
          <w:lang w:val="en-GB"/>
        </w:rPr>
        <w:t xml:space="preserve">. </w:t>
      </w:r>
    </w:p>
  </w:footnote>
  <w:footnote w:id="131">
    <w:p w14:paraId="606CCFBA" w14:textId="71B63AC8"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For a description of how the Westminster Parliamentary Counsel operates, </w:t>
      </w:r>
      <w:r w:rsidRPr="00F868C4">
        <w:rPr>
          <w:lang w:val="en-GB"/>
        </w:rPr>
        <w:t>see</w:t>
      </w:r>
      <w:r w:rsidRPr="005E4F88">
        <w:rPr>
          <w:lang w:val="en-GB"/>
        </w:rPr>
        <w:t xml:space="preserve"> </w:t>
      </w:r>
      <w:r>
        <w:rPr>
          <w:lang w:val="en-GB"/>
        </w:rPr>
        <w:t xml:space="preserve">D Greenberg, </w:t>
      </w:r>
      <w:proofErr w:type="spellStart"/>
      <w:r w:rsidRPr="00E843F8">
        <w:rPr>
          <w:i/>
          <w:lang w:val="en-GB"/>
        </w:rPr>
        <w:t>Craies</w:t>
      </w:r>
      <w:proofErr w:type="spellEnd"/>
      <w:r w:rsidRPr="00E843F8">
        <w:rPr>
          <w:i/>
          <w:lang w:val="en-GB"/>
        </w:rPr>
        <w:t xml:space="preserve"> on Legislation</w:t>
      </w:r>
      <w:r>
        <w:rPr>
          <w:lang w:val="en-GB"/>
        </w:rPr>
        <w:t xml:space="preserve"> (Sweet </w:t>
      </w:r>
      <w:r w:rsidR="00095871">
        <w:rPr>
          <w:lang w:val="en-GB"/>
        </w:rPr>
        <w:t>and</w:t>
      </w:r>
      <w:r>
        <w:rPr>
          <w:lang w:val="en-GB"/>
        </w:rPr>
        <w:t xml:space="preserve"> Maxwell, London 2012)</w:t>
      </w:r>
      <w:r w:rsidRPr="00E725AB">
        <w:rPr>
          <w:lang w:val="en-GB"/>
        </w:rPr>
        <w:t xml:space="preserve">, 5.1.1, </w:t>
      </w:r>
      <w:r>
        <w:rPr>
          <w:lang w:val="en-GB"/>
        </w:rPr>
        <w:t>pp 225–257</w:t>
      </w:r>
      <w:r w:rsidRPr="00E725AB">
        <w:rPr>
          <w:lang w:val="en-GB"/>
        </w:rPr>
        <w:t xml:space="preserve">. </w:t>
      </w:r>
    </w:p>
  </w:footnote>
  <w:footnote w:id="132">
    <w:p w14:paraId="4969F853" w14:textId="3294F1FC"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E843F8">
        <w:rPr>
          <w:lang w:val="en-GB"/>
        </w:rPr>
        <w:t xml:space="preserve">Daniel Greenberg, </w:t>
      </w:r>
      <w:r w:rsidRPr="00E843F8">
        <w:rPr>
          <w:i/>
          <w:lang w:val="en-GB"/>
        </w:rPr>
        <w:t>Laying Down The Law: A Discussion of the People, Processes and Problems that Shape Acts of Parliament</w:t>
      </w:r>
      <w:r>
        <w:rPr>
          <w:lang w:val="en-GB"/>
        </w:rPr>
        <w:t xml:space="preserve"> (Sweet </w:t>
      </w:r>
      <w:r w:rsidR="00095871">
        <w:rPr>
          <w:lang w:val="en-GB"/>
        </w:rPr>
        <w:t>and</w:t>
      </w:r>
      <w:r>
        <w:rPr>
          <w:lang w:val="en-GB"/>
        </w:rPr>
        <w:t xml:space="preserve"> Maxwell, London, 2011), pp 19–33; s</w:t>
      </w:r>
      <w:r w:rsidRPr="00F868C4">
        <w:rPr>
          <w:lang w:val="en-GB"/>
        </w:rPr>
        <w:t>ee</w:t>
      </w:r>
      <w:r w:rsidRPr="00863EF9">
        <w:rPr>
          <w:lang w:val="en-GB"/>
        </w:rPr>
        <w:t xml:space="preserve"> </w:t>
      </w:r>
      <w:r w:rsidRPr="00F868C4">
        <w:rPr>
          <w:lang w:val="en-GB"/>
        </w:rPr>
        <w:t>also</w:t>
      </w:r>
      <w:r>
        <w:rPr>
          <w:lang w:val="en-GB"/>
        </w:rPr>
        <w:t xml:space="preserve"> R Hazell, ‘Who is the Guardian of Legal Values in the Legislative Process: Parliament </w:t>
      </w:r>
      <w:r w:rsidRPr="0049374D">
        <w:rPr>
          <w:lang w:val="en-GB"/>
        </w:rPr>
        <w:t>or</w:t>
      </w:r>
      <w:r>
        <w:rPr>
          <w:lang w:val="en-GB"/>
        </w:rPr>
        <w:t xml:space="preserve"> the Executive?’ (2004) </w:t>
      </w:r>
      <w:r w:rsidRPr="00BF6C77">
        <w:rPr>
          <w:i/>
          <w:lang w:val="en-GB"/>
        </w:rPr>
        <w:t>Public Law</w:t>
      </w:r>
      <w:r>
        <w:rPr>
          <w:lang w:val="en-GB"/>
        </w:rPr>
        <w:t xml:space="preserve"> 495 at 495: ‘in the absence of a higher law by which a sovereign Parliament in bound, the concept of legal policy as interpreted by Parliamentary Counsel is as close as our system has traditionally come to a check on the ‘constitutionality’ of legislation’.</w:t>
      </w:r>
    </w:p>
  </w:footnote>
  <w:footnote w:id="133">
    <w:p w14:paraId="01685542" w14:textId="77C296A4"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t>
      </w:r>
      <w:r>
        <w:rPr>
          <w:lang w:val="en-GB"/>
        </w:rPr>
        <w:t xml:space="preserve">BC Jones, ‘Processes, Standards and Politics: Drafting Short Titles in the Westminster Parliament, Scottish Parliament and U.S. Congress’ (2013) 25(1) </w:t>
      </w:r>
      <w:r w:rsidRPr="00B42786">
        <w:rPr>
          <w:i/>
          <w:lang w:val="en-GB"/>
        </w:rPr>
        <w:t>Florida Journal of International Law</w:t>
      </w:r>
      <w:r>
        <w:rPr>
          <w:lang w:val="en-GB"/>
        </w:rPr>
        <w:t xml:space="preserve"> 57.</w:t>
      </w:r>
    </w:p>
  </w:footnote>
  <w:footnote w:id="134">
    <w:p w14:paraId="1A9B74EF" w14:textId="7891B15A" w:rsidR="00F55FAE" w:rsidRDefault="00F55FAE">
      <w:pPr>
        <w:pStyle w:val="FootnoteText"/>
      </w:pPr>
      <w:r>
        <w:rPr>
          <w:rStyle w:val="FootnoteReference"/>
        </w:rPr>
        <w:footnoteRef/>
      </w:r>
      <w:r>
        <w:t xml:space="preserve"> Norton writes that the JCHR has made Parliament more sensitive to human rights and has also influenced judicial decision-making</w:t>
      </w:r>
      <w:r w:rsidR="00972F7B">
        <w:t xml:space="preserve">: </w:t>
      </w:r>
      <w:r>
        <w:t xml:space="preserve">Norton (note </w:t>
      </w:r>
      <w:r w:rsidR="00271576">
        <w:t>29</w:t>
      </w:r>
      <w:r>
        <w:t xml:space="preserve"> above), pp 158</w:t>
      </w:r>
      <w:r w:rsidR="00972F7B">
        <w:t xml:space="preserve"> and </w:t>
      </w:r>
      <w:r>
        <w:t>162).</w:t>
      </w:r>
    </w:p>
  </w:footnote>
  <w:footnote w:id="135">
    <w:p w14:paraId="58E1B1E4" w14:textId="77777777"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There is currently an ad hoc Cons</w:t>
      </w:r>
      <w:r>
        <w:rPr>
          <w:lang w:val="en-GB"/>
        </w:rPr>
        <w:t xml:space="preserve">titutional Amendment Committee </w:t>
      </w:r>
      <w:r w:rsidRPr="00E725AB">
        <w:rPr>
          <w:lang w:val="en-GB"/>
        </w:rPr>
        <w:t xml:space="preserve">that only convenes when a constitutional amendment is put forward. </w:t>
      </w:r>
    </w:p>
  </w:footnote>
  <w:footnote w:id="136">
    <w:p w14:paraId="65725E97" w14:textId="2117481B"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Constitutional Interpretation Procedure Act, </w:t>
      </w:r>
      <w:r>
        <w:rPr>
          <w:lang w:val="en-GB"/>
        </w:rPr>
        <w:t>a</w:t>
      </w:r>
      <w:r w:rsidRPr="00E725AB">
        <w:rPr>
          <w:lang w:val="en-GB"/>
        </w:rPr>
        <w:t>rt</w:t>
      </w:r>
      <w:r>
        <w:rPr>
          <w:lang w:val="en-GB"/>
        </w:rPr>
        <w:t> </w:t>
      </w:r>
      <w:r w:rsidRPr="00E725AB">
        <w:rPr>
          <w:lang w:val="en-GB"/>
        </w:rPr>
        <w:t>5(iii).</w:t>
      </w:r>
    </w:p>
  </w:footnote>
  <w:footnote w:id="137">
    <w:p w14:paraId="6FA3B872" w14:textId="2B025168" w:rsidR="00F55FAE" w:rsidRPr="00BA336F" w:rsidRDefault="00F55FAE">
      <w:pPr>
        <w:pStyle w:val="FootnoteText"/>
        <w:rPr>
          <w:lang w:val="en-GB"/>
        </w:rPr>
      </w:pPr>
      <w:r w:rsidRPr="00BA336F">
        <w:rPr>
          <w:rStyle w:val="FootnoteReference"/>
          <w:lang w:val="en-GB"/>
        </w:rPr>
        <w:footnoteRef/>
      </w:r>
      <w:r w:rsidRPr="00BA336F">
        <w:rPr>
          <w:lang w:val="en-GB"/>
        </w:rPr>
        <w:t xml:space="preserve"> Norton</w:t>
      </w:r>
      <w:r>
        <w:rPr>
          <w:lang w:val="en-GB"/>
        </w:rPr>
        <w:t>’</w:t>
      </w:r>
      <w:r w:rsidRPr="00BA336F">
        <w:rPr>
          <w:lang w:val="en-GB"/>
        </w:rPr>
        <w:t>s 2013 article demonstrates that s</w:t>
      </w:r>
      <w:r>
        <w:rPr>
          <w:lang w:val="en-GB"/>
        </w:rPr>
        <w:t>uch committees can be effective</w:t>
      </w:r>
      <w:r w:rsidRPr="00BA336F">
        <w:rPr>
          <w:lang w:val="en-GB"/>
        </w:rPr>
        <w:t xml:space="preserve"> if they actively </w:t>
      </w:r>
      <w:r>
        <w:rPr>
          <w:lang w:val="en-GB"/>
        </w:rPr>
        <w:t>scrutinis</w:t>
      </w:r>
      <w:r w:rsidRPr="00BA336F">
        <w:rPr>
          <w:lang w:val="en-GB"/>
        </w:rPr>
        <w:t xml:space="preserve">e </w:t>
      </w:r>
      <w:r>
        <w:rPr>
          <w:lang w:val="en-GB"/>
        </w:rPr>
        <w:t xml:space="preserve">enough legislation and earn the respect of their colleagues, the courts and the government: Norton (note </w:t>
      </w:r>
      <w:r w:rsidR="00271576">
        <w:rPr>
          <w:lang w:val="en-GB"/>
        </w:rPr>
        <w:t>29</w:t>
      </w:r>
      <w:r>
        <w:rPr>
          <w:lang w:val="en-GB"/>
        </w:rPr>
        <w:t xml:space="preserve"> above). </w:t>
      </w:r>
    </w:p>
  </w:footnote>
  <w:footnote w:id="138">
    <w:p w14:paraId="76E7D556" w14:textId="4E784D06" w:rsidR="00F55FAE" w:rsidRDefault="00F55FAE" w:rsidP="00405762">
      <w:pPr>
        <w:pStyle w:val="FootnoteText"/>
      </w:pPr>
      <w:r>
        <w:rPr>
          <w:rStyle w:val="FootnoteReference"/>
        </w:rPr>
        <w:footnoteRef/>
      </w:r>
      <w:r>
        <w:t xml:space="preserve"> </w:t>
      </w:r>
      <w:r w:rsidRPr="00912848">
        <w:t>See</w:t>
      </w:r>
      <w:r>
        <w:t xml:space="preserve"> Le Sueur and </w:t>
      </w:r>
      <w:proofErr w:type="spellStart"/>
      <w:r>
        <w:t>Caird</w:t>
      </w:r>
      <w:proofErr w:type="spellEnd"/>
      <w:r>
        <w:t xml:space="preserve"> (note </w:t>
      </w:r>
      <w:r w:rsidR="000D0A90">
        <w:t>28</w:t>
      </w:r>
      <w:r>
        <w:t xml:space="preserve"> above), speaking about the evolution of the Lords Constitution Committee.</w:t>
      </w:r>
    </w:p>
  </w:footnote>
  <w:footnote w:id="139">
    <w:p w14:paraId="36F0420C" w14:textId="2CF79AF8" w:rsidR="00F55FAE" w:rsidRPr="00966CA8" w:rsidRDefault="00F55FAE" w:rsidP="00276706">
      <w:pPr>
        <w:pStyle w:val="FootnoteText"/>
        <w:rPr>
          <w:lang w:val="en-GB"/>
        </w:rPr>
      </w:pPr>
      <w:r>
        <w:rPr>
          <w:rStyle w:val="FootnoteReference"/>
        </w:rPr>
        <w:footnoteRef/>
      </w:r>
      <w:r>
        <w:t xml:space="preserve"> </w:t>
      </w:r>
      <w:r>
        <w:rPr>
          <w:lang w:val="en-GB"/>
        </w:rPr>
        <w:t>Hazell (note 13</w:t>
      </w:r>
      <w:r w:rsidR="00716B55">
        <w:rPr>
          <w:lang w:val="en-GB"/>
        </w:rPr>
        <w:t>1</w:t>
      </w:r>
      <w:r>
        <w:rPr>
          <w:lang w:val="en-GB"/>
        </w:rPr>
        <w:t xml:space="preserve"> above)</w:t>
      </w:r>
      <w:r>
        <w:t>.</w:t>
      </w:r>
    </w:p>
  </w:footnote>
  <w:footnote w:id="140">
    <w:p w14:paraId="3A229F4D" w14:textId="77777777" w:rsidR="00F55FAE" w:rsidRDefault="00F55FAE" w:rsidP="00750E0E">
      <w:pPr>
        <w:pStyle w:val="FootnoteText"/>
        <w:jc w:val="both"/>
      </w:pPr>
      <w:r>
        <w:rPr>
          <w:rStyle w:val="FootnoteReference"/>
        </w:rPr>
        <w:footnoteRef/>
      </w:r>
      <w:r>
        <w:t xml:space="preserve"> </w:t>
      </w:r>
      <w:r w:rsidRPr="00E725AB">
        <w:rPr>
          <w:lang w:val="en-GB"/>
        </w:rPr>
        <w:t>Justices are nominated by the President and confirmed by the Legislative Yuan.</w:t>
      </w:r>
    </w:p>
  </w:footnote>
  <w:footnote w:id="141">
    <w:p w14:paraId="5D4617C0" w14:textId="1D190639" w:rsidR="00F55FAE" w:rsidRPr="00E725AB" w:rsidRDefault="00F55FAE" w:rsidP="003E0544">
      <w:pPr>
        <w:pStyle w:val="FootnoteText"/>
        <w:jc w:val="both"/>
        <w:rPr>
          <w:lang w:val="en-GB"/>
        </w:rPr>
      </w:pPr>
      <w:r w:rsidRPr="00E725AB">
        <w:rPr>
          <w:rStyle w:val="FootnoteReference"/>
          <w:lang w:val="en-GB"/>
        </w:rPr>
        <w:footnoteRef/>
      </w:r>
      <w:r w:rsidRPr="00E725AB">
        <w:rPr>
          <w:lang w:val="en-GB"/>
        </w:rPr>
        <w:t xml:space="preserve"> </w:t>
      </w:r>
      <w:r>
        <w:rPr>
          <w:lang w:val="en-GB"/>
        </w:rPr>
        <w:t xml:space="preserve">(Pre 4 February 2015) </w:t>
      </w:r>
      <w:r w:rsidRPr="00E725AB">
        <w:rPr>
          <w:lang w:val="en-GB"/>
        </w:rPr>
        <w:t>Organic Act of the Ju</w:t>
      </w:r>
      <w:r>
        <w:rPr>
          <w:lang w:val="en-GB"/>
        </w:rPr>
        <w:t>dicial Yuan, art 4, para 1</w:t>
      </w:r>
      <w:proofErr w:type="gramStart"/>
      <w:r>
        <w:rPr>
          <w:lang w:val="en-GB"/>
        </w:rPr>
        <w:t>:  ‘</w:t>
      </w:r>
      <w:proofErr w:type="gramEnd"/>
      <w:r>
        <w:rPr>
          <w:lang w:val="en-GB"/>
        </w:rPr>
        <w:t xml:space="preserve">… </w:t>
      </w:r>
      <w:r w:rsidRPr="003E0544">
        <w:rPr>
          <w:lang w:val="en-GB"/>
        </w:rPr>
        <w:t>(2). Have served as a Member of the Legislative Yuan for more than nine years with</w:t>
      </w:r>
      <w:r>
        <w:rPr>
          <w:lang w:val="en-GB"/>
        </w:rPr>
        <w:t xml:space="preserve"> distinguished contributions …’.</w:t>
      </w:r>
    </w:p>
  </w:footnote>
  <w:footnote w:id="142">
    <w:p w14:paraId="650A053A" w14:textId="0B3C17EA" w:rsidR="00F55FAE" w:rsidRPr="00E725AB" w:rsidRDefault="00F55FAE" w:rsidP="00D3256E">
      <w:pPr>
        <w:pStyle w:val="FootnoteText"/>
        <w:jc w:val="both"/>
        <w:rPr>
          <w:lang w:val="en-GB"/>
        </w:rPr>
      </w:pPr>
      <w:r w:rsidRPr="00E725AB">
        <w:rPr>
          <w:rStyle w:val="FootnoteReference"/>
          <w:lang w:val="en-GB"/>
        </w:rPr>
        <w:footnoteRef/>
      </w:r>
      <w:r w:rsidRPr="00E725AB">
        <w:rPr>
          <w:lang w:val="en-GB"/>
        </w:rPr>
        <w:t xml:space="preserve"> </w:t>
      </w:r>
      <w:r w:rsidRPr="00D3256E">
        <w:rPr>
          <w:lang w:val="en-GB"/>
        </w:rPr>
        <w:t xml:space="preserve">Historically, only one candidate ascended to the bench based on </w:t>
      </w:r>
      <w:r w:rsidRPr="00EC37B8">
        <w:rPr>
          <w:lang w:val="en-GB"/>
        </w:rPr>
        <w:t>the section</w:t>
      </w:r>
      <w:r w:rsidRPr="00D3256E">
        <w:rPr>
          <w:lang w:val="en-GB"/>
        </w:rPr>
        <w:t xml:space="preserve"> two criteria, and that appointment took place nearly </w:t>
      </w:r>
      <w:r>
        <w:rPr>
          <w:lang w:val="en-GB"/>
        </w:rPr>
        <w:t>30</w:t>
      </w:r>
      <w:r w:rsidRPr="00D3256E">
        <w:rPr>
          <w:lang w:val="en-GB"/>
        </w:rPr>
        <w:t xml:space="preserve"> years ago (in 1985)</w:t>
      </w:r>
      <w:r>
        <w:rPr>
          <w:lang w:val="en-GB"/>
        </w:rPr>
        <w:t xml:space="preserve">: Justice </w:t>
      </w:r>
      <w:r w:rsidRPr="00E725AB">
        <w:rPr>
          <w:lang w:val="en-GB"/>
        </w:rPr>
        <w:t xml:space="preserve">Lee </w:t>
      </w:r>
      <w:proofErr w:type="spellStart"/>
      <w:r w:rsidRPr="00E725AB">
        <w:rPr>
          <w:lang w:val="en-GB"/>
        </w:rPr>
        <w:t>Chih</w:t>
      </w:r>
      <w:proofErr w:type="spellEnd"/>
      <w:r w:rsidRPr="00E725AB">
        <w:rPr>
          <w:lang w:val="en-GB"/>
        </w:rPr>
        <w:t>-Peng</w:t>
      </w:r>
      <w:r w:rsidR="00972F7B">
        <w:rPr>
          <w:lang w:val="en-GB"/>
        </w:rPr>
        <w:t xml:space="preserve"> (</w:t>
      </w:r>
      <w:r w:rsidRPr="00E725AB">
        <w:rPr>
          <w:rFonts w:ascii="PMingLiU" w:eastAsia="PMingLiU" w:hAnsi="PMingLiU" w:cs="PMingLiU"/>
          <w:lang w:val="en-GB"/>
        </w:rPr>
        <w:t>李志鵬</w:t>
      </w:r>
      <w:r w:rsidR="00972F7B">
        <w:rPr>
          <w:rFonts w:ascii="PMingLiU" w:eastAsia="PMingLiU" w:hAnsi="PMingLiU" w:cs="PMingLiU" w:hint="eastAsia"/>
          <w:lang w:val="en-GB"/>
        </w:rPr>
        <w:t>)</w:t>
      </w:r>
      <w:r w:rsidRPr="00E725AB">
        <w:rPr>
          <w:lang w:val="en-GB"/>
        </w:rPr>
        <w:t xml:space="preserve"> (1985</w:t>
      </w:r>
      <w:r>
        <w:rPr>
          <w:lang w:val="en-GB"/>
        </w:rPr>
        <w:t>–</w:t>
      </w:r>
      <w:r w:rsidRPr="00E725AB">
        <w:rPr>
          <w:lang w:val="en-GB"/>
        </w:rPr>
        <w:t>1994)</w:t>
      </w:r>
      <w:r>
        <w:rPr>
          <w:lang w:val="en-GB"/>
        </w:rPr>
        <w:t xml:space="preserve">. </w:t>
      </w:r>
      <w:r w:rsidRPr="00E725AB">
        <w:rPr>
          <w:lang w:val="en-GB"/>
        </w:rPr>
        <w:t xml:space="preserve">For this I am indebted to </w:t>
      </w:r>
      <w:proofErr w:type="spellStart"/>
      <w:r w:rsidRPr="00E725AB">
        <w:rPr>
          <w:lang w:val="en-GB"/>
        </w:rPr>
        <w:t>Institutum</w:t>
      </w:r>
      <w:proofErr w:type="spellEnd"/>
      <w:r w:rsidRPr="00E725AB">
        <w:rPr>
          <w:lang w:val="en-GB"/>
        </w:rPr>
        <w:t xml:space="preserve"> </w:t>
      </w:r>
      <w:proofErr w:type="spellStart"/>
      <w:r w:rsidRPr="00E725AB">
        <w:rPr>
          <w:lang w:val="en-GB"/>
        </w:rPr>
        <w:t>Iurisprudentiae</w:t>
      </w:r>
      <w:proofErr w:type="spellEnd"/>
      <w:r w:rsidRPr="00E725AB">
        <w:rPr>
          <w:lang w:val="en-GB"/>
        </w:rPr>
        <w:t xml:space="preserve">, Academia </w:t>
      </w:r>
      <w:proofErr w:type="spellStart"/>
      <w:r w:rsidRPr="00E725AB">
        <w:rPr>
          <w:lang w:val="en-GB"/>
        </w:rPr>
        <w:t>Sinica</w:t>
      </w:r>
      <w:proofErr w:type="spellEnd"/>
      <w:r w:rsidRPr="00E725AB">
        <w:rPr>
          <w:lang w:val="en-GB"/>
        </w:rPr>
        <w:t xml:space="preserve"> Assistant Professor </w:t>
      </w:r>
      <w:proofErr w:type="spellStart"/>
      <w:r w:rsidRPr="00E725AB">
        <w:rPr>
          <w:lang w:val="en-GB"/>
        </w:rPr>
        <w:t>Tzung-Mou</w:t>
      </w:r>
      <w:proofErr w:type="spellEnd"/>
      <w:r w:rsidRPr="00E725AB">
        <w:rPr>
          <w:lang w:val="en-GB"/>
        </w:rPr>
        <w:t xml:space="preserve"> Wu. </w:t>
      </w:r>
      <w:r w:rsidRPr="00946D10">
        <w:rPr>
          <w:lang w:val="en-GB"/>
        </w:rPr>
        <w:t>See</w:t>
      </w:r>
      <w:r w:rsidRPr="00B578D2">
        <w:rPr>
          <w:lang w:val="en-GB"/>
        </w:rPr>
        <w:t xml:space="preserve"> </w:t>
      </w:r>
      <w:r w:rsidRPr="00946D10">
        <w:rPr>
          <w:lang w:val="en-GB"/>
        </w:rPr>
        <w:t>also</w:t>
      </w:r>
      <w:r>
        <w:rPr>
          <w:lang w:val="en-GB"/>
        </w:rPr>
        <w:t xml:space="preserve"> the IIAS TCC Database (note 10 above). </w:t>
      </w:r>
    </w:p>
  </w:footnote>
  <w:footnote w:id="143">
    <w:p w14:paraId="4C77722A" w14:textId="1B6E221C" w:rsidR="00F55FAE" w:rsidRDefault="00F55FAE">
      <w:pPr>
        <w:pStyle w:val="FootnoteText"/>
      </w:pPr>
      <w:r>
        <w:rPr>
          <w:rStyle w:val="FootnoteReference"/>
        </w:rPr>
        <w:footnoteRef/>
      </w:r>
      <w:r>
        <w:t xml:space="preserve"> </w:t>
      </w:r>
      <w:r w:rsidRPr="00D3256E">
        <w:t>Organic Act of the J</w:t>
      </w:r>
      <w:r>
        <w:t>udicial Yuan, art 4, para 1:</w:t>
      </w:r>
      <w:r w:rsidRPr="00D3256E">
        <w:t xml:space="preserve"> </w:t>
      </w:r>
      <w:r>
        <w:t>‘</w:t>
      </w:r>
      <w:r w:rsidRPr="00D3256E">
        <w:t>…</w:t>
      </w:r>
      <w:r>
        <w:t xml:space="preserve"> </w:t>
      </w:r>
      <w:r w:rsidRPr="003E0544">
        <w:rPr>
          <w:lang w:val="en-GB"/>
        </w:rPr>
        <w:t>(5). Be a person highly reputed in the field of legal research and have political experience</w:t>
      </w:r>
      <w:r>
        <w:rPr>
          <w:lang w:val="en-GB"/>
        </w:rPr>
        <w:t>’.</w:t>
      </w:r>
    </w:p>
  </w:footnote>
  <w:footnote w:id="144">
    <w:p w14:paraId="1D6384E9" w14:textId="29AE4B68" w:rsidR="00F55FAE" w:rsidRDefault="00F55FAE" w:rsidP="00750E0E">
      <w:pPr>
        <w:pStyle w:val="FootnoteText"/>
        <w:jc w:val="both"/>
      </w:pPr>
      <w:r>
        <w:rPr>
          <w:rStyle w:val="FootnoteReference"/>
        </w:rPr>
        <w:footnoteRef/>
      </w:r>
      <w:r>
        <w:t xml:space="preserve"> IIAS TCC Database (note 10 above). This figure is equal to the nominations </w:t>
      </w:r>
      <w:r w:rsidRPr="00EC37B8">
        <w:t>from s</w:t>
      </w:r>
      <w:r w:rsidR="00946D10">
        <w:t> </w:t>
      </w:r>
      <w:r w:rsidRPr="00EC37B8">
        <w:t>1(17) and also s</w:t>
      </w:r>
      <w:r w:rsidR="00946D10">
        <w:t> </w:t>
      </w:r>
      <w:r w:rsidRPr="00EC37B8">
        <w:t>3</w:t>
      </w:r>
      <w:r w:rsidRPr="0049374D">
        <w:t>(17)</w:t>
      </w:r>
      <w:r>
        <w:t xml:space="preserve"> during the same time period. </w:t>
      </w:r>
    </w:p>
  </w:footnote>
  <w:footnote w:id="145">
    <w:p w14:paraId="0DEE9558" w14:textId="77777777" w:rsidR="00F55FAE" w:rsidRPr="00E725AB" w:rsidRDefault="00F55FAE" w:rsidP="00260AF6">
      <w:pPr>
        <w:pStyle w:val="FootnoteText"/>
        <w:jc w:val="both"/>
        <w:rPr>
          <w:lang w:val="en-GB"/>
        </w:rPr>
      </w:pPr>
      <w:r w:rsidRPr="00E725AB">
        <w:rPr>
          <w:rStyle w:val="FootnoteReference"/>
          <w:lang w:val="en-GB"/>
        </w:rPr>
        <w:footnoteRef/>
      </w:r>
      <w:r w:rsidRPr="00E725AB">
        <w:rPr>
          <w:lang w:val="en-GB"/>
        </w:rPr>
        <w:t xml:space="preserve"> And not even one branch, but </w:t>
      </w:r>
      <w:r>
        <w:rPr>
          <w:lang w:val="en-GB"/>
        </w:rPr>
        <w:t xml:space="preserve">primarily </w:t>
      </w:r>
      <w:r w:rsidRPr="00E725AB">
        <w:rPr>
          <w:lang w:val="en-GB"/>
        </w:rPr>
        <w:t xml:space="preserve">one </w:t>
      </w:r>
      <w:r>
        <w:rPr>
          <w:lang w:val="en-GB"/>
        </w:rPr>
        <w:t>division</w:t>
      </w:r>
      <w:r w:rsidRPr="00E725AB">
        <w:rPr>
          <w:lang w:val="en-GB"/>
        </w:rPr>
        <w:t xml:space="preserve"> within one branch: </w:t>
      </w:r>
      <w:r>
        <w:rPr>
          <w:lang w:val="en-GB"/>
        </w:rPr>
        <w:t xml:space="preserve">the </w:t>
      </w:r>
      <w:r w:rsidRPr="00E725AB">
        <w:rPr>
          <w:lang w:val="en-GB"/>
        </w:rPr>
        <w:t>Council of Grand Just</w:t>
      </w:r>
      <w:r>
        <w:rPr>
          <w:lang w:val="en-GB"/>
        </w:rPr>
        <w:t xml:space="preserve">ices. Lower Taiwanese courts can </w:t>
      </w:r>
      <w:r w:rsidRPr="00E725AB">
        <w:rPr>
          <w:lang w:val="en-GB"/>
        </w:rPr>
        <w:t xml:space="preserve">hear </w:t>
      </w:r>
      <w:r>
        <w:rPr>
          <w:lang w:val="en-GB"/>
        </w:rPr>
        <w:t xml:space="preserve">limited </w:t>
      </w:r>
      <w:r w:rsidRPr="00E725AB">
        <w:rPr>
          <w:lang w:val="en-GB"/>
        </w:rPr>
        <w:t>constitutional challenges</w:t>
      </w:r>
      <w:r>
        <w:rPr>
          <w:lang w:val="en-GB"/>
        </w:rPr>
        <w:t>, but they do not have the authority to strike down statutes</w:t>
      </w:r>
      <w:r w:rsidRPr="00E725AB">
        <w:rPr>
          <w:lang w:val="en-GB"/>
        </w:rPr>
        <w:t xml:space="preserve">. </w:t>
      </w:r>
    </w:p>
  </w:footnote>
  <w:footnote w:id="146">
    <w:p w14:paraId="14E41B60" w14:textId="7BC4E42E" w:rsidR="00F55FAE" w:rsidRPr="00776ACE" w:rsidRDefault="00F55FAE" w:rsidP="00750E0E">
      <w:pPr>
        <w:pStyle w:val="FootnoteText"/>
        <w:jc w:val="both"/>
        <w:rPr>
          <w:lang w:val="en-GB"/>
        </w:rPr>
      </w:pPr>
      <w:r w:rsidRPr="00E725AB">
        <w:rPr>
          <w:rStyle w:val="FootnoteReference"/>
          <w:lang w:val="en-GB"/>
        </w:rPr>
        <w:footnoteRef/>
      </w:r>
      <w:r w:rsidRPr="00E725AB">
        <w:rPr>
          <w:lang w:val="en-GB"/>
        </w:rPr>
        <w:t xml:space="preserve"> </w:t>
      </w:r>
      <w:r w:rsidRPr="00FB16C4">
        <w:rPr>
          <w:lang w:val="en-GB"/>
        </w:rPr>
        <w:t>See</w:t>
      </w:r>
      <w:r w:rsidRPr="00FB16C4">
        <w:rPr>
          <w:i/>
          <w:lang w:val="en-GB"/>
        </w:rPr>
        <w:t xml:space="preserve"> </w:t>
      </w:r>
      <w:r w:rsidRPr="00FB16C4">
        <w:rPr>
          <w:lang w:val="en-GB"/>
        </w:rPr>
        <w:t>notes 7</w:t>
      </w:r>
      <w:r w:rsidR="0079792F" w:rsidRPr="00FB16C4">
        <w:rPr>
          <w:lang w:val="en-GB"/>
        </w:rPr>
        <w:t>3</w:t>
      </w:r>
      <w:r w:rsidRPr="00FB16C4">
        <w:rPr>
          <w:lang w:val="en-GB"/>
        </w:rPr>
        <w:t xml:space="preserve"> and 7</w:t>
      </w:r>
      <w:r w:rsidR="0079792F" w:rsidRPr="00FB16C4">
        <w:rPr>
          <w:lang w:val="en-GB"/>
        </w:rPr>
        <w:t>4</w:t>
      </w:r>
      <w:r w:rsidRPr="00FB16C4">
        <w:rPr>
          <w:lang w:val="en-GB"/>
        </w:rPr>
        <w:t xml:space="preserve"> above.</w:t>
      </w:r>
    </w:p>
  </w:footnote>
  <w:footnote w:id="147">
    <w:p w14:paraId="0DFAF384" w14:textId="6AFC4A7C" w:rsidR="00F55FAE" w:rsidRPr="00E725AB" w:rsidRDefault="00F55FAE" w:rsidP="00750E0E">
      <w:pPr>
        <w:pStyle w:val="FootnoteText"/>
        <w:jc w:val="both"/>
        <w:rPr>
          <w:lang w:val="en-GB"/>
        </w:rPr>
      </w:pPr>
      <w:r w:rsidRPr="00776ACE">
        <w:rPr>
          <w:rStyle w:val="FootnoteReference"/>
          <w:lang w:val="en-GB"/>
        </w:rPr>
        <w:footnoteRef/>
      </w:r>
      <w:r w:rsidRPr="00776ACE">
        <w:rPr>
          <w:lang w:val="en-GB"/>
        </w:rPr>
        <w:t xml:space="preserve"> Bicameral arrangements may</w:t>
      </w:r>
      <w:r w:rsidRPr="00E725AB">
        <w:rPr>
          <w:lang w:val="en-GB"/>
        </w:rPr>
        <w:t xml:space="preserve"> give rise to better constitutional review, especially in upper houses, which are usually </w:t>
      </w:r>
      <w:r>
        <w:rPr>
          <w:lang w:val="en-GB"/>
        </w:rPr>
        <w:t>‘</w:t>
      </w:r>
      <w:r w:rsidRPr="00E725AB">
        <w:rPr>
          <w:lang w:val="en-GB"/>
        </w:rPr>
        <w:t>somewhat removed from the hubbub of daily politics and devoting more attention to the constitutional dimensi</w:t>
      </w:r>
      <w:r>
        <w:rPr>
          <w:lang w:val="en-GB"/>
        </w:rPr>
        <w:t xml:space="preserve">on of legislation’: de </w:t>
      </w:r>
      <w:proofErr w:type="spellStart"/>
      <w:r>
        <w:rPr>
          <w:lang w:val="en-GB"/>
        </w:rPr>
        <w:t>Visser</w:t>
      </w:r>
      <w:proofErr w:type="spellEnd"/>
      <w:r>
        <w:rPr>
          <w:lang w:val="en-GB"/>
        </w:rPr>
        <w:t xml:space="preserve"> (note 16 above)</w:t>
      </w:r>
      <w:r w:rsidRPr="00E725AB">
        <w:rPr>
          <w:lang w:val="en-GB"/>
        </w:rPr>
        <w:t xml:space="preserve">, </w:t>
      </w:r>
      <w:r>
        <w:rPr>
          <w:lang w:val="en-GB"/>
        </w:rPr>
        <w:t>p</w:t>
      </w:r>
      <w:r w:rsidRPr="00E725AB">
        <w:rPr>
          <w:lang w:val="en-GB"/>
        </w:rPr>
        <w:t xml:space="preserve"> 25</w:t>
      </w:r>
      <w:r>
        <w:rPr>
          <w:lang w:val="en-GB"/>
        </w:rPr>
        <w:t>.</w:t>
      </w:r>
    </w:p>
  </w:footnote>
  <w:footnote w:id="148">
    <w:p w14:paraId="6F5CC6EC" w14:textId="6BC25A79"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Statement by Richard Bush, </w:t>
      </w:r>
      <w:r>
        <w:rPr>
          <w:lang w:val="en-GB"/>
        </w:rPr>
        <w:t>‘</w:t>
      </w:r>
      <w:r w:rsidRPr="00E725AB">
        <w:rPr>
          <w:lang w:val="en-GB"/>
        </w:rPr>
        <w:t>Taiwan</w:t>
      </w:r>
      <w:r>
        <w:rPr>
          <w:lang w:val="en-GB"/>
        </w:rPr>
        <w:t>’</w:t>
      </w:r>
      <w:r w:rsidRPr="00E725AB">
        <w:rPr>
          <w:lang w:val="en-GB"/>
        </w:rPr>
        <w:t>s Legislative Yuan: Oversight or Overreach, Brookings Institution</w:t>
      </w:r>
      <w:r w:rsidR="00972F7B">
        <w:rPr>
          <w:lang w:val="en-GB"/>
        </w:rPr>
        <w:t>’</w:t>
      </w:r>
      <w:r w:rsidRPr="00E725AB">
        <w:rPr>
          <w:lang w:val="en-GB"/>
        </w:rPr>
        <w:t xml:space="preserve">, </w:t>
      </w:r>
      <w:r w:rsidRPr="00DD0AE6">
        <w:rPr>
          <w:lang w:val="en-GB"/>
        </w:rPr>
        <w:t>available at</w:t>
      </w:r>
      <w:r w:rsidRPr="00E725AB">
        <w:rPr>
          <w:lang w:val="en-GB"/>
        </w:rPr>
        <w:t xml:space="preserve"> </w:t>
      </w:r>
      <w:hyperlink r:id="rId6" w:history="1">
        <w:r w:rsidRPr="00E725AB">
          <w:rPr>
            <w:rStyle w:val="Hyperlink"/>
            <w:color w:val="auto"/>
            <w:u w:val="none"/>
            <w:lang w:val="en-GB"/>
          </w:rPr>
          <w:t>http://www.brookings.edu/events/2014/06/23-taiwan-legislative-yuan</w:t>
        </w:r>
      </w:hyperlink>
      <w:r w:rsidRPr="00E725AB">
        <w:rPr>
          <w:lang w:val="en-GB"/>
        </w:rPr>
        <w:t xml:space="preserve">. </w:t>
      </w:r>
    </w:p>
  </w:footnote>
  <w:footnote w:id="149">
    <w:p w14:paraId="55483FDF" w14:textId="60621658" w:rsidR="00F55FAE" w:rsidRPr="00E725AB" w:rsidRDefault="00F55FAE" w:rsidP="00750E0E">
      <w:pPr>
        <w:pStyle w:val="FootnoteText"/>
        <w:jc w:val="both"/>
        <w:rPr>
          <w:lang w:val="en-GB"/>
        </w:rPr>
      </w:pPr>
      <w:r w:rsidRPr="00E725AB">
        <w:rPr>
          <w:rStyle w:val="FootnoteReference"/>
          <w:lang w:val="en-GB"/>
        </w:rPr>
        <w:footnoteRef/>
      </w:r>
      <w:r w:rsidRPr="00E725AB">
        <w:rPr>
          <w:lang w:val="en-GB"/>
        </w:rPr>
        <w:t xml:space="preserve"> William Lowther, </w:t>
      </w:r>
      <w:r w:rsidR="00972F7B">
        <w:rPr>
          <w:lang w:val="en-GB"/>
        </w:rPr>
        <w:t>‘</w:t>
      </w:r>
      <w:r w:rsidRPr="00E725AB">
        <w:rPr>
          <w:lang w:val="en-GB"/>
        </w:rPr>
        <w:t>Taipei Forum</w:t>
      </w:r>
      <w:r>
        <w:rPr>
          <w:lang w:val="en-GB"/>
        </w:rPr>
        <w:t>’</w:t>
      </w:r>
      <w:r w:rsidRPr="00E725AB">
        <w:rPr>
          <w:lang w:val="en-GB"/>
        </w:rPr>
        <w:t xml:space="preserve">s Su Chi denounces </w:t>
      </w:r>
      <w:r w:rsidR="00972F7B">
        <w:rPr>
          <w:lang w:val="en-GB"/>
        </w:rPr>
        <w:t>“</w:t>
      </w:r>
      <w:r w:rsidRPr="00E725AB">
        <w:rPr>
          <w:lang w:val="en-GB"/>
        </w:rPr>
        <w:t>weak, lazy, ineffective</w:t>
      </w:r>
      <w:r w:rsidR="00972F7B">
        <w:rPr>
          <w:lang w:val="en-GB"/>
        </w:rPr>
        <w:t>”</w:t>
      </w:r>
      <w:r w:rsidRPr="00E725AB">
        <w:rPr>
          <w:lang w:val="en-GB"/>
        </w:rPr>
        <w:t xml:space="preserve"> legislature at US for</w:t>
      </w:r>
      <w:r>
        <w:rPr>
          <w:lang w:val="en-GB"/>
        </w:rPr>
        <w:t>um</w:t>
      </w:r>
      <w:r w:rsidR="00972F7B">
        <w:rPr>
          <w:lang w:val="en-GB"/>
        </w:rPr>
        <w:t>’</w:t>
      </w:r>
      <w:r>
        <w:rPr>
          <w:lang w:val="en-GB"/>
        </w:rPr>
        <w:t xml:space="preserve">, </w:t>
      </w:r>
      <w:r w:rsidRPr="006D1953">
        <w:rPr>
          <w:i/>
          <w:lang w:val="en-GB"/>
        </w:rPr>
        <w:t>Taipei Times</w:t>
      </w:r>
      <w:r w:rsidR="00972F7B">
        <w:rPr>
          <w:lang w:val="en-GB"/>
        </w:rPr>
        <w:t xml:space="preserve">, </w:t>
      </w:r>
      <w:r>
        <w:rPr>
          <w:lang w:val="en-GB"/>
        </w:rPr>
        <w:t>25 June 2014</w:t>
      </w:r>
      <w:r w:rsidRPr="00E725AB">
        <w:rPr>
          <w:lang w:val="en-GB"/>
        </w:rPr>
        <w:t xml:space="preserve">. </w:t>
      </w:r>
    </w:p>
  </w:footnote>
  <w:footnote w:id="150">
    <w:p w14:paraId="4FC73CD4" w14:textId="777777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J</w:t>
      </w:r>
      <w:r w:rsidRPr="00E725AB">
        <w:rPr>
          <w:lang w:val="en-GB"/>
        </w:rPr>
        <w:t xml:space="preserve"> Martin, </w:t>
      </w:r>
      <w:r>
        <w:rPr>
          <w:lang w:val="en-GB"/>
        </w:rPr>
        <w:t>‘</w:t>
      </w:r>
      <w:r w:rsidRPr="005D5501">
        <w:rPr>
          <w:lang w:val="en-GB"/>
        </w:rPr>
        <w:t>Legitimate Force in a Particularistic Democracy: Street Police and Outlaw Legislators in the Republic of China on Taiwan</w:t>
      </w:r>
      <w:r>
        <w:rPr>
          <w:lang w:val="en-GB"/>
        </w:rPr>
        <w:t>’ (2013)</w:t>
      </w:r>
      <w:r w:rsidRPr="00E725AB">
        <w:rPr>
          <w:lang w:val="en-GB"/>
        </w:rPr>
        <w:t xml:space="preserve"> 38(3) </w:t>
      </w:r>
      <w:r w:rsidRPr="00E843F8">
        <w:rPr>
          <w:rFonts w:ascii="Times New Roman Italic" w:hAnsi="Times New Roman Italic"/>
          <w:i/>
          <w:lang w:val="en-GB"/>
        </w:rPr>
        <w:t>Law &amp; Social Inquiry</w:t>
      </w:r>
      <w:r>
        <w:rPr>
          <w:lang w:val="en-GB"/>
        </w:rPr>
        <w:t xml:space="preserve"> 615</w:t>
      </w:r>
      <w:r w:rsidRPr="00E725AB">
        <w:rPr>
          <w:lang w:val="en-GB"/>
        </w:rPr>
        <w:t>. However, Martin w</w:t>
      </w:r>
      <w:r>
        <w:rPr>
          <w:lang w:val="en-GB"/>
        </w:rPr>
        <w:t xml:space="preserve">as mostly referring to </w:t>
      </w:r>
      <w:r w:rsidRPr="00E725AB">
        <w:rPr>
          <w:lang w:val="en-GB"/>
        </w:rPr>
        <w:t>local level</w:t>
      </w:r>
      <w:r>
        <w:rPr>
          <w:lang w:val="en-GB"/>
        </w:rPr>
        <w:t xml:space="preserve"> politicians</w:t>
      </w:r>
      <w:r w:rsidRPr="00E725AB">
        <w:rPr>
          <w:lang w:val="en-GB"/>
        </w:rPr>
        <w:t xml:space="preserve">. </w:t>
      </w:r>
    </w:p>
  </w:footnote>
  <w:footnote w:id="151">
    <w:p w14:paraId="3AD41F86" w14:textId="77777777" w:rsidR="005C31DB" w:rsidRPr="00E725AB" w:rsidRDefault="005C31DB" w:rsidP="005C31DB">
      <w:pPr>
        <w:pStyle w:val="FootnoteText"/>
        <w:jc w:val="both"/>
        <w:rPr>
          <w:lang w:val="en-GB"/>
        </w:rPr>
      </w:pPr>
      <w:r w:rsidRPr="00E725AB">
        <w:rPr>
          <w:rStyle w:val="FootnoteReference"/>
          <w:lang w:val="en-GB"/>
        </w:rPr>
        <w:footnoteRef/>
      </w:r>
      <w:r w:rsidRPr="00E725AB">
        <w:rPr>
          <w:lang w:val="en-GB"/>
        </w:rPr>
        <w:t xml:space="preserve"> English Bishop </w:t>
      </w:r>
      <w:proofErr w:type="spellStart"/>
      <w:r w:rsidRPr="00E725AB">
        <w:rPr>
          <w:lang w:val="en-GB"/>
        </w:rPr>
        <w:t>Hoadly</w:t>
      </w:r>
      <w:r>
        <w:rPr>
          <w:lang w:val="en-GB"/>
        </w:rPr>
        <w:t>’</w:t>
      </w:r>
      <w:r w:rsidRPr="00E725AB">
        <w:rPr>
          <w:lang w:val="en-GB"/>
        </w:rPr>
        <w:t>s</w:t>
      </w:r>
      <w:proofErr w:type="spellEnd"/>
      <w:r w:rsidRPr="00E725AB">
        <w:rPr>
          <w:lang w:val="en-GB"/>
        </w:rPr>
        <w:t xml:space="preserve"> Sermon preached before the King, </w:t>
      </w:r>
      <w:r>
        <w:rPr>
          <w:lang w:val="en-GB"/>
        </w:rPr>
        <w:t>31 </w:t>
      </w:r>
      <w:r w:rsidRPr="00E725AB">
        <w:rPr>
          <w:lang w:val="en-GB"/>
        </w:rPr>
        <w:t>March</w:t>
      </w:r>
      <w:r>
        <w:rPr>
          <w:lang w:val="en-GB"/>
        </w:rPr>
        <w:t xml:space="preserve"> 1717, as quoted in Thayer (note 33 above)</w:t>
      </w:r>
      <w:r w:rsidRPr="00E725AB">
        <w:rPr>
          <w:lang w:val="en-GB"/>
        </w:rPr>
        <w:t xml:space="preserve">, at 152. </w:t>
      </w:r>
    </w:p>
  </w:footnote>
  <w:footnote w:id="152">
    <w:p w14:paraId="1C489A6D" w14:textId="7F534186"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M</w:t>
      </w:r>
      <w:r w:rsidRPr="00E725AB">
        <w:rPr>
          <w:lang w:val="en-GB"/>
        </w:rPr>
        <w:t xml:space="preserve"> </w:t>
      </w:r>
      <w:proofErr w:type="spellStart"/>
      <w:r w:rsidRPr="00E725AB">
        <w:rPr>
          <w:lang w:val="en-GB"/>
        </w:rPr>
        <w:t>Tushnet</w:t>
      </w:r>
      <w:proofErr w:type="spellEnd"/>
      <w:r w:rsidRPr="00E725AB">
        <w:rPr>
          <w:lang w:val="en-GB"/>
        </w:rPr>
        <w:t xml:space="preserve">, </w:t>
      </w:r>
      <w:r>
        <w:rPr>
          <w:lang w:val="en-GB"/>
        </w:rPr>
        <w:t>‘</w:t>
      </w:r>
      <w:r w:rsidRPr="00DC7B9F">
        <w:rPr>
          <w:lang w:val="en-GB"/>
        </w:rPr>
        <w:t>Abolishing Judicial Review</w:t>
      </w:r>
      <w:r>
        <w:rPr>
          <w:lang w:val="en-GB"/>
        </w:rPr>
        <w:t xml:space="preserve">’ (2010–2011) </w:t>
      </w:r>
      <w:r w:rsidRPr="00E725AB">
        <w:rPr>
          <w:lang w:val="en-GB"/>
        </w:rPr>
        <w:t>27</w:t>
      </w:r>
      <w:r w:rsidRPr="00E843F8">
        <w:rPr>
          <w:rFonts w:ascii="Times New Roman Italic" w:hAnsi="Times New Roman Italic"/>
          <w:i/>
          <w:lang w:val="en-GB"/>
        </w:rPr>
        <w:t xml:space="preserve"> Constitutional Commentary </w:t>
      </w:r>
      <w:r>
        <w:rPr>
          <w:lang w:val="en-GB"/>
        </w:rPr>
        <w:t>581</w:t>
      </w:r>
      <w:r w:rsidRPr="00E725AB">
        <w:rPr>
          <w:lang w:val="en-GB"/>
        </w:rPr>
        <w:t xml:space="preserve">. </w:t>
      </w:r>
    </w:p>
  </w:footnote>
  <w:footnote w:id="153">
    <w:p w14:paraId="28590BA2" w14:textId="77777777" w:rsidR="00F55FAE" w:rsidRPr="00E725AB" w:rsidRDefault="00F55FAE" w:rsidP="00750E0E">
      <w:pPr>
        <w:pStyle w:val="FootnoteText"/>
        <w:jc w:val="both"/>
        <w:rPr>
          <w:lang w:val="en-GB"/>
        </w:rPr>
      </w:pPr>
      <w:r w:rsidRPr="00E725AB">
        <w:rPr>
          <w:rStyle w:val="FootnoteReference"/>
          <w:lang w:val="en-GB"/>
        </w:rPr>
        <w:footnoteRef/>
      </w:r>
      <w:r>
        <w:rPr>
          <w:lang w:val="en-GB"/>
        </w:rPr>
        <w:t xml:space="preserve"> J</w:t>
      </w:r>
      <w:r w:rsidRPr="004B6DE6">
        <w:rPr>
          <w:lang w:val="en-GB"/>
        </w:rPr>
        <w:t xml:space="preserve"> Waldron, </w:t>
      </w:r>
      <w:r>
        <w:rPr>
          <w:lang w:val="en-GB"/>
        </w:rPr>
        <w:t>‘</w:t>
      </w:r>
      <w:r w:rsidRPr="004B6DE6">
        <w:rPr>
          <w:lang w:val="en-GB"/>
        </w:rPr>
        <w:t>The Core of the Case Against Judicial Review</w:t>
      </w:r>
      <w:r>
        <w:rPr>
          <w:lang w:val="en-GB"/>
        </w:rPr>
        <w:t>’ (2006)</w:t>
      </w:r>
      <w:r w:rsidRPr="004B6DE6">
        <w:rPr>
          <w:lang w:val="en-GB"/>
        </w:rPr>
        <w:t xml:space="preserve"> 115 </w:t>
      </w:r>
      <w:r w:rsidRPr="00B14ADE">
        <w:rPr>
          <w:i/>
          <w:lang w:val="en-GB"/>
        </w:rPr>
        <w:t xml:space="preserve">Yale Law Journal </w:t>
      </w:r>
      <w:r>
        <w:rPr>
          <w:lang w:val="en-GB"/>
        </w:rPr>
        <w:t>1346</w:t>
      </w:r>
      <w:r w:rsidRPr="00E725AB">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1176B" w14:textId="77777777" w:rsidR="00F55FAE" w:rsidRPr="00EE5050" w:rsidRDefault="00F55FAE" w:rsidP="00F20FBC">
    <w:pPr>
      <w:pStyle w:val="Header"/>
      <w:tabs>
        <w:tab w:val="left" w:pos="2894"/>
      </w:tabs>
      <w:rPr>
        <w:rFonts w:eastAsia="PMingLiU"/>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89"/>
    <w:multiLevelType w:val="hybridMultilevel"/>
    <w:tmpl w:val="558074F4"/>
    <w:lvl w:ilvl="0" w:tplc="2976F68E">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15:restartNumberingAfterBreak="0">
    <w:nsid w:val="10B23B7A"/>
    <w:multiLevelType w:val="hybridMultilevel"/>
    <w:tmpl w:val="49C8D960"/>
    <w:lvl w:ilvl="0" w:tplc="94FAB3E6">
      <w:start w:val="1"/>
      <w:numFmt w:val="upperRoman"/>
      <w:lvlText w:val="%1."/>
      <w:lvlJc w:val="left"/>
      <w:pPr>
        <w:ind w:left="1080" w:hanging="720"/>
      </w:pPr>
      <w:rPr>
        <w:rFonts w:hint="default"/>
        <w:sz w:val="32"/>
      </w:rPr>
    </w:lvl>
    <w:lvl w:ilvl="1" w:tplc="04090015">
      <w:start w:val="1"/>
      <w:numFmt w:val="upp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45DFA"/>
    <w:multiLevelType w:val="hybridMultilevel"/>
    <w:tmpl w:val="348AFF38"/>
    <w:lvl w:ilvl="0" w:tplc="C18A4AFA">
      <w:start w:val="1"/>
      <w:numFmt w:val="bullet"/>
      <w:lvlText w:val=""/>
      <w:lvlJc w:val="left"/>
      <w:pPr>
        <w:tabs>
          <w:tab w:val="num" w:pos="720"/>
        </w:tabs>
        <w:ind w:left="720" w:hanging="360"/>
      </w:pPr>
      <w:rPr>
        <w:rFonts w:ascii="Wingdings" w:hAnsi="Wingdings" w:hint="default"/>
      </w:rPr>
    </w:lvl>
    <w:lvl w:ilvl="1" w:tplc="CE3EA4C4">
      <w:start w:val="1"/>
      <w:numFmt w:val="bullet"/>
      <w:lvlText w:val=""/>
      <w:lvlJc w:val="left"/>
      <w:pPr>
        <w:tabs>
          <w:tab w:val="num" w:pos="1440"/>
        </w:tabs>
        <w:ind w:left="1440" w:hanging="360"/>
      </w:pPr>
      <w:rPr>
        <w:rFonts w:ascii="Wingdings" w:hAnsi="Wingdings" w:hint="default"/>
      </w:rPr>
    </w:lvl>
    <w:lvl w:ilvl="2" w:tplc="65C00114" w:tentative="1">
      <w:start w:val="1"/>
      <w:numFmt w:val="bullet"/>
      <w:lvlText w:val=""/>
      <w:lvlJc w:val="left"/>
      <w:pPr>
        <w:tabs>
          <w:tab w:val="num" w:pos="2160"/>
        </w:tabs>
        <w:ind w:left="2160" w:hanging="360"/>
      </w:pPr>
      <w:rPr>
        <w:rFonts w:ascii="Wingdings" w:hAnsi="Wingdings" w:hint="default"/>
      </w:rPr>
    </w:lvl>
    <w:lvl w:ilvl="3" w:tplc="BDE23DF6" w:tentative="1">
      <w:start w:val="1"/>
      <w:numFmt w:val="bullet"/>
      <w:lvlText w:val=""/>
      <w:lvlJc w:val="left"/>
      <w:pPr>
        <w:tabs>
          <w:tab w:val="num" w:pos="2880"/>
        </w:tabs>
        <w:ind w:left="2880" w:hanging="360"/>
      </w:pPr>
      <w:rPr>
        <w:rFonts w:ascii="Wingdings" w:hAnsi="Wingdings" w:hint="default"/>
      </w:rPr>
    </w:lvl>
    <w:lvl w:ilvl="4" w:tplc="66765950" w:tentative="1">
      <w:start w:val="1"/>
      <w:numFmt w:val="bullet"/>
      <w:lvlText w:val=""/>
      <w:lvlJc w:val="left"/>
      <w:pPr>
        <w:tabs>
          <w:tab w:val="num" w:pos="3600"/>
        </w:tabs>
        <w:ind w:left="3600" w:hanging="360"/>
      </w:pPr>
      <w:rPr>
        <w:rFonts w:ascii="Wingdings" w:hAnsi="Wingdings" w:hint="default"/>
      </w:rPr>
    </w:lvl>
    <w:lvl w:ilvl="5" w:tplc="EEA0245E" w:tentative="1">
      <w:start w:val="1"/>
      <w:numFmt w:val="bullet"/>
      <w:lvlText w:val=""/>
      <w:lvlJc w:val="left"/>
      <w:pPr>
        <w:tabs>
          <w:tab w:val="num" w:pos="4320"/>
        </w:tabs>
        <w:ind w:left="4320" w:hanging="360"/>
      </w:pPr>
      <w:rPr>
        <w:rFonts w:ascii="Wingdings" w:hAnsi="Wingdings" w:hint="default"/>
      </w:rPr>
    </w:lvl>
    <w:lvl w:ilvl="6" w:tplc="7AD81DBE" w:tentative="1">
      <w:start w:val="1"/>
      <w:numFmt w:val="bullet"/>
      <w:lvlText w:val=""/>
      <w:lvlJc w:val="left"/>
      <w:pPr>
        <w:tabs>
          <w:tab w:val="num" w:pos="5040"/>
        </w:tabs>
        <w:ind w:left="5040" w:hanging="360"/>
      </w:pPr>
      <w:rPr>
        <w:rFonts w:ascii="Wingdings" w:hAnsi="Wingdings" w:hint="default"/>
      </w:rPr>
    </w:lvl>
    <w:lvl w:ilvl="7" w:tplc="7814F91C" w:tentative="1">
      <w:start w:val="1"/>
      <w:numFmt w:val="bullet"/>
      <w:lvlText w:val=""/>
      <w:lvlJc w:val="left"/>
      <w:pPr>
        <w:tabs>
          <w:tab w:val="num" w:pos="5760"/>
        </w:tabs>
        <w:ind w:left="5760" w:hanging="360"/>
      </w:pPr>
      <w:rPr>
        <w:rFonts w:ascii="Wingdings" w:hAnsi="Wingdings" w:hint="default"/>
      </w:rPr>
    </w:lvl>
    <w:lvl w:ilvl="8" w:tplc="340C2E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87513"/>
    <w:multiLevelType w:val="hybridMultilevel"/>
    <w:tmpl w:val="48EE567E"/>
    <w:lvl w:ilvl="0" w:tplc="BBD424E2">
      <w:start w:val="1"/>
      <w:numFmt w:val="bullet"/>
      <w:lvlText w:val=""/>
      <w:lvlJc w:val="left"/>
      <w:pPr>
        <w:tabs>
          <w:tab w:val="num" w:pos="720"/>
        </w:tabs>
        <w:ind w:left="720" w:hanging="360"/>
      </w:pPr>
      <w:rPr>
        <w:rFonts w:ascii="Wingdings" w:hAnsi="Wingdings" w:hint="default"/>
      </w:rPr>
    </w:lvl>
    <w:lvl w:ilvl="1" w:tplc="6F50D8BC">
      <w:start w:val="1"/>
      <w:numFmt w:val="bullet"/>
      <w:lvlText w:val=""/>
      <w:lvlJc w:val="left"/>
      <w:pPr>
        <w:tabs>
          <w:tab w:val="num" w:pos="1440"/>
        </w:tabs>
        <w:ind w:left="1440" w:hanging="360"/>
      </w:pPr>
      <w:rPr>
        <w:rFonts w:ascii="Wingdings" w:hAnsi="Wingdings" w:hint="default"/>
      </w:rPr>
    </w:lvl>
    <w:lvl w:ilvl="2" w:tplc="4392B734" w:tentative="1">
      <w:start w:val="1"/>
      <w:numFmt w:val="bullet"/>
      <w:lvlText w:val=""/>
      <w:lvlJc w:val="left"/>
      <w:pPr>
        <w:tabs>
          <w:tab w:val="num" w:pos="2160"/>
        </w:tabs>
        <w:ind w:left="2160" w:hanging="360"/>
      </w:pPr>
      <w:rPr>
        <w:rFonts w:ascii="Wingdings" w:hAnsi="Wingdings" w:hint="default"/>
      </w:rPr>
    </w:lvl>
    <w:lvl w:ilvl="3" w:tplc="C858521E" w:tentative="1">
      <w:start w:val="1"/>
      <w:numFmt w:val="bullet"/>
      <w:lvlText w:val=""/>
      <w:lvlJc w:val="left"/>
      <w:pPr>
        <w:tabs>
          <w:tab w:val="num" w:pos="2880"/>
        </w:tabs>
        <w:ind w:left="2880" w:hanging="360"/>
      </w:pPr>
      <w:rPr>
        <w:rFonts w:ascii="Wingdings" w:hAnsi="Wingdings" w:hint="default"/>
      </w:rPr>
    </w:lvl>
    <w:lvl w:ilvl="4" w:tplc="CFEAF6A4" w:tentative="1">
      <w:start w:val="1"/>
      <w:numFmt w:val="bullet"/>
      <w:lvlText w:val=""/>
      <w:lvlJc w:val="left"/>
      <w:pPr>
        <w:tabs>
          <w:tab w:val="num" w:pos="3600"/>
        </w:tabs>
        <w:ind w:left="3600" w:hanging="360"/>
      </w:pPr>
      <w:rPr>
        <w:rFonts w:ascii="Wingdings" w:hAnsi="Wingdings" w:hint="default"/>
      </w:rPr>
    </w:lvl>
    <w:lvl w:ilvl="5" w:tplc="9ECEF332" w:tentative="1">
      <w:start w:val="1"/>
      <w:numFmt w:val="bullet"/>
      <w:lvlText w:val=""/>
      <w:lvlJc w:val="left"/>
      <w:pPr>
        <w:tabs>
          <w:tab w:val="num" w:pos="4320"/>
        </w:tabs>
        <w:ind w:left="4320" w:hanging="360"/>
      </w:pPr>
      <w:rPr>
        <w:rFonts w:ascii="Wingdings" w:hAnsi="Wingdings" w:hint="default"/>
      </w:rPr>
    </w:lvl>
    <w:lvl w:ilvl="6" w:tplc="72A00812" w:tentative="1">
      <w:start w:val="1"/>
      <w:numFmt w:val="bullet"/>
      <w:lvlText w:val=""/>
      <w:lvlJc w:val="left"/>
      <w:pPr>
        <w:tabs>
          <w:tab w:val="num" w:pos="5040"/>
        </w:tabs>
        <w:ind w:left="5040" w:hanging="360"/>
      </w:pPr>
      <w:rPr>
        <w:rFonts w:ascii="Wingdings" w:hAnsi="Wingdings" w:hint="default"/>
      </w:rPr>
    </w:lvl>
    <w:lvl w:ilvl="7" w:tplc="0AFA666C" w:tentative="1">
      <w:start w:val="1"/>
      <w:numFmt w:val="bullet"/>
      <w:lvlText w:val=""/>
      <w:lvlJc w:val="left"/>
      <w:pPr>
        <w:tabs>
          <w:tab w:val="num" w:pos="5760"/>
        </w:tabs>
        <w:ind w:left="5760" w:hanging="360"/>
      </w:pPr>
      <w:rPr>
        <w:rFonts w:ascii="Wingdings" w:hAnsi="Wingdings" w:hint="default"/>
      </w:rPr>
    </w:lvl>
    <w:lvl w:ilvl="8" w:tplc="CF8EFC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B717C"/>
    <w:multiLevelType w:val="multilevel"/>
    <w:tmpl w:val="A516B5F8"/>
    <w:lvl w:ilvl="0">
      <w:start w:val="1"/>
      <w:numFmt w:val="upperRoman"/>
      <w:pStyle w:val="Heading1"/>
      <w:lvlText w:val="%1."/>
      <w:lvlJc w:val="left"/>
      <w:pPr>
        <w:tabs>
          <w:tab w:val="num" w:pos="360"/>
        </w:tabs>
        <w:ind w:left="360" w:hanging="360"/>
      </w:pPr>
      <w:rPr>
        <w:rFonts w:ascii="Times New Roman" w:hAnsi="Times New Roman" w:hint="default"/>
        <w:b w:val="0"/>
        <w:i w:val="0"/>
        <w:sz w:val="21"/>
      </w:rPr>
    </w:lvl>
    <w:lvl w:ilvl="1">
      <w:start w:val="1"/>
      <w:numFmt w:val="upperLetter"/>
      <w:pStyle w:val="Heading2"/>
      <w:lvlText w:val="%2."/>
      <w:lvlJc w:val="left"/>
      <w:pPr>
        <w:tabs>
          <w:tab w:val="num" w:pos="720"/>
        </w:tabs>
        <w:ind w:left="720" w:hanging="360"/>
      </w:pPr>
      <w:rPr>
        <w:rFonts w:ascii="Times New Roman Italic" w:hAnsi="Times New Roman Italic" w:hint="default"/>
        <w:b w:val="0"/>
        <w:i/>
        <w:sz w:val="24"/>
      </w:rPr>
    </w:lvl>
    <w:lvl w:ilvl="2">
      <w:start w:val="1"/>
      <w:numFmt w:val="decimal"/>
      <w:pStyle w:val="Heading3"/>
      <w:lvlText w:val="%3."/>
      <w:lvlJc w:val="left"/>
      <w:pPr>
        <w:tabs>
          <w:tab w:val="num" w:pos="1080"/>
        </w:tabs>
        <w:ind w:left="1080" w:hanging="360"/>
      </w:pPr>
      <w:rPr>
        <w:rFonts w:ascii="Times New Roman Italic" w:hAnsi="Times New Roman Italic" w:hint="default"/>
        <w:b w:val="0"/>
        <w:i/>
        <w:sz w:val="21"/>
      </w:rPr>
    </w:lvl>
    <w:lvl w:ilvl="3">
      <w:start w:val="1"/>
      <w:numFmt w:val="lowerLetter"/>
      <w:lvlText w:val="(%4)"/>
      <w:lvlJc w:val="left"/>
      <w:pPr>
        <w:tabs>
          <w:tab w:val="num" w:pos="1440"/>
        </w:tabs>
        <w:ind w:left="1440" w:hanging="360"/>
      </w:pPr>
      <w:rPr>
        <w:rFonts w:ascii="Times New Roman Italic" w:hAnsi="Times New Roman Italic" w:hint="default"/>
        <w:b w:val="0"/>
        <w:i/>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5B1421"/>
    <w:multiLevelType w:val="hybridMultilevel"/>
    <w:tmpl w:val="6900B312"/>
    <w:lvl w:ilvl="0" w:tplc="013E0E9A">
      <w:numFmt w:val="bullet"/>
      <w:lvlText w:val=""/>
      <w:lvlJc w:val="left"/>
      <w:pPr>
        <w:ind w:left="945" w:hanging="360"/>
      </w:pPr>
      <w:rPr>
        <w:rFonts w:ascii="Symbol" w:eastAsia="Times New Roman"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 w15:restartNumberingAfterBreak="0">
    <w:nsid w:val="1F7E4D2D"/>
    <w:multiLevelType w:val="hybridMultilevel"/>
    <w:tmpl w:val="EDA2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F2C0D"/>
    <w:multiLevelType w:val="hybridMultilevel"/>
    <w:tmpl w:val="761C6F2E"/>
    <w:lvl w:ilvl="0" w:tplc="55FE77E6">
      <w:start w:val="1"/>
      <w:numFmt w:val="upperLetter"/>
      <w:lvlText w:val="%1."/>
      <w:lvlJc w:val="left"/>
      <w:pPr>
        <w:ind w:left="1530" w:hanging="36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A74DC"/>
    <w:multiLevelType w:val="hybridMultilevel"/>
    <w:tmpl w:val="FB6AB26C"/>
    <w:lvl w:ilvl="0" w:tplc="04090015">
      <w:start w:val="1"/>
      <w:numFmt w:val="taiwaneseCountingThousand"/>
      <w:lvlText w:val="%1、"/>
      <w:lvlJc w:val="left"/>
      <w:pPr>
        <w:ind w:left="1650" w:hanging="480"/>
      </w:p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9" w15:restartNumberingAfterBreak="0">
    <w:nsid w:val="2D9C66D0"/>
    <w:multiLevelType w:val="hybridMultilevel"/>
    <w:tmpl w:val="3BD84844"/>
    <w:lvl w:ilvl="0" w:tplc="D834F37E">
      <w:start w:val="1"/>
      <w:numFmt w:val="upperRoman"/>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F87AA3"/>
    <w:multiLevelType w:val="hybridMultilevel"/>
    <w:tmpl w:val="3612D73C"/>
    <w:lvl w:ilvl="0" w:tplc="3F4472F2">
      <w:start w:val="1"/>
      <w:numFmt w:val="upperLetter"/>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32D60989"/>
    <w:multiLevelType w:val="hybridMultilevel"/>
    <w:tmpl w:val="31866922"/>
    <w:lvl w:ilvl="0" w:tplc="2D4E922C">
      <w:numFmt w:val="bullet"/>
      <w:lvlText w:val=""/>
      <w:lvlJc w:val="left"/>
      <w:pPr>
        <w:ind w:left="1305" w:hanging="360"/>
      </w:pPr>
      <w:rPr>
        <w:rFonts w:ascii="Symbol" w:eastAsia="Times New Roman" w:hAnsi="Symbol"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2" w15:restartNumberingAfterBreak="0">
    <w:nsid w:val="3313272D"/>
    <w:multiLevelType w:val="hybridMultilevel"/>
    <w:tmpl w:val="6AEE9FD8"/>
    <w:lvl w:ilvl="0" w:tplc="97C263C2">
      <w:start w:val="1"/>
      <w:numFmt w:val="upperLetter"/>
      <w:lvlText w:val="%1."/>
      <w:lvlJc w:val="left"/>
      <w:pPr>
        <w:ind w:left="480" w:hanging="360"/>
      </w:pPr>
      <w:rPr>
        <w:rFonts w:hint="default"/>
        <w:b w:val="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33347F0D"/>
    <w:multiLevelType w:val="hybridMultilevel"/>
    <w:tmpl w:val="DB9A317C"/>
    <w:lvl w:ilvl="0" w:tplc="E6AAA3E0">
      <w:start w:val="1"/>
      <w:numFmt w:val="bullet"/>
      <w:lvlText w:val=""/>
      <w:lvlJc w:val="left"/>
      <w:pPr>
        <w:tabs>
          <w:tab w:val="num" w:pos="720"/>
        </w:tabs>
        <w:ind w:left="720" w:hanging="360"/>
      </w:pPr>
      <w:rPr>
        <w:rFonts w:ascii="Wingdings 2" w:hAnsi="Wingdings 2" w:hint="default"/>
      </w:rPr>
    </w:lvl>
    <w:lvl w:ilvl="1" w:tplc="635A03B0" w:tentative="1">
      <w:start w:val="1"/>
      <w:numFmt w:val="bullet"/>
      <w:lvlText w:val=""/>
      <w:lvlJc w:val="left"/>
      <w:pPr>
        <w:tabs>
          <w:tab w:val="num" w:pos="1440"/>
        </w:tabs>
        <w:ind w:left="1440" w:hanging="360"/>
      </w:pPr>
      <w:rPr>
        <w:rFonts w:ascii="Wingdings 2" w:hAnsi="Wingdings 2" w:hint="default"/>
      </w:rPr>
    </w:lvl>
    <w:lvl w:ilvl="2" w:tplc="D6668A46" w:tentative="1">
      <w:start w:val="1"/>
      <w:numFmt w:val="bullet"/>
      <w:lvlText w:val=""/>
      <w:lvlJc w:val="left"/>
      <w:pPr>
        <w:tabs>
          <w:tab w:val="num" w:pos="2160"/>
        </w:tabs>
        <w:ind w:left="2160" w:hanging="360"/>
      </w:pPr>
      <w:rPr>
        <w:rFonts w:ascii="Wingdings 2" w:hAnsi="Wingdings 2" w:hint="default"/>
      </w:rPr>
    </w:lvl>
    <w:lvl w:ilvl="3" w:tplc="3244C5DA" w:tentative="1">
      <w:start w:val="1"/>
      <w:numFmt w:val="bullet"/>
      <w:lvlText w:val=""/>
      <w:lvlJc w:val="left"/>
      <w:pPr>
        <w:tabs>
          <w:tab w:val="num" w:pos="2880"/>
        </w:tabs>
        <w:ind w:left="2880" w:hanging="360"/>
      </w:pPr>
      <w:rPr>
        <w:rFonts w:ascii="Wingdings 2" w:hAnsi="Wingdings 2" w:hint="default"/>
      </w:rPr>
    </w:lvl>
    <w:lvl w:ilvl="4" w:tplc="C71285EC" w:tentative="1">
      <w:start w:val="1"/>
      <w:numFmt w:val="bullet"/>
      <w:lvlText w:val=""/>
      <w:lvlJc w:val="left"/>
      <w:pPr>
        <w:tabs>
          <w:tab w:val="num" w:pos="3600"/>
        </w:tabs>
        <w:ind w:left="3600" w:hanging="360"/>
      </w:pPr>
      <w:rPr>
        <w:rFonts w:ascii="Wingdings 2" w:hAnsi="Wingdings 2" w:hint="default"/>
      </w:rPr>
    </w:lvl>
    <w:lvl w:ilvl="5" w:tplc="3088228A" w:tentative="1">
      <w:start w:val="1"/>
      <w:numFmt w:val="bullet"/>
      <w:lvlText w:val=""/>
      <w:lvlJc w:val="left"/>
      <w:pPr>
        <w:tabs>
          <w:tab w:val="num" w:pos="4320"/>
        </w:tabs>
        <w:ind w:left="4320" w:hanging="360"/>
      </w:pPr>
      <w:rPr>
        <w:rFonts w:ascii="Wingdings 2" w:hAnsi="Wingdings 2" w:hint="default"/>
      </w:rPr>
    </w:lvl>
    <w:lvl w:ilvl="6" w:tplc="6B32E27A" w:tentative="1">
      <w:start w:val="1"/>
      <w:numFmt w:val="bullet"/>
      <w:lvlText w:val=""/>
      <w:lvlJc w:val="left"/>
      <w:pPr>
        <w:tabs>
          <w:tab w:val="num" w:pos="5040"/>
        </w:tabs>
        <w:ind w:left="5040" w:hanging="360"/>
      </w:pPr>
      <w:rPr>
        <w:rFonts w:ascii="Wingdings 2" w:hAnsi="Wingdings 2" w:hint="default"/>
      </w:rPr>
    </w:lvl>
    <w:lvl w:ilvl="7" w:tplc="F69C7B36" w:tentative="1">
      <w:start w:val="1"/>
      <w:numFmt w:val="bullet"/>
      <w:lvlText w:val=""/>
      <w:lvlJc w:val="left"/>
      <w:pPr>
        <w:tabs>
          <w:tab w:val="num" w:pos="5760"/>
        </w:tabs>
        <w:ind w:left="5760" w:hanging="360"/>
      </w:pPr>
      <w:rPr>
        <w:rFonts w:ascii="Wingdings 2" w:hAnsi="Wingdings 2" w:hint="default"/>
      </w:rPr>
    </w:lvl>
    <w:lvl w:ilvl="8" w:tplc="5BCAEDF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A080206"/>
    <w:multiLevelType w:val="hybridMultilevel"/>
    <w:tmpl w:val="8774F5BC"/>
    <w:lvl w:ilvl="0" w:tplc="04090015">
      <w:start w:val="1"/>
      <w:numFmt w:val="taiwaneseCountingThousand"/>
      <w:lvlText w:val="%1、"/>
      <w:lvlJc w:val="left"/>
      <w:pPr>
        <w:ind w:left="1650" w:hanging="480"/>
      </w:p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15" w15:restartNumberingAfterBreak="0">
    <w:nsid w:val="3CDC00E7"/>
    <w:multiLevelType w:val="hybridMultilevel"/>
    <w:tmpl w:val="C7DE4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903"/>
    <w:multiLevelType w:val="hybridMultilevel"/>
    <w:tmpl w:val="765079A2"/>
    <w:lvl w:ilvl="0" w:tplc="23305BDC">
      <w:start w:val="22"/>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7" w15:restartNumberingAfterBreak="0">
    <w:nsid w:val="46CA7A1B"/>
    <w:multiLevelType w:val="hybridMultilevel"/>
    <w:tmpl w:val="76D06558"/>
    <w:lvl w:ilvl="0" w:tplc="0409001B">
      <w:start w:val="1"/>
      <w:numFmt w:val="lowerRoman"/>
      <w:lvlText w:val="%1."/>
      <w:lvlJc w:val="right"/>
      <w:pPr>
        <w:ind w:left="2160" w:hanging="1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3A31DA"/>
    <w:multiLevelType w:val="hybridMultilevel"/>
    <w:tmpl w:val="78D2A830"/>
    <w:lvl w:ilvl="0" w:tplc="BC300A2A">
      <w:start w:val="1"/>
      <w:numFmt w:val="bullet"/>
      <w:lvlText w:val=""/>
      <w:lvlJc w:val="left"/>
      <w:pPr>
        <w:tabs>
          <w:tab w:val="num" w:pos="720"/>
        </w:tabs>
        <w:ind w:left="720" w:hanging="360"/>
      </w:pPr>
      <w:rPr>
        <w:rFonts w:ascii="Wingdings 2" w:hAnsi="Wingdings 2" w:hint="default"/>
      </w:rPr>
    </w:lvl>
    <w:lvl w:ilvl="1" w:tplc="60AAAE5C">
      <w:start w:val="1706"/>
      <w:numFmt w:val="bullet"/>
      <w:lvlText w:val=""/>
      <w:lvlJc w:val="left"/>
      <w:pPr>
        <w:tabs>
          <w:tab w:val="num" w:pos="1440"/>
        </w:tabs>
        <w:ind w:left="1440" w:hanging="360"/>
      </w:pPr>
      <w:rPr>
        <w:rFonts w:ascii="Wingdings" w:hAnsi="Wingdings" w:hint="default"/>
      </w:rPr>
    </w:lvl>
    <w:lvl w:ilvl="2" w:tplc="B55C1CB0" w:tentative="1">
      <w:start w:val="1"/>
      <w:numFmt w:val="bullet"/>
      <w:lvlText w:val=""/>
      <w:lvlJc w:val="left"/>
      <w:pPr>
        <w:tabs>
          <w:tab w:val="num" w:pos="2160"/>
        </w:tabs>
        <w:ind w:left="2160" w:hanging="360"/>
      </w:pPr>
      <w:rPr>
        <w:rFonts w:ascii="Wingdings 2" w:hAnsi="Wingdings 2" w:hint="default"/>
      </w:rPr>
    </w:lvl>
    <w:lvl w:ilvl="3" w:tplc="E4CC238C" w:tentative="1">
      <w:start w:val="1"/>
      <w:numFmt w:val="bullet"/>
      <w:lvlText w:val=""/>
      <w:lvlJc w:val="left"/>
      <w:pPr>
        <w:tabs>
          <w:tab w:val="num" w:pos="2880"/>
        </w:tabs>
        <w:ind w:left="2880" w:hanging="360"/>
      </w:pPr>
      <w:rPr>
        <w:rFonts w:ascii="Wingdings 2" w:hAnsi="Wingdings 2" w:hint="default"/>
      </w:rPr>
    </w:lvl>
    <w:lvl w:ilvl="4" w:tplc="20C0A8CC" w:tentative="1">
      <w:start w:val="1"/>
      <w:numFmt w:val="bullet"/>
      <w:lvlText w:val=""/>
      <w:lvlJc w:val="left"/>
      <w:pPr>
        <w:tabs>
          <w:tab w:val="num" w:pos="3600"/>
        </w:tabs>
        <w:ind w:left="3600" w:hanging="360"/>
      </w:pPr>
      <w:rPr>
        <w:rFonts w:ascii="Wingdings 2" w:hAnsi="Wingdings 2" w:hint="default"/>
      </w:rPr>
    </w:lvl>
    <w:lvl w:ilvl="5" w:tplc="0E7AC370" w:tentative="1">
      <w:start w:val="1"/>
      <w:numFmt w:val="bullet"/>
      <w:lvlText w:val=""/>
      <w:lvlJc w:val="left"/>
      <w:pPr>
        <w:tabs>
          <w:tab w:val="num" w:pos="4320"/>
        </w:tabs>
        <w:ind w:left="4320" w:hanging="360"/>
      </w:pPr>
      <w:rPr>
        <w:rFonts w:ascii="Wingdings 2" w:hAnsi="Wingdings 2" w:hint="default"/>
      </w:rPr>
    </w:lvl>
    <w:lvl w:ilvl="6" w:tplc="18BADC6A" w:tentative="1">
      <w:start w:val="1"/>
      <w:numFmt w:val="bullet"/>
      <w:lvlText w:val=""/>
      <w:lvlJc w:val="left"/>
      <w:pPr>
        <w:tabs>
          <w:tab w:val="num" w:pos="5040"/>
        </w:tabs>
        <w:ind w:left="5040" w:hanging="360"/>
      </w:pPr>
      <w:rPr>
        <w:rFonts w:ascii="Wingdings 2" w:hAnsi="Wingdings 2" w:hint="default"/>
      </w:rPr>
    </w:lvl>
    <w:lvl w:ilvl="7" w:tplc="60EC96F8" w:tentative="1">
      <w:start w:val="1"/>
      <w:numFmt w:val="bullet"/>
      <w:lvlText w:val=""/>
      <w:lvlJc w:val="left"/>
      <w:pPr>
        <w:tabs>
          <w:tab w:val="num" w:pos="5760"/>
        </w:tabs>
        <w:ind w:left="5760" w:hanging="360"/>
      </w:pPr>
      <w:rPr>
        <w:rFonts w:ascii="Wingdings 2" w:hAnsi="Wingdings 2" w:hint="default"/>
      </w:rPr>
    </w:lvl>
    <w:lvl w:ilvl="8" w:tplc="4E5C9206"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8C02A56"/>
    <w:multiLevelType w:val="hybridMultilevel"/>
    <w:tmpl w:val="D25EE00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6572EA"/>
    <w:multiLevelType w:val="hybridMultilevel"/>
    <w:tmpl w:val="CAA6ED3C"/>
    <w:lvl w:ilvl="0" w:tplc="94FAB3E6">
      <w:start w:val="1"/>
      <w:numFmt w:val="upperRoman"/>
      <w:lvlText w:val="%1."/>
      <w:lvlJc w:val="left"/>
      <w:pPr>
        <w:ind w:left="1080" w:hanging="720"/>
      </w:pPr>
      <w:rPr>
        <w:rFonts w:hint="default"/>
        <w:sz w:val="32"/>
      </w:rPr>
    </w:lvl>
    <w:lvl w:ilvl="1" w:tplc="04090015">
      <w:start w:val="1"/>
      <w:numFmt w:val="upp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1095A"/>
    <w:multiLevelType w:val="hybridMultilevel"/>
    <w:tmpl w:val="761C6F2E"/>
    <w:lvl w:ilvl="0" w:tplc="55FE77E6">
      <w:start w:val="1"/>
      <w:numFmt w:val="upperLetter"/>
      <w:lvlText w:val="%1."/>
      <w:lvlJc w:val="left"/>
      <w:pPr>
        <w:ind w:left="1530" w:hanging="36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546B66"/>
    <w:multiLevelType w:val="hybridMultilevel"/>
    <w:tmpl w:val="A1723074"/>
    <w:lvl w:ilvl="0" w:tplc="2D1E60F8">
      <w:numFmt w:val="bullet"/>
      <w:lvlText w:val=""/>
      <w:lvlJc w:val="left"/>
      <w:pPr>
        <w:ind w:left="885" w:hanging="360"/>
      </w:pPr>
      <w:rPr>
        <w:rFonts w:ascii="Symbol" w:eastAsia="Times New Roman" w:hAnsi="Symbol"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3" w15:restartNumberingAfterBreak="0">
    <w:nsid w:val="5EAD6D9D"/>
    <w:multiLevelType w:val="hybridMultilevel"/>
    <w:tmpl w:val="1866438C"/>
    <w:lvl w:ilvl="0" w:tplc="186E7440">
      <w:numFmt w:val="bullet"/>
      <w:lvlText w:val=""/>
      <w:lvlJc w:val="left"/>
      <w:pPr>
        <w:ind w:left="1305" w:hanging="360"/>
      </w:pPr>
      <w:rPr>
        <w:rFonts w:ascii="Symbol" w:eastAsia="Times New Roman" w:hAnsi="Symbol"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4" w15:restartNumberingAfterBreak="0">
    <w:nsid w:val="60D50A4E"/>
    <w:multiLevelType w:val="hybridMultilevel"/>
    <w:tmpl w:val="2460BAFE"/>
    <w:lvl w:ilvl="0" w:tplc="08749AD4">
      <w:start w:val="22"/>
      <w:numFmt w:val="bullet"/>
      <w:lvlText w:val=""/>
      <w:lvlJc w:val="left"/>
      <w:pPr>
        <w:ind w:left="2025" w:hanging="360"/>
      </w:pPr>
      <w:rPr>
        <w:rFonts w:ascii="Symbol" w:eastAsia="Times New Roman" w:hAnsi="Symbol" w:cs="Times New Roman"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5" w15:restartNumberingAfterBreak="0">
    <w:nsid w:val="64BA069C"/>
    <w:multiLevelType w:val="hybridMultilevel"/>
    <w:tmpl w:val="70283CF0"/>
    <w:lvl w:ilvl="0" w:tplc="46C8D6C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92FBA"/>
    <w:multiLevelType w:val="hybridMultilevel"/>
    <w:tmpl w:val="761C6F2E"/>
    <w:lvl w:ilvl="0" w:tplc="55FE77E6">
      <w:start w:val="1"/>
      <w:numFmt w:val="upperLetter"/>
      <w:lvlText w:val="%1."/>
      <w:lvlJc w:val="left"/>
      <w:pPr>
        <w:ind w:left="1530" w:hanging="36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9E33AA"/>
    <w:multiLevelType w:val="hybridMultilevel"/>
    <w:tmpl w:val="BC9C4304"/>
    <w:lvl w:ilvl="0" w:tplc="8578C29E">
      <w:numFmt w:val="bullet"/>
      <w:lvlText w:val=""/>
      <w:lvlJc w:val="left"/>
      <w:pPr>
        <w:ind w:left="1305" w:hanging="360"/>
      </w:pPr>
      <w:rPr>
        <w:rFonts w:ascii="Symbol" w:eastAsia="Times New Roman" w:hAnsi="Symbol"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8" w15:restartNumberingAfterBreak="0">
    <w:nsid w:val="6EC30CFA"/>
    <w:multiLevelType w:val="multilevel"/>
    <w:tmpl w:val="1114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F9630E"/>
    <w:multiLevelType w:val="hybridMultilevel"/>
    <w:tmpl w:val="738A1290"/>
    <w:lvl w:ilvl="0" w:tplc="04090015">
      <w:start w:val="1"/>
      <w:numFmt w:val="upperLetter"/>
      <w:lvlText w:val="%1."/>
      <w:lvlJc w:val="left"/>
      <w:pPr>
        <w:ind w:left="720" w:hanging="360"/>
      </w:pPr>
      <w:rPr>
        <w:rFonts w:hint="default"/>
      </w:rPr>
    </w:lvl>
    <w:lvl w:ilvl="1" w:tplc="A29CEA7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7274A"/>
    <w:multiLevelType w:val="hybridMultilevel"/>
    <w:tmpl w:val="10CCA1B2"/>
    <w:lvl w:ilvl="0" w:tplc="3F4472F2">
      <w:start w:val="1"/>
      <w:numFmt w:val="upperLetter"/>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7F786267"/>
    <w:multiLevelType w:val="hybridMultilevel"/>
    <w:tmpl w:val="A9E42014"/>
    <w:lvl w:ilvl="0" w:tplc="94FAB3E6">
      <w:start w:val="1"/>
      <w:numFmt w:val="upperRoman"/>
      <w:lvlText w:val="%1."/>
      <w:lvlJc w:val="left"/>
      <w:pPr>
        <w:ind w:left="1080" w:hanging="720"/>
      </w:pPr>
      <w:rPr>
        <w:rFonts w:hint="default"/>
        <w:sz w:val="32"/>
      </w:rPr>
    </w:lvl>
    <w:lvl w:ilvl="1" w:tplc="55FE77E6">
      <w:start w:val="1"/>
      <w:numFmt w:val="upperLetter"/>
      <w:lvlText w:val="%2."/>
      <w:lvlJc w:val="left"/>
      <w:pPr>
        <w:ind w:left="1530" w:hanging="360"/>
      </w:pPr>
      <w:rPr>
        <w:sz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6"/>
  </w:num>
  <w:num w:numId="3">
    <w:abstractNumId w:val="29"/>
  </w:num>
  <w:num w:numId="4">
    <w:abstractNumId w:val="15"/>
  </w:num>
  <w:num w:numId="5">
    <w:abstractNumId w:val="16"/>
  </w:num>
  <w:num w:numId="6">
    <w:abstractNumId w:val="24"/>
  </w:num>
  <w:num w:numId="7">
    <w:abstractNumId w:val="4"/>
  </w:num>
  <w:num w:numId="8">
    <w:abstractNumId w:val="11"/>
  </w:num>
  <w:num w:numId="9">
    <w:abstractNumId w:val="23"/>
  </w:num>
  <w:num w:numId="10">
    <w:abstractNumId w:val="27"/>
  </w:num>
  <w:num w:numId="11">
    <w:abstractNumId w:val="22"/>
  </w:num>
  <w:num w:numId="12">
    <w:abstractNumId w:val="5"/>
  </w:num>
  <w:num w:numId="13">
    <w:abstractNumId w:val="25"/>
  </w:num>
  <w:num w:numId="14">
    <w:abstractNumId w:val="14"/>
  </w:num>
  <w:num w:numId="15">
    <w:abstractNumId w:val="8"/>
  </w:num>
  <w:num w:numId="16">
    <w:abstractNumId w:val="1"/>
  </w:num>
  <w:num w:numId="17">
    <w:abstractNumId w:val="28"/>
  </w:num>
  <w:num w:numId="18">
    <w:abstractNumId w:val="20"/>
  </w:num>
  <w:num w:numId="19">
    <w:abstractNumId w:val="17"/>
  </w:num>
  <w:num w:numId="20">
    <w:abstractNumId w:val="0"/>
  </w:num>
  <w:num w:numId="21">
    <w:abstractNumId w:val="19"/>
  </w:num>
  <w:num w:numId="22">
    <w:abstractNumId w:val="18"/>
  </w:num>
  <w:num w:numId="23">
    <w:abstractNumId w:val="2"/>
  </w:num>
  <w:num w:numId="24">
    <w:abstractNumId w:val="13"/>
  </w:num>
  <w:num w:numId="25">
    <w:abstractNumId w:val="3"/>
  </w:num>
  <w:num w:numId="26">
    <w:abstractNumId w:val="9"/>
  </w:num>
  <w:num w:numId="27">
    <w:abstractNumId w:val="26"/>
  </w:num>
  <w:num w:numId="28">
    <w:abstractNumId w:val="21"/>
  </w:num>
  <w:num w:numId="29">
    <w:abstractNumId w:val="7"/>
  </w:num>
  <w:num w:numId="30">
    <w:abstractNumId w:val="12"/>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E7"/>
    <w:rsid w:val="00000FE4"/>
    <w:rsid w:val="00001029"/>
    <w:rsid w:val="000015B7"/>
    <w:rsid w:val="00002156"/>
    <w:rsid w:val="00002882"/>
    <w:rsid w:val="0000540A"/>
    <w:rsid w:val="0000544E"/>
    <w:rsid w:val="00005B1B"/>
    <w:rsid w:val="00006CBA"/>
    <w:rsid w:val="00007658"/>
    <w:rsid w:val="000100B5"/>
    <w:rsid w:val="000109FD"/>
    <w:rsid w:val="000110BA"/>
    <w:rsid w:val="000133CE"/>
    <w:rsid w:val="0001412D"/>
    <w:rsid w:val="00014289"/>
    <w:rsid w:val="00014382"/>
    <w:rsid w:val="00014F58"/>
    <w:rsid w:val="00014F6F"/>
    <w:rsid w:val="00014F96"/>
    <w:rsid w:val="000160F3"/>
    <w:rsid w:val="000172F1"/>
    <w:rsid w:val="0002006A"/>
    <w:rsid w:val="000205A4"/>
    <w:rsid w:val="00021536"/>
    <w:rsid w:val="00021722"/>
    <w:rsid w:val="0002216D"/>
    <w:rsid w:val="00022A44"/>
    <w:rsid w:val="00025422"/>
    <w:rsid w:val="00025B56"/>
    <w:rsid w:val="000273EA"/>
    <w:rsid w:val="00027B71"/>
    <w:rsid w:val="00030300"/>
    <w:rsid w:val="00032CA1"/>
    <w:rsid w:val="00033593"/>
    <w:rsid w:val="00033792"/>
    <w:rsid w:val="0003487D"/>
    <w:rsid w:val="00036DF1"/>
    <w:rsid w:val="0003743F"/>
    <w:rsid w:val="000409D8"/>
    <w:rsid w:val="00040B51"/>
    <w:rsid w:val="00040CAF"/>
    <w:rsid w:val="0004121F"/>
    <w:rsid w:val="000415CF"/>
    <w:rsid w:val="00041E09"/>
    <w:rsid w:val="00042EFF"/>
    <w:rsid w:val="00044D08"/>
    <w:rsid w:val="00046B85"/>
    <w:rsid w:val="00050749"/>
    <w:rsid w:val="00051B7A"/>
    <w:rsid w:val="000520F6"/>
    <w:rsid w:val="00052522"/>
    <w:rsid w:val="00052F21"/>
    <w:rsid w:val="00054F87"/>
    <w:rsid w:val="0006037D"/>
    <w:rsid w:val="00060C9D"/>
    <w:rsid w:val="00060E28"/>
    <w:rsid w:val="00060F41"/>
    <w:rsid w:val="00062DAF"/>
    <w:rsid w:val="00064635"/>
    <w:rsid w:val="00064701"/>
    <w:rsid w:val="000651BF"/>
    <w:rsid w:val="00065F16"/>
    <w:rsid w:val="00066C67"/>
    <w:rsid w:val="00070E82"/>
    <w:rsid w:val="000710A7"/>
    <w:rsid w:val="00071194"/>
    <w:rsid w:val="000716D3"/>
    <w:rsid w:val="00071F6F"/>
    <w:rsid w:val="0007291E"/>
    <w:rsid w:val="00072D06"/>
    <w:rsid w:val="00073823"/>
    <w:rsid w:val="00073DF0"/>
    <w:rsid w:val="00076463"/>
    <w:rsid w:val="00080539"/>
    <w:rsid w:val="0008123D"/>
    <w:rsid w:val="00081CFE"/>
    <w:rsid w:val="0008209A"/>
    <w:rsid w:val="000828D7"/>
    <w:rsid w:val="00082BD4"/>
    <w:rsid w:val="00085FF2"/>
    <w:rsid w:val="00086299"/>
    <w:rsid w:val="00086690"/>
    <w:rsid w:val="00090801"/>
    <w:rsid w:val="00091554"/>
    <w:rsid w:val="000917B6"/>
    <w:rsid w:val="0009192E"/>
    <w:rsid w:val="00091E61"/>
    <w:rsid w:val="000920DC"/>
    <w:rsid w:val="0009258D"/>
    <w:rsid w:val="00093442"/>
    <w:rsid w:val="000943CE"/>
    <w:rsid w:val="00095871"/>
    <w:rsid w:val="0009634A"/>
    <w:rsid w:val="00096B7C"/>
    <w:rsid w:val="000A0FCC"/>
    <w:rsid w:val="000A0FD6"/>
    <w:rsid w:val="000A1178"/>
    <w:rsid w:val="000A149A"/>
    <w:rsid w:val="000A1A63"/>
    <w:rsid w:val="000A2BE7"/>
    <w:rsid w:val="000A2F07"/>
    <w:rsid w:val="000A3131"/>
    <w:rsid w:val="000A397C"/>
    <w:rsid w:val="000A4A3F"/>
    <w:rsid w:val="000A6E34"/>
    <w:rsid w:val="000B1C98"/>
    <w:rsid w:val="000B2A27"/>
    <w:rsid w:val="000B3E1A"/>
    <w:rsid w:val="000B594C"/>
    <w:rsid w:val="000C09A2"/>
    <w:rsid w:val="000C13F8"/>
    <w:rsid w:val="000C1775"/>
    <w:rsid w:val="000C3A5B"/>
    <w:rsid w:val="000C4516"/>
    <w:rsid w:val="000C47C4"/>
    <w:rsid w:val="000C56AA"/>
    <w:rsid w:val="000C5C55"/>
    <w:rsid w:val="000D0A90"/>
    <w:rsid w:val="000D16E0"/>
    <w:rsid w:val="000D2E6B"/>
    <w:rsid w:val="000D33AF"/>
    <w:rsid w:val="000D5658"/>
    <w:rsid w:val="000D5768"/>
    <w:rsid w:val="000D6F31"/>
    <w:rsid w:val="000D7555"/>
    <w:rsid w:val="000D7D86"/>
    <w:rsid w:val="000E1BC8"/>
    <w:rsid w:val="000E1CA1"/>
    <w:rsid w:val="000E1CCF"/>
    <w:rsid w:val="000E20FF"/>
    <w:rsid w:val="000E3C44"/>
    <w:rsid w:val="000E4293"/>
    <w:rsid w:val="000E4D02"/>
    <w:rsid w:val="000E57D9"/>
    <w:rsid w:val="000E6C2B"/>
    <w:rsid w:val="000E7787"/>
    <w:rsid w:val="000F03E2"/>
    <w:rsid w:val="000F085E"/>
    <w:rsid w:val="000F13B0"/>
    <w:rsid w:val="000F3A16"/>
    <w:rsid w:val="000F44A9"/>
    <w:rsid w:val="000F4A39"/>
    <w:rsid w:val="000F524E"/>
    <w:rsid w:val="000F561E"/>
    <w:rsid w:val="000F5DFB"/>
    <w:rsid w:val="000F6687"/>
    <w:rsid w:val="000F6DF1"/>
    <w:rsid w:val="00102002"/>
    <w:rsid w:val="00104693"/>
    <w:rsid w:val="001049E6"/>
    <w:rsid w:val="00104A64"/>
    <w:rsid w:val="00106AC2"/>
    <w:rsid w:val="00112977"/>
    <w:rsid w:val="00112E4F"/>
    <w:rsid w:val="001140F0"/>
    <w:rsid w:val="00114C78"/>
    <w:rsid w:val="00115593"/>
    <w:rsid w:val="001156E6"/>
    <w:rsid w:val="00116AA4"/>
    <w:rsid w:val="00120276"/>
    <w:rsid w:val="00120B89"/>
    <w:rsid w:val="00120C53"/>
    <w:rsid w:val="00120EBE"/>
    <w:rsid w:val="0012178E"/>
    <w:rsid w:val="001232BD"/>
    <w:rsid w:val="00123C24"/>
    <w:rsid w:val="001257EE"/>
    <w:rsid w:val="001263E3"/>
    <w:rsid w:val="00126829"/>
    <w:rsid w:val="001300E3"/>
    <w:rsid w:val="00130194"/>
    <w:rsid w:val="0013084D"/>
    <w:rsid w:val="00130BC1"/>
    <w:rsid w:val="00133603"/>
    <w:rsid w:val="00134B69"/>
    <w:rsid w:val="0013559F"/>
    <w:rsid w:val="00136754"/>
    <w:rsid w:val="001373FD"/>
    <w:rsid w:val="00140264"/>
    <w:rsid w:val="00140433"/>
    <w:rsid w:val="0014072D"/>
    <w:rsid w:val="00140E18"/>
    <w:rsid w:val="0014296C"/>
    <w:rsid w:val="00142DB4"/>
    <w:rsid w:val="00144168"/>
    <w:rsid w:val="001444E8"/>
    <w:rsid w:val="00144F5C"/>
    <w:rsid w:val="00145965"/>
    <w:rsid w:val="00145BE5"/>
    <w:rsid w:val="00145E19"/>
    <w:rsid w:val="00146E9D"/>
    <w:rsid w:val="0015044E"/>
    <w:rsid w:val="00152AEC"/>
    <w:rsid w:val="0015312D"/>
    <w:rsid w:val="001531D8"/>
    <w:rsid w:val="00154F43"/>
    <w:rsid w:val="00154F6B"/>
    <w:rsid w:val="00155123"/>
    <w:rsid w:val="00155744"/>
    <w:rsid w:val="00155C4B"/>
    <w:rsid w:val="00157F96"/>
    <w:rsid w:val="001615E2"/>
    <w:rsid w:val="00161F6B"/>
    <w:rsid w:val="001621A4"/>
    <w:rsid w:val="00162FA5"/>
    <w:rsid w:val="0016355C"/>
    <w:rsid w:val="001650CE"/>
    <w:rsid w:val="0016533D"/>
    <w:rsid w:val="001656D0"/>
    <w:rsid w:val="00165C35"/>
    <w:rsid w:val="00166A2A"/>
    <w:rsid w:val="001674FF"/>
    <w:rsid w:val="00170655"/>
    <w:rsid w:val="00171284"/>
    <w:rsid w:val="00172B37"/>
    <w:rsid w:val="001825AD"/>
    <w:rsid w:val="00182844"/>
    <w:rsid w:val="0018458B"/>
    <w:rsid w:val="00185EF8"/>
    <w:rsid w:val="001867B1"/>
    <w:rsid w:val="00187A98"/>
    <w:rsid w:val="00191171"/>
    <w:rsid w:val="00192288"/>
    <w:rsid w:val="00192D1B"/>
    <w:rsid w:val="001932B7"/>
    <w:rsid w:val="00193533"/>
    <w:rsid w:val="0019490A"/>
    <w:rsid w:val="00196A58"/>
    <w:rsid w:val="00196C04"/>
    <w:rsid w:val="00197199"/>
    <w:rsid w:val="00197FB3"/>
    <w:rsid w:val="001A054B"/>
    <w:rsid w:val="001A0F71"/>
    <w:rsid w:val="001A1918"/>
    <w:rsid w:val="001A442A"/>
    <w:rsid w:val="001A501B"/>
    <w:rsid w:val="001A52FD"/>
    <w:rsid w:val="001A6A5D"/>
    <w:rsid w:val="001A72B6"/>
    <w:rsid w:val="001B0BD0"/>
    <w:rsid w:val="001B1775"/>
    <w:rsid w:val="001B4B4E"/>
    <w:rsid w:val="001B5166"/>
    <w:rsid w:val="001C0056"/>
    <w:rsid w:val="001C1BA7"/>
    <w:rsid w:val="001C2405"/>
    <w:rsid w:val="001C2430"/>
    <w:rsid w:val="001C3370"/>
    <w:rsid w:val="001C353F"/>
    <w:rsid w:val="001C39AC"/>
    <w:rsid w:val="001C4862"/>
    <w:rsid w:val="001C5254"/>
    <w:rsid w:val="001C56B5"/>
    <w:rsid w:val="001C620F"/>
    <w:rsid w:val="001C6CF7"/>
    <w:rsid w:val="001C7257"/>
    <w:rsid w:val="001C74D7"/>
    <w:rsid w:val="001D0718"/>
    <w:rsid w:val="001D2B5A"/>
    <w:rsid w:val="001D346A"/>
    <w:rsid w:val="001D44D1"/>
    <w:rsid w:val="001D5669"/>
    <w:rsid w:val="001D60EE"/>
    <w:rsid w:val="001D7007"/>
    <w:rsid w:val="001E1215"/>
    <w:rsid w:val="001E2441"/>
    <w:rsid w:val="001F0427"/>
    <w:rsid w:val="001F1BC2"/>
    <w:rsid w:val="001F1E00"/>
    <w:rsid w:val="001F221E"/>
    <w:rsid w:val="001F3FAF"/>
    <w:rsid w:val="001F4948"/>
    <w:rsid w:val="001F532A"/>
    <w:rsid w:val="001F7129"/>
    <w:rsid w:val="00200706"/>
    <w:rsid w:val="00201004"/>
    <w:rsid w:val="002011AF"/>
    <w:rsid w:val="0020179E"/>
    <w:rsid w:val="00203137"/>
    <w:rsid w:val="00203683"/>
    <w:rsid w:val="002037AF"/>
    <w:rsid w:val="002040B2"/>
    <w:rsid w:val="00204933"/>
    <w:rsid w:val="002049E9"/>
    <w:rsid w:val="00205BFC"/>
    <w:rsid w:val="00206AAA"/>
    <w:rsid w:val="002074A9"/>
    <w:rsid w:val="002077E4"/>
    <w:rsid w:val="002079BA"/>
    <w:rsid w:val="00207D3F"/>
    <w:rsid w:val="00210856"/>
    <w:rsid w:val="00210C01"/>
    <w:rsid w:val="00210C0B"/>
    <w:rsid w:val="00211B37"/>
    <w:rsid w:val="00213556"/>
    <w:rsid w:val="00221D0A"/>
    <w:rsid w:val="00221F47"/>
    <w:rsid w:val="00221FCA"/>
    <w:rsid w:val="00224E37"/>
    <w:rsid w:val="00225CC9"/>
    <w:rsid w:val="00225EBD"/>
    <w:rsid w:val="002268F3"/>
    <w:rsid w:val="00227E45"/>
    <w:rsid w:val="00227FE3"/>
    <w:rsid w:val="0023206A"/>
    <w:rsid w:val="00232401"/>
    <w:rsid w:val="0023321F"/>
    <w:rsid w:val="00234111"/>
    <w:rsid w:val="0023484F"/>
    <w:rsid w:val="0023627B"/>
    <w:rsid w:val="00240645"/>
    <w:rsid w:val="002418C0"/>
    <w:rsid w:val="00242E18"/>
    <w:rsid w:val="00246705"/>
    <w:rsid w:val="002475BC"/>
    <w:rsid w:val="00247666"/>
    <w:rsid w:val="002518A1"/>
    <w:rsid w:val="00251A27"/>
    <w:rsid w:val="00251C98"/>
    <w:rsid w:val="00252DC7"/>
    <w:rsid w:val="00252E6A"/>
    <w:rsid w:val="00257DEA"/>
    <w:rsid w:val="00260AF6"/>
    <w:rsid w:val="00260F06"/>
    <w:rsid w:val="0026145C"/>
    <w:rsid w:val="00261CCD"/>
    <w:rsid w:val="0026337B"/>
    <w:rsid w:val="00263E6A"/>
    <w:rsid w:val="00263FBB"/>
    <w:rsid w:val="002648CB"/>
    <w:rsid w:val="002648F8"/>
    <w:rsid w:val="0026664D"/>
    <w:rsid w:val="00270AF8"/>
    <w:rsid w:val="00270B28"/>
    <w:rsid w:val="00271576"/>
    <w:rsid w:val="00271BBE"/>
    <w:rsid w:val="00271FD2"/>
    <w:rsid w:val="00272BF5"/>
    <w:rsid w:val="00273B92"/>
    <w:rsid w:val="00274182"/>
    <w:rsid w:val="002742DF"/>
    <w:rsid w:val="00274400"/>
    <w:rsid w:val="002756F4"/>
    <w:rsid w:val="00276706"/>
    <w:rsid w:val="002768AD"/>
    <w:rsid w:val="00277352"/>
    <w:rsid w:val="00280D26"/>
    <w:rsid w:val="0028278D"/>
    <w:rsid w:val="0028284F"/>
    <w:rsid w:val="00282A50"/>
    <w:rsid w:val="00282EB4"/>
    <w:rsid w:val="00282F8F"/>
    <w:rsid w:val="00283D6B"/>
    <w:rsid w:val="00284754"/>
    <w:rsid w:val="002850D3"/>
    <w:rsid w:val="002853A5"/>
    <w:rsid w:val="0029004C"/>
    <w:rsid w:val="00290200"/>
    <w:rsid w:val="002941C1"/>
    <w:rsid w:val="00294EF1"/>
    <w:rsid w:val="0029546C"/>
    <w:rsid w:val="00297007"/>
    <w:rsid w:val="0029754D"/>
    <w:rsid w:val="002A321E"/>
    <w:rsid w:val="002A51E7"/>
    <w:rsid w:val="002A6F2B"/>
    <w:rsid w:val="002B31F7"/>
    <w:rsid w:val="002B37B2"/>
    <w:rsid w:val="002B404E"/>
    <w:rsid w:val="002B4985"/>
    <w:rsid w:val="002B49B4"/>
    <w:rsid w:val="002B5D0F"/>
    <w:rsid w:val="002B5FA0"/>
    <w:rsid w:val="002B6222"/>
    <w:rsid w:val="002B7B0C"/>
    <w:rsid w:val="002C6091"/>
    <w:rsid w:val="002C65F4"/>
    <w:rsid w:val="002C7D58"/>
    <w:rsid w:val="002D0C17"/>
    <w:rsid w:val="002D1A32"/>
    <w:rsid w:val="002D1D76"/>
    <w:rsid w:val="002D28FE"/>
    <w:rsid w:val="002D3583"/>
    <w:rsid w:val="002D42CC"/>
    <w:rsid w:val="002D4307"/>
    <w:rsid w:val="002D4E81"/>
    <w:rsid w:val="002D7B9E"/>
    <w:rsid w:val="002D7C8C"/>
    <w:rsid w:val="002E09DA"/>
    <w:rsid w:val="002E1BA7"/>
    <w:rsid w:val="002E4CDE"/>
    <w:rsid w:val="002E5C66"/>
    <w:rsid w:val="002E74A7"/>
    <w:rsid w:val="002F0407"/>
    <w:rsid w:val="002F0FF7"/>
    <w:rsid w:val="002F16FD"/>
    <w:rsid w:val="002F2D0B"/>
    <w:rsid w:val="002F4BD0"/>
    <w:rsid w:val="002F69F1"/>
    <w:rsid w:val="002F7869"/>
    <w:rsid w:val="00302734"/>
    <w:rsid w:val="003033C7"/>
    <w:rsid w:val="0030416D"/>
    <w:rsid w:val="003041CF"/>
    <w:rsid w:val="00304539"/>
    <w:rsid w:val="0030517F"/>
    <w:rsid w:val="00305D25"/>
    <w:rsid w:val="00307D1F"/>
    <w:rsid w:val="00307E40"/>
    <w:rsid w:val="00311323"/>
    <w:rsid w:val="003117A5"/>
    <w:rsid w:val="003149D5"/>
    <w:rsid w:val="003150AE"/>
    <w:rsid w:val="003152ED"/>
    <w:rsid w:val="00317F82"/>
    <w:rsid w:val="003208DE"/>
    <w:rsid w:val="00323853"/>
    <w:rsid w:val="003257BF"/>
    <w:rsid w:val="00325C60"/>
    <w:rsid w:val="00325E44"/>
    <w:rsid w:val="00326087"/>
    <w:rsid w:val="0032670B"/>
    <w:rsid w:val="00326BD1"/>
    <w:rsid w:val="00327CD4"/>
    <w:rsid w:val="00331353"/>
    <w:rsid w:val="00332418"/>
    <w:rsid w:val="0033422E"/>
    <w:rsid w:val="003365ED"/>
    <w:rsid w:val="003377E5"/>
    <w:rsid w:val="003435A9"/>
    <w:rsid w:val="00344B4B"/>
    <w:rsid w:val="003464C4"/>
    <w:rsid w:val="0034708C"/>
    <w:rsid w:val="003479FC"/>
    <w:rsid w:val="00352E92"/>
    <w:rsid w:val="003538AC"/>
    <w:rsid w:val="00356772"/>
    <w:rsid w:val="00356F4D"/>
    <w:rsid w:val="00362F0B"/>
    <w:rsid w:val="00363292"/>
    <w:rsid w:val="0036501F"/>
    <w:rsid w:val="00367DD0"/>
    <w:rsid w:val="00370BA7"/>
    <w:rsid w:val="0037166C"/>
    <w:rsid w:val="003717E9"/>
    <w:rsid w:val="00372407"/>
    <w:rsid w:val="00373118"/>
    <w:rsid w:val="00374839"/>
    <w:rsid w:val="0037556F"/>
    <w:rsid w:val="003770C6"/>
    <w:rsid w:val="003812AB"/>
    <w:rsid w:val="00382AED"/>
    <w:rsid w:val="00382FE3"/>
    <w:rsid w:val="003842F3"/>
    <w:rsid w:val="003848A1"/>
    <w:rsid w:val="0038628D"/>
    <w:rsid w:val="00390B4E"/>
    <w:rsid w:val="00391055"/>
    <w:rsid w:val="003928D2"/>
    <w:rsid w:val="00393021"/>
    <w:rsid w:val="00394351"/>
    <w:rsid w:val="00395341"/>
    <w:rsid w:val="00396788"/>
    <w:rsid w:val="003970FB"/>
    <w:rsid w:val="00397F29"/>
    <w:rsid w:val="003A09E5"/>
    <w:rsid w:val="003A0FDD"/>
    <w:rsid w:val="003A21D4"/>
    <w:rsid w:val="003A24A9"/>
    <w:rsid w:val="003A2C7A"/>
    <w:rsid w:val="003A5A7D"/>
    <w:rsid w:val="003A6C11"/>
    <w:rsid w:val="003B0027"/>
    <w:rsid w:val="003B0A0D"/>
    <w:rsid w:val="003B1AE1"/>
    <w:rsid w:val="003B1B50"/>
    <w:rsid w:val="003B3580"/>
    <w:rsid w:val="003B3C14"/>
    <w:rsid w:val="003B624C"/>
    <w:rsid w:val="003B7A1A"/>
    <w:rsid w:val="003B7FD8"/>
    <w:rsid w:val="003C0F48"/>
    <w:rsid w:val="003C1D42"/>
    <w:rsid w:val="003C20B8"/>
    <w:rsid w:val="003C221B"/>
    <w:rsid w:val="003C228B"/>
    <w:rsid w:val="003C30D4"/>
    <w:rsid w:val="003C3A7B"/>
    <w:rsid w:val="003C5AEA"/>
    <w:rsid w:val="003C6411"/>
    <w:rsid w:val="003C7108"/>
    <w:rsid w:val="003C7F5C"/>
    <w:rsid w:val="003D250C"/>
    <w:rsid w:val="003D25AD"/>
    <w:rsid w:val="003D4082"/>
    <w:rsid w:val="003D4870"/>
    <w:rsid w:val="003D4EB0"/>
    <w:rsid w:val="003D5B3F"/>
    <w:rsid w:val="003D5DAE"/>
    <w:rsid w:val="003D7CD6"/>
    <w:rsid w:val="003E0544"/>
    <w:rsid w:val="003E0D25"/>
    <w:rsid w:val="003E147E"/>
    <w:rsid w:val="003E18F7"/>
    <w:rsid w:val="003E265B"/>
    <w:rsid w:val="003E3062"/>
    <w:rsid w:val="003E37E1"/>
    <w:rsid w:val="003E5AB7"/>
    <w:rsid w:val="003E7D65"/>
    <w:rsid w:val="003E7F27"/>
    <w:rsid w:val="003F0215"/>
    <w:rsid w:val="003F1883"/>
    <w:rsid w:val="003F5264"/>
    <w:rsid w:val="003F5571"/>
    <w:rsid w:val="003F5ACA"/>
    <w:rsid w:val="003F5F13"/>
    <w:rsid w:val="003F697C"/>
    <w:rsid w:val="003F6EF1"/>
    <w:rsid w:val="003F7158"/>
    <w:rsid w:val="003F7993"/>
    <w:rsid w:val="004004F5"/>
    <w:rsid w:val="00405646"/>
    <w:rsid w:val="00405762"/>
    <w:rsid w:val="004110BE"/>
    <w:rsid w:val="0041141F"/>
    <w:rsid w:val="004114F6"/>
    <w:rsid w:val="00412B46"/>
    <w:rsid w:val="0041468E"/>
    <w:rsid w:val="00414DDE"/>
    <w:rsid w:val="0042007B"/>
    <w:rsid w:val="004204BB"/>
    <w:rsid w:val="00421417"/>
    <w:rsid w:val="00421DCA"/>
    <w:rsid w:val="0042237D"/>
    <w:rsid w:val="0042278B"/>
    <w:rsid w:val="00423FCF"/>
    <w:rsid w:val="00424527"/>
    <w:rsid w:val="0042484A"/>
    <w:rsid w:val="00425987"/>
    <w:rsid w:val="00425EC7"/>
    <w:rsid w:val="00426883"/>
    <w:rsid w:val="0042724C"/>
    <w:rsid w:val="00427B24"/>
    <w:rsid w:val="004316B2"/>
    <w:rsid w:val="00432F88"/>
    <w:rsid w:val="0043328A"/>
    <w:rsid w:val="0043401F"/>
    <w:rsid w:val="00435617"/>
    <w:rsid w:val="0043601D"/>
    <w:rsid w:val="004362F9"/>
    <w:rsid w:val="004369FA"/>
    <w:rsid w:val="0043754C"/>
    <w:rsid w:val="00440CF6"/>
    <w:rsid w:val="0044220A"/>
    <w:rsid w:val="004424F7"/>
    <w:rsid w:val="00442A20"/>
    <w:rsid w:val="004444FE"/>
    <w:rsid w:val="004446A3"/>
    <w:rsid w:val="00446F35"/>
    <w:rsid w:val="004515AC"/>
    <w:rsid w:val="00452E51"/>
    <w:rsid w:val="00453532"/>
    <w:rsid w:val="00453F43"/>
    <w:rsid w:val="00454362"/>
    <w:rsid w:val="00455C40"/>
    <w:rsid w:val="00457CBC"/>
    <w:rsid w:val="00460B7C"/>
    <w:rsid w:val="004627BC"/>
    <w:rsid w:val="004663E4"/>
    <w:rsid w:val="00467E32"/>
    <w:rsid w:val="004740ED"/>
    <w:rsid w:val="0047411A"/>
    <w:rsid w:val="0047422C"/>
    <w:rsid w:val="004754EC"/>
    <w:rsid w:val="00476F87"/>
    <w:rsid w:val="004772E1"/>
    <w:rsid w:val="0048067B"/>
    <w:rsid w:val="00481B70"/>
    <w:rsid w:val="00482061"/>
    <w:rsid w:val="00482A0C"/>
    <w:rsid w:val="00482C0B"/>
    <w:rsid w:val="004834B8"/>
    <w:rsid w:val="00483E52"/>
    <w:rsid w:val="004846BF"/>
    <w:rsid w:val="00484DBD"/>
    <w:rsid w:val="00487115"/>
    <w:rsid w:val="0049036A"/>
    <w:rsid w:val="00490DA5"/>
    <w:rsid w:val="004918F8"/>
    <w:rsid w:val="00492546"/>
    <w:rsid w:val="004925AD"/>
    <w:rsid w:val="0049374D"/>
    <w:rsid w:val="00493900"/>
    <w:rsid w:val="004950C5"/>
    <w:rsid w:val="00495485"/>
    <w:rsid w:val="004957B9"/>
    <w:rsid w:val="00496AF4"/>
    <w:rsid w:val="00497238"/>
    <w:rsid w:val="004A0405"/>
    <w:rsid w:val="004A2039"/>
    <w:rsid w:val="004A2B77"/>
    <w:rsid w:val="004A7F29"/>
    <w:rsid w:val="004B187B"/>
    <w:rsid w:val="004B2167"/>
    <w:rsid w:val="004B3043"/>
    <w:rsid w:val="004B3153"/>
    <w:rsid w:val="004B3349"/>
    <w:rsid w:val="004B3C82"/>
    <w:rsid w:val="004B42F6"/>
    <w:rsid w:val="004B4340"/>
    <w:rsid w:val="004B46FC"/>
    <w:rsid w:val="004B48BF"/>
    <w:rsid w:val="004B5B3B"/>
    <w:rsid w:val="004B62FF"/>
    <w:rsid w:val="004B6C6D"/>
    <w:rsid w:val="004B6DE6"/>
    <w:rsid w:val="004B7083"/>
    <w:rsid w:val="004C4F9E"/>
    <w:rsid w:val="004C592B"/>
    <w:rsid w:val="004C67CE"/>
    <w:rsid w:val="004D0F0A"/>
    <w:rsid w:val="004D123F"/>
    <w:rsid w:val="004D1C53"/>
    <w:rsid w:val="004D1C89"/>
    <w:rsid w:val="004D1F4C"/>
    <w:rsid w:val="004D385A"/>
    <w:rsid w:val="004D4ADD"/>
    <w:rsid w:val="004D524B"/>
    <w:rsid w:val="004D5C87"/>
    <w:rsid w:val="004D5F31"/>
    <w:rsid w:val="004D67B9"/>
    <w:rsid w:val="004D6B62"/>
    <w:rsid w:val="004D7021"/>
    <w:rsid w:val="004D7CE1"/>
    <w:rsid w:val="004E0305"/>
    <w:rsid w:val="004E2C81"/>
    <w:rsid w:val="004E2E81"/>
    <w:rsid w:val="004E2F85"/>
    <w:rsid w:val="004E3C98"/>
    <w:rsid w:val="004E5252"/>
    <w:rsid w:val="004E5C73"/>
    <w:rsid w:val="004E6AB3"/>
    <w:rsid w:val="004E6E78"/>
    <w:rsid w:val="004E6F9F"/>
    <w:rsid w:val="004F1407"/>
    <w:rsid w:val="004F1E45"/>
    <w:rsid w:val="004F201E"/>
    <w:rsid w:val="004F258C"/>
    <w:rsid w:val="004F32AE"/>
    <w:rsid w:val="004F56C0"/>
    <w:rsid w:val="004F612B"/>
    <w:rsid w:val="004F6AAF"/>
    <w:rsid w:val="004F6C30"/>
    <w:rsid w:val="004F6D92"/>
    <w:rsid w:val="0050101D"/>
    <w:rsid w:val="00501B1C"/>
    <w:rsid w:val="00502561"/>
    <w:rsid w:val="00503665"/>
    <w:rsid w:val="0050392D"/>
    <w:rsid w:val="0050429D"/>
    <w:rsid w:val="005044CF"/>
    <w:rsid w:val="00505958"/>
    <w:rsid w:val="0051072D"/>
    <w:rsid w:val="00510BC0"/>
    <w:rsid w:val="00510EED"/>
    <w:rsid w:val="00511982"/>
    <w:rsid w:val="0051258D"/>
    <w:rsid w:val="005128E5"/>
    <w:rsid w:val="0051346F"/>
    <w:rsid w:val="00514021"/>
    <w:rsid w:val="005154B2"/>
    <w:rsid w:val="005178A9"/>
    <w:rsid w:val="00521289"/>
    <w:rsid w:val="005218AE"/>
    <w:rsid w:val="00523003"/>
    <w:rsid w:val="00524CBA"/>
    <w:rsid w:val="00524E70"/>
    <w:rsid w:val="00524F33"/>
    <w:rsid w:val="00526046"/>
    <w:rsid w:val="005261CD"/>
    <w:rsid w:val="0052630E"/>
    <w:rsid w:val="005277A1"/>
    <w:rsid w:val="0053111B"/>
    <w:rsid w:val="005321C8"/>
    <w:rsid w:val="005321E6"/>
    <w:rsid w:val="0053331B"/>
    <w:rsid w:val="00533DF6"/>
    <w:rsid w:val="005359B0"/>
    <w:rsid w:val="00540EC3"/>
    <w:rsid w:val="00540EDA"/>
    <w:rsid w:val="00541841"/>
    <w:rsid w:val="00541CC7"/>
    <w:rsid w:val="005426A8"/>
    <w:rsid w:val="00544B97"/>
    <w:rsid w:val="00544D91"/>
    <w:rsid w:val="005462E3"/>
    <w:rsid w:val="00546377"/>
    <w:rsid w:val="005476A3"/>
    <w:rsid w:val="00551370"/>
    <w:rsid w:val="00552389"/>
    <w:rsid w:val="00552444"/>
    <w:rsid w:val="00552FB6"/>
    <w:rsid w:val="005555B2"/>
    <w:rsid w:val="005564CF"/>
    <w:rsid w:val="00556637"/>
    <w:rsid w:val="00556722"/>
    <w:rsid w:val="00556AEE"/>
    <w:rsid w:val="005608E3"/>
    <w:rsid w:val="00560C37"/>
    <w:rsid w:val="00561FC4"/>
    <w:rsid w:val="00563459"/>
    <w:rsid w:val="00563A8D"/>
    <w:rsid w:val="00564EEC"/>
    <w:rsid w:val="005654B7"/>
    <w:rsid w:val="00571E7E"/>
    <w:rsid w:val="00573719"/>
    <w:rsid w:val="005742E2"/>
    <w:rsid w:val="00575641"/>
    <w:rsid w:val="00576D13"/>
    <w:rsid w:val="00577DDC"/>
    <w:rsid w:val="00577F2B"/>
    <w:rsid w:val="005805A6"/>
    <w:rsid w:val="00580DE0"/>
    <w:rsid w:val="00581A72"/>
    <w:rsid w:val="00583459"/>
    <w:rsid w:val="0058732E"/>
    <w:rsid w:val="00590A2B"/>
    <w:rsid w:val="005927A6"/>
    <w:rsid w:val="00592A9B"/>
    <w:rsid w:val="00593AF4"/>
    <w:rsid w:val="0059545A"/>
    <w:rsid w:val="0059715C"/>
    <w:rsid w:val="005A04F6"/>
    <w:rsid w:val="005A0628"/>
    <w:rsid w:val="005A11DB"/>
    <w:rsid w:val="005A148C"/>
    <w:rsid w:val="005A1C7A"/>
    <w:rsid w:val="005A3683"/>
    <w:rsid w:val="005A3905"/>
    <w:rsid w:val="005A6A16"/>
    <w:rsid w:val="005A7BFD"/>
    <w:rsid w:val="005A7CC4"/>
    <w:rsid w:val="005A7E72"/>
    <w:rsid w:val="005B06B4"/>
    <w:rsid w:val="005B0AE8"/>
    <w:rsid w:val="005B45F1"/>
    <w:rsid w:val="005B5D55"/>
    <w:rsid w:val="005B6C29"/>
    <w:rsid w:val="005B73A6"/>
    <w:rsid w:val="005C0287"/>
    <w:rsid w:val="005C1215"/>
    <w:rsid w:val="005C1243"/>
    <w:rsid w:val="005C1CBA"/>
    <w:rsid w:val="005C1D1D"/>
    <w:rsid w:val="005C1D69"/>
    <w:rsid w:val="005C2646"/>
    <w:rsid w:val="005C31DB"/>
    <w:rsid w:val="005C4D68"/>
    <w:rsid w:val="005C555E"/>
    <w:rsid w:val="005C7F95"/>
    <w:rsid w:val="005D03AC"/>
    <w:rsid w:val="005D06DB"/>
    <w:rsid w:val="005D0CDD"/>
    <w:rsid w:val="005D14F8"/>
    <w:rsid w:val="005D17EB"/>
    <w:rsid w:val="005D1EEE"/>
    <w:rsid w:val="005D3D41"/>
    <w:rsid w:val="005D3EE8"/>
    <w:rsid w:val="005D418E"/>
    <w:rsid w:val="005D41E3"/>
    <w:rsid w:val="005D50B6"/>
    <w:rsid w:val="005D51B9"/>
    <w:rsid w:val="005D5501"/>
    <w:rsid w:val="005E0539"/>
    <w:rsid w:val="005E179B"/>
    <w:rsid w:val="005E1AAE"/>
    <w:rsid w:val="005E2942"/>
    <w:rsid w:val="005E2E34"/>
    <w:rsid w:val="005E302E"/>
    <w:rsid w:val="005E3809"/>
    <w:rsid w:val="005E38AD"/>
    <w:rsid w:val="005E4F88"/>
    <w:rsid w:val="005E543C"/>
    <w:rsid w:val="005E6193"/>
    <w:rsid w:val="005E7768"/>
    <w:rsid w:val="005E7DCC"/>
    <w:rsid w:val="005E7EBC"/>
    <w:rsid w:val="005E7F36"/>
    <w:rsid w:val="005F2EA3"/>
    <w:rsid w:val="005F4381"/>
    <w:rsid w:val="005F5B2C"/>
    <w:rsid w:val="005F5E5A"/>
    <w:rsid w:val="005F66E9"/>
    <w:rsid w:val="005F78FA"/>
    <w:rsid w:val="0060009E"/>
    <w:rsid w:val="00601A91"/>
    <w:rsid w:val="00603CE3"/>
    <w:rsid w:val="00604106"/>
    <w:rsid w:val="00604610"/>
    <w:rsid w:val="006070A8"/>
    <w:rsid w:val="00611289"/>
    <w:rsid w:val="00611305"/>
    <w:rsid w:val="00611A9A"/>
    <w:rsid w:val="00611C2F"/>
    <w:rsid w:val="00612175"/>
    <w:rsid w:val="006144D9"/>
    <w:rsid w:val="00616C96"/>
    <w:rsid w:val="00621027"/>
    <w:rsid w:val="0062216F"/>
    <w:rsid w:val="00622296"/>
    <w:rsid w:val="00623CB9"/>
    <w:rsid w:val="00623CDE"/>
    <w:rsid w:val="00624403"/>
    <w:rsid w:val="00630600"/>
    <w:rsid w:val="00630BCD"/>
    <w:rsid w:val="00630C6E"/>
    <w:rsid w:val="00631323"/>
    <w:rsid w:val="00631629"/>
    <w:rsid w:val="00631EF6"/>
    <w:rsid w:val="00632308"/>
    <w:rsid w:val="00633037"/>
    <w:rsid w:val="0063338B"/>
    <w:rsid w:val="0063361B"/>
    <w:rsid w:val="006361DC"/>
    <w:rsid w:val="00636DCF"/>
    <w:rsid w:val="006378DD"/>
    <w:rsid w:val="00640543"/>
    <w:rsid w:val="00641EF2"/>
    <w:rsid w:val="006422C4"/>
    <w:rsid w:val="00642431"/>
    <w:rsid w:val="00642538"/>
    <w:rsid w:val="0064381B"/>
    <w:rsid w:val="00643FEE"/>
    <w:rsid w:val="006451D6"/>
    <w:rsid w:val="00645FB5"/>
    <w:rsid w:val="00646C8B"/>
    <w:rsid w:val="006475DE"/>
    <w:rsid w:val="0064760C"/>
    <w:rsid w:val="00651AA6"/>
    <w:rsid w:val="00652659"/>
    <w:rsid w:val="00655131"/>
    <w:rsid w:val="006557C7"/>
    <w:rsid w:val="0065613D"/>
    <w:rsid w:val="0065736B"/>
    <w:rsid w:val="00657D3D"/>
    <w:rsid w:val="00661BC4"/>
    <w:rsid w:val="006625A7"/>
    <w:rsid w:val="006633E2"/>
    <w:rsid w:val="00663F3D"/>
    <w:rsid w:val="006656F4"/>
    <w:rsid w:val="006661E6"/>
    <w:rsid w:val="00666696"/>
    <w:rsid w:val="00667B5B"/>
    <w:rsid w:val="00670105"/>
    <w:rsid w:val="00671651"/>
    <w:rsid w:val="006729AD"/>
    <w:rsid w:val="00672B33"/>
    <w:rsid w:val="006742ED"/>
    <w:rsid w:val="0067435E"/>
    <w:rsid w:val="00674E03"/>
    <w:rsid w:val="00675721"/>
    <w:rsid w:val="00675A89"/>
    <w:rsid w:val="00675BFD"/>
    <w:rsid w:val="00676160"/>
    <w:rsid w:val="006777BE"/>
    <w:rsid w:val="00681A57"/>
    <w:rsid w:val="00681D1D"/>
    <w:rsid w:val="00683E8D"/>
    <w:rsid w:val="006844D1"/>
    <w:rsid w:val="0068604F"/>
    <w:rsid w:val="00686621"/>
    <w:rsid w:val="00687BFF"/>
    <w:rsid w:val="00687E17"/>
    <w:rsid w:val="0069054D"/>
    <w:rsid w:val="00690DA2"/>
    <w:rsid w:val="00690F32"/>
    <w:rsid w:val="00691A52"/>
    <w:rsid w:val="006926A8"/>
    <w:rsid w:val="00692A18"/>
    <w:rsid w:val="00692EA0"/>
    <w:rsid w:val="00693A44"/>
    <w:rsid w:val="00693D25"/>
    <w:rsid w:val="00693E57"/>
    <w:rsid w:val="006A076E"/>
    <w:rsid w:val="006A2FDE"/>
    <w:rsid w:val="006A4C33"/>
    <w:rsid w:val="006A4E15"/>
    <w:rsid w:val="006A64F2"/>
    <w:rsid w:val="006B24BD"/>
    <w:rsid w:val="006B3533"/>
    <w:rsid w:val="006B3B30"/>
    <w:rsid w:val="006B3DE9"/>
    <w:rsid w:val="006B53E0"/>
    <w:rsid w:val="006B6DA3"/>
    <w:rsid w:val="006B6EFC"/>
    <w:rsid w:val="006C0374"/>
    <w:rsid w:val="006C15E3"/>
    <w:rsid w:val="006C3255"/>
    <w:rsid w:val="006C37D1"/>
    <w:rsid w:val="006C3816"/>
    <w:rsid w:val="006C400B"/>
    <w:rsid w:val="006C49F9"/>
    <w:rsid w:val="006C4C28"/>
    <w:rsid w:val="006C4D23"/>
    <w:rsid w:val="006C5380"/>
    <w:rsid w:val="006C5733"/>
    <w:rsid w:val="006D08D0"/>
    <w:rsid w:val="006D0ECF"/>
    <w:rsid w:val="006D1953"/>
    <w:rsid w:val="006D27D0"/>
    <w:rsid w:val="006D5711"/>
    <w:rsid w:val="006D60D6"/>
    <w:rsid w:val="006D69EA"/>
    <w:rsid w:val="006E01AC"/>
    <w:rsid w:val="006E2363"/>
    <w:rsid w:val="006E2412"/>
    <w:rsid w:val="006E24B5"/>
    <w:rsid w:val="006E2A36"/>
    <w:rsid w:val="006E3BE2"/>
    <w:rsid w:val="006E444F"/>
    <w:rsid w:val="006E546D"/>
    <w:rsid w:val="006E5AD4"/>
    <w:rsid w:val="006E6A3C"/>
    <w:rsid w:val="006E6BB2"/>
    <w:rsid w:val="006E70F0"/>
    <w:rsid w:val="006F055E"/>
    <w:rsid w:val="006F0F4B"/>
    <w:rsid w:val="006F1248"/>
    <w:rsid w:val="006F1275"/>
    <w:rsid w:val="006F130C"/>
    <w:rsid w:val="006F16D3"/>
    <w:rsid w:val="006F1BBE"/>
    <w:rsid w:val="006F589C"/>
    <w:rsid w:val="00700557"/>
    <w:rsid w:val="00702354"/>
    <w:rsid w:val="00702501"/>
    <w:rsid w:val="00702575"/>
    <w:rsid w:val="00703C2A"/>
    <w:rsid w:val="00704CE3"/>
    <w:rsid w:val="00705C06"/>
    <w:rsid w:val="00705FD8"/>
    <w:rsid w:val="00706517"/>
    <w:rsid w:val="007073E6"/>
    <w:rsid w:val="00710B48"/>
    <w:rsid w:val="00710CB3"/>
    <w:rsid w:val="007114A9"/>
    <w:rsid w:val="00711B23"/>
    <w:rsid w:val="0071271A"/>
    <w:rsid w:val="00713184"/>
    <w:rsid w:val="00713AB2"/>
    <w:rsid w:val="00714CC8"/>
    <w:rsid w:val="00714E47"/>
    <w:rsid w:val="00716B55"/>
    <w:rsid w:val="007178A9"/>
    <w:rsid w:val="00720689"/>
    <w:rsid w:val="00720C6B"/>
    <w:rsid w:val="00720FAB"/>
    <w:rsid w:val="00722819"/>
    <w:rsid w:val="00724D61"/>
    <w:rsid w:val="007262BE"/>
    <w:rsid w:val="00726BD8"/>
    <w:rsid w:val="00726C34"/>
    <w:rsid w:val="007272B1"/>
    <w:rsid w:val="00732FAE"/>
    <w:rsid w:val="00733C80"/>
    <w:rsid w:val="00733D3B"/>
    <w:rsid w:val="00736F23"/>
    <w:rsid w:val="0074058E"/>
    <w:rsid w:val="007407A6"/>
    <w:rsid w:val="007416E6"/>
    <w:rsid w:val="00741F84"/>
    <w:rsid w:val="007430FB"/>
    <w:rsid w:val="00743D2E"/>
    <w:rsid w:val="0074411E"/>
    <w:rsid w:val="0074422E"/>
    <w:rsid w:val="00744A8D"/>
    <w:rsid w:val="0074587F"/>
    <w:rsid w:val="00746CD7"/>
    <w:rsid w:val="00747D2A"/>
    <w:rsid w:val="00750282"/>
    <w:rsid w:val="007502BB"/>
    <w:rsid w:val="00750707"/>
    <w:rsid w:val="007508FD"/>
    <w:rsid w:val="00750E0E"/>
    <w:rsid w:val="007520B4"/>
    <w:rsid w:val="007521EB"/>
    <w:rsid w:val="00754F84"/>
    <w:rsid w:val="007557CD"/>
    <w:rsid w:val="00755F4C"/>
    <w:rsid w:val="00756018"/>
    <w:rsid w:val="00756980"/>
    <w:rsid w:val="007604EE"/>
    <w:rsid w:val="00761163"/>
    <w:rsid w:val="007648B7"/>
    <w:rsid w:val="00764A19"/>
    <w:rsid w:val="0076763A"/>
    <w:rsid w:val="00767742"/>
    <w:rsid w:val="0077278F"/>
    <w:rsid w:val="007731C7"/>
    <w:rsid w:val="007735FA"/>
    <w:rsid w:val="00773ACA"/>
    <w:rsid w:val="007744B4"/>
    <w:rsid w:val="00774DE2"/>
    <w:rsid w:val="00776ACE"/>
    <w:rsid w:val="00776F13"/>
    <w:rsid w:val="0077789F"/>
    <w:rsid w:val="00780BEC"/>
    <w:rsid w:val="00781B6C"/>
    <w:rsid w:val="0078224F"/>
    <w:rsid w:val="007854DE"/>
    <w:rsid w:val="0078577D"/>
    <w:rsid w:val="007861AE"/>
    <w:rsid w:val="00786327"/>
    <w:rsid w:val="00792265"/>
    <w:rsid w:val="007933DC"/>
    <w:rsid w:val="007941F8"/>
    <w:rsid w:val="00794815"/>
    <w:rsid w:val="0079488B"/>
    <w:rsid w:val="00795420"/>
    <w:rsid w:val="00795826"/>
    <w:rsid w:val="00796323"/>
    <w:rsid w:val="00796339"/>
    <w:rsid w:val="007963F1"/>
    <w:rsid w:val="00796A4E"/>
    <w:rsid w:val="0079792F"/>
    <w:rsid w:val="007A09B0"/>
    <w:rsid w:val="007A0CD5"/>
    <w:rsid w:val="007A0DF2"/>
    <w:rsid w:val="007A0F21"/>
    <w:rsid w:val="007A117A"/>
    <w:rsid w:val="007A1F4D"/>
    <w:rsid w:val="007A2678"/>
    <w:rsid w:val="007A362C"/>
    <w:rsid w:val="007A36AC"/>
    <w:rsid w:val="007A440D"/>
    <w:rsid w:val="007A4A8F"/>
    <w:rsid w:val="007B077E"/>
    <w:rsid w:val="007B1052"/>
    <w:rsid w:val="007B1FDA"/>
    <w:rsid w:val="007B280C"/>
    <w:rsid w:val="007B4158"/>
    <w:rsid w:val="007B4C3E"/>
    <w:rsid w:val="007B50BA"/>
    <w:rsid w:val="007B52F8"/>
    <w:rsid w:val="007B54AE"/>
    <w:rsid w:val="007C0437"/>
    <w:rsid w:val="007C31F3"/>
    <w:rsid w:val="007C352B"/>
    <w:rsid w:val="007C40B0"/>
    <w:rsid w:val="007C4406"/>
    <w:rsid w:val="007C5A6D"/>
    <w:rsid w:val="007C6126"/>
    <w:rsid w:val="007C77EA"/>
    <w:rsid w:val="007C7CF9"/>
    <w:rsid w:val="007D2C7B"/>
    <w:rsid w:val="007D4DD6"/>
    <w:rsid w:val="007D52BD"/>
    <w:rsid w:val="007D60AF"/>
    <w:rsid w:val="007D6189"/>
    <w:rsid w:val="007D6721"/>
    <w:rsid w:val="007D6C40"/>
    <w:rsid w:val="007D7C5D"/>
    <w:rsid w:val="007D7D48"/>
    <w:rsid w:val="007E04C8"/>
    <w:rsid w:val="007E1515"/>
    <w:rsid w:val="007E302E"/>
    <w:rsid w:val="007E3BC2"/>
    <w:rsid w:val="007E40A2"/>
    <w:rsid w:val="007E4FD1"/>
    <w:rsid w:val="007E5B54"/>
    <w:rsid w:val="007E5CA2"/>
    <w:rsid w:val="007E653F"/>
    <w:rsid w:val="007F0AA2"/>
    <w:rsid w:val="007F0C58"/>
    <w:rsid w:val="007F2777"/>
    <w:rsid w:val="007F280A"/>
    <w:rsid w:val="007F356B"/>
    <w:rsid w:val="007F38D5"/>
    <w:rsid w:val="007F396F"/>
    <w:rsid w:val="007F3AED"/>
    <w:rsid w:val="007F3D7C"/>
    <w:rsid w:val="007F4557"/>
    <w:rsid w:val="007F4AD4"/>
    <w:rsid w:val="007F509E"/>
    <w:rsid w:val="007F5D6D"/>
    <w:rsid w:val="0080151E"/>
    <w:rsid w:val="00802483"/>
    <w:rsid w:val="00803F64"/>
    <w:rsid w:val="008048D6"/>
    <w:rsid w:val="00804EAF"/>
    <w:rsid w:val="0080505A"/>
    <w:rsid w:val="00807B96"/>
    <w:rsid w:val="00807BA4"/>
    <w:rsid w:val="00807BE9"/>
    <w:rsid w:val="00811182"/>
    <w:rsid w:val="00812598"/>
    <w:rsid w:val="00812ABF"/>
    <w:rsid w:val="00814503"/>
    <w:rsid w:val="00815573"/>
    <w:rsid w:val="00815E10"/>
    <w:rsid w:val="008176B9"/>
    <w:rsid w:val="008218FA"/>
    <w:rsid w:val="00821EFE"/>
    <w:rsid w:val="00822905"/>
    <w:rsid w:val="008229C2"/>
    <w:rsid w:val="00822D37"/>
    <w:rsid w:val="0082551D"/>
    <w:rsid w:val="008264EA"/>
    <w:rsid w:val="00831922"/>
    <w:rsid w:val="00831D98"/>
    <w:rsid w:val="0083424C"/>
    <w:rsid w:val="00835215"/>
    <w:rsid w:val="00835390"/>
    <w:rsid w:val="0083785F"/>
    <w:rsid w:val="00837D57"/>
    <w:rsid w:val="008409C9"/>
    <w:rsid w:val="0084166F"/>
    <w:rsid w:val="00841C59"/>
    <w:rsid w:val="008427A2"/>
    <w:rsid w:val="00843653"/>
    <w:rsid w:val="0084465D"/>
    <w:rsid w:val="00844C03"/>
    <w:rsid w:val="0084561B"/>
    <w:rsid w:val="00845F19"/>
    <w:rsid w:val="00850E46"/>
    <w:rsid w:val="00851284"/>
    <w:rsid w:val="00852844"/>
    <w:rsid w:val="00852F6E"/>
    <w:rsid w:val="00853E30"/>
    <w:rsid w:val="00853FE6"/>
    <w:rsid w:val="008547EC"/>
    <w:rsid w:val="008548D2"/>
    <w:rsid w:val="008560FA"/>
    <w:rsid w:val="00857151"/>
    <w:rsid w:val="00860105"/>
    <w:rsid w:val="0086012E"/>
    <w:rsid w:val="008603B5"/>
    <w:rsid w:val="00860EAD"/>
    <w:rsid w:val="00861B42"/>
    <w:rsid w:val="008627D5"/>
    <w:rsid w:val="00863C7E"/>
    <w:rsid w:val="00863EF9"/>
    <w:rsid w:val="00866455"/>
    <w:rsid w:val="00866C0D"/>
    <w:rsid w:val="00871E22"/>
    <w:rsid w:val="00873575"/>
    <w:rsid w:val="008747FD"/>
    <w:rsid w:val="00874DBD"/>
    <w:rsid w:val="00880944"/>
    <w:rsid w:val="00881AD7"/>
    <w:rsid w:val="0088342E"/>
    <w:rsid w:val="00886C6D"/>
    <w:rsid w:val="00887952"/>
    <w:rsid w:val="008916BC"/>
    <w:rsid w:val="008918D4"/>
    <w:rsid w:val="00892356"/>
    <w:rsid w:val="00893127"/>
    <w:rsid w:val="0089377C"/>
    <w:rsid w:val="00894AE1"/>
    <w:rsid w:val="0089548B"/>
    <w:rsid w:val="0089554E"/>
    <w:rsid w:val="0089780F"/>
    <w:rsid w:val="00897AC4"/>
    <w:rsid w:val="00897D7A"/>
    <w:rsid w:val="008A02A1"/>
    <w:rsid w:val="008A2D94"/>
    <w:rsid w:val="008A4B74"/>
    <w:rsid w:val="008A5A13"/>
    <w:rsid w:val="008A5F38"/>
    <w:rsid w:val="008B030F"/>
    <w:rsid w:val="008B03A7"/>
    <w:rsid w:val="008B09B5"/>
    <w:rsid w:val="008B0C16"/>
    <w:rsid w:val="008B10A1"/>
    <w:rsid w:val="008B1C47"/>
    <w:rsid w:val="008B3F6E"/>
    <w:rsid w:val="008B4632"/>
    <w:rsid w:val="008B583F"/>
    <w:rsid w:val="008C0A69"/>
    <w:rsid w:val="008C0DBB"/>
    <w:rsid w:val="008C1BA1"/>
    <w:rsid w:val="008C2B24"/>
    <w:rsid w:val="008C2E93"/>
    <w:rsid w:val="008C36FB"/>
    <w:rsid w:val="008C3FFE"/>
    <w:rsid w:val="008C69A9"/>
    <w:rsid w:val="008C74EA"/>
    <w:rsid w:val="008D0E35"/>
    <w:rsid w:val="008D2102"/>
    <w:rsid w:val="008D4ABF"/>
    <w:rsid w:val="008D4BDF"/>
    <w:rsid w:val="008D4E8D"/>
    <w:rsid w:val="008D550A"/>
    <w:rsid w:val="008D6991"/>
    <w:rsid w:val="008D726D"/>
    <w:rsid w:val="008D7EF3"/>
    <w:rsid w:val="008E03D9"/>
    <w:rsid w:val="008E1B2B"/>
    <w:rsid w:val="008E5F3C"/>
    <w:rsid w:val="008E63E7"/>
    <w:rsid w:val="008E690D"/>
    <w:rsid w:val="008E6D6E"/>
    <w:rsid w:val="008E6ECF"/>
    <w:rsid w:val="008E7216"/>
    <w:rsid w:val="008E7950"/>
    <w:rsid w:val="008E79DB"/>
    <w:rsid w:val="008F00E1"/>
    <w:rsid w:val="008F305E"/>
    <w:rsid w:val="008F36FE"/>
    <w:rsid w:val="008F42EB"/>
    <w:rsid w:val="008F533C"/>
    <w:rsid w:val="008F5761"/>
    <w:rsid w:val="008F6B06"/>
    <w:rsid w:val="008F7721"/>
    <w:rsid w:val="00900D98"/>
    <w:rsid w:val="0090113D"/>
    <w:rsid w:val="009013F6"/>
    <w:rsid w:val="00903716"/>
    <w:rsid w:val="00905A2C"/>
    <w:rsid w:val="00906EE6"/>
    <w:rsid w:val="00910627"/>
    <w:rsid w:val="0091271D"/>
    <w:rsid w:val="00912848"/>
    <w:rsid w:val="00913D29"/>
    <w:rsid w:val="00913D8B"/>
    <w:rsid w:val="00915322"/>
    <w:rsid w:val="00915886"/>
    <w:rsid w:val="00915B7B"/>
    <w:rsid w:val="00916479"/>
    <w:rsid w:val="0091762E"/>
    <w:rsid w:val="00922313"/>
    <w:rsid w:val="00923371"/>
    <w:rsid w:val="00924371"/>
    <w:rsid w:val="00924EDC"/>
    <w:rsid w:val="009259C5"/>
    <w:rsid w:val="00925AA6"/>
    <w:rsid w:val="009263D3"/>
    <w:rsid w:val="00926CBC"/>
    <w:rsid w:val="009270EE"/>
    <w:rsid w:val="00930A8D"/>
    <w:rsid w:val="009314B0"/>
    <w:rsid w:val="00931F7F"/>
    <w:rsid w:val="009341E3"/>
    <w:rsid w:val="00937250"/>
    <w:rsid w:val="00940AE5"/>
    <w:rsid w:val="00941934"/>
    <w:rsid w:val="00943FD8"/>
    <w:rsid w:val="00945EFA"/>
    <w:rsid w:val="00946594"/>
    <w:rsid w:val="00946654"/>
    <w:rsid w:val="00946814"/>
    <w:rsid w:val="00946D10"/>
    <w:rsid w:val="00950771"/>
    <w:rsid w:val="009521C4"/>
    <w:rsid w:val="009537A8"/>
    <w:rsid w:val="00954D78"/>
    <w:rsid w:val="00957724"/>
    <w:rsid w:val="00957DD6"/>
    <w:rsid w:val="00957EAE"/>
    <w:rsid w:val="009600BE"/>
    <w:rsid w:val="009605A6"/>
    <w:rsid w:val="00961362"/>
    <w:rsid w:val="00961B2A"/>
    <w:rsid w:val="00961BBC"/>
    <w:rsid w:val="009628E0"/>
    <w:rsid w:val="00962D9B"/>
    <w:rsid w:val="00965A40"/>
    <w:rsid w:val="00965F98"/>
    <w:rsid w:val="00966ACF"/>
    <w:rsid w:val="00966CA8"/>
    <w:rsid w:val="009675CC"/>
    <w:rsid w:val="009677D0"/>
    <w:rsid w:val="00967D24"/>
    <w:rsid w:val="00967EF4"/>
    <w:rsid w:val="00971D40"/>
    <w:rsid w:val="00972417"/>
    <w:rsid w:val="00972F7B"/>
    <w:rsid w:val="009732EE"/>
    <w:rsid w:val="009736C0"/>
    <w:rsid w:val="0097470B"/>
    <w:rsid w:val="00976FA6"/>
    <w:rsid w:val="00980307"/>
    <w:rsid w:val="0098183F"/>
    <w:rsid w:val="00983ACD"/>
    <w:rsid w:val="00983EC1"/>
    <w:rsid w:val="00985439"/>
    <w:rsid w:val="009857DF"/>
    <w:rsid w:val="00985A1C"/>
    <w:rsid w:val="009863A0"/>
    <w:rsid w:val="00986A89"/>
    <w:rsid w:val="00992CE6"/>
    <w:rsid w:val="009930D8"/>
    <w:rsid w:val="00994794"/>
    <w:rsid w:val="00994B54"/>
    <w:rsid w:val="0099555B"/>
    <w:rsid w:val="00995735"/>
    <w:rsid w:val="00996FBC"/>
    <w:rsid w:val="009972AF"/>
    <w:rsid w:val="00997676"/>
    <w:rsid w:val="009A331C"/>
    <w:rsid w:val="009A364C"/>
    <w:rsid w:val="009A3662"/>
    <w:rsid w:val="009A717D"/>
    <w:rsid w:val="009A7545"/>
    <w:rsid w:val="009A7797"/>
    <w:rsid w:val="009A7EDC"/>
    <w:rsid w:val="009B01A3"/>
    <w:rsid w:val="009B0EF4"/>
    <w:rsid w:val="009B1113"/>
    <w:rsid w:val="009B1DBA"/>
    <w:rsid w:val="009B23C9"/>
    <w:rsid w:val="009B2AFE"/>
    <w:rsid w:val="009B5F0A"/>
    <w:rsid w:val="009B720A"/>
    <w:rsid w:val="009C032E"/>
    <w:rsid w:val="009C0C62"/>
    <w:rsid w:val="009C0DD9"/>
    <w:rsid w:val="009C2E2F"/>
    <w:rsid w:val="009C2EF6"/>
    <w:rsid w:val="009C3BEB"/>
    <w:rsid w:val="009C4A99"/>
    <w:rsid w:val="009C5B3A"/>
    <w:rsid w:val="009C6B11"/>
    <w:rsid w:val="009D0614"/>
    <w:rsid w:val="009D0A16"/>
    <w:rsid w:val="009D2146"/>
    <w:rsid w:val="009D421A"/>
    <w:rsid w:val="009D44E7"/>
    <w:rsid w:val="009D63ED"/>
    <w:rsid w:val="009D7868"/>
    <w:rsid w:val="009E006D"/>
    <w:rsid w:val="009E07E3"/>
    <w:rsid w:val="009E41AB"/>
    <w:rsid w:val="009E4870"/>
    <w:rsid w:val="009E6000"/>
    <w:rsid w:val="009E7ACA"/>
    <w:rsid w:val="009F040F"/>
    <w:rsid w:val="009F2908"/>
    <w:rsid w:val="009F2AF6"/>
    <w:rsid w:val="009F5FDD"/>
    <w:rsid w:val="009F6256"/>
    <w:rsid w:val="00A01906"/>
    <w:rsid w:val="00A01FAD"/>
    <w:rsid w:val="00A025B8"/>
    <w:rsid w:val="00A027B4"/>
    <w:rsid w:val="00A035C3"/>
    <w:rsid w:val="00A04679"/>
    <w:rsid w:val="00A0703F"/>
    <w:rsid w:val="00A07B95"/>
    <w:rsid w:val="00A10DF8"/>
    <w:rsid w:val="00A10DF9"/>
    <w:rsid w:val="00A13294"/>
    <w:rsid w:val="00A13E7F"/>
    <w:rsid w:val="00A161F9"/>
    <w:rsid w:val="00A1762F"/>
    <w:rsid w:val="00A179A9"/>
    <w:rsid w:val="00A17AD6"/>
    <w:rsid w:val="00A201EF"/>
    <w:rsid w:val="00A2063C"/>
    <w:rsid w:val="00A21E72"/>
    <w:rsid w:val="00A221EE"/>
    <w:rsid w:val="00A247A0"/>
    <w:rsid w:val="00A25306"/>
    <w:rsid w:val="00A25C58"/>
    <w:rsid w:val="00A25E76"/>
    <w:rsid w:val="00A26407"/>
    <w:rsid w:val="00A26D11"/>
    <w:rsid w:val="00A31E24"/>
    <w:rsid w:val="00A3343C"/>
    <w:rsid w:val="00A344AE"/>
    <w:rsid w:val="00A34D85"/>
    <w:rsid w:val="00A36687"/>
    <w:rsid w:val="00A37A32"/>
    <w:rsid w:val="00A37E96"/>
    <w:rsid w:val="00A4175D"/>
    <w:rsid w:val="00A4244E"/>
    <w:rsid w:val="00A42A5C"/>
    <w:rsid w:val="00A43274"/>
    <w:rsid w:val="00A43847"/>
    <w:rsid w:val="00A43BA8"/>
    <w:rsid w:val="00A4402A"/>
    <w:rsid w:val="00A4528C"/>
    <w:rsid w:val="00A457E5"/>
    <w:rsid w:val="00A473C1"/>
    <w:rsid w:val="00A50047"/>
    <w:rsid w:val="00A50215"/>
    <w:rsid w:val="00A506F7"/>
    <w:rsid w:val="00A508FA"/>
    <w:rsid w:val="00A51532"/>
    <w:rsid w:val="00A53193"/>
    <w:rsid w:val="00A54076"/>
    <w:rsid w:val="00A55275"/>
    <w:rsid w:val="00A603D0"/>
    <w:rsid w:val="00A6060E"/>
    <w:rsid w:val="00A61C4A"/>
    <w:rsid w:val="00A623B7"/>
    <w:rsid w:val="00A63E55"/>
    <w:rsid w:val="00A653D5"/>
    <w:rsid w:val="00A65A77"/>
    <w:rsid w:val="00A65F94"/>
    <w:rsid w:val="00A66B16"/>
    <w:rsid w:val="00A70504"/>
    <w:rsid w:val="00A70F93"/>
    <w:rsid w:val="00A71E6B"/>
    <w:rsid w:val="00A7200F"/>
    <w:rsid w:val="00A72F1D"/>
    <w:rsid w:val="00A731E4"/>
    <w:rsid w:val="00A74EB0"/>
    <w:rsid w:val="00A75313"/>
    <w:rsid w:val="00A75440"/>
    <w:rsid w:val="00A8045C"/>
    <w:rsid w:val="00A80534"/>
    <w:rsid w:val="00A80C0B"/>
    <w:rsid w:val="00A8116C"/>
    <w:rsid w:val="00A81681"/>
    <w:rsid w:val="00A82A9B"/>
    <w:rsid w:val="00A8529C"/>
    <w:rsid w:val="00A85F6C"/>
    <w:rsid w:val="00A860C6"/>
    <w:rsid w:val="00A87809"/>
    <w:rsid w:val="00A87F3F"/>
    <w:rsid w:val="00A90790"/>
    <w:rsid w:val="00A930CE"/>
    <w:rsid w:val="00A97F47"/>
    <w:rsid w:val="00AA2DD9"/>
    <w:rsid w:val="00AA5A8F"/>
    <w:rsid w:val="00AA5F51"/>
    <w:rsid w:val="00AA65B7"/>
    <w:rsid w:val="00AA660F"/>
    <w:rsid w:val="00AA6AFB"/>
    <w:rsid w:val="00AA7141"/>
    <w:rsid w:val="00AA7D4D"/>
    <w:rsid w:val="00AB12A6"/>
    <w:rsid w:val="00AB28C2"/>
    <w:rsid w:val="00AB4C1E"/>
    <w:rsid w:val="00AB4DD8"/>
    <w:rsid w:val="00AB6A9F"/>
    <w:rsid w:val="00AB6FA4"/>
    <w:rsid w:val="00AB7850"/>
    <w:rsid w:val="00AC2CBC"/>
    <w:rsid w:val="00AC3348"/>
    <w:rsid w:val="00AC357A"/>
    <w:rsid w:val="00AC56AD"/>
    <w:rsid w:val="00AC63DD"/>
    <w:rsid w:val="00AC6E3D"/>
    <w:rsid w:val="00AC7434"/>
    <w:rsid w:val="00AC7792"/>
    <w:rsid w:val="00AC7CB4"/>
    <w:rsid w:val="00AD3911"/>
    <w:rsid w:val="00AD40AE"/>
    <w:rsid w:val="00AD7D1D"/>
    <w:rsid w:val="00AE4CD5"/>
    <w:rsid w:val="00AE5940"/>
    <w:rsid w:val="00AF08E4"/>
    <w:rsid w:val="00AF1A17"/>
    <w:rsid w:val="00AF1FCA"/>
    <w:rsid w:val="00AF3390"/>
    <w:rsid w:val="00AF3C05"/>
    <w:rsid w:val="00AF43ED"/>
    <w:rsid w:val="00AF4CE3"/>
    <w:rsid w:val="00AF4DE4"/>
    <w:rsid w:val="00AF574F"/>
    <w:rsid w:val="00AF72C1"/>
    <w:rsid w:val="00B000FF"/>
    <w:rsid w:val="00B0206D"/>
    <w:rsid w:val="00B02144"/>
    <w:rsid w:val="00B02F5D"/>
    <w:rsid w:val="00B030F1"/>
    <w:rsid w:val="00B033C5"/>
    <w:rsid w:val="00B0472B"/>
    <w:rsid w:val="00B055C8"/>
    <w:rsid w:val="00B07F81"/>
    <w:rsid w:val="00B1060F"/>
    <w:rsid w:val="00B118BC"/>
    <w:rsid w:val="00B1214F"/>
    <w:rsid w:val="00B121FF"/>
    <w:rsid w:val="00B1361A"/>
    <w:rsid w:val="00B13901"/>
    <w:rsid w:val="00B13BE7"/>
    <w:rsid w:val="00B14ADE"/>
    <w:rsid w:val="00B16352"/>
    <w:rsid w:val="00B20459"/>
    <w:rsid w:val="00B20D25"/>
    <w:rsid w:val="00B23CA1"/>
    <w:rsid w:val="00B24DE5"/>
    <w:rsid w:val="00B30FD6"/>
    <w:rsid w:val="00B317ED"/>
    <w:rsid w:val="00B31DEB"/>
    <w:rsid w:val="00B31E8D"/>
    <w:rsid w:val="00B3452D"/>
    <w:rsid w:val="00B347AE"/>
    <w:rsid w:val="00B35005"/>
    <w:rsid w:val="00B3550A"/>
    <w:rsid w:val="00B356F6"/>
    <w:rsid w:val="00B359B2"/>
    <w:rsid w:val="00B35B0B"/>
    <w:rsid w:val="00B36097"/>
    <w:rsid w:val="00B378D8"/>
    <w:rsid w:val="00B40117"/>
    <w:rsid w:val="00B4133A"/>
    <w:rsid w:val="00B42786"/>
    <w:rsid w:val="00B4305E"/>
    <w:rsid w:val="00B43EA3"/>
    <w:rsid w:val="00B43F04"/>
    <w:rsid w:val="00B45097"/>
    <w:rsid w:val="00B4652E"/>
    <w:rsid w:val="00B4692F"/>
    <w:rsid w:val="00B46F42"/>
    <w:rsid w:val="00B475AA"/>
    <w:rsid w:val="00B51C2F"/>
    <w:rsid w:val="00B51C3E"/>
    <w:rsid w:val="00B53E5A"/>
    <w:rsid w:val="00B54191"/>
    <w:rsid w:val="00B5448E"/>
    <w:rsid w:val="00B54619"/>
    <w:rsid w:val="00B550C8"/>
    <w:rsid w:val="00B554E6"/>
    <w:rsid w:val="00B556C6"/>
    <w:rsid w:val="00B5743D"/>
    <w:rsid w:val="00B578D2"/>
    <w:rsid w:val="00B60C3E"/>
    <w:rsid w:val="00B61ED4"/>
    <w:rsid w:val="00B62843"/>
    <w:rsid w:val="00B62B6F"/>
    <w:rsid w:val="00B63EC0"/>
    <w:rsid w:val="00B64DE9"/>
    <w:rsid w:val="00B70855"/>
    <w:rsid w:val="00B710C4"/>
    <w:rsid w:val="00B71586"/>
    <w:rsid w:val="00B7158A"/>
    <w:rsid w:val="00B71F15"/>
    <w:rsid w:val="00B72AB0"/>
    <w:rsid w:val="00B7536C"/>
    <w:rsid w:val="00B75569"/>
    <w:rsid w:val="00B7754C"/>
    <w:rsid w:val="00B81519"/>
    <w:rsid w:val="00B826D4"/>
    <w:rsid w:val="00B827DF"/>
    <w:rsid w:val="00B82B18"/>
    <w:rsid w:val="00B83D8E"/>
    <w:rsid w:val="00B843E1"/>
    <w:rsid w:val="00B86AEB"/>
    <w:rsid w:val="00B86AED"/>
    <w:rsid w:val="00B9022C"/>
    <w:rsid w:val="00B924E1"/>
    <w:rsid w:val="00B9297B"/>
    <w:rsid w:val="00B96128"/>
    <w:rsid w:val="00B97244"/>
    <w:rsid w:val="00B979BD"/>
    <w:rsid w:val="00BA031A"/>
    <w:rsid w:val="00BA115E"/>
    <w:rsid w:val="00BA30D9"/>
    <w:rsid w:val="00BA336F"/>
    <w:rsid w:val="00BA402C"/>
    <w:rsid w:val="00BA5716"/>
    <w:rsid w:val="00BA5E7B"/>
    <w:rsid w:val="00BA6E91"/>
    <w:rsid w:val="00BB0179"/>
    <w:rsid w:val="00BB024D"/>
    <w:rsid w:val="00BB05E2"/>
    <w:rsid w:val="00BB2720"/>
    <w:rsid w:val="00BB74AA"/>
    <w:rsid w:val="00BB7F80"/>
    <w:rsid w:val="00BC18E7"/>
    <w:rsid w:val="00BC2B75"/>
    <w:rsid w:val="00BC41A3"/>
    <w:rsid w:val="00BD1133"/>
    <w:rsid w:val="00BD1145"/>
    <w:rsid w:val="00BD145A"/>
    <w:rsid w:val="00BD1543"/>
    <w:rsid w:val="00BD173C"/>
    <w:rsid w:val="00BD1A01"/>
    <w:rsid w:val="00BD4145"/>
    <w:rsid w:val="00BD4BBD"/>
    <w:rsid w:val="00BD5217"/>
    <w:rsid w:val="00BD59D7"/>
    <w:rsid w:val="00BD67C7"/>
    <w:rsid w:val="00BD6FC8"/>
    <w:rsid w:val="00BD727F"/>
    <w:rsid w:val="00BD74D0"/>
    <w:rsid w:val="00BD7E58"/>
    <w:rsid w:val="00BE0D63"/>
    <w:rsid w:val="00BE1438"/>
    <w:rsid w:val="00BE1522"/>
    <w:rsid w:val="00BE1FD0"/>
    <w:rsid w:val="00BE2DF7"/>
    <w:rsid w:val="00BE3DD6"/>
    <w:rsid w:val="00BE6B94"/>
    <w:rsid w:val="00BE6FBA"/>
    <w:rsid w:val="00BE723B"/>
    <w:rsid w:val="00BE72E0"/>
    <w:rsid w:val="00BE761C"/>
    <w:rsid w:val="00BE7759"/>
    <w:rsid w:val="00BE7815"/>
    <w:rsid w:val="00BE7D35"/>
    <w:rsid w:val="00BF2D3A"/>
    <w:rsid w:val="00BF2E0F"/>
    <w:rsid w:val="00BF340F"/>
    <w:rsid w:val="00BF3601"/>
    <w:rsid w:val="00BF3D6A"/>
    <w:rsid w:val="00BF401C"/>
    <w:rsid w:val="00BF57C0"/>
    <w:rsid w:val="00BF5A04"/>
    <w:rsid w:val="00BF6C77"/>
    <w:rsid w:val="00C013B2"/>
    <w:rsid w:val="00C0217C"/>
    <w:rsid w:val="00C043DC"/>
    <w:rsid w:val="00C04475"/>
    <w:rsid w:val="00C051A3"/>
    <w:rsid w:val="00C05922"/>
    <w:rsid w:val="00C06814"/>
    <w:rsid w:val="00C06EF7"/>
    <w:rsid w:val="00C109CE"/>
    <w:rsid w:val="00C12009"/>
    <w:rsid w:val="00C12C62"/>
    <w:rsid w:val="00C139F2"/>
    <w:rsid w:val="00C14530"/>
    <w:rsid w:val="00C145D9"/>
    <w:rsid w:val="00C159A4"/>
    <w:rsid w:val="00C16462"/>
    <w:rsid w:val="00C16E4F"/>
    <w:rsid w:val="00C1700D"/>
    <w:rsid w:val="00C17187"/>
    <w:rsid w:val="00C178F1"/>
    <w:rsid w:val="00C17ACF"/>
    <w:rsid w:val="00C17E68"/>
    <w:rsid w:val="00C20DEB"/>
    <w:rsid w:val="00C212C5"/>
    <w:rsid w:val="00C24B4C"/>
    <w:rsid w:val="00C2681D"/>
    <w:rsid w:val="00C304BA"/>
    <w:rsid w:val="00C315D7"/>
    <w:rsid w:val="00C31DCA"/>
    <w:rsid w:val="00C33D49"/>
    <w:rsid w:val="00C34200"/>
    <w:rsid w:val="00C35250"/>
    <w:rsid w:val="00C35EA1"/>
    <w:rsid w:val="00C364EC"/>
    <w:rsid w:val="00C367D1"/>
    <w:rsid w:val="00C376E2"/>
    <w:rsid w:val="00C4083A"/>
    <w:rsid w:val="00C40ABC"/>
    <w:rsid w:val="00C40BA5"/>
    <w:rsid w:val="00C410A7"/>
    <w:rsid w:val="00C4355B"/>
    <w:rsid w:val="00C46800"/>
    <w:rsid w:val="00C46CC1"/>
    <w:rsid w:val="00C47B91"/>
    <w:rsid w:val="00C508B8"/>
    <w:rsid w:val="00C50CD2"/>
    <w:rsid w:val="00C518BF"/>
    <w:rsid w:val="00C51B03"/>
    <w:rsid w:val="00C52184"/>
    <w:rsid w:val="00C526D9"/>
    <w:rsid w:val="00C52D09"/>
    <w:rsid w:val="00C53CC5"/>
    <w:rsid w:val="00C53F78"/>
    <w:rsid w:val="00C54024"/>
    <w:rsid w:val="00C54C4C"/>
    <w:rsid w:val="00C563CB"/>
    <w:rsid w:val="00C574BA"/>
    <w:rsid w:val="00C57955"/>
    <w:rsid w:val="00C6038D"/>
    <w:rsid w:val="00C61C6A"/>
    <w:rsid w:val="00C620A3"/>
    <w:rsid w:val="00C62B0C"/>
    <w:rsid w:val="00C62E54"/>
    <w:rsid w:val="00C637EE"/>
    <w:rsid w:val="00C64194"/>
    <w:rsid w:val="00C64EF2"/>
    <w:rsid w:val="00C65DFA"/>
    <w:rsid w:val="00C678C4"/>
    <w:rsid w:val="00C71C27"/>
    <w:rsid w:val="00C71FF5"/>
    <w:rsid w:val="00C7230F"/>
    <w:rsid w:val="00C731C8"/>
    <w:rsid w:val="00C74E96"/>
    <w:rsid w:val="00C74FC6"/>
    <w:rsid w:val="00C7520A"/>
    <w:rsid w:val="00C776F7"/>
    <w:rsid w:val="00C77FA8"/>
    <w:rsid w:val="00C80C09"/>
    <w:rsid w:val="00C8212D"/>
    <w:rsid w:val="00C822FE"/>
    <w:rsid w:val="00C82A93"/>
    <w:rsid w:val="00C8490D"/>
    <w:rsid w:val="00C8715C"/>
    <w:rsid w:val="00C90881"/>
    <w:rsid w:val="00C9145E"/>
    <w:rsid w:val="00C92431"/>
    <w:rsid w:val="00C927E7"/>
    <w:rsid w:val="00C96927"/>
    <w:rsid w:val="00C96DC9"/>
    <w:rsid w:val="00CA154B"/>
    <w:rsid w:val="00CA16EB"/>
    <w:rsid w:val="00CA22E1"/>
    <w:rsid w:val="00CA3326"/>
    <w:rsid w:val="00CA467D"/>
    <w:rsid w:val="00CA533D"/>
    <w:rsid w:val="00CA65D4"/>
    <w:rsid w:val="00CA7684"/>
    <w:rsid w:val="00CA7762"/>
    <w:rsid w:val="00CA776A"/>
    <w:rsid w:val="00CA7AA2"/>
    <w:rsid w:val="00CB0535"/>
    <w:rsid w:val="00CB0B00"/>
    <w:rsid w:val="00CB0FC5"/>
    <w:rsid w:val="00CB1FB9"/>
    <w:rsid w:val="00CB50EC"/>
    <w:rsid w:val="00CB6BDD"/>
    <w:rsid w:val="00CC3F65"/>
    <w:rsid w:val="00CC663F"/>
    <w:rsid w:val="00CC7FA2"/>
    <w:rsid w:val="00CD0618"/>
    <w:rsid w:val="00CD1274"/>
    <w:rsid w:val="00CD2065"/>
    <w:rsid w:val="00CD25F9"/>
    <w:rsid w:val="00CD2E41"/>
    <w:rsid w:val="00CD40FC"/>
    <w:rsid w:val="00CD5146"/>
    <w:rsid w:val="00CD53E8"/>
    <w:rsid w:val="00CE45FB"/>
    <w:rsid w:val="00CE4CE7"/>
    <w:rsid w:val="00CE6F9A"/>
    <w:rsid w:val="00CF015F"/>
    <w:rsid w:val="00CF1972"/>
    <w:rsid w:val="00CF19AE"/>
    <w:rsid w:val="00CF1A9E"/>
    <w:rsid w:val="00CF5599"/>
    <w:rsid w:val="00CF564C"/>
    <w:rsid w:val="00CF601D"/>
    <w:rsid w:val="00CF6C8C"/>
    <w:rsid w:val="00D003A8"/>
    <w:rsid w:val="00D00A77"/>
    <w:rsid w:val="00D010E5"/>
    <w:rsid w:val="00D021E0"/>
    <w:rsid w:val="00D034B3"/>
    <w:rsid w:val="00D03EDE"/>
    <w:rsid w:val="00D0659F"/>
    <w:rsid w:val="00D06CA1"/>
    <w:rsid w:val="00D070FB"/>
    <w:rsid w:val="00D07760"/>
    <w:rsid w:val="00D07B84"/>
    <w:rsid w:val="00D101A6"/>
    <w:rsid w:val="00D10306"/>
    <w:rsid w:val="00D11EC0"/>
    <w:rsid w:val="00D13A2A"/>
    <w:rsid w:val="00D13E43"/>
    <w:rsid w:val="00D1482D"/>
    <w:rsid w:val="00D14FCA"/>
    <w:rsid w:val="00D17843"/>
    <w:rsid w:val="00D20499"/>
    <w:rsid w:val="00D20963"/>
    <w:rsid w:val="00D215E0"/>
    <w:rsid w:val="00D22197"/>
    <w:rsid w:val="00D23A8C"/>
    <w:rsid w:val="00D243EC"/>
    <w:rsid w:val="00D252C4"/>
    <w:rsid w:val="00D259B9"/>
    <w:rsid w:val="00D27282"/>
    <w:rsid w:val="00D27711"/>
    <w:rsid w:val="00D278DC"/>
    <w:rsid w:val="00D30525"/>
    <w:rsid w:val="00D30A49"/>
    <w:rsid w:val="00D31051"/>
    <w:rsid w:val="00D32355"/>
    <w:rsid w:val="00D3256E"/>
    <w:rsid w:val="00D34C6B"/>
    <w:rsid w:val="00D34CBB"/>
    <w:rsid w:val="00D3562A"/>
    <w:rsid w:val="00D35763"/>
    <w:rsid w:val="00D35AB9"/>
    <w:rsid w:val="00D37817"/>
    <w:rsid w:val="00D413FD"/>
    <w:rsid w:val="00D41551"/>
    <w:rsid w:val="00D417D3"/>
    <w:rsid w:val="00D418B0"/>
    <w:rsid w:val="00D44C31"/>
    <w:rsid w:val="00D44C88"/>
    <w:rsid w:val="00D464CD"/>
    <w:rsid w:val="00D46555"/>
    <w:rsid w:val="00D46AF8"/>
    <w:rsid w:val="00D5175B"/>
    <w:rsid w:val="00D5206A"/>
    <w:rsid w:val="00D527EF"/>
    <w:rsid w:val="00D530A6"/>
    <w:rsid w:val="00D542AA"/>
    <w:rsid w:val="00D542D4"/>
    <w:rsid w:val="00D5462D"/>
    <w:rsid w:val="00D566D5"/>
    <w:rsid w:val="00D57116"/>
    <w:rsid w:val="00D572DB"/>
    <w:rsid w:val="00D57328"/>
    <w:rsid w:val="00D579A0"/>
    <w:rsid w:val="00D57A95"/>
    <w:rsid w:val="00D57F62"/>
    <w:rsid w:val="00D625F4"/>
    <w:rsid w:val="00D62AC1"/>
    <w:rsid w:val="00D6310F"/>
    <w:rsid w:val="00D63DAA"/>
    <w:rsid w:val="00D644D9"/>
    <w:rsid w:val="00D65927"/>
    <w:rsid w:val="00D66956"/>
    <w:rsid w:val="00D669E7"/>
    <w:rsid w:val="00D66CDC"/>
    <w:rsid w:val="00D7090E"/>
    <w:rsid w:val="00D77671"/>
    <w:rsid w:val="00D77710"/>
    <w:rsid w:val="00D819EC"/>
    <w:rsid w:val="00D81B09"/>
    <w:rsid w:val="00D8315F"/>
    <w:rsid w:val="00D83370"/>
    <w:rsid w:val="00D833A8"/>
    <w:rsid w:val="00D845DA"/>
    <w:rsid w:val="00D845F4"/>
    <w:rsid w:val="00D84A95"/>
    <w:rsid w:val="00D86E60"/>
    <w:rsid w:val="00D8725D"/>
    <w:rsid w:val="00D87411"/>
    <w:rsid w:val="00D90323"/>
    <w:rsid w:val="00D9058D"/>
    <w:rsid w:val="00D92173"/>
    <w:rsid w:val="00D92502"/>
    <w:rsid w:val="00D93B1E"/>
    <w:rsid w:val="00D93CE6"/>
    <w:rsid w:val="00D94CBB"/>
    <w:rsid w:val="00D97468"/>
    <w:rsid w:val="00DA0010"/>
    <w:rsid w:val="00DA04C6"/>
    <w:rsid w:val="00DA26E5"/>
    <w:rsid w:val="00DA2738"/>
    <w:rsid w:val="00DA33AF"/>
    <w:rsid w:val="00DA35F7"/>
    <w:rsid w:val="00DA3CE0"/>
    <w:rsid w:val="00DA56B9"/>
    <w:rsid w:val="00DA5A9B"/>
    <w:rsid w:val="00DB0B90"/>
    <w:rsid w:val="00DB4A6A"/>
    <w:rsid w:val="00DB5004"/>
    <w:rsid w:val="00DB6A70"/>
    <w:rsid w:val="00DB6F80"/>
    <w:rsid w:val="00DB77C0"/>
    <w:rsid w:val="00DB7BF1"/>
    <w:rsid w:val="00DC01B1"/>
    <w:rsid w:val="00DC1549"/>
    <w:rsid w:val="00DC15DE"/>
    <w:rsid w:val="00DC1F99"/>
    <w:rsid w:val="00DC2227"/>
    <w:rsid w:val="00DC24F9"/>
    <w:rsid w:val="00DC2F5C"/>
    <w:rsid w:val="00DC3434"/>
    <w:rsid w:val="00DC4025"/>
    <w:rsid w:val="00DC4443"/>
    <w:rsid w:val="00DC4471"/>
    <w:rsid w:val="00DC4A3F"/>
    <w:rsid w:val="00DC6764"/>
    <w:rsid w:val="00DC70D4"/>
    <w:rsid w:val="00DC738E"/>
    <w:rsid w:val="00DC7534"/>
    <w:rsid w:val="00DC7B9F"/>
    <w:rsid w:val="00DC7C48"/>
    <w:rsid w:val="00DD0AE6"/>
    <w:rsid w:val="00DD180C"/>
    <w:rsid w:val="00DD29D4"/>
    <w:rsid w:val="00DD400D"/>
    <w:rsid w:val="00DD4697"/>
    <w:rsid w:val="00DD4E33"/>
    <w:rsid w:val="00DD5197"/>
    <w:rsid w:val="00DD5BAA"/>
    <w:rsid w:val="00DD6CEC"/>
    <w:rsid w:val="00DE00D6"/>
    <w:rsid w:val="00DE1279"/>
    <w:rsid w:val="00DE31F9"/>
    <w:rsid w:val="00DE3A8B"/>
    <w:rsid w:val="00DE41F7"/>
    <w:rsid w:val="00DE45E1"/>
    <w:rsid w:val="00DE5635"/>
    <w:rsid w:val="00DE7091"/>
    <w:rsid w:val="00DE748B"/>
    <w:rsid w:val="00DE74C8"/>
    <w:rsid w:val="00DE775F"/>
    <w:rsid w:val="00DF0B4B"/>
    <w:rsid w:val="00DF1386"/>
    <w:rsid w:val="00DF13E0"/>
    <w:rsid w:val="00DF152A"/>
    <w:rsid w:val="00DF1C63"/>
    <w:rsid w:val="00DF28D5"/>
    <w:rsid w:val="00DF3218"/>
    <w:rsid w:val="00DF4CA9"/>
    <w:rsid w:val="00DF4EAD"/>
    <w:rsid w:val="00DF5D52"/>
    <w:rsid w:val="00DF7516"/>
    <w:rsid w:val="00E01360"/>
    <w:rsid w:val="00E013E1"/>
    <w:rsid w:val="00E01E82"/>
    <w:rsid w:val="00E021F8"/>
    <w:rsid w:val="00E024CA"/>
    <w:rsid w:val="00E037ED"/>
    <w:rsid w:val="00E03BB1"/>
    <w:rsid w:val="00E04059"/>
    <w:rsid w:val="00E04964"/>
    <w:rsid w:val="00E0576E"/>
    <w:rsid w:val="00E05A97"/>
    <w:rsid w:val="00E05C00"/>
    <w:rsid w:val="00E07B72"/>
    <w:rsid w:val="00E123C3"/>
    <w:rsid w:val="00E1351F"/>
    <w:rsid w:val="00E13694"/>
    <w:rsid w:val="00E14DBD"/>
    <w:rsid w:val="00E1616B"/>
    <w:rsid w:val="00E168B9"/>
    <w:rsid w:val="00E17123"/>
    <w:rsid w:val="00E17958"/>
    <w:rsid w:val="00E204A7"/>
    <w:rsid w:val="00E2056C"/>
    <w:rsid w:val="00E211DA"/>
    <w:rsid w:val="00E21463"/>
    <w:rsid w:val="00E21F8E"/>
    <w:rsid w:val="00E22C9F"/>
    <w:rsid w:val="00E23560"/>
    <w:rsid w:val="00E23C43"/>
    <w:rsid w:val="00E24688"/>
    <w:rsid w:val="00E255B8"/>
    <w:rsid w:val="00E2677C"/>
    <w:rsid w:val="00E30D4E"/>
    <w:rsid w:val="00E327A2"/>
    <w:rsid w:val="00E33A80"/>
    <w:rsid w:val="00E34680"/>
    <w:rsid w:val="00E35A1F"/>
    <w:rsid w:val="00E36275"/>
    <w:rsid w:val="00E3666D"/>
    <w:rsid w:val="00E36CA8"/>
    <w:rsid w:val="00E3738D"/>
    <w:rsid w:val="00E40AAF"/>
    <w:rsid w:val="00E41FF0"/>
    <w:rsid w:val="00E421F1"/>
    <w:rsid w:val="00E5004C"/>
    <w:rsid w:val="00E51386"/>
    <w:rsid w:val="00E521A7"/>
    <w:rsid w:val="00E5243F"/>
    <w:rsid w:val="00E53576"/>
    <w:rsid w:val="00E53DE4"/>
    <w:rsid w:val="00E548F2"/>
    <w:rsid w:val="00E55421"/>
    <w:rsid w:val="00E56001"/>
    <w:rsid w:val="00E56CE3"/>
    <w:rsid w:val="00E62CDD"/>
    <w:rsid w:val="00E63FBF"/>
    <w:rsid w:val="00E6492D"/>
    <w:rsid w:val="00E65043"/>
    <w:rsid w:val="00E65461"/>
    <w:rsid w:val="00E662A4"/>
    <w:rsid w:val="00E70B55"/>
    <w:rsid w:val="00E716C9"/>
    <w:rsid w:val="00E721C2"/>
    <w:rsid w:val="00E725AB"/>
    <w:rsid w:val="00E74B3A"/>
    <w:rsid w:val="00E750A7"/>
    <w:rsid w:val="00E813EC"/>
    <w:rsid w:val="00E81518"/>
    <w:rsid w:val="00E821E6"/>
    <w:rsid w:val="00E83141"/>
    <w:rsid w:val="00E843F8"/>
    <w:rsid w:val="00E85F06"/>
    <w:rsid w:val="00E85F8C"/>
    <w:rsid w:val="00E87105"/>
    <w:rsid w:val="00E87799"/>
    <w:rsid w:val="00E9101F"/>
    <w:rsid w:val="00E91B9D"/>
    <w:rsid w:val="00E929EF"/>
    <w:rsid w:val="00EA13F4"/>
    <w:rsid w:val="00EA2FB7"/>
    <w:rsid w:val="00EA3485"/>
    <w:rsid w:val="00EA40E6"/>
    <w:rsid w:val="00EA41F8"/>
    <w:rsid w:val="00EA4BFB"/>
    <w:rsid w:val="00EA700F"/>
    <w:rsid w:val="00EA7767"/>
    <w:rsid w:val="00EA7B03"/>
    <w:rsid w:val="00EB22B7"/>
    <w:rsid w:val="00EB2686"/>
    <w:rsid w:val="00EB3209"/>
    <w:rsid w:val="00EB4AE3"/>
    <w:rsid w:val="00EB4DF6"/>
    <w:rsid w:val="00EB6917"/>
    <w:rsid w:val="00EB6B47"/>
    <w:rsid w:val="00EB708D"/>
    <w:rsid w:val="00EB70D3"/>
    <w:rsid w:val="00EC0A2B"/>
    <w:rsid w:val="00EC330E"/>
    <w:rsid w:val="00EC3555"/>
    <w:rsid w:val="00EC37B8"/>
    <w:rsid w:val="00EC394A"/>
    <w:rsid w:val="00EC458F"/>
    <w:rsid w:val="00EC4A17"/>
    <w:rsid w:val="00EC4B65"/>
    <w:rsid w:val="00EC5060"/>
    <w:rsid w:val="00EC5F0B"/>
    <w:rsid w:val="00EC6187"/>
    <w:rsid w:val="00EC6D38"/>
    <w:rsid w:val="00ED1951"/>
    <w:rsid w:val="00ED2FA3"/>
    <w:rsid w:val="00ED40BE"/>
    <w:rsid w:val="00ED44E9"/>
    <w:rsid w:val="00ED4574"/>
    <w:rsid w:val="00ED4829"/>
    <w:rsid w:val="00ED5129"/>
    <w:rsid w:val="00ED5230"/>
    <w:rsid w:val="00ED53BC"/>
    <w:rsid w:val="00ED5B37"/>
    <w:rsid w:val="00ED6DA5"/>
    <w:rsid w:val="00ED6F28"/>
    <w:rsid w:val="00ED7207"/>
    <w:rsid w:val="00ED79B9"/>
    <w:rsid w:val="00ED7BED"/>
    <w:rsid w:val="00ED7FC3"/>
    <w:rsid w:val="00EE1935"/>
    <w:rsid w:val="00EE1A4E"/>
    <w:rsid w:val="00EE3318"/>
    <w:rsid w:val="00EE399D"/>
    <w:rsid w:val="00EE3DEE"/>
    <w:rsid w:val="00EE4EAF"/>
    <w:rsid w:val="00EE5050"/>
    <w:rsid w:val="00EE63EC"/>
    <w:rsid w:val="00EF0B4F"/>
    <w:rsid w:val="00EF1723"/>
    <w:rsid w:val="00EF1BBC"/>
    <w:rsid w:val="00EF27CC"/>
    <w:rsid w:val="00EF2DE1"/>
    <w:rsid w:val="00EF3D7B"/>
    <w:rsid w:val="00EF3E24"/>
    <w:rsid w:val="00EF5793"/>
    <w:rsid w:val="00EF7AE5"/>
    <w:rsid w:val="00F00D69"/>
    <w:rsid w:val="00F018FA"/>
    <w:rsid w:val="00F03C33"/>
    <w:rsid w:val="00F044CA"/>
    <w:rsid w:val="00F05400"/>
    <w:rsid w:val="00F059B4"/>
    <w:rsid w:val="00F06DA0"/>
    <w:rsid w:val="00F07347"/>
    <w:rsid w:val="00F07BE1"/>
    <w:rsid w:val="00F07E56"/>
    <w:rsid w:val="00F14320"/>
    <w:rsid w:val="00F149ED"/>
    <w:rsid w:val="00F151AA"/>
    <w:rsid w:val="00F15785"/>
    <w:rsid w:val="00F15A0A"/>
    <w:rsid w:val="00F17B13"/>
    <w:rsid w:val="00F2049E"/>
    <w:rsid w:val="00F20FBC"/>
    <w:rsid w:val="00F22151"/>
    <w:rsid w:val="00F22A9D"/>
    <w:rsid w:val="00F23B76"/>
    <w:rsid w:val="00F244EC"/>
    <w:rsid w:val="00F24F02"/>
    <w:rsid w:val="00F261D0"/>
    <w:rsid w:val="00F2626B"/>
    <w:rsid w:val="00F26E8A"/>
    <w:rsid w:val="00F26FF4"/>
    <w:rsid w:val="00F30210"/>
    <w:rsid w:val="00F304D1"/>
    <w:rsid w:val="00F30EEF"/>
    <w:rsid w:val="00F31611"/>
    <w:rsid w:val="00F3228E"/>
    <w:rsid w:val="00F3529D"/>
    <w:rsid w:val="00F355EA"/>
    <w:rsid w:val="00F3702A"/>
    <w:rsid w:val="00F37052"/>
    <w:rsid w:val="00F464E9"/>
    <w:rsid w:val="00F4672E"/>
    <w:rsid w:val="00F50EE3"/>
    <w:rsid w:val="00F523C3"/>
    <w:rsid w:val="00F5372E"/>
    <w:rsid w:val="00F5385F"/>
    <w:rsid w:val="00F54951"/>
    <w:rsid w:val="00F550B1"/>
    <w:rsid w:val="00F555C8"/>
    <w:rsid w:val="00F55A3C"/>
    <w:rsid w:val="00F55FAE"/>
    <w:rsid w:val="00F56082"/>
    <w:rsid w:val="00F563E3"/>
    <w:rsid w:val="00F570F7"/>
    <w:rsid w:val="00F574AE"/>
    <w:rsid w:val="00F57697"/>
    <w:rsid w:val="00F57759"/>
    <w:rsid w:val="00F62C36"/>
    <w:rsid w:val="00F6419A"/>
    <w:rsid w:val="00F64D66"/>
    <w:rsid w:val="00F64FAE"/>
    <w:rsid w:val="00F66B65"/>
    <w:rsid w:val="00F704DE"/>
    <w:rsid w:val="00F735B3"/>
    <w:rsid w:val="00F7372C"/>
    <w:rsid w:val="00F7423D"/>
    <w:rsid w:val="00F74421"/>
    <w:rsid w:val="00F74CD9"/>
    <w:rsid w:val="00F76506"/>
    <w:rsid w:val="00F76C7D"/>
    <w:rsid w:val="00F777EC"/>
    <w:rsid w:val="00F778DC"/>
    <w:rsid w:val="00F77EBC"/>
    <w:rsid w:val="00F8012C"/>
    <w:rsid w:val="00F802E4"/>
    <w:rsid w:val="00F8060F"/>
    <w:rsid w:val="00F81C0C"/>
    <w:rsid w:val="00F83B19"/>
    <w:rsid w:val="00F85066"/>
    <w:rsid w:val="00F85440"/>
    <w:rsid w:val="00F8550E"/>
    <w:rsid w:val="00F868C4"/>
    <w:rsid w:val="00F8708F"/>
    <w:rsid w:val="00F87DB6"/>
    <w:rsid w:val="00F90D6A"/>
    <w:rsid w:val="00F9133D"/>
    <w:rsid w:val="00F93153"/>
    <w:rsid w:val="00F93935"/>
    <w:rsid w:val="00F93D7D"/>
    <w:rsid w:val="00F94537"/>
    <w:rsid w:val="00F95584"/>
    <w:rsid w:val="00F96970"/>
    <w:rsid w:val="00F970A1"/>
    <w:rsid w:val="00F9765C"/>
    <w:rsid w:val="00FA0B2A"/>
    <w:rsid w:val="00FA3456"/>
    <w:rsid w:val="00FA4D0F"/>
    <w:rsid w:val="00FA5E40"/>
    <w:rsid w:val="00FA6CF3"/>
    <w:rsid w:val="00FA730C"/>
    <w:rsid w:val="00FB0290"/>
    <w:rsid w:val="00FB033B"/>
    <w:rsid w:val="00FB16C4"/>
    <w:rsid w:val="00FB1A36"/>
    <w:rsid w:val="00FB1DBB"/>
    <w:rsid w:val="00FB45B6"/>
    <w:rsid w:val="00FB4B4E"/>
    <w:rsid w:val="00FB4D4D"/>
    <w:rsid w:val="00FB645C"/>
    <w:rsid w:val="00FB6AF4"/>
    <w:rsid w:val="00FC0F11"/>
    <w:rsid w:val="00FC11BD"/>
    <w:rsid w:val="00FC30D3"/>
    <w:rsid w:val="00FC373B"/>
    <w:rsid w:val="00FC390F"/>
    <w:rsid w:val="00FC3EEC"/>
    <w:rsid w:val="00FC42C6"/>
    <w:rsid w:val="00FC4EE7"/>
    <w:rsid w:val="00FC51A9"/>
    <w:rsid w:val="00FC6CF8"/>
    <w:rsid w:val="00FC7C7C"/>
    <w:rsid w:val="00FD0152"/>
    <w:rsid w:val="00FD0AC8"/>
    <w:rsid w:val="00FD3406"/>
    <w:rsid w:val="00FD5A9B"/>
    <w:rsid w:val="00FD61F5"/>
    <w:rsid w:val="00FD7616"/>
    <w:rsid w:val="00FD76A4"/>
    <w:rsid w:val="00FE0529"/>
    <w:rsid w:val="00FE0E90"/>
    <w:rsid w:val="00FE0F80"/>
    <w:rsid w:val="00FE16F4"/>
    <w:rsid w:val="00FE33F7"/>
    <w:rsid w:val="00FF0A4A"/>
    <w:rsid w:val="00FF1C50"/>
    <w:rsid w:val="00FF3366"/>
    <w:rsid w:val="00FF491B"/>
    <w:rsid w:val="00FF4B24"/>
    <w:rsid w:val="00FF6402"/>
    <w:rsid w:val="00FF7075"/>
    <w:rsid w:val="00FF77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DEAB81"/>
  <w15:docId w15:val="{5E37E0DA-E434-4821-A6DC-91E8AF6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E7"/>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E85F8C"/>
    <w:pPr>
      <w:keepNext/>
      <w:keepLines/>
      <w:numPr>
        <w:numId w:val="7"/>
      </w:numPr>
      <w:spacing w:before="240" w:after="240"/>
      <w:jc w:val="both"/>
      <w:outlineLvl w:val="0"/>
    </w:pPr>
    <w:rPr>
      <w:bCs/>
      <w:smallCaps/>
      <w:sz w:val="21"/>
      <w:szCs w:val="28"/>
    </w:rPr>
  </w:style>
  <w:style w:type="paragraph" w:styleId="Heading2">
    <w:name w:val="heading 2"/>
    <w:basedOn w:val="Normal"/>
    <w:next w:val="Normal"/>
    <w:link w:val="Heading2Char"/>
    <w:uiPriority w:val="99"/>
    <w:qFormat/>
    <w:rsid w:val="00E85F8C"/>
    <w:pPr>
      <w:keepNext/>
      <w:keepLines/>
      <w:numPr>
        <w:ilvl w:val="1"/>
        <w:numId w:val="7"/>
      </w:numPr>
      <w:spacing w:before="240" w:after="240"/>
      <w:contextualSpacing/>
      <w:jc w:val="both"/>
      <w:outlineLvl w:val="1"/>
    </w:pPr>
    <w:rPr>
      <w:bCs/>
      <w:i/>
      <w:sz w:val="21"/>
      <w:szCs w:val="26"/>
    </w:rPr>
  </w:style>
  <w:style w:type="paragraph" w:styleId="Heading3">
    <w:name w:val="heading 3"/>
    <w:basedOn w:val="Normal"/>
    <w:next w:val="Normal"/>
    <w:link w:val="Heading3Char"/>
    <w:uiPriority w:val="99"/>
    <w:qFormat/>
    <w:rsid w:val="00E85F8C"/>
    <w:pPr>
      <w:keepNext/>
      <w:keepLines/>
      <w:numPr>
        <w:ilvl w:val="2"/>
        <w:numId w:val="7"/>
      </w:numPr>
      <w:spacing w:before="240" w:after="240"/>
      <w:jc w:val="both"/>
      <w:outlineLvl w:val="2"/>
    </w:pPr>
    <w:rPr>
      <w:bCs/>
      <w:i/>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E4CE7"/>
    <w:rPr>
      <w:sz w:val="20"/>
      <w:szCs w:val="20"/>
    </w:rPr>
  </w:style>
  <w:style w:type="character" w:customStyle="1" w:styleId="FootnoteTextChar">
    <w:name w:val="Footnote Text Char"/>
    <w:link w:val="FootnoteText"/>
    <w:uiPriority w:val="99"/>
    <w:rsid w:val="00CE4CE7"/>
    <w:rPr>
      <w:rFonts w:ascii="Times New Roman" w:eastAsia="Times New Roman" w:hAnsi="Times New Roman" w:cs="Times New Roman"/>
      <w:sz w:val="20"/>
      <w:szCs w:val="20"/>
      <w:lang w:eastAsia="en-US"/>
    </w:rPr>
  </w:style>
  <w:style w:type="character" w:styleId="FootnoteReference">
    <w:name w:val="footnote reference"/>
    <w:uiPriority w:val="99"/>
    <w:rsid w:val="00CE4CE7"/>
    <w:rPr>
      <w:vertAlign w:val="superscript"/>
    </w:rPr>
  </w:style>
  <w:style w:type="paragraph" w:styleId="NoSpacing">
    <w:name w:val="No Spacing"/>
    <w:uiPriority w:val="1"/>
    <w:qFormat/>
    <w:rsid w:val="00CE4CE7"/>
    <w:rPr>
      <w:rFonts w:ascii="Times New Roman" w:eastAsia="Times New Roman" w:hAnsi="Times New Roman"/>
      <w:sz w:val="24"/>
      <w:szCs w:val="24"/>
      <w:lang w:eastAsia="en-US"/>
    </w:rPr>
  </w:style>
  <w:style w:type="character" w:styleId="Hyperlink">
    <w:name w:val="Hyperlink"/>
    <w:uiPriority w:val="99"/>
    <w:unhideWhenUsed/>
    <w:rsid w:val="00CE4CE7"/>
    <w:rPr>
      <w:color w:val="0000FF"/>
      <w:u w:val="single"/>
    </w:rPr>
  </w:style>
  <w:style w:type="paragraph" w:styleId="BalloonText">
    <w:name w:val="Balloon Text"/>
    <w:basedOn w:val="Normal"/>
    <w:link w:val="BalloonTextChar"/>
    <w:uiPriority w:val="99"/>
    <w:semiHidden/>
    <w:unhideWhenUsed/>
    <w:rsid w:val="00CE4CE7"/>
    <w:rPr>
      <w:rFonts w:ascii="Tahoma" w:hAnsi="Tahoma" w:cs="Tahoma"/>
      <w:sz w:val="16"/>
      <w:szCs w:val="16"/>
    </w:rPr>
  </w:style>
  <w:style w:type="character" w:customStyle="1" w:styleId="BalloonTextChar">
    <w:name w:val="Balloon Text Char"/>
    <w:link w:val="BalloonText"/>
    <w:uiPriority w:val="99"/>
    <w:semiHidden/>
    <w:rsid w:val="00CE4CE7"/>
    <w:rPr>
      <w:rFonts w:ascii="Tahoma" w:eastAsia="Times New Roman" w:hAnsi="Tahoma" w:cs="Tahoma"/>
      <w:sz w:val="16"/>
      <w:szCs w:val="16"/>
      <w:lang w:eastAsia="en-US"/>
    </w:rPr>
  </w:style>
  <w:style w:type="paragraph" w:styleId="Header">
    <w:name w:val="header"/>
    <w:basedOn w:val="Normal"/>
    <w:link w:val="HeaderChar"/>
    <w:uiPriority w:val="99"/>
    <w:unhideWhenUsed/>
    <w:rsid w:val="00CE4CE7"/>
    <w:pPr>
      <w:tabs>
        <w:tab w:val="center" w:pos="4680"/>
        <w:tab w:val="right" w:pos="9360"/>
      </w:tabs>
    </w:pPr>
  </w:style>
  <w:style w:type="character" w:customStyle="1" w:styleId="HeaderChar">
    <w:name w:val="Header Char"/>
    <w:link w:val="Header"/>
    <w:uiPriority w:val="99"/>
    <w:rsid w:val="00CE4CE7"/>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CE4CE7"/>
    <w:pPr>
      <w:tabs>
        <w:tab w:val="center" w:pos="4680"/>
        <w:tab w:val="right" w:pos="9360"/>
      </w:tabs>
    </w:pPr>
  </w:style>
  <w:style w:type="character" w:customStyle="1" w:styleId="FooterChar">
    <w:name w:val="Footer Char"/>
    <w:link w:val="Footer"/>
    <w:uiPriority w:val="99"/>
    <w:rsid w:val="00CE4CE7"/>
    <w:rPr>
      <w:rFonts w:ascii="Times New Roman" w:eastAsia="Times New Roman" w:hAnsi="Times New Roman" w:cs="Times New Roman"/>
      <w:sz w:val="24"/>
      <w:szCs w:val="24"/>
      <w:lang w:eastAsia="en-US"/>
    </w:rPr>
  </w:style>
  <w:style w:type="character" w:styleId="FollowedHyperlink">
    <w:name w:val="FollowedHyperlink"/>
    <w:uiPriority w:val="99"/>
    <w:semiHidden/>
    <w:unhideWhenUsed/>
    <w:rsid w:val="002B404E"/>
    <w:rPr>
      <w:color w:val="800080"/>
      <w:u w:val="single"/>
    </w:rPr>
  </w:style>
  <w:style w:type="character" w:customStyle="1" w:styleId="apple-style-span">
    <w:name w:val="apple-style-span"/>
    <w:basedOn w:val="DefaultParagraphFont"/>
    <w:rsid w:val="006C15E3"/>
  </w:style>
  <w:style w:type="character" w:customStyle="1" w:styleId="apple-converted-space">
    <w:name w:val="apple-converted-space"/>
    <w:basedOn w:val="DefaultParagraphFont"/>
    <w:rsid w:val="001C6CF7"/>
  </w:style>
  <w:style w:type="character" w:customStyle="1" w:styleId="Heading1Char">
    <w:name w:val="Heading 1 Char"/>
    <w:link w:val="Heading1"/>
    <w:uiPriority w:val="99"/>
    <w:rsid w:val="00E85F8C"/>
    <w:rPr>
      <w:rFonts w:ascii="Times New Roman" w:eastAsia="Times New Roman" w:hAnsi="Times New Roman" w:cs="Times New Roman"/>
      <w:bCs/>
      <w:smallCaps/>
      <w:sz w:val="21"/>
      <w:szCs w:val="28"/>
      <w:lang w:eastAsia="en-US"/>
    </w:rPr>
  </w:style>
  <w:style w:type="character" w:customStyle="1" w:styleId="Heading2Char">
    <w:name w:val="Heading 2 Char"/>
    <w:link w:val="Heading2"/>
    <w:uiPriority w:val="99"/>
    <w:rsid w:val="00E85F8C"/>
    <w:rPr>
      <w:rFonts w:ascii="Times New Roman" w:eastAsia="Times New Roman" w:hAnsi="Times New Roman" w:cs="Times New Roman"/>
      <w:bCs/>
      <w:i/>
      <w:sz w:val="21"/>
      <w:szCs w:val="26"/>
      <w:lang w:eastAsia="en-US"/>
    </w:rPr>
  </w:style>
  <w:style w:type="character" w:customStyle="1" w:styleId="Heading3Char">
    <w:name w:val="Heading 3 Char"/>
    <w:link w:val="Heading3"/>
    <w:uiPriority w:val="99"/>
    <w:rsid w:val="00E85F8C"/>
    <w:rPr>
      <w:rFonts w:ascii="Times New Roman" w:eastAsia="Times New Roman" w:hAnsi="Times New Roman" w:cs="Times New Roman"/>
      <w:bCs/>
      <w:i/>
      <w:sz w:val="21"/>
      <w:szCs w:val="20"/>
      <w:lang w:eastAsia="en-US"/>
    </w:rPr>
  </w:style>
  <w:style w:type="paragraph" w:styleId="TOCHeading">
    <w:name w:val="TOC Heading"/>
    <w:basedOn w:val="Heading1"/>
    <w:next w:val="Normal"/>
    <w:uiPriority w:val="39"/>
    <w:unhideWhenUsed/>
    <w:qFormat/>
    <w:rsid w:val="00992CE6"/>
    <w:pPr>
      <w:numPr>
        <w:numId w:val="0"/>
      </w:numPr>
      <w:spacing w:before="480" w:after="0" w:line="276" w:lineRule="auto"/>
      <w:jc w:val="left"/>
      <w:outlineLvl w:val="9"/>
    </w:pPr>
    <w:rPr>
      <w:rFonts w:ascii="Cambria" w:eastAsia="PMingLiU" w:hAnsi="Cambria"/>
      <w:b/>
      <w:smallCaps w:val="0"/>
      <w:color w:val="365F91"/>
      <w:sz w:val="28"/>
    </w:rPr>
  </w:style>
  <w:style w:type="paragraph" w:styleId="TOC1">
    <w:name w:val="toc 1"/>
    <w:basedOn w:val="Normal"/>
    <w:next w:val="Normal"/>
    <w:autoRedefine/>
    <w:uiPriority w:val="39"/>
    <w:semiHidden/>
    <w:unhideWhenUsed/>
    <w:rsid w:val="00992CE6"/>
    <w:pPr>
      <w:spacing w:before="120"/>
    </w:pPr>
    <w:rPr>
      <w:rFonts w:ascii="Calibri" w:hAnsi="Calibri"/>
      <w:b/>
    </w:rPr>
  </w:style>
  <w:style w:type="paragraph" w:styleId="TOC2">
    <w:name w:val="toc 2"/>
    <w:basedOn w:val="Normal"/>
    <w:next w:val="Normal"/>
    <w:autoRedefine/>
    <w:uiPriority w:val="39"/>
    <w:semiHidden/>
    <w:unhideWhenUsed/>
    <w:rsid w:val="00992CE6"/>
    <w:pPr>
      <w:ind w:left="240"/>
    </w:pPr>
    <w:rPr>
      <w:rFonts w:ascii="Calibri" w:hAnsi="Calibri"/>
      <w:b/>
      <w:sz w:val="22"/>
      <w:szCs w:val="22"/>
    </w:rPr>
  </w:style>
  <w:style w:type="paragraph" w:styleId="TOC3">
    <w:name w:val="toc 3"/>
    <w:basedOn w:val="Normal"/>
    <w:next w:val="Normal"/>
    <w:autoRedefine/>
    <w:uiPriority w:val="39"/>
    <w:semiHidden/>
    <w:unhideWhenUsed/>
    <w:rsid w:val="00992CE6"/>
    <w:pPr>
      <w:ind w:left="480"/>
    </w:pPr>
    <w:rPr>
      <w:rFonts w:ascii="Calibri" w:hAnsi="Calibri"/>
      <w:sz w:val="22"/>
      <w:szCs w:val="22"/>
    </w:rPr>
  </w:style>
  <w:style w:type="paragraph" w:styleId="TOC4">
    <w:name w:val="toc 4"/>
    <w:basedOn w:val="Normal"/>
    <w:next w:val="Normal"/>
    <w:autoRedefine/>
    <w:uiPriority w:val="39"/>
    <w:semiHidden/>
    <w:unhideWhenUsed/>
    <w:rsid w:val="00992CE6"/>
    <w:pPr>
      <w:ind w:left="720"/>
    </w:pPr>
    <w:rPr>
      <w:rFonts w:ascii="Calibri" w:hAnsi="Calibri"/>
      <w:sz w:val="20"/>
      <w:szCs w:val="20"/>
    </w:rPr>
  </w:style>
  <w:style w:type="paragraph" w:styleId="TOC5">
    <w:name w:val="toc 5"/>
    <w:basedOn w:val="Normal"/>
    <w:next w:val="Normal"/>
    <w:autoRedefine/>
    <w:uiPriority w:val="39"/>
    <w:semiHidden/>
    <w:unhideWhenUsed/>
    <w:rsid w:val="00992CE6"/>
    <w:pPr>
      <w:ind w:left="960"/>
    </w:pPr>
    <w:rPr>
      <w:rFonts w:ascii="Calibri" w:hAnsi="Calibri"/>
      <w:sz w:val="20"/>
      <w:szCs w:val="20"/>
    </w:rPr>
  </w:style>
  <w:style w:type="paragraph" w:styleId="TOC6">
    <w:name w:val="toc 6"/>
    <w:basedOn w:val="Normal"/>
    <w:next w:val="Normal"/>
    <w:autoRedefine/>
    <w:uiPriority w:val="39"/>
    <w:semiHidden/>
    <w:unhideWhenUsed/>
    <w:rsid w:val="00992CE6"/>
    <w:pPr>
      <w:ind w:left="1200"/>
    </w:pPr>
    <w:rPr>
      <w:rFonts w:ascii="Calibri" w:hAnsi="Calibri"/>
      <w:sz w:val="20"/>
      <w:szCs w:val="20"/>
    </w:rPr>
  </w:style>
  <w:style w:type="paragraph" w:styleId="TOC7">
    <w:name w:val="toc 7"/>
    <w:basedOn w:val="Normal"/>
    <w:next w:val="Normal"/>
    <w:autoRedefine/>
    <w:uiPriority w:val="39"/>
    <w:semiHidden/>
    <w:unhideWhenUsed/>
    <w:rsid w:val="00992CE6"/>
    <w:pPr>
      <w:ind w:left="1440"/>
    </w:pPr>
    <w:rPr>
      <w:rFonts w:ascii="Calibri" w:hAnsi="Calibri"/>
      <w:sz w:val="20"/>
      <w:szCs w:val="20"/>
    </w:rPr>
  </w:style>
  <w:style w:type="paragraph" w:styleId="TOC8">
    <w:name w:val="toc 8"/>
    <w:basedOn w:val="Normal"/>
    <w:next w:val="Normal"/>
    <w:autoRedefine/>
    <w:uiPriority w:val="39"/>
    <w:semiHidden/>
    <w:unhideWhenUsed/>
    <w:rsid w:val="00992CE6"/>
    <w:pPr>
      <w:ind w:left="1680"/>
    </w:pPr>
    <w:rPr>
      <w:rFonts w:ascii="Calibri" w:hAnsi="Calibri"/>
      <w:sz w:val="20"/>
      <w:szCs w:val="20"/>
    </w:rPr>
  </w:style>
  <w:style w:type="paragraph" w:styleId="TOC9">
    <w:name w:val="toc 9"/>
    <w:basedOn w:val="Normal"/>
    <w:next w:val="Normal"/>
    <w:autoRedefine/>
    <w:uiPriority w:val="39"/>
    <w:semiHidden/>
    <w:unhideWhenUsed/>
    <w:rsid w:val="00992CE6"/>
    <w:pPr>
      <w:ind w:left="1920"/>
    </w:pPr>
    <w:rPr>
      <w:rFonts w:ascii="Calibri" w:hAnsi="Calibri"/>
      <w:sz w:val="20"/>
      <w:szCs w:val="20"/>
    </w:rPr>
  </w:style>
  <w:style w:type="character" w:styleId="CommentReference">
    <w:name w:val="annotation reference"/>
    <w:uiPriority w:val="99"/>
    <w:semiHidden/>
    <w:unhideWhenUsed/>
    <w:rsid w:val="0016355C"/>
    <w:rPr>
      <w:sz w:val="18"/>
      <w:szCs w:val="18"/>
    </w:rPr>
  </w:style>
  <w:style w:type="paragraph" w:styleId="CommentText">
    <w:name w:val="annotation text"/>
    <w:basedOn w:val="Normal"/>
    <w:link w:val="CommentTextChar"/>
    <w:uiPriority w:val="99"/>
    <w:semiHidden/>
    <w:unhideWhenUsed/>
    <w:rsid w:val="0016355C"/>
  </w:style>
  <w:style w:type="character" w:customStyle="1" w:styleId="CommentTextChar">
    <w:name w:val="Comment Text Char"/>
    <w:link w:val="CommentText"/>
    <w:uiPriority w:val="99"/>
    <w:semiHidden/>
    <w:rsid w:val="0016355C"/>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16355C"/>
    <w:rPr>
      <w:b/>
      <w:bCs/>
    </w:rPr>
  </w:style>
  <w:style w:type="character" w:customStyle="1" w:styleId="CommentSubjectChar">
    <w:name w:val="Comment Subject Char"/>
    <w:link w:val="CommentSubject"/>
    <w:uiPriority w:val="99"/>
    <w:semiHidden/>
    <w:rsid w:val="0016355C"/>
    <w:rPr>
      <w:rFonts w:ascii="Times New Roman" w:eastAsia="Times New Roman" w:hAnsi="Times New Roman" w:cs="Times New Roman"/>
      <w:b/>
      <w:bCs/>
      <w:sz w:val="24"/>
      <w:szCs w:val="24"/>
      <w:lang w:eastAsia="en-US"/>
    </w:rPr>
  </w:style>
  <w:style w:type="paragraph" w:styleId="NormalWeb">
    <w:name w:val="Normal (Web)"/>
    <w:basedOn w:val="Normal"/>
    <w:uiPriority w:val="99"/>
    <w:semiHidden/>
    <w:unhideWhenUsed/>
    <w:rsid w:val="007A0CD5"/>
  </w:style>
  <w:style w:type="paragraph" w:styleId="ListParagraph">
    <w:name w:val="List Paragraph"/>
    <w:basedOn w:val="Normal"/>
    <w:uiPriority w:val="34"/>
    <w:qFormat/>
    <w:rsid w:val="00145E19"/>
    <w:pPr>
      <w:ind w:leftChars="200" w:left="480"/>
    </w:pPr>
    <w:rPr>
      <w:rFonts w:ascii="PMingLiU" w:eastAsia="PMingLiU" w:hAnsi="PMingLiU" w:cs="PMingLiU"/>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154">
      <w:bodyDiv w:val="1"/>
      <w:marLeft w:val="0"/>
      <w:marRight w:val="0"/>
      <w:marTop w:val="0"/>
      <w:marBottom w:val="0"/>
      <w:divBdr>
        <w:top w:val="none" w:sz="0" w:space="0" w:color="auto"/>
        <w:left w:val="none" w:sz="0" w:space="0" w:color="auto"/>
        <w:bottom w:val="none" w:sz="0" w:space="0" w:color="auto"/>
        <w:right w:val="none" w:sz="0" w:space="0" w:color="auto"/>
      </w:divBdr>
    </w:div>
    <w:div w:id="45766491">
      <w:bodyDiv w:val="1"/>
      <w:marLeft w:val="0"/>
      <w:marRight w:val="0"/>
      <w:marTop w:val="0"/>
      <w:marBottom w:val="0"/>
      <w:divBdr>
        <w:top w:val="none" w:sz="0" w:space="0" w:color="auto"/>
        <w:left w:val="none" w:sz="0" w:space="0" w:color="auto"/>
        <w:bottom w:val="none" w:sz="0" w:space="0" w:color="auto"/>
        <w:right w:val="none" w:sz="0" w:space="0" w:color="auto"/>
      </w:divBdr>
      <w:divsChild>
        <w:div w:id="95252308">
          <w:marLeft w:val="432"/>
          <w:marRight w:val="0"/>
          <w:marTop w:val="120"/>
          <w:marBottom w:val="0"/>
          <w:divBdr>
            <w:top w:val="none" w:sz="0" w:space="0" w:color="auto"/>
            <w:left w:val="none" w:sz="0" w:space="0" w:color="auto"/>
            <w:bottom w:val="none" w:sz="0" w:space="0" w:color="auto"/>
            <w:right w:val="none" w:sz="0" w:space="0" w:color="auto"/>
          </w:divBdr>
        </w:div>
      </w:divsChild>
    </w:div>
    <w:div w:id="98137410">
      <w:bodyDiv w:val="1"/>
      <w:marLeft w:val="0"/>
      <w:marRight w:val="0"/>
      <w:marTop w:val="0"/>
      <w:marBottom w:val="0"/>
      <w:divBdr>
        <w:top w:val="none" w:sz="0" w:space="0" w:color="auto"/>
        <w:left w:val="none" w:sz="0" w:space="0" w:color="auto"/>
        <w:bottom w:val="none" w:sz="0" w:space="0" w:color="auto"/>
        <w:right w:val="none" w:sz="0" w:space="0" w:color="auto"/>
      </w:divBdr>
    </w:div>
    <w:div w:id="108862833">
      <w:bodyDiv w:val="1"/>
      <w:marLeft w:val="0"/>
      <w:marRight w:val="0"/>
      <w:marTop w:val="0"/>
      <w:marBottom w:val="0"/>
      <w:divBdr>
        <w:top w:val="none" w:sz="0" w:space="0" w:color="auto"/>
        <w:left w:val="none" w:sz="0" w:space="0" w:color="auto"/>
        <w:bottom w:val="none" w:sz="0" w:space="0" w:color="auto"/>
        <w:right w:val="none" w:sz="0" w:space="0" w:color="auto"/>
      </w:divBdr>
    </w:div>
    <w:div w:id="120345466">
      <w:bodyDiv w:val="1"/>
      <w:marLeft w:val="0"/>
      <w:marRight w:val="0"/>
      <w:marTop w:val="0"/>
      <w:marBottom w:val="0"/>
      <w:divBdr>
        <w:top w:val="none" w:sz="0" w:space="0" w:color="auto"/>
        <w:left w:val="none" w:sz="0" w:space="0" w:color="auto"/>
        <w:bottom w:val="none" w:sz="0" w:space="0" w:color="auto"/>
        <w:right w:val="none" w:sz="0" w:space="0" w:color="auto"/>
      </w:divBdr>
    </w:div>
    <w:div w:id="145126994">
      <w:bodyDiv w:val="1"/>
      <w:marLeft w:val="0"/>
      <w:marRight w:val="0"/>
      <w:marTop w:val="0"/>
      <w:marBottom w:val="0"/>
      <w:divBdr>
        <w:top w:val="none" w:sz="0" w:space="0" w:color="auto"/>
        <w:left w:val="none" w:sz="0" w:space="0" w:color="auto"/>
        <w:bottom w:val="none" w:sz="0" w:space="0" w:color="auto"/>
        <w:right w:val="none" w:sz="0" w:space="0" w:color="auto"/>
      </w:divBdr>
    </w:div>
    <w:div w:id="151796460">
      <w:bodyDiv w:val="1"/>
      <w:marLeft w:val="0"/>
      <w:marRight w:val="0"/>
      <w:marTop w:val="0"/>
      <w:marBottom w:val="0"/>
      <w:divBdr>
        <w:top w:val="none" w:sz="0" w:space="0" w:color="auto"/>
        <w:left w:val="none" w:sz="0" w:space="0" w:color="auto"/>
        <w:bottom w:val="none" w:sz="0" w:space="0" w:color="auto"/>
        <w:right w:val="none" w:sz="0" w:space="0" w:color="auto"/>
      </w:divBdr>
    </w:div>
    <w:div w:id="185171331">
      <w:bodyDiv w:val="1"/>
      <w:marLeft w:val="0"/>
      <w:marRight w:val="0"/>
      <w:marTop w:val="0"/>
      <w:marBottom w:val="0"/>
      <w:divBdr>
        <w:top w:val="none" w:sz="0" w:space="0" w:color="auto"/>
        <w:left w:val="none" w:sz="0" w:space="0" w:color="auto"/>
        <w:bottom w:val="none" w:sz="0" w:space="0" w:color="auto"/>
        <w:right w:val="none" w:sz="0" w:space="0" w:color="auto"/>
      </w:divBdr>
    </w:div>
    <w:div w:id="239563218">
      <w:bodyDiv w:val="1"/>
      <w:marLeft w:val="0"/>
      <w:marRight w:val="0"/>
      <w:marTop w:val="0"/>
      <w:marBottom w:val="0"/>
      <w:divBdr>
        <w:top w:val="none" w:sz="0" w:space="0" w:color="auto"/>
        <w:left w:val="none" w:sz="0" w:space="0" w:color="auto"/>
        <w:bottom w:val="none" w:sz="0" w:space="0" w:color="auto"/>
        <w:right w:val="none" w:sz="0" w:space="0" w:color="auto"/>
      </w:divBdr>
    </w:div>
    <w:div w:id="285738328">
      <w:bodyDiv w:val="1"/>
      <w:marLeft w:val="0"/>
      <w:marRight w:val="0"/>
      <w:marTop w:val="0"/>
      <w:marBottom w:val="0"/>
      <w:divBdr>
        <w:top w:val="none" w:sz="0" w:space="0" w:color="auto"/>
        <w:left w:val="none" w:sz="0" w:space="0" w:color="auto"/>
        <w:bottom w:val="none" w:sz="0" w:space="0" w:color="auto"/>
        <w:right w:val="none" w:sz="0" w:space="0" w:color="auto"/>
      </w:divBdr>
    </w:div>
    <w:div w:id="310409027">
      <w:bodyDiv w:val="1"/>
      <w:marLeft w:val="0"/>
      <w:marRight w:val="0"/>
      <w:marTop w:val="0"/>
      <w:marBottom w:val="0"/>
      <w:divBdr>
        <w:top w:val="none" w:sz="0" w:space="0" w:color="auto"/>
        <w:left w:val="none" w:sz="0" w:space="0" w:color="auto"/>
        <w:bottom w:val="none" w:sz="0" w:space="0" w:color="auto"/>
        <w:right w:val="none" w:sz="0" w:space="0" w:color="auto"/>
      </w:divBdr>
    </w:div>
    <w:div w:id="317654577">
      <w:bodyDiv w:val="1"/>
      <w:marLeft w:val="0"/>
      <w:marRight w:val="0"/>
      <w:marTop w:val="0"/>
      <w:marBottom w:val="0"/>
      <w:divBdr>
        <w:top w:val="none" w:sz="0" w:space="0" w:color="auto"/>
        <w:left w:val="none" w:sz="0" w:space="0" w:color="auto"/>
        <w:bottom w:val="none" w:sz="0" w:space="0" w:color="auto"/>
        <w:right w:val="none" w:sz="0" w:space="0" w:color="auto"/>
      </w:divBdr>
    </w:div>
    <w:div w:id="364067380">
      <w:bodyDiv w:val="1"/>
      <w:marLeft w:val="0"/>
      <w:marRight w:val="0"/>
      <w:marTop w:val="0"/>
      <w:marBottom w:val="0"/>
      <w:divBdr>
        <w:top w:val="none" w:sz="0" w:space="0" w:color="auto"/>
        <w:left w:val="none" w:sz="0" w:space="0" w:color="auto"/>
        <w:bottom w:val="none" w:sz="0" w:space="0" w:color="auto"/>
        <w:right w:val="none" w:sz="0" w:space="0" w:color="auto"/>
      </w:divBdr>
    </w:div>
    <w:div w:id="446317821">
      <w:bodyDiv w:val="1"/>
      <w:marLeft w:val="0"/>
      <w:marRight w:val="0"/>
      <w:marTop w:val="0"/>
      <w:marBottom w:val="0"/>
      <w:divBdr>
        <w:top w:val="none" w:sz="0" w:space="0" w:color="auto"/>
        <w:left w:val="none" w:sz="0" w:space="0" w:color="auto"/>
        <w:bottom w:val="none" w:sz="0" w:space="0" w:color="auto"/>
        <w:right w:val="none" w:sz="0" w:space="0" w:color="auto"/>
      </w:divBdr>
    </w:div>
    <w:div w:id="493954703">
      <w:bodyDiv w:val="1"/>
      <w:marLeft w:val="0"/>
      <w:marRight w:val="0"/>
      <w:marTop w:val="0"/>
      <w:marBottom w:val="0"/>
      <w:divBdr>
        <w:top w:val="none" w:sz="0" w:space="0" w:color="auto"/>
        <w:left w:val="none" w:sz="0" w:space="0" w:color="auto"/>
        <w:bottom w:val="none" w:sz="0" w:space="0" w:color="auto"/>
        <w:right w:val="none" w:sz="0" w:space="0" w:color="auto"/>
      </w:divBdr>
    </w:div>
    <w:div w:id="636105469">
      <w:bodyDiv w:val="1"/>
      <w:marLeft w:val="0"/>
      <w:marRight w:val="0"/>
      <w:marTop w:val="0"/>
      <w:marBottom w:val="0"/>
      <w:divBdr>
        <w:top w:val="none" w:sz="0" w:space="0" w:color="auto"/>
        <w:left w:val="none" w:sz="0" w:space="0" w:color="auto"/>
        <w:bottom w:val="none" w:sz="0" w:space="0" w:color="auto"/>
        <w:right w:val="none" w:sz="0" w:space="0" w:color="auto"/>
      </w:divBdr>
      <w:divsChild>
        <w:div w:id="187646075">
          <w:marLeft w:val="864"/>
          <w:marRight w:val="0"/>
          <w:marTop w:val="106"/>
          <w:marBottom w:val="0"/>
          <w:divBdr>
            <w:top w:val="none" w:sz="0" w:space="0" w:color="auto"/>
            <w:left w:val="none" w:sz="0" w:space="0" w:color="auto"/>
            <w:bottom w:val="none" w:sz="0" w:space="0" w:color="auto"/>
            <w:right w:val="none" w:sz="0" w:space="0" w:color="auto"/>
          </w:divBdr>
        </w:div>
        <w:div w:id="662005368">
          <w:marLeft w:val="864"/>
          <w:marRight w:val="0"/>
          <w:marTop w:val="106"/>
          <w:marBottom w:val="0"/>
          <w:divBdr>
            <w:top w:val="none" w:sz="0" w:space="0" w:color="auto"/>
            <w:left w:val="none" w:sz="0" w:space="0" w:color="auto"/>
            <w:bottom w:val="none" w:sz="0" w:space="0" w:color="auto"/>
            <w:right w:val="none" w:sz="0" w:space="0" w:color="auto"/>
          </w:divBdr>
        </w:div>
        <w:div w:id="1060054103">
          <w:marLeft w:val="864"/>
          <w:marRight w:val="0"/>
          <w:marTop w:val="106"/>
          <w:marBottom w:val="0"/>
          <w:divBdr>
            <w:top w:val="none" w:sz="0" w:space="0" w:color="auto"/>
            <w:left w:val="none" w:sz="0" w:space="0" w:color="auto"/>
            <w:bottom w:val="none" w:sz="0" w:space="0" w:color="auto"/>
            <w:right w:val="none" w:sz="0" w:space="0" w:color="auto"/>
          </w:divBdr>
        </w:div>
        <w:div w:id="1142581925">
          <w:marLeft w:val="864"/>
          <w:marRight w:val="0"/>
          <w:marTop w:val="106"/>
          <w:marBottom w:val="0"/>
          <w:divBdr>
            <w:top w:val="none" w:sz="0" w:space="0" w:color="auto"/>
            <w:left w:val="none" w:sz="0" w:space="0" w:color="auto"/>
            <w:bottom w:val="none" w:sz="0" w:space="0" w:color="auto"/>
            <w:right w:val="none" w:sz="0" w:space="0" w:color="auto"/>
          </w:divBdr>
        </w:div>
        <w:div w:id="1151798377">
          <w:marLeft w:val="432"/>
          <w:marRight w:val="0"/>
          <w:marTop w:val="130"/>
          <w:marBottom w:val="0"/>
          <w:divBdr>
            <w:top w:val="none" w:sz="0" w:space="0" w:color="auto"/>
            <w:left w:val="none" w:sz="0" w:space="0" w:color="auto"/>
            <w:bottom w:val="none" w:sz="0" w:space="0" w:color="auto"/>
            <w:right w:val="none" w:sz="0" w:space="0" w:color="auto"/>
          </w:divBdr>
        </w:div>
        <w:div w:id="1404646906">
          <w:marLeft w:val="432"/>
          <w:marRight w:val="0"/>
          <w:marTop w:val="130"/>
          <w:marBottom w:val="0"/>
          <w:divBdr>
            <w:top w:val="none" w:sz="0" w:space="0" w:color="auto"/>
            <w:left w:val="none" w:sz="0" w:space="0" w:color="auto"/>
            <w:bottom w:val="none" w:sz="0" w:space="0" w:color="auto"/>
            <w:right w:val="none" w:sz="0" w:space="0" w:color="auto"/>
          </w:divBdr>
        </w:div>
        <w:div w:id="1681277874">
          <w:marLeft w:val="864"/>
          <w:marRight w:val="0"/>
          <w:marTop w:val="106"/>
          <w:marBottom w:val="0"/>
          <w:divBdr>
            <w:top w:val="none" w:sz="0" w:space="0" w:color="auto"/>
            <w:left w:val="none" w:sz="0" w:space="0" w:color="auto"/>
            <w:bottom w:val="none" w:sz="0" w:space="0" w:color="auto"/>
            <w:right w:val="none" w:sz="0" w:space="0" w:color="auto"/>
          </w:divBdr>
        </w:div>
        <w:div w:id="1998335376">
          <w:marLeft w:val="864"/>
          <w:marRight w:val="0"/>
          <w:marTop w:val="106"/>
          <w:marBottom w:val="0"/>
          <w:divBdr>
            <w:top w:val="none" w:sz="0" w:space="0" w:color="auto"/>
            <w:left w:val="none" w:sz="0" w:space="0" w:color="auto"/>
            <w:bottom w:val="none" w:sz="0" w:space="0" w:color="auto"/>
            <w:right w:val="none" w:sz="0" w:space="0" w:color="auto"/>
          </w:divBdr>
        </w:div>
      </w:divsChild>
    </w:div>
    <w:div w:id="756026494">
      <w:bodyDiv w:val="1"/>
      <w:marLeft w:val="0"/>
      <w:marRight w:val="0"/>
      <w:marTop w:val="0"/>
      <w:marBottom w:val="0"/>
      <w:divBdr>
        <w:top w:val="none" w:sz="0" w:space="0" w:color="auto"/>
        <w:left w:val="none" w:sz="0" w:space="0" w:color="auto"/>
        <w:bottom w:val="none" w:sz="0" w:space="0" w:color="auto"/>
        <w:right w:val="none" w:sz="0" w:space="0" w:color="auto"/>
      </w:divBdr>
    </w:div>
    <w:div w:id="790057764">
      <w:bodyDiv w:val="1"/>
      <w:marLeft w:val="0"/>
      <w:marRight w:val="0"/>
      <w:marTop w:val="0"/>
      <w:marBottom w:val="0"/>
      <w:divBdr>
        <w:top w:val="none" w:sz="0" w:space="0" w:color="auto"/>
        <w:left w:val="none" w:sz="0" w:space="0" w:color="auto"/>
        <w:bottom w:val="none" w:sz="0" w:space="0" w:color="auto"/>
        <w:right w:val="none" w:sz="0" w:space="0" w:color="auto"/>
      </w:divBdr>
    </w:div>
    <w:div w:id="863594256">
      <w:bodyDiv w:val="1"/>
      <w:marLeft w:val="0"/>
      <w:marRight w:val="0"/>
      <w:marTop w:val="0"/>
      <w:marBottom w:val="0"/>
      <w:divBdr>
        <w:top w:val="none" w:sz="0" w:space="0" w:color="auto"/>
        <w:left w:val="none" w:sz="0" w:space="0" w:color="auto"/>
        <w:bottom w:val="none" w:sz="0" w:space="0" w:color="auto"/>
        <w:right w:val="none" w:sz="0" w:space="0" w:color="auto"/>
      </w:divBdr>
    </w:div>
    <w:div w:id="1009065493">
      <w:bodyDiv w:val="1"/>
      <w:marLeft w:val="0"/>
      <w:marRight w:val="0"/>
      <w:marTop w:val="0"/>
      <w:marBottom w:val="0"/>
      <w:divBdr>
        <w:top w:val="none" w:sz="0" w:space="0" w:color="auto"/>
        <w:left w:val="none" w:sz="0" w:space="0" w:color="auto"/>
        <w:bottom w:val="none" w:sz="0" w:space="0" w:color="auto"/>
        <w:right w:val="none" w:sz="0" w:space="0" w:color="auto"/>
      </w:divBdr>
    </w:div>
    <w:div w:id="1067072453">
      <w:bodyDiv w:val="1"/>
      <w:marLeft w:val="0"/>
      <w:marRight w:val="0"/>
      <w:marTop w:val="0"/>
      <w:marBottom w:val="0"/>
      <w:divBdr>
        <w:top w:val="none" w:sz="0" w:space="0" w:color="auto"/>
        <w:left w:val="none" w:sz="0" w:space="0" w:color="auto"/>
        <w:bottom w:val="none" w:sz="0" w:space="0" w:color="auto"/>
        <w:right w:val="none" w:sz="0" w:space="0" w:color="auto"/>
      </w:divBdr>
      <w:divsChild>
        <w:div w:id="1260605997">
          <w:marLeft w:val="864"/>
          <w:marRight w:val="0"/>
          <w:marTop w:val="91"/>
          <w:marBottom w:val="0"/>
          <w:divBdr>
            <w:top w:val="none" w:sz="0" w:space="0" w:color="auto"/>
            <w:left w:val="none" w:sz="0" w:space="0" w:color="auto"/>
            <w:bottom w:val="none" w:sz="0" w:space="0" w:color="auto"/>
            <w:right w:val="none" w:sz="0" w:space="0" w:color="auto"/>
          </w:divBdr>
        </w:div>
        <w:div w:id="1336880736">
          <w:marLeft w:val="864"/>
          <w:marRight w:val="0"/>
          <w:marTop w:val="91"/>
          <w:marBottom w:val="0"/>
          <w:divBdr>
            <w:top w:val="none" w:sz="0" w:space="0" w:color="auto"/>
            <w:left w:val="none" w:sz="0" w:space="0" w:color="auto"/>
            <w:bottom w:val="none" w:sz="0" w:space="0" w:color="auto"/>
            <w:right w:val="none" w:sz="0" w:space="0" w:color="auto"/>
          </w:divBdr>
        </w:div>
      </w:divsChild>
    </w:div>
    <w:div w:id="1115831095">
      <w:bodyDiv w:val="1"/>
      <w:marLeft w:val="0"/>
      <w:marRight w:val="0"/>
      <w:marTop w:val="0"/>
      <w:marBottom w:val="0"/>
      <w:divBdr>
        <w:top w:val="none" w:sz="0" w:space="0" w:color="auto"/>
        <w:left w:val="none" w:sz="0" w:space="0" w:color="auto"/>
        <w:bottom w:val="none" w:sz="0" w:space="0" w:color="auto"/>
        <w:right w:val="none" w:sz="0" w:space="0" w:color="auto"/>
      </w:divBdr>
    </w:div>
    <w:div w:id="1123306945">
      <w:bodyDiv w:val="1"/>
      <w:marLeft w:val="0"/>
      <w:marRight w:val="0"/>
      <w:marTop w:val="0"/>
      <w:marBottom w:val="0"/>
      <w:divBdr>
        <w:top w:val="none" w:sz="0" w:space="0" w:color="auto"/>
        <w:left w:val="none" w:sz="0" w:space="0" w:color="auto"/>
        <w:bottom w:val="none" w:sz="0" w:space="0" w:color="auto"/>
        <w:right w:val="none" w:sz="0" w:space="0" w:color="auto"/>
      </w:divBdr>
    </w:div>
    <w:div w:id="1219583925">
      <w:bodyDiv w:val="1"/>
      <w:marLeft w:val="0"/>
      <w:marRight w:val="0"/>
      <w:marTop w:val="0"/>
      <w:marBottom w:val="0"/>
      <w:divBdr>
        <w:top w:val="none" w:sz="0" w:space="0" w:color="auto"/>
        <w:left w:val="none" w:sz="0" w:space="0" w:color="auto"/>
        <w:bottom w:val="none" w:sz="0" w:space="0" w:color="auto"/>
        <w:right w:val="none" w:sz="0" w:space="0" w:color="auto"/>
      </w:divBdr>
    </w:div>
    <w:div w:id="1264999535">
      <w:bodyDiv w:val="1"/>
      <w:marLeft w:val="0"/>
      <w:marRight w:val="0"/>
      <w:marTop w:val="0"/>
      <w:marBottom w:val="0"/>
      <w:divBdr>
        <w:top w:val="none" w:sz="0" w:space="0" w:color="auto"/>
        <w:left w:val="none" w:sz="0" w:space="0" w:color="auto"/>
        <w:bottom w:val="none" w:sz="0" w:space="0" w:color="auto"/>
        <w:right w:val="none" w:sz="0" w:space="0" w:color="auto"/>
      </w:divBdr>
    </w:div>
    <w:div w:id="1366172359">
      <w:bodyDiv w:val="1"/>
      <w:marLeft w:val="0"/>
      <w:marRight w:val="0"/>
      <w:marTop w:val="0"/>
      <w:marBottom w:val="0"/>
      <w:divBdr>
        <w:top w:val="none" w:sz="0" w:space="0" w:color="auto"/>
        <w:left w:val="none" w:sz="0" w:space="0" w:color="auto"/>
        <w:bottom w:val="none" w:sz="0" w:space="0" w:color="auto"/>
        <w:right w:val="none" w:sz="0" w:space="0" w:color="auto"/>
      </w:divBdr>
    </w:div>
    <w:div w:id="1377003930">
      <w:bodyDiv w:val="1"/>
      <w:marLeft w:val="0"/>
      <w:marRight w:val="0"/>
      <w:marTop w:val="0"/>
      <w:marBottom w:val="0"/>
      <w:divBdr>
        <w:top w:val="none" w:sz="0" w:space="0" w:color="auto"/>
        <w:left w:val="none" w:sz="0" w:space="0" w:color="auto"/>
        <w:bottom w:val="none" w:sz="0" w:space="0" w:color="auto"/>
        <w:right w:val="none" w:sz="0" w:space="0" w:color="auto"/>
      </w:divBdr>
    </w:div>
    <w:div w:id="1390113899">
      <w:bodyDiv w:val="1"/>
      <w:marLeft w:val="0"/>
      <w:marRight w:val="0"/>
      <w:marTop w:val="0"/>
      <w:marBottom w:val="0"/>
      <w:divBdr>
        <w:top w:val="none" w:sz="0" w:space="0" w:color="auto"/>
        <w:left w:val="none" w:sz="0" w:space="0" w:color="auto"/>
        <w:bottom w:val="none" w:sz="0" w:space="0" w:color="auto"/>
        <w:right w:val="none" w:sz="0" w:space="0" w:color="auto"/>
      </w:divBdr>
    </w:div>
    <w:div w:id="1407532344">
      <w:bodyDiv w:val="1"/>
      <w:marLeft w:val="0"/>
      <w:marRight w:val="0"/>
      <w:marTop w:val="0"/>
      <w:marBottom w:val="0"/>
      <w:divBdr>
        <w:top w:val="none" w:sz="0" w:space="0" w:color="auto"/>
        <w:left w:val="none" w:sz="0" w:space="0" w:color="auto"/>
        <w:bottom w:val="none" w:sz="0" w:space="0" w:color="auto"/>
        <w:right w:val="none" w:sz="0" w:space="0" w:color="auto"/>
      </w:divBdr>
    </w:div>
    <w:div w:id="1451392108">
      <w:bodyDiv w:val="1"/>
      <w:marLeft w:val="0"/>
      <w:marRight w:val="0"/>
      <w:marTop w:val="0"/>
      <w:marBottom w:val="0"/>
      <w:divBdr>
        <w:top w:val="none" w:sz="0" w:space="0" w:color="auto"/>
        <w:left w:val="none" w:sz="0" w:space="0" w:color="auto"/>
        <w:bottom w:val="none" w:sz="0" w:space="0" w:color="auto"/>
        <w:right w:val="none" w:sz="0" w:space="0" w:color="auto"/>
      </w:divBdr>
    </w:div>
    <w:div w:id="1477801764">
      <w:bodyDiv w:val="1"/>
      <w:marLeft w:val="0"/>
      <w:marRight w:val="0"/>
      <w:marTop w:val="0"/>
      <w:marBottom w:val="0"/>
      <w:divBdr>
        <w:top w:val="none" w:sz="0" w:space="0" w:color="auto"/>
        <w:left w:val="none" w:sz="0" w:space="0" w:color="auto"/>
        <w:bottom w:val="none" w:sz="0" w:space="0" w:color="auto"/>
        <w:right w:val="none" w:sz="0" w:space="0" w:color="auto"/>
      </w:divBdr>
    </w:div>
    <w:div w:id="1531842752">
      <w:bodyDiv w:val="1"/>
      <w:marLeft w:val="0"/>
      <w:marRight w:val="0"/>
      <w:marTop w:val="0"/>
      <w:marBottom w:val="0"/>
      <w:divBdr>
        <w:top w:val="none" w:sz="0" w:space="0" w:color="auto"/>
        <w:left w:val="none" w:sz="0" w:space="0" w:color="auto"/>
        <w:bottom w:val="none" w:sz="0" w:space="0" w:color="auto"/>
        <w:right w:val="none" w:sz="0" w:space="0" w:color="auto"/>
      </w:divBdr>
    </w:div>
    <w:div w:id="1567567480">
      <w:bodyDiv w:val="1"/>
      <w:marLeft w:val="0"/>
      <w:marRight w:val="0"/>
      <w:marTop w:val="0"/>
      <w:marBottom w:val="0"/>
      <w:divBdr>
        <w:top w:val="none" w:sz="0" w:space="0" w:color="auto"/>
        <w:left w:val="none" w:sz="0" w:space="0" w:color="auto"/>
        <w:bottom w:val="none" w:sz="0" w:space="0" w:color="auto"/>
        <w:right w:val="none" w:sz="0" w:space="0" w:color="auto"/>
      </w:divBdr>
    </w:div>
    <w:div w:id="1883667727">
      <w:bodyDiv w:val="1"/>
      <w:marLeft w:val="0"/>
      <w:marRight w:val="0"/>
      <w:marTop w:val="0"/>
      <w:marBottom w:val="0"/>
      <w:divBdr>
        <w:top w:val="none" w:sz="0" w:space="0" w:color="auto"/>
        <w:left w:val="none" w:sz="0" w:space="0" w:color="auto"/>
        <w:bottom w:val="none" w:sz="0" w:space="0" w:color="auto"/>
        <w:right w:val="none" w:sz="0" w:space="0" w:color="auto"/>
      </w:divBdr>
    </w:div>
    <w:div w:id="1944722908">
      <w:bodyDiv w:val="1"/>
      <w:marLeft w:val="0"/>
      <w:marRight w:val="0"/>
      <w:marTop w:val="0"/>
      <w:marBottom w:val="0"/>
      <w:divBdr>
        <w:top w:val="none" w:sz="0" w:space="0" w:color="auto"/>
        <w:left w:val="none" w:sz="0" w:space="0" w:color="auto"/>
        <w:bottom w:val="none" w:sz="0" w:space="0" w:color="auto"/>
        <w:right w:val="none" w:sz="0" w:space="0" w:color="auto"/>
      </w:divBdr>
      <w:divsChild>
        <w:div w:id="1514801412">
          <w:marLeft w:val="864"/>
          <w:marRight w:val="0"/>
          <w:marTop w:val="106"/>
          <w:marBottom w:val="0"/>
          <w:divBdr>
            <w:top w:val="none" w:sz="0" w:space="0" w:color="auto"/>
            <w:left w:val="none" w:sz="0" w:space="0" w:color="auto"/>
            <w:bottom w:val="none" w:sz="0" w:space="0" w:color="auto"/>
            <w:right w:val="none" w:sz="0" w:space="0" w:color="auto"/>
          </w:divBdr>
        </w:div>
      </w:divsChild>
    </w:div>
    <w:div w:id="20799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po.gov/fdsys/pkg/GPO-CONAN-2002/pdf/GPO-CONAN-2002-10.pdf" TargetMode="External"/><Relationship Id="rId2" Type="http://schemas.openxmlformats.org/officeDocument/2006/relationships/hyperlink" Target="http://www.gpo.gov/fdsys/pkg/GPO-CONAN-2002/pdf/GPO-CONAN-2002-10.pdf" TargetMode="External"/><Relationship Id="rId1" Type="http://schemas.openxmlformats.org/officeDocument/2006/relationships/hyperlink" Target="http://www.els.iias.sinica.edu.tw/iias/public/" TargetMode="External"/><Relationship Id="rId6" Type="http://schemas.openxmlformats.org/officeDocument/2006/relationships/hyperlink" Target="http://www.brookings.edu/events/2014/06/23-taiwan-legislative-yuan" TargetMode="External"/><Relationship Id="rId5" Type="http://schemas.openxmlformats.org/officeDocument/2006/relationships/hyperlink" Target="http://www.ly.gov.tw/05_orglaw/search/lawSearch.action" TargetMode="External"/><Relationship Id="rId4" Type="http://schemas.openxmlformats.org/officeDocument/2006/relationships/hyperlink" Target="http://www.scotland.gov.uk/About/People/strategic-board/Finance/OS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1B17D-FC79-457C-9AEF-7739CF8A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6900</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46144</CharactersWithSpaces>
  <SharedDoc>false</SharedDoc>
  <HLinks>
    <vt:vector size="30" baseType="variant">
      <vt:variant>
        <vt:i4>3539005</vt:i4>
      </vt:variant>
      <vt:variant>
        <vt:i4>12</vt:i4>
      </vt:variant>
      <vt:variant>
        <vt:i4>0</vt:i4>
      </vt:variant>
      <vt:variant>
        <vt:i4>5</vt:i4>
      </vt:variant>
      <vt:variant>
        <vt:lpwstr>http://www.brookings.edu/events/2014/06/23-taiwan-legislative-yuan</vt:lpwstr>
      </vt:variant>
      <vt:variant>
        <vt:lpwstr/>
      </vt:variant>
      <vt:variant>
        <vt:i4>6094961</vt:i4>
      </vt:variant>
      <vt:variant>
        <vt:i4>9</vt:i4>
      </vt:variant>
      <vt:variant>
        <vt:i4>0</vt:i4>
      </vt:variant>
      <vt:variant>
        <vt:i4>5</vt:i4>
      </vt:variant>
      <vt:variant>
        <vt:lpwstr>http://www.ly.gov.tw/05_orglaw/search/lawSearch.action</vt:lpwstr>
      </vt:variant>
      <vt:variant>
        <vt:lpwstr/>
      </vt:variant>
      <vt:variant>
        <vt:i4>4522059</vt:i4>
      </vt:variant>
      <vt:variant>
        <vt:i4>6</vt:i4>
      </vt:variant>
      <vt:variant>
        <vt:i4>0</vt:i4>
      </vt:variant>
      <vt:variant>
        <vt:i4>5</vt:i4>
      </vt:variant>
      <vt:variant>
        <vt:lpwstr>http://www.scotland.gov.uk/About/People/strategic-board/Finance/OSPC</vt:lpwstr>
      </vt:variant>
      <vt:variant>
        <vt:lpwstr/>
      </vt:variant>
      <vt:variant>
        <vt:i4>4784214</vt:i4>
      </vt:variant>
      <vt:variant>
        <vt:i4>3</vt:i4>
      </vt:variant>
      <vt:variant>
        <vt:i4>0</vt:i4>
      </vt:variant>
      <vt:variant>
        <vt:i4>5</vt:i4>
      </vt:variant>
      <vt:variant>
        <vt:lpwstr>http://www.gpo.gov/fdsys/pkg/GPO-CONAN-2002/pdf/GPO-CONAN-2002-10.pdf</vt:lpwstr>
      </vt:variant>
      <vt:variant>
        <vt:lpwstr/>
      </vt:variant>
      <vt:variant>
        <vt:i4>4784214</vt:i4>
      </vt:variant>
      <vt:variant>
        <vt:i4>0</vt:i4>
      </vt:variant>
      <vt:variant>
        <vt:i4>0</vt:i4>
      </vt:variant>
      <vt:variant>
        <vt:i4>5</vt:i4>
      </vt:variant>
      <vt:variant>
        <vt:lpwstr>http://www.gpo.gov/fdsys/pkg/GPO-CONAN-2002/pdf/GPO-CONAN-2002-10.pdf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c:creator>
  <cp:lastModifiedBy>Andrew Taylor</cp:lastModifiedBy>
  <cp:revision>2</cp:revision>
  <cp:lastPrinted>2015-10-07T00:49:00Z</cp:lastPrinted>
  <dcterms:created xsi:type="dcterms:W3CDTF">2016-10-03T08:25:00Z</dcterms:created>
  <dcterms:modified xsi:type="dcterms:W3CDTF">2016-10-03T08:25:00Z</dcterms:modified>
</cp:coreProperties>
</file>