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44A" w:rsidRPr="005A4134" w:rsidRDefault="00BF744A" w:rsidP="005A4134">
      <w:pPr>
        <w:spacing w:line="480" w:lineRule="auto"/>
        <w:rPr>
          <w:b/>
          <w:sz w:val="32"/>
          <w:szCs w:val="32"/>
        </w:rPr>
      </w:pPr>
      <w:bookmarkStart w:id="0" w:name="_GoBack"/>
      <w:bookmarkEnd w:id="0"/>
      <w:r w:rsidRPr="005A4134">
        <w:rPr>
          <w:b/>
          <w:sz w:val="32"/>
          <w:szCs w:val="32"/>
        </w:rPr>
        <w:t>Chapter Four</w:t>
      </w:r>
    </w:p>
    <w:p w:rsidR="00BF744A" w:rsidRPr="001F2D06" w:rsidRDefault="00BF744A" w:rsidP="005A4134">
      <w:pPr>
        <w:spacing w:line="480" w:lineRule="auto"/>
        <w:rPr>
          <w:b/>
          <w:sz w:val="32"/>
          <w:szCs w:val="32"/>
        </w:rPr>
      </w:pPr>
      <w:r w:rsidRPr="005A4134">
        <w:rPr>
          <w:b/>
          <w:sz w:val="32"/>
          <w:szCs w:val="32"/>
        </w:rPr>
        <w:t>Monstrance: Articulating the Paradox</w:t>
      </w:r>
    </w:p>
    <w:p w:rsidR="00BF744A" w:rsidRDefault="00BF744A" w:rsidP="005A4134">
      <w:pPr>
        <w:spacing w:line="480" w:lineRule="auto"/>
        <w:rPr>
          <w:b/>
        </w:rPr>
      </w:pPr>
    </w:p>
    <w:p w:rsidR="00BF744A" w:rsidRPr="005A4134" w:rsidRDefault="00BF744A" w:rsidP="005A4134">
      <w:pPr>
        <w:spacing w:line="480" w:lineRule="auto"/>
        <w:rPr>
          <w:b/>
          <w:i/>
        </w:rPr>
      </w:pPr>
      <w:r w:rsidRPr="005A4134">
        <w:rPr>
          <w:b/>
          <w:i/>
        </w:rPr>
        <w:t>Where the Monsters Lie</w:t>
      </w:r>
    </w:p>
    <w:p w:rsidR="00BF744A" w:rsidRDefault="00BF744A" w:rsidP="005A4134">
      <w:pPr>
        <w:spacing w:line="480" w:lineRule="auto"/>
      </w:pPr>
    </w:p>
    <w:p w:rsidR="00BF744A" w:rsidRDefault="00BF744A" w:rsidP="005A4134">
      <w:pPr>
        <w:spacing w:line="480" w:lineRule="auto"/>
      </w:pPr>
      <w:r>
        <w:t xml:space="preserve">There is always a struggle about where the monsters lie. If you want to determine what is known, charted, amenable to civilization and colonization, you must draw a boundary, beyond which is the uncanny wild. The act of demonstrating the known is simultaneously one of revealing the monstrous. </w:t>
      </w:r>
    </w:p>
    <w:p w:rsidR="00BF744A" w:rsidRDefault="00BF744A" w:rsidP="005A4134">
      <w:pPr>
        <w:spacing w:line="480" w:lineRule="auto"/>
        <w:ind w:firstLine="720"/>
      </w:pPr>
      <w:r>
        <w:t>However, the monster is not simply an external other. Its abjection defines the form of the familiar, and leaves its trace in the interior of the home. The question becomes: what is the monstrous showing us, apart from the confirmation of our identity and common sense? What is it disrupting?</w:t>
      </w:r>
    </w:p>
    <w:p w:rsidR="00BF744A" w:rsidRDefault="00BF744A" w:rsidP="005A4134">
      <w:pPr>
        <w:spacing w:line="480" w:lineRule="auto"/>
        <w:ind w:firstLine="720"/>
      </w:pPr>
      <w:r>
        <w:t xml:space="preserve">Different answers to this question are proposed by John Milbank and Slavoj Žižek in a confrontation entitled </w:t>
      </w:r>
      <w:r>
        <w:rPr>
          <w:i/>
        </w:rPr>
        <w:t>The Monstrosity of Christ: Paradox or Dialectic?</w:t>
      </w:r>
      <w:r w:rsidRPr="00673182">
        <w:rPr>
          <w:rStyle w:val="EndnoteReference"/>
        </w:rPr>
        <w:endnoteReference w:id="1"/>
      </w:r>
      <w:r w:rsidRPr="00673182">
        <w:t xml:space="preserve"> </w:t>
      </w:r>
      <w:r>
        <w:t>John Caputo offers an insightful distillation of their disagreement. Noting that the book’s title echoes Hegel’s characterization of the term “God-man” as a “monstrous compound,” Caputo goes on:</w:t>
      </w:r>
    </w:p>
    <w:p w:rsidR="00BF744A" w:rsidRDefault="00BF744A" w:rsidP="005A4134">
      <w:pPr>
        <w:spacing w:line="480" w:lineRule="auto"/>
        <w:ind w:left="720"/>
      </w:pPr>
    </w:p>
    <w:p w:rsidR="00BF744A" w:rsidRDefault="00BF744A" w:rsidP="005A4134">
      <w:pPr>
        <w:spacing w:line="480" w:lineRule="auto"/>
        <w:ind w:left="720"/>
      </w:pPr>
      <w:r>
        <w:t>For Milbank, this expression means that Christ represents a magnificent show or monstration of God’s love for the world which takes the form of the excessive “paradox” of “God-become-man.” For Žižek, it means that Christ is the monstrous moment of the death on the cross in which God himself loses faith and confesses the death of God, which is the theological result demanded by the negative dialectic.</w:t>
      </w:r>
      <w:r>
        <w:rPr>
          <w:rStyle w:val="EndnoteReference"/>
        </w:rPr>
        <w:endnoteReference w:id="2"/>
      </w:r>
    </w:p>
    <w:p w:rsidR="00BF744A" w:rsidRDefault="00BF744A" w:rsidP="005A4134">
      <w:pPr>
        <w:spacing w:line="480" w:lineRule="auto"/>
      </w:pPr>
    </w:p>
    <w:p w:rsidR="00BF744A" w:rsidRDefault="00BF744A" w:rsidP="005A4134">
      <w:pPr>
        <w:spacing w:line="480" w:lineRule="auto"/>
      </w:pPr>
      <w:r>
        <w:t xml:space="preserve">Monstrosity here becomes a war over the body of Christ. What is shown, what is made manifest, when Pontius Pilate declares </w:t>
      </w:r>
      <w:r>
        <w:rPr>
          <w:i/>
        </w:rPr>
        <w:t>Ecce homo</w:t>
      </w:r>
      <w:r>
        <w:t xml:space="preserve">? </w:t>
      </w:r>
    </w:p>
    <w:p w:rsidR="00BF744A" w:rsidRDefault="00BF744A" w:rsidP="005A4134">
      <w:pPr>
        <w:spacing w:line="480" w:lineRule="auto"/>
        <w:ind w:firstLine="720"/>
      </w:pPr>
      <w:r>
        <w:t>In the Catholic rite of benediction, the consecrated host, the very Body of Christ, is placed in a device called a monstrance. Often highly decorated, the monstrance typically takes the form of a cross or circular shaped figure mounted on a stand. Within the figure is a small window, within which the host can be placed. The monstrance is placed on the altar for veneration of the sacrament, and wielded by the priest to bless the congregation.</w:t>
      </w:r>
    </w:p>
    <w:p w:rsidR="00BF744A" w:rsidRDefault="00BF744A" w:rsidP="005A4134">
      <w:pPr>
        <w:spacing w:line="480" w:lineRule="auto"/>
        <w:ind w:firstLine="720"/>
      </w:pPr>
      <w:r>
        <w:t xml:space="preserve">The monstrance is basically a frame. It is a way of drawing attention to, whilst simultaneously cordoning off from profane touch, the mundane piece of bread which has become of the Body of Christ. It offers spectacle and transmission. It is a machine for manifesting God. </w:t>
      </w:r>
    </w:p>
    <w:p w:rsidR="00BF744A" w:rsidRDefault="00BF744A" w:rsidP="005A4134">
      <w:pPr>
        <w:spacing w:line="480" w:lineRule="auto"/>
        <w:ind w:firstLine="720"/>
      </w:pPr>
      <w:r>
        <w:t>Within the frame is the body under dispute in the conflict between Milbank and Žižek. For the former, the paradox of God become man secures the possibility of our analogical participation in divine transcendence. Such participation actually upholds and values the material world by ordering it to its proper end. All is rooted in the primordial peaceful gift of creation, into which violence and death intrude as alien invaders. Žižek, on the other hand, sees in the God-man the actualization of the death of God as the transcendent big Other, the guarantor of meaning and identity. This, he argues, is the uniquely Christian core of a thoroughgoing materialist atheism. The monstrosity offered by Christ, then, is not one of reconciliation and return, but of traumatic repulsion, a shocking disenchantment of the world.</w:t>
      </w:r>
    </w:p>
    <w:p w:rsidR="00BF744A" w:rsidRDefault="00BF744A" w:rsidP="005A4134">
      <w:pPr>
        <w:spacing w:line="480" w:lineRule="auto"/>
        <w:ind w:firstLine="720"/>
      </w:pPr>
      <w:r>
        <w:t xml:space="preserve">Both thinkers agree that Christianity stands in opposition to pallid secular proclamations of pluralism, dialogue and multiculturalism, whose blandness is both </w:t>
      </w:r>
      <w:r>
        <w:lastRenderedPageBreak/>
        <w:t>produced by and supportive of the managed illusions of capitalism. Christ forces a decision, a split with the self-contained world of the secular. At the same time, there are clearly radical disagreements at work here. For Milbank, Žižek offers a heterodox Christianity, one which deifies trauma and violence as our ultimate horizon and fails to see the excessive power of symbol, poem and sacrament.</w:t>
      </w:r>
      <w:r w:rsidRPr="00D74923">
        <w:t xml:space="preserve"> </w:t>
      </w:r>
      <w:r>
        <w:t xml:space="preserve">Žižek, for his part, sees Milbank’s commitment to a primordial ontological peace as a compensatory fantasy, an evasion of our confrontation with the monstrous Real. </w:t>
      </w:r>
    </w:p>
    <w:p w:rsidR="00BF744A" w:rsidRDefault="00BF744A" w:rsidP="005A4134">
      <w:pPr>
        <w:spacing w:line="480" w:lineRule="auto"/>
        <w:ind w:firstLine="720"/>
      </w:pPr>
      <w:r>
        <w:t>One of the bones over which these philosophical Rottweilers contend is Kierkegaard. Milbank contends that, ultimately, Žižek cannot recognize the revelatory power of symbol, poem and sacrament, which all rest on something excessive to pure reason. Žižek remains a rationalist, even if his reason drives him to confront the absurdity of existence. His method is driven by an essentially negative moment of rupture or lack, and, as a result, it amounts to no more than an “immanentist nihilistic dialectics.”</w:t>
      </w:r>
      <w:r>
        <w:rPr>
          <w:rStyle w:val="EndnoteReference"/>
        </w:rPr>
        <w:endnoteReference w:id="3"/>
      </w:r>
      <w:r>
        <w:t xml:space="preserve"> The dynamic of Hegel’s dialectics, as taken up by Žižek, offers only a “</w:t>
      </w:r>
      <w:r w:rsidRPr="00A012B6">
        <w:rPr>
          <w:i/>
        </w:rPr>
        <w:t>counterfeit</w:t>
      </w:r>
      <w:r>
        <w:t xml:space="preserve"> mediation” (159) between a univocally given ground, and the equivocal arrival of the new.</w:t>
      </w:r>
      <w:r>
        <w:rPr>
          <w:rStyle w:val="EndnoteReference"/>
        </w:rPr>
        <w:endnoteReference w:id="4"/>
      </w:r>
      <w:r>
        <w:t xml:space="preserve"> Dialectics makes no sense of this gap; it only reproduces it.</w:t>
      </w:r>
    </w:p>
    <w:p w:rsidR="00BF744A" w:rsidRDefault="00BF744A" w:rsidP="005A4134">
      <w:pPr>
        <w:spacing w:line="480" w:lineRule="auto"/>
        <w:ind w:firstLine="720"/>
      </w:pPr>
      <w:r>
        <w:t>By contrast, it is the anti-Hegelian figures of Jacobi and Kierkegaard who offer an acknowledgement of the positive givenness which we must always assume prior to reason if we are to think at all. Kierkegaard may have over-simplified the Hegelianism he opposed. Nevertheless, Milbank claims that he is essentially correct is to oppose the dialectical resolution of the gap between time and eternity, same and other. The appropriate response to this gap is rather “nonidentical repetition.”</w:t>
      </w:r>
      <w:r>
        <w:rPr>
          <w:rStyle w:val="EndnoteReference"/>
        </w:rPr>
        <w:endnoteReference w:id="5"/>
      </w:r>
      <w:r>
        <w:t xml:space="preserve"> Repetition is never of the same, but of the transcendent given, whose appropriation in time allows for ever-new practical performances of discipleship. Repetition refers us to the excess of reality, given from a transcendence source, without which we would </w:t>
      </w:r>
      <w:r>
        <w:lastRenderedPageBreak/>
        <w:t>be trapped within the hamster wheel of immanence, condemned to revolve around the absent centre.</w:t>
      </w:r>
    </w:p>
    <w:p w:rsidR="00BF744A" w:rsidRDefault="00BF744A" w:rsidP="005A4134">
      <w:pPr>
        <w:spacing w:line="480" w:lineRule="auto"/>
        <w:ind w:firstLine="720"/>
      </w:pPr>
      <w:r>
        <w:t>Thus, for Milbank, “the ‘consistent’ identity of a repetition with that which went before, and of the coincidence of a moment of time with eternity, requires a faith in the absolute ‘paradoxical’ unity of the same with different in either case, as Kierkegaard taught.”</w:t>
      </w:r>
      <w:r>
        <w:rPr>
          <w:rStyle w:val="EndnoteReference"/>
        </w:rPr>
        <w:endnoteReference w:id="6"/>
      </w:r>
      <w:r>
        <w:t xml:space="preserve"> Crucially, this reading of the paradox is in harmony with an analogical, participatory understanding of the relationship between immanence and transcendence.</w:t>
      </w:r>
    </w:p>
    <w:p w:rsidR="00BF744A" w:rsidRDefault="00BF744A" w:rsidP="005A4134">
      <w:pPr>
        <w:spacing w:line="480" w:lineRule="auto"/>
        <w:ind w:firstLine="720"/>
      </w:pPr>
      <w:r>
        <w:t>In Milbank’s understanding of dialectics, differences either cancel each other out, or fall apart into mere equivocal dispersal. Dialectics cannot account for the mutual affirmation of the same and the different (as on a misty morning, when the “univocal” whiteness of the mist is synchronous with and constitutive of the emergence of distinct “equivocal” shapes of houses, trees and so on). The logic of monstrance is expressed clearly here:</w:t>
      </w:r>
    </w:p>
    <w:p w:rsidR="00BF744A" w:rsidRDefault="00BF744A" w:rsidP="005A4134">
      <w:pPr>
        <w:spacing w:line="480" w:lineRule="auto"/>
      </w:pPr>
    </w:p>
    <w:p w:rsidR="00BF744A" w:rsidRDefault="00BF744A" w:rsidP="005A4134">
      <w:pPr>
        <w:spacing w:line="480" w:lineRule="auto"/>
        <w:ind w:left="720"/>
      </w:pPr>
      <w:r>
        <w:t xml:space="preserve">If to be hidden is to be shown (against the proper background of “mist”, as including a misty density proper to the thing itself), and therefore to be shown is to be hidden, then this implies not an impossible contradiction that must be overcome (dialectics) but rather an outright impossible </w:t>
      </w:r>
      <w:r>
        <w:rPr>
          <w:i/>
        </w:rPr>
        <w:t>coincidence of opposites</w:t>
      </w:r>
      <w:r>
        <w:t xml:space="preserve"> that can (somehow, but we know not how) be persisted with. This is the Catholic logic of </w:t>
      </w:r>
      <w:r>
        <w:rPr>
          <w:i/>
        </w:rPr>
        <w:t>paradox</w:t>
      </w:r>
      <w:r>
        <w:t xml:space="preserve"> – of an “overwhelming glory” (</w:t>
      </w:r>
      <w:r>
        <w:rPr>
          <w:i/>
        </w:rPr>
        <w:t>para-doxa</w:t>
      </w:r>
      <w:r>
        <w:t>) which nonetheless saturates our everyday reality.</w:t>
      </w:r>
      <w:r>
        <w:rPr>
          <w:rStyle w:val="EndnoteReference"/>
        </w:rPr>
        <w:endnoteReference w:id="7"/>
      </w:r>
    </w:p>
    <w:p w:rsidR="00BF744A" w:rsidRDefault="00BF744A" w:rsidP="005A4134">
      <w:pPr>
        <w:spacing w:line="480" w:lineRule="auto"/>
      </w:pPr>
    </w:p>
    <w:p w:rsidR="00BF744A" w:rsidRDefault="00BF744A" w:rsidP="005A4134">
      <w:pPr>
        <w:spacing w:line="480" w:lineRule="auto"/>
      </w:pPr>
      <w:r>
        <w:t xml:space="preserve">The monstrance selects, from the misty background of the material, the equivocal inbreaking of the divine initiative. But it shows this as a coincidence of the mundane </w:t>
      </w:r>
      <w:r>
        <w:lastRenderedPageBreak/>
        <w:t xml:space="preserve">and heavenly, the material and the supernatural, the human and the divine, a coincidence only knowable after the fact of divine donation and creation. </w:t>
      </w:r>
    </w:p>
    <w:p w:rsidR="00BF744A" w:rsidRDefault="00BF744A" w:rsidP="005A4134">
      <w:pPr>
        <w:spacing w:line="480" w:lineRule="auto"/>
        <w:ind w:firstLine="720"/>
      </w:pPr>
      <w:r>
        <w:t xml:space="preserve">Milbank draws Kierkegaard close to Eckhart and Cusa at this point: paradox conforms to a logic of analogy and vice versa, since analogy is not a mixture of the univocal and the equivocal, but the affirmation that “what is like the other is like the other precisely </w:t>
      </w:r>
      <w:r w:rsidRPr="002F67A7">
        <w:rPr>
          <w:i/>
        </w:rPr>
        <w:t>in respect of</w:t>
      </w:r>
      <w:r>
        <w:t xml:space="preserve"> its difference; while that which is different is different from the other </w:t>
      </w:r>
      <w:r>
        <w:rPr>
          <w:i/>
        </w:rPr>
        <w:t xml:space="preserve">in respect </w:t>
      </w:r>
      <w:r>
        <w:t>of its likeness.”</w:t>
      </w:r>
      <w:r>
        <w:rPr>
          <w:rStyle w:val="EndnoteReference"/>
        </w:rPr>
        <w:endnoteReference w:id="8"/>
      </w:r>
      <w:r>
        <w:t>Here, truth is mediated by beauty, the belonging-with of differences in a harmony, of ‘peaceful coexistence and creative conflict.”</w:t>
      </w:r>
      <w:r>
        <w:rPr>
          <w:rStyle w:val="EndnoteReference"/>
        </w:rPr>
        <w:endnoteReference w:id="9"/>
      </w:r>
    </w:p>
    <w:p w:rsidR="00BF744A" w:rsidRDefault="00BF744A" w:rsidP="005A4134">
      <w:pPr>
        <w:spacing w:line="480" w:lineRule="auto"/>
        <w:ind w:firstLine="720"/>
      </w:pPr>
      <w:r>
        <w:t>The paradox offered here is bucolic. It arises from Milbank’s account of a drive through the mist towards the River Trent. It features the flora, the wolds, the church spires of a “typical” English countryside. Milbank himself dubs it “Arcadian” and states that the conflict we perceive in the natural world</w:t>
      </w:r>
    </w:p>
    <w:p w:rsidR="00BF744A" w:rsidRDefault="00BF744A" w:rsidP="006A5AC1">
      <w:pPr>
        <w:spacing w:line="480" w:lineRule="auto"/>
      </w:pPr>
    </w:p>
    <w:p w:rsidR="00BF744A" w:rsidRDefault="00BF744A" w:rsidP="006A5AC1">
      <w:pPr>
        <w:spacing w:line="480" w:lineRule="auto"/>
        <w:ind w:left="720"/>
      </w:pPr>
      <w:r>
        <w:t>does not rule out the reality of that playful pastoral tension that once reigned everywhere, according to Christian theology, in the (unreachable and untraceable) prelapsarian golden age, and in which human beings took full part. This tension can still be fleetingly glimpsed – and yet glimpsed all the time by the observant.</w:t>
      </w:r>
      <w:r>
        <w:rPr>
          <w:rStyle w:val="EndnoteReference"/>
        </w:rPr>
        <w:endnoteReference w:id="10"/>
      </w:r>
    </w:p>
    <w:p w:rsidR="00BF744A" w:rsidRDefault="00BF744A" w:rsidP="006A5AC1">
      <w:pPr>
        <w:spacing w:line="480" w:lineRule="auto"/>
      </w:pPr>
    </w:p>
    <w:p w:rsidR="00BF744A" w:rsidRDefault="00BF744A" w:rsidP="005A4134">
      <w:pPr>
        <w:spacing w:line="480" w:lineRule="auto"/>
        <w:ind w:firstLine="720"/>
      </w:pPr>
      <w:r>
        <w:t xml:space="preserve">Is this an intuition of a static background order, a fundamentally backward-looking recollection of eternal harmony? If so, it would appear to be at odds with Kierkegaard’s stress on the contingency of history and the futural movement of repetition and decision. However, Milbank denies this is the case. Analogical paradox is not static, it is a dynamic interplay of the finite and the infinite, in which the infinite </w:t>
      </w:r>
      <w:r>
        <w:lastRenderedPageBreak/>
        <w:t xml:space="preserve">is only ever known by being “performed” or repeated differently. The Arcadian paradox of Milbank is at once analogical, aesthetic, intuitive and dynamic. </w:t>
      </w:r>
    </w:p>
    <w:p w:rsidR="00BF744A" w:rsidRDefault="00BF744A" w:rsidP="005A4134">
      <w:pPr>
        <w:spacing w:line="480" w:lineRule="auto"/>
      </w:pPr>
      <w:r>
        <w:t>It allows for genuine change and movement, as opposed to the pointless circular rotations to which nihilism and its secular masks are condemned. It makes possible genuine individuation, rather than the fragmentation of humans into ciphers for a generic universality.</w:t>
      </w:r>
    </w:p>
    <w:p w:rsidR="00BF744A" w:rsidRDefault="00BF744A" w:rsidP="005A4134">
      <w:pPr>
        <w:spacing w:line="480" w:lineRule="auto"/>
        <w:ind w:firstLine="720"/>
      </w:pPr>
      <w:r>
        <w:t>Kierkegaard’s emphasis on the scandal of Christ is not abolished by this intuitive vision. Since human beings cannot reclaim their subjectivity by tearing themselves out of the misty background which alone gives them depth, coherence and a persistent ground for differentiation, it follows that they must “first see a single revered individual as fully personal.”</w:t>
      </w:r>
      <w:r>
        <w:rPr>
          <w:rStyle w:val="EndnoteReference"/>
        </w:rPr>
        <w:endnoteReference w:id="11"/>
      </w:r>
      <w:r>
        <w:t xml:space="preserve"> Kierkegaard is therefore right to insist upon “a positive fidelity to Christ’s specificity.”</w:t>
      </w:r>
      <w:r>
        <w:rPr>
          <w:rStyle w:val="EndnoteReference"/>
        </w:rPr>
        <w:endnoteReference w:id="12"/>
      </w:r>
      <w:r>
        <w:t xml:space="preserve"> Salvation itself must be mediated via individual, finite embodiment of the infinite. It is not something that can be deduced, known, or dialectically exposed without reference to this particular history. Analogy, paradox and incarnation form a holy alliance, liberating us from the futile and illusory search for our own self-groundedness, a search which, from a Christian point of view, is identical with sin. </w:t>
      </w:r>
    </w:p>
    <w:p w:rsidR="00BF744A" w:rsidRDefault="00BF744A" w:rsidP="005A4134">
      <w:pPr>
        <w:spacing w:line="480" w:lineRule="auto"/>
        <w:ind w:firstLine="720"/>
      </w:pPr>
      <w:r>
        <w:t>The alternative to the Christian view of “man” made in the image of God (and redeemed through Christ, who is the true and fulfilled image of the invisible God) is a view of the human as “a rather weird, crippled but dangerously complex animal.”</w:t>
      </w:r>
      <w:r>
        <w:rPr>
          <w:rStyle w:val="EndnoteReference"/>
        </w:rPr>
        <w:endnoteReference w:id="13"/>
      </w:r>
      <w:r>
        <w:t xml:space="preserve"> Human beings receive their dignity (and, presumably, a “cure” for their queerness and disability) by realizing their own nullity--that they are nothing but what God gives--and, paradoxically, that God is nothing but this self-giving which secures the finite in its integrity. Again, the alternative is the secular, nihilistic concept of a finite subject </w:t>
      </w:r>
      <w:r>
        <w:lastRenderedPageBreak/>
        <w:t xml:space="preserve">defying the transcendent, only to find itself defined by impersonal, inhuman forces to which it has no analogical relation. </w:t>
      </w:r>
    </w:p>
    <w:p w:rsidR="00BF744A" w:rsidRDefault="00BF744A" w:rsidP="005A4134">
      <w:pPr>
        <w:spacing w:line="480" w:lineRule="auto"/>
        <w:ind w:firstLine="720"/>
      </w:pPr>
      <w:r>
        <w:t xml:space="preserve">I have explored Milbank’s view at some length, because it offers some co-ordinates for our own investigation. Positively, it engages with Kierkegaardian themes of repetition, the nothingness of the self before God, and the absolute paradox of the God-Man, without parroting clichés about Kierkegaard’s individualism or irrationalism. It links the existential and the ontological as two sides of the same coin, in a way which is becoming more important for Kierkegaard studies. Crucially, Milbank attends to the persistent importance of an aesthetic dimension of faith throughout Kierkegaard’s authorship, avoiding banal recapitulations of the stages of existence as somehow wholly distinct from one another. In an important respect, the paradox remains something that can only be </w:t>
      </w:r>
      <w:r w:rsidRPr="00673182">
        <w:rPr>
          <w:i/>
        </w:rPr>
        <w:t>sensed</w:t>
      </w:r>
      <w:r>
        <w:t>.</w:t>
      </w:r>
    </w:p>
    <w:p w:rsidR="00BF744A" w:rsidRDefault="00BF744A" w:rsidP="005A4134">
      <w:pPr>
        <w:spacing w:line="480" w:lineRule="auto"/>
        <w:ind w:firstLine="720"/>
      </w:pPr>
      <w:r>
        <w:t xml:space="preserve">However, there is something bizarre about Milbank’s Arcadian romance. Everything he writes depends upon the assertion that God is a pure plenitude of peaceful giving, and that therefore creation, in its original guise, must be without death, trauma or evil. It is no less than “metaphysical misogyny” to assert that childbirth is </w:t>
      </w:r>
      <w:r w:rsidRPr="00A52F2F">
        <w:t>naturally painful, for example</w:t>
      </w:r>
      <w:r>
        <w:rPr>
          <w:rStyle w:val="EndnoteReference"/>
        </w:rPr>
        <w:endnoteReference w:id="14"/>
      </w:r>
      <w:r>
        <w:t xml:space="preserve">--though I am inclined to see this point as more than just an </w:t>
      </w:r>
      <w:r w:rsidRPr="003923CA">
        <w:rPr>
          <w:i/>
        </w:rPr>
        <w:t>example</w:t>
      </w:r>
      <w:r>
        <w:t xml:space="preserve">. The assertion of a “true” feminism, above and beyond the conflictual feminism represented by its secular proponents, is a typical move of contemporary Catholic orthodoxy, and it comes equipped with a stress on the right patriarchal ordering of relationships within which the unfortunate intrusions of domestic violence and rape would simply not occur. The inference is that feminism should not fight this male violence in </w:t>
      </w:r>
      <w:r w:rsidRPr="003923CA">
        <w:rPr>
          <w:i/>
        </w:rPr>
        <w:t>oppositional</w:t>
      </w:r>
      <w:r>
        <w:t xml:space="preserve"> terms, but seek ways of holding patriarchy to its highest calling. </w:t>
      </w:r>
    </w:p>
    <w:p w:rsidR="00BF744A" w:rsidRDefault="00BF744A" w:rsidP="005A4134">
      <w:pPr>
        <w:spacing w:line="480" w:lineRule="auto"/>
        <w:ind w:firstLine="720"/>
      </w:pPr>
      <w:r>
        <w:lastRenderedPageBreak/>
        <w:t>The problematic implications of this are clear: the notion of an originally pure creation is intrinsically tied to the notion of an originally pure childbirth, one which more befitting to an impossible virgin mother than any woman of earth. Milbank’s higher feminism is predicated on the dematerialization of the female body, and an approach to actual experiences of trauma and pain which mystifies them by converting them into mist. The analogical paradox cannot abide anything which suggests that this world is originally out of joint or disharmonious, to the extent that women’s bodies are not allowed to express pain or protest without this being read as a sign of their persistence in original sin.</w:t>
      </w:r>
    </w:p>
    <w:p w:rsidR="00BF744A" w:rsidRDefault="00BF744A" w:rsidP="005A4134">
      <w:pPr>
        <w:spacing w:line="480" w:lineRule="auto"/>
        <w:ind w:firstLine="720"/>
      </w:pPr>
      <w:r>
        <w:t xml:space="preserve">With respect to Kierkegaard, this accentuates the disagreement between Milbank and Žižek over the nature of the paradox. As Žižek puts it, Kierkegaard's paradox is not the </w:t>
      </w:r>
      <w:r w:rsidRPr="00306F82">
        <w:rPr>
          <w:i/>
        </w:rPr>
        <w:t>coincidentia oppositorum</w:t>
      </w:r>
      <w:r>
        <w:t xml:space="preserve"> of Eckhart and Cusa, which remains a “pagan” idea that all opposites are reconciled in the absolute:</w:t>
      </w:r>
    </w:p>
    <w:p w:rsidR="00BF744A" w:rsidRDefault="00BF744A" w:rsidP="005A4134">
      <w:pPr>
        <w:spacing w:line="480" w:lineRule="auto"/>
      </w:pPr>
    </w:p>
    <w:p w:rsidR="00BF744A" w:rsidRDefault="00BF744A" w:rsidP="005A4134">
      <w:pPr>
        <w:spacing w:line="480" w:lineRule="auto"/>
        <w:ind w:left="720"/>
      </w:pPr>
      <w:r>
        <w:t>For Kierkegaard, on the contrary, the “paradox” resides in the breathtakingly traumatic fact that we, human mortals, are trapped in a “sickness unto death,” that anxiety is our a priori condition, that our existence is radically torn . . . The paradox is not that finite oppositions coincide in the infinity of the absolute, but that the Absolute itself has to take upon itself the pain of Difference, and rebel against itself.</w:t>
      </w:r>
      <w:r>
        <w:rPr>
          <w:rStyle w:val="EndnoteReference"/>
        </w:rPr>
        <w:endnoteReference w:id="15"/>
      </w:r>
    </w:p>
    <w:p w:rsidR="00BF744A" w:rsidRDefault="00BF744A" w:rsidP="005A4134">
      <w:pPr>
        <w:spacing w:line="480" w:lineRule="auto"/>
      </w:pPr>
    </w:p>
    <w:p w:rsidR="00BF744A" w:rsidRDefault="00BF744A" w:rsidP="005A4134">
      <w:pPr>
        <w:spacing w:line="480" w:lineRule="auto"/>
      </w:pPr>
      <w:r>
        <w:t>In the harmonious Catholic Whole, on the other hand, “the divine Incarnation loses its traumatic character of a radical antagonism.”</w:t>
      </w:r>
    </w:p>
    <w:p w:rsidR="00BF744A" w:rsidRDefault="00BF744A" w:rsidP="005A4134">
      <w:pPr>
        <w:spacing w:line="480" w:lineRule="auto"/>
        <w:ind w:firstLine="720"/>
      </w:pPr>
      <w:r>
        <w:t xml:space="preserve">Žižek is well-known for his challenge to the standard presentations of Hegel and idealism in general as signifiers for a totalitarian mode of thinking, in which all </w:t>
      </w:r>
      <w:r>
        <w:lastRenderedPageBreak/>
        <w:t>particulars are subsumed into an all-devouring system. What is also worth noting is his reading of Kant. For Žižek, Kant’s inability to resolve the dualisms he sets up between the phenomenal and the noumenal, or the tensions between the domains of the three critiques, is not an index of failure. Instead, Kant exposes the irreducibility of a certain kind of paradox, in which our knowing and acting in the world are inconceivable apart from the production of antinomies which defy conceptual resolution. These antinomies are not the unfortunate outcome of a deficiency in thinking--the encounter with an impassable limit--but the productive force which engenders the very possibilities of conceptual thought, moral action and aesthetic judgement. The limit folds back into the field it ostensibly defines, rupturing it from within, but by that very rupture, articulating it and making it operative. Conceptual thought is impossible without reference to conditions which cannot be made available to it, which cannot be schematized or comprehended. Moral action is inseparable from the paradox that free action “works” within a mechanical world. Aesthetic judgement, as we have seen, revolves around the notion of a singular universal, or purposiveness without purpose, whose resolution in a supersensible basis is both required and yet always suspended. In each case, any reference to a beyond of thinking, action or judgement is not satisfied by a refinement of concepts, striving or intuitions. Rather, the beyond works regulatively, fundamentally displacing any single faculty which aspires to define it or access it.</w:t>
      </w:r>
    </w:p>
    <w:p w:rsidR="00BF744A" w:rsidRDefault="00BF744A" w:rsidP="005A4134">
      <w:pPr>
        <w:spacing w:line="480" w:lineRule="auto"/>
        <w:ind w:firstLine="720"/>
      </w:pPr>
      <w:r>
        <w:t xml:space="preserve">However, this is not merely a slide into subjectivism and relativism. Žižek’s claim is that Kant is articulating a parallax which, implicitly, denies the simplicity of the One. In other words, Kant is not an apophatic thinker, if by that we mean one who gestures towards a transcendent goal or foundation which is ever out of our reach. </w:t>
      </w:r>
      <w:r>
        <w:lastRenderedPageBreak/>
        <w:t xml:space="preserve">There is no mystery in Kant, in this sense. Antinomy is not a mere symptom of finitude, but a condition of being. </w:t>
      </w:r>
    </w:p>
    <w:p w:rsidR="00BF744A" w:rsidRDefault="00BF744A" w:rsidP="005A4134">
      <w:pPr>
        <w:spacing w:line="480" w:lineRule="auto"/>
        <w:ind w:firstLine="720"/>
      </w:pPr>
      <w:r>
        <w:t xml:space="preserve">For Žižek, however, Kant does not wholly carry out this move. The noumenal remains as a somewhat spectral other, a promissory note that the real is “out there” beyond our grasp. The transition from Kant to Hegel lies, not so much in contradicting and discarding Kant’s dualism, but in </w:t>
      </w:r>
      <w:r w:rsidRPr="00757172">
        <w:rPr>
          <w:i/>
        </w:rPr>
        <w:t>explicitly</w:t>
      </w:r>
      <w:r>
        <w:t xml:space="preserve"> reinscribing it into the nature of being itself and following the consequences this entails for the historicity of thinking. It is the shift “from the tension between immanence and transcendence to the minimal difference/gap in immanence itself.”</w:t>
      </w:r>
      <w:r>
        <w:rPr>
          <w:rStyle w:val="EndnoteReference"/>
        </w:rPr>
        <w:endnoteReference w:id="16"/>
      </w:r>
    </w:p>
    <w:p w:rsidR="00BF744A" w:rsidRDefault="00BF744A" w:rsidP="005A4134">
      <w:pPr>
        <w:spacing w:line="480" w:lineRule="auto"/>
        <w:ind w:firstLine="720"/>
      </w:pPr>
      <w:r>
        <w:t xml:space="preserve">Nevertheless, this casts Kierkegaard’s relation to Kant in a different light. Recent readings have drawn the two closer together, and, despite Kant’s reputation as a rationalist in terms of philosophy of religion, it is not difficult to see why. Both can be seen as emphasizing the limitation of human cognition, the denial of knowledge in order to make room for faith (however differently conceived) and for an idea of a God who cannot be objectively known. </w:t>
      </w:r>
      <w:r w:rsidRPr="00410FFB">
        <w:t xml:space="preserve">Both articulate a view of ethics as </w:t>
      </w:r>
      <w:r>
        <w:t xml:space="preserve">an autonomous domain of freedom with no external end, but then posit the idea of a transcendent good (the </w:t>
      </w:r>
      <w:r w:rsidRPr="00410FFB">
        <w:rPr>
          <w:i/>
        </w:rPr>
        <w:t>summum bonum</w:t>
      </w:r>
      <w:r>
        <w:t>/eternal happiness/absolute relation to the absolute) which in some respect relativizes the ethical once again. And so on.</w:t>
      </w:r>
      <w:r>
        <w:rPr>
          <w:rStyle w:val="EndnoteReference"/>
        </w:rPr>
        <w:endnoteReference w:id="17"/>
      </w:r>
      <w:r>
        <w:t xml:space="preserve"> </w:t>
      </w:r>
    </w:p>
    <w:p w:rsidR="00BF744A" w:rsidRDefault="00BF744A" w:rsidP="005A4134">
      <w:pPr>
        <w:spacing w:line="480" w:lineRule="auto"/>
        <w:ind w:firstLine="720"/>
      </w:pPr>
      <w:r>
        <w:t xml:space="preserve">The common factor here is the positing of a transcendent in terms which are inaccessible to knowledge, but which have consequences for the limits and orientation of worldly striving and thought. However, what if it is not the drawing of limits and the setting apart of the transcendent which links Kant to Kierkegaard, but the constitutive role of paradox in their thought? In other words, the paradox does not lie </w:t>
      </w:r>
      <w:r w:rsidRPr="00410FFB">
        <w:rPr>
          <w:i/>
        </w:rPr>
        <w:t>between</w:t>
      </w:r>
      <w:r>
        <w:t xml:space="preserve"> thought or morality and its consummation in an absolute, but in the paradoxicality of the absolute itself? Kant at least leaves us with the question, of </w:t>
      </w:r>
      <w:r>
        <w:lastRenderedPageBreak/>
        <w:t>whether the antinomies he detects are simply a result of the failure of reason to respect its proper limits, or the generative reality which gives rise to reason, thought, morality and judgement. Reason would become, not merely a totalizing impulse requiring domestication and division into proper domains, but an index of what Žižek calls “the inherent ‘tension,’ gap, noncoincidence, of the One itself.”</w:t>
      </w:r>
      <w:r>
        <w:rPr>
          <w:rStyle w:val="EndnoteReference"/>
        </w:rPr>
        <w:endnoteReference w:id="18"/>
      </w:r>
    </w:p>
    <w:p w:rsidR="00BF744A" w:rsidRDefault="00BF744A" w:rsidP="005A4134">
      <w:pPr>
        <w:spacing w:line="480" w:lineRule="auto"/>
        <w:ind w:firstLine="720"/>
      </w:pPr>
      <w:r>
        <w:t xml:space="preserve">This phrase is taken from </w:t>
      </w:r>
      <w:r>
        <w:rPr>
          <w:i/>
        </w:rPr>
        <w:t>The Parallax View</w:t>
      </w:r>
      <w:r>
        <w:t>, and indicates the importance of the minimal difference, “the constitutive noncoincidence of a thing with itself.”</w:t>
      </w:r>
      <w:r>
        <w:rPr>
          <w:rStyle w:val="EndnoteReference"/>
        </w:rPr>
        <w:endnoteReference w:id="19"/>
      </w:r>
      <w:r>
        <w:t xml:space="preserve"> The paradoxical nature of Kant’s philosophy is crucial here. Kantian moral philosophy demands that our will is free. There is simply no sense in speaking of moral obligations unless we are free to do our duty or refuse it. However, this sets up a tension. Nature can only be known, as it appears to us through the understanding, as a system of determined causes and effects. Simultaneously, our practical reason demands the will is exempt from such determination. However, we can only act “as if” the will is free; we cannot </w:t>
      </w:r>
      <w:r w:rsidRPr="007C040C">
        <w:rPr>
          <w:i/>
        </w:rPr>
        <w:t>know</w:t>
      </w:r>
      <w:r>
        <w:t xml:space="preserve"> this in any theoretical way as constitutive of reality, since that would be an inadmissible use of reason to transcend the bounds of possible experience--an exercise which always leads to the paradoxical breakdown of reason, as it finds itself able to prove contradictory ontologies. Moreover, Žižek argues that access to the noumenal realm would deprive us of the spontaneity of freedom. It would replace freedom with necessity and actually abolish the possibility of moral obligation. The only way forward is to maintain the tension: “</w:t>
      </w:r>
      <w:r>
        <w:rPr>
          <w:i/>
        </w:rPr>
        <w:t>Our freedom persists only in a space between the phenomenal and the noumenal</w:t>
      </w:r>
      <w:r>
        <w:t>.”</w:t>
      </w:r>
      <w:r>
        <w:rPr>
          <w:rStyle w:val="EndnoteReference"/>
        </w:rPr>
        <w:endnoteReference w:id="20"/>
      </w:r>
    </w:p>
    <w:p w:rsidR="00BF744A" w:rsidRDefault="00BF744A" w:rsidP="005A4134">
      <w:pPr>
        <w:spacing w:line="480" w:lineRule="auto"/>
        <w:ind w:firstLine="720"/>
      </w:pPr>
      <w:r>
        <w:t xml:space="preserve">The Kantian subject therefore looks somewhat different from the caricature of the rule-bound paragon of conformity to duty. Kant articulates “the paradox of the universal singularity, of a singular subject who, in a kind of short circuit, bypassing the mediation of the particular, directly participates in the Universal . . . one is truly </w:t>
      </w:r>
      <w:r>
        <w:lastRenderedPageBreak/>
        <w:t>universal only as radically singular, in the interstices of communal identities.”</w:t>
      </w:r>
      <w:r>
        <w:rPr>
          <w:rStyle w:val="EndnoteReference"/>
        </w:rPr>
        <w:endnoteReference w:id="21"/>
      </w:r>
      <w:r>
        <w:t xml:space="preserve"> Morality signifies an intrinsic gap in our comprehension of reality, one which no further knowledge can cover up, since it is the necessary condition for knowledge, morality and intentionality. This is the parallax gap which idealism then inscribes into the heart of reality itself.</w:t>
      </w:r>
    </w:p>
    <w:p w:rsidR="00BF744A" w:rsidRDefault="00BF744A" w:rsidP="005A4134">
      <w:pPr>
        <w:spacing w:line="480" w:lineRule="auto"/>
        <w:ind w:firstLine="720"/>
      </w:pPr>
      <w:r>
        <w:t>On Žižek’s account then, Kant lays foundation for a kind of antiphilosophy by stressing the primacy of practical over theoretical reason. And Kierkegaard takes this up, stressing the priority of concrete ethical choice or resolution over a theoretical comprehension of the real.</w:t>
      </w:r>
      <w:r>
        <w:rPr>
          <w:rStyle w:val="EndnoteReference"/>
        </w:rPr>
        <w:endnoteReference w:id="22"/>
      </w:r>
      <w:r>
        <w:t xml:space="preserve"> For him “only subjectivity designates a domain which is </w:t>
      </w:r>
      <w:r>
        <w:rPr>
          <w:i/>
        </w:rPr>
        <w:t>in itself</w:t>
      </w:r>
      <w:r>
        <w:t xml:space="preserve"> ‘open,’ marked by an </w:t>
      </w:r>
      <w:r>
        <w:rPr>
          <w:i/>
        </w:rPr>
        <w:t>inherent</w:t>
      </w:r>
      <w:r>
        <w:t xml:space="preserve"> ontological failure.”</w:t>
      </w:r>
      <w:r>
        <w:rPr>
          <w:rStyle w:val="EndnoteReference"/>
        </w:rPr>
        <w:endnoteReference w:id="23"/>
      </w:r>
      <w:r>
        <w:t xml:space="preserve"> It is this disjointed ontology which links Kierkegaard to idealism, as Žižek interprets it, since idealism represents the inscription of the parallax gap into the heart of reality itself.</w:t>
      </w:r>
    </w:p>
    <w:p w:rsidR="00BF744A" w:rsidRDefault="00BF744A" w:rsidP="005A4134">
      <w:pPr>
        <w:spacing w:line="480" w:lineRule="auto"/>
        <w:ind w:firstLine="720"/>
      </w:pPr>
      <w:r>
        <w:t>This reading has significant implications for Kierkegaard’s understanding of God:</w:t>
      </w:r>
    </w:p>
    <w:p w:rsidR="00BF744A" w:rsidRDefault="00BF744A" w:rsidP="005A4134">
      <w:pPr>
        <w:spacing w:line="480" w:lineRule="auto"/>
      </w:pPr>
    </w:p>
    <w:p w:rsidR="00BF744A" w:rsidRDefault="00BF744A" w:rsidP="005A4134">
      <w:pPr>
        <w:spacing w:line="480" w:lineRule="auto"/>
        <w:ind w:left="720"/>
      </w:pPr>
      <w:r>
        <w:t xml:space="preserve">Kierkegaard’s God is strictly correlative to the ontological openness of reality, to our relating to reality as unfinished, “in becoming.” “God” is the name for the Absolute Other against which we can measure the thorough contingency of reality – as such, it cannot be conceived as any kind of Substance, as the Supreme Thing (that would again make him part of Reality, its true Ground). This is why Kierkegaard has to insist on God’s thorough “desubstantialization” – God is “beyond the order of Being,” he is </w:t>
      </w:r>
      <w:r>
        <w:rPr>
          <w:i/>
        </w:rPr>
        <w:t>nothing but</w:t>
      </w:r>
      <w:r>
        <w:t xml:space="preserve"> how we relate to him; that is to say, we do not relate to him, he </w:t>
      </w:r>
      <w:r>
        <w:rPr>
          <w:i/>
        </w:rPr>
        <w:t>is</w:t>
      </w:r>
      <w:r>
        <w:t xml:space="preserve"> this relating.</w:t>
      </w:r>
      <w:r>
        <w:rPr>
          <w:rStyle w:val="EndnoteReference"/>
        </w:rPr>
        <w:endnoteReference w:id="24"/>
      </w:r>
    </w:p>
    <w:p w:rsidR="00BF744A" w:rsidRDefault="00BF744A" w:rsidP="005A4134">
      <w:pPr>
        <w:spacing w:line="480" w:lineRule="auto"/>
      </w:pPr>
    </w:p>
    <w:p w:rsidR="00BF744A" w:rsidRDefault="00BF744A" w:rsidP="005A4134">
      <w:pPr>
        <w:spacing w:line="480" w:lineRule="auto"/>
      </w:pPr>
      <w:r>
        <w:lastRenderedPageBreak/>
        <w:t>As Kierkegaard states in his journals:</w:t>
      </w:r>
    </w:p>
    <w:p w:rsidR="00BF744A" w:rsidRDefault="00BF744A" w:rsidP="005A4134">
      <w:pPr>
        <w:spacing w:line="480" w:lineRule="auto"/>
      </w:pPr>
    </w:p>
    <w:p w:rsidR="00BF744A" w:rsidRDefault="00BF744A" w:rsidP="005A4134">
      <w:pPr>
        <w:spacing w:line="480" w:lineRule="auto"/>
        <w:ind w:left="720"/>
      </w:pPr>
      <w:r>
        <w:t xml:space="preserve">God himself is this: </w:t>
      </w:r>
      <w:r>
        <w:rPr>
          <w:i/>
        </w:rPr>
        <w:t>how</w:t>
      </w:r>
      <w:r>
        <w:t xml:space="preserve"> one involves oneself with Him. As far as physical and external objects are concerned, the object is something else than the mode: there are many modes. In respect to </w:t>
      </w:r>
      <w:r>
        <w:rPr>
          <w:i/>
        </w:rPr>
        <w:t>God</w:t>
      </w:r>
      <w:r>
        <w:t xml:space="preserve">, the </w:t>
      </w:r>
      <w:r>
        <w:rPr>
          <w:i/>
        </w:rPr>
        <w:t>how</w:t>
      </w:r>
      <w:r>
        <w:t xml:space="preserve"> is the what. He who does not involve himself with God in the mode of absolute devotion does not become involved with God. (KJN 7, 219; SKS 23, 215)</w:t>
      </w:r>
      <w:r w:rsidRPr="0017002B">
        <w:t>.</w:t>
      </w:r>
    </w:p>
    <w:p w:rsidR="00BF744A" w:rsidRDefault="00BF744A" w:rsidP="005A4134">
      <w:pPr>
        <w:spacing w:line="480" w:lineRule="auto"/>
        <w:ind w:left="720"/>
      </w:pPr>
    </w:p>
    <w:p w:rsidR="00BF744A" w:rsidRDefault="00BF744A" w:rsidP="005A4134">
      <w:pPr>
        <w:spacing w:line="480" w:lineRule="auto"/>
      </w:pPr>
      <w:r>
        <w:t xml:space="preserve">However, the reference to “devotion” here indicates, why, for Žižek, Kierkegaard does not allow the radical implications of his position to go all the way down. In seeking a transcendental solution to the problem of “the </w:t>
      </w:r>
      <w:r>
        <w:rPr>
          <w:i/>
        </w:rPr>
        <w:t>conditions of possibility</w:t>
      </w:r>
      <w:r>
        <w:t xml:space="preserve"> of leading a meaningful life,” he leaves too much of the traditional ontological co-ordinates intact.</w:t>
      </w:r>
      <w:r>
        <w:rPr>
          <w:rStyle w:val="EndnoteReference"/>
        </w:rPr>
        <w:endnoteReference w:id="25"/>
      </w:r>
      <w:r>
        <w:t xml:space="preserve"> The drama of fall and redemption is still played out through faith in God as the “Big Other,” the transcendent guarantor of meaning.</w:t>
      </w:r>
    </w:p>
    <w:p w:rsidR="00BF744A" w:rsidRPr="00691E04" w:rsidRDefault="00BF744A" w:rsidP="005A4134">
      <w:pPr>
        <w:spacing w:line="480" w:lineRule="auto"/>
        <w:ind w:firstLine="720"/>
      </w:pPr>
      <w:r>
        <w:t xml:space="preserve">Žižek has missed a trick here. He points to the fact that, for Kierkegaard, the prohibition which plays such a key role in the fall of humanity in the Genesis story comes from an outside, </w:t>
      </w:r>
      <w:r w:rsidRPr="00DD636F">
        <w:t>transcendent source</w:t>
      </w:r>
      <w:r>
        <w:t xml:space="preserve">. However, as we have seen, </w:t>
      </w:r>
      <w:r>
        <w:rPr>
          <w:i/>
        </w:rPr>
        <w:t xml:space="preserve">The Concept of Anxiety </w:t>
      </w:r>
      <w:r>
        <w:t xml:space="preserve">goes out of its way specifically to deny this. The speaker is Adam, or language: there is no transcendent origin. The “deadlock” which is crystallized by the word of prohibition, its disturbance of innocence, is accounted for in </w:t>
      </w:r>
      <w:r>
        <w:rPr>
          <w:i/>
        </w:rPr>
        <w:t>Concept</w:t>
      </w:r>
      <w:r>
        <w:t xml:space="preserve"> on wholly immanent grounds. This is what we might expect, given a Kierkegaardian association of language with spirit, and an account of language as inherently driven by difference and contradiction, and not grounded upon a fixed set of formal meanings. </w:t>
      </w:r>
    </w:p>
    <w:p w:rsidR="00BF744A" w:rsidRDefault="00BF744A" w:rsidP="005A4134">
      <w:pPr>
        <w:spacing w:line="480" w:lineRule="auto"/>
        <w:ind w:firstLine="720"/>
      </w:pPr>
      <w:r>
        <w:t>In light of this, Žižek is on firmer territory when he challenges teleological readings of Kierkegaard’s stages of existence. The religious is not the mediation of the aesthetic and the ethical but “the radical assertion of the parallax gap (the ‘paradox,’ the lack of common measure, the insurmountable abyss between the Finite and the Infinite).”</w:t>
      </w:r>
      <w:r>
        <w:rPr>
          <w:rStyle w:val="EndnoteReference"/>
        </w:rPr>
        <w:endnoteReference w:id="26"/>
      </w:r>
      <w:r>
        <w:t xml:space="preserve"> The problem with the aesthetic and the ethical is that, in different ways, they constitute a disavowal of the “radical antagonism of the human situation.”</w:t>
      </w:r>
      <w:r>
        <w:rPr>
          <w:rStyle w:val="EndnoteReference"/>
        </w:rPr>
        <w:endnoteReference w:id="27"/>
      </w:r>
      <w:r>
        <w:t xml:space="preserve"> The obverse of this is that the religious is never secure, never purified of figuration, since it does not refer to a self-identical realm or capacity for pure meaning.</w:t>
      </w:r>
    </w:p>
    <w:p w:rsidR="00BF744A" w:rsidRDefault="00BF744A" w:rsidP="005A4134">
      <w:pPr>
        <w:spacing w:line="480" w:lineRule="auto"/>
      </w:pPr>
    </w:p>
    <w:p w:rsidR="00BF744A" w:rsidRPr="005A4134" w:rsidRDefault="00BF744A" w:rsidP="005A4134">
      <w:pPr>
        <w:spacing w:line="480" w:lineRule="auto"/>
        <w:rPr>
          <w:b/>
          <w:i/>
        </w:rPr>
      </w:pPr>
      <w:r w:rsidRPr="005A4134">
        <w:rPr>
          <w:b/>
          <w:i/>
        </w:rPr>
        <w:t>Monstrosities</w:t>
      </w:r>
    </w:p>
    <w:p w:rsidR="00BF744A" w:rsidRDefault="00BF744A" w:rsidP="005A4134">
      <w:pPr>
        <w:spacing w:line="480" w:lineRule="auto"/>
      </w:pPr>
    </w:p>
    <w:p w:rsidR="00BF744A" w:rsidRDefault="00BF744A" w:rsidP="005A4134">
      <w:pPr>
        <w:spacing w:line="480" w:lineRule="auto"/>
      </w:pPr>
      <w:r>
        <w:t xml:space="preserve">We are confronted with two radically different readings of Kierkegaard. Žižek proposes an original rupture at the heart of the Real, which dialectics serves to operationalize, not overcome. Kierkegaard stands for this absolute paradox of God himself torn asunder, the sign and engine of the traumatic core of our own selfhood. We are never at one with ourselves, we are always “at fault”; but this is no accidental fall into sin, it is constitutive of subjectivity itself. Milbank, on the other hand, offers a Kierkegaard who teaches the existential realization of paradox as the coincidence of opposites, the very basis for analogical participation and human deification, a re-entry into the playful, creative tensions (not conflicts) of the Trinitarian life. </w:t>
      </w:r>
    </w:p>
    <w:p w:rsidR="00BF744A" w:rsidRDefault="00BF744A" w:rsidP="005A4134">
      <w:pPr>
        <w:spacing w:line="480" w:lineRule="auto"/>
        <w:ind w:firstLine="720"/>
      </w:pPr>
      <w:r>
        <w:t>For Caputo, this is a false choice. He characterizes it as “war between two overarching cosmic narratives,” with their “competing absolutes of Absolute Peace and Absolute Conflict.”</w:t>
      </w:r>
      <w:r>
        <w:rPr>
          <w:rStyle w:val="EndnoteReference"/>
        </w:rPr>
        <w:endnoteReference w:id="28"/>
      </w:r>
      <w:r>
        <w:t xml:space="preserve"> He asks “[W]hat, then, is the compelling need we are under to agree with either Milbank or Žižek or to choose between them? Why do we have to love either one of these monsters?”</w:t>
      </w:r>
      <w:r>
        <w:rPr>
          <w:rStyle w:val="EndnoteReference"/>
        </w:rPr>
        <w:endnoteReference w:id="29"/>
      </w:r>
      <w:r>
        <w:t xml:space="preserve"> The positions he rejects (though with more sympathy for Žižek than for Milbank) are monstrous in their metaphysical ambition to swallow reality whole and eliminate ambiguity from the nature of things. </w:t>
      </w:r>
    </w:p>
    <w:p w:rsidR="00BF744A" w:rsidRDefault="00BF744A" w:rsidP="005A4134">
      <w:pPr>
        <w:spacing w:line="480" w:lineRule="auto"/>
        <w:ind w:firstLine="720"/>
      </w:pPr>
      <w:r>
        <w:t>The point is well made, for we have had enough of philosophical and theological Godzillas roaring their absolutes from the rooftops. Nevertheless, there may be more to be said for monsters than this response allows. Indeed, the motif of monstrosity plays an interesting role in Kierkegaard’s own texts--one which might help us unravel what is at stake in this clash of the titans.</w:t>
      </w:r>
    </w:p>
    <w:p w:rsidR="00BF744A" w:rsidRDefault="00BF744A" w:rsidP="005A4134">
      <w:pPr>
        <w:spacing w:line="480" w:lineRule="auto"/>
        <w:ind w:firstLine="720"/>
      </w:pPr>
      <w:r>
        <w:t>In two significant papers, Ryan Johnson and Isak Winkel Holm have already drawn attention to the significance of monstrosity in Kierkegaard. In what follows, I cannot do justice to the richness of their arguments, but will draw out some salient points.</w:t>
      </w:r>
    </w:p>
    <w:p w:rsidR="00BF744A" w:rsidRDefault="00BF744A" w:rsidP="005A4134">
      <w:pPr>
        <w:spacing w:line="480" w:lineRule="auto"/>
        <w:ind w:firstLine="720"/>
      </w:pPr>
      <w:r>
        <w:t>Johnson’s essay cites the 14</w:t>
      </w:r>
      <w:r w:rsidRPr="00141F57">
        <w:rPr>
          <w:vertAlign w:val="superscript"/>
        </w:rPr>
        <w:t>th</w:t>
      </w:r>
      <w:r>
        <w:t xml:space="preserve"> century text </w:t>
      </w:r>
      <w:r>
        <w:rPr>
          <w:i/>
        </w:rPr>
        <w:t>The Travels of Sir John Mandeville</w:t>
      </w:r>
      <w:r w:rsidRPr="00141F57">
        <w:t xml:space="preserve">, </w:t>
      </w:r>
      <w:r>
        <w:t xml:space="preserve">in which </w:t>
      </w:r>
      <w:r w:rsidRPr="00141F57">
        <w:t>a monster is</w:t>
      </w:r>
      <w:r>
        <w:t xml:space="preserve"> defined as something “</w:t>
      </w:r>
      <w:r w:rsidRPr="00141F57">
        <w:t>defor</w:t>
      </w:r>
      <w:r>
        <w:t xml:space="preserve">med against </w:t>
      </w:r>
      <w:r w:rsidRPr="00141F57">
        <w:t>kind</w:t>
      </w:r>
      <w:r>
        <w:t>.”</w:t>
      </w:r>
      <w:r>
        <w:rPr>
          <w:i/>
        </w:rPr>
        <w:t xml:space="preserve"> </w:t>
      </w:r>
      <w:r>
        <w:t xml:space="preserve"> In this deformation, the monster “evades categorization.” This “problematizes the very attempt to define a monster”--it not only “falls outside of categories but runs across categories.” Monstrosity (and here Johnson refers also to the “monstrosity” of Christ discussed by Milbank and Žižek ) “undefines itself.”</w:t>
      </w:r>
      <w:r>
        <w:rPr>
          <w:rStyle w:val="EndnoteReference"/>
        </w:rPr>
        <w:endnoteReference w:id="30"/>
      </w:r>
      <w:r>
        <w:t xml:space="preserve"> </w:t>
      </w:r>
    </w:p>
    <w:p w:rsidR="00BF744A" w:rsidRDefault="00BF744A" w:rsidP="005A4134">
      <w:pPr>
        <w:spacing w:line="480" w:lineRule="auto"/>
        <w:ind w:firstLine="720"/>
      </w:pPr>
      <w:r>
        <w:t xml:space="preserve">Approaching Christ through the category of the monster allows us to understand why people are offended at him. Johnson’s particular focus is on the reactions of various figures (which he dubs “character-machines”) to Christ in </w:t>
      </w:r>
      <w:r>
        <w:rPr>
          <w:i/>
        </w:rPr>
        <w:t>Practice in Christianity</w:t>
      </w:r>
      <w:r>
        <w:t>. People of widely diverse backgrounds experience repulsion at the excess, the “effervescent nature of the God-man.”</w:t>
      </w:r>
      <w:r>
        <w:rPr>
          <w:rStyle w:val="EndnoteReference"/>
        </w:rPr>
        <w:endnoteReference w:id="31"/>
      </w:r>
      <w:r>
        <w:t xml:space="preserve"> The reason is that Christ evades all accepted forms: “he is the essential form of the paradox itself: the God-man, infinitude-finitude, the singular universal.”</w:t>
      </w:r>
      <w:r>
        <w:rPr>
          <w:rStyle w:val="EndnoteReference"/>
        </w:rPr>
        <w:endnoteReference w:id="32"/>
      </w:r>
      <w:r>
        <w:t xml:space="preserve"> In the words of the “philosopher” in </w:t>
      </w:r>
      <w:r w:rsidRPr="00DF2DE7">
        <w:rPr>
          <w:i/>
        </w:rPr>
        <w:t>Practice</w:t>
      </w:r>
      <w:r>
        <w:t xml:space="preserve">, </w:t>
      </w:r>
      <w:r w:rsidRPr="00B35124">
        <w:t>whilst</w:t>
      </w:r>
      <w:r>
        <w:t xml:space="preserve"> it makes sense to see humanity as a whole as divine, when confronted with the idea that a single individual is God “a greater philosophical bestiality cannot be imagined” (PC, 49; SKS 12, 61; translation modified). Christ is a “beast,” a strange animal, which cannot be fitted into the upstanding universality of human nature. </w:t>
      </w:r>
    </w:p>
    <w:p w:rsidR="00BF744A" w:rsidRDefault="00BF744A" w:rsidP="005A4134">
      <w:pPr>
        <w:spacing w:line="480" w:lineRule="auto"/>
        <w:ind w:firstLine="720"/>
      </w:pPr>
      <w:r>
        <w:t>For Johnson, the repulsion aroused by the bestial-monstrous paradox is also a potential liberation. He claims that “many women, when confronting the monstrosity of Christ, are not repulsed, but actually discover a paradoxical and multiplicitous corporeal schema that accords with the maternal body more than the phallic morphology of the male and paternal body.”</w:t>
      </w:r>
      <w:r>
        <w:rPr>
          <w:rStyle w:val="EndnoteReference"/>
        </w:rPr>
        <w:endnoteReference w:id="33"/>
      </w:r>
      <w:r>
        <w:t xml:space="preserve"> Christ offers a break with the dominant discourses of patriarchal normativity. </w:t>
      </w:r>
    </w:p>
    <w:p w:rsidR="00BF744A" w:rsidRDefault="00BF744A" w:rsidP="005A4134">
      <w:pPr>
        <w:spacing w:line="480" w:lineRule="auto"/>
        <w:ind w:firstLine="720"/>
      </w:pPr>
      <w:r>
        <w:t>Johnson plays on the etymology of the monster to make a connection with the hugely influential Aristotelian model of demonstration. This “attempts to establish not only that a particular fact is known with certainty but that such a particular fact is necessarily so and that things could not have been otherwise.”</w:t>
      </w:r>
      <w:r>
        <w:rPr>
          <w:rStyle w:val="EndnoteReference"/>
        </w:rPr>
        <w:endnoteReference w:id="34"/>
      </w:r>
      <w:r>
        <w:t xml:space="preserve"> For Kierkegaard however, faith occurs in the absence of demonstrations, even despite them. A faith which is based on demonstrations is no faith at all, merely the application of a logical rule. Instead of this kind of demonstration as proof, Johnson holds that Kierkegaard offers a different demonstration: a showing of what defies proof or form, a showing of what brings us to a halt and repels us: “[T]o demonstrate, then, is to point out, to reveal, to show. And what is revealed or shown? A monster.”</w:t>
      </w:r>
      <w:r>
        <w:rPr>
          <w:rStyle w:val="EndnoteReference"/>
        </w:rPr>
        <w:endnoteReference w:id="35"/>
      </w:r>
    </w:p>
    <w:p w:rsidR="00BF744A" w:rsidRDefault="00BF744A" w:rsidP="005A4134">
      <w:pPr>
        <w:spacing w:line="480" w:lineRule="auto"/>
        <w:ind w:firstLine="720"/>
      </w:pPr>
      <w:r>
        <w:t xml:space="preserve">Nothing that Johnson writes is incompatible with an orthodox interpretation of the incarnation. It does not seem to be his intention to question the transcendence of the Word made flesh in Christ, but instead to make that incarnation strange and offensive to us again, to free it from its domestication in philosophical categories. Holm’s approach is somewhat different. His focus is not on Kierkegaard’s presentation of Christ </w:t>
      </w:r>
      <w:r>
        <w:rPr>
          <w:i/>
        </w:rPr>
        <w:t>per se</w:t>
      </w:r>
      <w:r>
        <w:t>, but on what he calls his “impure poetry” or “hybrid writing” in general.</w:t>
      </w:r>
      <w:r>
        <w:rPr>
          <w:rStyle w:val="EndnoteReference"/>
        </w:rPr>
        <w:endnoteReference w:id="36"/>
      </w:r>
    </w:p>
    <w:p w:rsidR="00BF744A" w:rsidRDefault="00BF744A" w:rsidP="005A4134">
      <w:pPr>
        <w:spacing w:line="480" w:lineRule="auto"/>
        <w:ind w:firstLine="720"/>
      </w:pPr>
      <w:r>
        <w:t>Holm argues that “the works of Kierkegaard are cut through by a conflict . . . between concepts and images, between the mind’s faculty to conceptualize and its faculty to visualize.”</w:t>
      </w:r>
      <w:r>
        <w:rPr>
          <w:rStyle w:val="EndnoteReference"/>
        </w:rPr>
        <w:endnoteReference w:id="37"/>
      </w:r>
      <w:r>
        <w:t xml:space="preserve"> He cites an 1839 journal entry, in which Kierkegaard writes that abstract concepts are “visible only in their concretions.”</w:t>
      </w:r>
      <w:r>
        <w:rPr>
          <w:rStyle w:val="EndnoteReference"/>
        </w:rPr>
        <w:endnoteReference w:id="38"/>
      </w:r>
      <w:r>
        <w:t xml:space="preserve"> Imagery--such as the myths used by Plato--lets the abstract and the negative be seen. </w:t>
      </w:r>
    </w:p>
    <w:p w:rsidR="00BF744A" w:rsidRDefault="00BF744A" w:rsidP="005A4134">
      <w:pPr>
        <w:spacing w:line="480" w:lineRule="auto"/>
        <w:ind w:firstLine="720"/>
      </w:pPr>
      <w:r>
        <w:t>For Holm, there are two broad ways of approaching this issue in Kierkegaard scholarship. Either it can be denied that there is any conflict between image and thought (so that images merely clothe or illustrate the real conceptual content) or the conflict is treated as an irresolvable collision (as in Adorno). Holm seems more favourable to the second approach, as it acknowledges that Kierkegaard inherits the Kantian “conflict between invisible concepts and visible images.”</w:t>
      </w:r>
      <w:r>
        <w:rPr>
          <w:rStyle w:val="EndnoteReference"/>
        </w:rPr>
        <w:endnoteReference w:id="39"/>
      </w:r>
      <w:r>
        <w:t xml:space="preserve"> However, he argues in favour of a third approach, in which it is through the construction and destruction of images that Kierkegaard converts the “stylistic problem of duplexity” into a “stylistic program.”</w:t>
      </w:r>
      <w:r>
        <w:rPr>
          <w:rStyle w:val="EndnoteReference"/>
        </w:rPr>
        <w:endnoteReference w:id="40"/>
      </w:r>
      <w:r>
        <w:t xml:space="preserve"> </w:t>
      </w:r>
    </w:p>
    <w:p w:rsidR="00BF744A" w:rsidRDefault="00BF744A" w:rsidP="005A4134">
      <w:pPr>
        <w:spacing w:line="480" w:lineRule="auto"/>
        <w:ind w:firstLine="720"/>
      </w:pPr>
      <w:r>
        <w:t xml:space="preserve">Here, a contrast is drawn, exploiting the ambiguity of the Danish </w:t>
      </w:r>
      <w:r w:rsidRPr="00513853">
        <w:rPr>
          <w:i/>
        </w:rPr>
        <w:t>Forklarelse</w:t>
      </w:r>
      <w:r>
        <w:t>, which can mean either “transfiguration” or “explanation.” In Hegelian aesthetics, the beautiful work of art mediates the idea in its most appropriate sensual form: a transfiguration. This is the version of aesthetics popularized and expanded by Heiberg, and which lies in the background to “The Immediate Erotic Stages,” as we saw.  However, Kierkegaard ultimately rejects this version of aesthetics and poetic harmony as a fantasy.</w:t>
      </w:r>
    </w:p>
    <w:p w:rsidR="00BF744A" w:rsidRDefault="00BF744A" w:rsidP="005A4134">
      <w:pPr>
        <w:spacing w:line="480" w:lineRule="auto"/>
        <w:ind w:firstLine="720"/>
      </w:pPr>
      <w:r>
        <w:t xml:space="preserve">What happens when transfiguration fails? When the idea is not perfectly displayed in its correct form, then it needs “explanation.” Holm gives an example of a woodcut found in some editions of Johann Arndt’s </w:t>
      </w:r>
      <w:r>
        <w:rPr>
          <w:i/>
        </w:rPr>
        <w:t>True Christianity</w:t>
      </w:r>
      <w:r>
        <w:t xml:space="preserve">, which requires text in order to make its meaning clear. Kierkegaard obviously knows of this picture himself, and refers to it as a “monster” (the Danish here is actually </w:t>
      </w:r>
      <w:r w:rsidRPr="00513853">
        <w:rPr>
          <w:i/>
        </w:rPr>
        <w:t>Misfoster</w:t>
      </w:r>
      <w:r>
        <w:t xml:space="preserve">, something misbegotten) in an 1837 journal entry (SKS 17, 134). </w:t>
      </w:r>
    </w:p>
    <w:p w:rsidR="00BF744A" w:rsidRDefault="00BF744A" w:rsidP="005A4134">
      <w:pPr>
        <w:spacing w:line="480" w:lineRule="auto"/>
        <w:ind w:firstLine="720"/>
      </w:pPr>
      <w:r>
        <w:t>The failure of transfiguration is dramatized in the aesthetic literature.  The conversion of life into eternal images is an attempt to immunize the aesthete against the contingency of actual life. But this can never be fully carried out, even as the Seducer is ultimately dependent upon the empirical reality of Cordelia. Images outstrip our ability to make them mean what we want them to mean. They retain a material opacity which defies our dreams of transparency. The aesthete is forced to explain the images which fall short of transfiguration.</w:t>
      </w:r>
    </w:p>
    <w:p w:rsidR="00BF744A" w:rsidRDefault="00BF744A" w:rsidP="005A4134">
      <w:pPr>
        <w:spacing w:line="480" w:lineRule="auto"/>
        <w:ind w:firstLine="720"/>
      </w:pPr>
      <w:r>
        <w:t>Holm points out how this mismatch between image and explanation was noticed by Adorno, but that Adorno held that it was a failing of Kierkegaard’s philosophy as a whole. Holm counters that Kierkegaard is fully aware of the conflict, and makes it formative for his who “strategy of communication.”</w:t>
      </w:r>
      <w:r>
        <w:rPr>
          <w:rStyle w:val="EndnoteReference"/>
        </w:rPr>
        <w:endnoteReference w:id="41"/>
      </w:r>
      <w:r>
        <w:t xml:space="preserve"> It forms the basis of his critique of speculative philosophy, which had its own dreams of communicating an eternal truth in transparent form. The Kierkegaardian alternative is indirect communication, in which the negativity and duplexity which are the “condition imposed for using language” are exposed, disrupting and obscuring directness and transparency.</w:t>
      </w:r>
      <w:r>
        <w:rPr>
          <w:rStyle w:val="EndnoteReference"/>
        </w:rPr>
        <w:endnoteReference w:id="42"/>
      </w:r>
      <w:r>
        <w:t xml:space="preserve"> Kierkegaard’s communication aims to awaken and discompose, whereas a “frictionless congruity between meaning and form” would send the reader to sleep.</w:t>
      </w:r>
      <w:r>
        <w:rPr>
          <w:rStyle w:val="EndnoteReference"/>
        </w:rPr>
        <w:endnoteReference w:id="43"/>
      </w:r>
    </w:p>
    <w:p w:rsidR="00BF744A" w:rsidRDefault="00BF744A" w:rsidP="005A4134">
      <w:pPr>
        <w:spacing w:line="480" w:lineRule="auto"/>
        <w:ind w:firstLine="720"/>
      </w:pPr>
      <w:r>
        <w:t>The conclusion is that Kierkegaard’s work is an “aesthetic monster,” which “stirs the spectator out of his sleep and forces him to ‘self-activity.’”</w:t>
      </w:r>
      <w:r>
        <w:rPr>
          <w:rStyle w:val="EndnoteReference"/>
        </w:rPr>
        <w:endnoteReference w:id="44"/>
      </w:r>
      <w:r>
        <w:t xml:space="preserve"> Communication in this sense requires friction, irritation, dissonance. It requires the materiality of the figure to disfigure the transparency of the word or the concept.</w:t>
      </w:r>
    </w:p>
    <w:p w:rsidR="00BF744A" w:rsidRDefault="00BF744A" w:rsidP="005A4134">
      <w:pPr>
        <w:spacing w:line="480" w:lineRule="auto"/>
        <w:ind w:firstLine="720"/>
      </w:pPr>
      <w:r>
        <w:t>Neither Johnson nor Holm might accept the immanentist reading being proposed here. However, they draw attention to the way in which monstrosity--the evasion, decomposition or destruction of form--challenges the philosophical primacy of demonstration. But they also make it something creative. Johnson associates it with the repellent, but also liberative way in which Christ subverts dominant norms; Holm integrates it into Kierkegaard strategy of communication, whose opaque frictions and ragged dissonances provoke the reader’s agency.</w:t>
      </w:r>
    </w:p>
    <w:p w:rsidR="00BF744A" w:rsidRDefault="00BF744A" w:rsidP="005A4134">
      <w:pPr>
        <w:spacing w:line="480" w:lineRule="auto"/>
        <w:ind w:firstLine="720"/>
      </w:pPr>
      <w:r>
        <w:t>I propose to follow these hints a little further into Kierkegaard’s texts, by seeking out those occasions where the monstrous is invoked. One of the complications of this is that the commonest way of referring to a monster in Danish is with the word “Uhyre.” The adjective associated with this, “uhyre,” can however be used simply to mean something like “enormous.” As with the English word “gigantic,” there is usually no intention to refer to any actual superhuman beings; the implied metaphor is dead.</w:t>
      </w:r>
    </w:p>
    <w:p w:rsidR="00BF744A" w:rsidRDefault="00BF744A" w:rsidP="005A4134">
      <w:pPr>
        <w:spacing w:line="480" w:lineRule="auto"/>
        <w:ind w:firstLine="720"/>
      </w:pPr>
      <w:r>
        <w:t>We have to be careful, then, not to build too much upon the frequent usage of the “uhyre” in Kierkegaard’s texts, and ask ourselves whether it is legitimate to connect any one instance with monstrosity or the decomposition and recreation of forms. The translation of “uhyre” as “prodigious” preserves some of the ambiguity of the word. The prodigious can simply be the enormous, but it also has connotations of something that provokes wonder, something that is monstrous. At the same time, I want to be attentive to the possibility that conventional translations of the word veil from us a more explicit encounter with the monster.</w:t>
      </w:r>
    </w:p>
    <w:p w:rsidR="00BF744A" w:rsidRDefault="00BF744A" w:rsidP="005A4134">
      <w:pPr>
        <w:spacing w:line="480" w:lineRule="auto"/>
        <w:ind w:firstLine="720"/>
      </w:pPr>
      <w:r>
        <w:t xml:space="preserve">For example, take the way in which Fichte’s subjective idealism is critiqued in </w:t>
      </w:r>
      <w:r>
        <w:rPr>
          <w:i/>
        </w:rPr>
        <w:t>The Concept of Irony</w:t>
      </w:r>
      <w:r>
        <w:t xml:space="preserve">: “The starting point for the problem of philosophy is hereby brought to consciousness. It is the presuppositionlessness with which it must begin, but the prodigious energy of this beginning goes no further” (CI, 274; SKS 1, 310). The word “prodigious” translates “uhyre”. Would we be justified in modifying the translation to read “the monstrous energy of this beginning goes no further”? </w:t>
      </w:r>
    </w:p>
    <w:p w:rsidR="00BF744A" w:rsidRDefault="00BF744A" w:rsidP="005A4134">
      <w:pPr>
        <w:spacing w:line="480" w:lineRule="auto"/>
        <w:ind w:firstLine="720"/>
      </w:pPr>
      <w:r>
        <w:t xml:space="preserve">Just prior to the sentences quoted, Kierkegaard argues that by making the “I” into an absolute origin of all reality, Fichte gets stuck. If the “I” is its own ground, and its own world, then it cannot get beyond its own self-reflection. Recalling Holm’s words, we might say that it lacks the friction, the material opacity required to make a beginning. Instead, it is characterized by a “divine and absolute impatience,” it is like “a god who can lift the whole world and yet has nothing to lift” (CI, 274; SKS 1, 310). . Given this context, to speak of the energy of the “I” as monstrous is justifiable. The “I” is caught in a self-contradiction. It cannot be transparent to itself, it strains against all form, all the while seeking to control and determine how it appears and what it can mean. </w:t>
      </w:r>
    </w:p>
    <w:p w:rsidR="00BF744A" w:rsidRDefault="00BF744A" w:rsidP="005A4134">
      <w:pPr>
        <w:spacing w:line="480" w:lineRule="auto"/>
        <w:ind w:firstLine="720"/>
      </w:pPr>
      <w:r>
        <w:t>The judgement passed upon Fichte’s monstrous beginning is a negative one. However, it is also suggestive: what happens when this monstrosity of origins is not denied, but admitted into the very project of the self and its communication of and with the unconditioned? This would be a way of thinking radically opposed to that of the Sophists, who seek to put the “hungry monster [</w:t>
      </w:r>
      <w:r w:rsidRPr="00AA37FC">
        <w:rPr>
          <w:i/>
        </w:rPr>
        <w:t>hungrige Uhyre</w:t>
      </w:r>
      <w:r>
        <w:t>]” of reflection back to sleep (CI, 205; SKS 1, 250).</w:t>
      </w:r>
    </w:p>
    <w:p w:rsidR="00BF744A" w:rsidRDefault="00BF744A" w:rsidP="005A4134">
      <w:pPr>
        <w:spacing w:line="480" w:lineRule="auto"/>
        <w:ind w:firstLine="720"/>
      </w:pPr>
      <w:r>
        <w:t xml:space="preserve">The term “uhyre” re-appears frequently in </w:t>
      </w:r>
      <w:r>
        <w:rPr>
          <w:i/>
        </w:rPr>
        <w:t>Irony</w:t>
      </w:r>
      <w:r>
        <w:t>, in two main contexts. The first is that of possibility: the ironist faces “a prodigious multitude of possibilities [</w:t>
      </w:r>
      <w:r w:rsidRPr="00FC5E48">
        <w:rPr>
          <w:i/>
        </w:rPr>
        <w:t>en saadan uhyre Mulighed</w:t>
      </w:r>
      <w:r>
        <w:t>]” (CI, 282; SKS 1, 318), has an “enormous [</w:t>
      </w:r>
      <w:r w:rsidRPr="00FC5E48">
        <w:rPr>
          <w:i/>
        </w:rPr>
        <w:t>uhyre</w:t>
      </w:r>
      <w:r>
        <w:t xml:space="preserve">] reserve fund of possibility” (CI, 262; SKS 1, 300), or experiences “enormous dissonances” of moods united by boredom (CI, 285; SKS 1, 320). There is an “uhyre” elasticity in Socrates’ negativity, which is an “infinite incitement” to a “multiplicity of beginnings” (CI, 216-217; SKS 1, 261). The result of this is that Socrates is “infinitely ambiguous” (CI, 217; SKS 1, 262). He is wholly negative in his relationship to the “established order,” setting off a host of potential alternatives, without pursuing any one of them himself. Socrates’ function here is to decompose the order he finds, without replacing it with a positive alternative form. </w:t>
      </w:r>
    </w:p>
    <w:p w:rsidR="00BF744A" w:rsidRDefault="00BF744A" w:rsidP="005A4134">
      <w:pPr>
        <w:spacing w:line="480" w:lineRule="auto"/>
        <w:ind w:firstLine="720"/>
      </w:pPr>
      <w:r>
        <w:t>In all these cases, “uhyre” can understandably b etranslated in terms of enormity. But the underlying dynamic is one of excess, of decomposition and dissonance. What Socrates shows to the established order is not its own true form, or a more perfect one into which it might develop, but its own monstrosity: its contingency manifested as its lack of essential form. From the perspective of the established order, of course, it is Socrates who is the monster.</w:t>
      </w:r>
    </w:p>
    <w:p w:rsidR="00BF744A" w:rsidRDefault="00BF744A" w:rsidP="005A4134">
      <w:pPr>
        <w:spacing w:line="480" w:lineRule="auto"/>
        <w:ind w:firstLine="720"/>
      </w:pPr>
      <w:r>
        <w:t>If the monster is what exceeds form, then it is not surprizing to find Socrates doing just this. Kierkegaard states that his task is not to focus on individual manifestations of irony in Socrates’ life, but in Socratic irony as a whole. This apparent search for an essential form is quickly transformed into a monster hunt. Grasping irony as a totality requires “an altogether unique mental disposition,” which goes beyond that of the poet, otherwise one would have no idea of “the prodigious [</w:t>
      </w:r>
      <w:r w:rsidRPr="00FC5E48">
        <w:rPr>
          <w:i/>
        </w:rPr>
        <w:t>uhyre</w:t>
      </w:r>
      <w:r>
        <w:t>] daemon dwelling in the empty wastelands of irony” (CI, 125; SKS 1, 177).</w:t>
      </w:r>
    </w:p>
    <w:p w:rsidR="00BF744A" w:rsidRDefault="00BF744A" w:rsidP="00FC5E48">
      <w:pPr>
        <w:spacing w:line="480" w:lineRule="auto"/>
        <w:ind w:firstLine="720"/>
      </w:pPr>
      <w:r>
        <w:t>The context for this last quotation is a discussion of how it could be that Plato has misunderstood Socrates, and attributed to his mentor a speculative and positive doctrine. According to Plato, Socrates “has gained ideality, has conquered those vast regions [</w:t>
      </w:r>
      <w:r w:rsidRPr="00FC5E48">
        <w:rPr>
          <w:i/>
        </w:rPr>
        <w:t>disse uhyre Regioner</w:t>
      </w:r>
      <w:r>
        <w:t xml:space="preserve">] that hitherto were a </w:t>
      </w:r>
      <w:r w:rsidRPr="00FC5E48">
        <w:rPr>
          <w:i/>
        </w:rPr>
        <w:t>terra incognita</w:t>
      </w:r>
      <w:r>
        <w:t>” (CI, 126; SKS 1, 178). In reality, however, Socrates has no such positive ability to set out an idealist metaphysics: “one can certainly let Socrates touch on the idea, except that the idea does not open up to him but is rather a boundary” (CI, 127; SKS 1, 179).</w:t>
      </w:r>
    </w:p>
    <w:p w:rsidR="00BF744A" w:rsidRDefault="00BF744A" w:rsidP="005A4134">
      <w:pPr>
        <w:spacing w:line="480" w:lineRule="auto"/>
        <w:ind w:firstLine="720"/>
      </w:pPr>
      <w:r>
        <w:t xml:space="preserve">The figure is suggestive: speculative thought seeks to </w:t>
      </w:r>
      <w:r>
        <w:rPr>
          <w:i/>
        </w:rPr>
        <w:t>colonize</w:t>
      </w:r>
      <w:r>
        <w:t xml:space="preserve"> the ideal, to pass over into unknown territory and claim it for its own, domesticating the monstrous daemon who dwells there. Socrates, however, lets the monster be. It is not that, by respecting the boundary of the idea, he is able to establish its outline; it is rather that the boundary expresses a dis-composition of the given, such that Socrates takes on the aspect of the monster. His is a disturbing and hybrid thought, a never-sleeping monster, a tactile thought whose touching on the idea repels sense.</w:t>
      </w:r>
      <w:r>
        <w:tab/>
      </w:r>
    </w:p>
    <w:p w:rsidR="00BF744A" w:rsidRDefault="00BF744A" w:rsidP="005A4134">
      <w:pPr>
        <w:spacing w:line="480" w:lineRule="auto"/>
        <w:ind w:firstLine="720"/>
      </w:pPr>
      <w:r>
        <w:t>For Socrates, irony is not instrumental. It is not a vanishing moment which serves its purpose in a larger system of thought and is then gone. Instead, it is an actuality, something to be lived. In Socrates’ case, it involved a polemical relationship to his age, an infinite negative freedom of irony “under the vast [</w:t>
      </w:r>
      <w:r w:rsidRPr="00FC5E48">
        <w:rPr>
          <w:i/>
        </w:rPr>
        <w:t>uhyre</w:t>
      </w:r>
      <w:r>
        <w:t xml:space="preserve">] horizon intimated by the idea as boundary,” but also the security offered by his own “daimon.” (CI, 166; SKS 1, 214). </w:t>
      </w:r>
    </w:p>
    <w:p w:rsidR="00BF744A" w:rsidRDefault="00BF744A" w:rsidP="005A4134">
      <w:pPr>
        <w:spacing w:line="480" w:lineRule="auto"/>
        <w:ind w:firstLine="720"/>
      </w:pPr>
      <w:r>
        <w:t xml:space="preserve">The nature of this “daimon” is much debated in studies of Socrates, but our interest here is in how Kierkegaard portrays it. It appears in the Socratic dialogues as a force or voice of warning, stopping Socrates from adopting certain courses of action. With Hegel, Kierkegaard is not satisfied with an account of the daimon as a wholly external, supernatural reality: “[I]nstead of the oracle, Socrates now has his daimon’ (CI, 163; SKS 1, 213). Hegel argues that, as Socrates is defined by inner subjectivity, so the daimon can’t simply impinge upon him from the outside. He argues that it is effectively a hybrid: “something inward and yet presented as a separate daimon.” It is not yet fully identified with subjectivity (in which case it would be conscience), but remains something unconscious and buried (CI, 164; SKS 1, 213). Its imperfection is shown in that it only relates to disparate particular actions, lacking the consistency and consciousness of subjectivity’s highest development. </w:t>
      </w:r>
    </w:p>
    <w:p w:rsidR="00BF744A" w:rsidRDefault="00BF744A" w:rsidP="005A4134">
      <w:pPr>
        <w:spacing w:line="480" w:lineRule="auto"/>
        <w:ind w:firstLine="720"/>
      </w:pPr>
      <w:r>
        <w:t>The daimon has a negative aspect: it is repelling, a warding off, rather than a positive guide. It is defective, in that it possesses neither the force of revelation nor the inner light of subjectivity. It is dispersed into multiplicity, rather than offering a coherent life view. And yet it is Socrates’ “security,” which prevents him from getting distracted and lost in the externalities of life, and which ensures that his position “once again manifests itself as irony” (CI, 166; SKS 1, 214).</w:t>
      </w:r>
    </w:p>
    <w:p w:rsidR="00BF744A" w:rsidRDefault="00BF744A" w:rsidP="005A4134">
      <w:pPr>
        <w:spacing w:line="480" w:lineRule="auto"/>
        <w:ind w:firstLine="720"/>
      </w:pPr>
      <w:r>
        <w:t xml:space="preserve">Socratic irony is a negative, decomposing force. At the same time, it is characterized by the boundary or frame of the idea. It has limits. These limits, however, do not help to define irony in a clear and distinct way. They hybridize it. They introduce a friction within the infinite negativity of irony and also within the immutable transparency of the idea. The Socratic daimon, which marks him as a hybrid of infinity and particularity, communicates with the “daemon” inhabiting the empty wastelands of irony, there, over the border where we would have expected the pure idea to reside. </w:t>
      </w:r>
    </w:p>
    <w:p w:rsidR="00BF744A" w:rsidRDefault="00BF744A" w:rsidP="005A4134">
      <w:pPr>
        <w:spacing w:line="480" w:lineRule="auto"/>
        <w:ind w:firstLine="720"/>
      </w:pPr>
      <w:r>
        <w:t xml:space="preserve">It could be argued that Socratic irony falls short of Christian positivity, because it remains in the negative. However, irony is not a merely theoretical position, but a singular life. Lived as an actuality, it offers us the collision between the infinite and the finite, the monstrous hybrid of a “demonic” Socrates. In this respect, the hierarchical division between the monstrosities of Socrates and Christ begins to look less secure. </w:t>
      </w:r>
    </w:p>
    <w:p w:rsidR="00BF744A" w:rsidRDefault="00BF744A" w:rsidP="005A4134">
      <w:pPr>
        <w:spacing w:line="480" w:lineRule="auto"/>
        <w:ind w:firstLine="720"/>
      </w:pPr>
      <w:r>
        <w:t xml:space="preserve">Key to this is the idea of a border or frame, as a device for showing off and defining what lies within it. As we have seen, this framing is an ambiguous tactic, since what it defines it also supplements. The inner idea or essence of the thing framed no longer shines forth from its own light, but depends upon a prosthesis in order to show itself. The monstrance contains and displays its content, but also redefines it. The setting of a limit is also its suspension, complication or division. </w:t>
      </w:r>
    </w:p>
    <w:p w:rsidR="00BF744A" w:rsidRDefault="00BF744A" w:rsidP="005A4134">
      <w:pPr>
        <w:spacing w:line="480" w:lineRule="auto"/>
      </w:pPr>
      <w:r>
        <w:t xml:space="preserve">This is why it is important that these instances of monstrosity in the case of Socrates are intimately related to the idea of a border: a frame which is supposed to define and contain both irony and the idea, but which ends up being an unstable limit which runs right through the heart of both.  In actuality, attempts to maintain stable borders, or to cross them with a view to colonizing what lies on the other side, are met with resistance. There is a friction of the real, which resists the hierarchical imposition of form. </w:t>
      </w:r>
    </w:p>
    <w:p w:rsidR="00BF744A" w:rsidRDefault="00BF744A" w:rsidP="005A4134">
      <w:pPr>
        <w:spacing w:line="480" w:lineRule="auto"/>
        <w:ind w:firstLine="720"/>
      </w:pPr>
      <w:r>
        <w:t xml:space="preserve">However, even if this is true of Socrates, is it really true of Christ? Don’t we here have an inviolable border between the negative subjectivity of irony and the plenitude of a divine gift? If we return to the key chapter in </w:t>
      </w:r>
      <w:r>
        <w:rPr>
          <w:i/>
        </w:rPr>
        <w:t>Fragments</w:t>
      </w:r>
      <w:r>
        <w:t>, “The Absolute Paradox,” we find that the understanding must respect the border between itself and the unknown. The understanding</w:t>
      </w:r>
    </w:p>
    <w:p w:rsidR="00BF744A" w:rsidRDefault="00BF744A" w:rsidP="005A4134">
      <w:pPr>
        <w:spacing w:line="480" w:lineRule="auto"/>
      </w:pPr>
    </w:p>
    <w:p w:rsidR="00BF744A" w:rsidRPr="002C27CF" w:rsidRDefault="00BF744A" w:rsidP="005A4134">
      <w:pPr>
        <w:spacing w:line="480" w:lineRule="auto"/>
        <w:ind w:left="720"/>
      </w:pPr>
      <w:r>
        <w:t xml:space="preserve">cannot absolutely transcend itself and therefore thinks as above itself only the sublimity that it thinks by itself. If the unknown (the god) is not solely the frontier, then the one idea about the different is confused with the many ideas about the different. The known is then in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xml:space="preserve"> [dispersion], and the understanding has an attractive selection from among what is available and what fantasy can think of (the prodigious [</w:t>
      </w:r>
      <w:r w:rsidRPr="003D41ED">
        <w:rPr>
          <w:i/>
        </w:rPr>
        <w:t>Det Uhyre</w:t>
      </w:r>
      <w:r>
        <w:t>], the ridiculous, etc). (PF,45; SKS 4, 250)</w:t>
      </w:r>
    </w:p>
    <w:p w:rsidR="00BF744A" w:rsidRDefault="00BF744A" w:rsidP="005A4134">
      <w:pPr>
        <w:spacing w:line="480" w:lineRule="auto"/>
      </w:pPr>
    </w:p>
    <w:p w:rsidR="00BF744A" w:rsidRDefault="00BF744A" w:rsidP="005A4134">
      <w:pPr>
        <w:spacing w:line="480" w:lineRule="auto"/>
      </w:pPr>
      <w:r>
        <w:t xml:space="preserve">There is a Kantian subtext to this talk of the sublime. For Kant, in the sublime, we are confronted with a reality which we cannot contain within the imagination. However, such an experience ironically confirms our own superiority to nature. Where the limitations of understanding and imagination (fantasy) are revealed, reason retains its power to think, whether it be of a mathematical infinity (the mathematical sublime) or of our own capacity to stand over against nature so as not to be defined by it (the dymamical sublime). Ultimately, such experiences refer us back to the sublimity of our own rational nature. </w:t>
      </w:r>
    </w:p>
    <w:p w:rsidR="00BF744A" w:rsidRDefault="00BF744A" w:rsidP="005A4134">
      <w:pPr>
        <w:spacing w:line="480" w:lineRule="auto"/>
        <w:ind w:firstLine="720"/>
      </w:pPr>
      <w:r>
        <w:t xml:space="preserve">Similarly, Climacus has the understanding encounter a boundary which it cannot pass, but whose passion it is to continually approach. If we fail to respect the absoluteness of this boundary, then we translate the unknown into mere particulars. We give it, for instance, the face of a monster. Notwithstanding this, the motivation here appears to be the opposite of Kant’s. We do not fall back onto the sublimity of our own nature, but mark our absolute difference from the god who lies beyond understanding. Transcendence is secured by refusing the disaporic dissolution of the divine into the worldly. </w:t>
      </w:r>
    </w:p>
    <w:p w:rsidR="00BF744A" w:rsidRDefault="00BF744A" w:rsidP="005A4134">
      <w:pPr>
        <w:spacing w:line="480" w:lineRule="auto"/>
        <w:ind w:firstLine="720"/>
      </w:pPr>
      <w:r>
        <w:t xml:space="preserve">The mention of </w:t>
      </w:r>
      <w:r w:rsidRPr="003D41ED">
        <w:rPr>
          <w:i/>
        </w:rPr>
        <w:t>det Uhyre</w:t>
      </w:r>
      <w:r>
        <w:t xml:space="preserve"> in this passage, however, alerts us to two other uses of the term in the same chapter of </w:t>
      </w:r>
      <w:r>
        <w:rPr>
          <w:i/>
        </w:rPr>
        <w:t>Fragments</w:t>
      </w:r>
      <w:r>
        <w:t xml:space="preserve">, both of which concern Socrates. We are told that he </w:t>
      </w:r>
    </w:p>
    <w:p w:rsidR="00BF744A" w:rsidRDefault="00BF744A" w:rsidP="005A4134">
      <w:pPr>
        <w:spacing w:line="480" w:lineRule="auto"/>
      </w:pPr>
    </w:p>
    <w:p w:rsidR="00BF744A" w:rsidRPr="0086171F" w:rsidRDefault="00BF744A" w:rsidP="005A4134">
      <w:pPr>
        <w:spacing w:line="480" w:lineRule="auto"/>
        <w:ind w:left="720"/>
      </w:pPr>
      <w:r>
        <w:t>became almost bewildered about himself when he came up against the different; he no longer knew whether he was a more curious monster than Typhon or whether there was something divine in him. What did he lack, then? The consciousness of sin, which he could no more teach to any other person that any other person could teach it to him. Only the god could teach it--if he wanted to be the teacher. (PF, 47; SKS 4, 251)</w:t>
      </w:r>
    </w:p>
    <w:p w:rsidR="00BF744A" w:rsidRDefault="00BF744A" w:rsidP="005A4134">
      <w:pPr>
        <w:spacing w:line="480" w:lineRule="auto"/>
      </w:pPr>
    </w:p>
    <w:p w:rsidR="00BF744A" w:rsidRDefault="00BF744A" w:rsidP="005A4134">
      <w:pPr>
        <w:spacing w:line="480" w:lineRule="auto"/>
      </w:pPr>
      <w:r>
        <w:t xml:space="preserve">The implication is clear: there is a decisive different between Socrates and Christ. The former, lacking an idea of sin, cannot appreciate that the absolute difference between us and the god is created by our own fault, and can therefore be crossed an cancelled only by divine initiative. </w:t>
      </w:r>
    </w:p>
    <w:p w:rsidR="00BF744A" w:rsidRDefault="00BF744A" w:rsidP="005A4134">
      <w:pPr>
        <w:spacing w:line="480" w:lineRule="auto"/>
        <w:ind w:firstLine="720"/>
      </w:pPr>
      <w:r>
        <w:t xml:space="preserve">The reference to Socrates’ monstrosity recalls the beginning of the chapter, where it appears in a more positive light. Socrates admits that, despite the priority he gives to self-knowledge, ‘he was still not quite clear about himself, whether he (a connoisseur of human nature) was a more curious monster than Typhon or a friendlier and simple being, by nature sharing something divine’ (PF, 37; SKS 4, 242). </w:t>
      </w:r>
    </w:p>
    <w:p w:rsidR="00BF744A" w:rsidRDefault="00BF744A" w:rsidP="005A4134">
      <w:pPr>
        <w:spacing w:line="480" w:lineRule="auto"/>
        <w:ind w:firstLine="720"/>
      </w:pPr>
      <w:r>
        <w:t>This duplexity in Socrates’ self-knowledge is described as a paradox, and we are told not to think ill of it. This immediately leads to the account of the understanding’s passion to will its own downfall. As we saw in the previous chapter, this passion is also likened to a Typhonic hybrid</w:t>
      </w:r>
      <w:r w:rsidRPr="00BC682F">
        <w:t xml:space="preserve"> (PF, 39: SKS 4, 244).</w:t>
      </w:r>
      <w:r>
        <w:t xml:space="preserve"> In the course of ten pages, we therefore have three occasions in which Socrates’ monstrosity is linked to that of paradoxical faith. In other words, the paradox here concerns a self-knowledge, an encounter with otherness which is not outside of the self in any simple way, but which runs </w:t>
      </w:r>
      <w:r w:rsidRPr="00205F4B">
        <w:rPr>
          <w:i/>
        </w:rPr>
        <w:t>through</w:t>
      </w:r>
      <w:r>
        <w:t xml:space="preserve"> it. The hybridity of Socrates’ identity is itself the lived experience of the paradox.</w:t>
      </w:r>
    </w:p>
    <w:p w:rsidR="00BF744A" w:rsidRDefault="00BF744A" w:rsidP="005A4134">
      <w:pPr>
        <w:spacing w:line="480" w:lineRule="auto"/>
        <w:ind w:firstLine="720"/>
      </w:pPr>
      <w:r>
        <w:t xml:space="preserve">This casts a different light on the differentiation between Socrates and Christ. As I argued in the previous chapter, the stability of this distinction breaks down.  To specify what comes from across the border from the unknown as transcendent is already to define this difference, to assume a standpoint that straddles the divide and masters it. Even if the appeal is made to a pure revelation, entirely initiated by the god, the very act of specifying this compromizes the purity of the revelation.  </w:t>
      </w:r>
    </w:p>
    <w:p w:rsidR="00BF744A" w:rsidRDefault="00BF744A" w:rsidP="005A4134">
      <w:pPr>
        <w:spacing w:line="480" w:lineRule="auto"/>
        <w:ind w:firstLine="720"/>
      </w:pPr>
      <w:r>
        <w:t xml:space="preserve">The ironic effect of the references to Socrates’ monstrosity is therefore to demonstrate that his paradoxicality is </w:t>
      </w:r>
      <w:r w:rsidRPr="00D94C3B">
        <w:rPr>
          <w:i/>
        </w:rPr>
        <w:t>more radical</w:t>
      </w:r>
      <w:r>
        <w:t xml:space="preserve"> than that of the god. What is crucial here is that there are two sense of monstrosity in play. When fantasy identifies the god with something striking and extraordinary--with ‘</w:t>
      </w:r>
      <w:r w:rsidRPr="00BC682F">
        <w:rPr>
          <w:i/>
        </w:rPr>
        <w:t>det Uhyre</w:t>
      </w:r>
      <w:r w:rsidRPr="00BC682F">
        <w:t>’</w:t>
      </w:r>
      <w:r>
        <w:t xml:space="preserve">--this is ruled out because, in effect, the monster here is something that can be imagined and understood. It is a mere exaggeration of what already exists. However, the Socratic monstrosity is something else: it is the resistance of the singular, the subjective and the existing to being finally formed and defined. It is the complication of the boundaries between the human, the animal, monstrous and the divine, such that a transcendent judgement which settles their distribution is suspended. The frame no longer secures the god and the human in their difference, but offers a “philosophical bestiality” which subverts the order of things. </w:t>
      </w:r>
    </w:p>
    <w:p w:rsidR="00BF744A" w:rsidRDefault="00BF744A" w:rsidP="005A4134">
      <w:pPr>
        <w:spacing w:line="480" w:lineRule="auto"/>
        <w:ind w:firstLine="720"/>
      </w:pPr>
      <w:r>
        <w:t xml:space="preserve">There are echoes of this scattered through the authorship. In the review of “The First Love” in </w:t>
      </w:r>
      <w:r w:rsidRPr="00A070E6">
        <w:rPr>
          <w:i/>
        </w:rPr>
        <w:t>Either/Or</w:t>
      </w:r>
      <w:r>
        <w:t>, we read that “The occasion is always the accidental, and the prodigious paradox [</w:t>
      </w:r>
      <w:r w:rsidRPr="00BC682F">
        <w:rPr>
          <w:i/>
        </w:rPr>
        <w:t>uhyre Paradox</w:t>
      </w:r>
      <w:r>
        <w:t xml:space="preserve">] is that the accidental is absolutely just as necessary as the necessary” (E)1, 234; SKS 2, 228). Telegraphically, this sparks a connection with what </w:t>
      </w:r>
      <w:r>
        <w:rPr>
          <w:i/>
        </w:rPr>
        <w:t>Fear and Trembling</w:t>
      </w:r>
      <w:r>
        <w:t xml:space="preserve"> calls “the prodigious </w:t>
      </w:r>
      <w:r w:rsidRPr="00185B75">
        <w:t>paradox [</w:t>
      </w:r>
      <w:r w:rsidRPr="00BC682F">
        <w:rPr>
          <w:i/>
        </w:rPr>
        <w:t xml:space="preserve">hiint </w:t>
      </w:r>
      <w:r w:rsidRPr="00BC682F">
        <w:rPr>
          <w:i/>
          <w:color w:val="000000"/>
        </w:rPr>
        <w:t>uhyre Paradox</w:t>
      </w:r>
      <w:r w:rsidRPr="00185B75">
        <w:rPr>
          <w:color w:val="000000"/>
        </w:rPr>
        <w:t xml:space="preserve">] </w:t>
      </w:r>
      <w:r w:rsidRPr="00185B75">
        <w:t xml:space="preserve">that </w:t>
      </w:r>
      <w:r>
        <w:t>is the content of Abraham’s life”</w:t>
      </w:r>
      <w:r w:rsidRPr="00185B75">
        <w:t xml:space="preserve"> (FT, 33; SKS 4, 128; cf.</w:t>
      </w:r>
      <w:r>
        <w:t xml:space="preserve"> FT, 52; SKS 4, 146). Are these accidents? Perhaps an accident is the occasion for a necessary connection, which paradoxically--or demonically--crosses the divide between the aesthetic and the religious: the monstrous paradox.</w:t>
      </w:r>
    </w:p>
    <w:p w:rsidR="00BF744A" w:rsidRDefault="00BF744A" w:rsidP="005A4134">
      <w:pPr>
        <w:spacing w:line="480" w:lineRule="auto"/>
        <w:ind w:firstLine="720"/>
      </w:pPr>
      <w:r>
        <w:t xml:space="preserve">Such coincidental phrasings may not satisfy, but they do raise the question of how the paradox should be read, especially when it is a question of encountering the borders of the known. In </w:t>
      </w:r>
      <w:r>
        <w:rPr>
          <w:i/>
        </w:rPr>
        <w:t>Repetition</w:t>
      </w:r>
      <w:r>
        <w:t>, for instance, we are told in one of the young man’s letters that “Job’s significance is that the disputes at the boundaries of faith are fought out in him, that the monstrous [</w:t>
      </w:r>
      <w:r w:rsidRPr="00BC682F">
        <w:rPr>
          <w:i/>
        </w:rPr>
        <w:t>uhyre</w:t>
      </w:r>
      <w:r>
        <w:t>] revolt of the wild and aggressive powers of passion is presented here” (R, 210; SKS 4, 77; translation modified). Job resists transcendent judgement; he enters into an ordeal, which is itself “altogether transcendent.” This displacement of transcendence from God to the individual’s ordeal is striking. Something disturbing to faith is taking place here: “Job is not a hero of faith; he gives birth to the category of ‘ordeal’ with excruciating [</w:t>
      </w:r>
      <w:r w:rsidRPr="00BC682F">
        <w:rPr>
          <w:i/>
        </w:rPr>
        <w:t>uhyre</w:t>
      </w:r>
      <w:r>
        <w:t>] anguish’ (R, 210; SKS 4, 77). A monstrous revolt, a monstrous anguish, giving birth to the transcendent: to what disturbs and disorders the given forms of faith. All this is possible because Job refuses theodicy, and the subjugation of his suffering to the theological harmonization offered by his friends. Ordeal “is absolutely transcendent and places a person in a purely personal relationship of opposition to God, in a relationship such that he cannot allow himself to be satisfied with any explanation [</w:t>
      </w:r>
      <w:r w:rsidRPr="00BC682F">
        <w:rPr>
          <w:i/>
        </w:rPr>
        <w:t>Forklaring</w:t>
      </w:r>
      <w:r>
        <w:t>] at second hand” (R, 210; SKS 4, 77-8).</w:t>
      </w:r>
    </w:p>
    <w:p w:rsidR="00BF744A" w:rsidRDefault="00BF744A" w:rsidP="005A4134">
      <w:pPr>
        <w:spacing w:line="480" w:lineRule="auto"/>
        <w:ind w:firstLine="720"/>
      </w:pPr>
      <w:r>
        <w:t xml:space="preserve">Job, then, offers something different from Socrates and Christ: an opposition to the divine, a refusal of theodicy and a displacement of transcendence from the being of God on to the existential experience of ordeal. The ordeal is both transcendent and monstrous, a passionate revolt whose wildness refuses to stay within the boundaries of faith. </w:t>
      </w:r>
    </w:p>
    <w:p w:rsidR="00BF744A" w:rsidRDefault="00BF744A" w:rsidP="005A4134">
      <w:pPr>
        <w:spacing w:line="480" w:lineRule="auto"/>
        <w:ind w:firstLine="720"/>
      </w:pPr>
      <w:r>
        <w:t xml:space="preserve">Something of this tension is echoed in the </w:t>
      </w:r>
      <w:r>
        <w:rPr>
          <w:i/>
        </w:rPr>
        <w:t>Postscript</w:t>
      </w:r>
      <w:r>
        <w:t>’s account of what it is to live as a subjective thinker in objective uncertainty. Climacus notes “the enormous strenuousness [</w:t>
      </w:r>
      <w:r w:rsidRPr="00BC682F">
        <w:rPr>
          <w:i/>
        </w:rPr>
        <w:t>den uhyre Anstrængelse</w:t>
      </w:r>
      <w:r>
        <w:t>]” of living according to a religious suffering which dies to immediacy (the phrase appears twice, on CUP, 498 and 499; SKS 7, 451 and 452). Running through the work is a contrast between subjective thought and speculation which is figured in terms of the monstrous. We read that “[W]hen a believer exists in faith, his existence has enormous content [</w:t>
      </w:r>
      <w:r w:rsidRPr="00BC682F">
        <w:rPr>
          <w:i/>
        </w:rPr>
        <w:t>uhyre Indhold</w:t>
      </w:r>
      <w:r>
        <w:t>], but not in the sense of a yield in paragraphs” (CUP, 380; SKS 7, 346). This last quotation forms part of an extended polemic against speculative thought. When the speculative thinker declares that speculation can only deal with relative opposites, not the absolute opposition that Christianity claims to involve, Climacus asks whether he is supposed to be frightened into submission by the “enormous prestige” enjoyed by philosophy (CUP, 378, SKS 7, 344). Speculation presupposes the mediation of Christianity, but the absolute paradox is opposite of mediation. Climacus holds that “Christianity is not a doctrine, but it expresses an existence-communication and is an existence communication” (CUP, 379-380; SKS 7, 345-6). A note invokes the “prodigious existence-task” which this communication enjoins on the learner (CUP, 379n; SKS 7, 345), whilst the main text goes on to affirm the “enormous difference between knowing what Christianity is and being a Christian” (CUP, 380; SKS 7, 346). In each case, “</w:t>
      </w:r>
      <w:r w:rsidRPr="00BC682F">
        <w:rPr>
          <w:i/>
        </w:rPr>
        <w:t>uhyre</w:t>
      </w:r>
      <w:r>
        <w:t>” is the qualifying adjective: so we might speak of speculation’s monstrous prestige, which gives way before the monstrous existence-task, the monstrous difference and content of Christianity. It is hardly surprizing that Climacus goes on to say that any introduction to Christianity cannot present becoming as a “direct transition”--it must be “repelling [</w:t>
      </w:r>
      <w:r w:rsidRPr="00BC682F">
        <w:rPr>
          <w:i/>
        </w:rPr>
        <w:t>frastødende</w:t>
      </w:r>
      <w:r>
        <w:rPr>
          <w:rFonts w:ascii="Georgia" w:hAnsi="Georgia"/>
          <w:color w:val="000000"/>
          <w:sz w:val="21"/>
          <w:szCs w:val="21"/>
        </w:rPr>
        <w:t>]”</w:t>
      </w:r>
      <w:r>
        <w:t xml:space="preserve"> (CUP 381; SKS 7, 345-6). </w:t>
      </w:r>
    </w:p>
    <w:p w:rsidR="00BF744A" w:rsidRDefault="00BF744A" w:rsidP="005A4134">
      <w:pPr>
        <w:spacing w:line="480" w:lineRule="auto"/>
        <w:ind w:firstLine="720"/>
      </w:pPr>
      <w:r>
        <w:t>However, it is important to see what Christianity amounts to here. It is double: it both “expresses [</w:t>
      </w:r>
      <w:r w:rsidRPr="00BC682F">
        <w:rPr>
          <w:i/>
        </w:rPr>
        <w:t>udtrykker</w:t>
      </w:r>
      <w:r>
        <w:t>]” and “is” an existence-communication. It is an intensification of existence, and of the passionate inwardness of the subjective thinker, in relationship to an externality: a contingent, historical occurrence of the paradox. This way of presenting Christianity is intrinsically immanent. Christ, and faith in Christ, become singular, contingent and specific articulations of the paradoxical nature of existence. They interrupt the sedimentation of existence into settled forms, but do so by opening up the subversive power of existence itself. As Climacus puts it, “existing is a monstrous contradiction from which the subjective thinker is not to abstract” (CUP, 350; SKS 7, 320; translation modified), in contrast to the “hungry monster [</w:t>
      </w:r>
      <w:r w:rsidRPr="00BC682F">
        <w:rPr>
          <w:i/>
        </w:rPr>
        <w:t>hungrige Uhyre</w:t>
      </w:r>
      <w:r>
        <w:t>]” of world history which consumes “even such enormous [</w:t>
      </w:r>
      <w:r w:rsidRPr="00BC682F">
        <w:rPr>
          <w:i/>
        </w:rPr>
        <w:t>uhyre</w:t>
      </w:r>
      <w:r>
        <w:t>] portions as China and Persia etc as if they were nothing” (CUP, 351; SKS 7, 321). The standard translation does not convey the repetition of the monstrous.</w:t>
      </w:r>
    </w:p>
    <w:p w:rsidR="00BF744A" w:rsidRDefault="00BF744A" w:rsidP="005A4134">
      <w:pPr>
        <w:spacing w:line="480" w:lineRule="auto"/>
        <w:ind w:firstLine="720"/>
      </w:pPr>
      <w:r>
        <w:t>Speculation is thus a monster that tries to swallow everything, to reduce it to something digestible. The subjective thinker refuses to abstract away from existence, but lives within its monstrous contradiction. In this contest between the monster-as-consumer and the monstrous-as-paradox, to think subjectively is to disturb forms, to queer the order of things:</w:t>
      </w:r>
    </w:p>
    <w:p w:rsidR="00BF744A" w:rsidRDefault="00BF744A" w:rsidP="005A4134">
      <w:pPr>
        <w:spacing w:line="480" w:lineRule="auto"/>
      </w:pPr>
    </w:p>
    <w:p w:rsidR="00BF744A" w:rsidRDefault="00BF744A" w:rsidP="005A4134">
      <w:pPr>
        <w:spacing w:line="480" w:lineRule="auto"/>
        <w:ind w:left="720"/>
      </w:pPr>
      <w:r>
        <w:t>That existence is actually emphasized must be expressed in essential form, and in relation to the illusiveness of existence this is an indirect form--that there is no system. Yet this must not in turn become a reassuring standardized formula, because the indirect expression will always be regenerated in the form. In committee deliberations, it is quite all right to include a dissenting vote, but a system that has a dissenting vote as a paragraph within it is a queer monstrosity [</w:t>
      </w:r>
      <w:r w:rsidRPr="00E458BE">
        <w:rPr>
          <w:i/>
        </w:rPr>
        <w:t>et snurrigt Uhyre</w:t>
      </w:r>
      <w:r>
        <w:t>]. (CUP, 123; SKS 7, 118)</w:t>
      </w:r>
    </w:p>
    <w:p w:rsidR="00BF744A" w:rsidRDefault="00BF744A" w:rsidP="005A4134">
      <w:pPr>
        <w:spacing w:line="480" w:lineRule="auto"/>
        <w:ind w:left="720"/>
      </w:pPr>
    </w:p>
    <w:p w:rsidR="00BF744A" w:rsidRDefault="00BF744A" w:rsidP="005A4134">
      <w:pPr>
        <w:spacing w:line="480" w:lineRule="auto"/>
      </w:pPr>
      <w:r>
        <w:t>There is a close connection between this dynamic and what we have seen Dan Barber call the re-expression of immanence. The expression of existence--its intensification--is not a direct capturing of it. It is an expression conditioned by the illusiveness of existence itself. Further, such an expression does not simply persist as a fixed form, without provoking a response in what conditioned it. Within the form, the indirect expression is regenerated. In Barber’s words (this time in relation to Deleuze) “the power of expression, or the unconditioned cause, does not transcend the given expression. This, after all, is the point of the doubleness of immanence: the expression is immanent to what is expressed, while what is expressed is immanent to the expression.”</w:t>
      </w:r>
      <w:r>
        <w:rPr>
          <w:rStyle w:val="EndnoteReference"/>
        </w:rPr>
        <w:endnoteReference w:id="45"/>
      </w:r>
      <w:r>
        <w:t xml:space="preserve"> Yet this doubleness is what militates against closure: to be re-expressed is “to fold the explication back into the power enacting it, and in doing so to bring about a new expression. This logic is immensely important, for it allows us to explain how immanence enables the creation of the novel.”</w:t>
      </w:r>
      <w:r>
        <w:rPr>
          <w:rStyle w:val="EndnoteReference"/>
        </w:rPr>
        <w:endnoteReference w:id="46"/>
      </w:r>
      <w:r>
        <w:t xml:space="preserve"> A crucial point is that “[T]he immanence of cause and effect introduces affection into the heart of immanence.”</w:t>
      </w:r>
      <w:r>
        <w:rPr>
          <w:rStyle w:val="EndnoteReference"/>
        </w:rPr>
        <w:endnoteReference w:id="47"/>
      </w:r>
      <w:r>
        <w:t xml:space="preserve"> The unconditioned does not remain unaffected by what is expressed. </w:t>
      </w:r>
    </w:p>
    <w:p w:rsidR="00BF744A" w:rsidRDefault="00BF744A" w:rsidP="005A4134">
      <w:pPr>
        <w:spacing w:line="480" w:lineRule="auto"/>
        <w:ind w:firstLine="720"/>
      </w:pPr>
      <w:r>
        <w:t xml:space="preserve">What would be queer within the system, is also queer within a logic of transcendence, and yet this is precisely what is being affirmed by Climacus. In his discussion of the earlier pseudonymous authorship, he actually states that “[R]epetition is basically the expression for immanence” (CUP, 263; SKS 7, 239). His point appears to be that the book </w:t>
      </w:r>
      <w:r>
        <w:rPr>
          <w:i/>
        </w:rPr>
        <w:t>Repetition</w:t>
      </w:r>
      <w:r>
        <w:t xml:space="preserve"> deliberately uses this idea, and presents it in a “confusing contrastive form” in order that the form of immanence can be re-expressed differently, in and through a contingent subjective appropriation of it. Climacus does not make this point, but the logic of his position should be followed through: to determine the god or the unknown as transcendent would also be an expression, which would need to be broken down and re-expressed to avoid it becoming formulaic.</w:t>
      </w:r>
    </w:p>
    <w:p w:rsidR="00BF744A" w:rsidRDefault="00BF744A" w:rsidP="005A4134">
      <w:pPr>
        <w:spacing w:line="480" w:lineRule="auto"/>
        <w:ind w:firstLine="720"/>
      </w:pPr>
      <w:r>
        <w:t xml:space="preserve">It is a short step to realising that this </w:t>
      </w:r>
      <w:r w:rsidRPr="00F55CA8">
        <w:rPr>
          <w:i/>
        </w:rPr>
        <w:t>open</w:t>
      </w:r>
      <w:r>
        <w:t xml:space="preserve"> immanence must take precedence over any concept or image of transcendence. Images of transcendence can only be produced within existence, from the doubled and illusive power of existence itself, as inhabited by the subjective thinker. This does not at all mean that the subjective thinker’s task is simply to project ideas out from their own interiority, since, as we have seen, their inwardness takes its character from the monstrous tensions and paradoxes that run through existence. The subjective thinker does not have an identity, or an inner form, which can be unproblematically projected on to the heavens (any more than it can be directly revealed from the heavens). Instead, she expresses--in always contingent forms--the material friction which prevents reality from cohering into a fixed form, or a transparent vehicle for ideas. This expression is repellent, productive and repeated. It is an expression of immanence. </w:t>
      </w:r>
    </w:p>
    <w:p w:rsidR="00BF744A" w:rsidRDefault="00BF744A" w:rsidP="005A4134">
      <w:pPr>
        <w:spacing w:line="480" w:lineRule="auto"/>
        <w:ind w:firstLine="720"/>
      </w:pPr>
      <w:r>
        <w:t xml:space="preserve">An objection can always be made to this line of thinking: however much it might capture the dynamics at work in a text like Climacus’, do we not have to acknowledge that his perspective is limited? That he does not enter into the decisive paradoxical-religious stage himself? This is a fair point (although it does not appear to stop defenders of a transcendent interpretation of Kierkegaard’s work freely using Climacus’ distinctions between Religiousness A and Religiousness B!). Can this reading plausibly be extended within the pseudonymous literature to the “ideal” Christian writings of Anti-Climacus? A passage from near the end of </w:t>
      </w:r>
      <w:r>
        <w:rPr>
          <w:i/>
        </w:rPr>
        <w:t>The Sickness Unto Death</w:t>
      </w:r>
      <w:r>
        <w:t xml:space="preserve">, and a key reflection on the figuration of Christ in </w:t>
      </w:r>
      <w:r>
        <w:rPr>
          <w:i/>
        </w:rPr>
        <w:t>Pr</w:t>
      </w:r>
      <w:r w:rsidRPr="00532489">
        <w:rPr>
          <w:i/>
        </w:rPr>
        <w:t>actice in Christianity</w:t>
      </w:r>
      <w:r>
        <w:rPr>
          <w:i/>
        </w:rPr>
        <w:t xml:space="preserve"> </w:t>
      </w:r>
      <w:r>
        <w:t xml:space="preserve">provide appropriate texts. </w:t>
      </w:r>
    </w:p>
    <w:p w:rsidR="00BF744A" w:rsidRDefault="00BF744A" w:rsidP="005A4134">
      <w:pPr>
        <w:spacing w:line="480" w:lineRule="auto"/>
        <w:ind w:firstLine="720"/>
      </w:pPr>
      <w:r>
        <w:t xml:space="preserve">The particular paragraph from </w:t>
      </w:r>
      <w:r>
        <w:rPr>
          <w:i/>
        </w:rPr>
        <w:t xml:space="preserve">Sickness </w:t>
      </w:r>
      <w:r w:rsidRPr="00532489">
        <w:t>concerns us for two reasons.</w:t>
      </w:r>
      <w:r>
        <w:rPr>
          <w:i/>
        </w:rPr>
        <w:t xml:space="preserve"> </w:t>
      </w:r>
      <w:r>
        <w:t>First, it is liberally sprinkled with usage of “</w:t>
      </w:r>
      <w:r w:rsidRPr="00097E11">
        <w:rPr>
          <w:i/>
        </w:rPr>
        <w:t>uhyre</w:t>
      </w:r>
      <w:r>
        <w:t>”, used to qualify the instensification of the self before Christ, and the nature of the incarnation itself. Secondly, it is from the opening of a section in which the self’s despair reaches almost maximal intensity, in the form of despairing over the forgiveness of sins. The fundamental forms of despair ultimately amount to a refusal to rest transparently in the power that creates the self, and which-recreates it through the forgiveness of sin. It seems that the resolution of despair, by its very nature, must come from elsewhere, from a transcendent donating source. Christ, the paradoxical embodiment of God’s grace and forgiveness, drives the self to its highest pitch of faith or offence. In its defiant/despairing opposition to the God who is revealed and incarnate, the self turns its back on what it was created to be.</w:t>
      </w:r>
    </w:p>
    <w:p w:rsidR="00BF744A" w:rsidRDefault="00BF744A" w:rsidP="005A4134">
      <w:pPr>
        <w:spacing w:line="480" w:lineRule="auto"/>
        <w:ind w:firstLine="720"/>
      </w:pPr>
      <w:r>
        <w:t>Here is the relevant paragraph, the translation modified to make the repetition of “</w:t>
      </w:r>
      <w:r w:rsidRPr="00097E11">
        <w:rPr>
          <w:i/>
        </w:rPr>
        <w:t>uhyre</w:t>
      </w:r>
      <w:r>
        <w:t>” explicit:</w:t>
      </w:r>
    </w:p>
    <w:p w:rsidR="00BF744A" w:rsidRDefault="00BF744A" w:rsidP="005A4134">
      <w:pPr>
        <w:spacing w:line="480" w:lineRule="auto"/>
      </w:pPr>
    </w:p>
    <w:p w:rsidR="00BF744A" w:rsidRDefault="00BF744A" w:rsidP="005A4134">
      <w:pPr>
        <w:spacing w:line="480" w:lineRule="auto"/>
        <w:ind w:left="720"/>
      </w:pPr>
      <w:r>
        <w:t>A self directly before Christ is a self intensified by the monstrous concession [</w:t>
      </w:r>
      <w:r w:rsidRPr="00097E11">
        <w:rPr>
          <w:i/>
        </w:rPr>
        <w:t>uhyre Indrømmelse</w:t>
      </w:r>
      <w:r>
        <w:t>] from God, intensified by the monstrous accent [</w:t>
      </w:r>
      <w:r w:rsidRPr="00097E11">
        <w:rPr>
          <w:i/>
        </w:rPr>
        <w:t>uhyre Eftertryk</w:t>
      </w:r>
      <w:r>
        <w:t>] that falls upon it because God allowed himself to be born, become man, suffer and die also for the sake of this self. As stated previously, the greater conception of God, the more self; so it holds true here: the greater conception of Christ, the more self. Qualitatively a self is what its criterion is. That Christ is the criterion is the expression, attested by God, for the monstrous reality [</w:t>
      </w:r>
      <w:r w:rsidRPr="00097E11">
        <w:rPr>
          <w:i/>
        </w:rPr>
        <w:t>uhyre Realitet</w:t>
      </w:r>
      <w:r>
        <w:t>] that a self has, for only in Christ is it true that God is man’s goal and criterion, or the criterion and goal. – But the more self there is, the more intense is sin. (SUD 113-4; SKS 11, 225-6)</w:t>
      </w:r>
    </w:p>
    <w:p w:rsidR="00BF744A" w:rsidRDefault="00BF744A" w:rsidP="005A4134">
      <w:pPr>
        <w:spacing w:line="480" w:lineRule="auto"/>
        <w:ind w:left="720"/>
      </w:pPr>
    </w:p>
    <w:p w:rsidR="00BF744A" w:rsidRDefault="00BF744A" w:rsidP="005A4134">
      <w:pPr>
        <w:spacing w:line="480" w:lineRule="auto"/>
      </w:pPr>
      <w:r>
        <w:t>The keys ideas here are that of criterion (literally, “measuring stick”) and intensity. The complex relation between these two is mediated, I suggest by the linking idea of monstrosity. The concession--what God grants--is excessive, inordinate, monstrous. This gives rise to the monstrous accentuation or emphasis of the self, and to the self’s monstrous reality. There is a clear link, then, between the excessive and deforming reality of God and that of the self. And this is redoubled by the idea that Christ acts as the self’s measure or criterion.</w:t>
      </w:r>
    </w:p>
    <w:p w:rsidR="00BF744A" w:rsidRDefault="00BF744A" w:rsidP="005A4134">
      <w:pPr>
        <w:spacing w:line="480" w:lineRule="auto"/>
        <w:ind w:firstLine="720"/>
      </w:pPr>
      <w:r>
        <w:t xml:space="preserve">Note how all of this is articulated in immanent terms: in terms, that is to say, of the self’s intensification. By being brought into connection with the idea of the incarnation, the self’s nature is accentuated. That nature can be characterized in three interlinked ways: paradoxical, repetitive (or re-expressive), and ungrounded. It is paradoxical, because the self is “a synthesis of the infinite and the finite, of the temporal and the eternal, of freedom and necessity” (SUD, 13; SKS 11, 129). It is repetitive or re-expressive, because the self is a “relation that relates itself to itself.” In other words, the contraries of time and eternity are not simply brought together, but </w:t>
      </w:r>
      <w:r w:rsidRPr="00E94974">
        <w:rPr>
          <w:i/>
        </w:rPr>
        <w:t>re-articulated</w:t>
      </w:r>
      <w:r>
        <w:t>. They are given a singular expression in the individual self, which rebounds back upon the contraries which are brought together. Implicit in this is that the paradox thus takes multiple singular forms. Lastly, the self is ungrounded, since this synthesis and this repetition are not within the power of the individual to create and deploy with absolute freedom. The self is derived, essentially responsive to the power that has created it.</w:t>
      </w:r>
    </w:p>
    <w:p w:rsidR="00BF744A" w:rsidRPr="00C431A0" w:rsidRDefault="00BF744A" w:rsidP="005A4134">
      <w:pPr>
        <w:spacing w:line="480" w:lineRule="auto"/>
        <w:ind w:firstLine="720"/>
      </w:pPr>
      <w:r>
        <w:t xml:space="preserve">Now this last characteristic of the self most obviously lends itself to being seen as the creation of a transcendent God, and that is the surface grammar of the language used in </w:t>
      </w:r>
      <w:r>
        <w:rPr>
          <w:i/>
        </w:rPr>
        <w:t>Sickness.</w:t>
      </w:r>
      <w:r>
        <w:t xml:space="preserve"> However, the derivation of the self does not in itself assume a transcendent creator. The power which establishes the self as the determined, singular expression of the synthesis between the limited and the unlimited is left undefined in the opening pages is the book. To hold that the self (in its determinate form) is essentially derived is entirely compatible with a dynamic philosophy of immanence: any determinate form is a contingent expression of unconditioned immanence. As Burns puts it, “God signifies the un-pre-thinkable thing that haunts any attempt for reflection to maintain any sort of logical totality, as there remains something wholly outside the recuperative activity of reflection.”</w:t>
      </w:r>
      <w:r>
        <w:rPr>
          <w:rStyle w:val="EndnoteReference"/>
        </w:rPr>
        <w:endnoteReference w:id="48"/>
      </w:r>
      <w:r>
        <w:t xml:space="preserve"> This outside to reflection is not an outside to immanence as such. It is similar to the encounter with the unknown as limit in </w:t>
      </w:r>
      <w:r>
        <w:rPr>
          <w:i/>
        </w:rPr>
        <w:t>Fragments</w:t>
      </w:r>
      <w:r>
        <w:t xml:space="preserve">, an encounter which repels the understanding back into actuality and existence, and away from fantasizing projections about its Other. </w:t>
      </w:r>
    </w:p>
    <w:p w:rsidR="00BF744A" w:rsidRDefault="00BF744A" w:rsidP="005A4134">
      <w:pPr>
        <w:spacing w:line="480" w:lineRule="auto"/>
        <w:ind w:firstLine="720"/>
      </w:pPr>
      <w:r>
        <w:t xml:space="preserve">As Anti-Climacus analyses the nature of despair, this becomes clearer. There is no appeal to a transcendent viewpoint on the self. The method is immanent, exploring the ways in which the synthesis of the self becomes unbalanced, and how this is reflected in the self’s relation to itself. The self is inseparable from a process of becoming: “at every moment that a self exists, it is in a process of becoming, for the self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[in potentiality] does not actually exist, is simply that which ought to come into existence” (SUD, 30; SKS 11, 146). For the self to lack finitude or necessity is for it to become detached from its conditions, to turn into an abstract possibility, to lose itself in fantasy. For it to lack infinitude or possibility is for it to become locked into a fatalistic submission to the given. In describing this latter form of despair, Anti-Climacus uses a well know formula:</w:t>
      </w:r>
    </w:p>
    <w:p w:rsidR="00BF744A" w:rsidRDefault="00BF744A" w:rsidP="005A4134">
      <w:pPr>
        <w:spacing w:line="480" w:lineRule="auto"/>
      </w:pPr>
    </w:p>
    <w:p w:rsidR="00BF744A" w:rsidRDefault="00BF744A" w:rsidP="005A4134">
      <w:pPr>
        <w:spacing w:line="480" w:lineRule="auto"/>
        <w:ind w:left="720"/>
      </w:pPr>
      <w:r>
        <w:t>But the fatalist has no God, or, what amounts to the same thing, his God is necessity; since everything is possible for God, then God is this--that everything is possible. Therefore the fatalist’s worship of God is at most an interjection, and essentially it is a muteness, a mute capitulation: he is unable to pray. To pray is also to breathe, and possibility is for the self what oxygen is for breathing . . . . For prayer there must be a God, a self--and possibility--or a self and possibility in a pregnant sense, because the being of God means that everything is possible, or that everything is possible means the being of God . . . (SUD 40; SKS 11, 155-6)</w:t>
      </w:r>
    </w:p>
    <w:p w:rsidR="00BF744A" w:rsidRDefault="00BF744A" w:rsidP="005A4134">
      <w:pPr>
        <w:spacing w:line="480" w:lineRule="auto"/>
      </w:pPr>
    </w:p>
    <w:p w:rsidR="00BF744A" w:rsidRDefault="00BF744A" w:rsidP="005A4134">
      <w:pPr>
        <w:spacing w:line="480" w:lineRule="auto"/>
      </w:pPr>
      <w:r>
        <w:t xml:space="preserve">The key thing to note here is the interchangeability of the terms: “God means that everything is possible, </w:t>
      </w:r>
      <w:r w:rsidRPr="0055645E">
        <w:rPr>
          <w:i/>
        </w:rPr>
        <w:t>or</w:t>
      </w:r>
      <w:r>
        <w:t xml:space="preserve"> that everything is possible means the being of God”; “a God, a self --and possibility--</w:t>
      </w:r>
      <w:r w:rsidRPr="0055645E">
        <w:rPr>
          <w:i/>
        </w:rPr>
        <w:t>or</w:t>
      </w:r>
      <w:r>
        <w:t xml:space="preserve"> a self and possibility in a pregnant sense.” The role played by God is convertible with that of “possibility” in a pregnant sense: not the abstract possibility that is detached from actuality in mere fantasy, but the possibility which is transformative of actuality, because it is an aspect of the real itself, of being itself. Possibility is not merely a question of having alternative options available, or unrealized potentials. It is natal, generative. It is an ontological category, a way of naming a contingency and disjuncture at the ground of reality, whereby that reality is not simply an actualization of a given set of (eternal) possibilities or ideal structures. There </w:t>
      </w:r>
      <w:r w:rsidRPr="0055645E">
        <w:rPr>
          <w:i/>
        </w:rPr>
        <w:t>is</w:t>
      </w:r>
      <w:r>
        <w:t xml:space="preserve"> no system of existence; there is no articulation of the structure of the real in self-consistent terms. The self and God are correlates, not in the sense of the one depending upon the other, but in the sense that both name, from different angles, this disjunctive character of the real. “Self” names it as actualized in a singular problematic; “God” names it as virtualized in the expressive power of the unconditioned to manifest itself in such problematic (paradoxical) singularities.</w:t>
      </w:r>
    </w:p>
    <w:p w:rsidR="00BF744A" w:rsidRDefault="00BF744A" w:rsidP="005A4134">
      <w:pPr>
        <w:spacing w:line="480" w:lineRule="auto"/>
        <w:ind w:firstLine="720"/>
      </w:pPr>
      <w:r>
        <w:t xml:space="preserve">This sheds light in the form of words used to describe the intensification of sin when the self is placed, first, before God and then before Christ. In the first case, we read: “[S]in is: </w:t>
      </w:r>
      <w:r>
        <w:rPr>
          <w:i/>
        </w:rPr>
        <w:t>before God, or with the conception of God</w:t>
      </w:r>
      <w:r w:rsidRPr="00E544B8">
        <w:rPr>
          <w:i/>
        </w:rPr>
        <w:t>, in despair not to will to be oneself, or in despair to will to be</w:t>
      </w:r>
      <w:r>
        <w:t xml:space="preserve"> oneself” (SUD, 77; SKS 11, 191). In the second case, we can refer to the passage quoted above, in which “the greater conception of Christ, the more self.” Importantly, the self is not only measured by its criterion, it is intensified by it. It is a singular actuality placed before a conception of the unconditioned. However, the crucial thing is the nature of the conception, the Danish word here (</w:t>
      </w:r>
      <w:r w:rsidRPr="00931B4E">
        <w:rPr>
          <w:i/>
        </w:rPr>
        <w:t>Forestillingen</w:t>
      </w:r>
      <w:r>
        <w:t xml:space="preserve">) connoting presentation, representation and performance as well as idea or concept. The role played by God is the way God is presented to the self. This is not to say that God is a “mere” idea, but </w:t>
      </w:r>
      <w:r w:rsidRPr="00500FAD">
        <w:t xml:space="preserve">the </w:t>
      </w:r>
      <w:r w:rsidRPr="00500FAD">
        <w:rPr>
          <w:i/>
        </w:rPr>
        <w:t xml:space="preserve">way </w:t>
      </w:r>
      <w:r w:rsidRPr="00500FAD">
        <w:t xml:space="preserve">in which the unconditioned is expressed in a process which can be understood in entirely immanent terms. </w:t>
      </w:r>
      <w:r>
        <w:t xml:space="preserve">God </w:t>
      </w:r>
      <w:r w:rsidRPr="00500FAD">
        <w:rPr>
          <w:i/>
        </w:rPr>
        <w:t>is</w:t>
      </w:r>
      <w:r>
        <w:t xml:space="preserve"> how one has to do with God, and there is no transcendent actuality to appeal to. </w:t>
      </w:r>
    </w:p>
    <w:p w:rsidR="00BF744A" w:rsidRDefault="00BF744A" w:rsidP="005A4134">
      <w:pPr>
        <w:spacing w:line="480" w:lineRule="auto"/>
        <w:ind w:firstLine="720"/>
      </w:pPr>
      <w:r>
        <w:t>Anti-Climacus confirms this:</w:t>
      </w:r>
    </w:p>
    <w:p w:rsidR="00BF744A" w:rsidRDefault="00BF744A" w:rsidP="005A4134">
      <w:pPr>
        <w:spacing w:line="480" w:lineRule="auto"/>
      </w:pPr>
    </w:p>
    <w:p w:rsidR="00BF744A" w:rsidRDefault="00BF744A" w:rsidP="005A4134">
      <w:pPr>
        <w:spacing w:line="480" w:lineRule="auto"/>
        <w:ind w:left="720"/>
      </w:pPr>
      <w:r>
        <w:t>No, the older dogmatics was right in maintaining that because sin is against God it is infinitely magnified. The error consisted in considering God as some externality and in seeming to assume that only occasionally did one sin against God. But God is not some externality in the sense that a policeman is. The point that must be observed is that the self has a conception of God and yet does not will as he wills, and thus is disobedient. (SUD, 80; SKS 11, 194)</w:t>
      </w:r>
    </w:p>
    <w:p w:rsidR="00BF744A" w:rsidRPr="00500FAD" w:rsidRDefault="00BF744A" w:rsidP="005A4134">
      <w:pPr>
        <w:spacing w:line="480" w:lineRule="auto"/>
        <w:ind w:left="720"/>
      </w:pPr>
    </w:p>
    <w:p w:rsidR="00BF744A" w:rsidRDefault="00BF744A" w:rsidP="005A4134">
      <w:pPr>
        <w:spacing w:line="480" w:lineRule="auto"/>
      </w:pPr>
      <w:r>
        <w:t xml:space="preserve">The focus is on the self’s </w:t>
      </w:r>
      <w:r>
        <w:rPr>
          <w:i/>
        </w:rPr>
        <w:t>conception</w:t>
      </w:r>
      <w:r>
        <w:t xml:space="preserve"> of God, and it is in terms of this that the intensification of sin is understood. God is not an externality. We should note how the role of God is detached from any police function: the judgement of God does not come from the outside, from a transcendent source of authority. It is internal to the life of faith (a life which, we need to remember, is not a merely inner one, but expresses and re-expresses the ungrounded and inconsistent nature of the real in suffering, resistance and transformation).</w:t>
      </w:r>
    </w:p>
    <w:p w:rsidR="00BF744A" w:rsidRDefault="00BF744A" w:rsidP="005A4134">
      <w:pPr>
        <w:spacing w:line="480" w:lineRule="auto"/>
        <w:ind w:firstLine="720"/>
      </w:pPr>
      <w:r>
        <w:t xml:space="preserve">On this reading, the self corresponds to God, not as example to archetype, but as singular expression to unconditioned expressive power. It does so in such a way that the latter is not an externality, an already decided transcendent reserve, but is also in a process of becoming constantly re-expressed.  The monstrosity of the self’s intensity is an unfolding of the monstrous accentuation of existence placed upon it by a conception of God, such that, before God, the self “is no longer the merely human self” (SUD, 79; SKS 11, 193).  For all the stress on the infinite qualitative difference between God and humanity in </w:t>
      </w:r>
      <w:r>
        <w:rPr>
          <w:i/>
        </w:rPr>
        <w:t>Sickness</w:t>
      </w:r>
      <w:r>
        <w:t>, the self and God exist as mutually affecting dimensions of one dynamic, immanent reality: “That Christ is the criterion is the expression, attested by God, for the monstrous reality [</w:t>
      </w:r>
      <w:r w:rsidRPr="00DF7622">
        <w:rPr>
          <w:i/>
        </w:rPr>
        <w:t>uhyre Realitet</w:t>
      </w:r>
      <w:r>
        <w:t xml:space="preserve">] that a self has.” Even amidst the spare abstraction of </w:t>
      </w:r>
      <w:r>
        <w:rPr>
          <w:i/>
        </w:rPr>
        <w:t>Sickness</w:t>
      </w:r>
      <w:r>
        <w:t xml:space="preserve">, the central role of expression, showing, presentation and performance is implicit in the language used--and these modes are not these of a lucid conceptual comprehension. The conception of God or Christ is </w:t>
      </w:r>
      <w:r w:rsidRPr="00DF7622">
        <w:rPr>
          <w:i/>
        </w:rPr>
        <w:t>Forestillingen</w:t>
      </w:r>
      <w:r>
        <w:t xml:space="preserve">, a bringing forth; it is not </w:t>
      </w:r>
      <w:r w:rsidRPr="00DF7622">
        <w:t>Begrebet</w:t>
      </w:r>
      <w:r>
        <w:t>--</w:t>
      </w:r>
      <w:r w:rsidRPr="00DF7622">
        <w:t>a</w:t>
      </w:r>
      <w:r>
        <w:t xml:space="preserve"> concept which holds something firmly in one’s grasp or vision. If the ostensible ideal of the book is that of the self resting transparently in God, the way in which this is “demonstrated” to us is via the inherent opacity of this process of immanent material expression and figuration.</w:t>
      </w:r>
    </w:p>
    <w:p w:rsidR="00BF744A" w:rsidRDefault="00BF744A" w:rsidP="005A4134">
      <w:pPr>
        <w:spacing w:line="480" w:lineRule="auto"/>
        <w:ind w:firstLine="720"/>
        <w:rPr>
          <w:lang w:eastAsia="en-GB"/>
        </w:rPr>
      </w:pPr>
      <w:r>
        <w:t xml:space="preserve">This is echoed by one of the most striking passages in </w:t>
      </w:r>
      <w:r>
        <w:rPr>
          <w:i/>
        </w:rPr>
        <w:t xml:space="preserve">Practice in Christianity. </w:t>
      </w:r>
      <w:r>
        <w:t xml:space="preserve">Anti-Climacus invites us to imagine a child presented with a selection of pictures of heroic individuals, such as Napoleon and William Tell. In amongst these pictures, one of the crucified Christ has been inserted. This image stands out as discordant with the others, and the child will want to know more about it. We’re asked to imagine telling the child that this person is the Saviour of the world, or, more concretely, “the most loving person who ever lived” who was </w:t>
      </w:r>
      <w:r>
        <w:rPr>
          <w:lang w:eastAsia="en-GB"/>
        </w:rPr>
        <w:t>executed as a “monstrous criminal [</w:t>
      </w:r>
      <w:r w:rsidRPr="00DF7622">
        <w:rPr>
          <w:i/>
          <w:lang w:eastAsia="en-GB"/>
        </w:rPr>
        <w:t xml:space="preserve">et saadant Uhyre af en Forbryder </w:t>
      </w:r>
      <w:r>
        <w:rPr>
          <w:lang w:eastAsia="en-GB"/>
        </w:rPr>
        <w:t xml:space="preserve">– more literally, ‘such a monster of a criminal’]” (PC, 175-6; SKS 12, 178). </w:t>
      </w:r>
    </w:p>
    <w:p w:rsidR="00BF744A" w:rsidRDefault="00BF744A" w:rsidP="005A4134">
      <w:pPr>
        <w:autoSpaceDE w:val="0"/>
        <w:autoSpaceDN w:val="0"/>
        <w:adjustRightInd w:val="0"/>
        <w:spacing w:line="480" w:lineRule="auto"/>
        <w:ind w:firstLine="720"/>
        <w:rPr>
          <w:lang w:eastAsia="en-GB"/>
        </w:rPr>
      </w:pPr>
      <w:r>
        <w:rPr>
          <w:lang w:eastAsia="en-GB"/>
        </w:rPr>
        <w:t xml:space="preserve">Christ the monster: the other pictures “will all turn their backs, so different is this picture” (PC, 175; SKS 12, 177). Significantly, this image of the pictures turning their backs is taken from the folk ballad of “Agnes and the Merman.” Depending on the version of the tale, this happens when either Agnes or the merman enters the church following Agnes’ return from the sea. Both of the characters are--or have become--monstrous hybrids, which have no place in the human world. And this is how Christ is presented. </w:t>
      </w:r>
    </w:p>
    <w:p w:rsidR="00BF744A" w:rsidRDefault="00BF744A" w:rsidP="005A4134">
      <w:pPr>
        <w:autoSpaceDE w:val="0"/>
        <w:autoSpaceDN w:val="0"/>
        <w:adjustRightInd w:val="0"/>
        <w:spacing w:line="480" w:lineRule="auto"/>
        <w:ind w:firstLine="720"/>
        <w:rPr>
          <w:lang w:eastAsia="en-GB"/>
        </w:rPr>
      </w:pPr>
      <w:r>
        <w:rPr>
          <w:lang w:eastAsia="en-GB"/>
        </w:rPr>
        <w:t>On one level, this little thought experiment is about the inadequacy of images to convey the offensiveness of Christ. He defies depiction in terms that conform to the aesthetic classification of genres, and to conventions of the harmony between form and content.</w:t>
      </w:r>
      <w:r>
        <w:rPr>
          <w:rStyle w:val="EndnoteReference"/>
          <w:lang w:eastAsia="en-GB"/>
        </w:rPr>
        <w:endnoteReference w:id="49"/>
      </w:r>
      <w:r>
        <w:rPr>
          <w:lang w:eastAsia="en-GB"/>
        </w:rPr>
        <w:t xml:space="preserve"> At the same time, </w:t>
      </w:r>
      <w:r>
        <w:rPr>
          <w:i/>
          <w:lang w:eastAsia="en-GB"/>
        </w:rPr>
        <w:t xml:space="preserve">Practice </w:t>
      </w:r>
      <w:r w:rsidRPr="004324EF">
        <w:rPr>
          <w:lang w:eastAsia="en-GB"/>
        </w:rPr>
        <w:t>is offering an alternative understanding of figuration: one which proceeds in and through the ruination of images and their supposed sufficiency or transparency to what they represent.</w:t>
      </w:r>
      <w:r>
        <w:rPr>
          <w:i/>
          <w:lang w:eastAsia="en-GB"/>
        </w:rPr>
        <w:t xml:space="preserve"> Practice</w:t>
      </w:r>
      <w:r>
        <w:rPr>
          <w:lang w:eastAsia="en-GB"/>
        </w:rPr>
        <w:t xml:space="preserve"> resists the any relationship to Christ based on admiration rather than imitation. And yet it still presents Christ as </w:t>
      </w:r>
      <w:r w:rsidRPr="00003B56">
        <w:rPr>
          <w:i/>
          <w:lang w:eastAsia="en-GB"/>
        </w:rPr>
        <w:t>Forbilledet</w:t>
      </w:r>
      <w:r>
        <w:rPr>
          <w:lang w:eastAsia="en-GB"/>
        </w:rPr>
        <w:t xml:space="preserve"> a word whose translation as “prototype” does not convey its intrinsic connection to the picture or image (</w:t>
      </w:r>
      <w:r w:rsidRPr="00003B56">
        <w:rPr>
          <w:i/>
          <w:lang w:eastAsia="en-GB"/>
        </w:rPr>
        <w:t>Billedet</w:t>
      </w:r>
      <w:r>
        <w:rPr>
          <w:lang w:eastAsia="en-GB"/>
        </w:rPr>
        <w:t xml:space="preserve">). The question is not whether to depict Christ, but </w:t>
      </w:r>
      <w:r w:rsidRPr="0061381B">
        <w:rPr>
          <w:i/>
          <w:lang w:eastAsia="en-GB"/>
        </w:rPr>
        <w:t>how</w:t>
      </w:r>
      <w:r>
        <w:rPr>
          <w:lang w:eastAsia="en-GB"/>
        </w:rPr>
        <w:t>. The picture of Christ shown to the child is the expression, the showing, the monstrance, of a dissonant reality.</w:t>
      </w:r>
    </w:p>
    <w:p w:rsidR="00BF744A" w:rsidRDefault="00BF744A" w:rsidP="005A4134">
      <w:pPr>
        <w:spacing w:line="480" w:lineRule="auto"/>
        <w:ind w:firstLine="720"/>
        <w:rPr>
          <w:lang w:eastAsia="en-GB"/>
        </w:rPr>
      </w:pPr>
      <w:r>
        <w:rPr>
          <w:lang w:eastAsia="en-GB"/>
        </w:rPr>
        <w:t>Some linguistic points are worth noting here. The child and the images appear in the third of the “</w:t>
      </w:r>
      <w:r w:rsidRPr="00003B56">
        <w:rPr>
          <w:i/>
          <w:lang w:eastAsia="en-GB"/>
        </w:rPr>
        <w:t>Christelige Udviklinger</w:t>
      </w:r>
      <w:r>
        <w:rPr>
          <w:lang w:eastAsia="en-GB"/>
        </w:rPr>
        <w:t>” which make up the final section of the book. “</w:t>
      </w:r>
      <w:r w:rsidRPr="00003B56">
        <w:rPr>
          <w:i/>
          <w:lang w:eastAsia="en-GB"/>
        </w:rPr>
        <w:t>Udviklinger</w:t>
      </w:r>
      <w:r>
        <w:rPr>
          <w:lang w:eastAsia="en-GB"/>
        </w:rPr>
        <w:t>” is translated by the Hongs as “Expositions.” It could also be rendered as “Developments” or “Unfoldings” (</w:t>
      </w:r>
      <w:r w:rsidRPr="00003B56">
        <w:rPr>
          <w:i/>
          <w:lang w:eastAsia="en-GB"/>
        </w:rPr>
        <w:t>vikle</w:t>
      </w:r>
      <w:r>
        <w:rPr>
          <w:lang w:eastAsia="en-GB"/>
        </w:rPr>
        <w:t xml:space="preserve"> having connotations of wrapping or tangling). “Exposition” is also used to translate the key term describing the second section of </w:t>
      </w:r>
      <w:r>
        <w:rPr>
          <w:i/>
          <w:lang w:eastAsia="en-GB"/>
        </w:rPr>
        <w:t>Practice</w:t>
      </w:r>
      <w:r>
        <w:rPr>
          <w:lang w:eastAsia="en-GB"/>
        </w:rPr>
        <w:t xml:space="preserve"> (“A Biblical Exposition and Christian Definition”), though the Danish there is “</w:t>
      </w:r>
      <w:r w:rsidRPr="00003B56">
        <w:rPr>
          <w:i/>
          <w:lang w:eastAsia="en-GB"/>
        </w:rPr>
        <w:t>Fremstilling</w:t>
      </w:r>
      <w:r>
        <w:rPr>
          <w:lang w:eastAsia="en-GB"/>
        </w:rPr>
        <w:t>,” a word which itself has connotations of setting out and representing something. A further twist is that, under the heading “Editor’s Preface” in the third section, we are simply directed back to the preface of the first section, in which Kierkegaard states that the Anti-Climacus pseudonym forces up “the requirement for being a Christian . . . to a supreme ideality” and maintains that this requirement should be “stated, presented and heard [</w:t>
      </w:r>
      <w:r w:rsidRPr="00003B56">
        <w:rPr>
          <w:i/>
          <w:lang w:eastAsia="en-GB"/>
        </w:rPr>
        <w:t>Dog siges, fremstilles, høres bør jo Fordringen</w:t>
      </w:r>
      <w:r>
        <w:rPr>
          <w:lang w:eastAsia="en-GB"/>
        </w:rPr>
        <w:t>]” (PC, 7; SKS 12, 15). The supreme ideality is thus entrusted to an aesthetic task of representation and unfolding, in which figuration plays an indispensable role. But this is an aesthetics of doubleness. What is set out, or developed, or represented, is not a simple origin or original, but the expressive and re-expressive power of material, immanent reality.</w:t>
      </w:r>
    </w:p>
    <w:p w:rsidR="00BF744A" w:rsidRDefault="00BF744A" w:rsidP="005A4134">
      <w:pPr>
        <w:spacing w:line="480" w:lineRule="auto"/>
        <w:ind w:firstLine="720"/>
        <w:rPr>
          <w:lang w:eastAsia="en-GB"/>
        </w:rPr>
      </w:pPr>
      <w:r>
        <w:rPr>
          <w:lang w:eastAsia="en-GB"/>
        </w:rPr>
        <w:t>In the first section of the book, the picture of Christ the inviter is attractively drawn, and then interrupted, in order that the dissonance of the inviter is confronted. Anti-Climacus repeatedly rejects any attempt to “demonstrate [</w:t>
      </w:r>
      <w:r w:rsidRPr="00003B56">
        <w:rPr>
          <w:i/>
          <w:lang w:eastAsia="en-GB"/>
        </w:rPr>
        <w:t>bevise</w:t>
      </w:r>
      <w:r>
        <w:rPr>
          <w:lang w:eastAsia="en-GB"/>
        </w:rPr>
        <w:t>]” that Christ was God, but this is done precisely by drawing attention to the material specificity of Christ’s life: to Jesus’ poverty, abasement and death as a criminal. This signifies a culmination of tendencies within the authorship to move away from a bare and abstract account of the paradox, to one which is enfleshed, and enfleshed specifically in opposition to the world.</w:t>
      </w:r>
    </w:p>
    <w:p w:rsidR="00BF744A" w:rsidRDefault="00BF744A" w:rsidP="005A4134">
      <w:pPr>
        <w:spacing w:line="480" w:lineRule="auto"/>
        <w:ind w:firstLine="720"/>
        <w:rPr>
          <w:lang w:eastAsia="en-GB"/>
        </w:rPr>
      </w:pPr>
      <w:r>
        <w:rPr>
          <w:lang w:eastAsia="en-GB"/>
        </w:rPr>
        <w:t>Christ offers an invitation to lay down one’s burdens. He does so utterly indifferent to worldly logics of honour, status, wealth and power. And, by being indifferent to those logics, he embodies a resistance to them, since they are logics which claim to be all-sufficient. Anti-Climacus imagines how various “sagacious” contemporaries of Christ dismiss him as a fool, mad, inexplicable, a nobody: how can he offer the highest? The clergyman argues that “the authentic expected one will look entirely different, will come as the most glorious flowering and the highest unfolding of the established order’, since ‘world development [</w:t>
      </w:r>
      <w:r w:rsidRPr="00003B56">
        <w:rPr>
          <w:i/>
          <w:lang w:eastAsia="en-GB"/>
        </w:rPr>
        <w:t>Verdens-Udviklingen</w:t>
      </w:r>
      <w:r>
        <w:rPr>
          <w:lang w:eastAsia="en-GB"/>
        </w:rPr>
        <w:t>] is not--and this is indeed already implicit in its being a development [</w:t>
      </w:r>
      <w:r w:rsidRPr="00003B56">
        <w:rPr>
          <w:i/>
          <w:lang w:eastAsia="en-GB"/>
        </w:rPr>
        <w:t>Udviklingen</w:t>
      </w:r>
      <w:r>
        <w:rPr>
          <w:lang w:eastAsia="en-GB"/>
        </w:rPr>
        <w:t>]--</w:t>
      </w:r>
      <w:r>
        <w:rPr>
          <w:i/>
          <w:lang w:eastAsia="en-GB"/>
        </w:rPr>
        <w:t>revolutionair</w:t>
      </w:r>
      <w:r>
        <w:rPr>
          <w:lang w:eastAsia="en-GB"/>
        </w:rPr>
        <w:t xml:space="preserve"> but </w:t>
      </w:r>
      <w:r>
        <w:rPr>
          <w:i/>
          <w:lang w:eastAsia="en-GB"/>
        </w:rPr>
        <w:t>evolutionair</w:t>
      </w:r>
      <w:r>
        <w:rPr>
          <w:lang w:eastAsia="en-GB"/>
        </w:rPr>
        <w:t xml:space="preserve">’ (PC, 47; SKS 12, 59-60). Two versions of “development” are thus pitted against each other in </w:t>
      </w:r>
      <w:r>
        <w:rPr>
          <w:i/>
          <w:lang w:eastAsia="en-GB"/>
        </w:rPr>
        <w:t>Practice</w:t>
      </w:r>
      <w:r w:rsidRPr="00A378BD">
        <w:rPr>
          <w:lang w:eastAsia="en-GB"/>
        </w:rPr>
        <w:t>: the evolutionary unfolding of what is already germinally present in the established order of things</w:t>
      </w:r>
      <w:r>
        <w:rPr>
          <w:lang w:eastAsia="en-GB"/>
        </w:rPr>
        <w:t xml:space="preserve"> and the revolutionary overturning of the established order by an </w:t>
      </w:r>
      <w:r w:rsidRPr="00003B56">
        <w:rPr>
          <w:i/>
          <w:lang w:eastAsia="en-GB"/>
        </w:rPr>
        <w:t>Udvikling</w:t>
      </w:r>
      <w:r>
        <w:rPr>
          <w:lang w:eastAsia="en-GB"/>
        </w:rPr>
        <w:t xml:space="preserve"> of the dissonance, the disharmony of Christ. When Anti-Climacus disparages the idea that Christianity is made a “development [</w:t>
      </w:r>
      <w:r w:rsidRPr="00003B56">
        <w:rPr>
          <w:i/>
          <w:lang w:eastAsia="en-GB"/>
        </w:rPr>
        <w:t>Udvikling</w:t>
      </w:r>
      <w:r>
        <w:rPr>
          <w:lang w:eastAsia="en-GB"/>
        </w:rPr>
        <w:t>] within the category of the human race,” he recalls “what was touched on earlier [</w:t>
      </w:r>
      <w:r w:rsidRPr="00003B56">
        <w:rPr>
          <w:i/>
          <w:lang w:eastAsia="en-GB"/>
        </w:rPr>
        <w:t>for at erindre om en tidligere Udvikling</w:t>
      </w:r>
      <w:r>
        <w:rPr>
          <w:lang w:eastAsia="en-GB"/>
        </w:rPr>
        <w:t>],” that life is a time of testing, of opposition and suffering for the Christian (PC, 221; SKS 12, 216-217). The translation smooths out an awkward repetition of words--unless this awkward repetition is just what makes the text show us the tangled duplexity of the militant Christian life:</w:t>
      </w:r>
    </w:p>
    <w:p w:rsidR="00BF744A" w:rsidRDefault="00BF744A" w:rsidP="005A4134">
      <w:pPr>
        <w:spacing w:line="480" w:lineRule="auto"/>
        <w:rPr>
          <w:lang w:eastAsia="en-GB"/>
        </w:rPr>
      </w:pPr>
    </w:p>
    <w:p w:rsidR="00BF744A" w:rsidRDefault="00BF744A" w:rsidP="005A4134">
      <w:pPr>
        <w:spacing w:line="480" w:lineRule="auto"/>
        <w:ind w:left="720"/>
        <w:rPr>
          <w:lang w:eastAsia="en-GB"/>
        </w:rPr>
      </w:pPr>
      <w:r>
        <w:rPr>
          <w:lang w:eastAsia="en-GB"/>
        </w:rPr>
        <w:t>Strangely enough, this deification of the established order is the perpetual revolt, the continual mutiny against God. That is, God wants to be involved (and one can scarcely blame him for that), wants to have a little bit of control of the world’s development [</w:t>
      </w:r>
      <w:r w:rsidRPr="00003B56">
        <w:rPr>
          <w:i/>
          <w:lang w:eastAsia="en-GB"/>
        </w:rPr>
        <w:t>Verdens-Udviklingen</w:t>
      </w:r>
      <w:r>
        <w:rPr>
          <w:lang w:eastAsia="en-GB"/>
        </w:rPr>
        <w:t>] or he wants to keep the human race developing [</w:t>
      </w:r>
      <w:r w:rsidRPr="00003B56">
        <w:rPr>
          <w:i/>
          <w:lang w:eastAsia="en-GB"/>
        </w:rPr>
        <w:t>i Udvikling</w:t>
      </w:r>
      <w:r>
        <w:rPr>
          <w:lang w:eastAsia="en-GB"/>
        </w:rPr>
        <w:t>]. The deification of the established order, however, is the smug invention of the lazy, secular human mentality that wants to settle down and fancy that there is total peace and security, now we have achieved the highest. (PC, 88; SKS 12, 97).</w:t>
      </w:r>
    </w:p>
    <w:p w:rsidR="00BF744A" w:rsidRDefault="00BF744A" w:rsidP="005A4134">
      <w:pPr>
        <w:spacing w:line="480" w:lineRule="auto"/>
        <w:rPr>
          <w:lang w:eastAsia="en-GB"/>
        </w:rPr>
      </w:pPr>
    </w:p>
    <w:p w:rsidR="00BF744A" w:rsidRDefault="00BF744A" w:rsidP="005A4134">
      <w:pPr>
        <w:spacing w:line="480" w:lineRule="auto"/>
        <w:rPr>
          <w:lang w:eastAsia="en-GB"/>
        </w:rPr>
      </w:pPr>
      <w:r>
        <w:rPr>
          <w:lang w:eastAsia="en-GB"/>
        </w:rPr>
        <w:t>The God relationship names what rebels and blasphemes against this secular self-deification of the existing order of things. It is the single individual’s capacity for relating to the unconditioned that makes them into a spy and a traitor, and puts the established order in a state of “suspense” (PC, 91; SKS 12, 99).</w:t>
      </w:r>
    </w:p>
    <w:p w:rsidR="00BF744A" w:rsidRDefault="00BF744A" w:rsidP="005A4134">
      <w:pPr>
        <w:autoSpaceDE w:val="0"/>
        <w:autoSpaceDN w:val="0"/>
        <w:adjustRightInd w:val="0"/>
        <w:spacing w:line="480" w:lineRule="auto"/>
        <w:ind w:firstLine="720"/>
        <w:rPr>
          <w:lang w:eastAsia="en-GB"/>
        </w:rPr>
      </w:pPr>
      <w:r>
        <w:rPr>
          <w:i/>
          <w:lang w:eastAsia="en-GB"/>
        </w:rPr>
        <w:t>Practice</w:t>
      </w:r>
      <w:r>
        <w:rPr>
          <w:lang w:eastAsia="en-GB"/>
        </w:rPr>
        <w:t xml:space="preserve"> exemplifies a shift in Kierkegaard’s work. The specificity of the expression of the paradox in its militant, oppositional form takes centre stage, and unleashes a new concentration upon the monstrous dimensions of figuration. Often, especially in the “</w:t>
      </w:r>
      <w:r w:rsidRPr="00003B56">
        <w:rPr>
          <w:i/>
          <w:lang w:eastAsia="en-GB"/>
        </w:rPr>
        <w:t>Christelige Udvkilinger</w:t>
      </w:r>
      <w:r>
        <w:rPr>
          <w:lang w:eastAsia="en-GB"/>
        </w:rPr>
        <w:t>,” these centre upon narratives of “development” which are subverted to give them a disconcerting, even revolutionary edge. The child witnessing the picture of Christ as a criminal monster is one. Another occurs in the story of a youth who grows up in Christendom, but is innocent of the nature of his world. Having learned his scriptures well, he sets out to confess Christ and is promptly told there is no need, since everyone is now a Christian. This youth is compared to one brought up on fairy takes who sets out to fight monsters, but cannot catch a glimpse of one and is told (by a kindly gentleman):</w:t>
      </w:r>
    </w:p>
    <w:p w:rsidR="00BF744A" w:rsidRDefault="00BF744A" w:rsidP="005A4134">
      <w:pPr>
        <w:autoSpaceDE w:val="0"/>
        <w:autoSpaceDN w:val="0"/>
        <w:adjustRightInd w:val="0"/>
        <w:spacing w:before="100" w:after="100" w:line="480" w:lineRule="auto"/>
        <w:ind w:left="720"/>
        <w:rPr>
          <w:lang w:eastAsia="en-GB"/>
        </w:rPr>
      </w:pPr>
      <w:r>
        <w:rPr>
          <w:lang w:eastAsia="en-GB"/>
        </w:rPr>
        <w:t>“Young friend, you are laboring under a delusion; you are not in the world of fairy tales but in the civilized and polished world, where there are no monsters [</w:t>
      </w:r>
      <w:r w:rsidRPr="00003B56">
        <w:rPr>
          <w:i/>
          <w:lang w:eastAsia="en-GB"/>
        </w:rPr>
        <w:t>Uhyrer</w:t>
      </w:r>
      <w:r>
        <w:rPr>
          <w:lang w:eastAsia="en-GB"/>
        </w:rPr>
        <w:t xml:space="preserve">] like that, where you are living among cultured and well-educated people, and where, in addition, the police watch over your security and the clergy your morality, and gas lighting makes the night as safe as the day. Therefore, sheathe your sword and learn that your task, now that the age of monsters is long past, is to be an agreeable person like the rest of us; learn that you must recognize yourself in every other person and every other person must recognize himself in you - to the point of the greatest possible deception. </w:t>
      </w:r>
      <w:r w:rsidRPr="00F10AF5">
        <w:rPr>
          <w:lang w:eastAsia="en-GB"/>
        </w:rPr>
        <w:t xml:space="preserve"> </w:t>
      </w:r>
      <w:r>
        <w:rPr>
          <w:lang w:eastAsia="en-GB"/>
        </w:rPr>
        <w:t>(PC, 218 SKS 12, 213-214)</w:t>
      </w:r>
    </w:p>
    <w:p w:rsidR="00BF744A" w:rsidRDefault="00BF744A" w:rsidP="005A4134">
      <w:pPr>
        <w:spacing w:line="480" w:lineRule="auto"/>
        <w:rPr>
          <w:lang w:eastAsia="en-GB"/>
        </w:rPr>
      </w:pPr>
      <w:r>
        <w:rPr>
          <w:lang w:eastAsia="en-GB"/>
        </w:rPr>
        <w:t>Christendom has vanquished the monsters. Now it has the police and the clergy to secure its borders and expel every trace of night. Christendom revolves around the contradictions that (a) total peace and security have been achieved (b) we require a temporal and spiritual police function to maintain that security.</w:t>
      </w:r>
      <w:r w:rsidRPr="00E9678B">
        <w:rPr>
          <w:lang w:eastAsia="en-GB"/>
        </w:rPr>
        <w:t xml:space="preserve"> </w:t>
      </w:r>
      <w:r>
        <w:rPr>
          <w:lang w:eastAsia="en-GB"/>
        </w:rPr>
        <w:t>Small wonder that a militant faith demands spies and rebels.</w:t>
      </w:r>
    </w:p>
    <w:p w:rsidR="00BF744A" w:rsidRDefault="00BF744A" w:rsidP="005A4134">
      <w:pPr>
        <w:spacing w:line="480" w:lineRule="auto"/>
        <w:ind w:firstLine="720"/>
        <w:rPr>
          <w:lang w:eastAsia="en-GB"/>
        </w:rPr>
      </w:pPr>
      <w:r>
        <w:rPr>
          <w:lang w:eastAsia="en-GB"/>
        </w:rPr>
        <w:t xml:space="preserve">It is important to see here how Kierkegaard is historicizing and politicizing the paradox--and that these two features are intimately connected. The singularity of the Christ-monster shows us what a refusal of the established order entails. The historical context—and, therefore, the way the paradox is expressed—differ from age to age. In the context of the triumph of Christendom, a suspense and a betrayal of order are required. This is opposed quite specifically to that kind of divinity which holds that peace is always already achieved, and that the priority is to mediate this peace hierarchically through literal or metaphorical police functionaries. Against this, the believer prioritizes opposition to the world, a refusal of reconciliation or the toleration of suffering. </w:t>
      </w:r>
    </w:p>
    <w:p w:rsidR="00BF744A" w:rsidRDefault="00BF744A" w:rsidP="005A4134">
      <w:pPr>
        <w:spacing w:line="480" w:lineRule="auto"/>
        <w:ind w:firstLine="720"/>
        <w:rPr>
          <w:lang w:eastAsia="en-GB"/>
        </w:rPr>
      </w:pPr>
      <w:r>
        <w:rPr>
          <w:lang w:eastAsia="en-GB"/>
        </w:rPr>
        <w:t>This links us to a third, more elaborate instance of a subversive narrative of development: the youth who grows up with a certain “image [</w:t>
      </w:r>
      <w:r w:rsidRPr="00E9678B">
        <w:rPr>
          <w:i/>
          <w:lang w:eastAsia="en-GB"/>
        </w:rPr>
        <w:t>Billede</w:t>
      </w:r>
      <w:r>
        <w:rPr>
          <w:lang w:eastAsia="en-GB"/>
        </w:rPr>
        <w:t>]” of perfection (PC, 186ff; SKS 12, 186ff.). The youth’s imagination idealizes this image, projects upon it a perfection which romanticizes even the suffering of Christ. This is the failure of the imagination, which cannot incorporate real suffering and imperfection. Still, the youth longs to resemble the image, and the reality of life makes him more and more aware of what suffering is actually like. Throughout this period of testing, he does not abandon this image, but relates to it differently, until he says to himself:</w:t>
      </w:r>
    </w:p>
    <w:p w:rsidR="00BF744A" w:rsidRDefault="00BF744A" w:rsidP="005A4134">
      <w:pPr>
        <w:spacing w:line="480" w:lineRule="auto"/>
        <w:rPr>
          <w:lang w:eastAsia="en-GB"/>
        </w:rPr>
      </w:pPr>
    </w:p>
    <w:p w:rsidR="00BF744A" w:rsidRDefault="00BF744A" w:rsidP="005A4134">
      <w:pPr>
        <w:spacing w:line="480" w:lineRule="auto"/>
        <w:ind w:left="720"/>
        <w:rPr>
          <w:lang w:eastAsia="en-GB"/>
        </w:rPr>
      </w:pPr>
      <w:r>
        <w:rPr>
          <w:lang w:eastAsia="en-GB"/>
        </w:rPr>
        <w:t>Let all this suffering come; I have my hope in God--certainly not as in my earliest youth but in another and more deeply inward way. So I am not abandoning this image [</w:t>
      </w:r>
      <w:r w:rsidRPr="00E9678B">
        <w:rPr>
          <w:i/>
          <w:lang w:eastAsia="en-GB"/>
        </w:rPr>
        <w:t>Billede</w:t>
      </w:r>
      <w:r>
        <w:rPr>
          <w:lang w:eastAsia="en-GB"/>
        </w:rPr>
        <w:t>]--but at the very same moment he looks once again at the prototype [</w:t>
      </w:r>
      <w:r w:rsidRPr="00E9678B">
        <w:rPr>
          <w:i/>
          <w:lang w:eastAsia="en-GB"/>
        </w:rPr>
        <w:t>Forbillede</w:t>
      </w:r>
      <w:r>
        <w:rPr>
          <w:lang w:eastAsia="en-GB"/>
        </w:rPr>
        <w:t>], and he sees that the suffering does not stop even here, that there is still an intensification, the last: at the most bitter moment to be forsaken by the last one--by God. (PC, 195; SKS 12, 193)</w:t>
      </w:r>
    </w:p>
    <w:p w:rsidR="00BF744A" w:rsidRDefault="00BF744A" w:rsidP="005A4134">
      <w:pPr>
        <w:spacing w:line="480" w:lineRule="auto"/>
        <w:rPr>
          <w:lang w:eastAsia="en-GB"/>
        </w:rPr>
      </w:pPr>
    </w:p>
    <w:p w:rsidR="00BF744A" w:rsidRDefault="00BF744A" w:rsidP="005A4134">
      <w:pPr>
        <w:spacing w:line="480" w:lineRule="auto"/>
        <w:rPr>
          <w:lang w:eastAsia="en-GB"/>
        </w:rPr>
      </w:pPr>
      <w:r>
        <w:rPr>
          <w:lang w:eastAsia="en-GB"/>
        </w:rPr>
        <w:t xml:space="preserve">The image is never abandoned as such. All of the polemics against art and the aesthetic in Kierkegaard’s authorship (such as the attack on the paganism of Christian art (PC, 254-7; SKS 12, 246-9) are rejections of a sublimation or harmonization of the actual experiences of suffering, a point that takes us right back to the Ox of Phalaris at the opening of </w:t>
      </w:r>
      <w:r>
        <w:rPr>
          <w:i/>
          <w:lang w:eastAsia="en-GB"/>
        </w:rPr>
        <w:t>Either/Or</w:t>
      </w:r>
      <w:r>
        <w:rPr>
          <w:lang w:eastAsia="en-GB"/>
        </w:rPr>
        <w:t>. However, none of this entails the abandonment of the image or the figure as such. Indeed, these become more crucial in expressing and re-expressing the paradoxical “more” of existence. What must be retained are figures which interrupt harmony.</w:t>
      </w:r>
    </w:p>
    <w:p w:rsidR="00BF744A" w:rsidRDefault="00BF744A" w:rsidP="005A4134">
      <w:pPr>
        <w:spacing w:line="480" w:lineRule="auto"/>
        <w:ind w:firstLine="720"/>
        <w:rPr>
          <w:lang w:eastAsia="en-GB"/>
        </w:rPr>
      </w:pPr>
      <w:r>
        <w:rPr>
          <w:lang w:eastAsia="en-GB"/>
        </w:rPr>
        <w:t>So it can be said of Christ that “he himself had to express the truth, himself had to portray [</w:t>
      </w:r>
      <w:r w:rsidRPr="002B3BB7">
        <w:rPr>
          <w:i/>
          <w:lang w:eastAsia="en-GB"/>
        </w:rPr>
        <w:t>fremstille</w:t>
      </w:r>
      <w:r>
        <w:rPr>
          <w:lang w:eastAsia="en-GB"/>
        </w:rPr>
        <w:t>] what it is to be truth . . . . He--to speak altogether humanly and certainly justifiably about a true human being--he was developed [</w:t>
      </w:r>
      <w:r w:rsidRPr="002B3BB7">
        <w:rPr>
          <w:i/>
          <w:lang w:eastAsia="en-GB"/>
        </w:rPr>
        <w:t>udvikledes</w:t>
      </w:r>
      <w:r>
        <w:rPr>
          <w:lang w:eastAsia="en-GB"/>
        </w:rPr>
        <w:t xml:space="preserve">] to become and to be the truth” (PC181; SKS 12, 182). The point is that nothing of this can be known or encountered outside of Jesus’ human existence and his actual antagonism to the established powers. There is no mediation of a transcendent loftiness or Church triumphant available to us. Everything is developed in figural, immanent terms, but not, we note in the secular terms of an established order which merely arrogates to itself the police functions of a transcendent divine. </w:t>
      </w:r>
    </w:p>
    <w:p w:rsidR="00BF744A" w:rsidRDefault="00BF744A" w:rsidP="005A4134">
      <w:pPr>
        <w:spacing w:line="480" w:lineRule="auto"/>
        <w:ind w:firstLine="720"/>
        <w:rPr>
          <w:lang w:eastAsia="en-GB"/>
        </w:rPr>
      </w:pPr>
      <w:r>
        <w:rPr>
          <w:lang w:eastAsia="en-GB"/>
        </w:rPr>
        <w:t xml:space="preserve">The changing figures we have encountered, from </w:t>
      </w:r>
      <w:r>
        <w:rPr>
          <w:i/>
          <w:lang w:eastAsia="en-GB"/>
        </w:rPr>
        <w:t>Fear and Trembling</w:t>
      </w:r>
      <w:r>
        <w:rPr>
          <w:lang w:eastAsia="en-GB"/>
        </w:rPr>
        <w:t xml:space="preserve"> and </w:t>
      </w:r>
      <w:r>
        <w:rPr>
          <w:i/>
          <w:lang w:eastAsia="en-GB"/>
        </w:rPr>
        <w:t xml:space="preserve">Fragments </w:t>
      </w:r>
      <w:r>
        <w:rPr>
          <w:lang w:eastAsia="en-GB"/>
        </w:rPr>
        <w:t xml:space="preserve">onwards, underscore this point: the paradox exists only as expressed in figures. And theses figures are not merely vessels in which the unchanging core of the paradox is offered to us, but expressions which develop the paradox in new ways. Even in </w:t>
      </w:r>
      <w:r>
        <w:rPr>
          <w:i/>
          <w:lang w:eastAsia="en-GB"/>
        </w:rPr>
        <w:t>Fragments</w:t>
      </w:r>
      <w:r>
        <w:rPr>
          <w:lang w:eastAsia="en-GB"/>
        </w:rPr>
        <w:t xml:space="preserve">, where Jesus’ life is reduced to its barest sketch, the sketch is still indispensable. And because it is there, it finds itself expressed again and complicated through the “analogy” of the king and the maiden. The paradox never remains “in itself,” but is always figured and refigured. </w:t>
      </w:r>
    </w:p>
    <w:p w:rsidR="00BF744A" w:rsidRDefault="00BF744A" w:rsidP="005A4134">
      <w:pPr>
        <w:spacing w:line="480" w:lineRule="auto"/>
        <w:ind w:firstLine="720"/>
        <w:rPr>
          <w:lang w:eastAsia="en-GB"/>
        </w:rPr>
      </w:pPr>
      <w:r>
        <w:rPr>
          <w:lang w:eastAsia="en-GB"/>
        </w:rPr>
        <w:t xml:space="preserve">As we saw earlier, </w:t>
      </w:r>
      <w:r>
        <w:rPr>
          <w:i/>
          <w:lang w:eastAsia="en-GB"/>
        </w:rPr>
        <w:t xml:space="preserve">Practice </w:t>
      </w:r>
      <w:r>
        <w:rPr>
          <w:lang w:eastAsia="en-GB"/>
        </w:rPr>
        <w:t xml:space="preserve">makes the point strongly: Christ is a sign of contradiction. A sign “is the denied immediacy, or the second being that is different from the first . . . that it is supposed to </w:t>
      </w:r>
      <w:r>
        <w:rPr>
          <w:i/>
          <w:lang w:eastAsia="en-GB"/>
        </w:rPr>
        <w:t>mean</w:t>
      </w:r>
      <w:r>
        <w:rPr>
          <w:lang w:eastAsia="en-GB"/>
        </w:rPr>
        <w:t xml:space="preserve"> something is its being something different from what it already is” (PC, 124; SKS 12, 129).  This differential and contradictory dynamic is built into the nature of signs, and it does not issue in any harmony of absolute knowledge. Difference is the condition for meaning to occur. Hence, the sign of contradiction, which combines contradictory parts, is an intensification of a logic already at work in the fracturing of </w:t>
      </w:r>
      <w:r w:rsidRPr="004961E3">
        <w:rPr>
          <w:i/>
          <w:lang w:eastAsia="en-GB"/>
        </w:rPr>
        <w:t>all</w:t>
      </w:r>
      <w:r>
        <w:rPr>
          <w:lang w:eastAsia="en-GB"/>
        </w:rPr>
        <w:t xml:space="preserve"> signs. It rules out direct communication, because the differential decomposition of the sign intrudes itself, is indispensable to the sign function. </w:t>
      </w:r>
    </w:p>
    <w:p w:rsidR="00BF744A" w:rsidRDefault="00BF744A" w:rsidP="005A4134">
      <w:pPr>
        <w:spacing w:line="480" w:lineRule="auto"/>
        <w:ind w:firstLine="720"/>
        <w:rPr>
          <w:lang w:eastAsia="en-GB"/>
        </w:rPr>
      </w:pPr>
      <w:r>
        <w:rPr>
          <w:lang w:eastAsia="en-GB"/>
        </w:rPr>
        <w:t xml:space="preserve">If Christ is a sign of contradiction, then he is not understood outside this immanent, differential logic of the sign. Appealing to a transcendent causality from outside the world will not help here, in fact it will only short circuit the sign. An otherworldly transcendent could place any structure, any meaning and any telos upon the matter of creation, since the latter has no being of its own. In contrast, the notion of Christ as sign of contradiction develops the paradox from </w:t>
      </w:r>
      <w:r w:rsidRPr="004961E3">
        <w:rPr>
          <w:i/>
          <w:lang w:eastAsia="en-GB"/>
        </w:rPr>
        <w:t>within</w:t>
      </w:r>
      <w:r>
        <w:rPr>
          <w:lang w:eastAsia="en-GB"/>
        </w:rPr>
        <w:t xml:space="preserve"> worldly conditions, as something that is utterly immanent and yet excessive of any causal framework or evolutionary narrative. The distinctive features which Anti-Climacus attributes to Christ as a sign--unrecognizability and suffering--are antagonistic denials of the demand to be transparent, accountable and subordinate to the existing order of things and the powers which establish it. </w:t>
      </w:r>
    </w:p>
    <w:p w:rsidR="00BF744A" w:rsidRDefault="00BF744A" w:rsidP="005A4134">
      <w:pPr>
        <w:spacing w:line="480" w:lineRule="auto"/>
        <w:ind w:firstLine="720"/>
        <w:rPr>
          <w:lang w:eastAsia="en-GB"/>
        </w:rPr>
      </w:pPr>
      <w:r>
        <w:rPr>
          <w:lang w:eastAsia="en-GB"/>
        </w:rPr>
        <w:t xml:space="preserve">This is also why so much emphasis is placed on contemporaneity with Christ, in a context where “history” is associated with a progressive development of a content that was always already there. Contemporaneity is a denial of all such metanarratives of progress, for “[I]n relation to the absolute, there is only one time, the present; for the person who is not contemporary with the absolute, </w:t>
      </w:r>
      <w:r w:rsidRPr="00F16002">
        <w:rPr>
          <w:i/>
          <w:lang w:eastAsia="en-GB"/>
        </w:rPr>
        <w:t>it does not exist at all’</w:t>
      </w:r>
      <w:r>
        <w:rPr>
          <w:lang w:eastAsia="en-GB"/>
        </w:rPr>
        <w:t xml:space="preserve"> (PC, 63; SKS 12, 75; my emphasis). As the paradox, Christ is “unhistorical,” but this should not be misunderstood. It is precisely as historically existing in a singular way that Christ eludes the narrative of “history” and its attempts to comprehend and sublimate his specificity. There is no chain of determined causality into which Christ fits. At the same time, this paradoxical expression of the absolute has no reality at all outside of its historical incarnate figure. This is not a contingent realization of an already existing, transcendently guaranteed truth, but an absolute whose very being is immanent to the moment in which it is encountered.  So when Anti-Climacus states that “Christianity is the unconditioned, has only one being, unconditioned being” (PC, 227) we should note the ease with which he switches between Christianity and Christ. This is not because he accepts the domestication of Christ within an established Christendom, quite the opposite; but because the scandal of Christ simply does not exist apart from its contemporary re-expression in suffering witness and opposition towards the status quo.</w:t>
      </w:r>
    </w:p>
    <w:p w:rsidR="00BF744A" w:rsidRPr="00C17BE4" w:rsidRDefault="00BF744A" w:rsidP="005A4134">
      <w:pPr>
        <w:spacing w:line="480" w:lineRule="auto"/>
        <w:ind w:firstLine="720"/>
      </w:pPr>
      <w:r>
        <w:rPr>
          <w:lang w:eastAsia="en-GB"/>
        </w:rPr>
        <w:t xml:space="preserve">There are still significant problems with the way in which Christ and Christianity are presented within Kierkegaard’s texts. These have to do with a lingering attachment to hierarchical order and supercessionism. I will attempt to expose and trouble these attachments, using resources from within Kierkegaard’s texts, in the following chapter. What I hope I have achieved for now is a plausible immanentist reading of Kierkegaard’s Christ, through the lens of monstrosity: defying demonstration and transcendent causality, Christ is not encountered outside of his worldly suffering and his exposure of the self-deification of the established order. This is an immanent Christ, but not one produced by the “immanent” unfolding of a transcendent metanarrative, or its secular equivalent; his “development” is contradictory to that endeavour. It is a problematizing of the actual from the point of view of the suffering one, the breaking open of what appears set and given to a different possibility of history. </w:t>
      </w:r>
    </w:p>
    <w:p w:rsidR="00BF744A" w:rsidRDefault="00BF744A" w:rsidP="005A4134">
      <w:pPr>
        <w:spacing w:line="480" w:lineRule="auto"/>
        <w:ind w:firstLine="720"/>
      </w:pPr>
      <w:r>
        <w:t>In the terms of the debate with which we began this chapter the portrayal we have offered clearly has more in common with the position of Žižek than it does with that of Milbank. At the same time, I am conscious of Caputo’s challenge: why be forced into a choice between absolute peace or absolute conflict? If we reject the way of analogy, does that mean we are committed to an ontology of primordial violence and trauma?</w:t>
      </w:r>
    </w:p>
    <w:p w:rsidR="00BF744A" w:rsidRDefault="00BF744A" w:rsidP="005A4134">
      <w:pPr>
        <w:spacing w:line="480" w:lineRule="auto"/>
        <w:ind w:firstLine="720"/>
      </w:pPr>
      <w:r>
        <w:t>To respond to this, I return to Deleuze, whose account of immanence, and the deployment of it by Daniel Barber, have clearly been significant background influences on my own interpretation of Kierkegaard. As Barber acknowledges, Deleuze has himself been critiqued by Milbank and Kevin Hart for supposedly putting forward an agonistic ontology of difference. Lacking analogical mediation, it is alleged that Deleuze can only condemn us to a perpetual war between the fundamental chaos of difference, and the islands of stability necessary for us to actually live. Barber responds that this misses the importance of the “third synthesis” in Deleuze.</w:t>
      </w:r>
      <w:r>
        <w:rPr>
          <w:rStyle w:val="EndnoteReference"/>
        </w:rPr>
        <w:endnoteReference w:id="50"/>
      </w:r>
      <w:r>
        <w:t xml:space="preserve"> The first synthesis of time –habit--contracts our experience into a series of present moments; the second synthesis—memory--accounts for the passing of those presents into a pure past. The third synthesis is the “revelation of the formless”</w:t>
      </w:r>
      <w:r>
        <w:rPr>
          <w:rStyle w:val="EndnoteReference"/>
        </w:rPr>
        <w:endnoteReference w:id="51"/>
      </w:r>
      <w:r>
        <w:t>: the return of that excessive, unconditioned power of difference which is the pure and empty form of time. It is this third synthesis which, working in and with the determinate conditions produced by the first two syntheses, undoes them, cracks them, and opens the possibility of the future as something genuinely new. The third synthesis, however, does not proceed from any transcendent cause, but “by re-expression of determinate (virtual and actual) conditions in virtue of the unconditioned.”</w:t>
      </w:r>
      <w:r>
        <w:rPr>
          <w:rStyle w:val="EndnoteReference"/>
        </w:rPr>
        <w:endnoteReference w:id="52"/>
      </w:r>
      <w:r>
        <w:t xml:space="preserve"> Since Milbank and Hart can only think the new via the transcendent, they characterize Deleuze’s philosophy as mired in a futile, endless chaos. They fail to reckon with his alternative, fully immanent account of the new, which is neither a chaotic stasis nor a celebration of violence.</w:t>
      </w:r>
    </w:p>
    <w:p w:rsidR="00BF744A" w:rsidRDefault="00BF744A" w:rsidP="005A4134">
      <w:pPr>
        <w:spacing w:line="480" w:lineRule="auto"/>
        <w:ind w:firstLine="720"/>
      </w:pPr>
      <w:r>
        <w:t xml:space="preserve">Deleuze’s own remarks on the concept which has been preoccupying us can help us to articulate this.  He begins the first chapter of </w:t>
      </w:r>
      <w:r>
        <w:rPr>
          <w:i/>
        </w:rPr>
        <w:t xml:space="preserve">Difference and Repetition </w:t>
      </w:r>
      <w:r>
        <w:t xml:space="preserve">by invoking monstrosity. He argues that, if we are to think difference in itself, as opposed to a difference which is subordinated to notions of identity, it cannot be merely as the empirical difference between two or more already constituted entities. Difference must distinguish itself from indifference, and this process must be a unilateral one. It is not, in other words, a matter of diversity being created or caused by a simple, necessary cause or ground. Nor is it a dialectical development, in which otherness is projected by identity, only to be recovered. It is closer to the Neoplatonic idea of emanation from the One: what is emanated distinguishes itself from the One; but the One does not distinguish itself from anything, because that would convert the One into something limited. To echo Meister Eckhart, the One is distinguished by being indistinct. It remains unaffected, uncountable, unplaceable. </w:t>
      </w:r>
    </w:p>
    <w:p w:rsidR="00BF744A" w:rsidRDefault="00BF744A" w:rsidP="005A4134">
      <w:pPr>
        <w:spacing w:line="480" w:lineRule="auto"/>
        <w:ind w:firstLine="720"/>
      </w:pPr>
      <w:r>
        <w:t xml:space="preserve">Whilst we should be rightly wary of drawing Deleuze too close to Neoplatonism, the parallel is one he draws himself. The important thing to bear in mind is that difference is not a byproduct; it is active, productive. In affirming itself, it is a force of making difference. It is the condition for there to be empirical, determinate differences; but it is also the condition for change, for the destruction of form and the production of the new. As such, it is the point where the determined maintains a relationship with the undetermined. It is a power of undoing, dissolving, disjoining, deforming, all of which are aspects, not of lack or defeat, but of an affirmative production. </w:t>
      </w:r>
    </w:p>
    <w:p w:rsidR="00BF744A" w:rsidRDefault="00BF744A" w:rsidP="005A4134">
      <w:pPr>
        <w:spacing w:line="480" w:lineRule="auto"/>
        <w:ind w:firstLine="720"/>
      </w:pPr>
      <w:r>
        <w:t xml:space="preserve">Difference shows itself in deformity; demonstration via monstrosity: </w:t>
      </w:r>
    </w:p>
    <w:p w:rsidR="00BF744A" w:rsidRPr="00E01C89" w:rsidRDefault="00BF744A" w:rsidP="005A4134">
      <w:pPr>
        <w:spacing w:line="480" w:lineRule="auto"/>
      </w:pPr>
      <w:r>
        <w:t xml:space="preserve"> </w:t>
      </w:r>
      <w:r>
        <w:rPr>
          <w:i/>
        </w:rPr>
        <w:t xml:space="preserve"> </w:t>
      </w:r>
    </w:p>
    <w:p w:rsidR="00BF744A" w:rsidRDefault="00BF744A" w:rsidP="005A4134">
      <w:pPr>
        <w:spacing w:line="480" w:lineRule="auto"/>
        <w:ind w:left="720"/>
      </w:pPr>
      <w:r>
        <w:t>It is a poor recipe for producing monsters to accumulate heteroclite determinations or to over-determine the animal. It is better to raise up the ground and dissolve the form . . . . Nor is it certain that it is only the sleep of reason which gives rise to monsters: it is also the vigil, the insomnia of thought, since thought is the moment in which determination makes itself one, by virtue of maintaining a unilateral and precise relation to the indeterminate. Thought “makes” difference, but difference is monstrous.</w:t>
      </w:r>
      <w:r>
        <w:rPr>
          <w:rStyle w:val="EndnoteReference"/>
        </w:rPr>
        <w:endnoteReference w:id="53"/>
      </w:r>
      <w:r>
        <w:t xml:space="preserve"> (DR 37)</w:t>
      </w:r>
    </w:p>
    <w:p w:rsidR="00BF744A" w:rsidRDefault="00BF744A" w:rsidP="005A4134">
      <w:pPr>
        <w:spacing w:line="480" w:lineRule="auto"/>
      </w:pPr>
    </w:p>
    <w:p w:rsidR="00BF744A" w:rsidRDefault="00BF744A" w:rsidP="005A4134">
      <w:pPr>
        <w:spacing w:line="480" w:lineRule="auto"/>
      </w:pPr>
      <w:r>
        <w:t>It is this character of difference which resists assimilation by what Deleuze dubs the four main aspects of reason: identity, analogy, opposition and resemblance. These forms seek to mediate difference, to define it and represent it. Mediating difference, via concepts of reason, results in its domestication in the service of a philosophy which must make itself the judge and arbiter of difference: “Difference must leave its cave and cease to be a monster; or at least only that which escapes at the propitious moment must persist as a monster, that which constitutes only a bad encounter, a bad occasion.”</w:t>
      </w:r>
      <w:r>
        <w:rPr>
          <w:rStyle w:val="EndnoteReference"/>
        </w:rPr>
        <w:endnoteReference w:id="54"/>
      </w:r>
    </w:p>
    <w:p w:rsidR="00BF744A" w:rsidRDefault="00BF744A" w:rsidP="005A4134">
      <w:pPr>
        <w:spacing w:line="480" w:lineRule="auto"/>
        <w:ind w:firstLine="720"/>
      </w:pPr>
      <w:r>
        <w:t xml:space="preserve">One way, then, of characterizing the project of </w:t>
      </w:r>
      <w:r>
        <w:rPr>
          <w:i/>
        </w:rPr>
        <w:t>Difference and Repetition</w:t>
      </w:r>
      <w:r>
        <w:t>, is to say that it demonstrates the essential monstrosity of real experience. The monster is neither something to be tamed, nor the alien Other on the far side of experience, but the life of experience itself. This is a break with the thinking of life in terms of the harmony, and teleology of the organism: “When representation discovers the infinite within itself, it no longer appears as organic representation but as orgiastic representation; it discovers within itself the limits of the organized; tumult, restlessness and passion underneath apparent calm. It rediscovers monstrosity.”</w:t>
      </w:r>
      <w:r>
        <w:rPr>
          <w:rStyle w:val="EndnoteReference"/>
        </w:rPr>
        <w:endnoteReference w:id="55"/>
      </w:r>
      <w:r>
        <w:t xml:space="preserve"> Deleuze goes on to argue that this ‘orgiastic representation’ (as pursued in different ways by Leibniz and Hegel) still seeks to tame the monster, subordinating difference to an overarching identity, but the general point stands: a rediscovery of monstrosity is a rediscovery of the unconditioned within thought.  </w:t>
      </w:r>
    </w:p>
    <w:p w:rsidR="00BF744A" w:rsidRDefault="00BF744A" w:rsidP="005A4134">
      <w:pPr>
        <w:spacing w:line="480" w:lineRule="auto"/>
        <w:ind w:firstLine="720"/>
      </w:pPr>
      <w:r>
        <w:t>A corollary: to think difference in itself cannot mean to freeze it in a concept or other figure, but nor can it simply be reduced to the vague, the indistinct or the Other. Difference is monstrously precise and thoroughly immanent. As we have already seen, this also means that difference cannot be thought analogically. Since difference makes difference, it is the engine of individuation. There is no pre-existing identity or ontological hierarchy from which it derives. Analogy implies a specific hierarchy of being, in terms of which judgements can be made about the derivation and secondary nature of contingent beings and qualities, whilst allowing them imperfectly to participate in the eminence of their origin. Analogy is always a retracing of steps up the ladder of being, a ladder whose downward trajectory is always a decline from purity, simplicity and infinity. In reality, I have argued--in agreement with Barber--that analogy does not even live up to this promise. The simplicity of God renders the mode of God’s possession of goodness wholly unfathomable to us. If the ladder has a top, therefore, it is swathed in cloud. It can tell us nothing determinate about our use of analogical terms in the context of creation. And on to that cloud we can project all manner of fantasies of authority and judgement, which police the real and pre-decide the future.</w:t>
      </w:r>
    </w:p>
    <w:p w:rsidR="00BF744A" w:rsidRDefault="00BF744A" w:rsidP="005A4134">
      <w:pPr>
        <w:spacing w:line="480" w:lineRule="auto"/>
        <w:ind w:firstLine="720"/>
      </w:pPr>
      <w:r>
        <w:t xml:space="preserve">The monstrous is the deforming power of the unconditioned, so that something new can be expressed out of the suffering of the present. Paradox requires, not plenitude, but possibility. And possibility requires repetition, re-expression, as the engine of the new. Neither a fantasy of transcendent harmony, nor a capitulation to endless violence, the paradox begins with the monstrous in order to articulate that which disturbs and exceeds the present order of things. </w:t>
      </w:r>
    </w:p>
    <w:p w:rsidR="00BF744A" w:rsidRDefault="00BF744A" w:rsidP="005A4134">
      <w:pPr>
        <w:spacing w:line="480" w:lineRule="auto"/>
        <w:ind w:firstLine="720"/>
      </w:pPr>
      <w:r>
        <w:t>Paradox is therefore problem, possibility and figure. It engenders a thinking: not one which falls short of the One, but a thinking which, repelled by transcendent dramas of consuming the monstrous, the singular and the deformed, is always from and in the power of the formless:</w:t>
      </w:r>
    </w:p>
    <w:p w:rsidR="00BF744A" w:rsidRDefault="00BF744A" w:rsidP="0091723E">
      <w:pPr>
        <w:spacing w:line="480" w:lineRule="auto"/>
      </w:pPr>
    </w:p>
    <w:p w:rsidR="00BF744A" w:rsidRDefault="00BF744A" w:rsidP="0091723E">
      <w:pPr>
        <w:spacing w:line="480" w:lineRule="auto"/>
        <w:ind w:left="720"/>
      </w:pPr>
      <w:r>
        <w:t>Philosophy is revealed not by good sense but by paradox. Paradox is the pathos or the passion of philosophy . . . . Subjectively, paradox breaks up the common exercise of the faculties and places each before its own limit, before its incomparable . . . . Objectively, paradox displays the element which cannot be totalised within a common element, along with the difference which cannot be equalised or cancelled at the direction of a good sense.</w:t>
      </w:r>
      <w:r>
        <w:rPr>
          <w:rStyle w:val="EndnoteReference"/>
        </w:rPr>
        <w:endnoteReference w:id="56"/>
      </w:r>
    </w:p>
    <w:p w:rsidR="00BF744A" w:rsidRDefault="00BF744A" w:rsidP="0091723E">
      <w:pPr>
        <w:spacing w:line="480" w:lineRule="auto"/>
      </w:pPr>
    </w:p>
    <w:p w:rsidR="00BF744A" w:rsidRDefault="00BF744A" w:rsidP="005A4134">
      <w:pPr>
        <w:spacing w:line="480" w:lineRule="auto"/>
        <w:ind w:firstLine="720"/>
      </w:pPr>
      <w:r>
        <w:t>However, if this is the case, a further problem arises for Žižek, Milbank, and for Kierkegaard himself: can we insist on a Christocentric definition of the paradox? Our discussion of Religiousness B in the previous chapter already raised this point in more abstract terms. This chapter has explored the specificity of the paradox as expressed in the monstrosity of Christ, but it has led us back to this question. Christ’s monstrosity, we have argued, is presented immanently. He is an historical point of resistance and, more precisely, the inauguration of a new sense of history as the breaking of forms against future shores. But is he--</w:t>
      </w:r>
      <w:r>
        <w:rPr>
          <w:i/>
        </w:rPr>
        <w:t>can</w:t>
      </w:r>
      <w:r>
        <w:t xml:space="preserve"> he be--the only one? As new orders arise to stabilize and judge the events of the past, to consume their tangled webs in seamless unfoldings of the eternal, then new points of resistance must emerge. Even the Christian witness of </w:t>
      </w:r>
      <w:r w:rsidRPr="00396AA2">
        <w:rPr>
          <w:i/>
        </w:rPr>
        <w:t>Practice</w:t>
      </w:r>
      <w:r>
        <w:t xml:space="preserve"> must work in a fundamentally different context to Christ’s and must find new figures of the paradox. Can these be bound by any single “orthodox” narrative, or does that inevitably fix the paradox, assimilating it to what is “given”? </w:t>
      </w:r>
      <w:r w:rsidRPr="00D731F7">
        <w:t>If</w:t>
      </w:r>
      <w:r>
        <w:t xml:space="preserve"> the paradox is an expression of the unconditioned, if that expression always calls for re-expressions which push against the existing form, can even the monstrosity of Christ offer a stopping point, a once and for all definitive exposure of what lies at the heart of the real?</w:t>
      </w:r>
    </w:p>
    <w:p w:rsidR="00BF744A" w:rsidRDefault="00BF744A" w:rsidP="005A4134">
      <w:pPr>
        <w:spacing w:line="480" w:lineRule="auto"/>
        <w:ind w:firstLine="720"/>
      </w:pPr>
      <w:r>
        <w:t xml:space="preserve">I will argue--both with and against Kierkegaard--that it cannot. </w:t>
      </w:r>
    </w:p>
    <w:p w:rsidR="00BF744A" w:rsidRDefault="00BF744A" w:rsidP="005A4134">
      <w:pPr>
        <w:spacing w:line="480" w:lineRule="auto"/>
        <w:rPr>
          <w:b/>
        </w:rPr>
      </w:pPr>
    </w:p>
    <w:sectPr w:rsidR="00BF744A" w:rsidSect="00216E2F">
      <w:footerReference w:type="default" r:id="rId6"/>
      <w:pgSz w:w="11906" w:h="16838" w:code="9"/>
      <w:pgMar w:top="1440" w:right="1797" w:bottom="1440" w:left="1797" w:header="709" w:footer="709" w:gutter="0"/>
      <w:pgNumType w:start="1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44A" w:rsidRDefault="00BF744A">
      <w:r>
        <w:separator/>
      </w:r>
    </w:p>
  </w:endnote>
  <w:endnote w:type="continuationSeparator" w:id="0">
    <w:p w:rsidR="00BF744A" w:rsidRDefault="00BF744A">
      <w:r>
        <w:continuationSeparator/>
      </w:r>
    </w:p>
  </w:endnote>
  <w:endnote w:id="1">
    <w:p w:rsidR="00BF744A" w:rsidRDefault="00BF744A" w:rsidP="006E7F69">
      <w:pPr>
        <w:pStyle w:val="EndnoteText"/>
        <w:spacing w:line="480" w:lineRule="auto"/>
      </w:pPr>
      <w:r w:rsidRPr="006E7F69">
        <w:rPr>
          <w:rStyle w:val="EndnoteReference"/>
        </w:rPr>
        <w:endnoteRef/>
      </w:r>
      <w:r w:rsidRPr="006E7F69">
        <w:t xml:space="preserve"> John Milbank and Slavoj Žižek, </w:t>
      </w:r>
      <w:r w:rsidRPr="006E7F69">
        <w:rPr>
          <w:i/>
        </w:rPr>
        <w:t>The Monstrosity of Christ: Paradox or Dialectic</w:t>
      </w:r>
      <w:r w:rsidRPr="006E7F69">
        <w:t xml:space="preserve"> (</w:t>
      </w:r>
      <w:smartTag w:uri="urn:schemas-microsoft-com:office:smarttags" w:element="City">
        <w:smartTag w:uri="urn:schemas-microsoft-com:office:smarttags" w:element="place">
          <w:r w:rsidRPr="006E7F69">
            <w:t>Cambridge</w:t>
          </w:r>
        </w:smartTag>
        <w:r w:rsidRPr="006E7F69">
          <w:t xml:space="preserve">, </w:t>
        </w:r>
        <w:smartTag w:uri="urn:schemas-microsoft-com:office:smarttags" w:element="State">
          <w:r w:rsidRPr="006E7F69">
            <w:t>MA</w:t>
          </w:r>
        </w:smartTag>
      </w:smartTag>
      <w:r w:rsidRPr="006E7F69">
        <w:t>: MIT Press, 2009)</w:t>
      </w:r>
    </w:p>
  </w:endnote>
  <w:endnote w:id="2">
    <w:p w:rsidR="00BF744A" w:rsidRDefault="00BF744A" w:rsidP="006E7F69">
      <w:pPr>
        <w:pStyle w:val="EndnoteText"/>
        <w:spacing w:line="480" w:lineRule="auto"/>
      </w:pPr>
      <w:r w:rsidRPr="006E7F69">
        <w:rPr>
          <w:rStyle w:val="EndnoteReference"/>
        </w:rPr>
        <w:endnoteRef/>
      </w:r>
      <w:r w:rsidRPr="006E7F69">
        <w:t xml:space="preserve"> John D. Caputo, </w:t>
      </w:r>
      <w:r w:rsidRPr="006E7F69">
        <w:rPr>
          <w:i/>
        </w:rPr>
        <w:t>The Insistence of God: A Theology of Perhaps</w:t>
      </w:r>
      <w:r w:rsidRPr="006E7F69">
        <w:t xml:space="preserve"> (</w:t>
      </w:r>
      <w:smartTag w:uri="urn:schemas-microsoft-com:office:smarttags" w:element="City">
        <w:r w:rsidRPr="006E7F69">
          <w:t>Bloomington</w:t>
        </w:r>
      </w:smartTag>
      <w:r w:rsidRPr="006E7F69">
        <w:t xml:space="preserve"> and </w:t>
      </w:r>
      <w:smartTag w:uri="urn:schemas-microsoft-com:office:smarttags" w:element="City">
        <w:r w:rsidRPr="006E7F69">
          <w:t>Indianapolis</w:t>
        </w:r>
      </w:smartTag>
      <w:r w:rsidRPr="006E7F69">
        <w:t xml:space="preserve">: </w:t>
      </w:r>
      <w:smartTag w:uri="urn:schemas-microsoft-com:office:smarttags" w:element="PlaceName">
        <w:smartTag w:uri="urn:schemas-microsoft-com:office:smarttags" w:element="place">
          <w:r w:rsidRPr="006E7F69">
            <w:t>Indiana</w:t>
          </w:r>
        </w:smartTag>
        <w:r w:rsidRPr="006E7F69">
          <w:t xml:space="preserve"> </w:t>
        </w:r>
        <w:smartTag w:uri="urn:schemas-microsoft-com:office:smarttags" w:element="PlaceType">
          <w:r w:rsidRPr="006E7F69">
            <w:t>University</w:t>
          </w:r>
        </w:smartTag>
      </w:smartTag>
      <w:r w:rsidRPr="006E7F69">
        <w:t xml:space="preserve"> Press, 2013), 139.</w:t>
      </w:r>
    </w:p>
  </w:endnote>
  <w:endnote w:id="3">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158.</w:t>
      </w:r>
    </w:p>
  </w:endnote>
  <w:endnote w:id="4">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xml:space="preserve">, 159. </w:t>
      </w:r>
    </w:p>
  </w:endnote>
  <w:endnote w:id="5">
    <w:p w:rsidR="00BF744A" w:rsidRDefault="00BF744A" w:rsidP="006E7F69">
      <w:pPr>
        <w:pStyle w:val="EndnoteText"/>
        <w:spacing w:line="480" w:lineRule="auto"/>
      </w:pPr>
      <w:r w:rsidRPr="006E7F69">
        <w:rPr>
          <w:rStyle w:val="EndnoteReference"/>
        </w:rPr>
        <w:endnoteRef/>
      </w:r>
      <w:r w:rsidRPr="006E7F69">
        <w:t xml:space="preserve"> ibid.</w:t>
      </w:r>
    </w:p>
  </w:endnote>
  <w:endnote w:id="6">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160.</w:t>
      </w:r>
    </w:p>
  </w:endnote>
  <w:endnote w:id="7">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163</w:t>
      </w:r>
    </w:p>
  </w:endnote>
  <w:endnote w:id="8">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164.</w:t>
      </w:r>
    </w:p>
  </w:endnote>
  <w:endnote w:id="9">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166.</w:t>
      </w:r>
    </w:p>
  </w:endnote>
  <w:endnote w:id="10">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171.</w:t>
      </w:r>
    </w:p>
  </w:endnote>
  <w:endnote w:id="11">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180.</w:t>
      </w:r>
    </w:p>
  </w:endnote>
  <w:endnote w:id="12">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181.</w:t>
      </w:r>
    </w:p>
  </w:endnote>
  <w:endnote w:id="13">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188-9.</w:t>
      </w:r>
    </w:p>
  </w:endnote>
  <w:endnote w:id="14">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194.</w:t>
      </w:r>
    </w:p>
  </w:endnote>
  <w:endnote w:id="15">
    <w:p w:rsidR="00BF744A" w:rsidRDefault="00BF744A" w:rsidP="006E7F69">
      <w:pPr>
        <w:pStyle w:val="EndnoteText"/>
        <w:spacing w:line="480" w:lineRule="auto"/>
      </w:pPr>
      <w:r w:rsidRPr="006E7F69">
        <w:rPr>
          <w:rStyle w:val="EndnoteReference"/>
        </w:rPr>
        <w:endnoteRef/>
      </w:r>
      <w:r w:rsidRPr="006E7F69">
        <w:t xml:space="preserve"> Milbank and Žižek, </w:t>
      </w:r>
      <w:r w:rsidRPr="006E7F69">
        <w:rPr>
          <w:i/>
        </w:rPr>
        <w:t>The Monstrosity of Christ</w:t>
      </w:r>
      <w:r w:rsidRPr="006E7F69">
        <w:t>, 253.</w:t>
      </w:r>
    </w:p>
  </w:endnote>
  <w:endnote w:id="16">
    <w:p w:rsidR="00BF744A" w:rsidRDefault="00BF744A" w:rsidP="006E7F69">
      <w:pPr>
        <w:pStyle w:val="EndnoteText"/>
        <w:spacing w:line="480" w:lineRule="auto"/>
      </w:pPr>
      <w:r w:rsidRPr="006E7F69">
        <w:rPr>
          <w:rStyle w:val="EndnoteReference"/>
        </w:rPr>
        <w:endnoteRef/>
      </w:r>
      <w:r>
        <w:t xml:space="preserve"> </w:t>
      </w:r>
      <w:r w:rsidRPr="006E7F69">
        <w:t xml:space="preserve">Žižek, </w:t>
      </w:r>
      <w:r>
        <w:rPr>
          <w:i/>
        </w:rPr>
        <w:t>The Parallax View</w:t>
      </w:r>
      <w:r w:rsidRPr="006E7F69">
        <w:t>, 25.</w:t>
      </w:r>
    </w:p>
  </w:endnote>
  <w:endnote w:id="17">
    <w:p w:rsidR="00BF744A" w:rsidRDefault="00BF744A" w:rsidP="006E7F69">
      <w:pPr>
        <w:pStyle w:val="EndnoteText"/>
        <w:spacing w:line="480" w:lineRule="auto"/>
      </w:pPr>
      <w:r w:rsidRPr="006E7F69">
        <w:rPr>
          <w:rStyle w:val="EndnoteReference"/>
        </w:rPr>
        <w:endnoteRef/>
      </w:r>
      <w:r w:rsidRPr="006E7F69">
        <w:t xml:space="preserve"> See Ronald Green, </w:t>
      </w:r>
      <w:r w:rsidRPr="006E7F69">
        <w:rPr>
          <w:i/>
        </w:rPr>
        <w:t>Kierkegaard and Kant: The Hidden Debt</w:t>
      </w:r>
      <w:r w:rsidRPr="006E7F69">
        <w:t xml:space="preserve">, (Albany: SUNY Press, 1992). </w:t>
      </w:r>
    </w:p>
  </w:endnote>
  <w:endnote w:id="18">
    <w:p w:rsidR="00BF744A" w:rsidRDefault="00BF744A" w:rsidP="006E7F69">
      <w:pPr>
        <w:pStyle w:val="EndnoteText"/>
        <w:spacing w:line="480" w:lineRule="auto"/>
      </w:pPr>
      <w:r w:rsidRPr="006E7F69">
        <w:rPr>
          <w:rStyle w:val="EndnoteReference"/>
        </w:rPr>
        <w:endnoteRef/>
      </w:r>
      <w:r w:rsidRPr="006E7F69">
        <w:t xml:space="preserve"> Žižek, </w:t>
      </w:r>
      <w:r w:rsidRPr="006E7F69">
        <w:rPr>
          <w:i/>
        </w:rPr>
        <w:t>The Parallax View</w:t>
      </w:r>
      <w:r w:rsidRPr="006E7F69">
        <w:t>, 7.</w:t>
      </w:r>
    </w:p>
  </w:endnote>
  <w:endnote w:id="19">
    <w:p w:rsidR="00BF744A" w:rsidRDefault="00BF744A" w:rsidP="006E7F69">
      <w:pPr>
        <w:pStyle w:val="EndnoteText"/>
        <w:spacing w:line="480" w:lineRule="auto"/>
      </w:pPr>
      <w:r w:rsidRPr="006E7F69">
        <w:rPr>
          <w:rStyle w:val="EndnoteReference"/>
        </w:rPr>
        <w:endnoteRef/>
      </w:r>
      <w:r w:rsidRPr="006E7F69">
        <w:t xml:space="preserve"> Žižek, </w:t>
      </w:r>
      <w:r w:rsidRPr="006E7F69">
        <w:rPr>
          <w:i/>
        </w:rPr>
        <w:t>The Parallax View</w:t>
      </w:r>
      <w:r w:rsidRPr="006E7F69">
        <w:t>, 30.</w:t>
      </w:r>
    </w:p>
  </w:endnote>
  <w:endnote w:id="20">
    <w:p w:rsidR="00BF744A" w:rsidRDefault="00BF744A" w:rsidP="006E7F69">
      <w:pPr>
        <w:pStyle w:val="EndnoteText"/>
        <w:spacing w:line="480" w:lineRule="auto"/>
      </w:pPr>
      <w:r w:rsidRPr="006E7F69">
        <w:rPr>
          <w:rStyle w:val="EndnoteReference"/>
        </w:rPr>
        <w:endnoteRef/>
      </w:r>
      <w:r w:rsidRPr="006E7F69">
        <w:t xml:space="preserve"> Žižek, </w:t>
      </w:r>
      <w:r w:rsidRPr="006E7F69">
        <w:rPr>
          <w:i/>
        </w:rPr>
        <w:t>The Parallax View</w:t>
      </w:r>
      <w:r w:rsidRPr="006E7F69">
        <w:t>, 23.</w:t>
      </w:r>
    </w:p>
  </w:endnote>
  <w:endnote w:id="21">
    <w:p w:rsidR="00BF744A" w:rsidRDefault="00BF744A" w:rsidP="006E7F69">
      <w:pPr>
        <w:pStyle w:val="EndnoteText"/>
        <w:spacing w:line="480" w:lineRule="auto"/>
      </w:pPr>
      <w:r w:rsidRPr="006E7F69">
        <w:rPr>
          <w:rStyle w:val="EndnoteReference"/>
        </w:rPr>
        <w:endnoteRef/>
      </w:r>
      <w:r w:rsidRPr="006E7F69">
        <w:t xml:space="preserve"> Žižek, </w:t>
      </w:r>
      <w:r w:rsidRPr="006E7F69">
        <w:rPr>
          <w:i/>
        </w:rPr>
        <w:t>The Parallax View</w:t>
      </w:r>
      <w:r w:rsidRPr="006E7F69">
        <w:t>, 9-10.</w:t>
      </w:r>
    </w:p>
  </w:endnote>
  <w:endnote w:id="22">
    <w:p w:rsidR="00BF744A" w:rsidRDefault="00BF744A" w:rsidP="006E7F69">
      <w:pPr>
        <w:pStyle w:val="EndnoteText"/>
        <w:spacing w:line="480" w:lineRule="auto"/>
      </w:pPr>
      <w:r w:rsidRPr="006E7F69">
        <w:rPr>
          <w:rStyle w:val="EndnoteReference"/>
        </w:rPr>
        <w:endnoteRef/>
      </w:r>
      <w:r w:rsidRPr="006E7F69">
        <w:t xml:space="preserve"> Žižek, </w:t>
      </w:r>
      <w:r w:rsidRPr="006E7F69">
        <w:rPr>
          <w:i/>
        </w:rPr>
        <w:t>The Parallax View</w:t>
      </w:r>
      <w:r w:rsidRPr="006E7F69">
        <w:t>, 75.</w:t>
      </w:r>
    </w:p>
  </w:endnote>
  <w:endnote w:id="23">
    <w:p w:rsidR="00BF744A" w:rsidRDefault="00BF744A" w:rsidP="006E7F69">
      <w:pPr>
        <w:pStyle w:val="EndnoteText"/>
        <w:spacing w:line="480" w:lineRule="auto"/>
      </w:pPr>
      <w:r w:rsidRPr="006E7F69">
        <w:rPr>
          <w:rStyle w:val="EndnoteReference"/>
        </w:rPr>
        <w:endnoteRef/>
      </w:r>
      <w:r w:rsidRPr="006E7F69">
        <w:t xml:space="preserve"> Žižek, </w:t>
      </w:r>
      <w:r w:rsidRPr="006E7F69">
        <w:rPr>
          <w:i/>
        </w:rPr>
        <w:t>The Parallax View</w:t>
      </w:r>
      <w:r w:rsidRPr="006E7F69">
        <w:t>, 76.</w:t>
      </w:r>
    </w:p>
  </w:endnote>
  <w:endnote w:id="24">
    <w:p w:rsidR="00BF744A" w:rsidRDefault="00BF744A" w:rsidP="006E7F69">
      <w:pPr>
        <w:pStyle w:val="EndnoteText"/>
        <w:spacing w:line="480" w:lineRule="auto"/>
      </w:pPr>
      <w:r w:rsidRPr="006E7F69">
        <w:rPr>
          <w:rStyle w:val="EndnoteReference"/>
        </w:rPr>
        <w:endnoteRef/>
      </w:r>
      <w:r w:rsidRPr="006E7F69">
        <w:t xml:space="preserve"> Žižek, </w:t>
      </w:r>
      <w:r w:rsidRPr="006E7F69">
        <w:rPr>
          <w:i/>
        </w:rPr>
        <w:t>The Parallax View</w:t>
      </w:r>
      <w:r w:rsidRPr="006E7F69">
        <w:t>, 79.</w:t>
      </w:r>
    </w:p>
  </w:endnote>
  <w:endnote w:id="25">
    <w:p w:rsidR="00BF744A" w:rsidRDefault="00BF744A" w:rsidP="006E7F69">
      <w:pPr>
        <w:pStyle w:val="EndnoteText"/>
        <w:spacing w:line="480" w:lineRule="auto"/>
      </w:pPr>
      <w:r w:rsidRPr="006E7F69">
        <w:rPr>
          <w:rStyle w:val="EndnoteReference"/>
        </w:rPr>
        <w:endnoteRef/>
      </w:r>
      <w:r w:rsidRPr="006E7F69">
        <w:t xml:space="preserve"> Žižek, </w:t>
      </w:r>
      <w:r w:rsidRPr="006E7F69">
        <w:rPr>
          <w:i/>
        </w:rPr>
        <w:t>The Parallax View</w:t>
      </w:r>
      <w:r w:rsidRPr="006E7F69">
        <w:t>, 86.</w:t>
      </w:r>
    </w:p>
  </w:endnote>
  <w:endnote w:id="26">
    <w:p w:rsidR="00BF744A" w:rsidRDefault="00BF744A" w:rsidP="006E7F69">
      <w:pPr>
        <w:pStyle w:val="EndnoteText"/>
        <w:spacing w:line="480" w:lineRule="auto"/>
      </w:pPr>
      <w:r w:rsidRPr="006E7F69">
        <w:rPr>
          <w:rStyle w:val="EndnoteReference"/>
        </w:rPr>
        <w:endnoteRef/>
      </w:r>
      <w:r w:rsidRPr="006E7F69">
        <w:t xml:space="preserve"> Žižek, </w:t>
      </w:r>
      <w:r w:rsidRPr="006E7F69">
        <w:rPr>
          <w:i/>
        </w:rPr>
        <w:t>The Parallax View</w:t>
      </w:r>
      <w:r w:rsidRPr="006E7F69">
        <w:t>, 105.</w:t>
      </w:r>
    </w:p>
  </w:endnote>
  <w:endnote w:id="27">
    <w:p w:rsidR="00BF744A" w:rsidRDefault="00BF744A" w:rsidP="006E7F69">
      <w:pPr>
        <w:pStyle w:val="EndnoteText"/>
        <w:spacing w:line="480" w:lineRule="auto"/>
      </w:pPr>
      <w:r w:rsidRPr="006E7F69">
        <w:rPr>
          <w:rStyle w:val="EndnoteReference"/>
        </w:rPr>
        <w:endnoteRef/>
      </w:r>
      <w:r w:rsidRPr="006E7F69">
        <w:t xml:space="preserve"> ibid.</w:t>
      </w:r>
    </w:p>
  </w:endnote>
  <w:endnote w:id="28">
    <w:p w:rsidR="00BF744A" w:rsidRDefault="00BF744A" w:rsidP="006E7F69">
      <w:pPr>
        <w:pStyle w:val="EndnoteText"/>
        <w:spacing w:line="480" w:lineRule="auto"/>
      </w:pPr>
      <w:r w:rsidRPr="006E7F69">
        <w:rPr>
          <w:rStyle w:val="EndnoteReference"/>
        </w:rPr>
        <w:endnoteRef/>
      </w:r>
      <w:r w:rsidRPr="006E7F69">
        <w:t xml:space="preserve"> Caputo, </w:t>
      </w:r>
      <w:r w:rsidRPr="006E7F69">
        <w:rPr>
          <w:i/>
        </w:rPr>
        <w:t>The Insistence of God</w:t>
      </w:r>
      <w:r w:rsidRPr="006E7F69">
        <w:t>, 154.</w:t>
      </w:r>
    </w:p>
  </w:endnote>
  <w:endnote w:id="29">
    <w:p w:rsidR="00BF744A" w:rsidRDefault="00BF744A" w:rsidP="006E7F69">
      <w:pPr>
        <w:pStyle w:val="EndnoteText"/>
        <w:spacing w:line="480" w:lineRule="auto"/>
      </w:pPr>
      <w:r w:rsidRPr="006E7F69">
        <w:rPr>
          <w:rStyle w:val="EndnoteReference"/>
        </w:rPr>
        <w:endnoteRef/>
      </w:r>
      <w:r w:rsidRPr="006E7F69">
        <w:t xml:space="preserve"> Caputo, </w:t>
      </w:r>
      <w:r w:rsidRPr="006E7F69">
        <w:rPr>
          <w:i/>
        </w:rPr>
        <w:t>The Insistence of God</w:t>
      </w:r>
      <w:r w:rsidRPr="006E7F69">
        <w:t>, 157.</w:t>
      </w:r>
    </w:p>
  </w:endnote>
  <w:endnote w:id="30">
    <w:p w:rsidR="00BF744A" w:rsidRDefault="00BF744A" w:rsidP="006E7F69">
      <w:pPr>
        <w:pStyle w:val="EndnoteText"/>
        <w:spacing w:line="480" w:lineRule="auto"/>
      </w:pPr>
      <w:r w:rsidRPr="006E7F69">
        <w:rPr>
          <w:rStyle w:val="EndnoteReference"/>
        </w:rPr>
        <w:endnoteRef/>
      </w:r>
      <w:r w:rsidRPr="006E7F69">
        <w:t xml:space="preserve"> Ryan Johnson, “Machinery, Monstrosity and Bestiality: An Analysis of Repulsion in Kierkegaard’s Practice in Christianity” </w:t>
      </w:r>
      <w:r w:rsidRPr="006E7F69">
        <w:rPr>
          <w:i/>
        </w:rPr>
        <w:t>Heythrop Journal</w:t>
      </w:r>
      <w:r w:rsidRPr="006E7F69">
        <w:t xml:space="preserve"> 55.5 (2014) 903-915: 904</w:t>
      </w:r>
    </w:p>
  </w:endnote>
  <w:endnote w:id="31">
    <w:p w:rsidR="00BF744A" w:rsidRDefault="00BF744A" w:rsidP="006E7F69">
      <w:pPr>
        <w:pStyle w:val="EndnoteText"/>
        <w:spacing w:line="480" w:lineRule="auto"/>
      </w:pPr>
      <w:r w:rsidRPr="006E7F69">
        <w:rPr>
          <w:rStyle w:val="EndnoteReference"/>
        </w:rPr>
        <w:endnoteRef/>
      </w:r>
      <w:r w:rsidRPr="006E7F69">
        <w:t xml:space="preserve"> Johnson, “Machinery, Monstrosity and Bestiality,” 905.</w:t>
      </w:r>
    </w:p>
  </w:endnote>
  <w:endnote w:id="32">
    <w:p w:rsidR="00BF744A" w:rsidRDefault="00BF744A" w:rsidP="006E7F69">
      <w:pPr>
        <w:pStyle w:val="EndnoteText"/>
        <w:spacing w:line="480" w:lineRule="auto"/>
      </w:pPr>
      <w:r w:rsidRPr="006E7F69">
        <w:rPr>
          <w:rStyle w:val="EndnoteReference"/>
        </w:rPr>
        <w:endnoteRef/>
      </w:r>
      <w:r w:rsidRPr="006E7F69">
        <w:t xml:space="preserve"> Johnson, “Machinery, Monstrosity and Bestiality,” 910.</w:t>
      </w:r>
    </w:p>
  </w:endnote>
  <w:endnote w:id="33">
    <w:p w:rsidR="00BF744A" w:rsidRDefault="00BF744A" w:rsidP="006E7F69">
      <w:pPr>
        <w:pStyle w:val="EndnoteText"/>
        <w:spacing w:line="480" w:lineRule="auto"/>
      </w:pPr>
      <w:r w:rsidRPr="006E7F69">
        <w:rPr>
          <w:rStyle w:val="EndnoteReference"/>
        </w:rPr>
        <w:endnoteRef/>
      </w:r>
      <w:r w:rsidRPr="006E7F69">
        <w:t xml:space="preserve"> Johnson, “Machinery, Monstrosity and Bestiality,” 909.</w:t>
      </w:r>
    </w:p>
  </w:endnote>
  <w:endnote w:id="34">
    <w:p w:rsidR="00BF744A" w:rsidRDefault="00BF744A" w:rsidP="006E7F69">
      <w:pPr>
        <w:pStyle w:val="EndnoteText"/>
        <w:spacing w:line="480" w:lineRule="auto"/>
      </w:pPr>
      <w:r w:rsidRPr="006E7F69">
        <w:rPr>
          <w:rStyle w:val="EndnoteReference"/>
        </w:rPr>
        <w:endnoteRef/>
      </w:r>
      <w:r w:rsidRPr="006E7F69">
        <w:t xml:space="preserve"> Johnson, “Machinery, Monstrosity and Bestiality,” 911.</w:t>
      </w:r>
    </w:p>
  </w:endnote>
  <w:endnote w:id="35">
    <w:p w:rsidR="00BF744A" w:rsidRDefault="00BF744A" w:rsidP="006E7F69">
      <w:pPr>
        <w:pStyle w:val="EndnoteText"/>
        <w:spacing w:line="480" w:lineRule="auto"/>
      </w:pPr>
      <w:r w:rsidRPr="006E7F69">
        <w:rPr>
          <w:rStyle w:val="EndnoteReference"/>
        </w:rPr>
        <w:endnoteRef/>
      </w:r>
      <w:r w:rsidRPr="006E7F69">
        <w:t xml:space="preserve"> Johnson, “Machinery, Monstrosity and Bestiality,” 912.</w:t>
      </w:r>
    </w:p>
  </w:endnote>
  <w:endnote w:id="36">
    <w:p w:rsidR="00BF744A" w:rsidRDefault="00BF744A" w:rsidP="006E7F69">
      <w:pPr>
        <w:pStyle w:val="EndnoteText"/>
        <w:spacing w:line="480" w:lineRule="auto"/>
      </w:pPr>
      <w:r w:rsidRPr="006E7F69">
        <w:rPr>
          <w:rStyle w:val="EndnoteReference"/>
        </w:rPr>
        <w:endnoteRef/>
      </w:r>
      <w:r>
        <w:t xml:space="preserve"> Isak Wi</w:t>
      </w:r>
      <w:r w:rsidRPr="006E7F69">
        <w:t xml:space="preserve">nkel Holm, “Monstrous Aesthetics: Literature and Philosophy in Søren Kierkegaard” </w:t>
      </w:r>
      <w:r w:rsidRPr="006E7F69">
        <w:rPr>
          <w:i/>
        </w:rPr>
        <w:t>Nineteenth-Century Prose</w:t>
      </w:r>
      <w:r w:rsidRPr="006E7F69">
        <w:t>, 32.1 (Spring 2005), 52-74: 62.</w:t>
      </w:r>
    </w:p>
  </w:endnote>
  <w:endnote w:id="37">
    <w:p w:rsidR="00BF744A" w:rsidRDefault="00BF744A" w:rsidP="006E7F69">
      <w:pPr>
        <w:pStyle w:val="EndnoteText"/>
        <w:spacing w:line="480" w:lineRule="auto"/>
      </w:pPr>
      <w:r w:rsidRPr="006E7F69">
        <w:rPr>
          <w:rStyle w:val="EndnoteReference"/>
        </w:rPr>
        <w:endnoteRef/>
      </w:r>
      <w:r w:rsidRPr="006E7F69">
        <w:t xml:space="preserve"> Holm, “Monstrous Aesthetics,” 53.</w:t>
      </w:r>
    </w:p>
  </w:endnote>
  <w:endnote w:id="38">
    <w:p w:rsidR="00BF744A" w:rsidRDefault="00BF744A" w:rsidP="006E7F69">
      <w:pPr>
        <w:pStyle w:val="EndnoteText"/>
        <w:spacing w:line="480" w:lineRule="auto"/>
      </w:pPr>
      <w:r w:rsidRPr="006E7F69">
        <w:rPr>
          <w:rStyle w:val="EndnoteReference"/>
        </w:rPr>
        <w:endnoteRef/>
      </w:r>
      <w:r w:rsidRPr="006E7F69">
        <w:t xml:space="preserve"> ibid. </w:t>
      </w:r>
    </w:p>
  </w:endnote>
  <w:endnote w:id="39">
    <w:p w:rsidR="00BF744A" w:rsidRDefault="00BF744A" w:rsidP="006E7F69">
      <w:pPr>
        <w:pStyle w:val="EndnoteText"/>
        <w:spacing w:line="480" w:lineRule="auto"/>
      </w:pPr>
      <w:r w:rsidRPr="006E7F69">
        <w:rPr>
          <w:rStyle w:val="EndnoteReference"/>
        </w:rPr>
        <w:endnoteRef/>
      </w:r>
      <w:r w:rsidRPr="006E7F69">
        <w:t xml:space="preserve"> Holm, “Monstrous Aesthetics,” 55.</w:t>
      </w:r>
    </w:p>
  </w:endnote>
  <w:endnote w:id="40">
    <w:p w:rsidR="00BF744A" w:rsidRDefault="00BF744A" w:rsidP="006E7F69">
      <w:pPr>
        <w:pStyle w:val="EndnoteText"/>
        <w:spacing w:line="480" w:lineRule="auto"/>
      </w:pPr>
      <w:r w:rsidRPr="006E7F69">
        <w:rPr>
          <w:rStyle w:val="EndnoteReference"/>
        </w:rPr>
        <w:endnoteRef/>
      </w:r>
      <w:r w:rsidRPr="006E7F69">
        <w:t xml:space="preserve"> ibid.</w:t>
      </w:r>
    </w:p>
  </w:endnote>
  <w:endnote w:id="41">
    <w:p w:rsidR="00BF744A" w:rsidRDefault="00BF744A" w:rsidP="006E7F69">
      <w:pPr>
        <w:pStyle w:val="EndnoteText"/>
        <w:spacing w:line="480" w:lineRule="auto"/>
      </w:pPr>
      <w:r w:rsidRPr="006E7F69">
        <w:rPr>
          <w:rStyle w:val="EndnoteReference"/>
        </w:rPr>
        <w:endnoteRef/>
      </w:r>
      <w:r w:rsidRPr="006E7F69">
        <w:t xml:space="preserve"> Holm, “Monstrous Aesthetics,” 67.</w:t>
      </w:r>
    </w:p>
  </w:endnote>
  <w:endnote w:id="42">
    <w:p w:rsidR="00BF744A" w:rsidRDefault="00BF744A" w:rsidP="006E7F69">
      <w:pPr>
        <w:pStyle w:val="EndnoteText"/>
        <w:spacing w:line="480" w:lineRule="auto"/>
      </w:pPr>
      <w:r w:rsidRPr="006E7F69">
        <w:rPr>
          <w:rStyle w:val="EndnoteReference"/>
        </w:rPr>
        <w:endnoteRef/>
      </w:r>
      <w:r w:rsidRPr="006E7F69">
        <w:t xml:space="preserve"> Holm, “Monstrous Aesthetics,” 70.</w:t>
      </w:r>
    </w:p>
  </w:endnote>
  <w:endnote w:id="43">
    <w:p w:rsidR="00BF744A" w:rsidRDefault="00BF744A" w:rsidP="006E7F69">
      <w:pPr>
        <w:pStyle w:val="EndnoteText"/>
        <w:spacing w:line="480" w:lineRule="auto"/>
      </w:pPr>
      <w:r w:rsidRPr="006E7F69">
        <w:rPr>
          <w:rStyle w:val="EndnoteReference"/>
        </w:rPr>
        <w:endnoteRef/>
      </w:r>
      <w:r w:rsidRPr="006E7F69">
        <w:t xml:space="preserve"> Holm, “Monstrous Aesthetics,” 71. </w:t>
      </w:r>
    </w:p>
  </w:endnote>
  <w:endnote w:id="44">
    <w:p w:rsidR="00BF744A" w:rsidRDefault="00BF744A" w:rsidP="006E7F69">
      <w:pPr>
        <w:pStyle w:val="EndnoteText"/>
        <w:spacing w:line="480" w:lineRule="auto"/>
      </w:pPr>
      <w:r w:rsidRPr="006E7F69">
        <w:rPr>
          <w:rStyle w:val="EndnoteReference"/>
        </w:rPr>
        <w:endnoteRef/>
      </w:r>
      <w:r w:rsidRPr="006E7F69">
        <w:t xml:space="preserve"> Holm, “Monstrous Aesthetics,” 72.</w:t>
      </w:r>
    </w:p>
  </w:endnote>
  <w:endnote w:id="45">
    <w:p w:rsidR="00BF744A" w:rsidRDefault="00BF744A" w:rsidP="006E7F69">
      <w:pPr>
        <w:pStyle w:val="EndnoteText"/>
        <w:spacing w:line="480" w:lineRule="auto"/>
      </w:pPr>
      <w:r w:rsidRPr="006E7F69">
        <w:rPr>
          <w:rStyle w:val="EndnoteReference"/>
        </w:rPr>
        <w:endnoteRef/>
      </w:r>
      <w:r w:rsidRPr="006E7F69">
        <w:t xml:space="preserve"> Barber, </w:t>
      </w:r>
      <w:r w:rsidRPr="006E7F69">
        <w:rPr>
          <w:i/>
        </w:rPr>
        <w:t>Deleuze and the Naming of God</w:t>
      </w:r>
      <w:r w:rsidRPr="006E7F69">
        <w:t>, 48.</w:t>
      </w:r>
    </w:p>
  </w:endnote>
  <w:endnote w:id="46">
    <w:p w:rsidR="00BF744A" w:rsidRDefault="00BF744A" w:rsidP="006E7F69">
      <w:pPr>
        <w:pStyle w:val="EndnoteText"/>
        <w:spacing w:line="480" w:lineRule="auto"/>
      </w:pPr>
      <w:r w:rsidRPr="006E7F69">
        <w:rPr>
          <w:rStyle w:val="EndnoteReference"/>
        </w:rPr>
        <w:endnoteRef/>
      </w:r>
      <w:r w:rsidRPr="006E7F69">
        <w:t xml:space="preserve"> Barber, </w:t>
      </w:r>
      <w:r w:rsidRPr="006E7F69">
        <w:rPr>
          <w:i/>
        </w:rPr>
        <w:t>Deleuze and the Naming of God</w:t>
      </w:r>
      <w:r w:rsidRPr="006E7F69">
        <w:t xml:space="preserve">, 49. </w:t>
      </w:r>
    </w:p>
  </w:endnote>
  <w:endnote w:id="47">
    <w:p w:rsidR="00BF744A" w:rsidRDefault="00BF744A" w:rsidP="006E7F69">
      <w:pPr>
        <w:pStyle w:val="EndnoteText"/>
        <w:spacing w:line="480" w:lineRule="auto"/>
      </w:pPr>
      <w:r w:rsidRPr="006E7F69">
        <w:rPr>
          <w:rStyle w:val="EndnoteReference"/>
        </w:rPr>
        <w:endnoteRef/>
      </w:r>
      <w:r w:rsidRPr="006E7F69">
        <w:t xml:space="preserve"> Barber, </w:t>
      </w:r>
      <w:r w:rsidRPr="006E7F69">
        <w:rPr>
          <w:i/>
        </w:rPr>
        <w:t>Deleuze and the Naming of God</w:t>
      </w:r>
      <w:r w:rsidRPr="006E7F69">
        <w:t>, 46.</w:t>
      </w:r>
    </w:p>
  </w:endnote>
  <w:endnote w:id="48">
    <w:p w:rsidR="00BF744A" w:rsidRDefault="00BF744A" w:rsidP="006E7F69">
      <w:pPr>
        <w:pStyle w:val="EndnoteText"/>
        <w:spacing w:line="480" w:lineRule="auto"/>
      </w:pPr>
      <w:r w:rsidRPr="006E7F69">
        <w:rPr>
          <w:rStyle w:val="EndnoteReference"/>
        </w:rPr>
        <w:endnoteRef/>
      </w:r>
      <w:r w:rsidRPr="006E7F69">
        <w:t xml:space="preserve"> Burns, </w:t>
      </w:r>
      <w:r w:rsidRPr="006E7F69">
        <w:rPr>
          <w:i/>
        </w:rPr>
        <w:t>Kierkegaard and the Matter of Philosophy</w:t>
      </w:r>
      <w:r w:rsidRPr="006E7F69">
        <w:t xml:space="preserve">, 88. </w:t>
      </w:r>
    </w:p>
  </w:endnote>
  <w:endnote w:id="49">
    <w:p w:rsidR="00BF744A" w:rsidRDefault="00BF744A" w:rsidP="006E7F69">
      <w:pPr>
        <w:pStyle w:val="EndnoteText"/>
        <w:spacing w:line="480" w:lineRule="auto"/>
      </w:pPr>
      <w:r w:rsidRPr="006E7F69">
        <w:rPr>
          <w:rStyle w:val="EndnoteReference"/>
        </w:rPr>
        <w:endnoteRef/>
      </w:r>
      <w:r>
        <w:t xml:space="preserve"> </w:t>
      </w:r>
      <w:r w:rsidRPr="006E7F69">
        <w:t xml:space="preserve">Pattison, </w:t>
      </w:r>
      <w:r w:rsidRPr="006E7F69">
        <w:rPr>
          <w:i/>
        </w:rPr>
        <w:t>Kierkegaard: The Aesthetic and the Religious</w:t>
      </w:r>
      <w:r>
        <w:t xml:space="preserve">, </w:t>
      </w:r>
      <w:r w:rsidRPr="006E7F69">
        <w:t>182-4.</w:t>
      </w:r>
    </w:p>
  </w:endnote>
  <w:endnote w:id="50">
    <w:p w:rsidR="00BF744A" w:rsidRDefault="00BF744A" w:rsidP="006E7F69">
      <w:pPr>
        <w:pStyle w:val="EndnoteText"/>
        <w:spacing w:line="480" w:lineRule="auto"/>
      </w:pPr>
      <w:r w:rsidRPr="006E7F69">
        <w:rPr>
          <w:rStyle w:val="EndnoteReference"/>
        </w:rPr>
        <w:endnoteRef/>
      </w:r>
      <w:r w:rsidRPr="006E7F69">
        <w:t xml:space="preserve"> Barber, </w:t>
      </w:r>
      <w:r w:rsidRPr="006E7F69">
        <w:rPr>
          <w:i/>
        </w:rPr>
        <w:t>Deleuze and the Naming of God</w:t>
      </w:r>
      <w:r w:rsidRPr="006E7F69">
        <w:t>, 97;</w:t>
      </w:r>
      <w:r w:rsidRPr="006E7F69">
        <w:rPr>
          <w:i/>
        </w:rPr>
        <w:t xml:space="preserve"> </w:t>
      </w:r>
      <w:r w:rsidRPr="006E7F69">
        <w:t>for his fuller account of the three syntheses, see 67-70.</w:t>
      </w:r>
    </w:p>
  </w:endnote>
  <w:endnote w:id="51">
    <w:p w:rsidR="00BF744A" w:rsidRDefault="00BF744A" w:rsidP="006E7F69">
      <w:pPr>
        <w:pStyle w:val="EndnoteText"/>
        <w:spacing w:line="480" w:lineRule="auto"/>
      </w:pPr>
      <w:r w:rsidRPr="006E7F69">
        <w:rPr>
          <w:rStyle w:val="EndnoteReference"/>
        </w:rPr>
        <w:endnoteRef/>
      </w:r>
      <w:r w:rsidRPr="006E7F69">
        <w:t xml:space="preserve"> Deleuze quoted in Barber, </w:t>
      </w:r>
      <w:r w:rsidRPr="006E7F69">
        <w:rPr>
          <w:i/>
        </w:rPr>
        <w:t>Deleuze and the Naming of God</w:t>
      </w:r>
      <w:r w:rsidRPr="006E7F69">
        <w:t>, 69.</w:t>
      </w:r>
    </w:p>
  </w:endnote>
  <w:endnote w:id="52">
    <w:p w:rsidR="00BF744A" w:rsidRDefault="00BF744A" w:rsidP="006E7F69">
      <w:pPr>
        <w:pStyle w:val="EndnoteText"/>
        <w:spacing w:line="480" w:lineRule="auto"/>
      </w:pPr>
      <w:r w:rsidRPr="006E7F69">
        <w:rPr>
          <w:rStyle w:val="EndnoteReference"/>
        </w:rPr>
        <w:endnoteRef/>
      </w:r>
      <w:r w:rsidRPr="006E7F69">
        <w:t xml:space="preserve"> Barber, </w:t>
      </w:r>
      <w:r w:rsidRPr="006E7F69">
        <w:rPr>
          <w:i/>
        </w:rPr>
        <w:t>Deleuze and the Naming of God</w:t>
      </w:r>
      <w:r w:rsidRPr="006E7F69">
        <w:t>, 70.</w:t>
      </w:r>
    </w:p>
  </w:endnote>
  <w:endnote w:id="53">
    <w:p w:rsidR="00BF744A" w:rsidRDefault="00BF744A" w:rsidP="006E7F69">
      <w:pPr>
        <w:pStyle w:val="EndnoteText"/>
        <w:spacing w:line="480" w:lineRule="auto"/>
      </w:pPr>
      <w:r w:rsidRPr="006E7F69">
        <w:rPr>
          <w:rStyle w:val="EndnoteReference"/>
        </w:rPr>
        <w:endnoteRef/>
      </w:r>
      <w:r w:rsidRPr="006E7F69">
        <w:t xml:space="preserve"> Deleuze, </w:t>
      </w:r>
      <w:r w:rsidRPr="006E7F69">
        <w:rPr>
          <w:i/>
        </w:rPr>
        <w:t>Difference and Repetition</w:t>
      </w:r>
      <w:r w:rsidRPr="006E7F69">
        <w:t>, 37.</w:t>
      </w:r>
    </w:p>
  </w:endnote>
  <w:endnote w:id="54">
    <w:p w:rsidR="00BF744A" w:rsidRDefault="00BF744A" w:rsidP="006E7F69">
      <w:pPr>
        <w:pStyle w:val="EndnoteText"/>
        <w:spacing w:line="480" w:lineRule="auto"/>
      </w:pPr>
      <w:r w:rsidRPr="006E7F69">
        <w:rPr>
          <w:rStyle w:val="EndnoteReference"/>
        </w:rPr>
        <w:endnoteRef/>
      </w:r>
      <w:r w:rsidRPr="006E7F69">
        <w:t xml:space="preserve"> Deleuze, </w:t>
      </w:r>
      <w:r w:rsidRPr="006E7F69">
        <w:rPr>
          <w:i/>
        </w:rPr>
        <w:t>Difference and Repetition</w:t>
      </w:r>
      <w:r w:rsidRPr="006E7F69">
        <w:t>, 38.</w:t>
      </w:r>
    </w:p>
  </w:endnote>
  <w:endnote w:id="55">
    <w:p w:rsidR="00BF744A" w:rsidRDefault="00BF744A" w:rsidP="006E7F69">
      <w:pPr>
        <w:pStyle w:val="EndnoteText"/>
        <w:spacing w:line="480" w:lineRule="auto"/>
      </w:pPr>
      <w:r w:rsidRPr="006E7F69">
        <w:rPr>
          <w:rStyle w:val="EndnoteReference"/>
        </w:rPr>
        <w:endnoteRef/>
      </w:r>
      <w:r w:rsidRPr="006E7F69">
        <w:t xml:space="preserve"> Deleuze, </w:t>
      </w:r>
      <w:r w:rsidRPr="006E7F69">
        <w:rPr>
          <w:i/>
        </w:rPr>
        <w:t>Difference and Repetition</w:t>
      </w:r>
      <w:r w:rsidRPr="006E7F69">
        <w:t>, 52.</w:t>
      </w:r>
    </w:p>
  </w:endnote>
  <w:endnote w:id="56">
    <w:p w:rsidR="00BF744A" w:rsidRDefault="00BF744A" w:rsidP="006E7F69">
      <w:pPr>
        <w:pStyle w:val="EndnoteText"/>
        <w:spacing w:line="480" w:lineRule="auto"/>
      </w:pPr>
      <w:r w:rsidRPr="006E7F69">
        <w:rPr>
          <w:rStyle w:val="EndnoteReference"/>
        </w:rPr>
        <w:endnoteRef/>
      </w:r>
      <w:r w:rsidRPr="006E7F69">
        <w:t xml:space="preserve"> Deleuze, </w:t>
      </w:r>
      <w:r w:rsidRPr="006E7F69">
        <w:rPr>
          <w:i/>
        </w:rPr>
        <w:t>Difference and Repetition</w:t>
      </w:r>
      <w:r w:rsidRPr="006E7F69">
        <w:t>, 286.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44A" w:rsidRDefault="00364B83">
    <w:pPr>
      <w:pStyle w:val="Footer"/>
      <w:jc w:val="center"/>
    </w:pPr>
    <w:r>
      <w:fldChar w:fldCharType="begin"/>
    </w:r>
    <w:r>
      <w:instrText xml:space="preserve"> PAGE   \* MERGEFORMAT </w:instrText>
    </w:r>
    <w:r>
      <w:fldChar w:fldCharType="separate"/>
    </w:r>
    <w:r>
      <w:rPr>
        <w:noProof/>
      </w:rPr>
      <w:t>149</w:t>
    </w:r>
    <w:r>
      <w:rPr>
        <w:noProof/>
      </w:rPr>
      <w:fldChar w:fldCharType="end"/>
    </w:r>
  </w:p>
  <w:p w:rsidR="00BF744A" w:rsidRDefault="00BF74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44A" w:rsidRDefault="00BF744A">
      <w:r>
        <w:separator/>
      </w:r>
    </w:p>
  </w:footnote>
  <w:footnote w:type="continuationSeparator" w:id="0">
    <w:p w:rsidR="00BF744A" w:rsidRDefault="00BF7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D5"/>
    <w:rsid w:val="00002837"/>
    <w:rsid w:val="00003B56"/>
    <w:rsid w:val="000059B4"/>
    <w:rsid w:val="000118A2"/>
    <w:rsid w:val="00014057"/>
    <w:rsid w:val="0004157B"/>
    <w:rsid w:val="00043D57"/>
    <w:rsid w:val="0004788C"/>
    <w:rsid w:val="000729B6"/>
    <w:rsid w:val="000863F3"/>
    <w:rsid w:val="000937DF"/>
    <w:rsid w:val="00097E11"/>
    <w:rsid w:val="000C0B3B"/>
    <w:rsid w:val="000C3F30"/>
    <w:rsid w:val="000D2D5B"/>
    <w:rsid w:val="000E15A4"/>
    <w:rsid w:val="000E24CB"/>
    <w:rsid w:val="000E62D2"/>
    <w:rsid w:val="000F182C"/>
    <w:rsid w:val="000F3C26"/>
    <w:rsid w:val="0010127F"/>
    <w:rsid w:val="00102B00"/>
    <w:rsid w:val="00106905"/>
    <w:rsid w:val="00116E5A"/>
    <w:rsid w:val="00132F3C"/>
    <w:rsid w:val="00135910"/>
    <w:rsid w:val="00141F57"/>
    <w:rsid w:val="00156008"/>
    <w:rsid w:val="00160937"/>
    <w:rsid w:val="0017002B"/>
    <w:rsid w:val="00170CDF"/>
    <w:rsid w:val="00172820"/>
    <w:rsid w:val="001827F7"/>
    <w:rsid w:val="00185B75"/>
    <w:rsid w:val="00190F16"/>
    <w:rsid w:val="00193136"/>
    <w:rsid w:val="0019414F"/>
    <w:rsid w:val="00194976"/>
    <w:rsid w:val="001A0B7F"/>
    <w:rsid w:val="001B0E15"/>
    <w:rsid w:val="001B50A1"/>
    <w:rsid w:val="001C21D0"/>
    <w:rsid w:val="001E05E5"/>
    <w:rsid w:val="001E27CF"/>
    <w:rsid w:val="001E3D50"/>
    <w:rsid w:val="001E775D"/>
    <w:rsid w:val="001F2D06"/>
    <w:rsid w:val="00203AFD"/>
    <w:rsid w:val="0020529E"/>
    <w:rsid w:val="00205F4B"/>
    <w:rsid w:val="002063C8"/>
    <w:rsid w:val="002070D4"/>
    <w:rsid w:val="00210D24"/>
    <w:rsid w:val="00211976"/>
    <w:rsid w:val="00216E2F"/>
    <w:rsid w:val="0022379A"/>
    <w:rsid w:val="0023198B"/>
    <w:rsid w:val="0023518A"/>
    <w:rsid w:val="00254091"/>
    <w:rsid w:val="002659AD"/>
    <w:rsid w:val="0027073A"/>
    <w:rsid w:val="0027371A"/>
    <w:rsid w:val="00277F6A"/>
    <w:rsid w:val="00285521"/>
    <w:rsid w:val="0029370E"/>
    <w:rsid w:val="00295467"/>
    <w:rsid w:val="002B284B"/>
    <w:rsid w:val="002B3BB7"/>
    <w:rsid w:val="002C27CF"/>
    <w:rsid w:val="002C48D8"/>
    <w:rsid w:val="002D4E90"/>
    <w:rsid w:val="002D75B7"/>
    <w:rsid w:val="002E4CF5"/>
    <w:rsid w:val="002F2922"/>
    <w:rsid w:val="002F4C8A"/>
    <w:rsid w:val="002F6413"/>
    <w:rsid w:val="002F67A7"/>
    <w:rsid w:val="00305F73"/>
    <w:rsid w:val="00306ED7"/>
    <w:rsid w:val="00306F82"/>
    <w:rsid w:val="00311464"/>
    <w:rsid w:val="00314C71"/>
    <w:rsid w:val="00324CDF"/>
    <w:rsid w:val="00325403"/>
    <w:rsid w:val="003278FB"/>
    <w:rsid w:val="00330BA3"/>
    <w:rsid w:val="0033660B"/>
    <w:rsid w:val="0035320E"/>
    <w:rsid w:val="00363CBA"/>
    <w:rsid w:val="00364B83"/>
    <w:rsid w:val="0036565C"/>
    <w:rsid w:val="00374348"/>
    <w:rsid w:val="00382932"/>
    <w:rsid w:val="003877EC"/>
    <w:rsid w:val="00392205"/>
    <w:rsid w:val="003923CA"/>
    <w:rsid w:val="003932C3"/>
    <w:rsid w:val="00394A78"/>
    <w:rsid w:val="003951C0"/>
    <w:rsid w:val="00396AA2"/>
    <w:rsid w:val="003974C2"/>
    <w:rsid w:val="003A0628"/>
    <w:rsid w:val="003A6D6F"/>
    <w:rsid w:val="003B78F8"/>
    <w:rsid w:val="003B7AE7"/>
    <w:rsid w:val="003C60F4"/>
    <w:rsid w:val="003C7C21"/>
    <w:rsid w:val="003D0432"/>
    <w:rsid w:val="003D25A3"/>
    <w:rsid w:val="003D41ED"/>
    <w:rsid w:val="003D4FEF"/>
    <w:rsid w:val="003E17AE"/>
    <w:rsid w:val="003E604C"/>
    <w:rsid w:val="003E6D6D"/>
    <w:rsid w:val="0040292F"/>
    <w:rsid w:val="00410FFB"/>
    <w:rsid w:val="004112D1"/>
    <w:rsid w:val="00413A04"/>
    <w:rsid w:val="00414567"/>
    <w:rsid w:val="004173F3"/>
    <w:rsid w:val="0042157C"/>
    <w:rsid w:val="0042399E"/>
    <w:rsid w:val="00424ABF"/>
    <w:rsid w:val="004324EF"/>
    <w:rsid w:val="00434C84"/>
    <w:rsid w:val="00451116"/>
    <w:rsid w:val="00461A92"/>
    <w:rsid w:val="00467577"/>
    <w:rsid w:val="00467C9C"/>
    <w:rsid w:val="00470431"/>
    <w:rsid w:val="0047174F"/>
    <w:rsid w:val="00473070"/>
    <w:rsid w:val="004807D6"/>
    <w:rsid w:val="00480DA2"/>
    <w:rsid w:val="00491221"/>
    <w:rsid w:val="004961E3"/>
    <w:rsid w:val="00496CEF"/>
    <w:rsid w:val="004A545B"/>
    <w:rsid w:val="004A6818"/>
    <w:rsid w:val="004B14D6"/>
    <w:rsid w:val="004B673F"/>
    <w:rsid w:val="004C7383"/>
    <w:rsid w:val="004D2160"/>
    <w:rsid w:val="004D2929"/>
    <w:rsid w:val="004E514E"/>
    <w:rsid w:val="004E667E"/>
    <w:rsid w:val="004E7179"/>
    <w:rsid w:val="004E7928"/>
    <w:rsid w:val="004F4DA5"/>
    <w:rsid w:val="00500614"/>
    <w:rsid w:val="00500FAD"/>
    <w:rsid w:val="005113EA"/>
    <w:rsid w:val="00513853"/>
    <w:rsid w:val="005228A4"/>
    <w:rsid w:val="0052335E"/>
    <w:rsid w:val="0052508E"/>
    <w:rsid w:val="00526447"/>
    <w:rsid w:val="00532489"/>
    <w:rsid w:val="00535E42"/>
    <w:rsid w:val="0055645E"/>
    <w:rsid w:val="00556509"/>
    <w:rsid w:val="005674B6"/>
    <w:rsid w:val="00595448"/>
    <w:rsid w:val="005A00AE"/>
    <w:rsid w:val="005A4134"/>
    <w:rsid w:val="005B4E55"/>
    <w:rsid w:val="005B557C"/>
    <w:rsid w:val="005B6604"/>
    <w:rsid w:val="005C3471"/>
    <w:rsid w:val="005C6537"/>
    <w:rsid w:val="005C71C1"/>
    <w:rsid w:val="005D47EB"/>
    <w:rsid w:val="005E254F"/>
    <w:rsid w:val="005E7E7B"/>
    <w:rsid w:val="005F1B75"/>
    <w:rsid w:val="005F43C8"/>
    <w:rsid w:val="005F4448"/>
    <w:rsid w:val="00607805"/>
    <w:rsid w:val="006109C6"/>
    <w:rsid w:val="0061381B"/>
    <w:rsid w:val="0061790C"/>
    <w:rsid w:val="00620A14"/>
    <w:rsid w:val="0062267F"/>
    <w:rsid w:val="006233A8"/>
    <w:rsid w:val="00624D12"/>
    <w:rsid w:val="00626A2C"/>
    <w:rsid w:val="006444C0"/>
    <w:rsid w:val="006559A6"/>
    <w:rsid w:val="006566EF"/>
    <w:rsid w:val="006603EC"/>
    <w:rsid w:val="0067051C"/>
    <w:rsid w:val="0067263E"/>
    <w:rsid w:val="00673182"/>
    <w:rsid w:val="00676BF5"/>
    <w:rsid w:val="00680320"/>
    <w:rsid w:val="00681422"/>
    <w:rsid w:val="00683D3E"/>
    <w:rsid w:val="006846C5"/>
    <w:rsid w:val="00685355"/>
    <w:rsid w:val="00691E04"/>
    <w:rsid w:val="006938BE"/>
    <w:rsid w:val="006A1144"/>
    <w:rsid w:val="006A5AC1"/>
    <w:rsid w:val="006A629E"/>
    <w:rsid w:val="006B3DCD"/>
    <w:rsid w:val="006D4382"/>
    <w:rsid w:val="006E32B5"/>
    <w:rsid w:val="006E5542"/>
    <w:rsid w:val="006E56E4"/>
    <w:rsid w:val="006E7F69"/>
    <w:rsid w:val="0070412F"/>
    <w:rsid w:val="00707021"/>
    <w:rsid w:val="007079D1"/>
    <w:rsid w:val="0071284A"/>
    <w:rsid w:val="00714A22"/>
    <w:rsid w:val="00720356"/>
    <w:rsid w:val="007223EA"/>
    <w:rsid w:val="00725198"/>
    <w:rsid w:val="00740CE9"/>
    <w:rsid w:val="00744C18"/>
    <w:rsid w:val="00745183"/>
    <w:rsid w:val="00757172"/>
    <w:rsid w:val="00776397"/>
    <w:rsid w:val="00782B18"/>
    <w:rsid w:val="00796EDF"/>
    <w:rsid w:val="007A630F"/>
    <w:rsid w:val="007A63D0"/>
    <w:rsid w:val="007B0434"/>
    <w:rsid w:val="007B111C"/>
    <w:rsid w:val="007B1333"/>
    <w:rsid w:val="007C040C"/>
    <w:rsid w:val="007C0883"/>
    <w:rsid w:val="007D2592"/>
    <w:rsid w:val="007D4F58"/>
    <w:rsid w:val="007D4FF7"/>
    <w:rsid w:val="007E0912"/>
    <w:rsid w:val="007E37C4"/>
    <w:rsid w:val="007E6302"/>
    <w:rsid w:val="007E7082"/>
    <w:rsid w:val="007F1032"/>
    <w:rsid w:val="007F2778"/>
    <w:rsid w:val="007F27E7"/>
    <w:rsid w:val="007F3A6C"/>
    <w:rsid w:val="007F5BE5"/>
    <w:rsid w:val="007F61D7"/>
    <w:rsid w:val="00807BF4"/>
    <w:rsid w:val="00812A3B"/>
    <w:rsid w:val="008156A6"/>
    <w:rsid w:val="00817F95"/>
    <w:rsid w:val="008237B4"/>
    <w:rsid w:val="00826C85"/>
    <w:rsid w:val="00831374"/>
    <w:rsid w:val="00842FCE"/>
    <w:rsid w:val="008456D5"/>
    <w:rsid w:val="008469D6"/>
    <w:rsid w:val="00860123"/>
    <w:rsid w:val="00860313"/>
    <w:rsid w:val="00860BDF"/>
    <w:rsid w:val="0086171F"/>
    <w:rsid w:val="0086356F"/>
    <w:rsid w:val="008650C3"/>
    <w:rsid w:val="00867111"/>
    <w:rsid w:val="00871BB5"/>
    <w:rsid w:val="008760C0"/>
    <w:rsid w:val="008854A9"/>
    <w:rsid w:val="00890720"/>
    <w:rsid w:val="00896058"/>
    <w:rsid w:val="008A4EFC"/>
    <w:rsid w:val="008A5064"/>
    <w:rsid w:val="008B1556"/>
    <w:rsid w:val="008B6776"/>
    <w:rsid w:val="008C0E4F"/>
    <w:rsid w:val="008C6D4A"/>
    <w:rsid w:val="008D2E09"/>
    <w:rsid w:val="008E2C8C"/>
    <w:rsid w:val="008E415F"/>
    <w:rsid w:val="008E4DA2"/>
    <w:rsid w:val="008E5A99"/>
    <w:rsid w:val="008E610E"/>
    <w:rsid w:val="008F1A87"/>
    <w:rsid w:val="008F368F"/>
    <w:rsid w:val="00900F90"/>
    <w:rsid w:val="00901DB1"/>
    <w:rsid w:val="009077EA"/>
    <w:rsid w:val="00910DD2"/>
    <w:rsid w:val="00914C60"/>
    <w:rsid w:val="0091723E"/>
    <w:rsid w:val="00917280"/>
    <w:rsid w:val="00920616"/>
    <w:rsid w:val="00926A96"/>
    <w:rsid w:val="00927C29"/>
    <w:rsid w:val="00931B4E"/>
    <w:rsid w:val="00932DC5"/>
    <w:rsid w:val="00933723"/>
    <w:rsid w:val="009374D6"/>
    <w:rsid w:val="0095112B"/>
    <w:rsid w:val="00965C2E"/>
    <w:rsid w:val="00976655"/>
    <w:rsid w:val="009772E4"/>
    <w:rsid w:val="009822E4"/>
    <w:rsid w:val="009941C9"/>
    <w:rsid w:val="0099785D"/>
    <w:rsid w:val="009B6F70"/>
    <w:rsid w:val="009C3D38"/>
    <w:rsid w:val="009D0D34"/>
    <w:rsid w:val="009D5A73"/>
    <w:rsid w:val="009D75B1"/>
    <w:rsid w:val="009E1691"/>
    <w:rsid w:val="009F3894"/>
    <w:rsid w:val="009F54E9"/>
    <w:rsid w:val="009F71B5"/>
    <w:rsid w:val="009F7A7E"/>
    <w:rsid w:val="00A012B6"/>
    <w:rsid w:val="00A03060"/>
    <w:rsid w:val="00A070E6"/>
    <w:rsid w:val="00A10603"/>
    <w:rsid w:val="00A12B21"/>
    <w:rsid w:val="00A2119F"/>
    <w:rsid w:val="00A272FD"/>
    <w:rsid w:val="00A378BD"/>
    <w:rsid w:val="00A41F10"/>
    <w:rsid w:val="00A44935"/>
    <w:rsid w:val="00A462C2"/>
    <w:rsid w:val="00A52F2F"/>
    <w:rsid w:val="00A540FE"/>
    <w:rsid w:val="00A55F81"/>
    <w:rsid w:val="00A60EDA"/>
    <w:rsid w:val="00A660A4"/>
    <w:rsid w:val="00A6760D"/>
    <w:rsid w:val="00A7554C"/>
    <w:rsid w:val="00A75A1D"/>
    <w:rsid w:val="00A87F7F"/>
    <w:rsid w:val="00A926E8"/>
    <w:rsid w:val="00A93FC4"/>
    <w:rsid w:val="00AA37FC"/>
    <w:rsid w:val="00AA7F7C"/>
    <w:rsid w:val="00AB0A97"/>
    <w:rsid w:val="00AC10AC"/>
    <w:rsid w:val="00AC2E2A"/>
    <w:rsid w:val="00AC7ED5"/>
    <w:rsid w:val="00AD07AF"/>
    <w:rsid w:val="00AD25A4"/>
    <w:rsid w:val="00AD4F87"/>
    <w:rsid w:val="00AE5997"/>
    <w:rsid w:val="00AE76F3"/>
    <w:rsid w:val="00AF4587"/>
    <w:rsid w:val="00AF6FA2"/>
    <w:rsid w:val="00AF71B9"/>
    <w:rsid w:val="00AF7CB8"/>
    <w:rsid w:val="00B06502"/>
    <w:rsid w:val="00B10B85"/>
    <w:rsid w:val="00B15179"/>
    <w:rsid w:val="00B26A8A"/>
    <w:rsid w:val="00B32933"/>
    <w:rsid w:val="00B35124"/>
    <w:rsid w:val="00B444DD"/>
    <w:rsid w:val="00B54796"/>
    <w:rsid w:val="00B56F30"/>
    <w:rsid w:val="00B57FA0"/>
    <w:rsid w:val="00B64C4A"/>
    <w:rsid w:val="00B66072"/>
    <w:rsid w:val="00B70C8B"/>
    <w:rsid w:val="00B72010"/>
    <w:rsid w:val="00BA1F03"/>
    <w:rsid w:val="00BA5685"/>
    <w:rsid w:val="00BB3C48"/>
    <w:rsid w:val="00BC18F7"/>
    <w:rsid w:val="00BC682F"/>
    <w:rsid w:val="00BD00D5"/>
    <w:rsid w:val="00BD2940"/>
    <w:rsid w:val="00BD4269"/>
    <w:rsid w:val="00BD54C5"/>
    <w:rsid w:val="00BE02AD"/>
    <w:rsid w:val="00BF443E"/>
    <w:rsid w:val="00BF744A"/>
    <w:rsid w:val="00C008DF"/>
    <w:rsid w:val="00C011E6"/>
    <w:rsid w:val="00C05ED7"/>
    <w:rsid w:val="00C11A0D"/>
    <w:rsid w:val="00C17BE4"/>
    <w:rsid w:val="00C31095"/>
    <w:rsid w:val="00C319C4"/>
    <w:rsid w:val="00C31C82"/>
    <w:rsid w:val="00C40551"/>
    <w:rsid w:val="00C431A0"/>
    <w:rsid w:val="00C4395C"/>
    <w:rsid w:val="00C4724A"/>
    <w:rsid w:val="00C67B3B"/>
    <w:rsid w:val="00C70E82"/>
    <w:rsid w:val="00C9297C"/>
    <w:rsid w:val="00CE7109"/>
    <w:rsid w:val="00CF124B"/>
    <w:rsid w:val="00CF7047"/>
    <w:rsid w:val="00CF7BA9"/>
    <w:rsid w:val="00D015DA"/>
    <w:rsid w:val="00D328B5"/>
    <w:rsid w:val="00D340E1"/>
    <w:rsid w:val="00D415FE"/>
    <w:rsid w:val="00D42725"/>
    <w:rsid w:val="00D515D4"/>
    <w:rsid w:val="00D52B20"/>
    <w:rsid w:val="00D731F7"/>
    <w:rsid w:val="00D74923"/>
    <w:rsid w:val="00D76BA0"/>
    <w:rsid w:val="00D92966"/>
    <w:rsid w:val="00D94C3B"/>
    <w:rsid w:val="00DA4074"/>
    <w:rsid w:val="00DB335F"/>
    <w:rsid w:val="00DB62C5"/>
    <w:rsid w:val="00DC07E6"/>
    <w:rsid w:val="00DC0A17"/>
    <w:rsid w:val="00DC3AD5"/>
    <w:rsid w:val="00DC796D"/>
    <w:rsid w:val="00DD6280"/>
    <w:rsid w:val="00DD636F"/>
    <w:rsid w:val="00DD681F"/>
    <w:rsid w:val="00DD6944"/>
    <w:rsid w:val="00DD7BD5"/>
    <w:rsid w:val="00DE5946"/>
    <w:rsid w:val="00DF183A"/>
    <w:rsid w:val="00DF1DD2"/>
    <w:rsid w:val="00DF2DE7"/>
    <w:rsid w:val="00DF7622"/>
    <w:rsid w:val="00E0015C"/>
    <w:rsid w:val="00E01C89"/>
    <w:rsid w:val="00E10A7F"/>
    <w:rsid w:val="00E16BED"/>
    <w:rsid w:val="00E3241B"/>
    <w:rsid w:val="00E405E3"/>
    <w:rsid w:val="00E458BE"/>
    <w:rsid w:val="00E544B8"/>
    <w:rsid w:val="00E738F9"/>
    <w:rsid w:val="00E94974"/>
    <w:rsid w:val="00E9678B"/>
    <w:rsid w:val="00E976E9"/>
    <w:rsid w:val="00EA70B8"/>
    <w:rsid w:val="00EB26A3"/>
    <w:rsid w:val="00EB4614"/>
    <w:rsid w:val="00EB5577"/>
    <w:rsid w:val="00EC1A42"/>
    <w:rsid w:val="00EC4E2B"/>
    <w:rsid w:val="00ED1C59"/>
    <w:rsid w:val="00ED3269"/>
    <w:rsid w:val="00ED6742"/>
    <w:rsid w:val="00EE5977"/>
    <w:rsid w:val="00EF25A5"/>
    <w:rsid w:val="00EF2C6C"/>
    <w:rsid w:val="00EF34C0"/>
    <w:rsid w:val="00EF661E"/>
    <w:rsid w:val="00F07739"/>
    <w:rsid w:val="00F1080B"/>
    <w:rsid w:val="00F10AF5"/>
    <w:rsid w:val="00F16002"/>
    <w:rsid w:val="00F176F6"/>
    <w:rsid w:val="00F17E5D"/>
    <w:rsid w:val="00F337C7"/>
    <w:rsid w:val="00F359CA"/>
    <w:rsid w:val="00F4225F"/>
    <w:rsid w:val="00F42E69"/>
    <w:rsid w:val="00F55CA8"/>
    <w:rsid w:val="00F77645"/>
    <w:rsid w:val="00F81D0A"/>
    <w:rsid w:val="00F829B6"/>
    <w:rsid w:val="00F95AE5"/>
    <w:rsid w:val="00F95C52"/>
    <w:rsid w:val="00FA3082"/>
    <w:rsid w:val="00FA51D8"/>
    <w:rsid w:val="00FB0609"/>
    <w:rsid w:val="00FB58F4"/>
    <w:rsid w:val="00FC1E1E"/>
    <w:rsid w:val="00FC2070"/>
    <w:rsid w:val="00FC3DDE"/>
    <w:rsid w:val="00FC4C44"/>
    <w:rsid w:val="00FC4DA9"/>
    <w:rsid w:val="00FC5E48"/>
    <w:rsid w:val="00FD1A1C"/>
    <w:rsid w:val="00FD467F"/>
    <w:rsid w:val="00FD563A"/>
    <w:rsid w:val="00FE0E9B"/>
    <w:rsid w:val="00FE5C17"/>
    <w:rsid w:val="00FF09A8"/>
    <w:rsid w:val="00FF4810"/>
    <w:rsid w:val="00FF7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B38DC85B-0A46-46EA-87D4-92DCE91F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7D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932C3"/>
    <w:rPr>
      <w:rFonts w:ascii="Calibri" w:hAnsi="Calibri"/>
      <w:sz w:val="20"/>
      <w:szCs w:val="20"/>
      <w:lang w:eastAsia="en-GB"/>
    </w:rPr>
  </w:style>
  <w:style w:type="character" w:customStyle="1" w:styleId="FootnoteTextChar">
    <w:name w:val="Footnote Text Char"/>
    <w:basedOn w:val="DefaultParagraphFont"/>
    <w:link w:val="FootnoteText"/>
    <w:uiPriority w:val="99"/>
    <w:semiHidden/>
    <w:locked/>
    <w:rsid w:val="003932C3"/>
    <w:rPr>
      <w:rFonts w:ascii="Calibri" w:hAnsi="Calibri"/>
      <w:lang w:val="en-GB" w:eastAsia="en-GB"/>
    </w:rPr>
  </w:style>
  <w:style w:type="character" w:styleId="FootnoteReference">
    <w:name w:val="footnote reference"/>
    <w:basedOn w:val="DefaultParagraphFont"/>
    <w:uiPriority w:val="99"/>
    <w:semiHidden/>
    <w:rsid w:val="003932C3"/>
    <w:rPr>
      <w:rFonts w:cs="Times New Roman"/>
      <w:vertAlign w:val="superscript"/>
    </w:rPr>
  </w:style>
  <w:style w:type="character" w:styleId="Hyperlink">
    <w:name w:val="Hyperlink"/>
    <w:basedOn w:val="DefaultParagraphFont"/>
    <w:uiPriority w:val="99"/>
    <w:rsid w:val="007B0434"/>
    <w:rPr>
      <w:rFonts w:cs="Times New Roman"/>
      <w:color w:val="0000FF"/>
      <w:u w:val="single"/>
    </w:rPr>
  </w:style>
  <w:style w:type="paragraph" w:styleId="EndnoteText">
    <w:name w:val="endnote text"/>
    <w:basedOn w:val="Normal"/>
    <w:link w:val="EndnoteTextChar"/>
    <w:uiPriority w:val="99"/>
    <w:semiHidden/>
    <w:rsid w:val="006E7F69"/>
    <w:rPr>
      <w:sz w:val="20"/>
      <w:szCs w:val="20"/>
    </w:rPr>
  </w:style>
  <w:style w:type="character" w:customStyle="1" w:styleId="EndnoteTextChar">
    <w:name w:val="Endnote Text Char"/>
    <w:basedOn w:val="DefaultParagraphFont"/>
    <w:link w:val="EndnoteText"/>
    <w:uiPriority w:val="99"/>
    <w:semiHidden/>
    <w:locked/>
    <w:rsid w:val="00424ABF"/>
    <w:rPr>
      <w:sz w:val="20"/>
      <w:lang w:eastAsia="en-US"/>
    </w:rPr>
  </w:style>
  <w:style w:type="character" w:styleId="EndnoteReference">
    <w:name w:val="endnote reference"/>
    <w:basedOn w:val="DefaultParagraphFont"/>
    <w:uiPriority w:val="99"/>
    <w:semiHidden/>
    <w:rsid w:val="006E7F69"/>
    <w:rPr>
      <w:rFonts w:cs="Times New Roman"/>
      <w:vertAlign w:val="superscript"/>
    </w:rPr>
  </w:style>
  <w:style w:type="paragraph" w:styleId="Header">
    <w:name w:val="header"/>
    <w:basedOn w:val="Normal"/>
    <w:link w:val="HeaderChar"/>
    <w:uiPriority w:val="99"/>
    <w:rsid w:val="00216E2F"/>
    <w:pPr>
      <w:tabs>
        <w:tab w:val="center" w:pos="4513"/>
        <w:tab w:val="right" w:pos="9026"/>
      </w:tabs>
    </w:pPr>
  </w:style>
  <w:style w:type="character" w:customStyle="1" w:styleId="HeaderChar">
    <w:name w:val="Header Char"/>
    <w:basedOn w:val="DefaultParagraphFont"/>
    <w:link w:val="Header"/>
    <w:uiPriority w:val="99"/>
    <w:locked/>
    <w:rsid w:val="00216E2F"/>
    <w:rPr>
      <w:sz w:val="24"/>
      <w:lang w:eastAsia="en-US"/>
    </w:rPr>
  </w:style>
  <w:style w:type="paragraph" w:styleId="Footer">
    <w:name w:val="footer"/>
    <w:basedOn w:val="Normal"/>
    <w:link w:val="FooterChar"/>
    <w:uiPriority w:val="99"/>
    <w:rsid w:val="00216E2F"/>
    <w:pPr>
      <w:tabs>
        <w:tab w:val="center" w:pos="4513"/>
        <w:tab w:val="right" w:pos="9026"/>
      </w:tabs>
    </w:pPr>
  </w:style>
  <w:style w:type="character" w:customStyle="1" w:styleId="FooterChar">
    <w:name w:val="Footer Char"/>
    <w:basedOn w:val="DefaultParagraphFont"/>
    <w:link w:val="Footer"/>
    <w:uiPriority w:val="99"/>
    <w:locked/>
    <w:rsid w:val="00216E2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14517</Words>
  <Characters>82752</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Chapter Six</vt:lpstr>
    </vt:vector>
  </TitlesOfParts>
  <Company>BB&amp;A</Company>
  <LinksUpToDate>false</LinksUpToDate>
  <CharactersWithSpaces>97075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Six</dc:title>
  <dc:subject/>
  <dc:creator>BOWER</dc:creator>
  <cp:keywords/>
  <dc:description/>
  <cp:lastModifiedBy>STEVEN SHAKESPEARE </cp:lastModifiedBy>
  <cp:revision>2</cp:revision>
  <dcterms:created xsi:type="dcterms:W3CDTF">2016-03-02T16:30:00Z</dcterms:created>
  <dcterms:modified xsi:type="dcterms:W3CDTF">2016-03-02T16:30:00Z</dcterms:modified>
</cp:coreProperties>
</file>