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142B" w14:textId="77777777" w:rsidR="00006B97" w:rsidRDefault="00000000">
      <w:pPr>
        <w:pBdr>
          <w:top w:val="none" w:sz="0" w:space="0" w:color="E3E3E3"/>
          <w:left w:val="none" w:sz="0" w:space="0" w:color="E3E3E3"/>
          <w:bottom w:val="none" w:sz="0" w:space="0" w:color="E3E3E3"/>
          <w:right w:val="none" w:sz="0" w:space="0" w:color="E3E3E3"/>
          <w:between w:val="none" w:sz="0" w:space="0" w:color="E3E3E3"/>
        </w:pBdr>
        <w:spacing w:after="260" w:line="42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Pregnancy Apps and the Silencing of Loss </w:t>
      </w:r>
    </w:p>
    <w:p w14:paraId="449C66D9" w14:textId="77777777" w:rsidR="00006B97" w:rsidRDefault="00000000">
      <w:pPr>
        <w:pBdr>
          <w:top w:val="none" w:sz="0" w:space="0" w:color="E3E3E3"/>
          <w:left w:val="none" w:sz="0" w:space="0" w:color="E3E3E3"/>
          <w:bottom w:val="none" w:sz="0" w:space="0" w:color="E3E3E3"/>
          <w:right w:val="none" w:sz="0" w:space="0" w:color="E3E3E3"/>
          <w:between w:val="none" w:sz="0" w:space="0" w:color="E3E3E3"/>
        </w:pBdr>
        <w:spacing w:after="260"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Caroline (Carly) </w:t>
      </w:r>
      <w:proofErr w:type="spellStart"/>
      <w:r>
        <w:rPr>
          <w:rFonts w:ascii="Times New Roman" w:eastAsia="Times New Roman" w:hAnsi="Times New Roman" w:cs="Times New Roman"/>
          <w:sz w:val="24"/>
          <w:szCs w:val="24"/>
        </w:rPr>
        <w:t>Bagelman</w:t>
      </w:r>
      <w:proofErr w:type="spellEnd"/>
      <w:r>
        <w:rPr>
          <w:rFonts w:ascii="Times New Roman" w:eastAsia="Times New Roman" w:hAnsi="Times New Roman" w:cs="Times New Roman"/>
          <w:sz w:val="24"/>
          <w:szCs w:val="24"/>
        </w:rPr>
        <w:t xml:space="preserve"> and Jen </w:t>
      </w:r>
      <w:proofErr w:type="spellStart"/>
      <w:r>
        <w:rPr>
          <w:rFonts w:ascii="Times New Roman" w:eastAsia="Times New Roman" w:hAnsi="Times New Roman" w:cs="Times New Roman"/>
          <w:sz w:val="24"/>
          <w:szCs w:val="24"/>
        </w:rPr>
        <w:t>Bagelman</w:t>
      </w:r>
      <w:proofErr w:type="spellEnd"/>
    </w:p>
    <w:p w14:paraId="3F2279A2" w14:textId="64A09305" w:rsidR="00006B97" w:rsidRDefault="00000000">
      <w:pPr>
        <w:pBdr>
          <w:top w:val="none" w:sz="0" w:space="0" w:color="E3E3E3"/>
          <w:left w:val="none" w:sz="0" w:space="0" w:color="E3E3E3"/>
          <w:bottom w:val="none" w:sz="0" w:space="0" w:color="E3E3E3"/>
          <w:right w:val="none" w:sz="0" w:space="0" w:color="E3E3E3"/>
          <w:between w:val="none" w:sz="0" w:space="0" w:color="E3E3E3"/>
        </w:pBdr>
        <w:spacing w:after="260"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Pregnancy apps currently outnumber any other fitness or health app on offer</w:t>
      </w:r>
      <w:r w:rsidR="00EC0B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C0B3E">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are so ubiquitous that </w:t>
      </w:r>
      <w:hyperlink r:id="rId5">
        <w:r>
          <w:rPr>
            <w:rFonts w:ascii="Times New Roman" w:eastAsia="Times New Roman" w:hAnsi="Times New Roman" w:cs="Times New Roman"/>
            <w:color w:val="1155CC"/>
            <w:sz w:val="24"/>
            <w:szCs w:val="24"/>
            <w:u w:val="single"/>
          </w:rPr>
          <w:t>over 50% of pregnant people</w:t>
        </w:r>
      </w:hyperlink>
      <w:r>
        <w:rPr>
          <w:rFonts w:ascii="Times New Roman" w:eastAsia="Times New Roman" w:hAnsi="Times New Roman" w:cs="Times New Roman"/>
          <w:sz w:val="24"/>
          <w:szCs w:val="24"/>
        </w:rPr>
        <w:t xml:space="preserve"> now use one. Despite the well-established fact that at least </w:t>
      </w:r>
      <w:hyperlink r:id="rId6" w:anchor=":~:text=Early%20miscarriages%20happen%20in%20the,out%20of%205%20pregnancies%20miscarry.">
        <w:r>
          <w:rPr>
            <w:rFonts w:ascii="Times New Roman" w:eastAsia="Times New Roman" w:hAnsi="Times New Roman" w:cs="Times New Roman"/>
            <w:color w:val="1155CC"/>
            <w:sz w:val="24"/>
            <w:szCs w:val="24"/>
            <w:u w:val="single"/>
          </w:rPr>
          <w:t>1 in 5 pregnancies</w:t>
        </w:r>
      </w:hyperlink>
      <w:r>
        <w:rPr>
          <w:rFonts w:ascii="Times New Roman" w:eastAsia="Times New Roman" w:hAnsi="Times New Roman" w:cs="Times New Roman"/>
          <w:sz w:val="24"/>
          <w:szCs w:val="24"/>
        </w:rPr>
        <w:t xml:space="preserve"> will end in miscarriage, our research suggests pregnancy apps have not been designed with this loss in mind. Attention to loss is not only lacking on these pregnancy apps but</w:t>
      </w:r>
      <w:r w:rsidR="00EC0B3E">
        <w:rPr>
          <w:rFonts w:ascii="Times New Roman" w:eastAsia="Times New Roman" w:hAnsi="Times New Roman" w:cs="Times New Roman"/>
          <w:sz w:val="24"/>
          <w:szCs w:val="24"/>
        </w:rPr>
        <w:t>, we argue,</w:t>
      </w:r>
      <w:r>
        <w:rPr>
          <w:rFonts w:ascii="Times New Roman" w:eastAsia="Times New Roman" w:hAnsi="Times New Roman" w:cs="Times New Roman"/>
          <w:sz w:val="24"/>
          <w:szCs w:val="24"/>
        </w:rPr>
        <w:t xml:space="preserve"> actively contribut</w:t>
      </w:r>
      <w:r w:rsidR="00EC0B3E">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to silencing pregnancy loss. In framing pregnancy as a straightforward progression towards birth and emphasising </w:t>
      </w:r>
      <w:r>
        <w:rPr>
          <w:rFonts w:ascii="Times New Roman" w:eastAsia="Times New Roman" w:hAnsi="Times New Roman" w:cs="Times New Roman"/>
          <w:color w:val="4A86E8"/>
          <w:sz w:val="24"/>
          <w:szCs w:val="24"/>
          <w:u w:val="single"/>
        </w:rPr>
        <w:t>s</w:t>
      </w:r>
      <w:hyperlink r:id="rId7">
        <w:r>
          <w:rPr>
            <w:rFonts w:ascii="Times New Roman" w:eastAsia="Times New Roman" w:hAnsi="Times New Roman" w:cs="Times New Roman"/>
            <w:color w:val="1155CC"/>
            <w:sz w:val="24"/>
            <w:szCs w:val="24"/>
            <w:u w:val="single"/>
          </w:rPr>
          <w:t>elf-care practices to mitigate risk</w:t>
        </w:r>
      </w:hyperlink>
      <w:r>
        <w:rPr>
          <w:rFonts w:ascii="Times New Roman" w:eastAsia="Times New Roman" w:hAnsi="Times New Roman" w:cs="Times New Roman"/>
          <w:sz w:val="24"/>
          <w:szCs w:val="24"/>
        </w:rPr>
        <w:t>, these apps largely erase the reality of loss and deepen feelings of grief and alienation for those who experience it.</w:t>
      </w:r>
    </w:p>
    <w:p w14:paraId="28A11DC9" w14:textId="77777777" w:rsidR="00006B97" w:rsidRDefault="00000000">
      <w:pPr>
        <w:pBdr>
          <w:top w:val="none" w:sz="0" w:space="0" w:color="E3E3E3"/>
          <w:left w:val="none" w:sz="0" w:space="0" w:color="E3E3E3"/>
          <w:bottom w:val="none" w:sz="0" w:space="0" w:color="E3E3E3"/>
          <w:right w:val="none" w:sz="0" w:space="0" w:color="E3E3E3"/>
          <w:between w:val="none" w:sz="0" w:space="0" w:color="E3E3E3"/>
        </w:pBdr>
        <w:spacing w:after="260" w:line="42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creative &amp; collective approach</w:t>
      </w:r>
    </w:p>
    <w:p w14:paraId="48006B01" w14:textId="11875112" w:rsidR="00006B97" w:rsidRDefault="00000000">
      <w:pPr>
        <w:pBdr>
          <w:top w:val="none" w:sz="0" w:space="0" w:color="E3E3E3"/>
          <w:left w:val="none" w:sz="0" w:space="0" w:color="E3E3E3"/>
          <w:bottom w:val="none" w:sz="0" w:space="0" w:color="E3E3E3"/>
          <w:right w:val="none" w:sz="0" w:space="0" w:color="E3E3E3"/>
          <w:between w:val="none" w:sz="0" w:space="0" w:color="E3E3E3"/>
        </w:pBdr>
        <w:spacing w:after="260" w:line="42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Pregnancy+</w:t>
      </w:r>
      <w:r>
        <w:rPr>
          <w:rFonts w:ascii="Times New Roman" w:eastAsia="Times New Roman" w:hAnsi="Times New Roman" w:cs="Times New Roman"/>
          <w:sz w:val="24"/>
          <w:szCs w:val="24"/>
        </w:rPr>
        <w:t xml:space="preserve"> </w:t>
      </w:r>
      <w:r w:rsidR="00EC0B3E">
        <w:rPr>
          <w:rFonts w:ascii="Times New Roman" w:eastAsia="Times New Roman" w:hAnsi="Times New Roman" w:cs="Times New Roman"/>
          <w:sz w:val="24"/>
          <w:szCs w:val="24"/>
        </w:rPr>
        <w:t>is the</w:t>
      </w:r>
      <w:r>
        <w:rPr>
          <w:rFonts w:ascii="Times New Roman" w:eastAsia="Times New Roman" w:hAnsi="Times New Roman" w:cs="Times New Roman"/>
          <w:sz w:val="24"/>
          <w:szCs w:val="24"/>
        </w:rPr>
        <w:t xml:space="preserve"> most </w:t>
      </w:r>
      <w:proofErr w:type="gramStart"/>
      <w:r>
        <w:rPr>
          <w:rFonts w:ascii="Times New Roman" w:eastAsia="Times New Roman" w:hAnsi="Times New Roman" w:cs="Times New Roman"/>
          <w:sz w:val="24"/>
          <w:szCs w:val="24"/>
        </w:rPr>
        <w:t>widely-used</w:t>
      </w:r>
      <w:proofErr w:type="gramEnd"/>
      <w:r>
        <w:rPr>
          <w:rFonts w:ascii="Times New Roman" w:eastAsia="Times New Roman" w:hAnsi="Times New Roman" w:cs="Times New Roman"/>
          <w:sz w:val="24"/>
          <w:szCs w:val="24"/>
        </w:rPr>
        <w:t xml:space="preserve"> pregnancy app in the UK, USA, Germany and an industry leader worldwide</w:t>
      </w:r>
      <w:r w:rsidR="00EC0B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C0B3E">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offers a  range of free features such as weekly, interactive 3D animations of the uterus, simulated dopplers and scans as well as articles on everything from sleeping positions to recommended antenatal diets.</w:t>
      </w:r>
    </w:p>
    <w:p w14:paraId="5315EE0A" w14:textId="00D8FBD2" w:rsidR="00006B97" w:rsidRDefault="00000000">
      <w:pPr>
        <w:pBdr>
          <w:top w:val="none" w:sz="0" w:space="0" w:color="E3E3E3"/>
          <w:left w:val="none" w:sz="0" w:space="0" w:color="E3E3E3"/>
          <w:bottom w:val="none" w:sz="0" w:space="0" w:color="E3E3E3"/>
          <w:right w:val="none" w:sz="0" w:space="0" w:color="E3E3E3"/>
          <w:between w:val="none" w:sz="0" w:space="0" w:color="E3E3E3"/>
        </w:pBdr>
        <w:spacing w:after="260"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(sisters Carly and Jen) completed ethnographic research into this app during Carly’s own journey through multiple pregnancy losses. Specifically, we </w:t>
      </w:r>
      <w:r w:rsidR="00EC0B3E">
        <w:rPr>
          <w:rFonts w:ascii="Times New Roman" w:eastAsia="Times New Roman" w:hAnsi="Times New Roman" w:cs="Times New Roman"/>
          <w:sz w:val="24"/>
          <w:szCs w:val="24"/>
        </w:rPr>
        <w:t xml:space="preserve">mobilised </w:t>
      </w:r>
      <w:r>
        <w:rPr>
          <w:rFonts w:ascii="Times New Roman" w:eastAsia="Times New Roman" w:hAnsi="Times New Roman" w:cs="Times New Roman"/>
          <w:sz w:val="24"/>
          <w:szCs w:val="24"/>
        </w:rPr>
        <w:t>a</w:t>
      </w:r>
      <w:r w:rsidR="00EC0B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‘sister-ethnograph</w:t>
      </w:r>
      <w:r w:rsidR="00EC0B3E">
        <w:rPr>
          <w:rFonts w:ascii="Times New Roman" w:eastAsia="Times New Roman" w:hAnsi="Times New Roman" w:cs="Times New Roman"/>
          <w:sz w:val="24"/>
          <w:szCs w:val="24"/>
        </w:rPr>
        <w:t>ic</w:t>
      </w:r>
      <w:r>
        <w:rPr>
          <w:rFonts w:ascii="Times New Roman" w:eastAsia="Times New Roman" w:hAnsi="Times New Roman" w:cs="Times New Roman"/>
          <w:sz w:val="24"/>
          <w:szCs w:val="24"/>
        </w:rPr>
        <w:t>’ approach</w:t>
      </w:r>
      <w:r w:rsidR="00EC0B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one that collectively processes, explores and analyses loss through shared conversation. This resists the </w:t>
      </w:r>
      <w:hyperlink r:id="rId8">
        <w:r>
          <w:rPr>
            <w:rFonts w:ascii="Times New Roman" w:eastAsia="Times New Roman" w:hAnsi="Times New Roman" w:cs="Times New Roman"/>
            <w:color w:val="1155CC"/>
            <w:sz w:val="24"/>
            <w:szCs w:val="24"/>
            <w:u w:val="single"/>
          </w:rPr>
          <w:t>hyper-individualising and silencing of loss</w:t>
        </w:r>
      </w:hyperlink>
      <w:r>
        <w:rPr>
          <w:rFonts w:ascii="Times New Roman" w:eastAsia="Times New Roman" w:hAnsi="Times New Roman" w:cs="Times New Roman"/>
          <w:sz w:val="24"/>
          <w:szCs w:val="24"/>
        </w:rPr>
        <w:t xml:space="preserve"> which has been widely noted as a persistent problem, and which we see traditional auto-ethnographic accounts (emphasising the individual) maintaining rather than upending.  While biologically related sisters, we hope this method might be held within wider communities of non-cis, non-biological sister</w:t>
      </w:r>
      <w:r>
        <w:rPr>
          <w:rFonts w:ascii="Times New Roman" w:eastAsia="Times New Roman" w:hAnsi="Times New Roman" w:cs="Times New Roman"/>
          <w:i/>
          <w:sz w:val="24"/>
          <w:szCs w:val="24"/>
        </w:rPr>
        <w:t>hoods</w:t>
      </w:r>
      <w:r>
        <w:rPr>
          <w:rFonts w:ascii="Times New Roman" w:eastAsia="Times New Roman" w:hAnsi="Times New Roman" w:cs="Times New Roman"/>
          <w:sz w:val="24"/>
          <w:szCs w:val="24"/>
        </w:rPr>
        <w:t xml:space="preserve"> to address various reproductive justice struggles in their lived expansiveness.</w:t>
      </w:r>
    </w:p>
    <w:p w14:paraId="0B59C5F6" w14:textId="1F415E97" w:rsidR="00006B97" w:rsidRDefault="00000000">
      <w:pPr>
        <w:pBdr>
          <w:top w:val="none" w:sz="0" w:space="0" w:color="E3E3E3"/>
          <w:left w:val="none" w:sz="0" w:space="0" w:color="E3E3E3"/>
          <w:bottom w:val="none" w:sz="0" w:space="0" w:color="E3E3E3"/>
          <w:right w:val="none" w:sz="0" w:space="0" w:color="E3E3E3"/>
          <w:between w:val="none" w:sz="0" w:space="0" w:color="E3E3E3"/>
        </w:pBdr>
        <w:spacing w:before="260" w:after="260" w:line="42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Simulated pregnancies, and the withdrawal of care </w:t>
      </w:r>
    </w:p>
    <w:p w14:paraId="0E0C170E" w14:textId="77777777" w:rsidR="00006B97" w:rsidRDefault="00006B97">
      <w:pPr>
        <w:pBdr>
          <w:top w:val="none" w:sz="0" w:space="0" w:color="E3E3E3"/>
          <w:left w:val="none" w:sz="0" w:space="0" w:color="E3E3E3"/>
          <w:bottom w:val="none" w:sz="0" w:space="0" w:color="E3E3E3"/>
          <w:right w:val="none" w:sz="0" w:space="0" w:color="E3E3E3"/>
          <w:between w:val="none" w:sz="0" w:space="0" w:color="E3E3E3"/>
        </w:pBdr>
        <w:spacing w:before="260" w:after="260" w:line="420" w:lineRule="auto"/>
        <w:rPr>
          <w:rFonts w:ascii="Times New Roman" w:eastAsia="Times New Roman" w:hAnsi="Times New Roman" w:cs="Times New Roman"/>
          <w:b/>
          <w:sz w:val="24"/>
          <w:szCs w:val="24"/>
        </w:rPr>
      </w:pPr>
    </w:p>
    <w:p w14:paraId="00DD3FC5" w14:textId="5A22D633" w:rsidR="00006B97" w:rsidRDefault="00000000">
      <w:pPr>
        <w:pBdr>
          <w:top w:val="none" w:sz="0" w:space="0" w:color="E3E3E3"/>
          <w:left w:val="none" w:sz="0" w:space="0" w:color="E3E3E3"/>
          <w:bottom w:val="none" w:sz="0" w:space="0" w:color="E3E3E3"/>
          <w:right w:val="none" w:sz="0" w:space="0" w:color="E3E3E3"/>
          <w:between w:val="none" w:sz="0" w:space="0" w:color="E3E3E3"/>
        </w:pBdr>
        <w:spacing w:before="260" w:after="260" w:line="42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Through our sister-ethnographic approach, we demonstrate how the range and quality of resources offered by </w:t>
      </w:r>
      <w:r>
        <w:rPr>
          <w:rFonts w:ascii="Times New Roman" w:eastAsia="Times New Roman" w:hAnsi="Times New Roman" w:cs="Times New Roman"/>
          <w:i/>
          <w:sz w:val="24"/>
          <w:szCs w:val="24"/>
        </w:rPr>
        <w:t>Pregnancy +</w:t>
      </w:r>
      <w:r>
        <w:rPr>
          <w:rFonts w:ascii="Times New Roman" w:eastAsia="Times New Roman" w:hAnsi="Times New Roman" w:cs="Times New Roman"/>
          <w:sz w:val="24"/>
          <w:szCs w:val="24"/>
        </w:rPr>
        <w:t xml:space="preserve"> and fertility apps like it withdraw when loss occurs. The only place to register loss on the app is hidden away like an unsubscribe button on email spam - a technique User Experience (UX) designers refer to as ‘</w:t>
      </w:r>
      <w:hyperlink r:id="rId9">
        <w:r>
          <w:rPr>
            <w:rFonts w:ascii="Times New Roman" w:eastAsia="Times New Roman" w:hAnsi="Times New Roman" w:cs="Times New Roman"/>
            <w:color w:val="1155CC"/>
            <w:sz w:val="24"/>
            <w:szCs w:val="24"/>
            <w:u w:val="single"/>
          </w:rPr>
          <w:t>dark patterns</w:t>
        </w:r>
      </w:hyperlink>
      <w:r>
        <w:rPr>
          <w:rFonts w:ascii="Times New Roman" w:eastAsia="Times New Roman" w:hAnsi="Times New Roman" w:cs="Times New Roman"/>
          <w:sz w:val="24"/>
          <w:szCs w:val="24"/>
        </w:rPr>
        <w:t xml:space="preserve">’ made to bury undesirable content or functions and boost profitable ones. Once the ‘pregnancy loss’ button is found and selected in the app, all features disappear and the user is left with a barren, unnavigable app with only a few generic articles on miscarriage. Yet, the app continues to </w:t>
      </w:r>
      <w:r w:rsidR="00D81642">
        <w:rPr>
          <w:rFonts w:ascii="Times New Roman" w:eastAsia="Times New Roman" w:hAnsi="Times New Roman" w:cs="Times New Roman"/>
          <w:sz w:val="24"/>
          <w:szCs w:val="24"/>
        </w:rPr>
        <w:t xml:space="preserve">have </w:t>
      </w:r>
      <w:r w:rsidR="00EC0B3E">
        <w:rPr>
          <w:rFonts w:ascii="Times New Roman" w:eastAsia="Times New Roman" w:hAnsi="Times New Roman" w:cs="Times New Roman"/>
          <w:sz w:val="24"/>
          <w:szCs w:val="24"/>
        </w:rPr>
        <w:t>haunt</w:t>
      </w:r>
      <w:r w:rsidR="00D81642">
        <w:rPr>
          <w:rFonts w:ascii="Times New Roman" w:eastAsia="Times New Roman" w:hAnsi="Times New Roman" w:cs="Times New Roman"/>
          <w:sz w:val="24"/>
          <w:szCs w:val="24"/>
        </w:rPr>
        <w:t>ing</w:t>
      </w:r>
      <w:hyperlink r:id="rId10" w:history="1">
        <w:r w:rsidR="00D81642" w:rsidRPr="00D81642">
          <w:rPr>
            <w:rStyle w:val="Hyperlink"/>
            <w:rFonts w:ascii="Times New Roman" w:eastAsia="Times New Roman" w:hAnsi="Times New Roman" w:cs="Times New Roman"/>
            <w:sz w:val="24"/>
            <w:szCs w:val="24"/>
          </w:rPr>
          <w:t xml:space="preserve"> afterlives</w:t>
        </w:r>
      </w:hyperlink>
      <w:r>
        <w:rPr>
          <w:rFonts w:ascii="Times New Roman" w:eastAsia="Times New Roman" w:hAnsi="Times New Roman" w:cs="Times New Roman"/>
          <w:sz w:val="24"/>
          <w:szCs w:val="24"/>
        </w:rPr>
        <w:t xml:space="preserve">. The price of the free app is that companies who have purchased your data from </w:t>
      </w:r>
      <w:r>
        <w:rPr>
          <w:rFonts w:ascii="Times New Roman" w:eastAsia="Times New Roman" w:hAnsi="Times New Roman" w:cs="Times New Roman"/>
          <w:i/>
          <w:sz w:val="24"/>
          <w:szCs w:val="24"/>
        </w:rPr>
        <w:t>Pregnancy+</w:t>
      </w:r>
      <w:r>
        <w:rPr>
          <w:rFonts w:ascii="Times New Roman" w:eastAsia="Times New Roman" w:hAnsi="Times New Roman" w:cs="Times New Roman"/>
          <w:sz w:val="24"/>
          <w:szCs w:val="24"/>
        </w:rPr>
        <w:t xml:space="preserve"> chase you across different platforms online offering maternity clothes and pregnancy pillows long after one clicks the ‘pregnancy loss’ button because these apps have not implemented a simple mechanism to update advertisers. </w:t>
      </w:r>
    </w:p>
    <w:p w14:paraId="42E40736" w14:textId="5FFB4BCC" w:rsidR="00006B97" w:rsidRDefault="00000000">
      <w:pPr>
        <w:pBdr>
          <w:top w:val="none" w:sz="0" w:space="0" w:color="E3E3E3"/>
          <w:left w:val="none" w:sz="0" w:space="0" w:color="E3E3E3"/>
          <w:bottom w:val="none" w:sz="0" w:space="0" w:color="E3E3E3"/>
          <w:right w:val="none" w:sz="0" w:space="0" w:color="E3E3E3"/>
          <w:between w:val="none" w:sz="0" w:space="0" w:color="E3E3E3"/>
        </w:pBdr>
        <w:spacing w:before="260" w:after="260"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this sense that the user has been both abandoned and </w:t>
      </w:r>
      <w:r w:rsidR="00D81642">
        <w:rPr>
          <w:rFonts w:ascii="Times New Roman" w:eastAsia="Times New Roman" w:hAnsi="Times New Roman" w:cs="Times New Roman"/>
          <w:sz w:val="24"/>
          <w:szCs w:val="24"/>
        </w:rPr>
        <w:t>followed</w:t>
      </w:r>
      <w:r>
        <w:rPr>
          <w:rFonts w:ascii="Times New Roman" w:eastAsia="Times New Roman" w:hAnsi="Times New Roman" w:cs="Times New Roman"/>
          <w:sz w:val="24"/>
          <w:szCs w:val="24"/>
        </w:rPr>
        <w:t xml:space="preserve"> by the app when loss occurs, our research demonstrates how the digital tool generates a false sense of security in the user. Through its various imaging features noted above, we found </w:t>
      </w:r>
      <w:r>
        <w:rPr>
          <w:rFonts w:ascii="Times New Roman" w:eastAsia="Times New Roman" w:hAnsi="Times New Roman" w:cs="Times New Roman"/>
          <w:i/>
          <w:sz w:val="24"/>
          <w:szCs w:val="24"/>
        </w:rPr>
        <w:t>Pregnancy+</w:t>
      </w:r>
      <w:r>
        <w:rPr>
          <w:rFonts w:ascii="Times New Roman" w:eastAsia="Times New Roman" w:hAnsi="Times New Roman" w:cs="Times New Roman"/>
          <w:sz w:val="24"/>
          <w:szCs w:val="24"/>
        </w:rPr>
        <w:t xml:space="preserve"> compellingly simulates ‘normal’ development on screen, and shapes what we refer to as a </w:t>
      </w:r>
      <w:r w:rsidR="00D81642">
        <w:rPr>
          <w:rFonts w:ascii="Times New Roman" w:eastAsia="Times New Roman" w:hAnsi="Times New Roman" w:cs="Times New Roman"/>
          <w:sz w:val="24"/>
          <w:szCs w:val="24"/>
        </w:rPr>
        <w:t>‘</w:t>
      </w:r>
      <w:r>
        <w:rPr>
          <w:rFonts w:ascii="Times New Roman" w:eastAsia="Times New Roman" w:hAnsi="Times New Roman" w:cs="Times New Roman"/>
          <w:sz w:val="24"/>
          <w:szCs w:val="24"/>
        </w:rPr>
        <w:t>vicarious pregnancy</w:t>
      </w:r>
      <w:r w:rsidR="00D816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which what is presented on screen becomes felt as real, and a pregnancy resulting in birth becomes the assumed outcome). Screens living in palms and pockets displaying an animated foetus (updated each week based on user data to show how ‘your baby’ has developed), starts to feel like a mirror into the womb. The </w:t>
      </w:r>
      <w:r>
        <w:rPr>
          <w:rFonts w:ascii="Times New Roman" w:eastAsia="Times New Roman" w:hAnsi="Times New Roman" w:cs="Times New Roman"/>
          <w:i/>
          <w:sz w:val="24"/>
          <w:szCs w:val="24"/>
        </w:rPr>
        <w:t>Pregnancy+</w:t>
      </w:r>
      <w:r>
        <w:rPr>
          <w:rFonts w:ascii="Times New Roman" w:eastAsia="Times New Roman" w:hAnsi="Times New Roman" w:cs="Times New Roman"/>
          <w:sz w:val="24"/>
          <w:szCs w:val="24"/>
        </w:rPr>
        <w:t xml:space="preserve"> user is prompted to choose the foetus’ skin-colour, which goes to deepen this intimacy and imagined realism of the images. The app even encourages sharing the simulated scans, as one might after an actual sonographer appointment. While pregnancy has long been filled with unknowns and doubts, the app’s images (lively and scientific in their presentation) replace the hazy, imagined sense of foetal development with certainty: this is what </w:t>
      </w:r>
      <w:r>
        <w:rPr>
          <w:rFonts w:ascii="Times New Roman" w:eastAsia="Times New Roman" w:hAnsi="Times New Roman" w:cs="Times New Roman"/>
          <w:i/>
          <w:sz w:val="24"/>
          <w:szCs w:val="24"/>
        </w:rPr>
        <w:t xml:space="preserve">your </w:t>
      </w:r>
      <w:r>
        <w:rPr>
          <w:rFonts w:ascii="Times New Roman" w:eastAsia="Times New Roman" w:hAnsi="Times New Roman" w:cs="Times New Roman"/>
          <w:sz w:val="24"/>
          <w:szCs w:val="24"/>
        </w:rPr>
        <w:t>foetus looks like right now. This certitude the apps cultivate can make the discovery of pregnancy loss during a real scan an especially destabilising and stark one.</w:t>
      </w:r>
    </w:p>
    <w:p w14:paraId="40F5879F" w14:textId="77777777" w:rsidR="00006B97" w:rsidRDefault="00000000">
      <w:pPr>
        <w:pBdr>
          <w:top w:val="none" w:sz="0" w:space="0" w:color="E3E3E3"/>
          <w:left w:val="none" w:sz="0" w:space="0" w:color="E3E3E3"/>
          <w:bottom w:val="none" w:sz="0" w:space="0" w:color="E3E3E3"/>
          <w:right w:val="none" w:sz="0" w:space="0" w:color="E3E3E3"/>
          <w:between w:val="none" w:sz="0" w:space="0" w:color="E3E3E3"/>
        </w:pBdr>
        <w:spacing w:before="260" w:after="260" w:line="42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Addressing Silences through App Annotations</w:t>
      </w:r>
    </w:p>
    <w:p w14:paraId="2660BE5F" w14:textId="22BD4279" w:rsidR="00006B97" w:rsidRDefault="00000000">
      <w:pPr>
        <w:pBdr>
          <w:top w:val="none" w:sz="0" w:space="0" w:color="E3E3E3"/>
          <w:left w:val="none" w:sz="0" w:space="0" w:color="E3E3E3"/>
          <w:bottom w:val="none" w:sz="0" w:space="0" w:color="E3E3E3"/>
          <w:right w:val="none" w:sz="0" w:space="0" w:color="E3E3E3"/>
          <w:between w:val="none" w:sz="0" w:space="0" w:color="E3E3E3"/>
        </w:pBdr>
        <w:spacing w:before="260" w:after="260"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Existing approaches to capturing </w:t>
      </w:r>
      <w:r w:rsidR="00D81642">
        <w:rPr>
          <w:rFonts w:ascii="Times New Roman" w:eastAsia="Times New Roman" w:hAnsi="Times New Roman" w:cs="Times New Roman"/>
          <w:sz w:val="24"/>
          <w:szCs w:val="24"/>
        </w:rPr>
        <w:t xml:space="preserve">experiential geographies </w:t>
      </w:r>
      <w:r>
        <w:rPr>
          <w:rFonts w:ascii="Times New Roman" w:eastAsia="Times New Roman" w:hAnsi="Times New Roman" w:cs="Times New Roman"/>
          <w:sz w:val="24"/>
          <w:szCs w:val="24"/>
        </w:rPr>
        <w:t>within digital health spaces, we argue, remain limited. Typically, they focus on design analysis or user surveys, neglecting the nuanced emotional and lived dimensions of engaging with these platforms, especially in moments of loss. To address this gap, we introduce the use of ‘app-annotations,’ which involve an intentionally low</w:t>
      </w:r>
      <w:r w:rsidR="00D816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tech technique that can be employed by any app user. App annotations involve printing app screenshots and overlaying them with hand-drawn and written annotations and ephemera. These </w:t>
      </w:r>
      <w:hyperlink r:id="rId11">
        <w:r>
          <w:rPr>
            <w:rFonts w:ascii="Times New Roman" w:eastAsia="Times New Roman" w:hAnsi="Times New Roman" w:cs="Times New Roman"/>
            <w:color w:val="1155CC"/>
            <w:sz w:val="24"/>
            <w:szCs w:val="24"/>
            <w:u w:val="single"/>
          </w:rPr>
          <w:t>zine-like</w:t>
        </w:r>
      </w:hyperlink>
      <w:r>
        <w:rPr>
          <w:rFonts w:ascii="Times New Roman" w:eastAsia="Times New Roman" w:hAnsi="Times New Roman" w:cs="Times New Roman"/>
          <w:sz w:val="24"/>
          <w:szCs w:val="24"/>
        </w:rPr>
        <w:t xml:space="preserve"> annotations serve as interventions into digital space, providing a tactile and embodied perspective on using an app. </w:t>
      </w:r>
      <w:r w:rsidR="00D81642">
        <w:rPr>
          <w:rFonts w:ascii="Times New Roman" w:eastAsia="Times New Roman" w:hAnsi="Times New Roman" w:cs="Times New Roman"/>
          <w:sz w:val="24"/>
          <w:szCs w:val="24"/>
        </w:rPr>
        <w:t xml:space="preserve">They provide a way to mess-up the </w:t>
      </w:r>
      <w:proofErr w:type="gramStart"/>
      <w:r w:rsidR="00D81642">
        <w:rPr>
          <w:rFonts w:ascii="Times New Roman" w:eastAsia="Times New Roman" w:hAnsi="Times New Roman" w:cs="Times New Roman"/>
          <w:sz w:val="24"/>
          <w:szCs w:val="24"/>
        </w:rPr>
        <w:t>often one-way</w:t>
      </w:r>
      <w:proofErr w:type="gramEnd"/>
      <w:r w:rsidR="00D81642">
        <w:rPr>
          <w:rFonts w:ascii="Times New Roman" w:eastAsia="Times New Roman" w:hAnsi="Times New Roman" w:cs="Times New Roman"/>
          <w:sz w:val="24"/>
          <w:szCs w:val="24"/>
        </w:rPr>
        <w:t xml:space="preserve"> digital space of apps. </w:t>
      </w:r>
      <w:r>
        <w:rPr>
          <w:rFonts w:ascii="Times New Roman" w:eastAsia="Times New Roman" w:hAnsi="Times New Roman" w:cs="Times New Roman"/>
          <w:sz w:val="24"/>
          <w:szCs w:val="24"/>
        </w:rPr>
        <w:t>See below an example of Carly’s app annotation:</w:t>
      </w:r>
    </w:p>
    <w:p w14:paraId="687413A8" w14:textId="77777777" w:rsidR="00006B97" w:rsidRDefault="00006B97">
      <w:pPr>
        <w:pBdr>
          <w:top w:val="none" w:sz="0" w:space="0" w:color="E3E3E3"/>
          <w:left w:val="none" w:sz="0" w:space="0" w:color="E3E3E3"/>
          <w:bottom w:val="none" w:sz="0" w:space="0" w:color="E3E3E3"/>
          <w:right w:val="none" w:sz="0" w:space="0" w:color="E3E3E3"/>
          <w:between w:val="none" w:sz="0" w:space="0" w:color="E3E3E3"/>
        </w:pBdr>
        <w:spacing w:before="260" w:line="420" w:lineRule="auto"/>
        <w:rPr>
          <w:rFonts w:ascii="Times New Roman" w:eastAsia="Times New Roman" w:hAnsi="Times New Roman" w:cs="Times New Roman"/>
          <w:sz w:val="24"/>
          <w:szCs w:val="24"/>
        </w:rPr>
      </w:pPr>
    </w:p>
    <w:p w14:paraId="4823095E" w14:textId="77777777" w:rsidR="00006B97" w:rsidRDefault="00000000">
      <w:pPr>
        <w:pBdr>
          <w:top w:val="none" w:sz="0" w:space="0" w:color="E3E3E3"/>
          <w:left w:val="none" w:sz="0" w:space="0" w:color="E3E3E3"/>
          <w:bottom w:val="none" w:sz="0" w:space="0" w:color="E3E3E3"/>
          <w:right w:val="none" w:sz="0" w:space="0" w:color="E3E3E3"/>
          <w:between w:val="none" w:sz="0" w:space="0" w:color="E3E3E3"/>
        </w:pBdr>
        <w:spacing w:before="260" w:line="420" w:lineRule="auto"/>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417BF7D4" wp14:editId="4BDF5B0E">
            <wp:simplePos x="0" y="0"/>
            <wp:positionH relativeFrom="column">
              <wp:posOffset>114300</wp:posOffset>
            </wp:positionH>
            <wp:positionV relativeFrom="paragraph">
              <wp:posOffset>279400</wp:posOffset>
            </wp:positionV>
            <wp:extent cx="4510088" cy="4126877"/>
            <wp:effectExtent l="0" t="0" r="0" b="0"/>
            <wp:wrapSquare wrapText="bothSides" distT="114300" distB="114300" distL="114300" distR="114300"/>
            <wp:docPr id="2"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4510088" cy="4126877"/>
                    </a:xfrm>
                    <a:prstGeom prst="rect">
                      <a:avLst/>
                    </a:prstGeom>
                    <a:ln/>
                  </pic:spPr>
                </pic:pic>
              </a:graphicData>
            </a:graphic>
          </wp:anchor>
        </w:drawing>
      </w:r>
    </w:p>
    <w:p w14:paraId="032B463A" w14:textId="77777777" w:rsidR="00006B97" w:rsidRDefault="00006B97">
      <w:pPr>
        <w:pBdr>
          <w:top w:val="none" w:sz="0" w:space="0" w:color="E3E3E3"/>
          <w:left w:val="none" w:sz="0" w:space="0" w:color="E3E3E3"/>
          <w:bottom w:val="none" w:sz="0" w:space="0" w:color="E3E3E3"/>
          <w:right w:val="none" w:sz="0" w:space="0" w:color="E3E3E3"/>
          <w:between w:val="none" w:sz="0" w:space="0" w:color="E3E3E3"/>
        </w:pBdr>
        <w:spacing w:before="260" w:line="420" w:lineRule="auto"/>
        <w:rPr>
          <w:rFonts w:ascii="Times New Roman" w:eastAsia="Times New Roman" w:hAnsi="Times New Roman" w:cs="Times New Roman"/>
          <w:sz w:val="24"/>
          <w:szCs w:val="24"/>
        </w:rPr>
      </w:pPr>
    </w:p>
    <w:p w14:paraId="2E31C1D7" w14:textId="77777777" w:rsidR="00006B97" w:rsidRDefault="00006B97">
      <w:pPr>
        <w:pBdr>
          <w:top w:val="none" w:sz="0" w:space="0" w:color="E3E3E3"/>
          <w:left w:val="none" w:sz="0" w:space="0" w:color="E3E3E3"/>
          <w:bottom w:val="none" w:sz="0" w:space="0" w:color="E3E3E3"/>
          <w:right w:val="none" w:sz="0" w:space="0" w:color="E3E3E3"/>
          <w:between w:val="none" w:sz="0" w:space="0" w:color="E3E3E3"/>
        </w:pBdr>
        <w:spacing w:before="260" w:line="420" w:lineRule="auto"/>
        <w:rPr>
          <w:rFonts w:ascii="Times New Roman" w:eastAsia="Times New Roman" w:hAnsi="Times New Roman" w:cs="Times New Roman"/>
          <w:sz w:val="24"/>
          <w:szCs w:val="24"/>
        </w:rPr>
      </w:pPr>
    </w:p>
    <w:p w14:paraId="45E61360" w14:textId="77777777" w:rsidR="00006B97" w:rsidRDefault="00006B97">
      <w:pPr>
        <w:pBdr>
          <w:top w:val="none" w:sz="0" w:space="0" w:color="E3E3E3"/>
          <w:left w:val="none" w:sz="0" w:space="0" w:color="E3E3E3"/>
          <w:bottom w:val="none" w:sz="0" w:space="0" w:color="E3E3E3"/>
          <w:right w:val="none" w:sz="0" w:space="0" w:color="E3E3E3"/>
          <w:between w:val="none" w:sz="0" w:space="0" w:color="E3E3E3"/>
        </w:pBdr>
        <w:spacing w:before="260" w:line="420" w:lineRule="auto"/>
        <w:rPr>
          <w:rFonts w:ascii="Times New Roman" w:eastAsia="Times New Roman" w:hAnsi="Times New Roman" w:cs="Times New Roman"/>
          <w:sz w:val="24"/>
          <w:szCs w:val="24"/>
        </w:rPr>
      </w:pPr>
    </w:p>
    <w:p w14:paraId="2682122F" w14:textId="77777777" w:rsidR="00006B97" w:rsidRDefault="00006B97">
      <w:pPr>
        <w:pBdr>
          <w:top w:val="none" w:sz="0" w:space="0" w:color="E3E3E3"/>
          <w:left w:val="none" w:sz="0" w:space="0" w:color="E3E3E3"/>
          <w:bottom w:val="none" w:sz="0" w:space="0" w:color="E3E3E3"/>
          <w:right w:val="none" w:sz="0" w:space="0" w:color="E3E3E3"/>
          <w:between w:val="none" w:sz="0" w:space="0" w:color="E3E3E3"/>
        </w:pBdr>
        <w:spacing w:before="260" w:line="420" w:lineRule="auto"/>
        <w:rPr>
          <w:rFonts w:ascii="Times New Roman" w:eastAsia="Times New Roman" w:hAnsi="Times New Roman" w:cs="Times New Roman"/>
          <w:sz w:val="24"/>
          <w:szCs w:val="24"/>
        </w:rPr>
      </w:pPr>
    </w:p>
    <w:p w14:paraId="6700536A" w14:textId="77777777" w:rsidR="00006B97" w:rsidRDefault="00006B97">
      <w:pPr>
        <w:pBdr>
          <w:top w:val="none" w:sz="0" w:space="0" w:color="E3E3E3"/>
          <w:left w:val="none" w:sz="0" w:space="0" w:color="E3E3E3"/>
          <w:bottom w:val="none" w:sz="0" w:space="0" w:color="E3E3E3"/>
          <w:right w:val="none" w:sz="0" w:space="0" w:color="E3E3E3"/>
          <w:between w:val="none" w:sz="0" w:space="0" w:color="E3E3E3"/>
        </w:pBdr>
        <w:spacing w:before="260" w:line="420" w:lineRule="auto"/>
        <w:rPr>
          <w:rFonts w:ascii="Times New Roman" w:eastAsia="Times New Roman" w:hAnsi="Times New Roman" w:cs="Times New Roman"/>
          <w:sz w:val="24"/>
          <w:szCs w:val="24"/>
        </w:rPr>
      </w:pPr>
    </w:p>
    <w:p w14:paraId="128CE825" w14:textId="77777777" w:rsidR="00006B97" w:rsidRDefault="00006B97">
      <w:pPr>
        <w:pBdr>
          <w:top w:val="none" w:sz="0" w:space="0" w:color="E3E3E3"/>
          <w:left w:val="none" w:sz="0" w:space="0" w:color="E3E3E3"/>
          <w:bottom w:val="none" w:sz="0" w:space="0" w:color="E3E3E3"/>
          <w:right w:val="none" w:sz="0" w:space="0" w:color="E3E3E3"/>
          <w:between w:val="none" w:sz="0" w:space="0" w:color="E3E3E3"/>
        </w:pBdr>
        <w:spacing w:before="260" w:line="420" w:lineRule="auto"/>
        <w:rPr>
          <w:rFonts w:ascii="Times New Roman" w:eastAsia="Times New Roman" w:hAnsi="Times New Roman" w:cs="Times New Roman"/>
          <w:sz w:val="24"/>
          <w:szCs w:val="24"/>
        </w:rPr>
      </w:pPr>
    </w:p>
    <w:p w14:paraId="42B296BA" w14:textId="77777777" w:rsidR="00006B97" w:rsidRDefault="00006B97">
      <w:pPr>
        <w:pBdr>
          <w:top w:val="none" w:sz="0" w:space="0" w:color="E3E3E3"/>
          <w:left w:val="none" w:sz="0" w:space="0" w:color="E3E3E3"/>
          <w:bottom w:val="none" w:sz="0" w:space="0" w:color="E3E3E3"/>
          <w:right w:val="none" w:sz="0" w:space="0" w:color="E3E3E3"/>
          <w:between w:val="none" w:sz="0" w:space="0" w:color="E3E3E3"/>
        </w:pBdr>
        <w:spacing w:before="260" w:line="420" w:lineRule="auto"/>
        <w:rPr>
          <w:rFonts w:ascii="Times New Roman" w:eastAsia="Times New Roman" w:hAnsi="Times New Roman" w:cs="Times New Roman"/>
          <w:sz w:val="24"/>
          <w:szCs w:val="24"/>
        </w:rPr>
      </w:pPr>
    </w:p>
    <w:p w14:paraId="584D3BC1" w14:textId="77777777" w:rsidR="00006B97" w:rsidRDefault="00006B97">
      <w:pPr>
        <w:pBdr>
          <w:top w:val="none" w:sz="0" w:space="0" w:color="E3E3E3"/>
          <w:left w:val="none" w:sz="0" w:space="0" w:color="E3E3E3"/>
          <w:bottom w:val="none" w:sz="0" w:space="0" w:color="E3E3E3"/>
          <w:right w:val="none" w:sz="0" w:space="0" w:color="E3E3E3"/>
          <w:between w:val="none" w:sz="0" w:space="0" w:color="E3E3E3"/>
        </w:pBdr>
        <w:spacing w:before="260" w:line="420" w:lineRule="auto"/>
        <w:rPr>
          <w:rFonts w:ascii="Times New Roman" w:eastAsia="Times New Roman" w:hAnsi="Times New Roman" w:cs="Times New Roman"/>
          <w:sz w:val="24"/>
          <w:szCs w:val="24"/>
        </w:rPr>
      </w:pPr>
    </w:p>
    <w:p w14:paraId="25FA4151" w14:textId="77777777" w:rsidR="00006B97" w:rsidRDefault="00006B97">
      <w:pPr>
        <w:pBdr>
          <w:top w:val="none" w:sz="0" w:space="0" w:color="E3E3E3"/>
          <w:left w:val="none" w:sz="0" w:space="0" w:color="E3E3E3"/>
          <w:bottom w:val="none" w:sz="0" w:space="0" w:color="E3E3E3"/>
          <w:right w:val="none" w:sz="0" w:space="0" w:color="E3E3E3"/>
          <w:between w:val="none" w:sz="0" w:space="0" w:color="E3E3E3"/>
        </w:pBdr>
        <w:spacing w:before="260" w:line="420" w:lineRule="auto"/>
        <w:rPr>
          <w:rFonts w:ascii="Times New Roman" w:eastAsia="Times New Roman" w:hAnsi="Times New Roman" w:cs="Times New Roman"/>
          <w:sz w:val="24"/>
          <w:szCs w:val="24"/>
        </w:rPr>
      </w:pPr>
    </w:p>
    <w:p w14:paraId="0CA890FA" w14:textId="2BBA93A7" w:rsidR="00006B97" w:rsidRDefault="00000000">
      <w:pPr>
        <w:pBdr>
          <w:top w:val="none" w:sz="0" w:space="0" w:color="E3E3E3"/>
          <w:left w:val="none" w:sz="0" w:space="0" w:color="E3E3E3"/>
          <w:bottom w:val="none" w:sz="0" w:space="0" w:color="E3E3E3"/>
          <w:right w:val="none" w:sz="0" w:space="0" w:color="E3E3E3"/>
          <w:between w:val="none" w:sz="0" w:space="0" w:color="E3E3E3"/>
        </w:pBdr>
        <w:spacing w:before="260"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pregnancy apps shape our imaginations of pregnancy and loss in increasingly </w:t>
      </w:r>
      <w:hyperlink r:id="rId13">
        <w:r>
          <w:rPr>
            <w:rFonts w:ascii="Times New Roman" w:eastAsia="Times New Roman" w:hAnsi="Times New Roman" w:cs="Times New Roman"/>
            <w:color w:val="1155CC"/>
            <w:sz w:val="24"/>
            <w:szCs w:val="24"/>
            <w:u w:val="single"/>
          </w:rPr>
          <w:t>sleek and pervasive ways</w:t>
        </w:r>
      </w:hyperlink>
      <w:r>
        <w:rPr>
          <w:rFonts w:ascii="Times New Roman" w:eastAsia="Times New Roman" w:hAnsi="Times New Roman" w:cs="Times New Roman"/>
          <w:sz w:val="24"/>
          <w:szCs w:val="24"/>
        </w:rPr>
        <w:t xml:space="preserve">, we emphasise an urgent need for more critical examination of their limitations and potential negative impacts on users' reproductive journeys. Joining </w:t>
      </w:r>
      <w:hyperlink r:id="rId14">
        <w:r>
          <w:rPr>
            <w:rFonts w:ascii="Times New Roman" w:eastAsia="Times New Roman" w:hAnsi="Times New Roman" w:cs="Times New Roman"/>
            <w:color w:val="1155CC"/>
            <w:sz w:val="24"/>
            <w:szCs w:val="24"/>
            <w:u w:val="single"/>
          </w:rPr>
          <w:t>feminist calls</w:t>
        </w:r>
      </w:hyperlink>
      <w:r>
        <w:rPr>
          <w:rFonts w:ascii="Times New Roman" w:eastAsia="Times New Roman" w:hAnsi="Times New Roman" w:cs="Times New Roman"/>
          <w:sz w:val="24"/>
          <w:szCs w:val="24"/>
        </w:rPr>
        <w:t xml:space="preserve"> to deeply engage technological intimacies we suggest that more democratic and  user-centred approaches like app annotations are needed to offer counter narratives of pregnancy and loss. App annotations are one visceral way of intervening into the digital geographies of apps, providing a space to amplify user voices. These annotations can be a method for personal reflection, for sharing more widely to encourage awareness and conversations and</w:t>
      </w:r>
      <w:r w:rsidR="00D816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as was the case for u</w:t>
      </w:r>
      <w:r w:rsidR="00D81642">
        <w:rPr>
          <w:rFonts w:ascii="Times New Roman" w:eastAsia="Times New Roman" w:hAnsi="Times New Roman" w:cs="Times New Roman"/>
          <w:sz w:val="24"/>
          <w:szCs w:val="24"/>
        </w:rPr>
        <w:t>s –</w:t>
      </w:r>
      <w:r>
        <w:rPr>
          <w:rFonts w:ascii="Times New Roman" w:eastAsia="Times New Roman" w:hAnsi="Times New Roman" w:cs="Times New Roman"/>
          <w:sz w:val="24"/>
          <w:szCs w:val="24"/>
        </w:rPr>
        <w:t xml:space="preserve"> a tool for building solidarity. By way of example, Carly’s app-annotations were shared with </w:t>
      </w:r>
      <w:hyperlink r:id="rId15">
        <w:r>
          <w:rPr>
            <w:rFonts w:ascii="Times New Roman" w:eastAsia="Times New Roman" w:hAnsi="Times New Roman" w:cs="Times New Roman"/>
            <w:i/>
            <w:color w:val="1155CC"/>
            <w:sz w:val="24"/>
            <w:szCs w:val="24"/>
            <w:u w:val="single"/>
          </w:rPr>
          <w:t>Miscarriage Association</w:t>
        </w:r>
      </w:hyperlink>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 charity established by and caring for those directly impacted by loss. The charity now features her personal annotations on their website, noting that this resource is vital to opening a wider conversation about apps and how they play an oft overlooked but increasingly powerful role in fertility journeys. Here, these annotations have sparked discussion about how loss is encountered specifically in relation to and through digital spaces. We see this approach as one that might be useful in politicising other app spaces. Specifically,  these </w:t>
      </w:r>
      <w:r w:rsidR="00D81642">
        <w:rPr>
          <w:rFonts w:ascii="Times New Roman" w:eastAsia="Times New Roman" w:hAnsi="Times New Roman" w:cs="Times New Roman"/>
          <w:sz w:val="24"/>
          <w:szCs w:val="24"/>
        </w:rPr>
        <w:t>annotative practices</w:t>
      </w:r>
      <w:r>
        <w:rPr>
          <w:rFonts w:ascii="Times New Roman" w:eastAsia="Times New Roman" w:hAnsi="Times New Roman" w:cs="Times New Roman"/>
          <w:sz w:val="24"/>
          <w:szCs w:val="24"/>
        </w:rPr>
        <w:t xml:space="preserve"> bring into sharper focus how diverse communities encounter overlooked, digital </w:t>
      </w:r>
      <w:r w:rsidR="00D81642">
        <w:rPr>
          <w:rFonts w:ascii="Times New Roman" w:eastAsia="Times New Roman" w:hAnsi="Times New Roman" w:cs="Times New Roman"/>
          <w:sz w:val="24"/>
          <w:szCs w:val="24"/>
        </w:rPr>
        <w:t>realm</w:t>
      </w:r>
      <w:r>
        <w:rPr>
          <w:rFonts w:ascii="Times New Roman" w:eastAsia="Times New Roman" w:hAnsi="Times New Roman" w:cs="Times New Roman"/>
          <w:sz w:val="24"/>
          <w:szCs w:val="24"/>
        </w:rPr>
        <w:t>s. We do not consider this as a tool to simply ‘tweak’ app design, but to fundamentally undermine designer permission and thus control, empowering people to reclaim their own digital spaces and stories.</w:t>
      </w:r>
    </w:p>
    <w:p w14:paraId="39CE8469" w14:textId="77777777" w:rsidR="00006B97" w:rsidRDefault="00006B97">
      <w:pPr>
        <w:pBdr>
          <w:top w:val="none" w:sz="0" w:space="0" w:color="E3E3E3"/>
          <w:left w:val="none" w:sz="0" w:space="0" w:color="E3E3E3"/>
          <w:bottom w:val="none" w:sz="0" w:space="0" w:color="E3E3E3"/>
          <w:right w:val="none" w:sz="0" w:space="0" w:color="E3E3E3"/>
          <w:between w:val="none" w:sz="0" w:space="0" w:color="E3E3E3"/>
        </w:pBdr>
        <w:spacing w:before="260" w:line="420" w:lineRule="auto"/>
        <w:rPr>
          <w:rFonts w:ascii="Times New Roman" w:eastAsia="Times New Roman" w:hAnsi="Times New Roman" w:cs="Times New Roman"/>
          <w:sz w:val="24"/>
          <w:szCs w:val="24"/>
        </w:rPr>
      </w:pPr>
    </w:p>
    <w:p w14:paraId="42BA95D3" w14:textId="77777777" w:rsidR="00006B97" w:rsidRDefault="00000000">
      <w:pPr>
        <w:pBdr>
          <w:top w:val="none" w:sz="0" w:space="0" w:color="E3E3E3"/>
          <w:left w:val="none" w:sz="0" w:space="0" w:color="E3E3E3"/>
          <w:bottom w:val="none" w:sz="0" w:space="0" w:color="E3E3E3"/>
          <w:right w:val="none" w:sz="0" w:space="0" w:color="E3E3E3"/>
          <w:between w:val="none" w:sz="0" w:space="0" w:color="E3E3E3"/>
        </w:pBdr>
        <w:spacing w:after="260"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the Authors:</w:t>
      </w:r>
    </w:p>
    <w:p w14:paraId="0B1285CA" w14:textId="77777777" w:rsidR="00006B97" w:rsidRDefault="00000000">
      <w:pPr>
        <w:pBdr>
          <w:top w:val="none" w:sz="0" w:space="0" w:color="E3E3E3"/>
          <w:left w:val="none" w:sz="0" w:space="0" w:color="E3E3E3"/>
          <w:bottom w:val="none" w:sz="0" w:space="0" w:color="E3E3E3"/>
          <w:right w:val="none" w:sz="0" w:space="0" w:color="E3E3E3"/>
          <w:between w:val="none" w:sz="0" w:space="0" w:color="E3E3E3"/>
        </w:pBdr>
        <w:spacing w:after="260"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Carly </w:t>
      </w:r>
      <w:proofErr w:type="spellStart"/>
      <w:r>
        <w:rPr>
          <w:rFonts w:ascii="Times New Roman" w:eastAsia="Times New Roman" w:hAnsi="Times New Roman" w:cs="Times New Roman"/>
          <w:sz w:val="24"/>
          <w:szCs w:val="24"/>
        </w:rPr>
        <w:t>Bagelman</w:t>
      </w:r>
      <w:proofErr w:type="spellEnd"/>
      <w:r>
        <w:rPr>
          <w:rFonts w:ascii="Times New Roman" w:eastAsia="Times New Roman" w:hAnsi="Times New Roman" w:cs="Times New Roman"/>
          <w:sz w:val="24"/>
          <w:szCs w:val="24"/>
        </w:rPr>
        <w:t xml:space="preserve"> is a Senior Lecturer in Education at Liverpool Hope University. She is also Co-Director of the </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 xml:space="preserve"> for Education and Policy Analysis.</w:t>
      </w:r>
    </w:p>
    <w:p w14:paraId="60A34A75" w14:textId="77777777" w:rsidR="00006B97" w:rsidRDefault="00000000">
      <w:pPr>
        <w:pBdr>
          <w:top w:val="none" w:sz="0" w:space="0" w:color="E3E3E3"/>
          <w:left w:val="none" w:sz="0" w:space="0" w:color="E3E3E3"/>
          <w:bottom w:val="none" w:sz="0" w:space="0" w:color="E3E3E3"/>
          <w:right w:val="none" w:sz="0" w:space="0" w:color="E3E3E3"/>
          <w:between w:val="none" w:sz="0" w:space="0" w:color="E3E3E3"/>
        </w:pBdr>
        <w:spacing w:after="260"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Jen </w:t>
      </w:r>
      <w:proofErr w:type="spellStart"/>
      <w:r>
        <w:rPr>
          <w:rFonts w:ascii="Times New Roman" w:eastAsia="Times New Roman" w:hAnsi="Times New Roman" w:cs="Times New Roman"/>
          <w:sz w:val="24"/>
          <w:szCs w:val="24"/>
        </w:rPr>
        <w:t>Bagelman</w:t>
      </w:r>
      <w:proofErr w:type="spellEnd"/>
      <w:r>
        <w:rPr>
          <w:rFonts w:ascii="Times New Roman" w:eastAsia="Times New Roman" w:hAnsi="Times New Roman" w:cs="Times New Roman"/>
          <w:sz w:val="24"/>
          <w:szCs w:val="24"/>
        </w:rPr>
        <w:t xml:space="preserve"> is a Professor in Geography at Newcastle University and Deputy Director of the Institute for Social Science.</w:t>
      </w:r>
    </w:p>
    <w:p w14:paraId="736C4D8E" w14:textId="77777777" w:rsidR="00006B97" w:rsidRDefault="00000000">
      <w:pPr>
        <w:pBdr>
          <w:top w:val="none" w:sz="0" w:space="0" w:color="E3E3E3"/>
          <w:left w:val="none" w:sz="0" w:space="0" w:color="E3E3E3"/>
          <w:bottom w:val="none" w:sz="0" w:space="0" w:color="E3E3E3"/>
          <w:right w:val="none" w:sz="0" w:space="0" w:color="E3E3E3"/>
          <w:between w:val="none" w:sz="0" w:space="0" w:color="E3E3E3"/>
        </w:pBdr>
        <w:spacing w:after="260"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Suggested Further Readings:</w:t>
      </w:r>
    </w:p>
    <w:p w14:paraId="1CE845BC" w14:textId="77777777" w:rsidR="00006B9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Clark-Parsons, R. (2017). Feminist ephemera in a digital world: Theorizing zines as networked </w:t>
      </w:r>
      <w:proofErr w:type="spellStart"/>
      <w:r>
        <w:rPr>
          <w:rFonts w:ascii="Times New Roman" w:eastAsia="Times New Roman" w:hAnsi="Times New Roman" w:cs="Times New Roman"/>
          <w:sz w:val="24"/>
          <w:szCs w:val="24"/>
        </w:rPr>
        <w:t>eminist</w:t>
      </w:r>
      <w:proofErr w:type="spellEnd"/>
      <w:r>
        <w:rPr>
          <w:rFonts w:ascii="Times New Roman" w:eastAsia="Times New Roman" w:hAnsi="Times New Roman" w:cs="Times New Roman"/>
          <w:sz w:val="24"/>
          <w:szCs w:val="24"/>
        </w:rPr>
        <w:t xml:space="preserve"> practice. </w:t>
      </w:r>
      <w:r>
        <w:rPr>
          <w:rFonts w:ascii="Times New Roman" w:eastAsia="Times New Roman" w:hAnsi="Times New Roman" w:cs="Times New Roman"/>
          <w:i/>
          <w:sz w:val="24"/>
          <w:szCs w:val="24"/>
        </w:rPr>
        <w:t>Communication, Culture &amp; Critique</w:t>
      </w:r>
      <w:r>
        <w:rPr>
          <w:rFonts w:ascii="Times New Roman" w:eastAsia="Times New Roman" w:hAnsi="Times New Roman" w:cs="Times New Roman"/>
          <w:sz w:val="24"/>
          <w:szCs w:val="24"/>
        </w:rPr>
        <w:t xml:space="preserve">, 10(4), 557-573. Available from: </w:t>
      </w:r>
      <w:hyperlink r:id="rId16">
        <w:r>
          <w:rPr>
            <w:rFonts w:ascii="Times New Roman" w:eastAsia="Times New Roman" w:hAnsi="Times New Roman" w:cs="Times New Roman"/>
            <w:sz w:val="24"/>
            <w:szCs w:val="24"/>
            <w:u w:val="single"/>
          </w:rPr>
          <w:t>https://doi.org/10.1111/cccr.12172 </w:t>
        </w:r>
      </w:hyperlink>
    </w:p>
    <w:p w14:paraId="15C80E99" w14:textId="77777777" w:rsidR="00006B97" w:rsidRDefault="00006B97">
      <w:pPr>
        <w:rPr>
          <w:rFonts w:ascii="Times New Roman" w:eastAsia="Times New Roman" w:hAnsi="Times New Roman" w:cs="Times New Roman"/>
          <w:sz w:val="24"/>
          <w:szCs w:val="24"/>
        </w:rPr>
      </w:pPr>
    </w:p>
    <w:p w14:paraId="36E4BA21" w14:textId="77777777" w:rsidR="00006B97" w:rsidRDefault="00000000">
      <w:pPr>
        <w:rPr>
          <w:rFonts w:ascii="Times New Roman" w:eastAsia="Times New Roman" w:hAnsi="Times New Roman" w:cs="Times New Roman"/>
          <w:i/>
          <w:sz w:val="24"/>
          <w:szCs w:val="24"/>
        </w:rPr>
      </w:pPr>
      <w:r>
        <w:rPr>
          <w:rFonts w:ascii="Times New Roman" w:eastAsia="Times New Roman" w:hAnsi="Times New Roman" w:cs="Times New Roman"/>
          <w:sz w:val="24"/>
          <w:szCs w:val="24"/>
        </w:rPr>
        <w:t>Healy, R. L. (2021). Zuckerberg, get out of my uterus! An examination of fertility apps, data-sharing and remaking the female body. </w:t>
      </w:r>
      <w:r>
        <w:rPr>
          <w:rFonts w:ascii="Times New Roman" w:eastAsia="Times New Roman" w:hAnsi="Times New Roman" w:cs="Times New Roman"/>
          <w:i/>
          <w:sz w:val="24"/>
          <w:szCs w:val="24"/>
        </w:rPr>
        <w:t>Journal of Gender Studies</w:t>
      </w:r>
      <w:r>
        <w:rPr>
          <w:rFonts w:ascii="Times New Roman" w:eastAsia="Times New Roman" w:hAnsi="Times New Roman" w:cs="Times New Roman"/>
          <w:sz w:val="24"/>
          <w:szCs w:val="24"/>
        </w:rPr>
        <w:t>, 30(4), 406-416. Available from:</w:t>
      </w:r>
      <w:r>
        <w:rPr>
          <w:rFonts w:ascii="Times New Roman" w:eastAsia="Times New Roman" w:hAnsi="Times New Roman" w:cs="Times New Roman"/>
          <w:i/>
          <w:sz w:val="24"/>
          <w:szCs w:val="24"/>
        </w:rPr>
        <w:t xml:space="preserve"> </w:t>
      </w:r>
      <w:hyperlink r:id="rId17">
        <w:r>
          <w:rPr>
            <w:rFonts w:ascii="Times New Roman" w:eastAsia="Times New Roman" w:hAnsi="Times New Roman" w:cs="Times New Roman"/>
            <w:sz w:val="24"/>
            <w:szCs w:val="24"/>
            <w:u w:val="single"/>
          </w:rPr>
          <w:t>https://doi.org/10.1080/09589236.2020.1845628 </w:t>
        </w:r>
      </w:hyperlink>
    </w:p>
    <w:p w14:paraId="7FC566D1" w14:textId="77777777" w:rsidR="00006B97" w:rsidRDefault="00006B97">
      <w:pPr>
        <w:rPr>
          <w:rFonts w:ascii="Times New Roman" w:eastAsia="Times New Roman" w:hAnsi="Times New Roman" w:cs="Times New Roman"/>
          <w:sz w:val="24"/>
          <w:szCs w:val="24"/>
        </w:rPr>
      </w:pPr>
    </w:p>
    <w:p w14:paraId="5306502B" w14:textId="77777777" w:rsidR="00006B9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Hamper, J., &amp; Nash, C. (2021). Bonding work: Spacing relations through pregnancy apps. </w:t>
      </w:r>
      <w:r>
        <w:rPr>
          <w:rFonts w:ascii="Times New Roman" w:eastAsia="Times New Roman" w:hAnsi="Times New Roman" w:cs="Times New Roman"/>
          <w:i/>
          <w:sz w:val="24"/>
          <w:szCs w:val="24"/>
        </w:rPr>
        <w:t>Transactions of the Institute of British Geographers</w:t>
      </w:r>
      <w:r>
        <w:rPr>
          <w:rFonts w:ascii="Times New Roman" w:eastAsia="Times New Roman" w:hAnsi="Times New Roman" w:cs="Times New Roman"/>
          <w:sz w:val="24"/>
          <w:szCs w:val="24"/>
        </w:rPr>
        <w:t xml:space="preserve">, 46(3), 584-597. Available from: </w:t>
      </w:r>
      <w:hyperlink r:id="rId18">
        <w:r>
          <w:rPr>
            <w:rFonts w:ascii="Times New Roman" w:eastAsia="Times New Roman" w:hAnsi="Times New Roman" w:cs="Times New Roman"/>
            <w:sz w:val="24"/>
            <w:szCs w:val="24"/>
            <w:u w:val="single"/>
          </w:rPr>
          <w:t>https://doi.org/10.1111/tran.12446 </w:t>
        </w:r>
      </w:hyperlink>
    </w:p>
    <w:p w14:paraId="343E5F5C" w14:textId="77777777" w:rsidR="00006B97" w:rsidRDefault="00006B97">
      <w:pPr>
        <w:spacing w:line="297" w:lineRule="auto"/>
        <w:rPr>
          <w:rFonts w:ascii="Times New Roman" w:eastAsia="Times New Roman" w:hAnsi="Times New Roman" w:cs="Times New Roman"/>
          <w:sz w:val="24"/>
          <w:szCs w:val="24"/>
        </w:rPr>
      </w:pPr>
    </w:p>
    <w:p w14:paraId="57DD08D0" w14:textId="77777777" w:rsidR="00006B97"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McNiven, A. (2016). Pregnancy loss, skin-based body modifications and agency. </w:t>
      </w:r>
      <w:r>
        <w:rPr>
          <w:rFonts w:ascii="Times New Roman" w:eastAsia="Times New Roman" w:hAnsi="Times New Roman" w:cs="Times New Roman"/>
          <w:i/>
          <w:sz w:val="24"/>
          <w:szCs w:val="24"/>
        </w:rPr>
        <w:t>Women: A Cultural Review</w:t>
      </w:r>
      <w:r>
        <w:rPr>
          <w:rFonts w:ascii="Times New Roman" w:eastAsia="Times New Roman" w:hAnsi="Times New Roman" w:cs="Times New Roman"/>
          <w:sz w:val="24"/>
          <w:szCs w:val="24"/>
        </w:rPr>
        <w:t xml:space="preserve">, 27(2), 202-219. Available from: </w:t>
      </w:r>
      <w:hyperlink r:id="rId19">
        <w:r>
          <w:rPr>
            <w:rFonts w:ascii="Times New Roman" w:eastAsia="Times New Roman" w:hAnsi="Times New Roman" w:cs="Times New Roman"/>
            <w:sz w:val="24"/>
            <w:szCs w:val="24"/>
            <w:u w:val="single"/>
          </w:rPr>
          <w:t>https://doi.org/10.1080/09574042.2016.1227152 </w:t>
        </w:r>
      </w:hyperlink>
    </w:p>
    <w:p w14:paraId="55A7FCD6" w14:textId="77777777" w:rsidR="00006B97" w:rsidRDefault="00006B97">
      <w:pPr>
        <w:spacing w:line="297" w:lineRule="auto"/>
        <w:rPr>
          <w:rFonts w:ascii="Times New Roman" w:eastAsia="Times New Roman" w:hAnsi="Times New Roman" w:cs="Times New Roman"/>
          <w:sz w:val="24"/>
          <w:szCs w:val="24"/>
        </w:rPr>
      </w:pPr>
    </w:p>
    <w:p w14:paraId="289B7F73" w14:textId="77777777" w:rsidR="00006B97" w:rsidRDefault="00000000">
      <w:pPr>
        <w:spacing w:line="297"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Scuro</w:t>
      </w:r>
      <w:proofErr w:type="spellEnd"/>
      <w:r>
        <w:rPr>
          <w:rFonts w:ascii="Times New Roman" w:eastAsia="Times New Roman" w:hAnsi="Times New Roman" w:cs="Times New Roman"/>
          <w:sz w:val="24"/>
          <w:szCs w:val="24"/>
        </w:rPr>
        <w:t>, J. (2017). </w:t>
      </w:r>
      <w:r>
        <w:rPr>
          <w:rFonts w:ascii="Times New Roman" w:eastAsia="Times New Roman" w:hAnsi="Times New Roman" w:cs="Times New Roman"/>
          <w:i/>
          <w:sz w:val="24"/>
          <w:szCs w:val="24"/>
        </w:rPr>
        <w:t>The pregnancy [does-not-equal] childbearing project: A phenomenology of miscarriage</w:t>
      </w:r>
      <w:r>
        <w:rPr>
          <w:rFonts w:ascii="Times New Roman" w:eastAsia="Times New Roman" w:hAnsi="Times New Roman" w:cs="Times New Roman"/>
          <w:sz w:val="24"/>
          <w:szCs w:val="24"/>
        </w:rPr>
        <w:t xml:space="preserve">. London: Rowman &amp; Littlefield. Available </w:t>
      </w:r>
      <w:proofErr w:type="spellStart"/>
      <w:r>
        <w:rPr>
          <w:rFonts w:ascii="Times New Roman" w:eastAsia="Times New Roman" w:hAnsi="Times New Roman" w:cs="Times New Roman"/>
          <w:sz w:val="24"/>
          <w:szCs w:val="24"/>
        </w:rPr>
        <w:t>from:</w:t>
      </w:r>
      <w:hyperlink r:id="rId20">
        <w:r>
          <w:rPr>
            <w:rFonts w:ascii="Times New Roman" w:eastAsia="Times New Roman" w:hAnsi="Times New Roman" w:cs="Times New Roman"/>
            <w:sz w:val="24"/>
            <w:szCs w:val="24"/>
            <w:u w:val="single"/>
          </w:rPr>
          <w:t>https</w:t>
        </w:r>
        <w:proofErr w:type="spellEnd"/>
        <w:r>
          <w:rPr>
            <w:rFonts w:ascii="Times New Roman" w:eastAsia="Times New Roman" w:hAnsi="Times New Roman" w:cs="Times New Roman"/>
            <w:sz w:val="24"/>
            <w:szCs w:val="24"/>
            <w:u w:val="single"/>
          </w:rPr>
          <w:t>://doi.org/10.1017/s2753906700002643 </w:t>
        </w:r>
      </w:hyperlink>
    </w:p>
    <w:p w14:paraId="70753338" w14:textId="77777777" w:rsidR="00006B97" w:rsidRDefault="00006B97">
      <w:pPr>
        <w:spacing w:line="297" w:lineRule="auto"/>
        <w:ind w:left="-283" w:firstLine="720"/>
        <w:rPr>
          <w:rFonts w:ascii="Times New Roman" w:eastAsia="Times New Roman" w:hAnsi="Times New Roman" w:cs="Times New Roman"/>
          <w:sz w:val="24"/>
          <w:szCs w:val="24"/>
        </w:rPr>
      </w:pPr>
    </w:p>
    <w:p w14:paraId="5B3AE061" w14:textId="77777777" w:rsidR="00006B97" w:rsidRDefault="00006B97">
      <w:pPr>
        <w:spacing w:line="297" w:lineRule="auto"/>
        <w:ind w:left="-283" w:firstLine="720"/>
        <w:rPr>
          <w:rFonts w:ascii="Times New Roman" w:eastAsia="Times New Roman" w:hAnsi="Times New Roman" w:cs="Times New Roman"/>
          <w:sz w:val="24"/>
          <w:szCs w:val="24"/>
        </w:rPr>
      </w:pPr>
    </w:p>
    <w:p w14:paraId="7CBEDEF2" w14:textId="77777777" w:rsidR="00006B97" w:rsidRDefault="00006B97">
      <w:pPr>
        <w:spacing w:line="297" w:lineRule="auto"/>
        <w:ind w:left="-283" w:firstLine="720"/>
        <w:rPr>
          <w:rFonts w:ascii="Times New Roman" w:eastAsia="Times New Roman" w:hAnsi="Times New Roman" w:cs="Times New Roman"/>
          <w:sz w:val="24"/>
          <w:szCs w:val="24"/>
        </w:rPr>
      </w:pPr>
    </w:p>
    <w:sectPr w:rsidR="00006B9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97"/>
    <w:rsid w:val="00006B97"/>
    <w:rsid w:val="00660145"/>
    <w:rsid w:val="00D81642"/>
    <w:rsid w:val="00EC0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546714"/>
  <w15:docId w15:val="{C6B09528-453A-414A-944F-A3C23F13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26B3E"/>
    <w:rPr>
      <w:sz w:val="16"/>
      <w:szCs w:val="16"/>
    </w:rPr>
  </w:style>
  <w:style w:type="paragraph" w:styleId="CommentText">
    <w:name w:val="annotation text"/>
    <w:basedOn w:val="Normal"/>
    <w:link w:val="CommentTextChar"/>
    <w:uiPriority w:val="99"/>
    <w:unhideWhenUsed/>
    <w:rsid w:val="00726B3E"/>
    <w:pPr>
      <w:spacing w:line="240" w:lineRule="auto"/>
    </w:pPr>
    <w:rPr>
      <w:sz w:val="20"/>
      <w:szCs w:val="20"/>
    </w:rPr>
  </w:style>
  <w:style w:type="character" w:customStyle="1" w:styleId="CommentTextChar">
    <w:name w:val="Comment Text Char"/>
    <w:basedOn w:val="DefaultParagraphFont"/>
    <w:link w:val="CommentText"/>
    <w:uiPriority w:val="99"/>
    <w:rsid w:val="00726B3E"/>
    <w:rPr>
      <w:sz w:val="20"/>
      <w:szCs w:val="20"/>
    </w:rPr>
  </w:style>
  <w:style w:type="paragraph" w:styleId="CommentSubject">
    <w:name w:val="annotation subject"/>
    <w:basedOn w:val="CommentText"/>
    <w:next w:val="CommentText"/>
    <w:link w:val="CommentSubjectChar"/>
    <w:uiPriority w:val="99"/>
    <w:semiHidden/>
    <w:unhideWhenUsed/>
    <w:rsid w:val="00726B3E"/>
    <w:rPr>
      <w:b/>
      <w:bCs/>
    </w:rPr>
  </w:style>
  <w:style w:type="character" w:customStyle="1" w:styleId="CommentSubjectChar">
    <w:name w:val="Comment Subject Char"/>
    <w:basedOn w:val="CommentTextChar"/>
    <w:link w:val="CommentSubject"/>
    <w:uiPriority w:val="99"/>
    <w:semiHidden/>
    <w:rsid w:val="00726B3E"/>
    <w:rPr>
      <w:b/>
      <w:bCs/>
      <w:sz w:val="20"/>
      <w:szCs w:val="20"/>
    </w:rPr>
  </w:style>
  <w:style w:type="character" w:styleId="Hyperlink">
    <w:name w:val="Hyperlink"/>
    <w:basedOn w:val="DefaultParagraphFont"/>
    <w:uiPriority w:val="99"/>
    <w:unhideWhenUsed/>
    <w:rsid w:val="00D81642"/>
    <w:rPr>
      <w:color w:val="0000FF" w:themeColor="hyperlink"/>
      <w:u w:val="single"/>
    </w:rPr>
  </w:style>
  <w:style w:type="character" w:styleId="UnresolvedMention">
    <w:name w:val="Unresolved Mention"/>
    <w:basedOn w:val="DefaultParagraphFont"/>
    <w:uiPriority w:val="99"/>
    <w:semiHidden/>
    <w:unhideWhenUsed/>
    <w:rsid w:val="00D81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80/09574042.2016.1227152" TargetMode="External"/><Relationship Id="rId13" Type="http://schemas.openxmlformats.org/officeDocument/2006/relationships/hyperlink" Target="https://rgs-ibg.onlinelibrary.wiley.com/doi/10.1111/tran.12446" TargetMode="External"/><Relationship Id="rId18" Type="http://schemas.openxmlformats.org/officeDocument/2006/relationships/hyperlink" Target="https://doi.org/10.1111/tran.1244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andfonline.com/doi/full/10.1080/1369118X.2020.1850837" TargetMode="External"/><Relationship Id="rId12" Type="http://schemas.openxmlformats.org/officeDocument/2006/relationships/image" Target="media/image1.jpg"/><Relationship Id="rId17" Type="http://schemas.openxmlformats.org/officeDocument/2006/relationships/hyperlink" Target="https://doi.org/10.1080/09589236.2020.1845628%C2%A0" TargetMode="External"/><Relationship Id="rId2" Type="http://schemas.openxmlformats.org/officeDocument/2006/relationships/styles" Target="styles.xml"/><Relationship Id="rId16" Type="http://schemas.openxmlformats.org/officeDocument/2006/relationships/hyperlink" Target="https://doi.org/10.1111/cccr.12172%C2%A0" TargetMode="External"/><Relationship Id="rId20" Type="http://schemas.openxmlformats.org/officeDocument/2006/relationships/hyperlink" Target="https://doi.org/10.1017/s2753906700002643%C2%A0" TargetMode="External"/><Relationship Id="rId1" Type="http://schemas.openxmlformats.org/officeDocument/2006/relationships/customXml" Target="../customXml/item1.xml"/><Relationship Id="rId6" Type="http://schemas.openxmlformats.org/officeDocument/2006/relationships/hyperlink" Target="https://www.nhsinform.scot/illnesses-and-conditions/pregnancy-and-childbirth/miscarriage/" TargetMode="External"/><Relationship Id="rId11" Type="http://schemas.openxmlformats.org/officeDocument/2006/relationships/hyperlink" Target="https://www.rgs.org/research/research-publications/guides-for-researchers/all-guides-for-researchers/why-zines-plus-geography-beyond-the-academy" TargetMode="External"/><Relationship Id="rId5" Type="http://schemas.openxmlformats.org/officeDocument/2006/relationships/hyperlink" Target="https://www.ncbi.nlm.nih.gov/pmc/articles/PMC4871848/" TargetMode="External"/><Relationship Id="rId15" Type="http://schemas.openxmlformats.org/officeDocument/2006/relationships/hyperlink" Target="https://www.miscarriageassociation.org.uk/" TargetMode="External"/><Relationship Id="rId10" Type="http://schemas.openxmlformats.org/officeDocument/2006/relationships/hyperlink" Target="https://www.ucpress.edu/book/9780520307735/afterlives-of-data" TargetMode="External"/><Relationship Id="rId19" Type="http://schemas.openxmlformats.org/officeDocument/2006/relationships/hyperlink" Target="https://doi.org/10.1080/09574042.2016.1227152%C2%A0" TargetMode="External"/><Relationship Id="rId4" Type="http://schemas.openxmlformats.org/officeDocument/2006/relationships/webSettings" Target="webSettings.xml"/><Relationship Id="rId9" Type="http://schemas.openxmlformats.org/officeDocument/2006/relationships/hyperlink" Target="https://www.nngroup.com/articles/deceptive-patterns/" TargetMode="External"/><Relationship Id="rId14" Type="http://schemas.openxmlformats.org/officeDocument/2006/relationships/hyperlink" Target="https://doi.org/10.1177/030913251989973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6WKR8dkrwchDDDHC+l2bc4ND8Q==">CgMxLjA4AHIhMUVYVkhQbVFtQV8yMDZ4SnNJVUdnV2Fjb2M2cHZBMDhT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Lawrence</dc:creator>
  <cp:lastModifiedBy>Jen Bagelman</cp:lastModifiedBy>
  <cp:revision>2</cp:revision>
  <dcterms:created xsi:type="dcterms:W3CDTF">2024-04-08T07:38:00Z</dcterms:created>
  <dcterms:modified xsi:type="dcterms:W3CDTF">2024-04-08T07:38:00Z</dcterms:modified>
</cp:coreProperties>
</file>