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91C49" w:rsidRPr="00B91C49" w:rsidRDefault="00B91C49" w:rsidP="00B91C49">
      <w:pPr>
        <w:jc w:val="both"/>
        <w:rPr>
          <w:b/>
          <w:sz w:val="40"/>
          <w:szCs w:val="40"/>
        </w:rPr>
      </w:pPr>
      <w:r w:rsidRPr="00B91C49">
        <w:rPr>
          <w:b/>
          <w:sz w:val="40"/>
          <w:szCs w:val="40"/>
        </w:rPr>
        <w:t>“This inmate declined to make a last statement”:</w:t>
      </w:r>
    </w:p>
    <w:p w:rsidR="00B91C49" w:rsidRPr="00B91C49" w:rsidRDefault="00B91C49" w:rsidP="00B91C49">
      <w:pPr>
        <w:jc w:val="both"/>
        <w:rPr>
          <w:b/>
          <w:sz w:val="40"/>
          <w:szCs w:val="40"/>
        </w:rPr>
      </w:pPr>
      <w:r w:rsidRPr="00B91C49">
        <w:rPr>
          <w:b/>
          <w:sz w:val="40"/>
          <w:szCs w:val="40"/>
        </w:rPr>
        <w:t>A Quantitative Exploration of the Determinants of Inmate Execution Final Statements in Texas, 1982-2022</w:t>
      </w:r>
    </w:p>
    <w:p w:rsidR="00136EC0" w:rsidRDefault="00136EC0">
      <w:pPr>
        <w:jc w:val="both"/>
        <w:rPr>
          <w:b/>
          <w:sz w:val="28"/>
          <w:szCs w:val="28"/>
        </w:rPr>
      </w:pPr>
    </w:p>
    <w:tbl>
      <w:tblPr>
        <w:tblStyle w:val="TableGrid"/>
        <w:tblW w:w="7938" w:type="dxa"/>
        <w:tblInd w:w="113" w:type="dxa"/>
        <w:tblBorders>
          <w:top w:val="none" w:sz="0" w:space="0" w:color="auto"/>
          <w:left w:val="none" w:sz="0" w:space="0" w:color="auto"/>
          <w:bottom w:val="none" w:sz="0" w:space="0" w:color="auto"/>
          <w:right w:val="none" w:sz="0" w:space="0" w:color="auto"/>
          <w:insideH w:val="none" w:sz="0" w:space="0" w:color="auto"/>
        </w:tblBorders>
        <w:shd w:val="clear" w:color="auto" w:fill="EFF9FF"/>
        <w:tblLook w:val="04A0" w:firstRow="1" w:lastRow="0" w:firstColumn="1" w:lastColumn="0" w:noHBand="0" w:noVBand="1"/>
      </w:tblPr>
      <w:tblGrid>
        <w:gridCol w:w="7938"/>
      </w:tblGrid>
      <w:tr w:rsidR="00B91C49" w:rsidRPr="00AB7344" w:rsidTr="000B6441">
        <w:tc>
          <w:tcPr>
            <w:tcW w:w="7938" w:type="dxa"/>
            <w:shd w:val="clear" w:color="auto" w:fill="F0FAFF"/>
          </w:tcPr>
          <w:p w:rsidR="00B91C49" w:rsidRPr="00AB7344" w:rsidRDefault="00B91C49" w:rsidP="000B6441">
            <w:pPr>
              <w:pStyle w:val="zet"/>
              <w:ind w:firstLine="0"/>
              <w:rPr>
                <w:b/>
              </w:rPr>
            </w:pPr>
            <w:proofErr w:type="spellStart"/>
            <w:r>
              <w:rPr>
                <w:b/>
              </w:rPr>
              <w:t>Abstract</w:t>
            </w:r>
            <w:proofErr w:type="spellEnd"/>
          </w:p>
        </w:tc>
      </w:tr>
      <w:tr w:rsidR="00B91C49" w:rsidRPr="00AB7344" w:rsidTr="000B6441">
        <w:trPr>
          <w:trHeight w:hRule="exact" w:val="3708"/>
        </w:trPr>
        <w:tc>
          <w:tcPr>
            <w:tcW w:w="7938" w:type="dxa"/>
            <w:shd w:val="clear" w:color="auto" w:fill="F0FAFF"/>
          </w:tcPr>
          <w:p w:rsidR="00B91C49" w:rsidRPr="00B91C49" w:rsidRDefault="00B91C49" w:rsidP="00B91C49">
            <w:pPr>
              <w:rPr>
                <w:rFonts w:ascii="Calibri Light" w:hAnsi="Calibri Light" w:cs="Calibri Light"/>
                <w:lang w:val="en-GB"/>
              </w:rPr>
            </w:pPr>
            <w:r w:rsidRPr="00B91C49">
              <w:rPr>
                <w:rFonts w:ascii="Calibri Light" w:hAnsi="Calibri Light" w:cs="Calibri Light"/>
                <w:lang w:val="en-GB"/>
              </w:rPr>
              <w:t>The last two decades have witnessed a significant growth in the volume of academic work exploring the final statements of inmates executed in the United States of America. While this has done much to advance academic understanding of final statements, comparably little attention has been paid to the not-insignificant number of inmates who decline to speak prior to their execution. The article presents the results of a regression analysis of a 574-case data set covering all executions conducted in Texas between December 1982 and April 2022. Despite including a range of variables, analysis identified only a single significant result: the presence of victims' family and/or close friends. The significance of this finding for existing scholarship and practice is discussed, alongside possible directions for future research.</w:t>
            </w:r>
          </w:p>
          <w:p w:rsidR="00B91C49" w:rsidRPr="00F1255E" w:rsidRDefault="00B91C49" w:rsidP="000B6441">
            <w:pPr>
              <w:pStyle w:val="zet"/>
              <w:ind w:firstLine="0"/>
              <w:rPr>
                <w:rFonts w:ascii="Calibri Light" w:hAnsi="Calibri Light" w:cs="Calibri Light"/>
                <w:szCs w:val="22"/>
              </w:rPr>
            </w:pPr>
            <w:proofErr w:type="spellStart"/>
            <w:r w:rsidRPr="00F1255E">
              <w:rPr>
                <w:rFonts w:ascii="Calibri Light" w:hAnsi="Calibri Light" w:cs="Calibri Light"/>
                <w:b/>
                <w:bCs/>
                <w:szCs w:val="22"/>
              </w:rPr>
              <w:t>Keywords</w:t>
            </w:r>
            <w:proofErr w:type="spellEnd"/>
            <w:r w:rsidRPr="00F1255E">
              <w:rPr>
                <w:rFonts w:ascii="Calibri Light" w:hAnsi="Calibri Light" w:cs="Calibri Light"/>
                <w:b/>
                <w:bCs/>
                <w:szCs w:val="22"/>
              </w:rPr>
              <w:t>:</w:t>
            </w:r>
            <w:r w:rsidRPr="00F1255E">
              <w:rPr>
                <w:rFonts w:ascii="Calibri Light" w:hAnsi="Calibri Light" w:cs="Calibri Light"/>
                <w:szCs w:val="22"/>
              </w:rPr>
              <w:t xml:space="preserve"> </w:t>
            </w:r>
            <w:r w:rsidRPr="00B91C49">
              <w:rPr>
                <w:rFonts w:ascii="Calibri Light" w:hAnsi="Calibri Light" w:cs="Calibri Light"/>
                <w:szCs w:val="22"/>
                <w:lang w:val="en-GB"/>
              </w:rPr>
              <w:t>death row, Texas, capital punishment, final statements</w:t>
            </w:r>
          </w:p>
          <w:p w:rsidR="00B91C49" w:rsidRPr="00AB7344" w:rsidRDefault="00B91C49" w:rsidP="000B6441">
            <w:pPr>
              <w:pStyle w:val="zet"/>
              <w:ind w:firstLine="0"/>
              <w:rPr>
                <w:rFonts w:ascii="Calibri Light" w:hAnsi="Calibri Light" w:cs="Calibri Light"/>
                <w:szCs w:val="20"/>
              </w:rPr>
            </w:pPr>
          </w:p>
        </w:tc>
      </w:tr>
    </w:tbl>
    <w:p w:rsidR="00B91C49" w:rsidRDefault="00B91C49" w:rsidP="00B91C49">
      <w:pPr>
        <w:pBdr>
          <w:top w:val="nil"/>
          <w:left w:val="nil"/>
          <w:bottom w:val="nil"/>
          <w:right w:val="nil"/>
          <w:between w:val="nil"/>
        </w:pBdr>
        <w:jc w:val="both"/>
      </w:pPr>
      <w:r>
        <w:t xml:space="preserve">John Walliss is a Senior Lecturer in Criminology in the School of Law and Criminology at Liverpool Hope University, UK. </w:t>
      </w:r>
    </w:p>
    <w:p w:rsidR="00B91C49" w:rsidRDefault="00B91C49" w:rsidP="00B91C49">
      <w:pPr>
        <w:pBdr>
          <w:top w:val="nil"/>
          <w:left w:val="nil"/>
          <w:bottom w:val="nil"/>
          <w:right w:val="nil"/>
          <w:between w:val="nil"/>
        </w:pBdr>
        <w:jc w:val="both"/>
      </w:pPr>
    </w:p>
    <w:p w:rsidR="00B91C49" w:rsidRDefault="00B91C49" w:rsidP="00B91C49">
      <w:pPr>
        <w:pBdr>
          <w:top w:val="nil"/>
          <w:left w:val="nil"/>
          <w:bottom w:val="nil"/>
          <w:right w:val="nil"/>
          <w:between w:val="nil"/>
        </w:pBdr>
        <w:jc w:val="both"/>
        <w:rPr>
          <w:b/>
          <w:sz w:val="28"/>
          <w:szCs w:val="28"/>
        </w:rPr>
      </w:pPr>
      <w:r>
        <w:t>Mark Littler is Professor of Criminology in the School of Law and Criminology at the University of Greenwich, UK</w:t>
      </w:r>
    </w:p>
    <w:p w:rsidR="00B91C49" w:rsidRDefault="00B91C49">
      <w:pPr>
        <w:jc w:val="both"/>
        <w:rPr>
          <w:b/>
          <w:sz w:val="28"/>
          <w:szCs w:val="28"/>
        </w:rPr>
      </w:pPr>
    </w:p>
    <w:p w:rsidR="00136EC0" w:rsidRDefault="00136EC0">
      <w:pPr>
        <w:jc w:val="both"/>
        <w:rPr>
          <w:b/>
          <w:sz w:val="28"/>
          <w:szCs w:val="28"/>
        </w:rPr>
      </w:pPr>
    </w:p>
    <w:p w:rsidR="00136EC0" w:rsidRDefault="00136EC0">
      <w:pPr>
        <w:jc w:val="center"/>
        <w:rPr>
          <w:b/>
          <w:sz w:val="28"/>
          <w:szCs w:val="28"/>
        </w:rPr>
      </w:pPr>
    </w:p>
    <w:p w:rsidR="00136EC0" w:rsidRDefault="00000000">
      <w:pPr>
        <w:jc w:val="center"/>
        <w:rPr>
          <w:b/>
          <w:sz w:val="28"/>
          <w:szCs w:val="28"/>
        </w:rPr>
      </w:pPr>
      <w:r>
        <w:br w:type="page"/>
      </w:r>
    </w:p>
    <w:p w:rsidR="00136EC0" w:rsidRPr="00B91C49" w:rsidRDefault="00000000" w:rsidP="00B91C49">
      <w:pPr>
        <w:spacing w:line="360" w:lineRule="auto"/>
        <w:jc w:val="center"/>
        <w:rPr>
          <w:rFonts w:asciiTheme="minorHAnsi" w:hAnsiTheme="minorHAnsi" w:cstheme="minorHAnsi"/>
          <w:b/>
          <w:sz w:val="22"/>
          <w:szCs w:val="22"/>
        </w:rPr>
      </w:pPr>
      <w:r w:rsidRPr="00B91C49">
        <w:rPr>
          <w:rFonts w:asciiTheme="minorHAnsi" w:hAnsiTheme="minorHAnsi" w:cstheme="minorHAnsi"/>
          <w:b/>
          <w:sz w:val="22"/>
          <w:szCs w:val="22"/>
        </w:rPr>
        <w:lastRenderedPageBreak/>
        <w:t>Introduction</w:t>
      </w:r>
    </w:p>
    <w:p w:rsidR="00136EC0" w:rsidRPr="00B91C49" w:rsidRDefault="00000000" w:rsidP="00B91C49">
      <w:pPr>
        <w:spacing w:line="360" w:lineRule="auto"/>
        <w:jc w:val="both"/>
        <w:rPr>
          <w:rFonts w:asciiTheme="minorHAnsi" w:hAnsiTheme="minorHAnsi" w:cstheme="minorHAnsi"/>
          <w:color w:val="000000"/>
          <w:sz w:val="22"/>
          <w:szCs w:val="22"/>
        </w:rPr>
      </w:pPr>
      <w:r w:rsidRPr="00B91C49">
        <w:rPr>
          <w:rFonts w:asciiTheme="minorHAnsi" w:hAnsiTheme="minorHAnsi" w:cstheme="minorHAnsi"/>
          <w:sz w:val="22"/>
          <w:szCs w:val="22"/>
        </w:rPr>
        <w:t xml:space="preserve">The last two decades have witnessed a significant growth in the volume of academic work exploring the final statements of inmates executed in the United States of America. Focusing mainly on the state of Texas, this research has covered topics including the themes and psychological constructs found in last statements </w:t>
      </w:r>
      <w:r w:rsidRPr="00B91C49">
        <w:rPr>
          <w:rFonts w:asciiTheme="minorHAnsi" w:hAnsiTheme="minorHAnsi" w:cstheme="minorHAnsi"/>
          <w:color w:val="000000"/>
          <w:sz w:val="22"/>
          <w:szCs w:val="22"/>
        </w:rPr>
        <w:t>(</w:t>
      </w:r>
      <w:proofErr w:type="spellStart"/>
      <w:r w:rsidRPr="00B91C49">
        <w:rPr>
          <w:rFonts w:asciiTheme="minorHAnsi" w:hAnsiTheme="minorHAnsi" w:cstheme="minorHAnsi"/>
          <w:color w:val="000000"/>
          <w:sz w:val="22"/>
          <w:szCs w:val="22"/>
        </w:rPr>
        <w:t>Heflick</w:t>
      </w:r>
      <w:proofErr w:type="spellEnd"/>
      <w:r w:rsidRPr="00B91C49">
        <w:rPr>
          <w:rFonts w:asciiTheme="minorHAnsi" w:hAnsiTheme="minorHAnsi" w:cstheme="minorHAnsi"/>
          <w:color w:val="000000"/>
          <w:sz w:val="22"/>
          <w:szCs w:val="22"/>
        </w:rPr>
        <w:t xml:space="preserve">, 2005; Schuck &amp; Ward, 2008; Vollum, 2008; Vollum &amp; Longmire 2009; Ross Meyer, 2011; Upton et al, 2017; Foley &amp; Kelly, 2007; Kelly &amp; Foley, 2013, Foley &amp; Kelly, 2018; Kelly &amp; </w:t>
      </w:r>
      <w:proofErr w:type="spellStart"/>
      <w:r w:rsidRPr="00B91C49">
        <w:rPr>
          <w:rFonts w:asciiTheme="minorHAnsi" w:hAnsiTheme="minorHAnsi" w:cstheme="minorHAnsi"/>
          <w:color w:val="000000"/>
          <w:sz w:val="22"/>
          <w:szCs w:val="22"/>
        </w:rPr>
        <w:t>Folley</w:t>
      </w:r>
      <w:proofErr w:type="spellEnd"/>
      <w:r w:rsidRPr="00B91C49">
        <w:rPr>
          <w:rFonts w:asciiTheme="minorHAnsi" w:hAnsiTheme="minorHAnsi" w:cstheme="minorHAnsi"/>
          <w:color w:val="000000"/>
          <w:sz w:val="22"/>
          <w:szCs w:val="22"/>
        </w:rPr>
        <w:t>, 2018;</w:t>
      </w:r>
      <w:r w:rsidRPr="00B91C49">
        <w:rPr>
          <w:rFonts w:asciiTheme="minorHAnsi" w:hAnsiTheme="minorHAnsi" w:cstheme="minorHAnsi"/>
          <w:sz w:val="22"/>
          <w:szCs w:val="22"/>
        </w:rPr>
        <w:t xml:space="preserve"> </w:t>
      </w:r>
      <w:r w:rsidRPr="00B91C49">
        <w:rPr>
          <w:rFonts w:asciiTheme="minorHAnsi" w:hAnsiTheme="minorHAnsi" w:cstheme="minorHAnsi"/>
          <w:color w:val="000000"/>
          <w:sz w:val="22"/>
          <w:szCs w:val="22"/>
        </w:rPr>
        <w:t xml:space="preserve">James, 2022), patterns of apology and repentance (Vollum, 2008; Eaton &amp; </w:t>
      </w:r>
      <w:proofErr w:type="spellStart"/>
      <w:r w:rsidRPr="00B91C49">
        <w:rPr>
          <w:rFonts w:asciiTheme="minorHAnsi" w:hAnsiTheme="minorHAnsi" w:cstheme="minorHAnsi"/>
          <w:color w:val="000000"/>
          <w:sz w:val="22"/>
          <w:szCs w:val="22"/>
        </w:rPr>
        <w:t>Theuer</w:t>
      </w:r>
      <w:proofErr w:type="spellEnd"/>
      <w:r w:rsidRPr="00B91C49">
        <w:rPr>
          <w:rFonts w:asciiTheme="minorHAnsi" w:hAnsiTheme="minorHAnsi" w:cstheme="minorHAnsi"/>
          <w:color w:val="000000"/>
          <w:sz w:val="22"/>
          <w:szCs w:val="22"/>
        </w:rPr>
        <w:t xml:space="preserve">, 2009; Rice at </w:t>
      </w:r>
      <w:proofErr w:type="spellStart"/>
      <w:r w:rsidRPr="00B91C49">
        <w:rPr>
          <w:rFonts w:asciiTheme="minorHAnsi" w:hAnsiTheme="minorHAnsi" w:cstheme="minorHAnsi"/>
          <w:color w:val="000000"/>
          <w:sz w:val="22"/>
          <w:szCs w:val="22"/>
        </w:rPr>
        <w:t>al</w:t>
      </w:r>
      <w:proofErr w:type="spellEnd"/>
      <w:r w:rsidRPr="00B91C49">
        <w:rPr>
          <w:rFonts w:asciiTheme="minorHAnsi" w:hAnsiTheme="minorHAnsi" w:cstheme="minorHAnsi"/>
          <w:color w:val="000000"/>
          <w:sz w:val="22"/>
          <w:szCs w:val="22"/>
        </w:rPr>
        <w:t xml:space="preserve">, 2009; Cooney &amp; Philips, 2013; Eaton, 2014), </w:t>
      </w:r>
      <w:r w:rsidRPr="00B91C49">
        <w:rPr>
          <w:rFonts w:asciiTheme="minorHAnsi" w:hAnsiTheme="minorHAnsi" w:cstheme="minorHAnsi"/>
          <w:sz w:val="22"/>
          <w:szCs w:val="22"/>
        </w:rPr>
        <w:t>the communication of</w:t>
      </w:r>
      <w:r w:rsidRPr="00B91C49">
        <w:rPr>
          <w:rFonts w:asciiTheme="minorHAnsi" w:hAnsiTheme="minorHAnsi" w:cstheme="minorHAnsi"/>
          <w:color w:val="000000"/>
          <w:sz w:val="22"/>
          <w:szCs w:val="22"/>
        </w:rPr>
        <w:t xml:space="preserve"> defiance (James, 2022)</w:t>
      </w:r>
      <w:r w:rsidRPr="00B91C49">
        <w:rPr>
          <w:rFonts w:asciiTheme="minorHAnsi" w:hAnsiTheme="minorHAnsi" w:cstheme="minorHAnsi"/>
          <w:sz w:val="22"/>
          <w:szCs w:val="22"/>
        </w:rPr>
        <w:t>,</w:t>
      </w:r>
      <w:r w:rsidRPr="00B91C49">
        <w:rPr>
          <w:rFonts w:asciiTheme="minorHAnsi" w:hAnsiTheme="minorHAnsi" w:cstheme="minorHAnsi"/>
          <w:color w:val="000000"/>
          <w:sz w:val="22"/>
          <w:szCs w:val="22"/>
        </w:rPr>
        <w:t xml:space="preserve"> and the use of positive emotional language (Lester &amp; Gunn, 2013; </w:t>
      </w:r>
      <w:proofErr w:type="spellStart"/>
      <w:r w:rsidRPr="00B91C49">
        <w:rPr>
          <w:rFonts w:asciiTheme="minorHAnsi" w:hAnsiTheme="minorHAnsi" w:cstheme="minorHAnsi"/>
          <w:color w:val="000000"/>
          <w:sz w:val="22"/>
          <w:szCs w:val="22"/>
        </w:rPr>
        <w:t>Hirschmuller</w:t>
      </w:r>
      <w:proofErr w:type="spellEnd"/>
      <w:r w:rsidRPr="00B91C49">
        <w:rPr>
          <w:rFonts w:asciiTheme="minorHAnsi" w:hAnsiTheme="minorHAnsi" w:cstheme="minorHAnsi"/>
          <w:color w:val="000000"/>
          <w:sz w:val="22"/>
          <w:szCs w:val="22"/>
        </w:rPr>
        <w:t xml:space="preserve"> &amp; </w:t>
      </w:r>
      <w:proofErr w:type="spellStart"/>
      <w:r w:rsidRPr="00B91C49">
        <w:rPr>
          <w:rFonts w:asciiTheme="minorHAnsi" w:hAnsiTheme="minorHAnsi" w:cstheme="minorHAnsi"/>
          <w:color w:val="000000"/>
          <w:sz w:val="22"/>
          <w:szCs w:val="22"/>
        </w:rPr>
        <w:t>Egloff</w:t>
      </w:r>
      <w:proofErr w:type="spellEnd"/>
      <w:r w:rsidRPr="00B91C49">
        <w:rPr>
          <w:rFonts w:asciiTheme="minorHAnsi" w:hAnsiTheme="minorHAnsi" w:cstheme="minorHAnsi"/>
          <w:color w:val="000000"/>
          <w:sz w:val="22"/>
          <w:szCs w:val="22"/>
        </w:rPr>
        <w:t xml:space="preserve">, 2016; </w:t>
      </w:r>
      <w:proofErr w:type="spellStart"/>
      <w:r w:rsidRPr="00B91C49">
        <w:rPr>
          <w:rFonts w:asciiTheme="minorHAnsi" w:hAnsiTheme="minorHAnsi" w:cstheme="minorHAnsi"/>
          <w:color w:val="000000"/>
          <w:sz w:val="22"/>
          <w:szCs w:val="22"/>
        </w:rPr>
        <w:t>Goranson</w:t>
      </w:r>
      <w:proofErr w:type="spellEnd"/>
      <w:r w:rsidRPr="00B91C49">
        <w:rPr>
          <w:rFonts w:asciiTheme="minorHAnsi" w:hAnsiTheme="minorHAnsi" w:cstheme="minorHAnsi"/>
          <w:color w:val="000000"/>
          <w:sz w:val="22"/>
          <w:szCs w:val="22"/>
        </w:rPr>
        <w:t xml:space="preserve"> et al, 2017</w:t>
      </w:r>
      <w:r w:rsidRPr="00B91C49">
        <w:rPr>
          <w:rFonts w:asciiTheme="minorHAnsi" w:hAnsiTheme="minorHAnsi" w:cstheme="minorHAnsi"/>
          <w:sz w:val="22"/>
          <w:szCs w:val="22"/>
        </w:rPr>
        <w:t xml:space="preserve">; </w:t>
      </w:r>
      <w:r w:rsidRPr="00B91C49">
        <w:rPr>
          <w:rFonts w:asciiTheme="minorHAnsi" w:hAnsiTheme="minorHAnsi" w:cstheme="minorHAnsi"/>
          <w:color w:val="000000"/>
          <w:sz w:val="22"/>
          <w:szCs w:val="22"/>
        </w:rPr>
        <w:t xml:space="preserve">for a recent review of this literature, see Walliss, </w:t>
      </w:r>
      <w:r w:rsidRPr="00B91C49">
        <w:rPr>
          <w:rFonts w:asciiTheme="minorHAnsi" w:hAnsiTheme="minorHAnsi" w:cstheme="minorHAnsi"/>
          <w:sz w:val="22"/>
          <w:szCs w:val="22"/>
        </w:rPr>
        <w:t>2022</w:t>
      </w:r>
      <w:r w:rsidRPr="00B91C49">
        <w:rPr>
          <w:rFonts w:asciiTheme="minorHAnsi" w:hAnsiTheme="minorHAnsi" w:cstheme="minorHAnsi"/>
          <w:color w:val="000000"/>
          <w:sz w:val="22"/>
          <w:szCs w:val="22"/>
        </w:rPr>
        <w:t xml:space="preserve">). </w:t>
      </w:r>
    </w:p>
    <w:p w:rsidR="00136EC0" w:rsidRPr="00B91C49" w:rsidRDefault="00000000">
      <w:pPr>
        <w:pBdr>
          <w:top w:val="nil"/>
          <w:left w:val="nil"/>
          <w:bottom w:val="nil"/>
          <w:right w:val="nil"/>
          <w:between w:val="nil"/>
        </w:pBdr>
        <w:spacing w:line="360" w:lineRule="auto"/>
        <w:jc w:val="both"/>
        <w:rPr>
          <w:rFonts w:asciiTheme="minorHAnsi" w:hAnsiTheme="minorHAnsi" w:cstheme="minorHAnsi"/>
          <w:sz w:val="22"/>
          <w:szCs w:val="22"/>
        </w:rPr>
      </w:pPr>
      <w:r w:rsidRPr="00B91C49">
        <w:rPr>
          <w:rFonts w:asciiTheme="minorHAnsi" w:hAnsiTheme="minorHAnsi" w:cstheme="minorHAnsi"/>
          <w:sz w:val="22"/>
          <w:szCs w:val="22"/>
        </w:rPr>
        <w:t xml:space="preserve">While this work has done much to advance academic understanding of final statements, comparably little attention has been paid to the not-insignificant number of inmates who decline to speak prior to their execution. Depending on the date range selected by the study, the number of inmates in this category may range from just over one in 10 (Ross Meyer, 2011) to around a quarter (Eaton &amp; </w:t>
      </w:r>
      <w:proofErr w:type="spellStart"/>
      <w:r w:rsidRPr="00B91C49">
        <w:rPr>
          <w:rFonts w:asciiTheme="minorHAnsi" w:hAnsiTheme="minorHAnsi" w:cstheme="minorHAnsi"/>
          <w:sz w:val="22"/>
          <w:szCs w:val="22"/>
        </w:rPr>
        <w:t>Theuer</w:t>
      </w:r>
      <w:proofErr w:type="spellEnd"/>
      <w:r w:rsidRPr="00B91C49">
        <w:rPr>
          <w:rFonts w:asciiTheme="minorHAnsi" w:hAnsiTheme="minorHAnsi" w:cstheme="minorHAnsi"/>
          <w:sz w:val="22"/>
          <w:szCs w:val="22"/>
        </w:rPr>
        <w:t>, 2009: 24%; Schu</w:t>
      </w:r>
      <w:r w:rsidRPr="00B91C49">
        <w:rPr>
          <w:rFonts w:asciiTheme="minorHAnsi" w:hAnsiTheme="minorHAnsi" w:cstheme="minorHAnsi"/>
          <w:color w:val="000000"/>
          <w:sz w:val="22"/>
          <w:szCs w:val="22"/>
        </w:rPr>
        <w:t>ck &amp; Ward, 2008: 25%; James, 2022: 25.85%).</w:t>
      </w:r>
      <w:r w:rsidRPr="00B91C49">
        <w:rPr>
          <w:rFonts w:asciiTheme="minorHAnsi" w:hAnsiTheme="minorHAnsi" w:cstheme="minorHAnsi"/>
          <w:color w:val="FF0000"/>
          <w:sz w:val="22"/>
          <w:szCs w:val="22"/>
        </w:rPr>
        <w:t xml:space="preserve"> </w:t>
      </w:r>
      <w:r w:rsidRPr="00B91C49">
        <w:rPr>
          <w:rFonts w:asciiTheme="minorHAnsi" w:hAnsiTheme="minorHAnsi" w:cstheme="minorHAnsi"/>
          <w:sz w:val="22"/>
          <w:szCs w:val="22"/>
        </w:rPr>
        <w:t>Scholars have put forward a range of explanations for this state of affairs, inferring that inmates remain silent because of the futility of their situation, or because they are so filled with remorse that they feel unable to express sorrow for their crimes (</w:t>
      </w:r>
      <w:proofErr w:type="spellStart"/>
      <w:r w:rsidRPr="00B91C49">
        <w:rPr>
          <w:rFonts w:asciiTheme="minorHAnsi" w:hAnsiTheme="minorHAnsi" w:cstheme="minorHAnsi"/>
          <w:sz w:val="22"/>
          <w:szCs w:val="22"/>
        </w:rPr>
        <w:t>Hefflick</w:t>
      </w:r>
      <w:proofErr w:type="spellEnd"/>
      <w:r w:rsidRPr="00B91C49">
        <w:rPr>
          <w:rFonts w:asciiTheme="minorHAnsi" w:hAnsiTheme="minorHAnsi" w:cstheme="minorHAnsi"/>
          <w:sz w:val="22"/>
          <w:szCs w:val="22"/>
        </w:rPr>
        <w:t xml:space="preserve">, 2005; Schuck and Ward, 2009; Ross Meyer, 2011). Silence has also been argued to suggest that the inmate rejects the legitimacy of their execution (Ross Meyer, 2011), or the state’s right to take a life (Johnson, 2013). Scholars have also argued that inmates may say nothing because they are simply rendered mute by fear of their impending demise (Johnson et al., 2014). While these explanations possess surface credibility, few of the papers published use large scale or empirically robust approaches to test these theories, and as a result, the literature is characterised by insights drawn from small samples, </w:t>
      </w:r>
      <w:r w:rsidRPr="00B91C49">
        <w:rPr>
          <w:rFonts w:asciiTheme="minorHAnsi" w:hAnsiTheme="minorHAnsi" w:cstheme="minorHAnsi"/>
          <w:color w:val="000000" w:themeColor="text1"/>
          <w:sz w:val="22"/>
          <w:szCs w:val="22"/>
        </w:rPr>
        <w:t xml:space="preserve">qualitative analyses, </w:t>
      </w:r>
      <w:r w:rsidRPr="00B91C49">
        <w:rPr>
          <w:rFonts w:asciiTheme="minorHAnsi" w:hAnsiTheme="minorHAnsi" w:cstheme="minorHAnsi"/>
          <w:sz w:val="22"/>
          <w:szCs w:val="22"/>
        </w:rPr>
        <w:t xml:space="preserve">or simply conjecture. As a consequence, while there are a number of potentially credible theories, it is impossible to identify which - if any - best represents reality. </w:t>
      </w:r>
    </w:p>
    <w:p w:rsidR="00136EC0" w:rsidRDefault="00000000">
      <w:pPr>
        <w:pBdr>
          <w:top w:val="nil"/>
          <w:left w:val="nil"/>
          <w:bottom w:val="nil"/>
          <w:right w:val="nil"/>
          <w:between w:val="nil"/>
        </w:pBdr>
        <w:spacing w:line="360" w:lineRule="auto"/>
        <w:jc w:val="both"/>
        <w:rPr>
          <w:rFonts w:asciiTheme="minorHAnsi" w:hAnsiTheme="minorHAnsi" w:cstheme="minorHAnsi"/>
          <w:sz w:val="22"/>
          <w:szCs w:val="22"/>
        </w:rPr>
      </w:pPr>
      <w:r w:rsidRPr="00B91C49">
        <w:rPr>
          <w:rFonts w:asciiTheme="minorHAnsi" w:hAnsiTheme="minorHAnsi" w:cstheme="minorHAnsi"/>
          <w:color w:val="000000"/>
          <w:sz w:val="22"/>
          <w:szCs w:val="22"/>
        </w:rPr>
        <w:t xml:space="preserve">The aim of this article is to </w:t>
      </w:r>
      <w:r w:rsidRPr="00B91C49">
        <w:rPr>
          <w:rFonts w:asciiTheme="minorHAnsi" w:hAnsiTheme="minorHAnsi" w:cstheme="minorHAnsi"/>
          <w:sz w:val="22"/>
          <w:szCs w:val="22"/>
        </w:rPr>
        <w:t>address</w:t>
      </w:r>
      <w:r w:rsidRPr="00B91C49">
        <w:rPr>
          <w:rFonts w:asciiTheme="minorHAnsi" w:hAnsiTheme="minorHAnsi" w:cstheme="minorHAnsi"/>
          <w:color w:val="000000"/>
          <w:sz w:val="22"/>
          <w:szCs w:val="22"/>
        </w:rPr>
        <w:t xml:space="preserve"> this </w:t>
      </w:r>
      <w:r w:rsidRPr="00B91C49">
        <w:rPr>
          <w:rFonts w:asciiTheme="minorHAnsi" w:hAnsiTheme="minorHAnsi" w:cstheme="minorHAnsi"/>
          <w:sz w:val="22"/>
          <w:szCs w:val="22"/>
        </w:rPr>
        <w:t>gap</w:t>
      </w:r>
      <w:r w:rsidRPr="00B91C49">
        <w:rPr>
          <w:rFonts w:asciiTheme="minorHAnsi" w:hAnsiTheme="minorHAnsi" w:cstheme="minorHAnsi"/>
          <w:color w:val="000000"/>
          <w:sz w:val="22"/>
          <w:szCs w:val="22"/>
        </w:rPr>
        <w:t xml:space="preserve"> in the literature</w:t>
      </w:r>
      <w:r w:rsidRPr="00B91C49">
        <w:rPr>
          <w:rFonts w:asciiTheme="minorHAnsi" w:hAnsiTheme="minorHAnsi" w:cstheme="minorHAnsi"/>
          <w:sz w:val="22"/>
          <w:szCs w:val="22"/>
        </w:rPr>
        <w:t xml:space="preserve"> </w:t>
      </w:r>
      <w:r w:rsidRPr="00B91C49">
        <w:rPr>
          <w:rFonts w:asciiTheme="minorHAnsi" w:hAnsiTheme="minorHAnsi" w:cstheme="minorHAnsi"/>
          <w:color w:val="000000"/>
          <w:sz w:val="22"/>
          <w:szCs w:val="22"/>
        </w:rPr>
        <w:t>by using a robust quantitative method to</w:t>
      </w:r>
      <w:r w:rsidRPr="00B91C49">
        <w:rPr>
          <w:rFonts w:asciiTheme="minorHAnsi" w:hAnsiTheme="minorHAnsi" w:cstheme="minorHAnsi"/>
          <w:sz w:val="22"/>
          <w:szCs w:val="22"/>
        </w:rPr>
        <w:t xml:space="preserve"> explore the characteristics of inmates who decline to speak prior to their execution. It will use a sample comprising data from all executions conducted in Texas between the post-</w:t>
      </w:r>
      <w:r w:rsidRPr="00B91C49">
        <w:rPr>
          <w:rFonts w:asciiTheme="minorHAnsi" w:hAnsiTheme="minorHAnsi" w:cstheme="minorHAnsi"/>
          <w:i/>
          <w:sz w:val="22"/>
          <w:szCs w:val="22"/>
        </w:rPr>
        <w:t>Furman</w:t>
      </w:r>
      <w:r w:rsidRPr="00B91C49">
        <w:rPr>
          <w:rFonts w:asciiTheme="minorHAnsi" w:hAnsiTheme="minorHAnsi" w:cstheme="minorHAnsi"/>
          <w:sz w:val="22"/>
          <w:szCs w:val="22"/>
        </w:rPr>
        <w:t xml:space="preserve"> resumption of capital p</w:t>
      </w:r>
      <w:r w:rsidRPr="00B91C49">
        <w:rPr>
          <w:rFonts w:asciiTheme="minorHAnsi" w:hAnsiTheme="minorHAnsi" w:cstheme="minorHAnsi"/>
          <w:color w:val="000000"/>
          <w:sz w:val="22"/>
          <w:szCs w:val="22"/>
        </w:rPr>
        <w:t xml:space="preserve">unishment </w:t>
      </w:r>
      <w:r w:rsidRPr="00B91C49">
        <w:rPr>
          <w:rFonts w:asciiTheme="minorHAnsi" w:hAnsiTheme="minorHAnsi" w:cstheme="minorHAnsi"/>
          <w:sz w:val="22"/>
          <w:szCs w:val="22"/>
        </w:rPr>
        <w:t xml:space="preserve">in December </w:t>
      </w:r>
      <w:r w:rsidRPr="00B91C49">
        <w:rPr>
          <w:rFonts w:asciiTheme="minorHAnsi" w:hAnsiTheme="minorHAnsi" w:cstheme="minorHAnsi"/>
          <w:color w:val="000000"/>
          <w:sz w:val="22"/>
          <w:szCs w:val="22"/>
        </w:rPr>
        <w:t xml:space="preserve">1982 and </w:t>
      </w:r>
      <w:r w:rsidRPr="00B91C49">
        <w:rPr>
          <w:rFonts w:asciiTheme="minorHAnsi" w:hAnsiTheme="minorHAnsi" w:cstheme="minorHAnsi"/>
          <w:sz w:val="22"/>
          <w:szCs w:val="22"/>
        </w:rPr>
        <w:t>April</w:t>
      </w:r>
      <w:r w:rsidRPr="00B91C49">
        <w:rPr>
          <w:rFonts w:asciiTheme="minorHAnsi" w:hAnsiTheme="minorHAnsi" w:cstheme="minorHAnsi"/>
          <w:color w:val="000000"/>
          <w:sz w:val="22"/>
          <w:szCs w:val="22"/>
        </w:rPr>
        <w:t xml:space="preserve"> 202</w:t>
      </w:r>
      <w:r w:rsidRPr="00B91C49">
        <w:rPr>
          <w:rFonts w:asciiTheme="minorHAnsi" w:hAnsiTheme="minorHAnsi" w:cstheme="minorHAnsi"/>
          <w:sz w:val="22"/>
          <w:szCs w:val="22"/>
        </w:rPr>
        <w:t>2 (n=574).</w:t>
      </w:r>
      <w:r w:rsidRPr="00B91C49">
        <w:rPr>
          <w:rFonts w:asciiTheme="minorHAnsi" w:hAnsiTheme="minorHAnsi" w:cstheme="minorHAnsi"/>
          <w:color w:val="000000"/>
          <w:sz w:val="22"/>
          <w:szCs w:val="22"/>
        </w:rPr>
        <w:t xml:space="preserve"> </w:t>
      </w:r>
      <w:r w:rsidRPr="00B91C49">
        <w:rPr>
          <w:rFonts w:asciiTheme="minorHAnsi" w:hAnsiTheme="minorHAnsi" w:cstheme="minorHAnsi"/>
          <w:sz w:val="22"/>
          <w:szCs w:val="22"/>
        </w:rPr>
        <w:t xml:space="preserve">Regression analysis will be employed to model the characteristics associated with whether an offender might make a final statement, with a view to determining which factors - if any - are significant predictors of inmates speaking prior to execution. The remainder of this article will be divided into five main sections: the first will briefly review the social scientific literature on final statements. In doing so, it will highlight a gap in the </w:t>
      </w:r>
      <w:r w:rsidRPr="00B91C49">
        <w:rPr>
          <w:rFonts w:asciiTheme="minorHAnsi" w:hAnsiTheme="minorHAnsi" w:cstheme="minorHAnsi"/>
          <w:sz w:val="22"/>
          <w:szCs w:val="22"/>
        </w:rPr>
        <w:lastRenderedPageBreak/>
        <w:t xml:space="preserve">literature concerning the question of why inmates chose to make a statement or not. Following this, the methodology will </w:t>
      </w:r>
      <w:proofErr w:type="gramStart"/>
      <w:r w:rsidRPr="00B91C49">
        <w:rPr>
          <w:rFonts w:asciiTheme="minorHAnsi" w:hAnsiTheme="minorHAnsi" w:cstheme="minorHAnsi"/>
          <w:sz w:val="22"/>
          <w:szCs w:val="22"/>
        </w:rPr>
        <w:t>outlines</w:t>
      </w:r>
      <w:proofErr w:type="gramEnd"/>
      <w:r w:rsidRPr="00B91C49">
        <w:rPr>
          <w:rFonts w:asciiTheme="minorHAnsi" w:hAnsiTheme="minorHAnsi" w:cstheme="minorHAnsi"/>
          <w:sz w:val="22"/>
          <w:szCs w:val="22"/>
        </w:rPr>
        <w:t xml:space="preserve"> the sample and data gathering techniques employed for this paper, and will provide an overview of the demographic characteristics of the inmates sampled. The third section of the article will then present the results of regression analysis, which will then be discussed in the following section. The key areas of discussion, directions for future research, and limitations will then be surmised in a final concluding section.</w:t>
      </w:r>
    </w:p>
    <w:p w:rsidR="00B91C49" w:rsidRPr="00B91C49" w:rsidRDefault="00B91C49">
      <w:pPr>
        <w:pBdr>
          <w:top w:val="nil"/>
          <w:left w:val="nil"/>
          <w:bottom w:val="nil"/>
          <w:right w:val="nil"/>
          <w:between w:val="nil"/>
        </w:pBdr>
        <w:spacing w:line="360" w:lineRule="auto"/>
        <w:jc w:val="both"/>
        <w:rPr>
          <w:rFonts w:asciiTheme="minorHAnsi" w:hAnsiTheme="minorHAnsi" w:cstheme="minorHAnsi"/>
          <w:sz w:val="22"/>
          <w:szCs w:val="22"/>
        </w:rPr>
      </w:pPr>
    </w:p>
    <w:p w:rsidR="00136EC0" w:rsidRPr="00B91C49" w:rsidRDefault="00000000">
      <w:pPr>
        <w:pBdr>
          <w:top w:val="nil"/>
          <w:left w:val="nil"/>
          <w:bottom w:val="nil"/>
          <w:right w:val="nil"/>
          <w:between w:val="nil"/>
        </w:pBdr>
        <w:spacing w:line="360" w:lineRule="auto"/>
        <w:jc w:val="both"/>
        <w:rPr>
          <w:rFonts w:asciiTheme="minorHAnsi" w:hAnsiTheme="minorHAnsi" w:cstheme="minorHAnsi"/>
          <w:b/>
          <w:sz w:val="22"/>
          <w:szCs w:val="22"/>
        </w:rPr>
      </w:pPr>
      <w:r w:rsidRPr="00B91C49">
        <w:rPr>
          <w:rFonts w:asciiTheme="minorHAnsi" w:hAnsiTheme="minorHAnsi" w:cstheme="minorHAnsi"/>
          <w:b/>
          <w:sz w:val="22"/>
          <w:szCs w:val="22"/>
        </w:rPr>
        <w:t>Literature review</w:t>
      </w:r>
    </w:p>
    <w:p w:rsidR="00136EC0" w:rsidRPr="00B91C49" w:rsidRDefault="00000000">
      <w:pPr>
        <w:pBdr>
          <w:top w:val="nil"/>
          <w:left w:val="nil"/>
          <w:bottom w:val="nil"/>
          <w:right w:val="nil"/>
          <w:between w:val="nil"/>
        </w:pBdr>
        <w:spacing w:line="360" w:lineRule="auto"/>
        <w:jc w:val="both"/>
        <w:rPr>
          <w:rFonts w:asciiTheme="minorHAnsi" w:hAnsiTheme="minorHAnsi" w:cstheme="minorHAnsi"/>
          <w:sz w:val="22"/>
          <w:szCs w:val="22"/>
        </w:rPr>
      </w:pPr>
      <w:r w:rsidRPr="00B91C49">
        <w:rPr>
          <w:rFonts w:asciiTheme="minorHAnsi" w:hAnsiTheme="minorHAnsi" w:cstheme="minorHAnsi"/>
          <w:sz w:val="22"/>
          <w:szCs w:val="22"/>
        </w:rPr>
        <w:t>For almost two decades social scientists have researched various aspects of the final statements of executed inmates in the USA. The greater portion of this literature has focused on the themes found in final statements, with researchers observing similar, if not identical themes, within them. These include expressions of love and appreciation to family and friends, statements of religious faith, declarations of guilt, defiance, and innocence, and apology and repentance (</w:t>
      </w:r>
      <w:proofErr w:type="spellStart"/>
      <w:r w:rsidRPr="00B91C49">
        <w:rPr>
          <w:rFonts w:asciiTheme="minorHAnsi" w:hAnsiTheme="minorHAnsi" w:cstheme="minorHAnsi"/>
          <w:sz w:val="22"/>
          <w:szCs w:val="22"/>
        </w:rPr>
        <w:t>Heflick</w:t>
      </w:r>
      <w:proofErr w:type="spellEnd"/>
      <w:r w:rsidRPr="00B91C49">
        <w:rPr>
          <w:rFonts w:asciiTheme="minorHAnsi" w:hAnsiTheme="minorHAnsi" w:cstheme="minorHAnsi"/>
          <w:sz w:val="22"/>
          <w:szCs w:val="22"/>
        </w:rPr>
        <w:t xml:space="preserve">, 2005; Schuck &amp; Ward, 2008; Vollum, 2008; Vollum &amp; Longmire 2009; Ross Meyer, 2011; Upton et al, 2017; James, 2022). This work has been complemented by several articles written by psychiatrists including Sharon R. Foley and Brendan D. Kelly on the psychological constructs found within final statements (Foley &amp; Kelly, 2007; Kelly &amp; Foley, 2013, Foley &amp; Kelly, 2018; Kelly &amp; </w:t>
      </w:r>
      <w:proofErr w:type="spellStart"/>
      <w:r w:rsidRPr="00B91C49">
        <w:rPr>
          <w:rFonts w:asciiTheme="minorHAnsi" w:hAnsiTheme="minorHAnsi" w:cstheme="minorHAnsi"/>
          <w:sz w:val="22"/>
          <w:szCs w:val="22"/>
        </w:rPr>
        <w:t>Folley</w:t>
      </w:r>
      <w:proofErr w:type="spellEnd"/>
      <w:r w:rsidRPr="00B91C49">
        <w:rPr>
          <w:rFonts w:asciiTheme="minorHAnsi" w:hAnsiTheme="minorHAnsi" w:cstheme="minorHAnsi"/>
          <w:sz w:val="22"/>
          <w:szCs w:val="22"/>
        </w:rPr>
        <w:t>, 2018). According to Foley and Kelly, around half of the statements that sampled from Texas between 2002 and 2017 displayed evidence of ‘unbearable psychological pain’ (47%) and ‘identification-egression’ (51%), with the latter being defined as where the inmate “…identifies with a lost or rejecting other or ideal”, such as a family member or freedom (Kelly &amp; Foley, 2013:544; Foley &amp; Kelly, 2018).</w:t>
      </w:r>
    </w:p>
    <w:p w:rsidR="00136EC0" w:rsidRPr="00B91C49" w:rsidRDefault="00000000">
      <w:pPr>
        <w:pBdr>
          <w:top w:val="nil"/>
          <w:left w:val="nil"/>
          <w:bottom w:val="nil"/>
          <w:right w:val="nil"/>
          <w:between w:val="nil"/>
        </w:pBdr>
        <w:spacing w:line="360" w:lineRule="auto"/>
        <w:jc w:val="both"/>
        <w:rPr>
          <w:rFonts w:asciiTheme="minorHAnsi" w:hAnsiTheme="minorHAnsi" w:cstheme="minorHAnsi"/>
          <w:sz w:val="22"/>
          <w:szCs w:val="22"/>
        </w:rPr>
      </w:pPr>
      <w:r w:rsidRPr="00B91C49">
        <w:rPr>
          <w:rFonts w:asciiTheme="minorHAnsi" w:hAnsiTheme="minorHAnsi" w:cstheme="minorHAnsi"/>
          <w:sz w:val="22"/>
          <w:szCs w:val="22"/>
        </w:rPr>
        <w:t xml:space="preserve">Several scholars have also explored which factors predict whether an inmate will apologise and express repentance. </w:t>
      </w:r>
      <w:r w:rsidRPr="00B91C49">
        <w:rPr>
          <w:rFonts w:asciiTheme="minorHAnsi" w:hAnsiTheme="minorHAnsi" w:cstheme="minorHAnsi"/>
          <w:color w:val="000000" w:themeColor="text1"/>
          <w:sz w:val="22"/>
          <w:szCs w:val="22"/>
        </w:rPr>
        <w:t xml:space="preserve">Vollum (2008) concluded that inmates who were under the age of 18 at the time of their crime and those with a high school education or General Education Diploma (GED) were significantly more likely to express contrition in their statement. Inmates were also </w:t>
      </w:r>
      <w:r w:rsidRPr="00B91C49">
        <w:rPr>
          <w:rFonts w:asciiTheme="minorHAnsi" w:hAnsiTheme="minorHAnsi" w:cstheme="minorHAnsi"/>
          <w:sz w:val="22"/>
          <w:szCs w:val="22"/>
        </w:rPr>
        <w:t>said to be significantly more likely to do so when witnesses for the victim(s) of the crime were present at the execution (see also Rice et al., 2009). In contrast, older inmates and those who were older when they committed their crime, as well as those who were executed for killing a police officer, were less likely to do so. Two other factors that have been highlighted in the literature as playing a significant role in determining whether an inmate apologises are the type of state in which the execution took place and the extent to which an inmate invoked God in their statement. In the case of the former, Eaton (2014) found that almost half of white males executed in Southern ‘</w:t>
      </w:r>
      <w:proofErr w:type="spellStart"/>
      <w:r w:rsidRPr="00B91C49">
        <w:rPr>
          <w:rFonts w:asciiTheme="minorHAnsi" w:hAnsiTheme="minorHAnsi" w:cstheme="minorHAnsi"/>
          <w:sz w:val="22"/>
          <w:szCs w:val="22"/>
        </w:rPr>
        <w:t>honor</w:t>
      </w:r>
      <w:proofErr w:type="spellEnd"/>
      <w:r w:rsidRPr="00B91C49">
        <w:rPr>
          <w:rFonts w:asciiTheme="minorHAnsi" w:hAnsiTheme="minorHAnsi" w:cstheme="minorHAnsi"/>
          <w:sz w:val="22"/>
          <w:szCs w:val="22"/>
        </w:rPr>
        <w:t xml:space="preserve"> states’ offered an apology compared with 29% of those from non-</w:t>
      </w:r>
      <w:proofErr w:type="spellStart"/>
      <w:r w:rsidRPr="00B91C49">
        <w:rPr>
          <w:rFonts w:asciiTheme="minorHAnsi" w:hAnsiTheme="minorHAnsi" w:cstheme="minorHAnsi"/>
          <w:sz w:val="22"/>
          <w:szCs w:val="22"/>
        </w:rPr>
        <w:t>honor</w:t>
      </w:r>
      <w:proofErr w:type="spellEnd"/>
      <w:r w:rsidRPr="00B91C49">
        <w:rPr>
          <w:rFonts w:asciiTheme="minorHAnsi" w:hAnsiTheme="minorHAnsi" w:cstheme="minorHAnsi"/>
          <w:sz w:val="22"/>
          <w:szCs w:val="22"/>
        </w:rPr>
        <w:t xml:space="preserve"> states, although they were no more likely to express remorse. She also concluded that both the length of time an inmate had spent on Death Row and, </w:t>
      </w:r>
      <w:r w:rsidRPr="00B91C49">
        <w:rPr>
          <w:rFonts w:asciiTheme="minorHAnsi" w:hAnsiTheme="minorHAnsi" w:cstheme="minorHAnsi"/>
          <w:sz w:val="22"/>
          <w:szCs w:val="22"/>
        </w:rPr>
        <w:lastRenderedPageBreak/>
        <w:t xml:space="preserve">again, that the presence of witnesses for the victim(s)’ family predicted whether an inmate would express remorse. Similarly, Cooney &amp; Phillips (2013) found that the more an inmate mentioned God in their statement, the more likely they were to apologise, with 53% of those who mentioned God twice apologising and 71% of those who mentioned God three or more times doing so. In addition, mentioning God also increased the word count of the statement, with each mention of God increasing the word count by 175% and each increase in a hundred words also increasing the odds of an apology by 83%. </w:t>
      </w:r>
    </w:p>
    <w:p w:rsidR="00136EC0" w:rsidRPr="00B91C49" w:rsidRDefault="00000000">
      <w:pPr>
        <w:spacing w:line="360" w:lineRule="auto"/>
        <w:jc w:val="both"/>
        <w:rPr>
          <w:rFonts w:asciiTheme="minorHAnsi" w:hAnsiTheme="minorHAnsi" w:cstheme="minorHAnsi"/>
          <w:sz w:val="22"/>
          <w:szCs w:val="22"/>
        </w:rPr>
      </w:pPr>
      <w:r w:rsidRPr="00B91C49">
        <w:rPr>
          <w:rFonts w:asciiTheme="minorHAnsi" w:hAnsiTheme="minorHAnsi" w:cstheme="minorHAnsi"/>
          <w:sz w:val="22"/>
          <w:szCs w:val="22"/>
        </w:rPr>
        <w:t xml:space="preserve">The final, perhaps counterintuitive, finding of researchers working in this field is that statements tend to contain a higher proportion of positive emotional words than one might expect given the inmates' situation. </w:t>
      </w:r>
      <w:proofErr w:type="spellStart"/>
      <w:r w:rsidRPr="00B91C49">
        <w:rPr>
          <w:rFonts w:asciiTheme="minorHAnsi" w:hAnsiTheme="minorHAnsi" w:cstheme="minorHAnsi"/>
          <w:sz w:val="22"/>
          <w:szCs w:val="22"/>
        </w:rPr>
        <w:t>Hirschmüller</w:t>
      </w:r>
      <w:proofErr w:type="spellEnd"/>
      <w:r w:rsidRPr="00B91C49">
        <w:rPr>
          <w:rFonts w:asciiTheme="minorHAnsi" w:hAnsiTheme="minorHAnsi" w:cstheme="minorHAnsi"/>
          <w:sz w:val="22"/>
          <w:szCs w:val="22"/>
        </w:rPr>
        <w:t xml:space="preserve"> and </w:t>
      </w:r>
      <w:proofErr w:type="spellStart"/>
      <w:r w:rsidRPr="00B91C49">
        <w:rPr>
          <w:rFonts w:asciiTheme="minorHAnsi" w:hAnsiTheme="minorHAnsi" w:cstheme="minorHAnsi"/>
          <w:sz w:val="22"/>
          <w:szCs w:val="22"/>
        </w:rPr>
        <w:t>Egloff</w:t>
      </w:r>
      <w:proofErr w:type="spellEnd"/>
      <w:r w:rsidRPr="00B91C49">
        <w:rPr>
          <w:rFonts w:asciiTheme="minorHAnsi" w:hAnsiTheme="minorHAnsi" w:cstheme="minorHAnsi"/>
          <w:sz w:val="22"/>
          <w:szCs w:val="22"/>
        </w:rPr>
        <w:t xml:space="preserve"> (2016) found that inmates used on average a higher proportion of positive words (such as ‘happy’ or ‘love’) than negative ones (such as ‘sad’ and ‘hate’), with 80% of the statements sampled containing more positive words than negative ones. They also compared these statements with results from a study where participants were asked to contemplate their own death (</w:t>
      </w:r>
      <w:proofErr w:type="spellStart"/>
      <w:r w:rsidRPr="00B91C49">
        <w:rPr>
          <w:rFonts w:asciiTheme="minorHAnsi" w:hAnsiTheme="minorHAnsi" w:cstheme="minorHAnsi"/>
          <w:sz w:val="22"/>
          <w:szCs w:val="22"/>
        </w:rPr>
        <w:t>Kashdan</w:t>
      </w:r>
      <w:proofErr w:type="spellEnd"/>
      <w:r w:rsidRPr="00B91C49">
        <w:rPr>
          <w:rFonts w:asciiTheme="minorHAnsi" w:hAnsiTheme="minorHAnsi" w:cstheme="minorHAnsi"/>
          <w:sz w:val="22"/>
          <w:szCs w:val="22"/>
        </w:rPr>
        <w:t xml:space="preserve"> et al., 2014) as well as suicide notes preceding actual or attempted death (Handelman &amp; Lester, 2007), and in both cases found that the statements of those executed contained a higher proportion of positive words. More recently, </w:t>
      </w:r>
      <w:proofErr w:type="spellStart"/>
      <w:r w:rsidRPr="00B91C49">
        <w:rPr>
          <w:rFonts w:asciiTheme="minorHAnsi" w:hAnsiTheme="minorHAnsi" w:cstheme="minorHAnsi"/>
          <w:sz w:val="22"/>
          <w:szCs w:val="22"/>
        </w:rPr>
        <w:t>Goranson</w:t>
      </w:r>
      <w:proofErr w:type="spellEnd"/>
      <w:r w:rsidRPr="00B91C49">
        <w:rPr>
          <w:rFonts w:asciiTheme="minorHAnsi" w:hAnsiTheme="minorHAnsi" w:cstheme="minorHAnsi"/>
          <w:sz w:val="22"/>
          <w:szCs w:val="22"/>
        </w:rPr>
        <w:t xml:space="preserve"> et al. (2017) compared final statements with poetry and imaginary final statements from participants recruited online. They found that the final statements used a significantly lower percentage of negative words than either the poetry or imagined statements. The percentage of positive words was also higher in actual final statements and in the poetry reviewed than in the imagined statements. </w:t>
      </w:r>
    </w:p>
    <w:p w:rsidR="00136EC0" w:rsidRPr="00B91C49" w:rsidRDefault="00000000" w:rsidP="00B91C49">
      <w:pPr>
        <w:spacing w:line="360" w:lineRule="auto"/>
        <w:jc w:val="both"/>
        <w:rPr>
          <w:rFonts w:asciiTheme="minorHAnsi" w:hAnsiTheme="minorHAnsi" w:cstheme="minorHAnsi"/>
          <w:sz w:val="22"/>
          <w:szCs w:val="22"/>
        </w:rPr>
      </w:pPr>
      <w:r w:rsidRPr="00B91C49">
        <w:rPr>
          <w:rFonts w:asciiTheme="minorHAnsi" w:hAnsiTheme="minorHAnsi" w:cstheme="minorHAnsi"/>
          <w:sz w:val="22"/>
          <w:szCs w:val="22"/>
        </w:rPr>
        <w:t xml:space="preserve">However, while a significant amount of attention has been paid by researchers to what inmates say in their final statements and its importance as a signifier of other factors and traits, comparatively little attention has been paid to those inmates who declined to make a statement. Several possible explanations have been put forward by scholars to explain this state of affairs. </w:t>
      </w:r>
      <w:proofErr w:type="spellStart"/>
      <w:r w:rsidRPr="00B91C49">
        <w:rPr>
          <w:rFonts w:asciiTheme="minorHAnsi" w:hAnsiTheme="minorHAnsi" w:cstheme="minorHAnsi"/>
          <w:sz w:val="22"/>
          <w:szCs w:val="22"/>
        </w:rPr>
        <w:t>Hefflick</w:t>
      </w:r>
      <w:proofErr w:type="spellEnd"/>
      <w:r w:rsidRPr="00B91C49">
        <w:rPr>
          <w:rFonts w:asciiTheme="minorHAnsi" w:hAnsiTheme="minorHAnsi" w:cstheme="minorHAnsi"/>
          <w:sz w:val="22"/>
          <w:szCs w:val="22"/>
        </w:rPr>
        <w:t xml:space="preserve"> (2005) and Schuck and Ward (2009) have suggested that inmates remain silent because they know that nothing that they say will change their situation, and, indeed, feel that any speech may be perceived as disrespectful to co-victims or their own families. In addition, they may also not wish to betray their emotional state in front of witnesses, particularly when they are angry and/or scared. In contrast, Linda Ross Meyer (2011) has posited that silence may stem from a variety of motivations, ranging from a rejection of the legitimacy of the state’s right to take their life, to their inability to express the remorse that they feel for their crimes. Silence may also, she suggests, signify that the inmate has been rendered mute – “reduced to the nonhuman, the ‘dumb’ animal” – by the execution process: effectively deprived of their voice through a combination of “…confusion, fear or emotion[al] turmoil” (Ross Meyer, 2011:194). This latter point has been echoed by Robert Johnson, who has argued that </w:t>
      </w:r>
      <w:r w:rsidRPr="00B91C49">
        <w:rPr>
          <w:rFonts w:asciiTheme="minorHAnsi" w:hAnsiTheme="minorHAnsi" w:cstheme="minorHAnsi"/>
          <w:sz w:val="22"/>
          <w:szCs w:val="22"/>
        </w:rPr>
        <w:lastRenderedPageBreak/>
        <w:t xml:space="preserve">inmates’ silence may represent either “a profound alienation from the [execution] process, which they protest with their silence” or that they have been “rendered speechless by the enormity of the violence that awaits [them], made mute by the unspeakable cruelty of the killing process” (Johnson, 2013:112; Johnson et al, 2014:148). Nevertheless, as Stephen K. Rice and colleagues (2009) have noted, we should be cautious in (over)interpreting inmates’ silence. While we may speculate as to the reasons why some may decline to make a final statement, in the absence of information about inmates – particularly in the period leading up to their execution – scholars may struggle to attribute meaning to silence. </w:t>
      </w:r>
    </w:p>
    <w:p w:rsidR="00136EC0" w:rsidRPr="00B91C49" w:rsidRDefault="00136EC0">
      <w:pPr>
        <w:pBdr>
          <w:top w:val="nil"/>
          <w:left w:val="nil"/>
          <w:bottom w:val="nil"/>
          <w:right w:val="nil"/>
          <w:between w:val="nil"/>
        </w:pBdr>
        <w:spacing w:line="360" w:lineRule="auto"/>
        <w:jc w:val="both"/>
        <w:rPr>
          <w:rFonts w:asciiTheme="minorHAnsi" w:hAnsiTheme="minorHAnsi" w:cstheme="minorHAnsi"/>
          <w:sz w:val="22"/>
          <w:szCs w:val="22"/>
        </w:rPr>
      </w:pPr>
    </w:p>
    <w:p w:rsidR="00136EC0" w:rsidRPr="00B91C49" w:rsidRDefault="00000000">
      <w:pPr>
        <w:pBdr>
          <w:top w:val="nil"/>
          <w:left w:val="nil"/>
          <w:bottom w:val="nil"/>
          <w:right w:val="nil"/>
          <w:between w:val="nil"/>
        </w:pBdr>
        <w:spacing w:line="360" w:lineRule="auto"/>
        <w:jc w:val="both"/>
        <w:rPr>
          <w:rFonts w:asciiTheme="minorHAnsi" w:hAnsiTheme="minorHAnsi" w:cstheme="minorHAnsi"/>
          <w:b/>
          <w:sz w:val="22"/>
          <w:szCs w:val="22"/>
        </w:rPr>
      </w:pPr>
      <w:r w:rsidRPr="00B91C49">
        <w:rPr>
          <w:rFonts w:asciiTheme="minorHAnsi" w:hAnsiTheme="minorHAnsi" w:cstheme="minorHAnsi"/>
          <w:b/>
          <w:sz w:val="22"/>
          <w:szCs w:val="22"/>
        </w:rPr>
        <w:t>Methodology</w:t>
      </w:r>
    </w:p>
    <w:p w:rsidR="00136EC0" w:rsidRPr="00B91C49" w:rsidRDefault="00000000">
      <w:pPr>
        <w:pBdr>
          <w:top w:val="nil"/>
          <w:left w:val="nil"/>
          <w:bottom w:val="nil"/>
          <w:right w:val="nil"/>
          <w:between w:val="nil"/>
        </w:pBdr>
        <w:spacing w:line="360" w:lineRule="auto"/>
        <w:jc w:val="both"/>
        <w:rPr>
          <w:rFonts w:asciiTheme="minorHAnsi" w:hAnsiTheme="minorHAnsi" w:cstheme="minorHAnsi"/>
          <w:sz w:val="22"/>
          <w:szCs w:val="22"/>
        </w:rPr>
      </w:pPr>
      <w:r w:rsidRPr="00B91C49">
        <w:rPr>
          <w:rFonts w:asciiTheme="minorHAnsi" w:hAnsiTheme="minorHAnsi" w:cstheme="minorHAnsi"/>
          <w:sz w:val="22"/>
          <w:szCs w:val="22"/>
        </w:rPr>
        <w:t xml:space="preserve">The literature considered in the previous section highlights an area for research exploration: identifying which demographic and penal factors predict whether or not an inmate will make a final statement. To explore this question, the analysis presented drew on data from 574 inmates executed in Texas between December 1982 and June 2022. This represented the totality of executions during this period in the state of Texas, and was chosen as the focus for analysis for two primary reasons. First and foremost, the vast </w:t>
      </w:r>
      <w:r w:rsidRPr="00B91C49">
        <w:rPr>
          <w:rFonts w:asciiTheme="minorHAnsi" w:hAnsiTheme="minorHAnsi" w:cstheme="minorHAnsi"/>
          <w:color w:val="000000" w:themeColor="text1"/>
          <w:sz w:val="22"/>
          <w:szCs w:val="22"/>
        </w:rPr>
        <w:t xml:space="preserve">majority (587 inmates) of those executed in the United States </w:t>
      </w:r>
      <w:r w:rsidRPr="00B91C49">
        <w:rPr>
          <w:rFonts w:asciiTheme="minorHAnsi" w:hAnsiTheme="minorHAnsi" w:cstheme="minorHAnsi"/>
          <w:i/>
          <w:color w:val="000000" w:themeColor="text1"/>
          <w:sz w:val="22"/>
          <w:szCs w:val="22"/>
        </w:rPr>
        <w:t>post</w:t>
      </w:r>
      <w:r w:rsidRPr="00B91C49">
        <w:rPr>
          <w:rFonts w:asciiTheme="minorHAnsi" w:hAnsiTheme="minorHAnsi" w:cstheme="minorHAnsi"/>
          <w:color w:val="000000" w:themeColor="text1"/>
          <w:sz w:val="22"/>
          <w:szCs w:val="22"/>
        </w:rPr>
        <w:t>-Furman have been put to death in Texas (which represents 37% of the 1,586 executions nationally in this period at the time of writing - June 2024). In addition</w:t>
      </w:r>
      <w:r w:rsidRPr="00B91C49">
        <w:rPr>
          <w:rFonts w:asciiTheme="minorHAnsi" w:hAnsiTheme="minorHAnsi" w:cstheme="minorHAnsi"/>
          <w:sz w:val="22"/>
          <w:szCs w:val="22"/>
        </w:rPr>
        <w:t>, as will be discussed in more detail below, the state also publishes detailed information on its death row population which is easily accessible online. Indeed, all but one published piece of research on the final statements of death row inmates in the contemporary United States draws on statements from inmates from Texas (Walliss, 2022), largely reflecting the ease with which data may be accessed. In contrast, other death penalty states are significantly more reticent in providing access to such information, with none providing anything that is comparable in breadth or depth to the data provided by Texas. No other state, for example, takes the time to transcribe the final statements of inmates at the time of execution nor publishes this information online.</w:t>
      </w:r>
      <w:r w:rsidRPr="00B91C49">
        <w:rPr>
          <w:rFonts w:asciiTheme="minorHAnsi" w:hAnsiTheme="minorHAnsi" w:cstheme="minorHAnsi"/>
          <w:sz w:val="22"/>
          <w:szCs w:val="22"/>
          <w:vertAlign w:val="superscript"/>
        </w:rPr>
        <w:footnoteReference w:id="1"/>
      </w:r>
      <w:r w:rsidRPr="00B91C49">
        <w:rPr>
          <w:rFonts w:asciiTheme="minorHAnsi" w:hAnsiTheme="minorHAnsi" w:cstheme="minorHAnsi"/>
          <w:sz w:val="22"/>
          <w:szCs w:val="22"/>
        </w:rPr>
        <w:t xml:space="preserve"> </w:t>
      </w:r>
    </w:p>
    <w:p w:rsidR="00136EC0" w:rsidRPr="00B91C49" w:rsidRDefault="00000000">
      <w:pPr>
        <w:pBdr>
          <w:top w:val="nil"/>
          <w:left w:val="nil"/>
          <w:bottom w:val="nil"/>
          <w:right w:val="nil"/>
          <w:between w:val="nil"/>
        </w:pBdr>
        <w:spacing w:line="360" w:lineRule="auto"/>
        <w:jc w:val="both"/>
        <w:rPr>
          <w:rFonts w:asciiTheme="minorHAnsi" w:hAnsiTheme="minorHAnsi" w:cstheme="minorHAnsi"/>
          <w:sz w:val="22"/>
          <w:szCs w:val="22"/>
        </w:rPr>
      </w:pPr>
      <w:r w:rsidRPr="00B91C49">
        <w:rPr>
          <w:rFonts w:asciiTheme="minorHAnsi" w:hAnsiTheme="minorHAnsi" w:cstheme="minorHAnsi"/>
          <w:sz w:val="22"/>
          <w:szCs w:val="22"/>
        </w:rPr>
        <w:t xml:space="preserve">Data for analysis was gathered from the Texas Department of Criminal Justice </w:t>
      </w:r>
      <w:r w:rsidRPr="00B91C49">
        <w:rPr>
          <w:rFonts w:asciiTheme="minorHAnsi" w:hAnsiTheme="minorHAnsi" w:cstheme="minorHAnsi"/>
          <w:color w:val="FF0000"/>
          <w:sz w:val="22"/>
          <w:szCs w:val="22"/>
        </w:rPr>
        <w:t>(TDCJ)</w:t>
      </w:r>
      <w:r w:rsidRPr="00B91C49">
        <w:rPr>
          <w:rFonts w:asciiTheme="minorHAnsi" w:hAnsiTheme="minorHAnsi" w:cstheme="minorHAnsi"/>
          <w:sz w:val="22"/>
          <w:szCs w:val="22"/>
        </w:rPr>
        <w:t xml:space="preserve"> ‘Death Row Information’ website (</w:t>
      </w:r>
      <w:hyperlink r:id="rId8">
        <w:r w:rsidRPr="00B91C49">
          <w:rPr>
            <w:rFonts w:asciiTheme="minorHAnsi" w:hAnsiTheme="minorHAnsi" w:cstheme="minorHAnsi"/>
            <w:color w:val="1155CC"/>
            <w:sz w:val="22"/>
            <w:szCs w:val="22"/>
            <w:u w:val="single"/>
          </w:rPr>
          <w:t>https://www.tdcj.texas.gov/death_row/</w:t>
        </w:r>
      </w:hyperlink>
      <w:r w:rsidRPr="00B91C49">
        <w:rPr>
          <w:rFonts w:asciiTheme="minorHAnsi" w:hAnsiTheme="minorHAnsi" w:cstheme="minorHAnsi"/>
          <w:sz w:val="22"/>
          <w:szCs w:val="22"/>
        </w:rPr>
        <w:t xml:space="preserve">). This contains a variety of information </w:t>
      </w:r>
      <w:r w:rsidRPr="00B91C49">
        <w:rPr>
          <w:rFonts w:asciiTheme="minorHAnsi" w:hAnsiTheme="minorHAnsi" w:cstheme="minorHAnsi"/>
          <w:sz w:val="22"/>
          <w:szCs w:val="22"/>
        </w:rPr>
        <w:lastRenderedPageBreak/>
        <w:t>about executed inmates, inmates currently on death row, scheduled executions, as well as other relevant information for news media, crime victims and interested parties. The ‘Executed Inmates’ section of the website provided the basis for the analysis, as it comprises a table of information about each inmate, which, in turn, links to transcripts of their final statements (if they chose to make one) and an inmate information sheet including key demographic and penal data: namely their date of birth, sex, ethnicity, their home state, the highest education level that they completed, their age when they committed the offence, and the dates that they were received by TDCJ and executed. Prior to analysis this data was transcribed and coded into a CSV file for analysis using SPSS.</w:t>
      </w:r>
      <w:r w:rsidRPr="00B91C49">
        <w:rPr>
          <w:rFonts w:asciiTheme="minorHAnsi" w:hAnsiTheme="minorHAnsi" w:cstheme="minorHAnsi"/>
          <w:sz w:val="22"/>
          <w:szCs w:val="22"/>
          <w:vertAlign w:val="superscript"/>
        </w:rPr>
        <w:footnoteReference w:id="2"/>
      </w:r>
    </w:p>
    <w:p w:rsidR="00136EC0" w:rsidRPr="00B91C49" w:rsidRDefault="00000000" w:rsidP="00B91C49">
      <w:pPr>
        <w:spacing w:line="360" w:lineRule="auto"/>
        <w:jc w:val="both"/>
        <w:rPr>
          <w:rFonts w:asciiTheme="minorHAnsi" w:hAnsiTheme="minorHAnsi" w:cstheme="minorHAnsi"/>
          <w:sz w:val="22"/>
          <w:szCs w:val="22"/>
        </w:rPr>
      </w:pPr>
      <w:r w:rsidRPr="00B91C49">
        <w:rPr>
          <w:rFonts w:asciiTheme="minorHAnsi" w:hAnsiTheme="minorHAnsi" w:cstheme="minorHAnsi"/>
          <w:sz w:val="22"/>
          <w:szCs w:val="22"/>
        </w:rPr>
        <w:t>The demographic and penal information for the executed inmates can be briefly summarised as follows: all but six were male, with a mean age of 39.83 years at the time of their execution (SD 9.027). Two-thirds of inmates came from Texas (66%), with the majority (55%) being non-white (this group being composed of 66% Black and 34% Hispanic inmates). A majority (54%) of inmates were recorded as having had a prior conviction, and their mean education level was 10 years (SD 2.146). The mean age at which they committed the offence for which they were sentenced to death was 27 years old (SD 7.889), and on average each inmate had spent just over 11 years on death row prior to their execution (136.19 months: SD 58.332).</w:t>
      </w:r>
      <w:r w:rsidRPr="00B91C49">
        <w:rPr>
          <w:rFonts w:asciiTheme="minorHAnsi" w:hAnsiTheme="minorHAnsi" w:cstheme="minorHAnsi"/>
          <w:sz w:val="22"/>
          <w:szCs w:val="22"/>
          <w:vertAlign w:val="superscript"/>
        </w:rPr>
        <w:footnoteReference w:id="3"/>
      </w:r>
      <w:r w:rsidRPr="00B91C49">
        <w:rPr>
          <w:rFonts w:asciiTheme="minorHAnsi" w:hAnsiTheme="minorHAnsi" w:cstheme="minorHAnsi"/>
          <w:sz w:val="22"/>
          <w:szCs w:val="22"/>
        </w:rPr>
        <w:t xml:space="preserve"> </w:t>
      </w:r>
    </w:p>
    <w:p w:rsidR="00136EC0" w:rsidRPr="00B91C49" w:rsidRDefault="00136EC0">
      <w:pPr>
        <w:pBdr>
          <w:top w:val="nil"/>
          <w:left w:val="nil"/>
          <w:bottom w:val="nil"/>
          <w:right w:val="nil"/>
          <w:between w:val="nil"/>
        </w:pBdr>
        <w:spacing w:line="360" w:lineRule="auto"/>
        <w:jc w:val="both"/>
        <w:rPr>
          <w:rFonts w:asciiTheme="minorHAnsi" w:hAnsiTheme="minorHAnsi" w:cstheme="minorHAnsi"/>
          <w:sz w:val="22"/>
          <w:szCs w:val="22"/>
        </w:rPr>
      </w:pPr>
    </w:p>
    <w:p w:rsidR="00136EC0" w:rsidRPr="00B91C49" w:rsidRDefault="00000000">
      <w:pPr>
        <w:pBdr>
          <w:top w:val="nil"/>
          <w:left w:val="nil"/>
          <w:bottom w:val="nil"/>
          <w:right w:val="nil"/>
          <w:between w:val="nil"/>
        </w:pBdr>
        <w:spacing w:line="360" w:lineRule="auto"/>
        <w:jc w:val="both"/>
        <w:rPr>
          <w:rFonts w:asciiTheme="minorHAnsi" w:hAnsiTheme="minorHAnsi" w:cstheme="minorHAnsi"/>
          <w:b/>
          <w:sz w:val="22"/>
          <w:szCs w:val="22"/>
        </w:rPr>
      </w:pPr>
      <w:r w:rsidRPr="00B91C49">
        <w:rPr>
          <w:rFonts w:asciiTheme="minorHAnsi" w:hAnsiTheme="minorHAnsi" w:cstheme="minorHAnsi"/>
          <w:b/>
          <w:sz w:val="22"/>
          <w:szCs w:val="22"/>
        </w:rPr>
        <w:t>Analysis</w:t>
      </w:r>
    </w:p>
    <w:p w:rsidR="00136EC0" w:rsidRPr="00B91C49" w:rsidRDefault="00000000" w:rsidP="00B91C49">
      <w:pPr>
        <w:spacing w:line="360" w:lineRule="auto"/>
        <w:jc w:val="both"/>
        <w:rPr>
          <w:rFonts w:asciiTheme="minorHAnsi" w:hAnsiTheme="minorHAnsi" w:cstheme="minorHAnsi"/>
          <w:sz w:val="22"/>
          <w:szCs w:val="22"/>
        </w:rPr>
      </w:pPr>
      <w:r w:rsidRPr="00B91C49">
        <w:rPr>
          <w:rFonts w:asciiTheme="minorHAnsi" w:hAnsiTheme="minorHAnsi" w:cstheme="minorHAnsi"/>
          <w:sz w:val="22"/>
          <w:szCs w:val="22"/>
        </w:rPr>
        <w:t xml:space="preserve">In order to provide a robust exploration of the central research question, analysis employed a single binary logistic regression model with a binary measure capturing whether the offender gave a statement (yes/no) used as dependent variable alongside demographic controls for age (scale), sex (binary), ethnicity (nominal, black as reference category), and number of years of formal education (scale). Alongside this, three further measures relating to imprisonment were included as controls: duration of imprisonment in months (scale), previous imprisonment (binary), and the presence of victims’ family and close friends (binary). Model diagnostics including </w:t>
      </w:r>
      <w:proofErr w:type="spellStart"/>
      <w:r w:rsidRPr="00B91C49">
        <w:rPr>
          <w:rFonts w:asciiTheme="minorHAnsi" w:hAnsiTheme="minorHAnsi" w:cstheme="minorHAnsi"/>
          <w:sz w:val="22"/>
          <w:szCs w:val="22"/>
        </w:rPr>
        <w:t>Nagelkerke</w:t>
      </w:r>
      <w:proofErr w:type="spellEnd"/>
      <w:r w:rsidRPr="00B91C49">
        <w:rPr>
          <w:rFonts w:asciiTheme="minorHAnsi" w:hAnsiTheme="minorHAnsi" w:cstheme="minorHAnsi"/>
          <w:sz w:val="22"/>
          <w:szCs w:val="22"/>
        </w:rPr>
        <w:t xml:space="preserve"> pseudo-R2, and Hosmer-</w:t>
      </w:r>
      <w:proofErr w:type="spellStart"/>
      <w:r w:rsidRPr="00B91C49">
        <w:rPr>
          <w:rFonts w:asciiTheme="minorHAnsi" w:hAnsiTheme="minorHAnsi" w:cstheme="minorHAnsi"/>
          <w:sz w:val="22"/>
          <w:szCs w:val="22"/>
        </w:rPr>
        <w:t>Lemeshow</w:t>
      </w:r>
      <w:proofErr w:type="spellEnd"/>
      <w:r w:rsidRPr="00B91C49">
        <w:rPr>
          <w:rFonts w:asciiTheme="minorHAnsi" w:hAnsiTheme="minorHAnsi" w:cstheme="minorHAnsi"/>
          <w:sz w:val="22"/>
          <w:szCs w:val="22"/>
        </w:rPr>
        <w:t xml:space="preserve"> goodness of fit tests were used prior to analysis to assess overall model fit and alignment. Significance was calculated at </w:t>
      </w:r>
      <w:r w:rsidRPr="00B91C49">
        <w:rPr>
          <w:rFonts w:asciiTheme="minorHAnsi" w:hAnsiTheme="minorHAnsi" w:cstheme="minorHAnsi"/>
          <w:color w:val="000000" w:themeColor="text1"/>
          <w:sz w:val="22"/>
          <w:szCs w:val="22"/>
        </w:rPr>
        <w:t>the 5% level.</w:t>
      </w:r>
    </w:p>
    <w:p w:rsidR="00136EC0" w:rsidRPr="00B91C49" w:rsidRDefault="00000000">
      <w:pPr>
        <w:spacing w:line="360" w:lineRule="auto"/>
        <w:ind w:firstLine="720"/>
        <w:rPr>
          <w:rFonts w:asciiTheme="minorHAnsi" w:hAnsiTheme="minorHAnsi" w:cstheme="minorHAnsi"/>
          <w:sz w:val="22"/>
          <w:szCs w:val="22"/>
        </w:rPr>
      </w:pPr>
      <w:r w:rsidRPr="00B91C49">
        <w:rPr>
          <w:rFonts w:asciiTheme="minorHAnsi" w:hAnsiTheme="minorHAnsi" w:cstheme="minorHAnsi"/>
          <w:sz w:val="22"/>
          <w:szCs w:val="22"/>
        </w:rPr>
        <w:t>A single model was produced including all independent variables, the results from which are presented in table 1, below.</w:t>
      </w:r>
    </w:p>
    <w:p w:rsidR="00136EC0" w:rsidRPr="00B91C49" w:rsidRDefault="00000000">
      <w:pPr>
        <w:rPr>
          <w:rFonts w:asciiTheme="minorHAnsi" w:hAnsiTheme="minorHAnsi" w:cstheme="minorHAnsi"/>
          <w:sz w:val="22"/>
          <w:szCs w:val="22"/>
        </w:rPr>
      </w:pPr>
      <w:r w:rsidRPr="00B91C49">
        <w:rPr>
          <w:rFonts w:asciiTheme="minorHAnsi" w:hAnsiTheme="minorHAnsi" w:cstheme="minorHAnsi"/>
          <w:sz w:val="22"/>
          <w:szCs w:val="22"/>
        </w:rPr>
        <w:t xml:space="preserve"> </w:t>
      </w:r>
    </w:p>
    <w:p w:rsidR="00136EC0" w:rsidRPr="00B91C49" w:rsidRDefault="00000000">
      <w:pPr>
        <w:rPr>
          <w:rFonts w:asciiTheme="minorHAnsi" w:hAnsiTheme="minorHAnsi" w:cstheme="minorHAnsi"/>
          <w:b/>
          <w:i/>
          <w:sz w:val="22"/>
          <w:szCs w:val="22"/>
        </w:rPr>
      </w:pPr>
      <w:r w:rsidRPr="00B91C49">
        <w:rPr>
          <w:rFonts w:asciiTheme="minorHAnsi" w:hAnsiTheme="minorHAnsi" w:cstheme="minorHAnsi"/>
          <w:b/>
          <w:i/>
          <w:sz w:val="22"/>
          <w:szCs w:val="22"/>
        </w:rPr>
        <w:lastRenderedPageBreak/>
        <w:t>Table 1 – Demographic and Penal Variables as Predictors of Death Row Statements</w:t>
      </w:r>
    </w:p>
    <w:p w:rsidR="00136EC0" w:rsidRPr="00B91C49" w:rsidRDefault="00000000">
      <w:pPr>
        <w:rPr>
          <w:rFonts w:asciiTheme="minorHAnsi" w:hAnsiTheme="minorHAnsi" w:cstheme="minorHAnsi"/>
          <w:b/>
          <w:i/>
          <w:sz w:val="22"/>
          <w:szCs w:val="22"/>
        </w:rPr>
      </w:pPr>
      <w:r w:rsidRPr="00B91C49">
        <w:rPr>
          <w:rFonts w:asciiTheme="minorHAnsi" w:hAnsiTheme="minorHAnsi" w:cstheme="minorHAnsi"/>
          <w:b/>
          <w:i/>
          <w:sz w:val="22"/>
          <w:szCs w:val="22"/>
        </w:rPr>
        <w:t xml:space="preserve"> </w:t>
      </w:r>
    </w:p>
    <w:tbl>
      <w:tblPr>
        <w:tblStyle w:val="a"/>
        <w:tblW w:w="9025" w:type="dxa"/>
        <w:tblBorders>
          <w:top w:val="nil"/>
          <w:left w:val="nil"/>
          <w:bottom w:val="nil"/>
          <w:right w:val="nil"/>
          <w:insideH w:val="nil"/>
          <w:insideV w:val="nil"/>
        </w:tblBorders>
        <w:tblLayout w:type="fixed"/>
        <w:tblLook w:val="0600" w:firstRow="0" w:lastRow="0" w:firstColumn="0" w:lastColumn="0" w:noHBand="1" w:noVBand="1"/>
      </w:tblPr>
      <w:tblGrid>
        <w:gridCol w:w="2590"/>
        <w:gridCol w:w="2101"/>
        <w:gridCol w:w="2071"/>
        <w:gridCol w:w="2263"/>
      </w:tblGrid>
      <w:tr w:rsidR="00136EC0" w:rsidRPr="00B91C49">
        <w:trPr>
          <w:trHeight w:val="555"/>
        </w:trPr>
        <w:tc>
          <w:tcPr>
            <w:tcW w:w="2589" w:type="dxa"/>
            <w:tcBorders>
              <w:top w:val="nil"/>
              <w:left w:val="nil"/>
              <w:bottom w:val="single" w:sz="6" w:space="0" w:color="000000"/>
              <w:right w:val="nil"/>
            </w:tcBorders>
            <w:tcMar>
              <w:top w:w="0" w:type="dxa"/>
              <w:left w:w="100" w:type="dxa"/>
              <w:bottom w:w="0" w:type="dxa"/>
              <w:right w:w="100" w:type="dxa"/>
            </w:tcMar>
          </w:tcPr>
          <w:p w:rsidR="00136EC0" w:rsidRPr="00B91C49" w:rsidRDefault="00000000">
            <w:pPr>
              <w:jc w:val="center"/>
              <w:rPr>
                <w:rFonts w:asciiTheme="minorHAnsi" w:hAnsiTheme="minorHAnsi" w:cstheme="minorHAnsi"/>
                <w:b/>
                <w:i/>
                <w:sz w:val="22"/>
                <w:szCs w:val="22"/>
              </w:rPr>
            </w:pPr>
            <w:r w:rsidRPr="00B91C49">
              <w:rPr>
                <w:rFonts w:asciiTheme="minorHAnsi" w:hAnsiTheme="minorHAnsi" w:cstheme="minorHAnsi"/>
                <w:b/>
                <w:i/>
                <w:sz w:val="22"/>
                <w:szCs w:val="22"/>
              </w:rPr>
              <w:t xml:space="preserve"> </w:t>
            </w:r>
          </w:p>
        </w:tc>
        <w:tc>
          <w:tcPr>
            <w:tcW w:w="2101" w:type="dxa"/>
            <w:tcBorders>
              <w:top w:val="nil"/>
              <w:left w:val="nil"/>
              <w:bottom w:val="single" w:sz="6" w:space="0" w:color="000000"/>
              <w:right w:val="nil"/>
            </w:tcBorders>
            <w:tcMar>
              <w:top w:w="0" w:type="dxa"/>
              <w:left w:w="100" w:type="dxa"/>
              <w:bottom w:w="0" w:type="dxa"/>
              <w:right w:w="100" w:type="dxa"/>
            </w:tcMar>
          </w:tcPr>
          <w:p w:rsidR="00136EC0" w:rsidRPr="00B91C49" w:rsidRDefault="00000000">
            <w:pPr>
              <w:jc w:val="center"/>
              <w:rPr>
                <w:rFonts w:asciiTheme="minorHAnsi" w:hAnsiTheme="minorHAnsi" w:cstheme="minorHAnsi"/>
                <w:b/>
                <w:sz w:val="22"/>
                <w:szCs w:val="22"/>
              </w:rPr>
            </w:pPr>
            <w:r w:rsidRPr="00B91C49">
              <w:rPr>
                <w:rFonts w:asciiTheme="minorHAnsi" w:hAnsiTheme="minorHAnsi" w:cstheme="minorHAnsi"/>
                <w:b/>
                <w:sz w:val="22"/>
                <w:szCs w:val="22"/>
              </w:rPr>
              <w:t>b</w:t>
            </w:r>
          </w:p>
        </w:tc>
        <w:tc>
          <w:tcPr>
            <w:tcW w:w="2071" w:type="dxa"/>
            <w:tcBorders>
              <w:top w:val="nil"/>
              <w:left w:val="nil"/>
              <w:bottom w:val="single" w:sz="6" w:space="0" w:color="000000"/>
              <w:right w:val="nil"/>
            </w:tcBorders>
            <w:tcMar>
              <w:top w:w="0" w:type="dxa"/>
              <w:left w:w="100" w:type="dxa"/>
              <w:bottom w:w="0" w:type="dxa"/>
              <w:right w:w="100" w:type="dxa"/>
            </w:tcMar>
          </w:tcPr>
          <w:p w:rsidR="00136EC0" w:rsidRPr="00B91C49" w:rsidRDefault="00000000">
            <w:pPr>
              <w:jc w:val="center"/>
              <w:rPr>
                <w:rFonts w:asciiTheme="minorHAnsi" w:hAnsiTheme="minorHAnsi" w:cstheme="minorHAnsi"/>
                <w:b/>
                <w:sz w:val="22"/>
                <w:szCs w:val="22"/>
              </w:rPr>
            </w:pPr>
            <w:r w:rsidRPr="00B91C49">
              <w:rPr>
                <w:rFonts w:asciiTheme="minorHAnsi" w:hAnsiTheme="minorHAnsi" w:cstheme="minorHAnsi"/>
                <w:b/>
                <w:sz w:val="22"/>
                <w:szCs w:val="22"/>
              </w:rPr>
              <w:t>S.E.</w:t>
            </w:r>
          </w:p>
        </w:tc>
        <w:tc>
          <w:tcPr>
            <w:tcW w:w="2263" w:type="dxa"/>
            <w:tcBorders>
              <w:top w:val="nil"/>
              <w:left w:val="nil"/>
              <w:bottom w:val="single" w:sz="6" w:space="0" w:color="000000"/>
              <w:right w:val="nil"/>
            </w:tcBorders>
            <w:tcMar>
              <w:top w:w="0" w:type="dxa"/>
              <w:left w:w="100" w:type="dxa"/>
              <w:bottom w:w="0" w:type="dxa"/>
              <w:right w:w="100" w:type="dxa"/>
            </w:tcMar>
          </w:tcPr>
          <w:p w:rsidR="00136EC0" w:rsidRPr="00B91C49" w:rsidRDefault="00000000">
            <w:pPr>
              <w:jc w:val="center"/>
              <w:rPr>
                <w:rFonts w:asciiTheme="minorHAnsi" w:hAnsiTheme="minorHAnsi" w:cstheme="minorHAnsi"/>
                <w:b/>
                <w:sz w:val="22"/>
                <w:szCs w:val="22"/>
              </w:rPr>
            </w:pPr>
            <w:r w:rsidRPr="00B91C49">
              <w:rPr>
                <w:rFonts w:asciiTheme="minorHAnsi" w:hAnsiTheme="minorHAnsi" w:cstheme="minorHAnsi"/>
                <w:b/>
                <w:sz w:val="22"/>
                <w:szCs w:val="22"/>
              </w:rPr>
              <w:t>O.R.</w:t>
            </w:r>
          </w:p>
          <w:p w:rsidR="00136EC0" w:rsidRPr="00B91C49" w:rsidRDefault="00000000">
            <w:pPr>
              <w:jc w:val="center"/>
              <w:rPr>
                <w:rFonts w:asciiTheme="minorHAnsi" w:hAnsiTheme="minorHAnsi" w:cstheme="minorHAnsi"/>
                <w:b/>
                <w:sz w:val="22"/>
                <w:szCs w:val="22"/>
              </w:rPr>
            </w:pPr>
            <w:r w:rsidRPr="00B91C49">
              <w:rPr>
                <w:rFonts w:asciiTheme="minorHAnsi" w:hAnsiTheme="minorHAnsi" w:cstheme="minorHAnsi"/>
                <w:b/>
                <w:sz w:val="22"/>
                <w:szCs w:val="22"/>
              </w:rPr>
              <w:t xml:space="preserve"> </w:t>
            </w:r>
          </w:p>
        </w:tc>
      </w:tr>
      <w:tr w:rsidR="00136EC0" w:rsidRPr="00B91C49">
        <w:trPr>
          <w:trHeight w:val="285"/>
        </w:trPr>
        <w:tc>
          <w:tcPr>
            <w:tcW w:w="2589" w:type="dxa"/>
            <w:tcBorders>
              <w:top w:val="nil"/>
              <w:left w:val="nil"/>
              <w:bottom w:val="nil"/>
              <w:right w:val="nil"/>
            </w:tcBorders>
            <w:tcMar>
              <w:top w:w="0" w:type="dxa"/>
              <w:left w:w="100" w:type="dxa"/>
              <w:bottom w:w="0" w:type="dxa"/>
              <w:right w:w="100" w:type="dxa"/>
            </w:tcMar>
          </w:tcPr>
          <w:p w:rsidR="00136EC0" w:rsidRPr="00B91C49" w:rsidRDefault="00000000">
            <w:pPr>
              <w:jc w:val="center"/>
              <w:rPr>
                <w:rFonts w:asciiTheme="minorHAnsi" w:hAnsiTheme="minorHAnsi" w:cstheme="minorHAnsi"/>
                <w:b/>
                <w:i/>
                <w:sz w:val="22"/>
                <w:szCs w:val="22"/>
              </w:rPr>
            </w:pPr>
            <w:r w:rsidRPr="00B91C49">
              <w:rPr>
                <w:rFonts w:asciiTheme="minorHAnsi" w:hAnsiTheme="minorHAnsi" w:cstheme="minorHAnsi"/>
                <w:b/>
                <w:i/>
                <w:sz w:val="22"/>
                <w:szCs w:val="22"/>
              </w:rPr>
              <w:t xml:space="preserve"> </w:t>
            </w:r>
          </w:p>
        </w:tc>
        <w:tc>
          <w:tcPr>
            <w:tcW w:w="2101" w:type="dxa"/>
            <w:tcBorders>
              <w:top w:val="nil"/>
              <w:left w:val="nil"/>
              <w:bottom w:val="nil"/>
              <w:right w:val="nil"/>
            </w:tcBorders>
            <w:tcMar>
              <w:top w:w="0" w:type="dxa"/>
              <w:left w:w="100" w:type="dxa"/>
              <w:bottom w:w="0" w:type="dxa"/>
              <w:right w:w="100" w:type="dxa"/>
            </w:tcMar>
          </w:tcPr>
          <w:p w:rsidR="00136EC0" w:rsidRPr="00B91C49" w:rsidRDefault="00000000">
            <w:pPr>
              <w:jc w:val="center"/>
              <w:rPr>
                <w:rFonts w:asciiTheme="minorHAnsi" w:hAnsiTheme="minorHAnsi" w:cstheme="minorHAnsi"/>
                <w:b/>
                <w:i/>
                <w:sz w:val="22"/>
                <w:szCs w:val="22"/>
              </w:rPr>
            </w:pPr>
            <w:r w:rsidRPr="00B91C49">
              <w:rPr>
                <w:rFonts w:asciiTheme="minorHAnsi" w:hAnsiTheme="minorHAnsi" w:cstheme="minorHAnsi"/>
                <w:b/>
                <w:i/>
                <w:sz w:val="22"/>
                <w:szCs w:val="22"/>
              </w:rPr>
              <w:t xml:space="preserve"> </w:t>
            </w:r>
          </w:p>
        </w:tc>
        <w:tc>
          <w:tcPr>
            <w:tcW w:w="2071" w:type="dxa"/>
            <w:tcBorders>
              <w:top w:val="nil"/>
              <w:left w:val="nil"/>
              <w:bottom w:val="nil"/>
              <w:right w:val="nil"/>
            </w:tcBorders>
            <w:tcMar>
              <w:top w:w="0" w:type="dxa"/>
              <w:left w:w="100" w:type="dxa"/>
              <w:bottom w:w="0" w:type="dxa"/>
              <w:right w:w="100" w:type="dxa"/>
            </w:tcMar>
          </w:tcPr>
          <w:p w:rsidR="00136EC0" w:rsidRPr="00B91C49" w:rsidRDefault="00000000">
            <w:pPr>
              <w:jc w:val="center"/>
              <w:rPr>
                <w:rFonts w:asciiTheme="minorHAnsi" w:hAnsiTheme="minorHAnsi" w:cstheme="minorHAnsi"/>
                <w:b/>
                <w:i/>
                <w:sz w:val="22"/>
                <w:szCs w:val="22"/>
              </w:rPr>
            </w:pPr>
            <w:r w:rsidRPr="00B91C49">
              <w:rPr>
                <w:rFonts w:asciiTheme="minorHAnsi" w:hAnsiTheme="minorHAnsi" w:cstheme="minorHAnsi"/>
                <w:b/>
                <w:i/>
                <w:sz w:val="22"/>
                <w:szCs w:val="22"/>
              </w:rPr>
              <w:t xml:space="preserve"> </w:t>
            </w:r>
          </w:p>
        </w:tc>
        <w:tc>
          <w:tcPr>
            <w:tcW w:w="2263" w:type="dxa"/>
            <w:tcBorders>
              <w:top w:val="nil"/>
              <w:left w:val="nil"/>
              <w:bottom w:val="nil"/>
              <w:right w:val="nil"/>
            </w:tcBorders>
            <w:tcMar>
              <w:top w:w="0" w:type="dxa"/>
              <w:left w:w="100" w:type="dxa"/>
              <w:bottom w:w="0" w:type="dxa"/>
              <w:right w:w="100" w:type="dxa"/>
            </w:tcMar>
          </w:tcPr>
          <w:p w:rsidR="00136EC0" w:rsidRPr="00B91C49" w:rsidRDefault="00000000">
            <w:pPr>
              <w:jc w:val="center"/>
              <w:rPr>
                <w:rFonts w:asciiTheme="minorHAnsi" w:hAnsiTheme="minorHAnsi" w:cstheme="minorHAnsi"/>
                <w:b/>
                <w:i/>
                <w:sz w:val="22"/>
                <w:szCs w:val="22"/>
              </w:rPr>
            </w:pPr>
            <w:r w:rsidRPr="00B91C49">
              <w:rPr>
                <w:rFonts w:asciiTheme="minorHAnsi" w:hAnsiTheme="minorHAnsi" w:cstheme="minorHAnsi"/>
                <w:b/>
                <w:i/>
                <w:sz w:val="22"/>
                <w:szCs w:val="22"/>
              </w:rPr>
              <w:t xml:space="preserve"> </w:t>
            </w:r>
          </w:p>
        </w:tc>
      </w:tr>
      <w:tr w:rsidR="00136EC0" w:rsidRPr="00B91C49">
        <w:trPr>
          <w:trHeight w:val="270"/>
        </w:trPr>
        <w:tc>
          <w:tcPr>
            <w:tcW w:w="2589" w:type="dxa"/>
            <w:tcBorders>
              <w:top w:val="nil"/>
              <w:left w:val="nil"/>
              <w:bottom w:val="nil"/>
              <w:right w:val="nil"/>
            </w:tcBorders>
            <w:tcMar>
              <w:top w:w="0" w:type="dxa"/>
              <w:left w:w="100" w:type="dxa"/>
              <w:bottom w:w="0" w:type="dxa"/>
              <w:right w:w="100" w:type="dxa"/>
            </w:tcMar>
          </w:tcPr>
          <w:p w:rsidR="00136EC0" w:rsidRPr="00B91C49" w:rsidRDefault="00000000">
            <w:pPr>
              <w:jc w:val="right"/>
              <w:rPr>
                <w:rFonts w:asciiTheme="minorHAnsi" w:hAnsiTheme="minorHAnsi" w:cstheme="minorHAnsi"/>
                <w:b/>
                <w:sz w:val="22"/>
                <w:szCs w:val="22"/>
              </w:rPr>
            </w:pPr>
            <w:r w:rsidRPr="00B91C49">
              <w:rPr>
                <w:rFonts w:asciiTheme="minorHAnsi" w:hAnsiTheme="minorHAnsi" w:cstheme="minorHAnsi"/>
                <w:b/>
                <w:sz w:val="22"/>
                <w:szCs w:val="22"/>
              </w:rPr>
              <w:t>Age (at Execution)</w:t>
            </w:r>
          </w:p>
        </w:tc>
        <w:tc>
          <w:tcPr>
            <w:tcW w:w="2101" w:type="dxa"/>
            <w:tcBorders>
              <w:top w:val="nil"/>
              <w:left w:val="nil"/>
              <w:bottom w:val="nil"/>
              <w:right w:val="nil"/>
            </w:tcBorders>
            <w:tcMar>
              <w:top w:w="0" w:type="dxa"/>
              <w:left w:w="100" w:type="dxa"/>
              <w:bottom w:w="0" w:type="dxa"/>
              <w:right w:w="100" w:type="dxa"/>
            </w:tcMar>
          </w:tcPr>
          <w:p w:rsidR="00136EC0" w:rsidRPr="00B91C49" w:rsidRDefault="00000000">
            <w:pPr>
              <w:jc w:val="center"/>
              <w:rPr>
                <w:rFonts w:asciiTheme="minorHAnsi" w:hAnsiTheme="minorHAnsi" w:cstheme="minorHAnsi"/>
                <w:sz w:val="22"/>
                <w:szCs w:val="22"/>
              </w:rPr>
            </w:pPr>
            <w:r w:rsidRPr="00B91C49">
              <w:rPr>
                <w:rFonts w:asciiTheme="minorHAnsi" w:hAnsiTheme="minorHAnsi" w:cstheme="minorHAnsi"/>
                <w:sz w:val="22"/>
                <w:szCs w:val="22"/>
              </w:rPr>
              <w:t>-.030</w:t>
            </w:r>
          </w:p>
        </w:tc>
        <w:tc>
          <w:tcPr>
            <w:tcW w:w="2071" w:type="dxa"/>
            <w:tcBorders>
              <w:top w:val="nil"/>
              <w:left w:val="nil"/>
              <w:bottom w:val="nil"/>
              <w:right w:val="nil"/>
            </w:tcBorders>
            <w:tcMar>
              <w:top w:w="0" w:type="dxa"/>
              <w:left w:w="100" w:type="dxa"/>
              <w:bottom w:w="0" w:type="dxa"/>
              <w:right w:w="100" w:type="dxa"/>
            </w:tcMar>
          </w:tcPr>
          <w:p w:rsidR="00136EC0" w:rsidRPr="00B91C49" w:rsidRDefault="00000000">
            <w:pPr>
              <w:jc w:val="center"/>
              <w:rPr>
                <w:rFonts w:asciiTheme="minorHAnsi" w:hAnsiTheme="minorHAnsi" w:cstheme="minorHAnsi"/>
                <w:sz w:val="22"/>
                <w:szCs w:val="22"/>
              </w:rPr>
            </w:pPr>
            <w:r w:rsidRPr="00B91C49">
              <w:rPr>
                <w:rFonts w:asciiTheme="minorHAnsi" w:hAnsiTheme="minorHAnsi" w:cstheme="minorHAnsi"/>
                <w:sz w:val="22"/>
                <w:szCs w:val="22"/>
              </w:rPr>
              <w:t>.048</w:t>
            </w:r>
          </w:p>
        </w:tc>
        <w:tc>
          <w:tcPr>
            <w:tcW w:w="2263" w:type="dxa"/>
            <w:tcBorders>
              <w:top w:val="nil"/>
              <w:left w:val="nil"/>
              <w:bottom w:val="nil"/>
              <w:right w:val="nil"/>
            </w:tcBorders>
            <w:tcMar>
              <w:top w:w="0" w:type="dxa"/>
              <w:left w:w="100" w:type="dxa"/>
              <w:bottom w:w="0" w:type="dxa"/>
              <w:right w:w="100" w:type="dxa"/>
            </w:tcMar>
          </w:tcPr>
          <w:p w:rsidR="00136EC0" w:rsidRPr="00B91C49" w:rsidRDefault="00000000">
            <w:pPr>
              <w:jc w:val="center"/>
              <w:rPr>
                <w:rFonts w:asciiTheme="minorHAnsi" w:hAnsiTheme="minorHAnsi" w:cstheme="minorHAnsi"/>
                <w:sz w:val="22"/>
                <w:szCs w:val="22"/>
              </w:rPr>
            </w:pPr>
            <w:r w:rsidRPr="00B91C49">
              <w:rPr>
                <w:rFonts w:asciiTheme="minorHAnsi" w:hAnsiTheme="minorHAnsi" w:cstheme="minorHAnsi"/>
                <w:sz w:val="22"/>
                <w:szCs w:val="22"/>
              </w:rPr>
              <w:t>.970</w:t>
            </w:r>
          </w:p>
        </w:tc>
      </w:tr>
      <w:tr w:rsidR="00136EC0" w:rsidRPr="00B91C49">
        <w:trPr>
          <w:trHeight w:val="270"/>
        </w:trPr>
        <w:tc>
          <w:tcPr>
            <w:tcW w:w="2589" w:type="dxa"/>
            <w:tcBorders>
              <w:top w:val="nil"/>
              <w:left w:val="nil"/>
              <w:bottom w:val="nil"/>
              <w:right w:val="nil"/>
            </w:tcBorders>
            <w:tcMar>
              <w:top w:w="0" w:type="dxa"/>
              <w:left w:w="100" w:type="dxa"/>
              <w:bottom w:w="0" w:type="dxa"/>
              <w:right w:w="100" w:type="dxa"/>
            </w:tcMar>
          </w:tcPr>
          <w:p w:rsidR="00136EC0" w:rsidRPr="00B91C49" w:rsidRDefault="00000000">
            <w:pPr>
              <w:jc w:val="right"/>
              <w:rPr>
                <w:rFonts w:asciiTheme="minorHAnsi" w:hAnsiTheme="minorHAnsi" w:cstheme="minorHAnsi"/>
                <w:b/>
                <w:sz w:val="22"/>
                <w:szCs w:val="22"/>
              </w:rPr>
            </w:pPr>
            <w:r w:rsidRPr="00B91C49">
              <w:rPr>
                <w:rFonts w:asciiTheme="minorHAnsi" w:hAnsiTheme="minorHAnsi" w:cstheme="minorHAnsi"/>
                <w:b/>
                <w:sz w:val="22"/>
                <w:szCs w:val="22"/>
              </w:rPr>
              <w:t>Sex</w:t>
            </w:r>
          </w:p>
        </w:tc>
        <w:tc>
          <w:tcPr>
            <w:tcW w:w="2101" w:type="dxa"/>
            <w:tcBorders>
              <w:top w:val="nil"/>
              <w:left w:val="nil"/>
              <w:bottom w:val="nil"/>
              <w:right w:val="nil"/>
            </w:tcBorders>
            <w:tcMar>
              <w:top w:w="0" w:type="dxa"/>
              <w:left w:w="100" w:type="dxa"/>
              <w:bottom w:w="0" w:type="dxa"/>
              <w:right w:w="100" w:type="dxa"/>
            </w:tcMar>
          </w:tcPr>
          <w:p w:rsidR="00136EC0" w:rsidRPr="00B91C49" w:rsidRDefault="00000000">
            <w:pPr>
              <w:jc w:val="center"/>
              <w:rPr>
                <w:rFonts w:asciiTheme="minorHAnsi" w:hAnsiTheme="minorHAnsi" w:cstheme="minorHAnsi"/>
                <w:sz w:val="22"/>
                <w:szCs w:val="22"/>
              </w:rPr>
            </w:pPr>
            <w:r w:rsidRPr="00B91C49">
              <w:rPr>
                <w:rFonts w:asciiTheme="minorHAnsi" w:hAnsiTheme="minorHAnsi" w:cstheme="minorHAnsi"/>
                <w:sz w:val="22"/>
                <w:szCs w:val="22"/>
              </w:rPr>
              <w:t>1.532</w:t>
            </w:r>
          </w:p>
        </w:tc>
        <w:tc>
          <w:tcPr>
            <w:tcW w:w="2071" w:type="dxa"/>
            <w:tcBorders>
              <w:top w:val="nil"/>
              <w:left w:val="nil"/>
              <w:bottom w:val="nil"/>
              <w:right w:val="nil"/>
            </w:tcBorders>
            <w:tcMar>
              <w:top w:w="0" w:type="dxa"/>
              <w:left w:w="100" w:type="dxa"/>
              <w:bottom w:w="0" w:type="dxa"/>
              <w:right w:w="100" w:type="dxa"/>
            </w:tcMar>
          </w:tcPr>
          <w:p w:rsidR="00136EC0" w:rsidRPr="00B91C49" w:rsidRDefault="00000000">
            <w:pPr>
              <w:jc w:val="center"/>
              <w:rPr>
                <w:rFonts w:asciiTheme="minorHAnsi" w:hAnsiTheme="minorHAnsi" w:cstheme="minorHAnsi"/>
                <w:sz w:val="22"/>
                <w:szCs w:val="22"/>
              </w:rPr>
            </w:pPr>
            <w:r w:rsidRPr="00B91C49">
              <w:rPr>
                <w:rFonts w:asciiTheme="minorHAnsi" w:hAnsiTheme="minorHAnsi" w:cstheme="minorHAnsi"/>
                <w:sz w:val="22"/>
                <w:szCs w:val="22"/>
              </w:rPr>
              <w:t>.856</w:t>
            </w:r>
          </w:p>
        </w:tc>
        <w:tc>
          <w:tcPr>
            <w:tcW w:w="2263" w:type="dxa"/>
            <w:tcBorders>
              <w:top w:val="nil"/>
              <w:left w:val="nil"/>
              <w:bottom w:val="nil"/>
              <w:right w:val="nil"/>
            </w:tcBorders>
            <w:tcMar>
              <w:top w:w="0" w:type="dxa"/>
              <w:left w:w="100" w:type="dxa"/>
              <w:bottom w:w="0" w:type="dxa"/>
              <w:right w:w="100" w:type="dxa"/>
            </w:tcMar>
          </w:tcPr>
          <w:p w:rsidR="00136EC0" w:rsidRPr="00B91C49" w:rsidRDefault="00000000">
            <w:pPr>
              <w:jc w:val="center"/>
              <w:rPr>
                <w:rFonts w:asciiTheme="minorHAnsi" w:hAnsiTheme="minorHAnsi" w:cstheme="minorHAnsi"/>
                <w:sz w:val="22"/>
                <w:szCs w:val="22"/>
              </w:rPr>
            </w:pPr>
            <w:r w:rsidRPr="00B91C49">
              <w:rPr>
                <w:rFonts w:asciiTheme="minorHAnsi" w:hAnsiTheme="minorHAnsi" w:cstheme="minorHAnsi"/>
                <w:sz w:val="22"/>
                <w:szCs w:val="22"/>
              </w:rPr>
              <w:t>4.629</w:t>
            </w:r>
          </w:p>
        </w:tc>
      </w:tr>
      <w:tr w:rsidR="00136EC0" w:rsidRPr="00B91C49">
        <w:trPr>
          <w:trHeight w:val="270"/>
        </w:trPr>
        <w:tc>
          <w:tcPr>
            <w:tcW w:w="2589" w:type="dxa"/>
            <w:tcBorders>
              <w:top w:val="nil"/>
              <w:left w:val="nil"/>
              <w:bottom w:val="nil"/>
              <w:right w:val="nil"/>
            </w:tcBorders>
            <w:tcMar>
              <w:top w:w="0" w:type="dxa"/>
              <w:left w:w="100" w:type="dxa"/>
              <w:bottom w:w="0" w:type="dxa"/>
              <w:right w:w="100" w:type="dxa"/>
            </w:tcMar>
          </w:tcPr>
          <w:p w:rsidR="00136EC0" w:rsidRPr="00B91C49" w:rsidRDefault="00000000">
            <w:pPr>
              <w:jc w:val="right"/>
              <w:rPr>
                <w:rFonts w:asciiTheme="minorHAnsi" w:hAnsiTheme="minorHAnsi" w:cstheme="minorHAnsi"/>
                <w:b/>
                <w:sz w:val="22"/>
                <w:szCs w:val="22"/>
              </w:rPr>
            </w:pPr>
            <w:r w:rsidRPr="00B91C49">
              <w:rPr>
                <w:rFonts w:asciiTheme="minorHAnsi" w:hAnsiTheme="minorHAnsi" w:cstheme="minorHAnsi"/>
                <w:b/>
                <w:sz w:val="22"/>
                <w:szCs w:val="22"/>
              </w:rPr>
              <w:t>Education Level</w:t>
            </w:r>
          </w:p>
        </w:tc>
        <w:tc>
          <w:tcPr>
            <w:tcW w:w="2101" w:type="dxa"/>
            <w:tcBorders>
              <w:top w:val="nil"/>
              <w:left w:val="nil"/>
              <w:bottom w:val="nil"/>
              <w:right w:val="nil"/>
            </w:tcBorders>
            <w:tcMar>
              <w:top w:w="0" w:type="dxa"/>
              <w:left w:w="100" w:type="dxa"/>
              <w:bottom w:w="0" w:type="dxa"/>
              <w:right w:w="100" w:type="dxa"/>
            </w:tcMar>
          </w:tcPr>
          <w:p w:rsidR="00136EC0" w:rsidRPr="00B91C49" w:rsidRDefault="00000000">
            <w:pPr>
              <w:jc w:val="center"/>
              <w:rPr>
                <w:rFonts w:asciiTheme="minorHAnsi" w:hAnsiTheme="minorHAnsi" w:cstheme="minorHAnsi"/>
                <w:sz w:val="22"/>
                <w:szCs w:val="22"/>
              </w:rPr>
            </w:pPr>
            <w:r w:rsidRPr="00B91C49">
              <w:rPr>
                <w:rFonts w:asciiTheme="minorHAnsi" w:hAnsiTheme="minorHAnsi" w:cstheme="minorHAnsi"/>
                <w:sz w:val="22"/>
                <w:szCs w:val="22"/>
              </w:rPr>
              <w:t>-.047</w:t>
            </w:r>
          </w:p>
        </w:tc>
        <w:tc>
          <w:tcPr>
            <w:tcW w:w="2071" w:type="dxa"/>
            <w:tcBorders>
              <w:top w:val="nil"/>
              <w:left w:val="nil"/>
              <w:bottom w:val="nil"/>
              <w:right w:val="nil"/>
            </w:tcBorders>
            <w:tcMar>
              <w:top w:w="0" w:type="dxa"/>
              <w:left w:w="100" w:type="dxa"/>
              <w:bottom w:w="0" w:type="dxa"/>
              <w:right w:w="100" w:type="dxa"/>
            </w:tcMar>
          </w:tcPr>
          <w:p w:rsidR="00136EC0" w:rsidRPr="00B91C49" w:rsidRDefault="00000000">
            <w:pPr>
              <w:jc w:val="center"/>
              <w:rPr>
                <w:rFonts w:asciiTheme="minorHAnsi" w:hAnsiTheme="minorHAnsi" w:cstheme="minorHAnsi"/>
                <w:sz w:val="22"/>
                <w:szCs w:val="22"/>
              </w:rPr>
            </w:pPr>
            <w:r w:rsidRPr="00B91C49">
              <w:rPr>
                <w:rFonts w:asciiTheme="minorHAnsi" w:hAnsiTheme="minorHAnsi" w:cstheme="minorHAnsi"/>
                <w:sz w:val="22"/>
                <w:szCs w:val="22"/>
              </w:rPr>
              <w:t>.057</w:t>
            </w:r>
          </w:p>
        </w:tc>
        <w:tc>
          <w:tcPr>
            <w:tcW w:w="2263" w:type="dxa"/>
            <w:tcBorders>
              <w:top w:val="nil"/>
              <w:left w:val="nil"/>
              <w:bottom w:val="nil"/>
              <w:right w:val="nil"/>
            </w:tcBorders>
            <w:tcMar>
              <w:top w:w="0" w:type="dxa"/>
              <w:left w:w="100" w:type="dxa"/>
              <w:bottom w:w="0" w:type="dxa"/>
              <w:right w:w="100" w:type="dxa"/>
            </w:tcMar>
          </w:tcPr>
          <w:p w:rsidR="00136EC0" w:rsidRPr="00B91C49" w:rsidRDefault="00000000">
            <w:pPr>
              <w:jc w:val="center"/>
              <w:rPr>
                <w:rFonts w:asciiTheme="minorHAnsi" w:hAnsiTheme="minorHAnsi" w:cstheme="minorHAnsi"/>
                <w:sz w:val="22"/>
                <w:szCs w:val="22"/>
              </w:rPr>
            </w:pPr>
            <w:r w:rsidRPr="00B91C49">
              <w:rPr>
                <w:rFonts w:asciiTheme="minorHAnsi" w:hAnsiTheme="minorHAnsi" w:cstheme="minorHAnsi"/>
                <w:sz w:val="22"/>
                <w:szCs w:val="22"/>
              </w:rPr>
              <w:t>.954</w:t>
            </w:r>
          </w:p>
        </w:tc>
      </w:tr>
      <w:tr w:rsidR="00136EC0" w:rsidRPr="00B91C49">
        <w:trPr>
          <w:trHeight w:val="270"/>
        </w:trPr>
        <w:tc>
          <w:tcPr>
            <w:tcW w:w="2589" w:type="dxa"/>
            <w:tcBorders>
              <w:top w:val="nil"/>
              <w:left w:val="nil"/>
              <w:bottom w:val="nil"/>
              <w:right w:val="nil"/>
            </w:tcBorders>
            <w:tcMar>
              <w:top w:w="0" w:type="dxa"/>
              <w:left w:w="100" w:type="dxa"/>
              <w:bottom w:w="0" w:type="dxa"/>
              <w:right w:w="100" w:type="dxa"/>
            </w:tcMar>
          </w:tcPr>
          <w:p w:rsidR="00136EC0" w:rsidRPr="00B91C49" w:rsidRDefault="00000000">
            <w:pPr>
              <w:jc w:val="right"/>
              <w:rPr>
                <w:rFonts w:asciiTheme="minorHAnsi" w:hAnsiTheme="minorHAnsi" w:cstheme="minorHAnsi"/>
                <w:b/>
                <w:sz w:val="22"/>
                <w:szCs w:val="22"/>
              </w:rPr>
            </w:pPr>
            <w:r w:rsidRPr="00B91C49">
              <w:rPr>
                <w:rFonts w:asciiTheme="minorHAnsi" w:hAnsiTheme="minorHAnsi" w:cstheme="minorHAnsi"/>
                <w:b/>
                <w:sz w:val="22"/>
                <w:szCs w:val="22"/>
              </w:rPr>
              <w:t>Ethnicity</w:t>
            </w:r>
          </w:p>
        </w:tc>
        <w:tc>
          <w:tcPr>
            <w:tcW w:w="2101" w:type="dxa"/>
            <w:tcBorders>
              <w:top w:val="nil"/>
              <w:left w:val="nil"/>
              <w:bottom w:val="nil"/>
              <w:right w:val="nil"/>
            </w:tcBorders>
            <w:tcMar>
              <w:top w:w="0" w:type="dxa"/>
              <w:left w:w="100" w:type="dxa"/>
              <w:bottom w:w="0" w:type="dxa"/>
              <w:right w:w="100" w:type="dxa"/>
            </w:tcMar>
          </w:tcPr>
          <w:p w:rsidR="00136EC0" w:rsidRPr="00B91C49" w:rsidRDefault="00000000">
            <w:pPr>
              <w:jc w:val="center"/>
              <w:rPr>
                <w:rFonts w:asciiTheme="minorHAnsi" w:hAnsiTheme="minorHAnsi" w:cstheme="minorHAnsi"/>
                <w:sz w:val="22"/>
                <w:szCs w:val="22"/>
              </w:rPr>
            </w:pPr>
            <w:r w:rsidRPr="00B91C49">
              <w:rPr>
                <w:rFonts w:asciiTheme="minorHAnsi" w:hAnsiTheme="minorHAnsi" w:cstheme="minorHAnsi"/>
                <w:sz w:val="22"/>
                <w:szCs w:val="22"/>
              </w:rPr>
              <w:t xml:space="preserve"> </w:t>
            </w:r>
          </w:p>
        </w:tc>
        <w:tc>
          <w:tcPr>
            <w:tcW w:w="2071" w:type="dxa"/>
            <w:tcBorders>
              <w:top w:val="nil"/>
              <w:left w:val="nil"/>
              <w:bottom w:val="nil"/>
              <w:right w:val="nil"/>
            </w:tcBorders>
            <w:tcMar>
              <w:top w:w="0" w:type="dxa"/>
              <w:left w:w="100" w:type="dxa"/>
              <w:bottom w:w="0" w:type="dxa"/>
              <w:right w:w="100" w:type="dxa"/>
            </w:tcMar>
          </w:tcPr>
          <w:p w:rsidR="00136EC0" w:rsidRPr="00B91C49" w:rsidRDefault="00000000">
            <w:pPr>
              <w:jc w:val="center"/>
              <w:rPr>
                <w:rFonts w:asciiTheme="minorHAnsi" w:hAnsiTheme="minorHAnsi" w:cstheme="minorHAnsi"/>
                <w:sz w:val="22"/>
                <w:szCs w:val="22"/>
              </w:rPr>
            </w:pPr>
            <w:r w:rsidRPr="00B91C49">
              <w:rPr>
                <w:rFonts w:asciiTheme="minorHAnsi" w:hAnsiTheme="minorHAnsi" w:cstheme="minorHAnsi"/>
                <w:sz w:val="22"/>
                <w:szCs w:val="22"/>
              </w:rPr>
              <w:t xml:space="preserve"> </w:t>
            </w:r>
          </w:p>
        </w:tc>
        <w:tc>
          <w:tcPr>
            <w:tcW w:w="2263" w:type="dxa"/>
            <w:tcBorders>
              <w:top w:val="nil"/>
              <w:left w:val="nil"/>
              <w:bottom w:val="nil"/>
              <w:right w:val="nil"/>
            </w:tcBorders>
            <w:tcMar>
              <w:top w:w="0" w:type="dxa"/>
              <w:left w:w="100" w:type="dxa"/>
              <w:bottom w:w="0" w:type="dxa"/>
              <w:right w:w="100" w:type="dxa"/>
            </w:tcMar>
          </w:tcPr>
          <w:p w:rsidR="00136EC0" w:rsidRPr="00B91C49" w:rsidRDefault="00000000">
            <w:pPr>
              <w:jc w:val="center"/>
              <w:rPr>
                <w:rFonts w:asciiTheme="minorHAnsi" w:hAnsiTheme="minorHAnsi" w:cstheme="minorHAnsi"/>
                <w:sz w:val="22"/>
                <w:szCs w:val="22"/>
              </w:rPr>
            </w:pPr>
            <w:r w:rsidRPr="00B91C49">
              <w:rPr>
                <w:rFonts w:asciiTheme="minorHAnsi" w:hAnsiTheme="minorHAnsi" w:cstheme="minorHAnsi"/>
                <w:sz w:val="22"/>
                <w:szCs w:val="22"/>
              </w:rPr>
              <w:t xml:space="preserve"> </w:t>
            </w:r>
          </w:p>
        </w:tc>
      </w:tr>
      <w:tr w:rsidR="00136EC0" w:rsidRPr="00B91C49">
        <w:trPr>
          <w:trHeight w:val="270"/>
        </w:trPr>
        <w:tc>
          <w:tcPr>
            <w:tcW w:w="2589" w:type="dxa"/>
            <w:tcBorders>
              <w:top w:val="nil"/>
              <w:left w:val="nil"/>
              <w:bottom w:val="nil"/>
              <w:right w:val="nil"/>
            </w:tcBorders>
            <w:tcMar>
              <w:top w:w="0" w:type="dxa"/>
              <w:left w:w="100" w:type="dxa"/>
              <w:bottom w:w="0" w:type="dxa"/>
              <w:right w:w="100" w:type="dxa"/>
            </w:tcMar>
          </w:tcPr>
          <w:p w:rsidR="00136EC0" w:rsidRPr="00B91C49" w:rsidRDefault="00000000">
            <w:pPr>
              <w:rPr>
                <w:rFonts w:asciiTheme="minorHAnsi" w:hAnsiTheme="minorHAnsi" w:cstheme="minorHAnsi"/>
                <w:b/>
                <w:i/>
                <w:sz w:val="22"/>
                <w:szCs w:val="22"/>
              </w:rPr>
            </w:pPr>
            <w:r w:rsidRPr="00B91C49">
              <w:rPr>
                <w:rFonts w:asciiTheme="minorHAnsi" w:hAnsiTheme="minorHAnsi" w:cstheme="minorHAnsi"/>
                <w:b/>
                <w:i/>
                <w:sz w:val="22"/>
                <w:szCs w:val="22"/>
              </w:rPr>
              <w:t>-White</w:t>
            </w:r>
          </w:p>
        </w:tc>
        <w:tc>
          <w:tcPr>
            <w:tcW w:w="2101" w:type="dxa"/>
            <w:tcBorders>
              <w:top w:val="nil"/>
              <w:left w:val="nil"/>
              <w:bottom w:val="nil"/>
              <w:right w:val="nil"/>
            </w:tcBorders>
            <w:tcMar>
              <w:top w:w="0" w:type="dxa"/>
              <w:left w:w="100" w:type="dxa"/>
              <w:bottom w:w="0" w:type="dxa"/>
              <w:right w:w="100" w:type="dxa"/>
            </w:tcMar>
          </w:tcPr>
          <w:p w:rsidR="00136EC0" w:rsidRPr="00B91C49" w:rsidRDefault="00000000">
            <w:pPr>
              <w:jc w:val="center"/>
              <w:rPr>
                <w:rFonts w:asciiTheme="minorHAnsi" w:hAnsiTheme="minorHAnsi" w:cstheme="minorHAnsi"/>
                <w:sz w:val="22"/>
                <w:szCs w:val="22"/>
              </w:rPr>
            </w:pPr>
            <w:r w:rsidRPr="00B91C49">
              <w:rPr>
                <w:rFonts w:asciiTheme="minorHAnsi" w:hAnsiTheme="minorHAnsi" w:cstheme="minorHAnsi"/>
                <w:sz w:val="22"/>
                <w:szCs w:val="22"/>
              </w:rPr>
              <w:t>-.115</w:t>
            </w:r>
          </w:p>
        </w:tc>
        <w:tc>
          <w:tcPr>
            <w:tcW w:w="2071" w:type="dxa"/>
            <w:tcBorders>
              <w:top w:val="nil"/>
              <w:left w:val="nil"/>
              <w:bottom w:val="nil"/>
              <w:right w:val="nil"/>
            </w:tcBorders>
            <w:tcMar>
              <w:top w:w="0" w:type="dxa"/>
              <w:left w:w="100" w:type="dxa"/>
              <w:bottom w:w="0" w:type="dxa"/>
              <w:right w:w="100" w:type="dxa"/>
            </w:tcMar>
          </w:tcPr>
          <w:p w:rsidR="00136EC0" w:rsidRPr="00B91C49" w:rsidRDefault="00000000">
            <w:pPr>
              <w:jc w:val="center"/>
              <w:rPr>
                <w:rFonts w:asciiTheme="minorHAnsi" w:hAnsiTheme="minorHAnsi" w:cstheme="minorHAnsi"/>
                <w:sz w:val="22"/>
                <w:szCs w:val="22"/>
              </w:rPr>
            </w:pPr>
            <w:r w:rsidRPr="00B91C49">
              <w:rPr>
                <w:rFonts w:asciiTheme="minorHAnsi" w:hAnsiTheme="minorHAnsi" w:cstheme="minorHAnsi"/>
                <w:sz w:val="22"/>
                <w:szCs w:val="22"/>
              </w:rPr>
              <w:t>.269</w:t>
            </w:r>
          </w:p>
        </w:tc>
        <w:tc>
          <w:tcPr>
            <w:tcW w:w="2263" w:type="dxa"/>
            <w:tcBorders>
              <w:top w:val="nil"/>
              <w:left w:val="nil"/>
              <w:bottom w:val="nil"/>
              <w:right w:val="nil"/>
            </w:tcBorders>
            <w:tcMar>
              <w:top w:w="0" w:type="dxa"/>
              <w:left w:w="100" w:type="dxa"/>
              <w:bottom w:w="0" w:type="dxa"/>
              <w:right w:w="100" w:type="dxa"/>
            </w:tcMar>
          </w:tcPr>
          <w:p w:rsidR="00136EC0" w:rsidRPr="00B91C49" w:rsidRDefault="00000000">
            <w:pPr>
              <w:jc w:val="center"/>
              <w:rPr>
                <w:rFonts w:asciiTheme="minorHAnsi" w:hAnsiTheme="minorHAnsi" w:cstheme="minorHAnsi"/>
                <w:sz w:val="22"/>
                <w:szCs w:val="22"/>
              </w:rPr>
            </w:pPr>
            <w:r w:rsidRPr="00B91C49">
              <w:rPr>
                <w:rFonts w:asciiTheme="minorHAnsi" w:hAnsiTheme="minorHAnsi" w:cstheme="minorHAnsi"/>
                <w:sz w:val="22"/>
                <w:szCs w:val="22"/>
              </w:rPr>
              <w:t>.891</w:t>
            </w:r>
          </w:p>
        </w:tc>
      </w:tr>
      <w:tr w:rsidR="00136EC0" w:rsidRPr="00B91C49">
        <w:trPr>
          <w:trHeight w:val="270"/>
        </w:trPr>
        <w:tc>
          <w:tcPr>
            <w:tcW w:w="2589" w:type="dxa"/>
            <w:tcBorders>
              <w:top w:val="nil"/>
              <w:left w:val="nil"/>
              <w:bottom w:val="nil"/>
              <w:right w:val="nil"/>
            </w:tcBorders>
            <w:tcMar>
              <w:top w:w="0" w:type="dxa"/>
              <w:left w:w="100" w:type="dxa"/>
              <w:bottom w:w="0" w:type="dxa"/>
              <w:right w:w="100" w:type="dxa"/>
            </w:tcMar>
          </w:tcPr>
          <w:p w:rsidR="00136EC0" w:rsidRPr="00B91C49" w:rsidRDefault="00000000">
            <w:pPr>
              <w:rPr>
                <w:rFonts w:asciiTheme="minorHAnsi" w:hAnsiTheme="minorHAnsi" w:cstheme="minorHAnsi"/>
                <w:b/>
                <w:i/>
                <w:sz w:val="22"/>
                <w:szCs w:val="22"/>
              </w:rPr>
            </w:pPr>
            <w:r w:rsidRPr="00B91C49">
              <w:rPr>
                <w:rFonts w:asciiTheme="minorHAnsi" w:hAnsiTheme="minorHAnsi" w:cstheme="minorHAnsi"/>
                <w:b/>
                <w:i/>
                <w:sz w:val="22"/>
                <w:szCs w:val="22"/>
              </w:rPr>
              <w:t>-Hispanic</w:t>
            </w:r>
          </w:p>
        </w:tc>
        <w:tc>
          <w:tcPr>
            <w:tcW w:w="2101" w:type="dxa"/>
            <w:tcBorders>
              <w:top w:val="nil"/>
              <w:left w:val="nil"/>
              <w:bottom w:val="nil"/>
              <w:right w:val="nil"/>
            </w:tcBorders>
            <w:tcMar>
              <w:top w:w="0" w:type="dxa"/>
              <w:left w:w="100" w:type="dxa"/>
              <w:bottom w:w="0" w:type="dxa"/>
              <w:right w:w="100" w:type="dxa"/>
            </w:tcMar>
          </w:tcPr>
          <w:p w:rsidR="00136EC0" w:rsidRPr="00B91C49" w:rsidRDefault="00000000">
            <w:pPr>
              <w:jc w:val="center"/>
              <w:rPr>
                <w:rFonts w:asciiTheme="minorHAnsi" w:hAnsiTheme="minorHAnsi" w:cstheme="minorHAnsi"/>
                <w:sz w:val="22"/>
                <w:szCs w:val="22"/>
              </w:rPr>
            </w:pPr>
            <w:r w:rsidRPr="00B91C49">
              <w:rPr>
                <w:rFonts w:asciiTheme="minorHAnsi" w:hAnsiTheme="minorHAnsi" w:cstheme="minorHAnsi"/>
                <w:sz w:val="22"/>
                <w:szCs w:val="22"/>
              </w:rPr>
              <w:t>.280</w:t>
            </w:r>
          </w:p>
        </w:tc>
        <w:tc>
          <w:tcPr>
            <w:tcW w:w="2071" w:type="dxa"/>
            <w:tcBorders>
              <w:top w:val="nil"/>
              <w:left w:val="nil"/>
              <w:bottom w:val="nil"/>
              <w:right w:val="nil"/>
            </w:tcBorders>
            <w:tcMar>
              <w:top w:w="0" w:type="dxa"/>
              <w:left w:w="100" w:type="dxa"/>
              <w:bottom w:w="0" w:type="dxa"/>
              <w:right w:w="100" w:type="dxa"/>
            </w:tcMar>
          </w:tcPr>
          <w:p w:rsidR="00136EC0" w:rsidRPr="00B91C49" w:rsidRDefault="00000000">
            <w:pPr>
              <w:jc w:val="center"/>
              <w:rPr>
                <w:rFonts w:asciiTheme="minorHAnsi" w:hAnsiTheme="minorHAnsi" w:cstheme="minorHAnsi"/>
                <w:sz w:val="22"/>
                <w:szCs w:val="22"/>
              </w:rPr>
            </w:pPr>
            <w:r w:rsidRPr="00B91C49">
              <w:rPr>
                <w:rFonts w:asciiTheme="minorHAnsi" w:hAnsiTheme="minorHAnsi" w:cstheme="minorHAnsi"/>
                <w:sz w:val="22"/>
                <w:szCs w:val="22"/>
              </w:rPr>
              <w:t>.378</w:t>
            </w:r>
          </w:p>
        </w:tc>
        <w:tc>
          <w:tcPr>
            <w:tcW w:w="2263" w:type="dxa"/>
            <w:tcBorders>
              <w:top w:val="nil"/>
              <w:left w:val="nil"/>
              <w:bottom w:val="nil"/>
              <w:right w:val="nil"/>
            </w:tcBorders>
            <w:tcMar>
              <w:top w:w="0" w:type="dxa"/>
              <w:left w:w="100" w:type="dxa"/>
              <w:bottom w:w="0" w:type="dxa"/>
              <w:right w:w="100" w:type="dxa"/>
            </w:tcMar>
          </w:tcPr>
          <w:p w:rsidR="00136EC0" w:rsidRPr="00B91C49" w:rsidRDefault="00000000">
            <w:pPr>
              <w:jc w:val="center"/>
              <w:rPr>
                <w:rFonts w:asciiTheme="minorHAnsi" w:hAnsiTheme="minorHAnsi" w:cstheme="minorHAnsi"/>
                <w:sz w:val="22"/>
                <w:szCs w:val="22"/>
              </w:rPr>
            </w:pPr>
            <w:r w:rsidRPr="00B91C49">
              <w:rPr>
                <w:rFonts w:asciiTheme="minorHAnsi" w:hAnsiTheme="minorHAnsi" w:cstheme="minorHAnsi"/>
                <w:sz w:val="22"/>
                <w:szCs w:val="22"/>
              </w:rPr>
              <w:t>1.323</w:t>
            </w:r>
          </w:p>
        </w:tc>
      </w:tr>
      <w:tr w:rsidR="00136EC0" w:rsidRPr="00B91C49">
        <w:trPr>
          <w:trHeight w:val="270"/>
        </w:trPr>
        <w:tc>
          <w:tcPr>
            <w:tcW w:w="2589" w:type="dxa"/>
            <w:tcBorders>
              <w:top w:val="nil"/>
              <w:left w:val="nil"/>
              <w:bottom w:val="nil"/>
              <w:right w:val="nil"/>
            </w:tcBorders>
            <w:tcMar>
              <w:top w:w="0" w:type="dxa"/>
              <w:left w:w="100" w:type="dxa"/>
              <w:bottom w:w="0" w:type="dxa"/>
              <w:right w:w="100" w:type="dxa"/>
            </w:tcMar>
          </w:tcPr>
          <w:p w:rsidR="00136EC0" w:rsidRPr="00B91C49" w:rsidRDefault="00000000">
            <w:pPr>
              <w:jc w:val="right"/>
              <w:rPr>
                <w:rFonts w:asciiTheme="minorHAnsi" w:hAnsiTheme="minorHAnsi" w:cstheme="minorHAnsi"/>
                <w:b/>
                <w:sz w:val="22"/>
                <w:szCs w:val="22"/>
              </w:rPr>
            </w:pPr>
            <w:r w:rsidRPr="00B91C49">
              <w:rPr>
                <w:rFonts w:asciiTheme="minorHAnsi" w:hAnsiTheme="minorHAnsi" w:cstheme="minorHAnsi"/>
                <w:b/>
                <w:sz w:val="22"/>
                <w:szCs w:val="22"/>
              </w:rPr>
              <w:t xml:space="preserve"> </w:t>
            </w:r>
          </w:p>
        </w:tc>
        <w:tc>
          <w:tcPr>
            <w:tcW w:w="2101" w:type="dxa"/>
            <w:tcBorders>
              <w:top w:val="nil"/>
              <w:left w:val="nil"/>
              <w:bottom w:val="nil"/>
              <w:right w:val="nil"/>
            </w:tcBorders>
            <w:tcMar>
              <w:top w:w="0" w:type="dxa"/>
              <w:left w:w="100" w:type="dxa"/>
              <w:bottom w:w="0" w:type="dxa"/>
              <w:right w:w="100" w:type="dxa"/>
            </w:tcMar>
          </w:tcPr>
          <w:p w:rsidR="00136EC0" w:rsidRPr="00B91C49" w:rsidRDefault="00000000">
            <w:pPr>
              <w:jc w:val="center"/>
              <w:rPr>
                <w:rFonts w:asciiTheme="minorHAnsi" w:hAnsiTheme="minorHAnsi" w:cstheme="minorHAnsi"/>
                <w:sz w:val="22"/>
                <w:szCs w:val="22"/>
              </w:rPr>
            </w:pPr>
            <w:r w:rsidRPr="00B91C49">
              <w:rPr>
                <w:rFonts w:asciiTheme="minorHAnsi" w:hAnsiTheme="minorHAnsi" w:cstheme="minorHAnsi"/>
                <w:sz w:val="22"/>
                <w:szCs w:val="22"/>
              </w:rPr>
              <w:t xml:space="preserve"> </w:t>
            </w:r>
          </w:p>
        </w:tc>
        <w:tc>
          <w:tcPr>
            <w:tcW w:w="2071" w:type="dxa"/>
            <w:tcBorders>
              <w:top w:val="nil"/>
              <w:left w:val="nil"/>
              <w:bottom w:val="nil"/>
              <w:right w:val="nil"/>
            </w:tcBorders>
            <w:tcMar>
              <w:top w:w="0" w:type="dxa"/>
              <w:left w:w="100" w:type="dxa"/>
              <w:bottom w:w="0" w:type="dxa"/>
              <w:right w:w="100" w:type="dxa"/>
            </w:tcMar>
          </w:tcPr>
          <w:p w:rsidR="00136EC0" w:rsidRPr="00B91C49" w:rsidRDefault="00000000">
            <w:pPr>
              <w:jc w:val="center"/>
              <w:rPr>
                <w:rFonts w:asciiTheme="minorHAnsi" w:hAnsiTheme="minorHAnsi" w:cstheme="minorHAnsi"/>
                <w:sz w:val="22"/>
                <w:szCs w:val="22"/>
              </w:rPr>
            </w:pPr>
            <w:r w:rsidRPr="00B91C49">
              <w:rPr>
                <w:rFonts w:asciiTheme="minorHAnsi" w:hAnsiTheme="minorHAnsi" w:cstheme="minorHAnsi"/>
                <w:sz w:val="22"/>
                <w:szCs w:val="22"/>
              </w:rPr>
              <w:t xml:space="preserve"> </w:t>
            </w:r>
          </w:p>
        </w:tc>
        <w:tc>
          <w:tcPr>
            <w:tcW w:w="2263" w:type="dxa"/>
            <w:tcBorders>
              <w:top w:val="nil"/>
              <w:left w:val="nil"/>
              <w:bottom w:val="nil"/>
              <w:right w:val="nil"/>
            </w:tcBorders>
            <w:tcMar>
              <w:top w:w="0" w:type="dxa"/>
              <w:left w:w="100" w:type="dxa"/>
              <w:bottom w:w="0" w:type="dxa"/>
              <w:right w:w="100" w:type="dxa"/>
            </w:tcMar>
          </w:tcPr>
          <w:p w:rsidR="00136EC0" w:rsidRPr="00B91C49" w:rsidRDefault="00000000">
            <w:pPr>
              <w:jc w:val="center"/>
              <w:rPr>
                <w:rFonts w:asciiTheme="minorHAnsi" w:hAnsiTheme="minorHAnsi" w:cstheme="minorHAnsi"/>
                <w:sz w:val="22"/>
                <w:szCs w:val="22"/>
              </w:rPr>
            </w:pPr>
            <w:r w:rsidRPr="00B91C49">
              <w:rPr>
                <w:rFonts w:asciiTheme="minorHAnsi" w:hAnsiTheme="minorHAnsi" w:cstheme="minorHAnsi"/>
                <w:sz w:val="22"/>
                <w:szCs w:val="22"/>
              </w:rPr>
              <w:t xml:space="preserve"> </w:t>
            </w:r>
          </w:p>
        </w:tc>
      </w:tr>
      <w:tr w:rsidR="00136EC0" w:rsidRPr="00B91C49">
        <w:trPr>
          <w:trHeight w:val="270"/>
        </w:trPr>
        <w:tc>
          <w:tcPr>
            <w:tcW w:w="2589" w:type="dxa"/>
            <w:tcBorders>
              <w:top w:val="nil"/>
              <w:left w:val="nil"/>
              <w:bottom w:val="nil"/>
              <w:right w:val="nil"/>
            </w:tcBorders>
            <w:tcMar>
              <w:top w:w="0" w:type="dxa"/>
              <w:left w:w="100" w:type="dxa"/>
              <w:bottom w:w="0" w:type="dxa"/>
              <w:right w:w="100" w:type="dxa"/>
            </w:tcMar>
          </w:tcPr>
          <w:p w:rsidR="00136EC0" w:rsidRPr="00B91C49" w:rsidRDefault="00000000">
            <w:pPr>
              <w:jc w:val="right"/>
              <w:rPr>
                <w:rFonts w:asciiTheme="minorHAnsi" w:hAnsiTheme="minorHAnsi" w:cstheme="minorHAnsi"/>
                <w:b/>
                <w:sz w:val="22"/>
                <w:szCs w:val="22"/>
              </w:rPr>
            </w:pPr>
            <w:r w:rsidRPr="00B91C49">
              <w:rPr>
                <w:rFonts w:asciiTheme="minorHAnsi" w:hAnsiTheme="minorHAnsi" w:cstheme="minorHAnsi"/>
                <w:b/>
                <w:sz w:val="22"/>
                <w:szCs w:val="22"/>
              </w:rPr>
              <w:t>Age (at Offence)</w:t>
            </w:r>
          </w:p>
        </w:tc>
        <w:tc>
          <w:tcPr>
            <w:tcW w:w="2101" w:type="dxa"/>
            <w:tcBorders>
              <w:top w:val="nil"/>
              <w:left w:val="nil"/>
              <w:bottom w:val="nil"/>
              <w:right w:val="nil"/>
            </w:tcBorders>
            <w:tcMar>
              <w:top w:w="0" w:type="dxa"/>
              <w:left w:w="100" w:type="dxa"/>
              <w:bottom w:w="0" w:type="dxa"/>
              <w:right w:w="100" w:type="dxa"/>
            </w:tcMar>
          </w:tcPr>
          <w:p w:rsidR="00136EC0" w:rsidRPr="00B91C49" w:rsidRDefault="00000000">
            <w:pPr>
              <w:jc w:val="center"/>
              <w:rPr>
                <w:rFonts w:asciiTheme="minorHAnsi" w:hAnsiTheme="minorHAnsi" w:cstheme="minorHAnsi"/>
                <w:sz w:val="22"/>
                <w:szCs w:val="22"/>
              </w:rPr>
            </w:pPr>
            <w:r w:rsidRPr="00B91C49">
              <w:rPr>
                <w:rFonts w:asciiTheme="minorHAnsi" w:hAnsiTheme="minorHAnsi" w:cstheme="minorHAnsi"/>
                <w:sz w:val="22"/>
                <w:szCs w:val="22"/>
              </w:rPr>
              <w:t>.000</w:t>
            </w:r>
          </w:p>
        </w:tc>
        <w:tc>
          <w:tcPr>
            <w:tcW w:w="2071" w:type="dxa"/>
            <w:tcBorders>
              <w:top w:val="nil"/>
              <w:left w:val="nil"/>
              <w:bottom w:val="nil"/>
              <w:right w:val="nil"/>
            </w:tcBorders>
            <w:tcMar>
              <w:top w:w="0" w:type="dxa"/>
              <w:left w:w="100" w:type="dxa"/>
              <w:bottom w:w="0" w:type="dxa"/>
              <w:right w:w="100" w:type="dxa"/>
            </w:tcMar>
          </w:tcPr>
          <w:p w:rsidR="00136EC0" w:rsidRPr="00B91C49" w:rsidRDefault="00000000">
            <w:pPr>
              <w:jc w:val="center"/>
              <w:rPr>
                <w:rFonts w:asciiTheme="minorHAnsi" w:hAnsiTheme="minorHAnsi" w:cstheme="minorHAnsi"/>
                <w:sz w:val="22"/>
                <w:szCs w:val="22"/>
              </w:rPr>
            </w:pPr>
            <w:r w:rsidRPr="00B91C49">
              <w:rPr>
                <w:rFonts w:asciiTheme="minorHAnsi" w:hAnsiTheme="minorHAnsi" w:cstheme="minorHAnsi"/>
                <w:sz w:val="22"/>
                <w:szCs w:val="22"/>
              </w:rPr>
              <w:t>.049</w:t>
            </w:r>
          </w:p>
        </w:tc>
        <w:tc>
          <w:tcPr>
            <w:tcW w:w="2263" w:type="dxa"/>
            <w:tcBorders>
              <w:top w:val="nil"/>
              <w:left w:val="nil"/>
              <w:bottom w:val="nil"/>
              <w:right w:val="nil"/>
            </w:tcBorders>
            <w:tcMar>
              <w:top w:w="0" w:type="dxa"/>
              <w:left w:w="100" w:type="dxa"/>
              <w:bottom w:w="0" w:type="dxa"/>
              <w:right w:w="100" w:type="dxa"/>
            </w:tcMar>
          </w:tcPr>
          <w:p w:rsidR="00136EC0" w:rsidRPr="00B91C49" w:rsidRDefault="00000000">
            <w:pPr>
              <w:jc w:val="center"/>
              <w:rPr>
                <w:rFonts w:asciiTheme="minorHAnsi" w:hAnsiTheme="minorHAnsi" w:cstheme="minorHAnsi"/>
                <w:sz w:val="22"/>
                <w:szCs w:val="22"/>
              </w:rPr>
            </w:pPr>
            <w:r w:rsidRPr="00B91C49">
              <w:rPr>
                <w:rFonts w:asciiTheme="minorHAnsi" w:hAnsiTheme="minorHAnsi" w:cstheme="minorHAnsi"/>
                <w:sz w:val="22"/>
                <w:szCs w:val="22"/>
              </w:rPr>
              <w:t>1.000</w:t>
            </w:r>
          </w:p>
        </w:tc>
      </w:tr>
      <w:tr w:rsidR="00136EC0" w:rsidRPr="00B91C49">
        <w:trPr>
          <w:trHeight w:val="540"/>
        </w:trPr>
        <w:tc>
          <w:tcPr>
            <w:tcW w:w="2589" w:type="dxa"/>
            <w:tcBorders>
              <w:top w:val="nil"/>
              <w:left w:val="nil"/>
              <w:bottom w:val="nil"/>
              <w:right w:val="nil"/>
            </w:tcBorders>
            <w:tcMar>
              <w:top w:w="0" w:type="dxa"/>
              <w:left w:w="100" w:type="dxa"/>
              <w:bottom w:w="0" w:type="dxa"/>
              <w:right w:w="100" w:type="dxa"/>
            </w:tcMar>
          </w:tcPr>
          <w:p w:rsidR="00136EC0" w:rsidRPr="00B91C49" w:rsidRDefault="00000000">
            <w:pPr>
              <w:jc w:val="right"/>
              <w:rPr>
                <w:rFonts w:asciiTheme="minorHAnsi" w:hAnsiTheme="minorHAnsi" w:cstheme="minorHAnsi"/>
                <w:b/>
                <w:sz w:val="22"/>
                <w:szCs w:val="22"/>
              </w:rPr>
            </w:pPr>
            <w:r w:rsidRPr="00B91C49">
              <w:rPr>
                <w:rFonts w:asciiTheme="minorHAnsi" w:hAnsiTheme="minorHAnsi" w:cstheme="minorHAnsi"/>
                <w:b/>
                <w:sz w:val="22"/>
                <w:szCs w:val="22"/>
              </w:rPr>
              <w:t>Months on Death Row</w:t>
            </w:r>
          </w:p>
        </w:tc>
        <w:tc>
          <w:tcPr>
            <w:tcW w:w="2101" w:type="dxa"/>
            <w:tcBorders>
              <w:top w:val="nil"/>
              <w:left w:val="nil"/>
              <w:bottom w:val="nil"/>
              <w:right w:val="nil"/>
            </w:tcBorders>
            <w:tcMar>
              <w:top w:w="0" w:type="dxa"/>
              <w:left w:w="100" w:type="dxa"/>
              <w:bottom w:w="0" w:type="dxa"/>
              <w:right w:w="100" w:type="dxa"/>
            </w:tcMar>
          </w:tcPr>
          <w:p w:rsidR="00136EC0" w:rsidRPr="00B91C49" w:rsidRDefault="00000000">
            <w:pPr>
              <w:jc w:val="center"/>
              <w:rPr>
                <w:rFonts w:asciiTheme="minorHAnsi" w:hAnsiTheme="minorHAnsi" w:cstheme="minorHAnsi"/>
                <w:sz w:val="22"/>
                <w:szCs w:val="22"/>
              </w:rPr>
            </w:pPr>
            <w:r w:rsidRPr="00B91C49">
              <w:rPr>
                <w:rFonts w:asciiTheme="minorHAnsi" w:hAnsiTheme="minorHAnsi" w:cstheme="minorHAnsi"/>
                <w:sz w:val="22"/>
                <w:szCs w:val="22"/>
              </w:rPr>
              <w:t>.002</w:t>
            </w:r>
          </w:p>
        </w:tc>
        <w:tc>
          <w:tcPr>
            <w:tcW w:w="2071" w:type="dxa"/>
            <w:tcBorders>
              <w:top w:val="nil"/>
              <w:left w:val="nil"/>
              <w:bottom w:val="nil"/>
              <w:right w:val="nil"/>
            </w:tcBorders>
            <w:tcMar>
              <w:top w:w="0" w:type="dxa"/>
              <w:left w:w="100" w:type="dxa"/>
              <w:bottom w:w="0" w:type="dxa"/>
              <w:right w:w="100" w:type="dxa"/>
            </w:tcMar>
          </w:tcPr>
          <w:p w:rsidR="00136EC0" w:rsidRPr="00B91C49" w:rsidRDefault="00000000">
            <w:pPr>
              <w:jc w:val="center"/>
              <w:rPr>
                <w:rFonts w:asciiTheme="minorHAnsi" w:hAnsiTheme="minorHAnsi" w:cstheme="minorHAnsi"/>
                <w:sz w:val="22"/>
                <w:szCs w:val="22"/>
              </w:rPr>
            </w:pPr>
            <w:r w:rsidRPr="00B91C49">
              <w:rPr>
                <w:rFonts w:asciiTheme="minorHAnsi" w:hAnsiTheme="minorHAnsi" w:cstheme="minorHAnsi"/>
                <w:sz w:val="22"/>
                <w:szCs w:val="22"/>
              </w:rPr>
              <w:t>.004</w:t>
            </w:r>
          </w:p>
        </w:tc>
        <w:tc>
          <w:tcPr>
            <w:tcW w:w="2263" w:type="dxa"/>
            <w:tcBorders>
              <w:top w:val="nil"/>
              <w:left w:val="nil"/>
              <w:bottom w:val="nil"/>
              <w:right w:val="nil"/>
            </w:tcBorders>
            <w:tcMar>
              <w:top w:w="0" w:type="dxa"/>
              <w:left w:w="100" w:type="dxa"/>
              <w:bottom w:w="0" w:type="dxa"/>
              <w:right w:w="100" w:type="dxa"/>
            </w:tcMar>
          </w:tcPr>
          <w:p w:rsidR="00136EC0" w:rsidRPr="00B91C49" w:rsidRDefault="00000000">
            <w:pPr>
              <w:jc w:val="center"/>
              <w:rPr>
                <w:rFonts w:asciiTheme="minorHAnsi" w:hAnsiTheme="minorHAnsi" w:cstheme="minorHAnsi"/>
                <w:sz w:val="22"/>
                <w:szCs w:val="22"/>
              </w:rPr>
            </w:pPr>
            <w:r w:rsidRPr="00B91C49">
              <w:rPr>
                <w:rFonts w:asciiTheme="minorHAnsi" w:hAnsiTheme="minorHAnsi" w:cstheme="minorHAnsi"/>
                <w:sz w:val="22"/>
                <w:szCs w:val="22"/>
              </w:rPr>
              <w:t>1.002</w:t>
            </w:r>
          </w:p>
        </w:tc>
      </w:tr>
      <w:tr w:rsidR="00136EC0" w:rsidRPr="00B91C49">
        <w:trPr>
          <w:trHeight w:val="270"/>
        </w:trPr>
        <w:tc>
          <w:tcPr>
            <w:tcW w:w="2589" w:type="dxa"/>
            <w:tcBorders>
              <w:top w:val="nil"/>
              <w:left w:val="nil"/>
              <w:bottom w:val="nil"/>
              <w:right w:val="nil"/>
            </w:tcBorders>
            <w:tcMar>
              <w:top w:w="0" w:type="dxa"/>
              <w:left w:w="100" w:type="dxa"/>
              <w:bottom w:w="0" w:type="dxa"/>
              <w:right w:w="100" w:type="dxa"/>
            </w:tcMar>
          </w:tcPr>
          <w:p w:rsidR="00136EC0" w:rsidRPr="00B91C49" w:rsidRDefault="00000000">
            <w:pPr>
              <w:jc w:val="right"/>
              <w:rPr>
                <w:rFonts w:asciiTheme="minorHAnsi" w:hAnsiTheme="minorHAnsi" w:cstheme="minorHAnsi"/>
                <w:b/>
                <w:sz w:val="22"/>
                <w:szCs w:val="22"/>
              </w:rPr>
            </w:pPr>
            <w:r w:rsidRPr="00B91C49">
              <w:rPr>
                <w:rFonts w:asciiTheme="minorHAnsi" w:hAnsiTheme="minorHAnsi" w:cstheme="minorHAnsi"/>
                <w:b/>
                <w:sz w:val="22"/>
                <w:szCs w:val="22"/>
              </w:rPr>
              <w:t>Prior Imprisonment</w:t>
            </w:r>
          </w:p>
        </w:tc>
        <w:tc>
          <w:tcPr>
            <w:tcW w:w="2101" w:type="dxa"/>
            <w:tcBorders>
              <w:top w:val="nil"/>
              <w:left w:val="nil"/>
              <w:bottom w:val="nil"/>
              <w:right w:val="nil"/>
            </w:tcBorders>
            <w:tcMar>
              <w:top w:w="0" w:type="dxa"/>
              <w:left w:w="100" w:type="dxa"/>
              <w:bottom w:w="0" w:type="dxa"/>
              <w:right w:w="100" w:type="dxa"/>
            </w:tcMar>
          </w:tcPr>
          <w:p w:rsidR="00136EC0" w:rsidRPr="00B91C49" w:rsidRDefault="00000000">
            <w:pPr>
              <w:jc w:val="center"/>
              <w:rPr>
                <w:rFonts w:asciiTheme="minorHAnsi" w:hAnsiTheme="minorHAnsi" w:cstheme="minorHAnsi"/>
                <w:sz w:val="22"/>
                <w:szCs w:val="22"/>
              </w:rPr>
            </w:pPr>
            <w:r w:rsidRPr="00B91C49">
              <w:rPr>
                <w:rFonts w:asciiTheme="minorHAnsi" w:hAnsiTheme="minorHAnsi" w:cstheme="minorHAnsi"/>
                <w:sz w:val="22"/>
                <w:szCs w:val="22"/>
              </w:rPr>
              <w:t>.397</w:t>
            </w:r>
          </w:p>
        </w:tc>
        <w:tc>
          <w:tcPr>
            <w:tcW w:w="2071" w:type="dxa"/>
            <w:tcBorders>
              <w:top w:val="nil"/>
              <w:left w:val="nil"/>
              <w:bottom w:val="nil"/>
              <w:right w:val="nil"/>
            </w:tcBorders>
            <w:tcMar>
              <w:top w:w="0" w:type="dxa"/>
              <w:left w:w="100" w:type="dxa"/>
              <w:bottom w:w="0" w:type="dxa"/>
              <w:right w:w="100" w:type="dxa"/>
            </w:tcMar>
          </w:tcPr>
          <w:p w:rsidR="00136EC0" w:rsidRPr="00B91C49" w:rsidRDefault="00000000">
            <w:pPr>
              <w:jc w:val="center"/>
              <w:rPr>
                <w:rFonts w:asciiTheme="minorHAnsi" w:hAnsiTheme="minorHAnsi" w:cstheme="minorHAnsi"/>
                <w:sz w:val="22"/>
                <w:szCs w:val="22"/>
              </w:rPr>
            </w:pPr>
            <w:r w:rsidRPr="00B91C49">
              <w:rPr>
                <w:rFonts w:asciiTheme="minorHAnsi" w:hAnsiTheme="minorHAnsi" w:cstheme="minorHAnsi"/>
                <w:sz w:val="22"/>
                <w:szCs w:val="22"/>
              </w:rPr>
              <w:t>.248</w:t>
            </w:r>
          </w:p>
        </w:tc>
        <w:tc>
          <w:tcPr>
            <w:tcW w:w="2263" w:type="dxa"/>
            <w:tcBorders>
              <w:top w:val="nil"/>
              <w:left w:val="nil"/>
              <w:bottom w:val="nil"/>
              <w:right w:val="nil"/>
            </w:tcBorders>
            <w:tcMar>
              <w:top w:w="0" w:type="dxa"/>
              <w:left w:w="100" w:type="dxa"/>
              <w:bottom w:w="0" w:type="dxa"/>
              <w:right w:w="100" w:type="dxa"/>
            </w:tcMar>
          </w:tcPr>
          <w:p w:rsidR="00136EC0" w:rsidRPr="00B91C49" w:rsidRDefault="00000000">
            <w:pPr>
              <w:jc w:val="center"/>
              <w:rPr>
                <w:rFonts w:asciiTheme="minorHAnsi" w:hAnsiTheme="minorHAnsi" w:cstheme="minorHAnsi"/>
                <w:sz w:val="22"/>
                <w:szCs w:val="22"/>
              </w:rPr>
            </w:pPr>
            <w:r w:rsidRPr="00B91C49">
              <w:rPr>
                <w:rFonts w:asciiTheme="minorHAnsi" w:hAnsiTheme="minorHAnsi" w:cstheme="minorHAnsi"/>
                <w:sz w:val="22"/>
                <w:szCs w:val="22"/>
              </w:rPr>
              <w:t>1.473</w:t>
            </w:r>
          </w:p>
          <w:p w:rsidR="00136EC0" w:rsidRPr="00B91C49" w:rsidRDefault="00136EC0">
            <w:pPr>
              <w:jc w:val="center"/>
              <w:rPr>
                <w:rFonts w:asciiTheme="minorHAnsi" w:hAnsiTheme="minorHAnsi" w:cstheme="minorHAnsi"/>
                <w:sz w:val="22"/>
                <w:szCs w:val="22"/>
              </w:rPr>
            </w:pPr>
          </w:p>
        </w:tc>
      </w:tr>
      <w:tr w:rsidR="00136EC0" w:rsidRPr="00B91C49">
        <w:trPr>
          <w:trHeight w:val="540"/>
        </w:trPr>
        <w:tc>
          <w:tcPr>
            <w:tcW w:w="2589" w:type="dxa"/>
            <w:tcBorders>
              <w:top w:val="nil"/>
              <w:left w:val="nil"/>
              <w:bottom w:val="nil"/>
              <w:right w:val="nil"/>
            </w:tcBorders>
            <w:tcMar>
              <w:top w:w="0" w:type="dxa"/>
              <w:left w:w="100" w:type="dxa"/>
              <w:bottom w:w="0" w:type="dxa"/>
              <w:right w:w="100" w:type="dxa"/>
            </w:tcMar>
          </w:tcPr>
          <w:p w:rsidR="00136EC0" w:rsidRPr="00B91C49" w:rsidRDefault="00000000">
            <w:pPr>
              <w:jc w:val="right"/>
              <w:rPr>
                <w:rFonts w:asciiTheme="minorHAnsi" w:hAnsiTheme="minorHAnsi" w:cstheme="minorHAnsi"/>
                <w:b/>
                <w:sz w:val="22"/>
                <w:szCs w:val="22"/>
              </w:rPr>
            </w:pPr>
            <w:r w:rsidRPr="00B91C49">
              <w:rPr>
                <w:rFonts w:asciiTheme="minorHAnsi" w:hAnsiTheme="minorHAnsi" w:cstheme="minorHAnsi"/>
                <w:b/>
                <w:sz w:val="22"/>
                <w:szCs w:val="22"/>
              </w:rPr>
              <w:t>Presence of Victim Family and/or Friends</w:t>
            </w:r>
          </w:p>
          <w:p w:rsidR="00136EC0" w:rsidRPr="00B91C49" w:rsidRDefault="00136EC0">
            <w:pPr>
              <w:jc w:val="right"/>
              <w:rPr>
                <w:rFonts w:asciiTheme="minorHAnsi" w:hAnsiTheme="minorHAnsi" w:cstheme="minorHAnsi"/>
                <w:b/>
                <w:color w:val="FF0000"/>
                <w:sz w:val="22"/>
                <w:szCs w:val="22"/>
              </w:rPr>
            </w:pPr>
          </w:p>
        </w:tc>
        <w:tc>
          <w:tcPr>
            <w:tcW w:w="2101" w:type="dxa"/>
            <w:tcBorders>
              <w:top w:val="nil"/>
              <w:left w:val="nil"/>
              <w:bottom w:val="nil"/>
              <w:right w:val="nil"/>
            </w:tcBorders>
            <w:tcMar>
              <w:top w:w="0" w:type="dxa"/>
              <w:left w:w="100" w:type="dxa"/>
              <w:bottom w:w="0" w:type="dxa"/>
              <w:right w:w="100" w:type="dxa"/>
            </w:tcMar>
          </w:tcPr>
          <w:p w:rsidR="00136EC0" w:rsidRPr="00B91C49" w:rsidRDefault="00000000">
            <w:pPr>
              <w:jc w:val="center"/>
              <w:rPr>
                <w:rFonts w:asciiTheme="minorHAnsi" w:hAnsiTheme="minorHAnsi" w:cstheme="minorHAnsi"/>
                <w:sz w:val="22"/>
                <w:szCs w:val="22"/>
              </w:rPr>
            </w:pPr>
            <w:r w:rsidRPr="00B91C49">
              <w:rPr>
                <w:rFonts w:asciiTheme="minorHAnsi" w:hAnsiTheme="minorHAnsi" w:cstheme="minorHAnsi"/>
                <w:sz w:val="22"/>
                <w:szCs w:val="22"/>
              </w:rPr>
              <w:t>1.477</w:t>
            </w:r>
          </w:p>
        </w:tc>
        <w:tc>
          <w:tcPr>
            <w:tcW w:w="2071" w:type="dxa"/>
            <w:tcBorders>
              <w:top w:val="nil"/>
              <w:left w:val="nil"/>
              <w:bottom w:val="nil"/>
              <w:right w:val="nil"/>
            </w:tcBorders>
            <w:tcMar>
              <w:top w:w="0" w:type="dxa"/>
              <w:left w:w="100" w:type="dxa"/>
              <w:bottom w:w="0" w:type="dxa"/>
              <w:right w:w="100" w:type="dxa"/>
            </w:tcMar>
          </w:tcPr>
          <w:p w:rsidR="00136EC0" w:rsidRPr="00B91C49" w:rsidRDefault="00000000">
            <w:pPr>
              <w:jc w:val="center"/>
              <w:rPr>
                <w:rFonts w:asciiTheme="minorHAnsi" w:hAnsiTheme="minorHAnsi" w:cstheme="minorHAnsi"/>
                <w:sz w:val="22"/>
                <w:szCs w:val="22"/>
              </w:rPr>
            </w:pPr>
            <w:r w:rsidRPr="00B91C49">
              <w:rPr>
                <w:rFonts w:asciiTheme="minorHAnsi" w:hAnsiTheme="minorHAnsi" w:cstheme="minorHAnsi"/>
                <w:sz w:val="22"/>
                <w:szCs w:val="22"/>
              </w:rPr>
              <w:t>.286</w:t>
            </w:r>
          </w:p>
        </w:tc>
        <w:tc>
          <w:tcPr>
            <w:tcW w:w="2263" w:type="dxa"/>
            <w:tcBorders>
              <w:top w:val="nil"/>
              <w:left w:val="nil"/>
              <w:bottom w:val="nil"/>
              <w:right w:val="nil"/>
            </w:tcBorders>
            <w:tcMar>
              <w:top w:w="0" w:type="dxa"/>
              <w:left w:w="100" w:type="dxa"/>
              <w:bottom w:w="0" w:type="dxa"/>
              <w:right w:w="100" w:type="dxa"/>
            </w:tcMar>
          </w:tcPr>
          <w:p w:rsidR="00136EC0" w:rsidRPr="00B91C49" w:rsidRDefault="00000000">
            <w:pPr>
              <w:jc w:val="center"/>
              <w:rPr>
                <w:rFonts w:asciiTheme="minorHAnsi" w:hAnsiTheme="minorHAnsi" w:cstheme="minorHAnsi"/>
                <w:sz w:val="22"/>
                <w:szCs w:val="22"/>
              </w:rPr>
            </w:pPr>
            <w:r w:rsidRPr="00B91C49">
              <w:rPr>
                <w:rFonts w:asciiTheme="minorHAnsi" w:hAnsiTheme="minorHAnsi" w:cstheme="minorHAnsi"/>
                <w:sz w:val="22"/>
                <w:szCs w:val="22"/>
              </w:rPr>
              <w:t>4.378***</w:t>
            </w:r>
          </w:p>
          <w:p w:rsidR="00136EC0" w:rsidRPr="00B91C49" w:rsidRDefault="00000000">
            <w:pPr>
              <w:jc w:val="center"/>
              <w:rPr>
                <w:rFonts w:asciiTheme="minorHAnsi" w:hAnsiTheme="minorHAnsi" w:cstheme="minorHAnsi"/>
                <w:sz w:val="22"/>
                <w:szCs w:val="22"/>
              </w:rPr>
            </w:pPr>
            <w:r w:rsidRPr="00B91C49">
              <w:rPr>
                <w:rFonts w:asciiTheme="minorHAnsi" w:hAnsiTheme="minorHAnsi" w:cstheme="minorHAnsi"/>
                <w:sz w:val="22"/>
                <w:szCs w:val="22"/>
              </w:rPr>
              <w:t xml:space="preserve"> </w:t>
            </w:r>
          </w:p>
        </w:tc>
      </w:tr>
      <w:tr w:rsidR="00136EC0" w:rsidRPr="00B91C49">
        <w:trPr>
          <w:trHeight w:val="270"/>
        </w:trPr>
        <w:tc>
          <w:tcPr>
            <w:tcW w:w="2589" w:type="dxa"/>
            <w:tcBorders>
              <w:top w:val="nil"/>
              <w:left w:val="nil"/>
              <w:bottom w:val="nil"/>
              <w:right w:val="nil"/>
            </w:tcBorders>
            <w:tcMar>
              <w:top w:w="0" w:type="dxa"/>
              <w:left w:w="100" w:type="dxa"/>
              <w:bottom w:w="0" w:type="dxa"/>
              <w:right w:w="100" w:type="dxa"/>
            </w:tcMar>
          </w:tcPr>
          <w:p w:rsidR="00136EC0" w:rsidRPr="00B91C49" w:rsidRDefault="00000000">
            <w:pPr>
              <w:jc w:val="right"/>
              <w:rPr>
                <w:rFonts w:asciiTheme="minorHAnsi" w:hAnsiTheme="minorHAnsi" w:cstheme="minorHAnsi"/>
                <w:b/>
                <w:sz w:val="22"/>
                <w:szCs w:val="22"/>
              </w:rPr>
            </w:pPr>
            <w:r w:rsidRPr="00B91C49">
              <w:rPr>
                <w:rFonts w:asciiTheme="minorHAnsi" w:hAnsiTheme="minorHAnsi" w:cstheme="minorHAnsi"/>
                <w:b/>
                <w:sz w:val="22"/>
                <w:szCs w:val="22"/>
              </w:rPr>
              <w:t>Constant</w:t>
            </w:r>
          </w:p>
        </w:tc>
        <w:tc>
          <w:tcPr>
            <w:tcW w:w="2101" w:type="dxa"/>
            <w:tcBorders>
              <w:top w:val="nil"/>
              <w:left w:val="nil"/>
              <w:bottom w:val="nil"/>
              <w:right w:val="nil"/>
            </w:tcBorders>
            <w:tcMar>
              <w:top w:w="0" w:type="dxa"/>
              <w:left w:w="100" w:type="dxa"/>
              <w:bottom w:w="0" w:type="dxa"/>
              <w:right w:w="100" w:type="dxa"/>
            </w:tcMar>
          </w:tcPr>
          <w:p w:rsidR="00136EC0" w:rsidRPr="00B91C49" w:rsidRDefault="00000000">
            <w:pPr>
              <w:jc w:val="center"/>
              <w:rPr>
                <w:rFonts w:asciiTheme="minorHAnsi" w:hAnsiTheme="minorHAnsi" w:cstheme="minorHAnsi"/>
                <w:sz w:val="22"/>
                <w:szCs w:val="22"/>
              </w:rPr>
            </w:pPr>
            <w:r w:rsidRPr="00B91C49">
              <w:rPr>
                <w:rFonts w:asciiTheme="minorHAnsi" w:hAnsiTheme="minorHAnsi" w:cstheme="minorHAnsi"/>
                <w:sz w:val="22"/>
                <w:szCs w:val="22"/>
              </w:rPr>
              <w:t>-.045</w:t>
            </w:r>
          </w:p>
        </w:tc>
        <w:tc>
          <w:tcPr>
            <w:tcW w:w="2071" w:type="dxa"/>
            <w:tcBorders>
              <w:top w:val="nil"/>
              <w:left w:val="nil"/>
              <w:bottom w:val="nil"/>
              <w:right w:val="nil"/>
            </w:tcBorders>
            <w:tcMar>
              <w:top w:w="0" w:type="dxa"/>
              <w:left w:w="100" w:type="dxa"/>
              <w:bottom w:w="0" w:type="dxa"/>
              <w:right w:w="100" w:type="dxa"/>
            </w:tcMar>
          </w:tcPr>
          <w:p w:rsidR="00136EC0" w:rsidRPr="00B91C49" w:rsidRDefault="00000000">
            <w:pPr>
              <w:jc w:val="center"/>
              <w:rPr>
                <w:rFonts w:asciiTheme="minorHAnsi" w:hAnsiTheme="minorHAnsi" w:cstheme="minorHAnsi"/>
                <w:sz w:val="22"/>
                <w:szCs w:val="22"/>
              </w:rPr>
            </w:pPr>
            <w:r w:rsidRPr="00B91C49">
              <w:rPr>
                <w:rFonts w:asciiTheme="minorHAnsi" w:hAnsiTheme="minorHAnsi" w:cstheme="minorHAnsi"/>
                <w:sz w:val="22"/>
                <w:szCs w:val="22"/>
              </w:rPr>
              <w:t>1.170</w:t>
            </w:r>
          </w:p>
        </w:tc>
        <w:tc>
          <w:tcPr>
            <w:tcW w:w="2263" w:type="dxa"/>
            <w:tcBorders>
              <w:top w:val="nil"/>
              <w:left w:val="nil"/>
              <w:bottom w:val="nil"/>
              <w:right w:val="nil"/>
            </w:tcBorders>
            <w:tcMar>
              <w:top w:w="0" w:type="dxa"/>
              <w:left w:w="100" w:type="dxa"/>
              <w:bottom w:w="0" w:type="dxa"/>
              <w:right w:w="100" w:type="dxa"/>
            </w:tcMar>
          </w:tcPr>
          <w:p w:rsidR="00136EC0" w:rsidRPr="00B91C49" w:rsidRDefault="00000000">
            <w:pPr>
              <w:jc w:val="center"/>
              <w:rPr>
                <w:rFonts w:asciiTheme="minorHAnsi" w:hAnsiTheme="minorHAnsi" w:cstheme="minorHAnsi"/>
                <w:sz w:val="22"/>
                <w:szCs w:val="22"/>
              </w:rPr>
            </w:pPr>
            <w:r w:rsidRPr="00B91C49">
              <w:rPr>
                <w:rFonts w:asciiTheme="minorHAnsi" w:hAnsiTheme="minorHAnsi" w:cstheme="minorHAnsi"/>
                <w:sz w:val="22"/>
                <w:szCs w:val="22"/>
              </w:rPr>
              <w:t>.956</w:t>
            </w:r>
          </w:p>
        </w:tc>
      </w:tr>
      <w:tr w:rsidR="00136EC0" w:rsidRPr="00B91C49">
        <w:trPr>
          <w:trHeight w:val="285"/>
        </w:trPr>
        <w:tc>
          <w:tcPr>
            <w:tcW w:w="2589" w:type="dxa"/>
            <w:tcBorders>
              <w:top w:val="nil"/>
              <w:left w:val="nil"/>
              <w:bottom w:val="single" w:sz="6" w:space="0" w:color="000000"/>
              <w:right w:val="nil"/>
            </w:tcBorders>
            <w:tcMar>
              <w:top w:w="0" w:type="dxa"/>
              <w:left w:w="100" w:type="dxa"/>
              <w:bottom w:w="0" w:type="dxa"/>
              <w:right w:w="100" w:type="dxa"/>
            </w:tcMar>
          </w:tcPr>
          <w:p w:rsidR="00136EC0" w:rsidRPr="00B91C49" w:rsidRDefault="00000000">
            <w:pPr>
              <w:rPr>
                <w:rFonts w:asciiTheme="minorHAnsi" w:hAnsiTheme="minorHAnsi" w:cstheme="minorHAnsi"/>
                <w:b/>
                <w:i/>
                <w:sz w:val="22"/>
                <w:szCs w:val="22"/>
              </w:rPr>
            </w:pPr>
            <w:r w:rsidRPr="00B91C49">
              <w:rPr>
                <w:rFonts w:asciiTheme="minorHAnsi" w:hAnsiTheme="minorHAnsi" w:cstheme="minorHAnsi"/>
                <w:b/>
                <w:i/>
                <w:sz w:val="22"/>
                <w:szCs w:val="22"/>
              </w:rPr>
              <w:t xml:space="preserve"> </w:t>
            </w:r>
          </w:p>
        </w:tc>
        <w:tc>
          <w:tcPr>
            <w:tcW w:w="2101" w:type="dxa"/>
            <w:tcBorders>
              <w:top w:val="nil"/>
              <w:left w:val="nil"/>
              <w:bottom w:val="single" w:sz="6" w:space="0" w:color="000000"/>
              <w:right w:val="nil"/>
            </w:tcBorders>
            <w:tcMar>
              <w:top w:w="0" w:type="dxa"/>
              <w:left w:w="100" w:type="dxa"/>
              <w:bottom w:w="0" w:type="dxa"/>
              <w:right w:w="100" w:type="dxa"/>
            </w:tcMar>
          </w:tcPr>
          <w:p w:rsidR="00136EC0" w:rsidRPr="00B91C49" w:rsidRDefault="00000000">
            <w:pPr>
              <w:rPr>
                <w:rFonts w:asciiTheme="minorHAnsi" w:hAnsiTheme="minorHAnsi" w:cstheme="minorHAnsi"/>
                <w:b/>
                <w:i/>
                <w:sz w:val="22"/>
                <w:szCs w:val="22"/>
              </w:rPr>
            </w:pPr>
            <w:r w:rsidRPr="00B91C49">
              <w:rPr>
                <w:rFonts w:asciiTheme="minorHAnsi" w:hAnsiTheme="minorHAnsi" w:cstheme="minorHAnsi"/>
                <w:b/>
                <w:i/>
                <w:sz w:val="22"/>
                <w:szCs w:val="22"/>
              </w:rPr>
              <w:t xml:space="preserve"> </w:t>
            </w:r>
          </w:p>
        </w:tc>
        <w:tc>
          <w:tcPr>
            <w:tcW w:w="2071" w:type="dxa"/>
            <w:tcBorders>
              <w:top w:val="nil"/>
              <w:left w:val="nil"/>
              <w:bottom w:val="single" w:sz="6" w:space="0" w:color="000000"/>
              <w:right w:val="nil"/>
            </w:tcBorders>
            <w:tcMar>
              <w:top w:w="0" w:type="dxa"/>
              <w:left w:w="100" w:type="dxa"/>
              <w:bottom w:w="0" w:type="dxa"/>
              <w:right w:w="100" w:type="dxa"/>
            </w:tcMar>
          </w:tcPr>
          <w:p w:rsidR="00136EC0" w:rsidRPr="00B91C49" w:rsidRDefault="00000000">
            <w:pPr>
              <w:rPr>
                <w:rFonts w:asciiTheme="minorHAnsi" w:hAnsiTheme="minorHAnsi" w:cstheme="minorHAnsi"/>
                <w:b/>
                <w:i/>
                <w:sz w:val="22"/>
                <w:szCs w:val="22"/>
              </w:rPr>
            </w:pPr>
            <w:r w:rsidRPr="00B91C49">
              <w:rPr>
                <w:rFonts w:asciiTheme="minorHAnsi" w:hAnsiTheme="minorHAnsi" w:cstheme="minorHAnsi"/>
                <w:b/>
                <w:i/>
                <w:sz w:val="22"/>
                <w:szCs w:val="22"/>
              </w:rPr>
              <w:t xml:space="preserve"> </w:t>
            </w:r>
          </w:p>
        </w:tc>
        <w:tc>
          <w:tcPr>
            <w:tcW w:w="2263" w:type="dxa"/>
            <w:tcBorders>
              <w:top w:val="nil"/>
              <w:left w:val="nil"/>
              <w:bottom w:val="single" w:sz="6" w:space="0" w:color="000000"/>
              <w:right w:val="nil"/>
            </w:tcBorders>
            <w:tcMar>
              <w:top w:w="0" w:type="dxa"/>
              <w:left w:w="100" w:type="dxa"/>
              <w:bottom w:w="0" w:type="dxa"/>
              <w:right w:w="100" w:type="dxa"/>
            </w:tcMar>
          </w:tcPr>
          <w:p w:rsidR="00136EC0" w:rsidRPr="00B91C49" w:rsidRDefault="00000000">
            <w:pPr>
              <w:rPr>
                <w:rFonts w:asciiTheme="minorHAnsi" w:hAnsiTheme="minorHAnsi" w:cstheme="minorHAnsi"/>
                <w:b/>
                <w:i/>
                <w:sz w:val="22"/>
                <w:szCs w:val="22"/>
              </w:rPr>
            </w:pPr>
            <w:r w:rsidRPr="00B91C49">
              <w:rPr>
                <w:rFonts w:asciiTheme="minorHAnsi" w:hAnsiTheme="minorHAnsi" w:cstheme="minorHAnsi"/>
                <w:b/>
                <w:i/>
                <w:sz w:val="22"/>
                <w:szCs w:val="22"/>
              </w:rPr>
              <w:t xml:space="preserve"> </w:t>
            </w:r>
          </w:p>
        </w:tc>
      </w:tr>
      <w:tr w:rsidR="00136EC0" w:rsidRPr="00B91C49">
        <w:trPr>
          <w:trHeight w:val="285"/>
        </w:trPr>
        <w:tc>
          <w:tcPr>
            <w:tcW w:w="4690" w:type="dxa"/>
            <w:gridSpan w:val="2"/>
            <w:tcBorders>
              <w:top w:val="nil"/>
              <w:left w:val="nil"/>
              <w:bottom w:val="nil"/>
              <w:right w:val="nil"/>
            </w:tcBorders>
            <w:tcMar>
              <w:top w:w="0" w:type="dxa"/>
              <w:left w:w="100" w:type="dxa"/>
              <w:bottom w:w="0" w:type="dxa"/>
              <w:right w:w="100" w:type="dxa"/>
            </w:tcMar>
          </w:tcPr>
          <w:p w:rsidR="00136EC0" w:rsidRPr="00B91C49" w:rsidRDefault="00000000">
            <w:pPr>
              <w:rPr>
                <w:rFonts w:asciiTheme="minorHAnsi" w:hAnsiTheme="minorHAnsi" w:cstheme="minorHAnsi"/>
                <w:i/>
                <w:sz w:val="22"/>
                <w:szCs w:val="22"/>
              </w:rPr>
            </w:pPr>
            <w:r w:rsidRPr="00B91C49">
              <w:rPr>
                <w:rFonts w:asciiTheme="minorHAnsi" w:hAnsiTheme="minorHAnsi" w:cstheme="minorHAnsi"/>
                <w:i/>
                <w:sz w:val="22"/>
                <w:szCs w:val="22"/>
              </w:rPr>
              <w:t>*p&lt;.05, **p&lt;.01, ***p&lt;.001</w:t>
            </w:r>
          </w:p>
          <w:p w:rsidR="00136EC0" w:rsidRPr="00B91C49" w:rsidRDefault="00000000">
            <w:pPr>
              <w:rPr>
                <w:rFonts w:asciiTheme="minorHAnsi" w:hAnsiTheme="minorHAnsi" w:cstheme="minorHAnsi"/>
                <w:b/>
                <w:i/>
                <w:sz w:val="22"/>
                <w:szCs w:val="22"/>
              </w:rPr>
            </w:pPr>
            <w:r w:rsidRPr="00B91C49">
              <w:rPr>
                <w:rFonts w:asciiTheme="minorHAnsi" w:hAnsiTheme="minorHAnsi" w:cstheme="minorHAnsi"/>
                <w:b/>
                <w:i/>
                <w:sz w:val="22"/>
                <w:szCs w:val="22"/>
              </w:rPr>
              <w:t xml:space="preserve"> </w:t>
            </w:r>
          </w:p>
        </w:tc>
        <w:tc>
          <w:tcPr>
            <w:tcW w:w="2071" w:type="dxa"/>
            <w:tcBorders>
              <w:top w:val="nil"/>
              <w:left w:val="nil"/>
              <w:bottom w:val="nil"/>
              <w:right w:val="nil"/>
            </w:tcBorders>
            <w:tcMar>
              <w:top w:w="0" w:type="dxa"/>
              <w:left w:w="100" w:type="dxa"/>
              <w:bottom w:w="0" w:type="dxa"/>
              <w:right w:w="100" w:type="dxa"/>
            </w:tcMar>
          </w:tcPr>
          <w:p w:rsidR="00136EC0" w:rsidRPr="00B91C49" w:rsidRDefault="00000000">
            <w:pPr>
              <w:rPr>
                <w:rFonts w:asciiTheme="minorHAnsi" w:hAnsiTheme="minorHAnsi" w:cstheme="minorHAnsi"/>
                <w:b/>
                <w:i/>
                <w:sz w:val="22"/>
                <w:szCs w:val="22"/>
              </w:rPr>
            </w:pPr>
            <w:r w:rsidRPr="00B91C49">
              <w:rPr>
                <w:rFonts w:asciiTheme="minorHAnsi" w:hAnsiTheme="minorHAnsi" w:cstheme="minorHAnsi"/>
                <w:b/>
                <w:i/>
                <w:sz w:val="22"/>
                <w:szCs w:val="22"/>
              </w:rPr>
              <w:t xml:space="preserve"> </w:t>
            </w:r>
          </w:p>
        </w:tc>
        <w:tc>
          <w:tcPr>
            <w:tcW w:w="2263" w:type="dxa"/>
            <w:tcBorders>
              <w:top w:val="nil"/>
              <w:left w:val="nil"/>
              <w:bottom w:val="nil"/>
              <w:right w:val="nil"/>
            </w:tcBorders>
            <w:tcMar>
              <w:top w:w="0" w:type="dxa"/>
              <w:left w:w="100" w:type="dxa"/>
              <w:bottom w:w="0" w:type="dxa"/>
              <w:right w:w="100" w:type="dxa"/>
            </w:tcMar>
          </w:tcPr>
          <w:p w:rsidR="00136EC0" w:rsidRPr="00B91C49" w:rsidRDefault="00000000">
            <w:pPr>
              <w:rPr>
                <w:rFonts w:asciiTheme="minorHAnsi" w:hAnsiTheme="minorHAnsi" w:cstheme="minorHAnsi"/>
                <w:b/>
                <w:i/>
                <w:sz w:val="22"/>
                <w:szCs w:val="22"/>
              </w:rPr>
            </w:pPr>
            <w:r w:rsidRPr="00B91C49">
              <w:rPr>
                <w:rFonts w:asciiTheme="minorHAnsi" w:hAnsiTheme="minorHAnsi" w:cstheme="minorHAnsi"/>
                <w:b/>
                <w:i/>
                <w:sz w:val="22"/>
                <w:szCs w:val="22"/>
              </w:rPr>
              <w:t xml:space="preserve"> </w:t>
            </w:r>
          </w:p>
        </w:tc>
      </w:tr>
    </w:tbl>
    <w:p w:rsidR="00136EC0" w:rsidRPr="00B91C49" w:rsidRDefault="00000000">
      <w:pPr>
        <w:rPr>
          <w:rFonts w:asciiTheme="minorHAnsi" w:hAnsiTheme="minorHAnsi" w:cstheme="minorHAnsi"/>
          <w:b/>
          <w:i/>
          <w:sz w:val="22"/>
          <w:szCs w:val="22"/>
        </w:rPr>
      </w:pPr>
      <w:r w:rsidRPr="00B91C49">
        <w:rPr>
          <w:rFonts w:asciiTheme="minorHAnsi" w:hAnsiTheme="minorHAnsi" w:cstheme="minorHAnsi"/>
          <w:b/>
          <w:i/>
          <w:sz w:val="22"/>
          <w:szCs w:val="22"/>
        </w:rPr>
        <w:t xml:space="preserve"> </w:t>
      </w:r>
    </w:p>
    <w:p w:rsidR="00136EC0" w:rsidRPr="00B91C49" w:rsidRDefault="00000000" w:rsidP="00B91C49">
      <w:pPr>
        <w:spacing w:line="360" w:lineRule="auto"/>
        <w:jc w:val="both"/>
        <w:rPr>
          <w:rFonts w:asciiTheme="minorHAnsi" w:hAnsiTheme="minorHAnsi" w:cstheme="minorHAnsi"/>
          <w:sz w:val="22"/>
          <w:szCs w:val="22"/>
        </w:rPr>
      </w:pPr>
      <w:r w:rsidRPr="00B91C49">
        <w:rPr>
          <w:rFonts w:asciiTheme="minorHAnsi" w:hAnsiTheme="minorHAnsi" w:cstheme="minorHAnsi"/>
          <w:sz w:val="22"/>
          <w:szCs w:val="22"/>
        </w:rPr>
        <w:t>The chi-square for the model was 39.126, with 9 degrees of freedom (p&lt;.001). The Hosmer-</w:t>
      </w:r>
      <w:proofErr w:type="spellStart"/>
      <w:r w:rsidRPr="00B91C49">
        <w:rPr>
          <w:rFonts w:asciiTheme="minorHAnsi" w:hAnsiTheme="minorHAnsi" w:cstheme="minorHAnsi"/>
          <w:sz w:val="22"/>
          <w:szCs w:val="22"/>
        </w:rPr>
        <w:t>Lemeshow</w:t>
      </w:r>
      <w:proofErr w:type="spellEnd"/>
      <w:r w:rsidRPr="00B91C49">
        <w:rPr>
          <w:rFonts w:asciiTheme="minorHAnsi" w:hAnsiTheme="minorHAnsi" w:cstheme="minorHAnsi"/>
          <w:sz w:val="22"/>
          <w:szCs w:val="22"/>
        </w:rPr>
        <w:t xml:space="preserve"> test returned a chi-square statistic of 9.512 with 8 degrees of freedom (p=.301), indicating that the observed data did not significantly differ from the predictions of the model, while </w:t>
      </w:r>
      <w:proofErr w:type="spellStart"/>
      <w:r w:rsidRPr="00B91C49">
        <w:rPr>
          <w:rFonts w:asciiTheme="minorHAnsi" w:hAnsiTheme="minorHAnsi" w:cstheme="minorHAnsi"/>
          <w:sz w:val="22"/>
          <w:szCs w:val="22"/>
        </w:rPr>
        <w:t>Nagelkerke’s</w:t>
      </w:r>
      <w:proofErr w:type="spellEnd"/>
      <w:r w:rsidRPr="00B91C49">
        <w:rPr>
          <w:rFonts w:asciiTheme="minorHAnsi" w:hAnsiTheme="minorHAnsi" w:cstheme="minorHAnsi"/>
          <w:sz w:val="22"/>
          <w:szCs w:val="22"/>
        </w:rPr>
        <w:t xml:space="preserve"> pseudo-R² indicated moderate but acceptable goodness of fit (R²=.118). Of all the variables included in the model, only the presence of the victim’s family or friends (OR=4.378, p&lt;.001) reached significance at the </w:t>
      </w:r>
      <w:r w:rsidRPr="00B91C49">
        <w:rPr>
          <w:rFonts w:asciiTheme="minorHAnsi" w:hAnsiTheme="minorHAnsi" w:cstheme="minorHAnsi"/>
          <w:color w:val="FF0000"/>
          <w:sz w:val="22"/>
          <w:szCs w:val="22"/>
        </w:rPr>
        <w:t>5</w:t>
      </w:r>
      <w:r w:rsidRPr="00B91C49">
        <w:rPr>
          <w:rFonts w:asciiTheme="minorHAnsi" w:hAnsiTheme="minorHAnsi" w:cstheme="minorHAnsi"/>
          <w:sz w:val="22"/>
          <w:szCs w:val="22"/>
        </w:rPr>
        <w:t>% level, suggesting that their presence significantly increased the likelihood of a statement being given. Moreover, the odds ratio for the presence of the victim’s family or friends indicated an effect of significant magnitude, with its impact almost three times as strong as that of prior imprisonment (OR=1.473). While all other variables were non-significant at the 5% level, the effect for sex narrowly missed out on attaining significance (OR=4.629, p=.075) and would have been deemed significant had the 10% threshold been used. The implications of these findings are discussed below.</w:t>
      </w:r>
    </w:p>
    <w:p w:rsidR="00136EC0" w:rsidRPr="00B91C49" w:rsidRDefault="00136EC0">
      <w:pPr>
        <w:rPr>
          <w:rFonts w:asciiTheme="minorHAnsi" w:hAnsiTheme="minorHAnsi" w:cstheme="minorHAnsi"/>
          <w:sz w:val="22"/>
          <w:szCs w:val="22"/>
        </w:rPr>
      </w:pPr>
    </w:p>
    <w:p w:rsidR="00136EC0" w:rsidRPr="00B91C49" w:rsidRDefault="00136EC0">
      <w:pPr>
        <w:rPr>
          <w:rFonts w:asciiTheme="minorHAnsi" w:hAnsiTheme="minorHAnsi" w:cstheme="minorHAnsi"/>
          <w:sz w:val="22"/>
          <w:szCs w:val="22"/>
        </w:rPr>
      </w:pPr>
    </w:p>
    <w:p w:rsidR="00136EC0" w:rsidRPr="00B91C49" w:rsidRDefault="00000000">
      <w:pPr>
        <w:rPr>
          <w:rFonts w:asciiTheme="minorHAnsi" w:hAnsiTheme="minorHAnsi" w:cstheme="minorHAnsi"/>
          <w:b/>
          <w:sz w:val="22"/>
          <w:szCs w:val="22"/>
        </w:rPr>
      </w:pPr>
      <w:r w:rsidRPr="00B91C49">
        <w:rPr>
          <w:rFonts w:asciiTheme="minorHAnsi" w:hAnsiTheme="minorHAnsi" w:cstheme="minorHAnsi"/>
          <w:b/>
          <w:sz w:val="22"/>
          <w:szCs w:val="22"/>
        </w:rPr>
        <w:t xml:space="preserve">Discussion </w:t>
      </w:r>
    </w:p>
    <w:p w:rsidR="00136EC0" w:rsidRPr="00B91C49" w:rsidRDefault="00000000">
      <w:pPr>
        <w:spacing w:line="360" w:lineRule="auto"/>
        <w:jc w:val="both"/>
        <w:rPr>
          <w:rFonts w:asciiTheme="minorHAnsi" w:hAnsiTheme="minorHAnsi" w:cstheme="minorHAnsi"/>
          <w:sz w:val="22"/>
          <w:szCs w:val="22"/>
        </w:rPr>
      </w:pPr>
      <w:r w:rsidRPr="00B91C49">
        <w:rPr>
          <w:rFonts w:asciiTheme="minorHAnsi" w:hAnsiTheme="minorHAnsi" w:cstheme="minorHAnsi"/>
          <w:sz w:val="22"/>
          <w:szCs w:val="22"/>
        </w:rPr>
        <w:t xml:space="preserve">The aim of the preceding analysis was to determine which demographic and penal factors predicted whether an inmate made a final statement. Of the variables included in our analysis, only one evidenced a significant result: the presence of victims' family and/or close friends. This is consistent with work by Rice et al (2009), whose analysis of a sample of 341 executions between December 1982 </w:t>
      </w:r>
      <w:r w:rsidRPr="00B91C49">
        <w:rPr>
          <w:rFonts w:asciiTheme="minorHAnsi" w:hAnsiTheme="minorHAnsi" w:cstheme="minorHAnsi"/>
          <w:sz w:val="22"/>
          <w:szCs w:val="22"/>
        </w:rPr>
        <w:lastRenderedPageBreak/>
        <w:t xml:space="preserve">and June 2005 found that inmates were not only more likely to make a statement when such persons </w:t>
      </w:r>
      <w:r w:rsidRPr="00B91C49">
        <w:rPr>
          <w:rFonts w:asciiTheme="minorHAnsi" w:hAnsiTheme="minorHAnsi" w:cstheme="minorHAnsi"/>
          <w:color w:val="000000" w:themeColor="text1"/>
          <w:sz w:val="22"/>
          <w:szCs w:val="22"/>
        </w:rPr>
        <w:t xml:space="preserve">were present at the execution, but were also more likely to admit guilt and express repentance (see also Eaton, 2014). As they observe, “...it would appear that there is something emotionally palpable underway when witness lists are made up of not </w:t>
      </w:r>
      <w:r w:rsidRPr="00B91C49">
        <w:rPr>
          <w:rFonts w:asciiTheme="minorHAnsi" w:hAnsiTheme="minorHAnsi" w:cstheme="minorHAnsi"/>
          <w:sz w:val="22"/>
          <w:szCs w:val="22"/>
        </w:rPr>
        <w:t xml:space="preserve">only criminal justice officials, media representatives, and inmate witnesses but also homicide survivors”, and it is this which provides the impetus for inmates to give a final statement (Rice et al., 2009:315). </w:t>
      </w:r>
    </w:p>
    <w:p w:rsidR="00136EC0" w:rsidRPr="00B91C49" w:rsidRDefault="00136EC0">
      <w:pPr>
        <w:spacing w:line="360" w:lineRule="auto"/>
        <w:jc w:val="both"/>
        <w:rPr>
          <w:rFonts w:asciiTheme="minorHAnsi" w:hAnsiTheme="minorHAnsi" w:cstheme="minorHAnsi"/>
          <w:sz w:val="22"/>
          <w:szCs w:val="22"/>
        </w:rPr>
      </w:pPr>
    </w:p>
    <w:p w:rsidR="00B91C49" w:rsidRDefault="00000000" w:rsidP="00B91C49">
      <w:pPr>
        <w:spacing w:line="360" w:lineRule="auto"/>
        <w:jc w:val="both"/>
        <w:rPr>
          <w:rFonts w:asciiTheme="minorHAnsi" w:hAnsiTheme="minorHAnsi" w:cstheme="minorHAnsi"/>
          <w:color w:val="000000" w:themeColor="text1"/>
          <w:sz w:val="22"/>
          <w:szCs w:val="22"/>
        </w:rPr>
      </w:pPr>
      <w:r w:rsidRPr="00B91C49">
        <w:rPr>
          <w:rFonts w:asciiTheme="minorHAnsi" w:hAnsiTheme="minorHAnsi" w:cstheme="minorHAnsi"/>
          <w:color w:val="000000" w:themeColor="text1"/>
          <w:sz w:val="22"/>
          <w:szCs w:val="22"/>
        </w:rPr>
        <w:t xml:space="preserve">While it is difficult to draw firm conclusions from the results of our single limited study, should our findings be </w:t>
      </w:r>
      <w:r w:rsidR="00B91C49" w:rsidRPr="00B91C49">
        <w:rPr>
          <w:rFonts w:asciiTheme="minorHAnsi" w:hAnsiTheme="minorHAnsi" w:cstheme="minorHAnsi"/>
          <w:color w:val="000000" w:themeColor="text1"/>
          <w:sz w:val="22"/>
          <w:szCs w:val="22"/>
        </w:rPr>
        <w:t>replicated,</w:t>
      </w:r>
      <w:r w:rsidRPr="00B91C49">
        <w:rPr>
          <w:rFonts w:asciiTheme="minorHAnsi" w:hAnsiTheme="minorHAnsi" w:cstheme="minorHAnsi"/>
          <w:color w:val="000000" w:themeColor="text1"/>
          <w:sz w:val="22"/>
          <w:szCs w:val="22"/>
        </w:rPr>
        <w:t xml:space="preserve"> they would pose significant questions in respect of the conduct of executions in the United States. Primarily, the fact that a significant number of inmates (possibly around a quarter) decline to make a final statement presents a profound commentary on the psychological and emotional toll of the death penalty, showing how the death row process strips individuals of their dignity and voice; effectively rendering them mute in the face of their own demise (Johnson, 2013; Johnson et al., 2014). Secondly, the presence of witnesses for the victim(s) also raises questions about the dynamics of justice, forgiveness and closure within the US capital punishment system. Final statements are an attempt by the condemned to seek forgiveness, express remorse or even provide explanations, all of which can have a profound impact on grieving families. However, this raises an important question about whether the purpose of the death penalty is retributive justice, a form of deterrence, or a path to reconciliation between offender and victim(s). The presence of a victim's family not only highlights the emotional complexities of the judicial process, but also raises the question of whether the final moments of an inmate's life should serve as a platform for addressing the emotional needs of the victims' families or if this places an undue emotional burden on both parties. Ultimately this execution chamber interaction between offender and representatives of victim(s) underscores the complex interplay between punishment, healing, and the quest for justice, challenging society to reflect on the deeper implications of capital punishment.</w:t>
      </w:r>
    </w:p>
    <w:p w:rsidR="00136EC0" w:rsidRPr="00B91C49" w:rsidRDefault="00000000" w:rsidP="00B91C49">
      <w:pPr>
        <w:spacing w:line="360" w:lineRule="auto"/>
        <w:jc w:val="both"/>
        <w:rPr>
          <w:rFonts w:asciiTheme="minorHAnsi" w:hAnsiTheme="minorHAnsi" w:cstheme="minorHAnsi"/>
          <w:color w:val="000000" w:themeColor="text1"/>
          <w:sz w:val="22"/>
          <w:szCs w:val="22"/>
        </w:rPr>
      </w:pPr>
      <w:r w:rsidRPr="00B91C49">
        <w:rPr>
          <w:rFonts w:asciiTheme="minorHAnsi" w:hAnsiTheme="minorHAnsi" w:cstheme="minorHAnsi"/>
          <w:color w:val="000000" w:themeColor="text1"/>
          <w:sz w:val="22"/>
          <w:szCs w:val="22"/>
        </w:rPr>
        <w:t xml:space="preserve">Future work may wish to consider triangulating our findings through either qualitative </w:t>
      </w:r>
      <w:proofErr w:type="gramStart"/>
      <w:r w:rsidRPr="00B91C49">
        <w:rPr>
          <w:rFonts w:asciiTheme="minorHAnsi" w:hAnsiTheme="minorHAnsi" w:cstheme="minorHAnsi"/>
          <w:color w:val="000000" w:themeColor="text1"/>
          <w:sz w:val="22"/>
          <w:szCs w:val="22"/>
        </w:rPr>
        <w:t>interviews</w:t>
      </w:r>
      <w:proofErr w:type="gramEnd"/>
      <w:r w:rsidRPr="00B91C49">
        <w:rPr>
          <w:rFonts w:asciiTheme="minorHAnsi" w:hAnsiTheme="minorHAnsi" w:cstheme="minorHAnsi"/>
          <w:color w:val="000000" w:themeColor="text1"/>
          <w:sz w:val="22"/>
          <w:szCs w:val="22"/>
        </w:rPr>
        <w:t xml:space="preserve"> with pre-execution inmates or through the analysis of the creative outputs of death row inmates (see for example, Abu-Jamal, 1996; </w:t>
      </w:r>
      <w:proofErr w:type="spellStart"/>
      <w:r w:rsidRPr="00B91C49">
        <w:rPr>
          <w:rFonts w:asciiTheme="minorHAnsi" w:hAnsiTheme="minorHAnsi" w:cstheme="minorHAnsi"/>
          <w:color w:val="000000" w:themeColor="text1"/>
          <w:sz w:val="22"/>
          <w:szCs w:val="22"/>
        </w:rPr>
        <w:t>Arriens</w:t>
      </w:r>
      <w:proofErr w:type="spellEnd"/>
      <w:r w:rsidRPr="00B91C49">
        <w:rPr>
          <w:rFonts w:asciiTheme="minorHAnsi" w:hAnsiTheme="minorHAnsi" w:cstheme="minorHAnsi"/>
          <w:color w:val="000000" w:themeColor="text1"/>
          <w:sz w:val="22"/>
          <w:szCs w:val="22"/>
        </w:rPr>
        <w:t xml:space="preserve">, 2004; Rossi, 2004; Dicks, 2013; Owens-Murphy, 2023). In respect of the latter there is a particularly rich seam of data that future studies could use to explore the state of mind amongst pre-execution criminals, and with which few academic studies have sought to engage. Equally, replication in alternate jurisdictions within the US would be welcome as a further test of our results, as would studies extending our approach geographically to non-Western states and states in the Global South. The lack of a literature on the factors predisposing inmates to speak at </w:t>
      </w:r>
      <w:r w:rsidRPr="00B91C49">
        <w:rPr>
          <w:rFonts w:asciiTheme="minorHAnsi" w:hAnsiTheme="minorHAnsi" w:cstheme="minorHAnsi"/>
          <w:color w:val="000000" w:themeColor="text1"/>
          <w:sz w:val="22"/>
          <w:szCs w:val="22"/>
        </w:rPr>
        <w:lastRenderedPageBreak/>
        <w:t xml:space="preserve">execution in these jurisdictions may be regarded as one of the key shortcomings of the existing literature. </w:t>
      </w:r>
    </w:p>
    <w:p w:rsidR="00136EC0" w:rsidRPr="00B91C49" w:rsidRDefault="00136EC0">
      <w:pPr>
        <w:spacing w:line="360" w:lineRule="auto"/>
        <w:jc w:val="both"/>
        <w:rPr>
          <w:rFonts w:asciiTheme="minorHAnsi" w:hAnsiTheme="minorHAnsi" w:cstheme="minorHAnsi"/>
          <w:sz w:val="22"/>
          <w:szCs w:val="22"/>
        </w:rPr>
      </w:pPr>
    </w:p>
    <w:p w:rsidR="00136EC0" w:rsidRPr="00B91C49" w:rsidRDefault="00000000">
      <w:pPr>
        <w:spacing w:line="360" w:lineRule="auto"/>
        <w:jc w:val="both"/>
        <w:rPr>
          <w:rFonts w:asciiTheme="minorHAnsi" w:hAnsiTheme="minorHAnsi" w:cstheme="minorHAnsi"/>
          <w:b/>
          <w:sz w:val="22"/>
          <w:szCs w:val="22"/>
        </w:rPr>
      </w:pPr>
      <w:r w:rsidRPr="00B91C49">
        <w:rPr>
          <w:rFonts w:asciiTheme="minorHAnsi" w:hAnsiTheme="minorHAnsi" w:cstheme="minorHAnsi"/>
          <w:b/>
          <w:sz w:val="22"/>
          <w:szCs w:val="22"/>
        </w:rPr>
        <w:t xml:space="preserve">Conclusion </w:t>
      </w:r>
    </w:p>
    <w:p w:rsidR="00136EC0" w:rsidRPr="00B91C49" w:rsidRDefault="00000000">
      <w:pPr>
        <w:spacing w:line="360" w:lineRule="auto"/>
        <w:jc w:val="both"/>
        <w:rPr>
          <w:rFonts w:asciiTheme="minorHAnsi" w:hAnsiTheme="minorHAnsi" w:cstheme="minorHAnsi"/>
          <w:sz w:val="22"/>
          <w:szCs w:val="22"/>
        </w:rPr>
      </w:pPr>
      <w:r w:rsidRPr="00B91C49">
        <w:rPr>
          <w:rFonts w:asciiTheme="minorHAnsi" w:hAnsiTheme="minorHAnsi" w:cstheme="minorHAnsi"/>
          <w:sz w:val="22"/>
          <w:szCs w:val="22"/>
        </w:rPr>
        <w:t>This paper has sought to contribute to ongoing debates around the factors determining the behaviour of death row inmates in respect of their decision to make a pre-execution statement. Building on work by Rice et al (2009) and Eaton (2014), it examined a 574</w:t>
      </w:r>
      <w:r w:rsidR="00B91C49">
        <w:rPr>
          <w:rFonts w:asciiTheme="minorHAnsi" w:hAnsiTheme="minorHAnsi" w:cstheme="minorHAnsi"/>
          <w:sz w:val="22"/>
          <w:szCs w:val="22"/>
        </w:rPr>
        <w:t>-</w:t>
      </w:r>
      <w:r w:rsidRPr="00B91C49">
        <w:rPr>
          <w:rFonts w:asciiTheme="minorHAnsi" w:hAnsiTheme="minorHAnsi" w:cstheme="minorHAnsi"/>
          <w:sz w:val="22"/>
          <w:szCs w:val="22"/>
        </w:rPr>
        <w:t xml:space="preserve">case data set encompassing all executions in the state of Texas between 1982 and 2022. The results of regression analyses highlighted a significant effect on pre-execution statement making for only the presence of victim family and/or friends. While it is impossible from our analyses to determine the underlying cause of this behaviour, our results are in line with findings in work by Rice et al (2009) and Eaton (2014), and suggest that inmates are more likely to say something when victims’ family and close friends are present at the execution. </w:t>
      </w:r>
    </w:p>
    <w:p w:rsidR="00136EC0" w:rsidRPr="00B91C49" w:rsidRDefault="00000000" w:rsidP="00B91C49">
      <w:pPr>
        <w:spacing w:line="360" w:lineRule="auto"/>
        <w:jc w:val="both"/>
        <w:rPr>
          <w:rFonts w:asciiTheme="minorHAnsi" w:hAnsiTheme="minorHAnsi" w:cstheme="minorHAnsi"/>
          <w:sz w:val="22"/>
          <w:szCs w:val="22"/>
        </w:rPr>
      </w:pPr>
      <w:r w:rsidRPr="00B91C49">
        <w:rPr>
          <w:rFonts w:asciiTheme="minorHAnsi" w:hAnsiTheme="minorHAnsi" w:cstheme="minorHAnsi"/>
          <w:sz w:val="22"/>
          <w:szCs w:val="22"/>
        </w:rPr>
        <w:t xml:space="preserve">A key limitation of this research is that, like almost all the research on final statements, it focused solely on those who were executed in Texas. Future research may wish to expand on our analysis via the use of a larger data set, considering behaviours around executions outside Texas. This should include other US states as well as </w:t>
      </w:r>
      <w:r w:rsidR="00B91C49" w:rsidRPr="00B91C49">
        <w:rPr>
          <w:rFonts w:asciiTheme="minorHAnsi" w:hAnsiTheme="minorHAnsi" w:cstheme="minorHAnsi"/>
          <w:sz w:val="22"/>
          <w:szCs w:val="22"/>
        </w:rPr>
        <w:t>other international</w:t>
      </w:r>
      <w:r w:rsidRPr="00B91C49">
        <w:rPr>
          <w:rFonts w:asciiTheme="minorHAnsi" w:hAnsiTheme="minorHAnsi" w:cstheme="minorHAnsi"/>
          <w:sz w:val="22"/>
          <w:szCs w:val="22"/>
        </w:rPr>
        <w:t xml:space="preserve"> contexts, particularly in the Global South. Equally, qualitative research may wish to pay attention to the views of death row offenders prior to execution, with a view to shedding further light on their </w:t>
      </w:r>
      <w:r w:rsidR="00B91C49" w:rsidRPr="00B91C49">
        <w:rPr>
          <w:rFonts w:asciiTheme="minorHAnsi" w:hAnsiTheme="minorHAnsi" w:cstheme="minorHAnsi"/>
          <w:sz w:val="22"/>
          <w:szCs w:val="22"/>
        </w:rPr>
        <w:t>decision-making</w:t>
      </w:r>
      <w:r w:rsidRPr="00B91C49">
        <w:rPr>
          <w:rFonts w:asciiTheme="minorHAnsi" w:hAnsiTheme="minorHAnsi" w:cstheme="minorHAnsi"/>
          <w:sz w:val="22"/>
          <w:szCs w:val="22"/>
        </w:rPr>
        <w:t xml:space="preserve"> process around the decision to make a statement.</w:t>
      </w:r>
    </w:p>
    <w:p w:rsidR="00136EC0" w:rsidRDefault="00136EC0">
      <w:pPr>
        <w:spacing w:line="360" w:lineRule="auto"/>
        <w:jc w:val="both"/>
        <w:rPr>
          <w:rFonts w:asciiTheme="minorHAnsi" w:hAnsiTheme="minorHAnsi" w:cstheme="minorHAnsi"/>
          <w:color w:val="00FF0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0"/>
      </w:tblGrid>
      <w:tr w:rsidR="00B91C49" w:rsidRPr="000C7C81" w:rsidTr="000B6441">
        <w:trPr>
          <w:trHeight w:val="100"/>
        </w:trPr>
        <w:tc>
          <w:tcPr>
            <w:tcW w:w="11055" w:type="dxa"/>
          </w:tcPr>
          <w:p w:rsidR="00B91C49" w:rsidRPr="000C7C81" w:rsidRDefault="00B91C49" w:rsidP="000B6441">
            <w:pPr>
              <w:rPr>
                <w:rFonts w:ascii="Calibri Light" w:hAnsi="Calibri Light" w:cs="Calibri Light"/>
                <w:b/>
                <w:bCs/>
                <w:i/>
                <w:sz w:val="18"/>
              </w:rPr>
            </w:pPr>
            <w:r w:rsidRPr="000C7C81">
              <w:rPr>
                <w:rFonts w:ascii="Calibri Light" w:eastAsia="Arial" w:hAnsi="Calibri Light" w:cs="Calibri Light"/>
                <w:b/>
                <w:bCs/>
                <w:i/>
                <w:color w:val="231F20"/>
                <w:sz w:val="18"/>
                <w:szCs w:val="16"/>
              </w:rPr>
              <w:t>Peer-review</w:t>
            </w:r>
            <w:r w:rsidRPr="000C7C81">
              <w:rPr>
                <w:rFonts w:ascii="Calibri Light" w:eastAsia="Arial" w:hAnsi="Calibri Light" w:cs="Calibri Light"/>
                <w:i/>
                <w:color w:val="231F20"/>
                <w:sz w:val="18"/>
                <w:szCs w:val="16"/>
              </w:rPr>
              <w:t>: Externally peer-reviewed.</w:t>
            </w:r>
          </w:p>
        </w:tc>
      </w:tr>
      <w:tr w:rsidR="00B91C49" w:rsidRPr="000C7C81" w:rsidTr="000B6441">
        <w:tc>
          <w:tcPr>
            <w:tcW w:w="11055" w:type="dxa"/>
          </w:tcPr>
          <w:p w:rsidR="00B91C49" w:rsidRPr="000C7C81" w:rsidRDefault="00B91C49" w:rsidP="000B6441">
            <w:pPr>
              <w:rPr>
                <w:rFonts w:ascii="Calibri Light" w:hAnsi="Calibri Light" w:cs="Calibri Light"/>
                <w:b/>
                <w:bCs/>
                <w:i/>
                <w:sz w:val="18"/>
              </w:rPr>
            </w:pPr>
            <w:r w:rsidRPr="000C7C81">
              <w:rPr>
                <w:rFonts w:ascii="Calibri Light" w:eastAsia="Arial" w:hAnsi="Calibri Light" w:cs="Calibri Light"/>
                <w:b/>
                <w:bCs/>
                <w:i/>
                <w:color w:val="231F20"/>
                <w:sz w:val="18"/>
                <w:szCs w:val="16"/>
              </w:rPr>
              <w:t xml:space="preserve">Conflict of Interest: </w:t>
            </w:r>
            <w:r>
              <w:rPr>
                <w:rFonts w:ascii="Calibri Light" w:eastAsia="Arial" w:hAnsi="Calibri Light" w:cs="Calibri Light"/>
                <w:i/>
                <w:color w:val="231F20"/>
                <w:sz w:val="18"/>
                <w:szCs w:val="16"/>
              </w:rPr>
              <w:t>The author has</w:t>
            </w:r>
            <w:r w:rsidRPr="000C7C81">
              <w:rPr>
                <w:rFonts w:ascii="Calibri Light" w:eastAsia="Arial" w:hAnsi="Calibri Light" w:cs="Calibri Light"/>
                <w:i/>
                <w:color w:val="231F20"/>
                <w:sz w:val="18"/>
                <w:szCs w:val="16"/>
              </w:rPr>
              <w:t xml:space="preserve"> no conflicts of interest to declare.</w:t>
            </w:r>
          </w:p>
        </w:tc>
      </w:tr>
      <w:tr w:rsidR="00B91C49" w:rsidRPr="000C7C81" w:rsidTr="000B6441">
        <w:trPr>
          <w:trHeight w:val="66"/>
        </w:trPr>
        <w:tc>
          <w:tcPr>
            <w:tcW w:w="11055" w:type="dxa"/>
          </w:tcPr>
          <w:p w:rsidR="00B91C49" w:rsidRPr="000C7C81" w:rsidRDefault="00B91C49" w:rsidP="000B6441">
            <w:pPr>
              <w:rPr>
                <w:rFonts w:ascii="Calibri Light" w:hAnsi="Calibri Light" w:cs="Calibri Light"/>
                <w:b/>
                <w:bCs/>
                <w:i/>
                <w:sz w:val="18"/>
              </w:rPr>
            </w:pPr>
            <w:r w:rsidRPr="000C7C81">
              <w:rPr>
                <w:rFonts w:ascii="Calibri Light" w:eastAsia="Arial" w:hAnsi="Calibri Light" w:cs="Calibri Light"/>
                <w:b/>
                <w:bCs/>
                <w:i/>
                <w:color w:val="231F20"/>
                <w:sz w:val="18"/>
                <w:szCs w:val="16"/>
              </w:rPr>
              <w:t xml:space="preserve">Financial Disclosure: </w:t>
            </w:r>
            <w:r>
              <w:rPr>
                <w:rFonts w:ascii="Calibri Light" w:eastAsia="Arial" w:hAnsi="Calibri Light" w:cs="Calibri Light"/>
                <w:i/>
                <w:color w:val="231F20"/>
                <w:sz w:val="18"/>
                <w:szCs w:val="16"/>
              </w:rPr>
              <w:t>The author</w:t>
            </w:r>
            <w:r w:rsidRPr="000C7C81">
              <w:rPr>
                <w:rFonts w:ascii="Calibri Light" w:eastAsia="Arial" w:hAnsi="Calibri Light" w:cs="Calibri Light"/>
                <w:i/>
                <w:color w:val="231F20"/>
                <w:sz w:val="18"/>
                <w:szCs w:val="16"/>
              </w:rPr>
              <w:t xml:space="preserve"> declared that this study has received no financial support.</w:t>
            </w:r>
          </w:p>
        </w:tc>
      </w:tr>
    </w:tbl>
    <w:p w:rsidR="00B91C49" w:rsidRDefault="00B91C49">
      <w:pPr>
        <w:spacing w:line="360" w:lineRule="auto"/>
        <w:jc w:val="both"/>
        <w:rPr>
          <w:rFonts w:asciiTheme="minorHAnsi" w:hAnsiTheme="minorHAnsi" w:cstheme="minorHAnsi"/>
          <w:color w:val="00FF00"/>
          <w:sz w:val="22"/>
          <w:szCs w:val="22"/>
        </w:rPr>
      </w:pPr>
    </w:p>
    <w:p w:rsidR="00B91C49" w:rsidRDefault="00B91C49">
      <w:pPr>
        <w:spacing w:line="360" w:lineRule="auto"/>
        <w:jc w:val="both"/>
        <w:rPr>
          <w:rFonts w:asciiTheme="minorHAnsi" w:hAnsiTheme="minorHAnsi" w:cstheme="minorHAnsi"/>
          <w:color w:val="00FF00"/>
          <w:sz w:val="22"/>
          <w:szCs w:val="22"/>
        </w:rPr>
      </w:pPr>
    </w:p>
    <w:p w:rsidR="00B91C49" w:rsidRPr="00B91C49" w:rsidRDefault="00B91C49" w:rsidP="00B91C49">
      <w:pPr>
        <w:spacing w:line="360" w:lineRule="auto"/>
        <w:jc w:val="center"/>
        <w:rPr>
          <w:rFonts w:asciiTheme="minorHAnsi" w:hAnsiTheme="minorHAnsi" w:cstheme="minorHAnsi"/>
          <w:b/>
          <w:bCs/>
          <w:color w:val="000000" w:themeColor="text1"/>
          <w:sz w:val="22"/>
          <w:szCs w:val="22"/>
        </w:rPr>
      </w:pPr>
      <w:r w:rsidRPr="00B91C49">
        <w:rPr>
          <w:rFonts w:asciiTheme="minorHAnsi" w:hAnsiTheme="minorHAnsi" w:cstheme="minorHAnsi"/>
          <w:b/>
          <w:bCs/>
          <w:color w:val="000000" w:themeColor="text1"/>
          <w:sz w:val="22"/>
          <w:szCs w:val="22"/>
        </w:rPr>
        <w:t>References</w:t>
      </w:r>
    </w:p>
    <w:p w:rsidR="00136EC0" w:rsidRPr="00112AAC" w:rsidRDefault="00000000" w:rsidP="00112AAC">
      <w:pPr>
        <w:pBdr>
          <w:top w:val="nil"/>
          <w:left w:val="nil"/>
          <w:bottom w:val="nil"/>
          <w:right w:val="nil"/>
          <w:between w:val="nil"/>
        </w:pBdr>
        <w:jc w:val="both"/>
        <w:rPr>
          <w:rFonts w:asciiTheme="minorHAnsi" w:hAnsiTheme="minorHAnsi" w:cstheme="minorHAnsi"/>
          <w:b/>
          <w:color w:val="000000" w:themeColor="text1"/>
          <w:sz w:val="22"/>
          <w:szCs w:val="22"/>
        </w:rPr>
      </w:pPr>
      <w:r w:rsidRPr="00112AAC">
        <w:rPr>
          <w:rFonts w:asciiTheme="minorHAnsi" w:hAnsiTheme="minorHAnsi" w:cstheme="minorHAnsi"/>
          <w:color w:val="000000" w:themeColor="text1"/>
          <w:sz w:val="22"/>
          <w:szCs w:val="22"/>
        </w:rPr>
        <w:t xml:space="preserve">Abu-Jamal M. (1996). </w:t>
      </w:r>
      <w:r w:rsidRPr="00112AAC">
        <w:rPr>
          <w:rFonts w:asciiTheme="minorHAnsi" w:hAnsiTheme="minorHAnsi" w:cstheme="minorHAnsi"/>
          <w:i/>
          <w:color w:val="000000" w:themeColor="text1"/>
          <w:sz w:val="22"/>
          <w:szCs w:val="22"/>
        </w:rPr>
        <w:t>Live From Death Row.</w:t>
      </w:r>
      <w:r w:rsidRPr="00112AAC">
        <w:rPr>
          <w:rFonts w:asciiTheme="minorHAnsi" w:hAnsiTheme="minorHAnsi" w:cstheme="minorHAnsi"/>
          <w:color w:val="000000" w:themeColor="text1"/>
          <w:sz w:val="22"/>
          <w:szCs w:val="22"/>
        </w:rPr>
        <w:t xml:space="preserve"> Harper </w:t>
      </w:r>
      <w:proofErr w:type="spellStart"/>
      <w:r w:rsidRPr="00112AAC">
        <w:rPr>
          <w:rFonts w:asciiTheme="minorHAnsi" w:hAnsiTheme="minorHAnsi" w:cstheme="minorHAnsi"/>
          <w:color w:val="000000" w:themeColor="text1"/>
          <w:sz w:val="22"/>
          <w:szCs w:val="22"/>
        </w:rPr>
        <w:t>Perennia</w:t>
      </w:r>
      <w:proofErr w:type="spellEnd"/>
    </w:p>
    <w:p w:rsidR="00136EC0" w:rsidRPr="001E4E28" w:rsidRDefault="00000000" w:rsidP="00112AAC">
      <w:pPr>
        <w:pBdr>
          <w:top w:val="nil"/>
          <w:left w:val="nil"/>
          <w:bottom w:val="nil"/>
          <w:right w:val="nil"/>
          <w:between w:val="nil"/>
        </w:pBdr>
        <w:jc w:val="both"/>
        <w:rPr>
          <w:rFonts w:asciiTheme="minorHAnsi" w:hAnsiTheme="minorHAnsi" w:cstheme="minorHAnsi"/>
          <w:color w:val="000000" w:themeColor="text1"/>
          <w:sz w:val="22"/>
          <w:szCs w:val="22"/>
        </w:rPr>
      </w:pPr>
      <w:proofErr w:type="spellStart"/>
      <w:r w:rsidRPr="00112AAC">
        <w:rPr>
          <w:rFonts w:asciiTheme="minorHAnsi" w:hAnsiTheme="minorHAnsi" w:cstheme="minorHAnsi"/>
          <w:color w:val="000000" w:themeColor="text1"/>
          <w:sz w:val="22"/>
          <w:szCs w:val="22"/>
        </w:rPr>
        <w:t>Arriens</w:t>
      </w:r>
      <w:proofErr w:type="spellEnd"/>
      <w:r w:rsidRPr="00112AAC">
        <w:rPr>
          <w:rFonts w:asciiTheme="minorHAnsi" w:hAnsiTheme="minorHAnsi" w:cstheme="minorHAnsi"/>
          <w:color w:val="000000" w:themeColor="text1"/>
          <w:sz w:val="22"/>
          <w:szCs w:val="22"/>
        </w:rPr>
        <w:t xml:space="preserve"> J. (2004). </w:t>
      </w:r>
      <w:r w:rsidRPr="00112AAC">
        <w:rPr>
          <w:rFonts w:asciiTheme="minorHAnsi" w:hAnsiTheme="minorHAnsi" w:cstheme="minorHAnsi"/>
          <w:i/>
          <w:color w:val="000000" w:themeColor="text1"/>
          <w:sz w:val="22"/>
          <w:szCs w:val="22"/>
        </w:rPr>
        <w:t>Welcome to Hell: Letters and Writings from Death Row.</w:t>
      </w:r>
      <w:r w:rsidR="00112AAC" w:rsidRPr="00112AAC">
        <w:rPr>
          <w:rFonts w:asciiTheme="minorHAnsi" w:hAnsiTheme="minorHAnsi" w:cstheme="minorHAnsi"/>
          <w:color w:val="000000" w:themeColor="text1"/>
          <w:sz w:val="22"/>
          <w:szCs w:val="22"/>
        </w:rPr>
        <w:t xml:space="preserve"> </w:t>
      </w:r>
      <w:proofErr w:type="spellStart"/>
      <w:r w:rsidRPr="00112AAC">
        <w:rPr>
          <w:rFonts w:asciiTheme="minorHAnsi" w:hAnsiTheme="minorHAnsi" w:cstheme="minorHAnsi"/>
          <w:color w:val="000000" w:themeColor="text1"/>
          <w:sz w:val="22"/>
          <w:szCs w:val="22"/>
        </w:rPr>
        <w:t>Northeastern</w:t>
      </w:r>
      <w:proofErr w:type="spellEnd"/>
      <w:r w:rsidRPr="00112AAC">
        <w:rPr>
          <w:rFonts w:asciiTheme="minorHAnsi" w:hAnsiTheme="minorHAnsi" w:cstheme="minorHAnsi"/>
          <w:color w:val="000000" w:themeColor="text1"/>
          <w:sz w:val="22"/>
          <w:szCs w:val="22"/>
        </w:rPr>
        <w:t xml:space="preserve"> University Press.</w:t>
      </w:r>
    </w:p>
    <w:p w:rsidR="00136EC0" w:rsidRPr="001E4E28" w:rsidRDefault="00000000" w:rsidP="00112AAC">
      <w:pPr>
        <w:pBdr>
          <w:top w:val="nil"/>
          <w:left w:val="nil"/>
          <w:bottom w:val="nil"/>
          <w:right w:val="nil"/>
          <w:between w:val="nil"/>
        </w:pBdr>
        <w:jc w:val="both"/>
        <w:rPr>
          <w:rFonts w:asciiTheme="minorHAnsi" w:hAnsiTheme="minorHAnsi" w:cstheme="minorHAnsi"/>
          <w:color w:val="000000" w:themeColor="text1"/>
          <w:sz w:val="22"/>
          <w:szCs w:val="22"/>
        </w:rPr>
      </w:pPr>
      <w:r w:rsidRPr="001E4E28">
        <w:rPr>
          <w:rFonts w:asciiTheme="minorHAnsi" w:hAnsiTheme="minorHAnsi" w:cstheme="minorHAnsi"/>
          <w:color w:val="000000" w:themeColor="text1"/>
          <w:sz w:val="22"/>
          <w:szCs w:val="22"/>
        </w:rPr>
        <w:t xml:space="preserve">Cooney, M., &amp; Phillips, S. (2013). With </w:t>
      </w:r>
      <w:r w:rsidR="001E4E28" w:rsidRPr="001E4E28">
        <w:rPr>
          <w:rFonts w:asciiTheme="minorHAnsi" w:hAnsiTheme="minorHAnsi" w:cstheme="minorHAnsi"/>
          <w:color w:val="000000" w:themeColor="text1"/>
          <w:sz w:val="22"/>
          <w:szCs w:val="22"/>
        </w:rPr>
        <w:t>G</w:t>
      </w:r>
      <w:r w:rsidRPr="001E4E28">
        <w:rPr>
          <w:rFonts w:asciiTheme="minorHAnsi" w:hAnsiTheme="minorHAnsi" w:cstheme="minorHAnsi"/>
          <w:color w:val="000000" w:themeColor="text1"/>
          <w:sz w:val="22"/>
          <w:szCs w:val="22"/>
        </w:rPr>
        <w:t xml:space="preserve">od on one’s side: The social geometry of death row apologies. </w:t>
      </w:r>
      <w:r w:rsidRPr="001E4E28">
        <w:rPr>
          <w:rFonts w:asciiTheme="minorHAnsi" w:hAnsiTheme="minorHAnsi" w:cstheme="minorHAnsi"/>
          <w:i/>
          <w:color w:val="000000" w:themeColor="text1"/>
          <w:sz w:val="22"/>
          <w:szCs w:val="22"/>
        </w:rPr>
        <w:t>Sociological Forum</w:t>
      </w:r>
      <w:r w:rsidRPr="001E4E28">
        <w:rPr>
          <w:rFonts w:asciiTheme="minorHAnsi" w:hAnsiTheme="minorHAnsi" w:cstheme="minorHAnsi"/>
          <w:color w:val="000000" w:themeColor="text1"/>
          <w:sz w:val="22"/>
          <w:szCs w:val="22"/>
        </w:rPr>
        <w:t xml:space="preserve">, 28(1), 159–178. </w:t>
      </w:r>
    </w:p>
    <w:p w:rsidR="00136EC0" w:rsidRPr="001E4E28" w:rsidRDefault="00000000" w:rsidP="00112AAC">
      <w:pPr>
        <w:pBdr>
          <w:top w:val="nil"/>
          <w:left w:val="nil"/>
          <w:bottom w:val="nil"/>
          <w:right w:val="nil"/>
          <w:between w:val="nil"/>
        </w:pBdr>
        <w:jc w:val="both"/>
        <w:rPr>
          <w:rFonts w:asciiTheme="minorHAnsi" w:hAnsiTheme="minorHAnsi" w:cstheme="minorHAnsi"/>
          <w:color w:val="000000" w:themeColor="text1"/>
          <w:sz w:val="22"/>
          <w:szCs w:val="22"/>
        </w:rPr>
      </w:pPr>
      <w:r w:rsidRPr="001E4E28">
        <w:rPr>
          <w:rFonts w:asciiTheme="minorHAnsi" w:hAnsiTheme="minorHAnsi" w:cstheme="minorHAnsi"/>
          <w:color w:val="000000" w:themeColor="text1"/>
          <w:sz w:val="22"/>
          <w:szCs w:val="22"/>
        </w:rPr>
        <w:t xml:space="preserve">Dicks S. (2013). </w:t>
      </w:r>
      <w:r w:rsidRPr="001E4E28">
        <w:rPr>
          <w:rFonts w:asciiTheme="minorHAnsi" w:hAnsiTheme="minorHAnsi" w:cstheme="minorHAnsi"/>
          <w:i/>
          <w:iCs/>
          <w:color w:val="000000" w:themeColor="text1"/>
          <w:sz w:val="22"/>
          <w:szCs w:val="22"/>
        </w:rPr>
        <w:t>Death Row: Interviews with Inmates, Their Families and Opponents of Capital Punishment</w:t>
      </w:r>
      <w:r w:rsidRPr="001E4E28">
        <w:rPr>
          <w:rFonts w:asciiTheme="minorHAnsi" w:hAnsiTheme="minorHAnsi" w:cstheme="minorHAnsi"/>
          <w:color w:val="000000" w:themeColor="text1"/>
          <w:sz w:val="22"/>
          <w:szCs w:val="22"/>
        </w:rPr>
        <w:t>. Jefferson, NC: McFarland &amp; Co Inc.</w:t>
      </w:r>
    </w:p>
    <w:p w:rsidR="00136EC0" w:rsidRPr="001E4E28" w:rsidRDefault="00000000" w:rsidP="00112AAC">
      <w:pPr>
        <w:pBdr>
          <w:top w:val="nil"/>
          <w:left w:val="nil"/>
          <w:bottom w:val="nil"/>
          <w:right w:val="nil"/>
          <w:between w:val="nil"/>
        </w:pBdr>
        <w:jc w:val="both"/>
        <w:rPr>
          <w:rFonts w:asciiTheme="minorHAnsi" w:hAnsiTheme="minorHAnsi" w:cstheme="minorHAnsi"/>
          <w:color w:val="000000" w:themeColor="text1"/>
          <w:sz w:val="22"/>
          <w:szCs w:val="22"/>
        </w:rPr>
      </w:pPr>
      <w:r w:rsidRPr="001E4E28">
        <w:rPr>
          <w:rFonts w:asciiTheme="minorHAnsi" w:hAnsiTheme="minorHAnsi" w:cstheme="minorHAnsi"/>
          <w:color w:val="000000" w:themeColor="text1"/>
          <w:sz w:val="22"/>
          <w:szCs w:val="22"/>
        </w:rPr>
        <w:t xml:space="preserve">Eaton, J. (2014). </w:t>
      </w:r>
      <w:proofErr w:type="spellStart"/>
      <w:r w:rsidRPr="001E4E28">
        <w:rPr>
          <w:rFonts w:asciiTheme="minorHAnsi" w:hAnsiTheme="minorHAnsi" w:cstheme="minorHAnsi"/>
          <w:color w:val="000000" w:themeColor="text1"/>
          <w:sz w:val="22"/>
          <w:szCs w:val="22"/>
        </w:rPr>
        <w:t>Honor</w:t>
      </w:r>
      <w:proofErr w:type="spellEnd"/>
      <w:r w:rsidRPr="001E4E28">
        <w:rPr>
          <w:rFonts w:asciiTheme="minorHAnsi" w:hAnsiTheme="minorHAnsi" w:cstheme="minorHAnsi"/>
          <w:color w:val="000000" w:themeColor="text1"/>
          <w:sz w:val="22"/>
          <w:szCs w:val="22"/>
        </w:rPr>
        <w:t xml:space="preserve"> on death row: Apology, remorse, and the culture of </w:t>
      </w:r>
      <w:proofErr w:type="spellStart"/>
      <w:r w:rsidRPr="001E4E28">
        <w:rPr>
          <w:rFonts w:asciiTheme="minorHAnsi" w:hAnsiTheme="minorHAnsi" w:cstheme="minorHAnsi"/>
          <w:color w:val="000000" w:themeColor="text1"/>
          <w:sz w:val="22"/>
          <w:szCs w:val="22"/>
        </w:rPr>
        <w:t>honor</w:t>
      </w:r>
      <w:proofErr w:type="spellEnd"/>
      <w:r w:rsidRPr="001E4E28">
        <w:rPr>
          <w:rFonts w:asciiTheme="minorHAnsi" w:hAnsiTheme="minorHAnsi" w:cstheme="minorHAnsi"/>
          <w:color w:val="000000" w:themeColor="text1"/>
          <w:sz w:val="22"/>
          <w:szCs w:val="22"/>
        </w:rPr>
        <w:t xml:space="preserve"> in the U.S. South. </w:t>
      </w:r>
      <w:r w:rsidRPr="001E4E28">
        <w:rPr>
          <w:rFonts w:asciiTheme="minorHAnsi" w:hAnsiTheme="minorHAnsi" w:cstheme="minorHAnsi"/>
          <w:i/>
          <w:color w:val="000000" w:themeColor="text1"/>
          <w:sz w:val="22"/>
          <w:szCs w:val="22"/>
        </w:rPr>
        <w:t>Sage Open</w:t>
      </w:r>
      <w:r w:rsidRPr="001E4E28">
        <w:rPr>
          <w:rFonts w:asciiTheme="minorHAnsi" w:hAnsiTheme="minorHAnsi" w:cstheme="minorHAnsi"/>
          <w:color w:val="000000" w:themeColor="text1"/>
          <w:sz w:val="22"/>
          <w:szCs w:val="22"/>
        </w:rPr>
        <w:t>. April-June, 1-9</w:t>
      </w:r>
      <w:r w:rsidR="001E4E28" w:rsidRPr="001E4E28">
        <w:rPr>
          <w:rFonts w:asciiTheme="minorHAnsi" w:hAnsiTheme="minorHAnsi" w:cstheme="minorHAnsi"/>
          <w:color w:val="000000" w:themeColor="text1"/>
          <w:sz w:val="22"/>
          <w:szCs w:val="22"/>
        </w:rPr>
        <w:t>.</w:t>
      </w:r>
    </w:p>
    <w:p w:rsidR="00136EC0" w:rsidRPr="001E4E28" w:rsidRDefault="00000000" w:rsidP="00112AAC">
      <w:pPr>
        <w:pBdr>
          <w:top w:val="nil"/>
          <w:left w:val="nil"/>
          <w:bottom w:val="nil"/>
          <w:right w:val="nil"/>
          <w:between w:val="nil"/>
        </w:pBdr>
        <w:jc w:val="both"/>
        <w:rPr>
          <w:rFonts w:asciiTheme="minorHAnsi" w:hAnsiTheme="minorHAnsi" w:cstheme="minorHAnsi"/>
          <w:color w:val="000000" w:themeColor="text1"/>
          <w:sz w:val="22"/>
          <w:szCs w:val="22"/>
        </w:rPr>
      </w:pPr>
      <w:r w:rsidRPr="001E4E28">
        <w:rPr>
          <w:rFonts w:asciiTheme="minorHAnsi" w:hAnsiTheme="minorHAnsi" w:cstheme="minorHAnsi"/>
          <w:color w:val="000000" w:themeColor="text1"/>
          <w:sz w:val="22"/>
          <w:szCs w:val="22"/>
        </w:rPr>
        <w:t xml:space="preserve">Eaton, J., &amp; </w:t>
      </w:r>
      <w:proofErr w:type="spellStart"/>
      <w:r w:rsidRPr="001E4E28">
        <w:rPr>
          <w:rFonts w:asciiTheme="minorHAnsi" w:hAnsiTheme="minorHAnsi" w:cstheme="minorHAnsi"/>
          <w:color w:val="000000" w:themeColor="text1"/>
          <w:sz w:val="22"/>
          <w:szCs w:val="22"/>
        </w:rPr>
        <w:t>Theuer</w:t>
      </w:r>
      <w:proofErr w:type="spellEnd"/>
      <w:r w:rsidRPr="001E4E28">
        <w:rPr>
          <w:rFonts w:asciiTheme="minorHAnsi" w:hAnsiTheme="minorHAnsi" w:cstheme="minorHAnsi"/>
          <w:color w:val="000000" w:themeColor="text1"/>
          <w:sz w:val="22"/>
          <w:szCs w:val="22"/>
        </w:rPr>
        <w:t xml:space="preserve">, A. (2009). Apology and remorse in the last statements of death row prisoners. </w:t>
      </w:r>
      <w:r w:rsidRPr="001E4E28">
        <w:rPr>
          <w:rFonts w:asciiTheme="minorHAnsi" w:hAnsiTheme="minorHAnsi" w:cstheme="minorHAnsi"/>
          <w:i/>
          <w:color w:val="000000" w:themeColor="text1"/>
          <w:sz w:val="22"/>
          <w:szCs w:val="22"/>
        </w:rPr>
        <w:t>Justice Quarterly</w:t>
      </w:r>
      <w:r w:rsidRPr="001E4E28">
        <w:rPr>
          <w:rFonts w:asciiTheme="minorHAnsi" w:hAnsiTheme="minorHAnsi" w:cstheme="minorHAnsi"/>
          <w:color w:val="000000" w:themeColor="text1"/>
          <w:sz w:val="22"/>
          <w:szCs w:val="22"/>
        </w:rPr>
        <w:t xml:space="preserve">, 26(2), 327–347. </w:t>
      </w:r>
    </w:p>
    <w:p w:rsidR="00136EC0" w:rsidRPr="001E4E28" w:rsidRDefault="00000000" w:rsidP="00112AAC">
      <w:pPr>
        <w:pBdr>
          <w:top w:val="nil"/>
          <w:left w:val="nil"/>
          <w:bottom w:val="nil"/>
          <w:right w:val="nil"/>
          <w:between w:val="nil"/>
        </w:pBdr>
        <w:jc w:val="both"/>
        <w:rPr>
          <w:rFonts w:asciiTheme="minorHAnsi" w:hAnsiTheme="minorHAnsi" w:cstheme="minorHAnsi"/>
          <w:color w:val="000000" w:themeColor="text1"/>
          <w:sz w:val="22"/>
          <w:szCs w:val="22"/>
        </w:rPr>
      </w:pPr>
      <w:r w:rsidRPr="001E4E28">
        <w:rPr>
          <w:rFonts w:asciiTheme="minorHAnsi" w:hAnsiTheme="minorHAnsi" w:cstheme="minorHAnsi"/>
          <w:color w:val="000000" w:themeColor="text1"/>
          <w:sz w:val="22"/>
          <w:szCs w:val="22"/>
        </w:rPr>
        <w:t xml:space="preserve">Foley, S. R., &amp; Kelly, B. D. (2007). The psychological concomitants of capital punishment: Thematic analysis of last statements from death row. </w:t>
      </w:r>
      <w:r w:rsidRPr="001E4E28">
        <w:rPr>
          <w:rFonts w:asciiTheme="minorHAnsi" w:hAnsiTheme="minorHAnsi" w:cstheme="minorHAnsi"/>
          <w:i/>
          <w:color w:val="000000" w:themeColor="text1"/>
          <w:sz w:val="22"/>
          <w:szCs w:val="22"/>
        </w:rPr>
        <w:t>American Journal of Forensic Psychiatry</w:t>
      </w:r>
      <w:r w:rsidRPr="001E4E28">
        <w:rPr>
          <w:rFonts w:asciiTheme="minorHAnsi" w:hAnsiTheme="minorHAnsi" w:cstheme="minorHAnsi"/>
          <w:color w:val="000000" w:themeColor="text1"/>
          <w:sz w:val="22"/>
          <w:szCs w:val="22"/>
        </w:rPr>
        <w:t>, 28(4), 7–14.</w:t>
      </w:r>
    </w:p>
    <w:p w:rsidR="00136EC0" w:rsidRPr="001E4E28" w:rsidRDefault="00136EC0" w:rsidP="00112AAC">
      <w:pPr>
        <w:pBdr>
          <w:top w:val="nil"/>
          <w:left w:val="nil"/>
          <w:bottom w:val="nil"/>
          <w:right w:val="nil"/>
          <w:between w:val="nil"/>
        </w:pBdr>
        <w:jc w:val="both"/>
        <w:rPr>
          <w:rFonts w:asciiTheme="minorHAnsi" w:hAnsiTheme="minorHAnsi" w:cstheme="minorHAnsi"/>
          <w:color w:val="000000" w:themeColor="text1"/>
          <w:sz w:val="22"/>
          <w:szCs w:val="22"/>
        </w:rPr>
      </w:pPr>
    </w:p>
    <w:p w:rsidR="00136EC0" w:rsidRPr="001E4E28" w:rsidRDefault="00000000" w:rsidP="00112AAC">
      <w:pPr>
        <w:pBdr>
          <w:top w:val="nil"/>
          <w:left w:val="nil"/>
          <w:bottom w:val="nil"/>
          <w:right w:val="nil"/>
          <w:between w:val="nil"/>
        </w:pBdr>
        <w:jc w:val="both"/>
        <w:rPr>
          <w:rFonts w:asciiTheme="minorHAnsi" w:hAnsiTheme="minorHAnsi" w:cstheme="minorHAnsi"/>
          <w:color w:val="000000" w:themeColor="text1"/>
          <w:sz w:val="22"/>
          <w:szCs w:val="22"/>
        </w:rPr>
      </w:pPr>
      <w:r w:rsidRPr="001E4E28">
        <w:rPr>
          <w:rFonts w:asciiTheme="minorHAnsi" w:hAnsiTheme="minorHAnsi" w:cstheme="minorHAnsi"/>
          <w:color w:val="000000" w:themeColor="text1"/>
          <w:sz w:val="22"/>
          <w:szCs w:val="22"/>
        </w:rPr>
        <w:lastRenderedPageBreak/>
        <w:t xml:space="preserve">Foley, S. R., &amp; Kelly, B. D. (2018). Forgiveness, spirituality and love: Thematic analysis of last statements from death row. </w:t>
      </w:r>
      <w:r w:rsidRPr="001E4E28">
        <w:rPr>
          <w:rFonts w:asciiTheme="minorHAnsi" w:hAnsiTheme="minorHAnsi" w:cstheme="minorHAnsi"/>
          <w:i/>
          <w:color w:val="000000" w:themeColor="text1"/>
          <w:sz w:val="22"/>
          <w:szCs w:val="22"/>
        </w:rPr>
        <w:t>QJM: An International Journal of Medicine</w:t>
      </w:r>
      <w:r w:rsidRPr="001E4E28">
        <w:rPr>
          <w:rFonts w:asciiTheme="minorHAnsi" w:hAnsiTheme="minorHAnsi" w:cstheme="minorHAnsi"/>
          <w:color w:val="000000" w:themeColor="text1"/>
          <w:sz w:val="22"/>
          <w:szCs w:val="22"/>
        </w:rPr>
        <w:t xml:space="preserve">, 1–5. </w:t>
      </w:r>
    </w:p>
    <w:p w:rsidR="00136EC0" w:rsidRPr="001E4E28" w:rsidRDefault="00000000" w:rsidP="00112AAC">
      <w:pPr>
        <w:pBdr>
          <w:top w:val="nil"/>
          <w:left w:val="nil"/>
          <w:bottom w:val="nil"/>
          <w:right w:val="nil"/>
          <w:between w:val="nil"/>
        </w:pBdr>
        <w:jc w:val="both"/>
        <w:rPr>
          <w:rFonts w:asciiTheme="minorHAnsi" w:hAnsiTheme="minorHAnsi" w:cstheme="minorHAnsi"/>
          <w:color w:val="000000" w:themeColor="text1"/>
          <w:sz w:val="22"/>
          <w:szCs w:val="22"/>
        </w:rPr>
      </w:pPr>
      <w:proofErr w:type="spellStart"/>
      <w:r w:rsidRPr="001E4E28">
        <w:rPr>
          <w:rFonts w:asciiTheme="minorHAnsi" w:hAnsiTheme="minorHAnsi" w:cstheme="minorHAnsi"/>
          <w:color w:val="000000" w:themeColor="text1"/>
          <w:sz w:val="22"/>
          <w:szCs w:val="22"/>
        </w:rPr>
        <w:t>Goranson</w:t>
      </w:r>
      <w:proofErr w:type="spellEnd"/>
      <w:r w:rsidRPr="001E4E28">
        <w:rPr>
          <w:rFonts w:asciiTheme="minorHAnsi" w:hAnsiTheme="minorHAnsi" w:cstheme="minorHAnsi"/>
          <w:color w:val="000000" w:themeColor="text1"/>
          <w:sz w:val="22"/>
          <w:szCs w:val="22"/>
        </w:rPr>
        <w:t xml:space="preserve">, A., Ritter, R. S., </w:t>
      </w:r>
      <w:proofErr w:type="spellStart"/>
      <w:r w:rsidRPr="001E4E28">
        <w:rPr>
          <w:rFonts w:asciiTheme="minorHAnsi" w:hAnsiTheme="minorHAnsi" w:cstheme="minorHAnsi"/>
          <w:color w:val="000000" w:themeColor="text1"/>
          <w:sz w:val="22"/>
          <w:szCs w:val="22"/>
        </w:rPr>
        <w:t>Waytz</w:t>
      </w:r>
      <w:proofErr w:type="spellEnd"/>
      <w:r w:rsidRPr="001E4E28">
        <w:rPr>
          <w:rFonts w:asciiTheme="minorHAnsi" w:hAnsiTheme="minorHAnsi" w:cstheme="minorHAnsi"/>
          <w:color w:val="000000" w:themeColor="text1"/>
          <w:sz w:val="22"/>
          <w:szCs w:val="22"/>
        </w:rPr>
        <w:t xml:space="preserve">, A., Norton, M. I., &amp; Gray, K. (2017). Dying is unexpectedly positive. Psychological Science, 28(7), 988–999. </w:t>
      </w:r>
    </w:p>
    <w:p w:rsidR="00136EC0" w:rsidRPr="001E4E28" w:rsidRDefault="00000000" w:rsidP="00112AAC">
      <w:pPr>
        <w:pBdr>
          <w:top w:val="nil"/>
          <w:left w:val="nil"/>
          <w:bottom w:val="nil"/>
          <w:right w:val="nil"/>
          <w:between w:val="nil"/>
        </w:pBdr>
        <w:jc w:val="both"/>
        <w:rPr>
          <w:rFonts w:asciiTheme="minorHAnsi" w:hAnsiTheme="minorHAnsi" w:cstheme="minorHAnsi"/>
          <w:color w:val="000000" w:themeColor="text1"/>
          <w:sz w:val="22"/>
          <w:szCs w:val="22"/>
        </w:rPr>
      </w:pPr>
      <w:r w:rsidRPr="001E4E28">
        <w:rPr>
          <w:rFonts w:asciiTheme="minorHAnsi" w:hAnsiTheme="minorHAnsi" w:cstheme="minorHAnsi"/>
          <w:color w:val="000000" w:themeColor="text1"/>
          <w:sz w:val="22"/>
          <w:szCs w:val="22"/>
        </w:rPr>
        <w:t xml:space="preserve">Handelman, L. D., &amp; Lester, D. (2007). The content of suicide notes from attempters and completers. </w:t>
      </w:r>
      <w:r w:rsidRPr="001E4E28">
        <w:rPr>
          <w:rFonts w:asciiTheme="minorHAnsi" w:hAnsiTheme="minorHAnsi" w:cstheme="minorHAnsi"/>
          <w:i/>
          <w:color w:val="000000" w:themeColor="text1"/>
          <w:sz w:val="22"/>
          <w:szCs w:val="22"/>
        </w:rPr>
        <w:t>Crisis</w:t>
      </w:r>
      <w:r w:rsidRPr="001E4E28">
        <w:rPr>
          <w:rFonts w:asciiTheme="minorHAnsi" w:hAnsiTheme="minorHAnsi" w:cstheme="minorHAnsi"/>
          <w:color w:val="000000" w:themeColor="text1"/>
          <w:sz w:val="22"/>
          <w:szCs w:val="22"/>
        </w:rPr>
        <w:t xml:space="preserve">, 28, 102–104. </w:t>
      </w:r>
    </w:p>
    <w:p w:rsidR="00136EC0" w:rsidRPr="001E4E28" w:rsidRDefault="00000000" w:rsidP="00112AAC">
      <w:pPr>
        <w:jc w:val="both"/>
        <w:rPr>
          <w:rFonts w:asciiTheme="minorHAnsi" w:hAnsiTheme="minorHAnsi" w:cstheme="minorHAnsi"/>
          <w:color w:val="000000" w:themeColor="text1"/>
          <w:sz w:val="22"/>
          <w:szCs w:val="22"/>
        </w:rPr>
      </w:pPr>
      <w:proofErr w:type="spellStart"/>
      <w:r w:rsidRPr="001E4E28">
        <w:rPr>
          <w:rFonts w:asciiTheme="minorHAnsi" w:hAnsiTheme="minorHAnsi" w:cstheme="minorHAnsi"/>
          <w:color w:val="000000" w:themeColor="text1"/>
          <w:sz w:val="22"/>
          <w:szCs w:val="22"/>
        </w:rPr>
        <w:t>Heflick</w:t>
      </w:r>
      <w:proofErr w:type="spellEnd"/>
      <w:r w:rsidRPr="001E4E28">
        <w:rPr>
          <w:rFonts w:asciiTheme="minorHAnsi" w:hAnsiTheme="minorHAnsi" w:cstheme="minorHAnsi"/>
          <w:color w:val="000000" w:themeColor="text1"/>
          <w:sz w:val="22"/>
          <w:szCs w:val="22"/>
        </w:rPr>
        <w:t xml:space="preserve">, N. A. (2005). Sentenced to die: Last statements and dying on death row. </w:t>
      </w:r>
      <w:r w:rsidRPr="001E4E28">
        <w:rPr>
          <w:rFonts w:asciiTheme="minorHAnsi" w:hAnsiTheme="minorHAnsi" w:cstheme="minorHAnsi"/>
          <w:i/>
          <w:color w:val="000000" w:themeColor="text1"/>
          <w:sz w:val="22"/>
          <w:szCs w:val="22"/>
        </w:rPr>
        <w:t>Omega</w:t>
      </w:r>
      <w:r w:rsidRPr="001E4E28">
        <w:rPr>
          <w:rFonts w:asciiTheme="minorHAnsi" w:hAnsiTheme="minorHAnsi" w:cstheme="minorHAnsi"/>
          <w:color w:val="000000" w:themeColor="text1"/>
          <w:sz w:val="22"/>
          <w:szCs w:val="22"/>
        </w:rPr>
        <w:t xml:space="preserve">, 51(4), 323–336. </w:t>
      </w:r>
    </w:p>
    <w:p w:rsidR="00136EC0" w:rsidRPr="00112AAC" w:rsidRDefault="00000000" w:rsidP="00112AAC">
      <w:pPr>
        <w:jc w:val="both"/>
        <w:rPr>
          <w:rFonts w:asciiTheme="minorHAnsi" w:hAnsiTheme="minorHAnsi" w:cstheme="minorHAnsi"/>
          <w:color w:val="000000" w:themeColor="text1"/>
          <w:sz w:val="22"/>
          <w:szCs w:val="22"/>
        </w:rPr>
      </w:pPr>
      <w:proofErr w:type="spellStart"/>
      <w:r w:rsidRPr="00112AAC">
        <w:rPr>
          <w:rFonts w:asciiTheme="minorHAnsi" w:hAnsiTheme="minorHAnsi" w:cstheme="minorHAnsi"/>
          <w:color w:val="000000" w:themeColor="text1"/>
          <w:sz w:val="22"/>
          <w:szCs w:val="22"/>
        </w:rPr>
        <w:t>Hirschmüller</w:t>
      </w:r>
      <w:proofErr w:type="spellEnd"/>
      <w:r w:rsidRPr="00112AAC">
        <w:rPr>
          <w:rFonts w:asciiTheme="minorHAnsi" w:hAnsiTheme="minorHAnsi" w:cstheme="minorHAnsi"/>
          <w:color w:val="000000" w:themeColor="text1"/>
          <w:sz w:val="22"/>
          <w:szCs w:val="22"/>
        </w:rPr>
        <w:t xml:space="preserve">, S., &amp; </w:t>
      </w:r>
      <w:proofErr w:type="spellStart"/>
      <w:r w:rsidRPr="00112AAC">
        <w:rPr>
          <w:rFonts w:asciiTheme="minorHAnsi" w:hAnsiTheme="minorHAnsi" w:cstheme="minorHAnsi"/>
          <w:color w:val="000000" w:themeColor="text1"/>
          <w:sz w:val="22"/>
          <w:szCs w:val="22"/>
        </w:rPr>
        <w:t>Egloff</w:t>
      </w:r>
      <w:proofErr w:type="spellEnd"/>
      <w:r w:rsidRPr="00112AAC">
        <w:rPr>
          <w:rFonts w:asciiTheme="minorHAnsi" w:hAnsiTheme="minorHAnsi" w:cstheme="minorHAnsi"/>
          <w:color w:val="000000" w:themeColor="text1"/>
          <w:sz w:val="22"/>
          <w:szCs w:val="22"/>
        </w:rPr>
        <w:t xml:space="preserve">, B. (2016). Positive emotional language in the final words spoken directly before execution. </w:t>
      </w:r>
      <w:r w:rsidRPr="00112AAC">
        <w:rPr>
          <w:rFonts w:asciiTheme="minorHAnsi" w:hAnsiTheme="minorHAnsi" w:cstheme="minorHAnsi"/>
          <w:i/>
          <w:color w:val="000000" w:themeColor="text1"/>
          <w:sz w:val="22"/>
          <w:szCs w:val="22"/>
        </w:rPr>
        <w:t>Frontiers in Psychology</w:t>
      </w:r>
      <w:r w:rsidRPr="00112AAC">
        <w:rPr>
          <w:rFonts w:asciiTheme="minorHAnsi" w:hAnsiTheme="minorHAnsi" w:cstheme="minorHAnsi"/>
          <w:color w:val="000000" w:themeColor="text1"/>
          <w:sz w:val="22"/>
          <w:szCs w:val="22"/>
        </w:rPr>
        <w:t xml:space="preserve">, 6, 1–9. </w:t>
      </w:r>
      <w:hyperlink r:id="rId9">
        <w:r w:rsidRPr="00112AAC">
          <w:rPr>
            <w:rFonts w:asciiTheme="minorHAnsi" w:hAnsiTheme="minorHAnsi" w:cstheme="minorHAnsi"/>
            <w:color w:val="000000" w:themeColor="text1"/>
            <w:sz w:val="22"/>
            <w:szCs w:val="22"/>
            <w:u w:val="single"/>
          </w:rPr>
          <w:t>https://psycnet.apa.org/doi/10.3389/fpsyg.2015.01985</w:t>
        </w:r>
      </w:hyperlink>
    </w:p>
    <w:p w:rsidR="00136EC0" w:rsidRPr="00112AAC" w:rsidRDefault="00000000" w:rsidP="00112AAC">
      <w:pPr>
        <w:jc w:val="both"/>
        <w:rPr>
          <w:rFonts w:asciiTheme="minorHAnsi" w:hAnsiTheme="minorHAnsi" w:cstheme="minorHAnsi"/>
          <w:color w:val="000000" w:themeColor="text1"/>
          <w:sz w:val="22"/>
          <w:szCs w:val="22"/>
        </w:rPr>
      </w:pPr>
      <w:r w:rsidRPr="00112AAC">
        <w:rPr>
          <w:rFonts w:asciiTheme="minorHAnsi" w:hAnsiTheme="minorHAnsi" w:cstheme="minorHAnsi"/>
          <w:color w:val="000000" w:themeColor="text1"/>
          <w:sz w:val="22"/>
          <w:szCs w:val="22"/>
        </w:rPr>
        <w:t xml:space="preserve">James, T. (2022) </w:t>
      </w:r>
      <w:r w:rsidRPr="00112AAC">
        <w:rPr>
          <w:rFonts w:asciiTheme="minorHAnsi" w:hAnsiTheme="minorHAnsi" w:cstheme="minorHAnsi"/>
          <w:i/>
          <w:iCs/>
          <w:color w:val="000000" w:themeColor="text1"/>
          <w:sz w:val="22"/>
          <w:szCs w:val="22"/>
        </w:rPr>
        <w:t xml:space="preserve">Death &amp; Defiance: A Qualitative Exploration of Final Statements </w:t>
      </w:r>
      <w:r w:rsidR="00112AAC" w:rsidRPr="00112AAC">
        <w:rPr>
          <w:rFonts w:asciiTheme="minorHAnsi" w:hAnsiTheme="minorHAnsi" w:cstheme="minorHAnsi"/>
          <w:i/>
          <w:iCs/>
          <w:color w:val="000000" w:themeColor="text1"/>
          <w:sz w:val="22"/>
          <w:szCs w:val="22"/>
        </w:rPr>
        <w:t>from</w:t>
      </w:r>
      <w:r w:rsidRPr="00112AAC">
        <w:rPr>
          <w:rFonts w:asciiTheme="minorHAnsi" w:hAnsiTheme="minorHAnsi" w:cstheme="minorHAnsi"/>
          <w:i/>
          <w:iCs/>
          <w:color w:val="000000" w:themeColor="text1"/>
          <w:sz w:val="22"/>
          <w:szCs w:val="22"/>
        </w:rPr>
        <w:t xml:space="preserve"> People on Death Row</w:t>
      </w:r>
      <w:r w:rsidRPr="00112AAC">
        <w:rPr>
          <w:rFonts w:asciiTheme="minorHAnsi" w:hAnsiTheme="minorHAnsi" w:cstheme="minorHAnsi"/>
          <w:color w:val="000000" w:themeColor="text1"/>
          <w:sz w:val="22"/>
          <w:szCs w:val="22"/>
        </w:rPr>
        <w:t>. Kent State University, Doctoral dissertation</w:t>
      </w:r>
    </w:p>
    <w:p w:rsidR="00136EC0" w:rsidRPr="001E4E28" w:rsidRDefault="00000000" w:rsidP="00112AAC">
      <w:pPr>
        <w:jc w:val="both"/>
        <w:rPr>
          <w:rFonts w:asciiTheme="minorHAnsi" w:hAnsiTheme="minorHAnsi" w:cstheme="minorHAnsi"/>
          <w:color w:val="000000" w:themeColor="text1"/>
          <w:sz w:val="22"/>
          <w:szCs w:val="22"/>
        </w:rPr>
      </w:pPr>
      <w:r w:rsidRPr="00112AAC">
        <w:rPr>
          <w:rFonts w:asciiTheme="minorHAnsi" w:hAnsiTheme="minorHAnsi" w:cstheme="minorHAnsi"/>
          <w:color w:val="000000" w:themeColor="text1"/>
          <w:sz w:val="22"/>
          <w:szCs w:val="22"/>
        </w:rPr>
        <w:t xml:space="preserve">Johnson, R. (2013) A few words on the last words of condemned prisoners. </w:t>
      </w:r>
      <w:r w:rsidRPr="00112AAC">
        <w:rPr>
          <w:rFonts w:asciiTheme="minorHAnsi" w:hAnsiTheme="minorHAnsi" w:cstheme="minorHAnsi"/>
          <w:i/>
          <w:color w:val="000000" w:themeColor="text1"/>
          <w:sz w:val="22"/>
          <w:szCs w:val="22"/>
        </w:rPr>
        <w:t>Journal of Prisoners on Prisons</w:t>
      </w:r>
      <w:r w:rsidRPr="00112AAC">
        <w:rPr>
          <w:rFonts w:asciiTheme="minorHAnsi" w:hAnsiTheme="minorHAnsi" w:cstheme="minorHAnsi"/>
          <w:color w:val="000000" w:themeColor="text1"/>
          <w:sz w:val="22"/>
          <w:szCs w:val="22"/>
        </w:rPr>
        <w:t xml:space="preserve">, 22(1), 112–121. </w:t>
      </w:r>
    </w:p>
    <w:p w:rsidR="00136EC0" w:rsidRPr="001E4E28" w:rsidRDefault="00000000" w:rsidP="00112AAC">
      <w:pPr>
        <w:jc w:val="both"/>
        <w:rPr>
          <w:rFonts w:asciiTheme="minorHAnsi" w:hAnsiTheme="minorHAnsi" w:cstheme="minorHAnsi"/>
          <w:color w:val="000000" w:themeColor="text1"/>
          <w:sz w:val="22"/>
          <w:szCs w:val="22"/>
        </w:rPr>
      </w:pPr>
      <w:r w:rsidRPr="001E4E28">
        <w:rPr>
          <w:rFonts w:asciiTheme="minorHAnsi" w:hAnsiTheme="minorHAnsi" w:cstheme="minorHAnsi"/>
          <w:color w:val="000000" w:themeColor="text1"/>
          <w:sz w:val="22"/>
          <w:szCs w:val="22"/>
        </w:rPr>
        <w:t xml:space="preserve">Johnson, R., </w:t>
      </w:r>
      <w:proofErr w:type="spellStart"/>
      <w:r w:rsidRPr="001E4E28">
        <w:rPr>
          <w:rFonts w:asciiTheme="minorHAnsi" w:hAnsiTheme="minorHAnsi" w:cstheme="minorHAnsi"/>
          <w:color w:val="000000" w:themeColor="text1"/>
          <w:sz w:val="22"/>
          <w:szCs w:val="22"/>
        </w:rPr>
        <w:t>Kanewske</w:t>
      </w:r>
      <w:proofErr w:type="spellEnd"/>
      <w:r w:rsidRPr="001E4E28">
        <w:rPr>
          <w:rFonts w:asciiTheme="minorHAnsi" w:hAnsiTheme="minorHAnsi" w:cstheme="minorHAnsi"/>
          <w:color w:val="000000" w:themeColor="text1"/>
          <w:sz w:val="22"/>
          <w:szCs w:val="22"/>
        </w:rPr>
        <w:t xml:space="preserve">, L. C. &amp; Barak, M. (2014) Death Row confinement and the meaning of last words. </w:t>
      </w:r>
      <w:r w:rsidRPr="001E4E28">
        <w:rPr>
          <w:rFonts w:asciiTheme="minorHAnsi" w:hAnsiTheme="minorHAnsi" w:cstheme="minorHAnsi"/>
          <w:i/>
          <w:color w:val="000000" w:themeColor="text1"/>
          <w:sz w:val="22"/>
          <w:szCs w:val="22"/>
        </w:rPr>
        <w:t>Laws</w:t>
      </w:r>
      <w:r w:rsidRPr="001E4E28">
        <w:rPr>
          <w:rFonts w:asciiTheme="minorHAnsi" w:hAnsiTheme="minorHAnsi" w:cstheme="minorHAnsi"/>
          <w:color w:val="000000" w:themeColor="text1"/>
          <w:sz w:val="22"/>
          <w:szCs w:val="22"/>
        </w:rPr>
        <w:t>, 3(1), 141-152.</w:t>
      </w:r>
      <w:r w:rsidR="001E4E28" w:rsidRPr="001E4E28">
        <w:rPr>
          <w:rFonts w:asciiTheme="minorHAnsi" w:hAnsiTheme="minorHAnsi" w:cstheme="minorHAnsi"/>
          <w:color w:val="000000" w:themeColor="text1"/>
          <w:sz w:val="22"/>
          <w:szCs w:val="22"/>
        </w:rPr>
        <w:t xml:space="preserve"> </w:t>
      </w:r>
    </w:p>
    <w:p w:rsidR="00136EC0" w:rsidRPr="001E4E28" w:rsidRDefault="00000000" w:rsidP="00112AAC">
      <w:pPr>
        <w:jc w:val="both"/>
        <w:rPr>
          <w:rFonts w:asciiTheme="minorHAnsi" w:hAnsiTheme="minorHAnsi" w:cstheme="minorHAnsi"/>
          <w:color w:val="000000" w:themeColor="text1"/>
          <w:sz w:val="22"/>
          <w:szCs w:val="22"/>
        </w:rPr>
      </w:pPr>
      <w:proofErr w:type="spellStart"/>
      <w:r w:rsidRPr="001E4E28">
        <w:rPr>
          <w:rFonts w:asciiTheme="minorHAnsi" w:hAnsiTheme="minorHAnsi" w:cstheme="minorHAnsi"/>
          <w:color w:val="000000" w:themeColor="text1"/>
          <w:sz w:val="22"/>
          <w:szCs w:val="22"/>
        </w:rPr>
        <w:t>Kashdan</w:t>
      </w:r>
      <w:proofErr w:type="spellEnd"/>
      <w:r w:rsidRPr="001E4E28">
        <w:rPr>
          <w:rFonts w:asciiTheme="minorHAnsi" w:hAnsiTheme="minorHAnsi" w:cstheme="minorHAnsi"/>
          <w:color w:val="000000" w:themeColor="text1"/>
          <w:sz w:val="22"/>
          <w:szCs w:val="22"/>
        </w:rPr>
        <w:t xml:space="preserve">, T. B., </w:t>
      </w:r>
      <w:proofErr w:type="spellStart"/>
      <w:r w:rsidRPr="001E4E28">
        <w:rPr>
          <w:rFonts w:asciiTheme="minorHAnsi" w:hAnsiTheme="minorHAnsi" w:cstheme="minorHAnsi"/>
          <w:color w:val="000000" w:themeColor="text1"/>
          <w:sz w:val="22"/>
          <w:szCs w:val="22"/>
        </w:rPr>
        <w:t>DeWall</w:t>
      </w:r>
      <w:proofErr w:type="spellEnd"/>
      <w:r w:rsidRPr="001E4E28">
        <w:rPr>
          <w:rFonts w:asciiTheme="minorHAnsi" w:hAnsiTheme="minorHAnsi" w:cstheme="minorHAnsi"/>
          <w:color w:val="000000" w:themeColor="text1"/>
          <w:sz w:val="22"/>
          <w:szCs w:val="22"/>
        </w:rPr>
        <w:t xml:space="preserve">, C. N., </w:t>
      </w:r>
      <w:proofErr w:type="spellStart"/>
      <w:r w:rsidRPr="001E4E28">
        <w:rPr>
          <w:rFonts w:asciiTheme="minorHAnsi" w:hAnsiTheme="minorHAnsi" w:cstheme="minorHAnsi"/>
          <w:color w:val="000000" w:themeColor="text1"/>
          <w:sz w:val="22"/>
          <w:szCs w:val="22"/>
        </w:rPr>
        <w:t>Schurtz</w:t>
      </w:r>
      <w:proofErr w:type="spellEnd"/>
      <w:r w:rsidRPr="001E4E28">
        <w:rPr>
          <w:rFonts w:asciiTheme="minorHAnsi" w:hAnsiTheme="minorHAnsi" w:cstheme="minorHAnsi"/>
          <w:color w:val="000000" w:themeColor="text1"/>
          <w:sz w:val="22"/>
          <w:szCs w:val="22"/>
        </w:rPr>
        <w:t xml:space="preserve">, D. R., Deckman, T., Lykins, E. L. B., Evans, D. R., McKenzie, J., Segerstrom, S. C., </w:t>
      </w:r>
      <w:proofErr w:type="spellStart"/>
      <w:r w:rsidRPr="001E4E28">
        <w:rPr>
          <w:rFonts w:asciiTheme="minorHAnsi" w:hAnsiTheme="minorHAnsi" w:cstheme="minorHAnsi"/>
          <w:color w:val="000000" w:themeColor="text1"/>
          <w:sz w:val="22"/>
          <w:szCs w:val="22"/>
        </w:rPr>
        <w:t>Gailliot</w:t>
      </w:r>
      <w:proofErr w:type="spellEnd"/>
      <w:r w:rsidRPr="001E4E28">
        <w:rPr>
          <w:rFonts w:asciiTheme="minorHAnsi" w:hAnsiTheme="minorHAnsi" w:cstheme="minorHAnsi"/>
          <w:color w:val="000000" w:themeColor="text1"/>
          <w:sz w:val="22"/>
          <w:szCs w:val="22"/>
        </w:rPr>
        <w:t xml:space="preserve">, M. T., &amp; Brown, K. W. (2014). More than words: Contemplating death enhances positive emotional word use. </w:t>
      </w:r>
      <w:r w:rsidRPr="001E4E28">
        <w:rPr>
          <w:rFonts w:asciiTheme="minorHAnsi" w:hAnsiTheme="minorHAnsi" w:cstheme="minorHAnsi"/>
          <w:i/>
          <w:color w:val="000000" w:themeColor="text1"/>
          <w:sz w:val="22"/>
          <w:szCs w:val="22"/>
        </w:rPr>
        <w:t>Personality and Individual Differences</w:t>
      </w:r>
      <w:r w:rsidRPr="001E4E28">
        <w:rPr>
          <w:rFonts w:asciiTheme="minorHAnsi" w:hAnsiTheme="minorHAnsi" w:cstheme="minorHAnsi"/>
          <w:color w:val="000000" w:themeColor="text1"/>
          <w:sz w:val="22"/>
          <w:szCs w:val="22"/>
        </w:rPr>
        <w:t xml:space="preserve">, 71, 171–175. </w:t>
      </w:r>
    </w:p>
    <w:p w:rsidR="00136EC0" w:rsidRPr="001E4E28" w:rsidRDefault="00000000" w:rsidP="00112AAC">
      <w:pPr>
        <w:jc w:val="both"/>
        <w:rPr>
          <w:rFonts w:asciiTheme="minorHAnsi" w:hAnsiTheme="minorHAnsi" w:cstheme="minorHAnsi"/>
          <w:color w:val="000000" w:themeColor="text1"/>
          <w:sz w:val="22"/>
          <w:szCs w:val="22"/>
        </w:rPr>
      </w:pPr>
      <w:r w:rsidRPr="001E4E28">
        <w:rPr>
          <w:rFonts w:asciiTheme="minorHAnsi" w:hAnsiTheme="minorHAnsi" w:cstheme="minorHAnsi"/>
          <w:color w:val="000000" w:themeColor="text1"/>
          <w:sz w:val="22"/>
          <w:szCs w:val="22"/>
        </w:rPr>
        <w:t xml:space="preserve">Kelly, B. D., &amp; Foley, S. R. (2013). Love, spirituality and regret: Thematic analysis of last statements from death row, Texas (2006-11). </w:t>
      </w:r>
      <w:r w:rsidRPr="001E4E28">
        <w:rPr>
          <w:rFonts w:asciiTheme="minorHAnsi" w:hAnsiTheme="minorHAnsi" w:cstheme="minorHAnsi"/>
          <w:i/>
          <w:color w:val="000000" w:themeColor="text1"/>
          <w:sz w:val="22"/>
          <w:szCs w:val="22"/>
        </w:rPr>
        <w:t>The Journal of the American Academy of Psychiatry and the Law</w:t>
      </w:r>
      <w:r w:rsidRPr="001E4E28">
        <w:rPr>
          <w:rFonts w:asciiTheme="minorHAnsi" w:hAnsiTheme="minorHAnsi" w:cstheme="minorHAnsi"/>
          <w:color w:val="000000" w:themeColor="text1"/>
          <w:sz w:val="22"/>
          <w:szCs w:val="22"/>
        </w:rPr>
        <w:t>, 41, 540–550.</w:t>
      </w:r>
    </w:p>
    <w:p w:rsidR="00136EC0" w:rsidRPr="001E4E28" w:rsidRDefault="00000000" w:rsidP="00112AAC">
      <w:pPr>
        <w:jc w:val="both"/>
        <w:rPr>
          <w:rFonts w:asciiTheme="minorHAnsi" w:hAnsiTheme="minorHAnsi" w:cstheme="minorHAnsi"/>
          <w:color w:val="000000" w:themeColor="text1"/>
          <w:sz w:val="22"/>
          <w:szCs w:val="22"/>
        </w:rPr>
      </w:pPr>
      <w:r w:rsidRPr="001E4E28">
        <w:rPr>
          <w:rFonts w:asciiTheme="minorHAnsi" w:hAnsiTheme="minorHAnsi" w:cstheme="minorHAnsi"/>
          <w:color w:val="000000" w:themeColor="text1"/>
          <w:sz w:val="22"/>
          <w:szCs w:val="22"/>
        </w:rPr>
        <w:t xml:space="preserve">Kelly, B. D., &amp; Foley, S. R. (2018). Analysis of last statements prior to execution: Methods, themes and future directions. </w:t>
      </w:r>
      <w:r w:rsidRPr="001E4E28">
        <w:rPr>
          <w:rFonts w:asciiTheme="minorHAnsi" w:hAnsiTheme="minorHAnsi" w:cstheme="minorHAnsi"/>
          <w:i/>
          <w:color w:val="000000" w:themeColor="text1"/>
          <w:sz w:val="22"/>
          <w:szCs w:val="22"/>
        </w:rPr>
        <w:t>QJM: International Journal of Medicine</w:t>
      </w:r>
      <w:r w:rsidRPr="001E4E28">
        <w:rPr>
          <w:rFonts w:asciiTheme="minorHAnsi" w:hAnsiTheme="minorHAnsi" w:cstheme="minorHAnsi"/>
          <w:color w:val="000000" w:themeColor="text1"/>
          <w:sz w:val="22"/>
          <w:szCs w:val="22"/>
        </w:rPr>
        <w:t xml:space="preserve">, 111(1), 3–6. </w:t>
      </w:r>
    </w:p>
    <w:p w:rsidR="00136EC0" w:rsidRPr="001E4E28" w:rsidRDefault="00000000" w:rsidP="00112AAC">
      <w:pPr>
        <w:jc w:val="both"/>
        <w:rPr>
          <w:rFonts w:asciiTheme="minorHAnsi" w:hAnsiTheme="minorHAnsi" w:cstheme="minorHAnsi"/>
          <w:color w:val="000000" w:themeColor="text1"/>
          <w:sz w:val="22"/>
          <w:szCs w:val="22"/>
        </w:rPr>
      </w:pPr>
      <w:r w:rsidRPr="001E4E28">
        <w:rPr>
          <w:rFonts w:asciiTheme="minorHAnsi" w:hAnsiTheme="minorHAnsi" w:cstheme="minorHAnsi"/>
          <w:color w:val="000000" w:themeColor="text1"/>
          <w:sz w:val="22"/>
          <w:szCs w:val="22"/>
        </w:rPr>
        <w:t xml:space="preserve">Lester, D., &amp; Gunn, J. F. (2013). Ethnic differences in the statements made by inmates about to be executed in Texas. </w:t>
      </w:r>
      <w:r w:rsidRPr="001E4E28">
        <w:rPr>
          <w:rFonts w:asciiTheme="minorHAnsi" w:hAnsiTheme="minorHAnsi" w:cstheme="minorHAnsi"/>
          <w:i/>
          <w:color w:val="000000" w:themeColor="text1"/>
          <w:sz w:val="22"/>
          <w:szCs w:val="22"/>
        </w:rPr>
        <w:t>Journal of Ethnicity in Criminal Justice</w:t>
      </w:r>
      <w:r w:rsidRPr="001E4E28">
        <w:rPr>
          <w:rFonts w:asciiTheme="minorHAnsi" w:hAnsiTheme="minorHAnsi" w:cstheme="minorHAnsi"/>
          <w:color w:val="000000" w:themeColor="text1"/>
          <w:sz w:val="22"/>
          <w:szCs w:val="22"/>
        </w:rPr>
        <w:t xml:space="preserve">, 11, 1–7. </w:t>
      </w:r>
    </w:p>
    <w:p w:rsidR="00136EC0" w:rsidRPr="001E4E28" w:rsidRDefault="00000000" w:rsidP="00112AAC">
      <w:pPr>
        <w:jc w:val="both"/>
        <w:rPr>
          <w:rFonts w:asciiTheme="minorHAnsi" w:hAnsiTheme="minorHAnsi" w:cstheme="minorHAnsi"/>
          <w:color w:val="000000" w:themeColor="text1"/>
          <w:sz w:val="22"/>
          <w:szCs w:val="22"/>
        </w:rPr>
      </w:pPr>
      <w:r w:rsidRPr="00112AAC">
        <w:rPr>
          <w:rFonts w:asciiTheme="minorHAnsi" w:hAnsiTheme="minorHAnsi" w:cstheme="minorHAnsi"/>
          <w:color w:val="000000" w:themeColor="text1"/>
          <w:sz w:val="22"/>
          <w:szCs w:val="22"/>
        </w:rPr>
        <w:t xml:space="preserve">Owens-Murphy, K. (2023). </w:t>
      </w:r>
      <w:r w:rsidRPr="00112AAC">
        <w:rPr>
          <w:rFonts w:asciiTheme="minorHAnsi" w:hAnsiTheme="minorHAnsi" w:cstheme="minorHAnsi"/>
          <w:i/>
          <w:color w:val="000000" w:themeColor="text1"/>
          <w:sz w:val="22"/>
          <w:szCs w:val="22"/>
        </w:rPr>
        <w:t>Ghosts Over the Boiler: Voices from Alabama's Death Row</w:t>
      </w:r>
      <w:r w:rsidRPr="00112AAC">
        <w:rPr>
          <w:rFonts w:asciiTheme="minorHAnsi" w:hAnsiTheme="minorHAnsi" w:cstheme="minorHAnsi"/>
          <w:color w:val="000000" w:themeColor="text1"/>
          <w:sz w:val="22"/>
          <w:szCs w:val="22"/>
        </w:rPr>
        <w:t>.</w:t>
      </w:r>
      <w:r w:rsidR="00112AAC" w:rsidRPr="00112AAC">
        <w:rPr>
          <w:rFonts w:asciiTheme="minorHAnsi" w:hAnsiTheme="minorHAnsi" w:cstheme="minorHAnsi"/>
          <w:color w:val="000000" w:themeColor="text1"/>
          <w:sz w:val="22"/>
          <w:szCs w:val="22"/>
        </w:rPr>
        <w:t xml:space="preserve"> </w:t>
      </w:r>
      <w:r w:rsidRPr="00112AAC">
        <w:rPr>
          <w:rFonts w:asciiTheme="minorHAnsi" w:hAnsiTheme="minorHAnsi" w:cstheme="minorHAnsi"/>
          <w:color w:val="000000" w:themeColor="text1"/>
          <w:sz w:val="22"/>
          <w:szCs w:val="22"/>
        </w:rPr>
        <w:t>Vanderbilt University Press</w:t>
      </w:r>
    </w:p>
    <w:p w:rsidR="00136EC0" w:rsidRPr="001E4E28" w:rsidRDefault="00000000" w:rsidP="00112AAC">
      <w:pPr>
        <w:jc w:val="both"/>
        <w:rPr>
          <w:rFonts w:asciiTheme="minorHAnsi" w:hAnsiTheme="minorHAnsi" w:cstheme="minorHAnsi"/>
          <w:color w:val="000000" w:themeColor="text1"/>
          <w:sz w:val="22"/>
          <w:szCs w:val="22"/>
        </w:rPr>
      </w:pPr>
      <w:r w:rsidRPr="001E4E28">
        <w:rPr>
          <w:rFonts w:asciiTheme="minorHAnsi" w:hAnsiTheme="minorHAnsi" w:cstheme="minorHAnsi"/>
          <w:color w:val="000000" w:themeColor="text1"/>
          <w:sz w:val="22"/>
          <w:szCs w:val="22"/>
        </w:rPr>
        <w:t xml:space="preserve">Rice, S. K., Dirks, D., &amp; Exline, J. J. (2009). Of guilt, defiance, and repentance: Evidence from the Texas death chamber. </w:t>
      </w:r>
      <w:r w:rsidRPr="001E4E28">
        <w:rPr>
          <w:rFonts w:asciiTheme="minorHAnsi" w:hAnsiTheme="minorHAnsi" w:cstheme="minorHAnsi"/>
          <w:i/>
          <w:color w:val="000000" w:themeColor="text1"/>
          <w:sz w:val="22"/>
          <w:szCs w:val="22"/>
        </w:rPr>
        <w:t>Justice Quarterly</w:t>
      </w:r>
      <w:r w:rsidRPr="001E4E28">
        <w:rPr>
          <w:rFonts w:asciiTheme="minorHAnsi" w:hAnsiTheme="minorHAnsi" w:cstheme="minorHAnsi"/>
          <w:color w:val="000000" w:themeColor="text1"/>
          <w:sz w:val="22"/>
          <w:szCs w:val="22"/>
        </w:rPr>
        <w:t xml:space="preserve">, 26(2), 295–326. </w:t>
      </w:r>
    </w:p>
    <w:p w:rsidR="00136EC0" w:rsidRPr="001E4E28" w:rsidRDefault="00000000" w:rsidP="00112AAC">
      <w:pPr>
        <w:jc w:val="both"/>
        <w:rPr>
          <w:rFonts w:asciiTheme="minorHAnsi" w:hAnsiTheme="minorHAnsi" w:cstheme="minorHAnsi"/>
          <w:color w:val="000000" w:themeColor="text1"/>
          <w:sz w:val="22"/>
          <w:szCs w:val="22"/>
        </w:rPr>
      </w:pPr>
      <w:r w:rsidRPr="001E4E28">
        <w:rPr>
          <w:rFonts w:asciiTheme="minorHAnsi" w:hAnsiTheme="minorHAnsi" w:cstheme="minorHAnsi"/>
          <w:color w:val="000000" w:themeColor="text1"/>
          <w:sz w:val="22"/>
          <w:szCs w:val="22"/>
        </w:rPr>
        <w:t xml:space="preserve">Ross Meyer, L. (2011). ‘The meaning of death: Last words, last meals’ in Austin. In </w:t>
      </w:r>
      <w:proofErr w:type="spellStart"/>
      <w:r w:rsidRPr="001E4E28">
        <w:rPr>
          <w:rFonts w:asciiTheme="minorHAnsi" w:hAnsiTheme="minorHAnsi" w:cstheme="minorHAnsi"/>
          <w:color w:val="000000" w:themeColor="text1"/>
          <w:sz w:val="22"/>
          <w:szCs w:val="22"/>
        </w:rPr>
        <w:t>Sarat</w:t>
      </w:r>
      <w:proofErr w:type="spellEnd"/>
      <w:r w:rsidRPr="001E4E28">
        <w:rPr>
          <w:rFonts w:asciiTheme="minorHAnsi" w:hAnsiTheme="minorHAnsi" w:cstheme="minorHAnsi"/>
          <w:color w:val="000000" w:themeColor="text1"/>
          <w:sz w:val="22"/>
          <w:szCs w:val="22"/>
        </w:rPr>
        <w:t>, &amp; K. Shoemaker (Eds.), Who deserves to die: Constructing the executable subject (pp. 176–206). University of Massachusetts Press.</w:t>
      </w:r>
    </w:p>
    <w:p w:rsidR="00136EC0" w:rsidRPr="00112AAC" w:rsidRDefault="00000000" w:rsidP="00112AAC">
      <w:pPr>
        <w:jc w:val="both"/>
        <w:rPr>
          <w:rFonts w:asciiTheme="minorHAnsi" w:hAnsiTheme="minorHAnsi" w:cstheme="minorHAnsi"/>
          <w:color w:val="FF0000"/>
          <w:sz w:val="22"/>
          <w:szCs w:val="22"/>
        </w:rPr>
      </w:pPr>
      <w:r w:rsidRPr="00112AAC">
        <w:rPr>
          <w:rFonts w:asciiTheme="minorHAnsi" w:hAnsiTheme="minorHAnsi" w:cstheme="minorHAnsi"/>
          <w:color w:val="000000" w:themeColor="text1"/>
          <w:sz w:val="22"/>
          <w:szCs w:val="22"/>
        </w:rPr>
        <w:t xml:space="preserve">Rossi R. M. (2004). </w:t>
      </w:r>
      <w:r w:rsidRPr="00112AAC">
        <w:rPr>
          <w:rFonts w:asciiTheme="minorHAnsi" w:hAnsiTheme="minorHAnsi" w:cstheme="minorHAnsi"/>
          <w:i/>
          <w:iCs/>
          <w:color w:val="000000" w:themeColor="text1"/>
          <w:sz w:val="22"/>
          <w:szCs w:val="22"/>
        </w:rPr>
        <w:t>Waiting to Die: Life on Death Row</w:t>
      </w:r>
      <w:r w:rsidRPr="00112AAC">
        <w:rPr>
          <w:rFonts w:asciiTheme="minorHAnsi" w:hAnsiTheme="minorHAnsi" w:cstheme="minorHAnsi"/>
          <w:color w:val="000000" w:themeColor="text1"/>
          <w:sz w:val="22"/>
          <w:szCs w:val="22"/>
        </w:rPr>
        <w:t>. Vision Paperbacks</w:t>
      </w:r>
      <w:r w:rsidRPr="00112AAC">
        <w:rPr>
          <w:rFonts w:asciiTheme="minorHAnsi" w:hAnsiTheme="minorHAnsi" w:cstheme="minorHAnsi"/>
          <w:color w:val="FF0000"/>
          <w:sz w:val="22"/>
          <w:szCs w:val="22"/>
        </w:rPr>
        <w:t>.</w:t>
      </w:r>
    </w:p>
    <w:p w:rsidR="00136EC0" w:rsidRPr="001E4E28" w:rsidRDefault="00000000" w:rsidP="00112AAC">
      <w:pPr>
        <w:jc w:val="both"/>
        <w:rPr>
          <w:rFonts w:asciiTheme="minorHAnsi" w:hAnsiTheme="minorHAnsi" w:cstheme="minorHAnsi"/>
          <w:color w:val="000000" w:themeColor="text1"/>
          <w:sz w:val="22"/>
          <w:szCs w:val="22"/>
        </w:rPr>
      </w:pPr>
      <w:r w:rsidRPr="001E4E28">
        <w:rPr>
          <w:rFonts w:asciiTheme="minorHAnsi" w:hAnsiTheme="minorHAnsi" w:cstheme="minorHAnsi"/>
          <w:color w:val="000000" w:themeColor="text1"/>
          <w:sz w:val="22"/>
          <w:szCs w:val="22"/>
        </w:rPr>
        <w:t>Schuck, A. R. T., &amp; Ward, J. (2008). Dealing with the inevitable: Strategies for self-preservation and meaning construction in the final statements of inmates on Texas death row. Discourse &amp; Society, 19(1), 43–62.</w:t>
      </w:r>
      <w:r w:rsidR="001E4E28" w:rsidRPr="001E4E28">
        <w:rPr>
          <w:rFonts w:asciiTheme="minorHAnsi" w:hAnsiTheme="minorHAnsi" w:cstheme="minorHAnsi"/>
          <w:color w:val="000000" w:themeColor="text1"/>
          <w:sz w:val="22"/>
          <w:szCs w:val="22"/>
        </w:rPr>
        <w:t xml:space="preserve"> </w:t>
      </w:r>
    </w:p>
    <w:p w:rsidR="001E4E28" w:rsidRDefault="00000000" w:rsidP="00112AAC">
      <w:pPr>
        <w:jc w:val="both"/>
        <w:rPr>
          <w:rFonts w:asciiTheme="minorHAnsi" w:hAnsiTheme="minorHAnsi" w:cstheme="minorHAnsi"/>
          <w:color w:val="000000" w:themeColor="text1"/>
          <w:sz w:val="22"/>
          <w:szCs w:val="22"/>
        </w:rPr>
      </w:pPr>
      <w:r w:rsidRPr="001E4E28">
        <w:rPr>
          <w:rFonts w:asciiTheme="minorHAnsi" w:hAnsiTheme="minorHAnsi" w:cstheme="minorHAnsi"/>
          <w:color w:val="000000" w:themeColor="text1"/>
          <w:sz w:val="22"/>
          <w:szCs w:val="22"/>
        </w:rPr>
        <w:t xml:space="preserve">Upton, M. A., </w:t>
      </w:r>
      <w:proofErr w:type="spellStart"/>
      <w:r w:rsidRPr="001E4E28">
        <w:rPr>
          <w:rFonts w:asciiTheme="minorHAnsi" w:hAnsiTheme="minorHAnsi" w:cstheme="minorHAnsi"/>
          <w:color w:val="000000" w:themeColor="text1"/>
          <w:sz w:val="22"/>
          <w:szCs w:val="22"/>
        </w:rPr>
        <w:t>Carwile</w:t>
      </w:r>
      <w:proofErr w:type="spellEnd"/>
      <w:r w:rsidRPr="001E4E28">
        <w:rPr>
          <w:rFonts w:asciiTheme="minorHAnsi" w:hAnsiTheme="minorHAnsi" w:cstheme="minorHAnsi"/>
          <w:color w:val="000000" w:themeColor="text1"/>
          <w:sz w:val="22"/>
          <w:szCs w:val="22"/>
        </w:rPr>
        <w:t xml:space="preserve">, T. M., &amp; Brown, K. S. (2017). In their own words: A qualitative exploration of last statements of capital punishment inmates in the state of Missouri, 1995-2011. </w:t>
      </w:r>
      <w:r w:rsidRPr="001E4E28">
        <w:rPr>
          <w:rFonts w:asciiTheme="minorHAnsi" w:hAnsiTheme="minorHAnsi" w:cstheme="minorHAnsi"/>
          <w:i/>
          <w:color w:val="000000" w:themeColor="text1"/>
          <w:sz w:val="22"/>
          <w:szCs w:val="22"/>
        </w:rPr>
        <w:t>Omega</w:t>
      </w:r>
      <w:r w:rsidRPr="001E4E28">
        <w:rPr>
          <w:rFonts w:asciiTheme="minorHAnsi" w:hAnsiTheme="minorHAnsi" w:cstheme="minorHAnsi"/>
          <w:color w:val="000000" w:themeColor="text1"/>
          <w:sz w:val="22"/>
          <w:szCs w:val="22"/>
        </w:rPr>
        <w:t xml:space="preserve">, 75(4), 376–394. </w:t>
      </w:r>
    </w:p>
    <w:p w:rsidR="00136EC0" w:rsidRPr="001E4E28" w:rsidRDefault="00000000" w:rsidP="00112AAC">
      <w:pPr>
        <w:jc w:val="both"/>
        <w:rPr>
          <w:rFonts w:asciiTheme="minorHAnsi" w:hAnsiTheme="minorHAnsi" w:cstheme="minorHAnsi"/>
          <w:color w:val="000000" w:themeColor="text1"/>
          <w:sz w:val="22"/>
          <w:szCs w:val="22"/>
        </w:rPr>
      </w:pPr>
      <w:r w:rsidRPr="00112AAC">
        <w:rPr>
          <w:rFonts w:asciiTheme="minorHAnsi" w:hAnsiTheme="minorHAnsi" w:cstheme="minorHAnsi"/>
          <w:color w:val="000000" w:themeColor="text1"/>
          <w:sz w:val="22"/>
          <w:szCs w:val="22"/>
        </w:rPr>
        <w:t xml:space="preserve">Vollum, S. (2008). </w:t>
      </w:r>
      <w:r w:rsidRPr="00112AAC">
        <w:rPr>
          <w:rFonts w:asciiTheme="minorHAnsi" w:hAnsiTheme="minorHAnsi" w:cstheme="minorHAnsi"/>
          <w:i/>
          <w:iCs/>
          <w:color w:val="000000" w:themeColor="text1"/>
          <w:sz w:val="22"/>
          <w:szCs w:val="22"/>
        </w:rPr>
        <w:t>Last words and the death penalty: Voices of the condemned and their co-victims</w:t>
      </w:r>
      <w:r w:rsidRPr="00112AAC">
        <w:rPr>
          <w:rFonts w:asciiTheme="minorHAnsi" w:hAnsiTheme="minorHAnsi" w:cstheme="minorHAnsi"/>
          <w:color w:val="000000" w:themeColor="text1"/>
          <w:sz w:val="22"/>
          <w:szCs w:val="22"/>
        </w:rPr>
        <w:t>. LFB Scholarly Publishing LLC.</w:t>
      </w:r>
    </w:p>
    <w:p w:rsidR="00136EC0" w:rsidRPr="001E4E28" w:rsidRDefault="00000000" w:rsidP="00112AAC">
      <w:pPr>
        <w:jc w:val="both"/>
        <w:rPr>
          <w:rFonts w:asciiTheme="minorHAnsi" w:hAnsiTheme="minorHAnsi" w:cstheme="minorHAnsi"/>
          <w:color w:val="000000" w:themeColor="text1"/>
          <w:sz w:val="22"/>
          <w:szCs w:val="22"/>
        </w:rPr>
      </w:pPr>
      <w:r w:rsidRPr="001E4E28">
        <w:rPr>
          <w:rFonts w:asciiTheme="minorHAnsi" w:hAnsiTheme="minorHAnsi" w:cstheme="minorHAnsi"/>
          <w:color w:val="000000" w:themeColor="text1"/>
          <w:sz w:val="22"/>
          <w:szCs w:val="22"/>
        </w:rPr>
        <w:t xml:space="preserve">Vollum, S., &amp; Longmire, D. R. (2009). Giving voice to the dead: Last statements of the condemned. </w:t>
      </w:r>
      <w:r w:rsidRPr="001E4E28">
        <w:rPr>
          <w:rFonts w:asciiTheme="minorHAnsi" w:hAnsiTheme="minorHAnsi" w:cstheme="minorHAnsi"/>
          <w:i/>
          <w:color w:val="000000" w:themeColor="text1"/>
          <w:sz w:val="22"/>
          <w:szCs w:val="22"/>
        </w:rPr>
        <w:t>Contemporary Justice Review</w:t>
      </w:r>
      <w:r w:rsidRPr="001E4E28">
        <w:rPr>
          <w:rFonts w:asciiTheme="minorHAnsi" w:hAnsiTheme="minorHAnsi" w:cstheme="minorHAnsi"/>
          <w:color w:val="000000" w:themeColor="text1"/>
          <w:sz w:val="22"/>
          <w:szCs w:val="22"/>
        </w:rPr>
        <w:t xml:space="preserve">, 12(1), 5–26. </w:t>
      </w:r>
    </w:p>
    <w:p w:rsidR="00136EC0" w:rsidRPr="001E4E28" w:rsidRDefault="00000000" w:rsidP="00112AAC">
      <w:pPr>
        <w:jc w:val="both"/>
        <w:rPr>
          <w:rFonts w:asciiTheme="minorHAnsi" w:hAnsiTheme="minorHAnsi" w:cstheme="minorHAnsi"/>
          <w:color w:val="000000" w:themeColor="text1"/>
          <w:sz w:val="22"/>
          <w:szCs w:val="22"/>
        </w:rPr>
      </w:pPr>
      <w:r w:rsidRPr="001E4E28">
        <w:rPr>
          <w:rFonts w:asciiTheme="minorHAnsi" w:hAnsiTheme="minorHAnsi" w:cstheme="minorHAnsi"/>
          <w:color w:val="000000" w:themeColor="text1"/>
          <w:sz w:val="22"/>
          <w:szCs w:val="22"/>
        </w:rPr>
        <w:t xml:space="preserve">Walliss, J. (2022) ‘Last meals and final statements: Social science research on America's death row’, </w:t>
      </w:r>
      <w:r w:rsidRPr="001E4E28">
        <w:rPr>
          <w:rFonts w:asciiTheme="minorHAnsi" w:hAnsiTheme="minorHAnsi" w:cstheme="minorHAnsi"/>
          <w:i/>
          <w:color w:val="000000" w:themeColor="text1"/>
          <w:sz w:val="22"/>
          <w:szCs w:val="22"/>
        </w:rPr>
        <w:t>Sociology Compass</w:t>
      </w:r>
      <w:r w:rsidRPr="001E4E28">
        <w:rPr>
          <w:rFonts w:asciiTheme="minorHAnsi" w:hAnsiTheme="minorHAnsi" w:cstheme="minorHAnsi"/>
          <w:color w:val="000000" w:themeColor="text1"/>
          <w:sz w:val="22"/>
          <w:szCs w:val="22"/>
        </w:rPr>
        <w:t>, 16(7)</w:t>
      </w:r>
      <w:r w:rsidR="001E4E28" w:rsidRPr="001E4E28">
        <w:rPr>
          <w:rFonts w:asciiTheme="minorHAnsi" w:hAnsiTheme="minorHAnsi" w:cstheme="minorHAnsi"/>
          <w:color w:val="000000" w:themeColor="text1"/>
          <w:sz w:val="22"/>
          <w:szCs w:val="22"/>
        </w:rPr>
        <w:t>.</w:t>
      </w:r>
    </w:p>
    <w:p w:rsidR="00136EC0" w:rsidRPr="00112AAC" w:rsidRDefault="00136EC0" w:rsidP="00112AAC">
      <w:pPr>
        <w:jc w:val="both"/>
        <w:rPr>
          <w:rFonts w:asciiTheme="minorHAnsi" w:hAnsiTheme="minorHAnsi" w:cstheme="minorHAnsi"/>
          <w:color w:val="FF0000"/>
          <w:sz w:val="22"/>
          <w:szCs w:val="22"/>
        </w:rPr>
      </w:pPr>
    </w:p>
    <w:p w:rsidR="00136EC0" w:rsidRPr="00112AAC" w:rsidRDefault="00136EC0" w:rsidP="00112AAC">
      <w:pPr>
        <w:jc w:val="both"/>
        <w:rPr>
          <w:rFonts w:asciiTheme="minorHAnsi" w:hAnsiTheme="minorHAnsi" w:cstheme="minorHAnsi"/>
          <w:color w:val="FF0000"/>
          <w:sz w:val="22"/>
          <w:szCs w:val="22"/>
        </w:rPr>
      </w:pPr>
    </w:p>
    <w:p w:rsidR="00136EC0" w:rsidRPr="00112AAC" w:rsidRDefault="00136EC0" w:rsidP="00112AAC">
      <w:pPr>
        <w:jc w:val="both"/>
        <w:rPr>
          <w:rFonts w:asciiTheme="minorHAnsi" w:hAnsiTheme="minorHAnsi" w:cstheme="minorHAnsi"/>
          <w:color w:val="FF0000"/>
          <w:sz w:val="22"/>
          <w:szCs w:val="22"/>
        </w:rPr>
      </w:pPr>
    </w:p>
    <w:p w:rsidR="00136EC0" w:rsidRPr="00B91C49" w:rsidRDefault="00136EC0" w:rsidP="00112AAC">
      <w:pPr>
        <w:jc w:val="both"/>
        <w:rPr>
          <w:rFonts w:asciiTheme="minorHAnsi" w:hAnsiTheme="minorHAnsi" w:cstheme="minorHAnsi"/>
          <w:sz w:val="22"/>
          <w:szCs w:val="22"/>
        </w:rPr>
      </w:pPr>
    </w:p>
    <w:sectPr w:rsidR="00136EC0" w:rsidRPr="00B91C49">
      <w:headerReference w:type="default" r:id="rId10"/>
      <w:footerReference w:type="even" r:id="rId11"/>
      <w:footerReference w:type="default" r:id="rId12"/>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F1DBB" w:rsidRDefault="00DF1DBB">
      <w:r>
        <w:separator/>
      </w:r>
    </w:p>
  </w:endnote>
  <w:endnote w:type="continuationSeparator" w:id="0">
    <w:p w:rsidR="00DF1DBB" w:rsidRDefault="00DF1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estetico Light">
    <w:altName w:val="Aestetico Light"/>
    <w:panose1 w:val="020B0604020202020204"/>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EC0" w:rsidRDefault="0000000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rsidR="00136EC0" w:rsidRDefault="00136EC0">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EC0" w:rsidRDefault="0000000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B91C49">
      <w:rPr>
        <w:noProof/>
        <w:color w:val="000000"/>
      </w:rPr>
      <w:t>1</w:t>
    </w:r>
    <w:r>
      <w:rPr>
        <w:color w:val="000000"/>
      </w:rPr>
      <w:fldChar w:fldCharType="end"/>
    </w:r>
  </w:p>
  <w:p w:rsidR="00136EC0" w:rsidRDefault="00136EC0">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F1DBB" w:rsidRDefault="00DF1DBB">
      <w:r>
        <w:separator/>
      </w:r>
    </w:p>
  </w:footnote>
  <w:footnote w:type="continuationSeparator" w:id="0">
    <w:p w:rsidR="00DF1DBB" w:rsidRDefault="00DF1DBB">
      <w:r>
        <w:continuationSeparator/>
      </w:r>
    </w:p>
  </w:footnote>
  <w:footnote w:id="1">
    <w:p w:rsidR="00136EC0" w:rsidRDefault="00000000">
      <w:pPr>
        <w:jc w:val="both"/>
        <w:rPr>
          <w:sz w:val="20"/>
          <w:szCs w:val="20"/>
        </w:rPr>
      </w:pPr>
      <w:r>
        <w:rPr>
          <w:vertAlign w:val="superscript"/>
        </w:rPr>
        <w:footnoteRef/>
      </w:r>
      <w:r>
        <w:rPr>
          <w:sz w:val="20"/>
          <w:szCs w:val="20"/>
        </w:rPr>
        <w:t xml:space="preserve"> The procedure whereby this takes place is outlined in the Texas Department of Criminal Justice’s Correctional </w:t>
      </w:r>
      <w:r w:rsidR="00B91C49">
        <w:rPr>
          <w:sz w:val="20"/>
          <w:szCs w:val="20"/>
        </w:rPr>
        <w:t>Institutions</w:t>
      </w:r>
      <w:r>
        <w:rPr>
          <w:sz w:val="20"/>
          <w:szCs w:val="20"/>
        </w:rPr>
        <w:t xml:space="preserve"> Division Execution Procedure (April 2019). Once the inmate has been secured to the gurney in the execution chamber and an IV line has been inserted into a vein, the Unit Warden or designee gives them the opportunity to make a brief statement to the witnesses gathered in an adjoining room. Once the inmate has finished their statement, or signified that they do not wish to make one, the execution then commences. Any statement made is simultaneously transcribed by a member of correctional staff listening from a remote location, after which it is published on the previously discussed TDCJ death row information website. (see TDCJ, 2019). </w:t>
      </w:r>
    </w:p>
  </w:footnote>
  <w:footnote w:id="2">
    <w:p w:rsidR="00136EC0" w:rsidRDefault="00000000">
      <w:pPr>
        <w:jc w:val="both"/>
        <w:rPr>
          <w:sz w:val="20"/>
          <w:szCs w:val="20"/>
        </w:rPr>
      </w:pPr>
      <w:r>
        <w:rPr>
          <w:vertAlign w:val="superscript"/>
        </w:rPr>
        <w:footnoteRef/>
      </w:r>
      <w:r>
        <w:rPr>
          <w:sz w:val="20"/>
          <w:szCs w:val="20"/>
        </w:rPr>
        <w:t xml:space="preserve"> The information sheets also contained other information that was not transcribed, such as the inmate’s height, weight (in pounds), eye colour, home county, as well as details about their prior convictions (if any) and capital offence. </w:t>
      </w:r>
    </w:p>
  </w:footnote>
  <w:footnote w:id="3">
    <w:p w:rsidR="00136EC0" w:rsidRDefault="00000000">
      <w:pPr>
        <w:jc w:val="both"/>
        <w:rPr>
          <w:sz w:val="20"/>
          <w:szCs w:val="20"/>
        </w:rPr>
      </w:pPr>
      <w:r>
        <w:rPr>
          <w:vertAlign w:val="superscript"/>
        </w:rPr>
        <w:footnoteRef/>
      </w:r>
      <w:r>
        <w:rPr>
          <w:sz w:val="20"/>
          <w:szCs w:val="20"/>
        </w:rPr>
        <w:t xml:space="preserve"> Missing information: inmate’s home state (n=30); ethnicity (n=2); prior conviction (n=28); education level (n=48); age when committed the crime (n=22); months on death row (n=14)</w:t>
      </w:r>
    </w:p>
    <w:p w:rsidR="00136EC0" w:rsidRDefault="00136EC0">
      <w:pPr>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EC0" w:rsidRDefault="00136EC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C7183A"/>
    <w:multiLevelType w:val="multilevel"/>
    <w:tmpl w:val="5CFEFE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3FD739A"/>
    <w:multiLevelType w:val="multilevel"/>
    <w:tmpl w:val="3676BF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938445813">
    <w:abstractNumId w:val="0"/>
  </w:num>
  <w:num w:numId="2" w16cid:durableId="3775593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EC0"/>
    <w:rsid w:val="00112AAC"/>
    <w:rsid w:val="00136EC0"/>
    <w:rsid w:val="001E4E28"/>
    <w:rsid w:val="00B91C49"/>
    <w:rsid w:val="00DF1D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652BB36"/>
  <w15:docId w15:val="{45F13A9C-41A1-8D4A-B376-EA297377E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E03952"/>
    <w:pPr>
      <w:ind w:left="720"/>
      <w:contextualSpacing/>
    </w:pPr>
  </w:style>
  <w:style w:type="character" w:styleId="Hyperlink">
    <w:name w:val="Hyperlink"/>
    <w:basedOn w:val="DefaultParagraphFont"/>
    <w:uiPriority w:val="99"/>
    <w:unhideWhenUsed/>
    <w:rsid w:val="00F410D8"/>
    <w:rPr>
      <w:color w:val="0563C1" w:themeColor="hyperlink"/>
      <w:u w:val="single"/>
    </w:rPr>
  </w:style>
  <w:style w:type="character" w:styleId="UnresolvedMention">
    <w:name w:val="Unresolved Mention"/>
    <w:basedOn w:val="DefaultParagraphFont"/>
    <w:uiPriority w:val="99"/>
    <w:semiHidden/>
    <w:unhideWhenUsed/>
    <w:rsid w:val="00F410D8"/>
    <w:rPr>
      <w:color w:val="605E5C"/>
      <w:shd w:val="clear" w:color="auto" w:fill="E1DFDD"/>
    </w:rPr>
  </w:style>
  <w:style w:type="paragraph" w:styleId="Footer">
    <w:name w:val="footer"/>
    <w:basedOn w:val="Normal"/>
    <w:link w:val="FooterChar"/>
    <w:uiPriority w:val="99"/>
    <w:unhideWhenUsed/>
    <w:rsid w:val="00F410D8"/>
    <w:pPr>
      <w:tabs>
        <w:tab w:val="center" w:pos="4680"/>
        <w:tab w:val="right" w:pos="9360"/>
      </w:tabs>
    </w:pPr>
  </w:style>
  <w:style w:type="character" w:customStyle="1" w:styleId="FooterChar">
    <w:name w:val="Footer Char"/>
    <w:basedOn w:val="DefaultParagraphFont"/>
    <w:link w:val="Footer"/>
    <w:uiPriority w:val="99"/>
    <w:rsid w:val="00F410D8"/>
  </w:style>
  <w:style w:type="character" w:styleId="PageNumber">
    <w:name w:val="page number"/>
    <w:basedOn w:val="DefaultParagraphFont"/>
    <w:uiPriority w:val="99"/>
    <w:semiHidden/>
    <w:unhideWhenUsed/>
    <w:rsid w:val="00F410D8"/>
  </w:style>
  <w:style w:type="paragraph" w:styleId="EndnoteText">
    <w:name w:val="endnote text"/>
    <w:basedOn w:val="Normal"/>
    <w:link w:val="EndnoteTextChar"/>
    <w:uiPriority w:val="99"/>
    <w:semiHidden/>
    <w:unhideWhenUsed/>
    <w:rsid w:val="00ED0565"/>
    <w:rPr>
      <w:sz w:val="20"/>
      <w:szCs w:val="20"/>
    </w:rPr>
  </w:style>
  <w:style w:type="character" w:customStyle="1" w:styleId="EndnoteTextChar">
    <w:name w:val="Endnote Text Char"/>
    <w:basedOn w:val="DefaultParagraphFont"/>
    <w:link w:val="EndnoteText"/>
    <w:uiPriority w:val="99"/>
    <w:semiHidden/>
    <w:rsid w:val="00ED0565"/>
    <w:rPr>
      <w:sz w:val="20"/>
      <w:szCs w:val="20"/>
    </w:rPr>
  </w:style>
  <w:style w:type="character" w:styleId="EndnoteReference">
    <w:name w:val="endnote reference"/>
    <w:basedOn w:val="DefaultParagraphFont"/>
    <w:uiPriority w:val="99"/>
    <w:semiHidden/>
    <w:unhideWhenUsed/>
    <w:rsid w:val="00ED0565"/>
    <w:rPr>
      <w:vertAlign w:val="superscript"/>
    </w:rPr>
  </w:style>
  <w:style w:type="character" w:styleId="CommentReference">
    <w:name w:val="annotation reference"/>
    <w:basedOn w:val="DefaultParagraphFont"/>
    <w:uiPriority w:val="99"/>
    <w:semiHidden/>
    <w:unhideWhenUsed/>
    <w:rsid w:val="00DE72C4"/>
    <w:rPr>
      <w:sz w:val="16"/>
      <w:szCs w:val="16"/>
    </w:rPr>
  </w:style>
  <w:style w:type="paragraph" w:styleId="CommentText">
    <w:name w:val="annotation text"/>
    <w:basedOn w:val="Normal"/>
    <w:link w:val="CommentTextChar"/>
    <w:uiPriority w:val="99"/>
    <w:semiHidden/>
    <w:unhideWhenUsed/>
    <w:rsid w:val="00DE72C4"/>
    <w:rPr>
      <w:sz w:val="20"/>
      <w:szCs w:val="20"/>
    </w:rPr>
  </w:style>
  <w:style w:type="character" w:customStyle="1" w:styleId="CommentTextChar">
    <w:name w:val="Comment Text Char"/>
    <w:basedOn w:val="DefaultParagraphFont"/>
    <w:link w:val="CommentText"/>
    <w:uiPriority w:val="99"/>
    <w:semiHidden/>
    <w:rsid w:val="00DE72C4"/>
    <w:rPr>
      <w:sz w:val="20"/>
      <w:szCs w:val="20"/>
    </w:rPr>
  </w:style>
  <w:style w:type="paragraph" w:styleId="CommentSubject">
    <w:name w:val="annotation subject"/>
    <w:basedOn w:val="CommentText"/>
    <w:next w:val="CommentText"/>
    <w:link w:val="CommentSubjectChar"/>
    <w:uiPriority w:val="99"/>
    <w:semiHidden/>
    <w:unhideWhenUsed/>
    <w:rsid w:val="00DE72C4"/>
    <w:rPr>
      <w:b/>
      <w:bCs/>
    </w:rPr>
  </w:style>
  <w:style w:type="character" w:customStyle="1" w:styleId="CommentSubjectChar">
    <w:name w:val="Comment Subject Char"/>
    <w:basedOn w:val="CommentTextChar"/>
    <w:link w:val="CommentSubject"/>
    <w:uiPriority w:val="99"/>
    <w:semiHidden/>
    <w:rsid w:val="00DE72C4"/>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B91C49"/>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et">
    <w:name w:val="Özet"/>
    <w:basedOn w:val="BodyText"/>
    <w:link w:val="zetChar"/>
    <w:qFormat/>
    <w:rsid w:val="00B91C49"/>
    <w:pPr>
      <w:widowControl w:val="0"/>
      <w:spacing w:after="0"/>
      <w:ind w:firstLine="284"/>
      <w:jc w:val="both"/>
    </w:pPr>
    <w:rPr>
      <w:rFonts w:asciiTheme="minorHAnsi" w:eastAsia="Aestetico Light" w:hAnsiTheme="minorHAnsi" w:cstheme="minorBidi"/>
      <w:spacing w:val="-4"/>
      <w:sz w:val="22"/>
      <w:szCs w:val="18"/>
      <w:lang w:val="tr-TR" w:eastAsia="en-US"/>
    </w:rPr>
  </w:style>
  <w:style w:type="character" w:customStyle="1" w:styleId="zetChar">
    <w:name w:val="Özet Char"/>
    <w:basedOn w:val="DefaultParagraphFont"/>
    <w:link w:val="zet"/>
    <w:rsid w:val="00B91C49"/>
    <w:rPr>
      <w:rFonts w:asciiTheme="minorHAnsi" w:eastAsia="Aestetico Light" w:hAnsiTheme="minorHAnsi" w:cstheme="minorBidi"/>
      <w:spacing w:val="-4"/>
      <w:sz w:val="22"/>
      <w:szCs w:val="18"/>
      <w:lang w:val="tr-TR" w:eastAsia="en-US"/>
    </w:rPr>
  </w:style>
  <w:style w:type="paragraph" w:styleId="BodyText">
    <w:name w:val="Body Text"/>
    <w:basedOn w:val="Normal"/>
    <w:link w:val="BodyTextChar"/>
    <w:uiPriority w:val="99"/>
    <w:semiHidden/>
    <w:unhideWhenUsed/>
    <w:rsid w:val="00B91C49"/>
    <w:pPr>
      <w:spacing w:after="120"/>
    </w:pPr>
  </w:style>
  <w:style w:type="character" w:customStyle="1" w:styleId="BodyTextChar">
    <w:name w:val="Body Text Char"/>
    <w:basedOn w:val="DefaultParagraphFont"/>
    <w:link w:val="BodyText"/>
    <w:uiPriority w:val="99"/>
    <w:semiHidden/>
    <w:rsid w:val="00B91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tdcj.texas.gov/death_ro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sycnet.apa.org/doi/10.3389/fpsyg.2015.0198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Ts956cDEUZHVK60ysgNyV+Yc7g==">CgMxLjA4AHIhMUVoYVF3YkpZaWpFZXh6UnJidy1CZG5rd0l6TVhNVU9X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4059</Words>
  <Characters>23142</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john walliss</cp:lastModifiedBy>
  <cp:revision>3</cp:revision>
  <dcterms:created xsi:type="dcterms:W3CDTF">2024-06-30T12:49:00Z</dcterms:created>
  <dcterms:modified xsi:type="dcterms:W3CDTF">2024-06-30T12:54:00Z</dcterms:modified>
</cp:coreProperties>
</file>