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133B21" w:rsidRDefault="00784576">
      <w:pPr>
        <w:spacing w:after="200" w:line="480" w:lineRule="auto"/>
        <w:rPr>
          <w:rFonts w:ascii="Times New Roman" w:eastAsia="Times New Roman" w:hAnsi="Times New Roman" w:cs="Times New Roman"/>
          <w:b/>
        </w:rPr>
      </w:pPr>
      <w:bookmarkStart w:id="0" w:name="_heading=h.gjdgxs" w:colFirst="0" w:colLast="0"/>
      <w:bookmarkEnd w:id="0"/>
      <w:r>
        <w:rPr>
          <w:rFonts w:ascii="Times New Roman" w:eastAsia="Times New Roman" w:hAnsi="Times New Roman" w:cs="Times New Roman"/>
          <w:b/>
        </w:rPr>
        <w:t>Chapter 2</w:t>
      </w:r>
    </w:p>
    <w:p w14:paraId="00000002" w14:textId="77777777" w:rsidR="00133B21" w:rsidRDefault="00784576">
      <w:pPr>
        <w:spacing w:after="200" w:line="480" w:lineRule="auto"/>
        <w:rPr>
          <w:rFonts w:ascii="Times New Roman" w:eastAsia="Times New Roman" w:hAnsi="Times New Roman" w:cs="Times New Roman"/>
          <w:b/>
        </w:rPr>
      </w:pPr>
      <w:bookmarkStart w:id="1" w:name="_heading=h.dtno6hef1dn" w:colFirst="0" w:colLast="0"/>
      <w:bookmarkStart w:id="2" w:name="_Hlk106620228"/>
      <w:bookmarkEnd w:id="1"/>
      <w:r>
        <w:rPr>
          <w:rFonts w:ascii="Times New Roman" w:eastAsia="Times New Roman" w:hAnsi="Times New Roman" w:cs="Times New Roman"/>
          <w:b/>
          <w:color w:val="000000"/>
        </w:rPr>
        <w:t>Affective Possibilities of Everyday Encounters with Blindness</w:t>
      </w:r>
    </w:p>
    <w:bookmarkEnd w:id="2"/>
    <w:p w14:paraId="00000003" w14:textId="77777777" w:rsidR="00133B21" w:rsidRDefault="00133B21">
      <w:pPr>
        <w:spacing w:after="200" w:line="480" w:lineRule="auto"/>
        <w:rPr>
          <w:rFonts w:ascii="Times New Roman" w:eastAsia="Times New Roman" w:hAnsi="Times New Roman" w:cs="Times New Roman"/>
        </w:rPr>
      </w:pPr>
    </w:p>
    <w:p w14:paraId="00000004" w14:textId="77777777" w:rsidR="00133B21" w:rsidRDefault="00784576">
      <w:pPr>
        <w:spacing w:after="200" w:line="480" w:lineRule="auto"/>
        <w:rPr>
          <w:rFonts w:ascii="Times New Roman" w:eastAsia="Times New Roman" w:hAnsi="Times New Roman" w:cs="Times New Roman"/>
        </w:rPr>
      </w:pPr>
      <w:r>
        <w:rPr>
          <w:rFonts w:ascii="Times New Roman" w:eastAsia="Times New Roman" w:hAnsi="Times New Roman" w:cs="Times New Roman"/>
        </w:rPr>
        <w:t>Leah Burch</w:t>
      </w:r>
    </w:p>
    <w:p w14:paraId="00000005" w14:textId="77777777" w:rsidR="00133B21" w:rsidRDefault="00133B21">
      <w:pPr>
        <w:spacing w:after="200" w:line="480" w:lineRule="auto"/>
        <w:rPr>
          <w:rFonts w:ascii="Times New Roman" w:eastAsia="Times New Roman" w:hAnsi="Times New Roman" w:cs="Times New Roman"/>
        </w:rPr>
      </w:pPr>
    </w:p>
    <w:p w14:paraId="00000006" w14:textId="7E37E692" w:rsidR="00133B21" w:rsidRDefault="009A0B3F">
      <w:pPr>
        <w:spacing w:after="200" w:line="480" w:lineRule="auto"/>
        <w:rPr>
          <w:rFonts w:ascii="Times New Roman" w:eastAsia="Times New Roman" w:hAnsi="Times New Roman" w:cs="Times New Roman"/>
          <w:b/>
        </w:rPr>
      </w:pPr>
      <w:r>
        <w:rPr>
          <w:rFonts w:ascii="Times New Roman" w:eastAsia="Times New Roman" w:hAnsi="Times New Roman" w:cs="Times New Roman"/>
          <w:b/>
        </w:rPr>
        <w:t xml:space="preserve">Preliminary </w:t>
      </w:r>
      <w:r w:rsidR="00784576">
        <w:rPr>
          <w:rFonts w:ascii="Times New Roman" w:eastAsia="Times New Roman" w:hAnsi="Times New Roman" w:cs="Times New Roman"/>
          <w:b/>
        </w:rPr>
        <w:t>Discussion</w:t>
      </w:r>
      <w:r>
        <w:rPr>
          <w:rFonts w:ascii="Times New Roman" w:eastAsia="Times New Roman" w:hAnsi="Times New Roman" w:cs="Times New Roman"/>
          <w:b/>
        </w:rPr>
        <w:t xml:space="preserve">: </w:t>
      </w:r>
      <w:r w:rsidR="00F02DB1">
        <w:rPr>
          <w:rFonts w:ascii="Times New Roman" w:eastAsia="Times New Roman" w:hAnsi="Times New Roman" w:cs="Times New Roman"/>
          <w:b/>
        </w:rPr>
        <w:t>Social Encounters and Affect Theory</w:t>
      </w:r>
      <w:bookmarkStart w:id="3" w:name="_GoBack"/>
      <w:bookmarkEnd w:id="3"/>
    </w:p>
    <w:p w14:paraId="3029F746" w14:textId="77777777" w:rsidR="009A0B3F" w:rsidRDefault="009A0B3F">
      <w:pPr>
        <w:spacing w:after="200" w:line="480" w:lineRule="auto"/>
        <w:jc w:val="both"/>
        <w:rPr>
          <w:rFonts w:ascii="Times New Roman" w:eastAsia="Times New Roman" w:hAnsi="Times New Roman" w:cs="Times New Roman"/>
          <w:color w:val="000000"/>
        </w:rPr>
      </w:pPr>
    </w:p>
    <w:p w14:paraId="00000007" w14:textId="6609E818" w:rsidR="00133B21" w:rsidRDefault="00784576">
      <w:pPr>
        <w:spacing w:after="200" w:line="48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Social encounters have long been a site of sociological fascination (Goffman, 1963). Our encounters shape the very fabric of everyday life. We shape, and are shaped by, our encounters with others, which in turn, are shaped by the kinds of spaces that we are situated within. </w:t>
      </w:r>
      <w:r>
        <w:rPr>
          <w:rFonts w:ascii="Times New Roman" w:eastAsia="Times New Roman" w:hAnsi="Times New Roman" w:cs="Times New Roman"/>
        </w:rPr>
        <w:t xml:space="preserve">While we are not able to predict the nuances of social encounters, many of our encounters do abide by particular social norms. </w:t>
      </w:r>
      <w:r>
        <w:rPr>
          <w:rFonts w:ascii="Times New Roman" w:eastAsia="Times New Roman" w:hAnsi="Times New Roman" w:cs="Times New Roman"/>
          <w:color w:val="000000"/>
        </w:rPr>
        <w:t>Fo</w:t>
      </w:r>
      <w:r>
        <w:rPr>
          <w:rFonts w:ascii="Times New Roman" w:eastAsia="Times New Roman" w:hAnsi="Times New Roman" w:cs="Times New Roman"/>
        </w:rPr>
        <w:t>r Goffman (1963), these norms constitute our social performances. We interact with the world around us in the ways that are governed by socially accepted routines and structures. Those who abide by these standards are able to pass through social space unnoticed and unmarked. For those who do not neatly pass through these structures, their presence disrupts the rhythm of social space and is met with unease. In the words of Garland-Thompson (1997, 7-8) ‘corporeal departures from dominant expectations never go uninterpreted or unpunished … those bodies deemed inferior become spectacles of otherness while the unmarked are sheltered in the neutral space of normalcy’</w:t>
      </w:r>
      <w:r w:rsidR="009A0B3F">
        <w:rPr>
          <w:rFonts w:ascii="Times New Roman" w:eastAsia="Times New Roman" w:hAnsi="Times New Roman" w:cs="Times New Roman"/>
        </w:rPr>
        <w:t>.</w:t>
      </w:r>
      <w:r>
        <w:rPr>
          <w:rFonts w:ascii="Times New Roman" w:eastAsia="Times New Roman" w:hAnsi="Times New Roman" w:cs="Times New Roman"/>
        </w:rPr>
        <w:t xml:space="preserve"> By attending to encounters with blindness, this chapter explores how </w:t>
      </w:r>
      <w:r>
        <w:rPr>
          <w:rFonts w:ascii="Times New Roman" w:eastAsia="Times New Roman" w:hAnsi="Times New Roman" w:cs="Times New Roman"/>
          <w:color w:val="000000"/>
        </w:rPr>
        <w:t xml:space="preserve">the rules and rituals of social encounters are disrupted by the presence of visual impairment (Scott, 1991) as a result of the culturally nurtured stories, assumptions and attitudes surrounding the concept of ‘blindness’ (Bolt, 2012). </w:t>
      </w:r>
      <w:r>
        <w:rPr>
          <w:rFonts w:ascii="Times New Roman" w:eastAsia="Times New Roman" w:hAnsi="Times New Roman" w:cs="Times New Roman"/>
          <w:color w:val="000000"/>
        </w:rPr>
        <w:lastRenderedPageBreak/>
        <w:t>These encoun</w:t>
      </w:r>
      <w:r>
        <w:rPr>
          <w:rFonts w:ascii="Times New Roman" w:eastAsia="Times New Roman" w:hAnsi="Times New Roman" w:cs="Times New Roman"/>
        </w:rPr>
        <w:t>ters take place within different types of spaces, and constitute cultural stations of blindness.</w:t>
      </w:r>
    </w:p>
    <w:p w14:paraId="00000008" w14:textId="61BDEF4A" w:rsidR="00133B21" w:rsidRDefault="00784576">
      <w:pPr>
        <w:spacing w:after="200" w:line="480" w:lineRule="auto"/>
        <w:ind w:firstLine="720"/>
        <w:jc w:val="both"/>
        <w:rPr>
          <w:rFonts w:ascii="Times New Roman" w:eastAsia="Times New Roman" w:hAnsi="Times New Roman" w:cs="Times New Roman"/>
        </w:rPr>
      </w:pPr>
      <w:r>
        <w:rPr>
          <w:rFonts w:ascii="Times New Roman" w:eastAsia="Times New Roman" w:hAnsi="Times New Roman" w:cs="Times New Roman"/>
        </w:rPr>
        <w:t>As spaces are organised in categorical and hierarchical ways, it is important to recognise that these social encounters can affect bodies in different ways. Indeed, bodies are moved by these configurations of space, and aligned to or against one another. In this way, space is not only ‘a passive container of life, but also an active constituent of social relations’ (Kitchin, 1998, 344). Social encounters are affective; they shape the ways that different bodies are able to be and move within different spaces. Indeed, the presence of visual impairment shapes social encounters in both limiting and productive ways. Engaging with affect theory can therefore help us to recognise the diverse possibilities of disabled people, and, in the context of this chapter, to explore the affective possibility of bodies when blindness enters the room. This approach hopes to move away from the understanding that disabled people are passive (Shakespeare, 1994), and recognises that ‘the capacity of a body is never defined by a body alone but is always aided and abetted by, and dovetails with, the field or context of its force-relations’ (</w:t>
      </w:r>
      <w:proofErr w:type="spellStart"/>
      <w:r>
        <w:rPr>
          <w:rFonts w:ascii="Times New Roman" w:eastAsia="Times New Roman" w:hAnsi="Times New Roman" w:cs="Times New Roman"/>
        </w:rPr>
        <w:t>Seigworth</w:t>
      </w:r>
      <w:proofErr w:type="spellEnd"/>
      <w:r>
        <w:rPr>
          <w:rFonts w:ascii="Times New Roman" w:eastAsia="Times New Roman" w:hAnsi="Times New Roman" w:cs="Times New Roman"/>
        </w:rPr>
        <w:t xml:space="preserve"> and Gregg, 2010, 3). Indeed, by introducing two cultural stations of blindness, this chapter shows that any single story of blindness is flawed and unable to capture the multiple possibilities of encounters within everyday life. It is only by reflecting upon multiple and often competing stories that we can come to a more nuanced understanding of blindness (and disability more broadly) as a complex, diverse and multi-faceted phenomenon (Shakespeare, 2015). This understanding of blindness recognises moments where affective capacity is limited but is equally attentive to the times where it is enhanced and the possibility of </w:t>
      </w:r>
      <w:r>
        <w:rPr>
          <w:rFonts w:ascii="Times New Roman" w:eastAsia="Times New Roman" w:hAnsi="Times New Roman" w:cs="Times New Roman"/>
          <w:i/>
        </w:rPr>
        <w:t xml:space="preserve">being </w:t>
      </w:r>
      <w:r>
        <w:rPr>
          <w:rFonts w:ascii="Times New Roman" w:eastAsia="Times New Roman" w:hAnsi="Times New Roman" w:cs="Times New Roman"/>
        </w:rPr>
        <w:t>is not limited to the confines of normative social expectations.</w:t>
      </w:r>
    </w:p>
    <w:p w14:paraId="00000009" w14:textId="6872992B" w:rsidR="00133B21" w:rsidRDefault="00784576">
      <w:pPr>
        <w:spacing w:after="200" w:line="480" w:lineRule="auto"/>
        <w:ind w:firstLine="720"/>
        <w:jc w:val="both"/>
        <w:rPr>
          <w:rFonts w:ascii="Times New Roman" w:eastAsia="Times New Roman" w:hAnsi="Times New Roman" w:cs="Times New Roman"/>
        </w:rPr>
      </w:pPr>
      <w:r>
        <w:rPr>
          <w:rFonts w:ascii="Times New Roman" w:eastAsia="Times New Roman" w:hAnsi="Times New Roman" w:cs="Times New Roman"/>
          <w:color w:val="000000"/>
        </w:rPr>
        <w:t xml:space="preserve">In this chapter, I consider two different cultural stations of blindness, </w:t>
      </w:r>
      <w:r>
        <w:rPr>
          <w:rFonts w:ascii="Times New Roman" w:eastAsia="Times New Roman" w:hAnsi="Times New Roman" w:cs="Times New Roman"/>
        </w:rPr>
        <w:t xml:space="preserve">each of which constitutes different affective possibilities for moving within social space. The first encounter reflects upon a story shared with me during my research by </w:t>
      </w:r>
      <w:proofErr w:type="spellStart"/>
      <w:r>
        <w:rPr>
          <w:rFonts w:ascii="Times New Roman" w:eastAsia="Times New Roman" w:hAnsi="Times New Roman" w:cs="Times New Roman"/>
        </w:rPr>
        <w:t>Shaz</w:t>
      </w:r>
      <w:proofErr w:type="spellEnd"/>
      <w:r>
        <w:rPr>
          <w:rFonts w:ascii="Times New Roman" w:eastAsia="Times New Roman" w:hAnsi="Times New Roman" w:cs="Times New Roman"/>
        </w:rPr>
        <w:t xml:space="preserve">. In this encounter, blindness </w:t>
      </w:r>
      <w:r>
        <w:rPr>
          <w:rFonts w:ascii="Times New Roman" w:eastAsia="Times New Roman" w:hAnsi="Times New Roman" w:cs="Times New Roman"/>
        </w:rPr>
        <w:lastRenderedPageBreak/>
        <w:t>is met with hostility and marked out as ‘a</w:t>
      </w:r>
      <w:r>
        <w:rPr>
          <w:rFonts w:ascii="Times New Roman" w:eastAsia="Times New Roman" w:hAnsi="Times New Roman" w:cs="Times New Roman"/>
          <w:color w:val="000000"/>
        </w:rPr>
        <w:t xml:space="preserve"> presence couched within the understanding of it as the binary opposite of sight’ (Michalko, 200</w:t>
      </w:r>
      <w:r w:rsidR="009A0B3F">
        <w:rPr>
          <w:rFonts w:ascii="Times New Roman" w:eastAsia="Times New Roman" w:hAnsi="Times New Roman" w:cs="Times New Roman"/>
          <w:color w:val="000000"/>
        </w:rPr>
        <w:t>1</w:t>
      </w:r>
      <w:r>
        <w:rPr>
          <w:rFonts w:ascii="Times New Roman" w:eastAsia="Times New Roman" w:hAnsi="Times New Roman" w:cs="Times New Roman"/>
          <w:color w:val="000000"/>
        </w:rPr>
        <w:t xml:space="preserve">, 356). In turn, this encounter shapes the way in which </w:t>
      </w:r>
      <w:proofErr w:type="spellStart"/>
      <w:r>
        <w:rPr>
          <w:rFonts w:ascii="Times New Roman" w:eastAsia="Times New Roman" w:hAnsi="Times New Roman" w:cs="Times New Roman"/>
          <w:color w:val="000000"/>
        </w:rPr>
        <w:t>Shaz</w:t>
      </w:r>
      <w:proofErr w:type="spellEnd"/>
      <w:r>
        <w:rPr>
          <w:rFonts w:ascii="Times New Roman" w:eastAsia="Times New Roman" w:hAnsi="Times New Roman" w:cs="Times New Roman"/>
          <w:color w:val="000000"/>
        </w:rPr>
        <w:t xml:space="preserve"> is able to move within public space, thus limiting his affective capacity. However, the second encounter considers an alternative understanding of the ways in which blindness can enrich educational encounters. Located within the higher education classroom, this second cultural station demonstrates how blindness can change the way in which classrooms are experienced by those within, </w:t>
      </w:r>
      <w:r>
        <w:rPr>
          <w:rFonts w:ascii="Times New Roman" w:eastAsia="Times New Roman" w:hAnsi="Times New Roman" w:cs="Times New Roman"/>
        </w:rPr>
        <w:t xml:space="preserve">which </w:t>
      </w:r>
      <w:r>
        <w:rPr>
          <w:rFonts w:ascii="Times New Roman" w:eastAsia="Times New Roman" w:hAnsi="Times New Roman" w:cs="Times New Roman"/>
          <w:color w:val="000000"/>
        </w:rPr>
        <w:t>opens up new opportunities for engagement with one another.</w:t>
      </w:r>
      <w:r>
        <w:rPr>
          <w:rFonts w:ascii="Times New Roman" w:eastAsia="Times New Roman" w:hAnsi="Times New Roman" w:cs="Times New Roman"/>
        </w:rPr>
        <w:t xml:space="preserve"> </w:t>
      </w:r>
      <w:r>
        <w:rPr>
          <w:rFonts w:ascii="Times New Roman" w:eastAsia="Times New Roman" w:hAnsi="Times New Roman" w:cs="Times New Roman"/>
          <w:color w:val="000000"/>
        </w:rPr>
        <w:t>These opposing cultural stations signify competing constructions of blindness, which in turn, constitute different affective possibilities</w:t>
      </w:r>
      <w:r>
        <w:rPr>
          <w:rFonts w:ascii="Times New Roman" w:eastAsia="Times New Roman" w:hAnsi="Times New Roman" w:cs="Times New Roman"/>
        </w:rPr>
        <w:t xml:space="preserve"> within</w:t>
      </w:r>
      <w:r>
        <w:rPr>
          <w:rFonts w:ascii="Times New Roman" w:eastAsia="Times New Roman" w:hAnsi="Times New Roman" w:cs="Times New Roman"/>
          <w:color w:val="000000"/>
        </w:rPr>
        <w:t xml:space="preserve"> encounter</w:t>
      </w:r>
      <w:r>
        <w:rPr>
          <w:rFonts w:ascii="Times New Roman" w:eastAsia="Times New Roman" w:hAnsi="Times New Roman" w:cs="Times New Roman"/>
        </w:rPr>
        <w:t>s of</w:t>
      </w:r>
      <w:r>
        <w:rPr>
          <w:rFonts w:ascii="Times New Roman" w:eastAsia="Times New Roman" w:hAnsi="Times New Roman" w:cs="Times New Roman"/>
          <w:color w:val="000000"/>
        </w:rPr>
        <w:t xml:space="preserve"> visual impairment. </w:t>
      </w:r>
    </w:p>
    <w:p w14:paraId="0000000A" w14:textId="26A02C92" w:rsidR="00133B21" w:rsidRDefault="00133B21">
      <w:pPr>
        <w:spacing w:after="200" w:line="480" w:lineRule="auto"/>
        <w:rPr>
          <w:rFonts w:ascii="Times New Roman" w:eastAsia="Times New Roman" w:hAnsi="Times New Roman" w:cs="Times New Roman"/>
        </w:rPr>
      </w:pPr>
    </w:p>
    <w:p w14:paraId="69DAB5E7" w14:textId="77777777" w:rsidR="009A0B3F" w:rsidRDefault="009A0B3F">
      <w:pPr>
        <w:spacing w:after="200" w:line="480" w:lineRule="auto"/>
        <w:rPr>
          <w:rFonts w:ascii="Times New Roman" w:eastAsia="Times New Roman" w:hAnsi="Times New Roman" w:cs="Times New Roman"/>
        </w:rPr>
      </w:pPr>
    </w:p>
    <w:p w14:paraId="0000000B" w14:textId="4E395A0A" w:rsidR="00133B21" w:rsidRDefault="00784576">
      <w:pPr>
        <w:spacing w:after="200" w:line="480" w:lineRule="auto"/>
        <w:rPr>
          <w:rFonts w:ascii="Times New Roman" w:eastAsia="Times New Roman" w:hAnsi="Times New Roman" w:cs="Times New Roman"/>
          <w:b/>
        </w:rPr>
      </w:pPr>
      <w:r>
        <w:rPr>
          <w:rFonts w:ascii="Times New Roman" w:eastAsia="Times New Roman" w:hAnsi="Times New Roman" w:cs="Times New Roman"/>
          <w:b/>
          <w:color w:val="000000"/>
        </w:rPr>
        <w:t>Everyday Hate</w:t>
      </w:r>
      <w:r w:rsidR="009A0B3F">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and Social Sp</w:t>
      </w:r>
      <w:r>
        <w:rPr>
          <w:rFonts w:ascii="Times New Roman" w:eastAsia="Times New Roman" w:hAnsi="Times New Roman" w:cs="Times New Roman"/>
          <w:b/>
        </w:rPr>
        <w:t>ace</w:t>
      </w:r>
      <w:r w:rsidR="009A0B3F">
        <w:rPr>
          <w:rFonts w:ascii="Times New Roman" w:eastAsia="Times New Roman" w:hAnsi="Times New Roman" w:cs="Times New Roman"/>
          <w:b/>
        </w:rPr>
        <w:t xml:space="preserve">: </w:t>
      </w:r>
      <w:r w:rsidR="007A39FE">
        <w:rPr>
          <w:rFonts w:ascii="Times New Roman" w:eastAsia="Times New Roman" w:hAnsi="Times New Roman" w:cs="Times New Roman"/>
          <w:b/>
        </w:rPr>
        <w:t xml:space="preserve">The </w:t>
      </w:r>
      <w:proofErr w:type="spellStart"/>
      <w:r w:rsidR="007A39FE">
        <w:rPr>
          <w:rFonts w:ascii="Times New Roman" w:eastAsia="Times New Roman" w:hAnsi="Times New Roman" w:cs="Times New Roman"/>
          <w:b/>
        </w:rPr>
        <w:t>Affects</w:t>
      </w:r>
      <w:proofErr w:type="spellEnd"/>
      <w:r w:rsidR="007A39FE">
        <w:rPr>
          <w:rFonts w:ascii="Times New Roman" w:eastAsia="Times New Roman" w:hAnsi="Times New Roman" w:cs="Times New Roman"/>
          <w:b/>
        </w:rPr>
        <w:t xml:space="preserve"> of Unsolicited Contact</w:t>
      </w:r>
    </w:p>
    <w:p w14:paraId="04C30AB8" w14:textId="77777777" w:rsidR="009A0B3F" w:rsidRDefault="009A0B3F">
      <w:pPr>
        <w:spacing w:after="200" w:line="480" w:lineRule="auto"/>
        <w:jc w:val="both"/>
        <w:rPr>
          <w:rFonts w:ascii="Times New Roman" w:eastAsia="Times New Roman" w:hAnsi="Times New Roman" w:cs="Times New Roman"/>
          <w:color w:val="000000"/>
        </w:rPr>
      </w:pPr>
    </w:p>
    <w:p w14:paraId="0000000C" w14:textId="5149515C" w:rsidR="00133B21" w:rsidRDefault="00784576">
      <w:pPr>
        <w:spacing w:after="200" w:line="480" w:lineRule="auto"/>
        <w:jc w:val="both"/>
        <w:rPr>
          <w:rFonts w:ascii="Times New Roman" w:eastAsia="Times New Roman" w:hAnsi="Times New Roman" w:cs="Times New Roman"/>
          <w:i/>
          <w:color w:val="000000"/>
        </w:rPr>
      </w:pPr>
      <w:r>
        <w:rPr>
          <w:rFonts w:ascii="Times New Roman" w:eastAsia="Times New Roman" w:hAnsi="Times New Roman" w:cs="Times New Roman"/>
          <w:color w:val="000000"/>
        </w:rPr>
        <w:t>It is well documented that hate can become an intrusive, yet ordinary part of disabled people’s day-to-day lives (Burch, 2021a; EHRC, 2011</w:t>
      </w:r>
      <w:r>
        <w:rPr>
          <w:rFonts w:ascii="Times New Roman" w:eastAsia="Times New Roman" w:hAnsi="Times New Roman" w:cs="Times New Roman"/>
        </w:rPr>
        <w:t xml:space="preserve">) particularly as they move within social spaces. Indeed, social spaces can be risky terrain to occupy for disabled people, due to the strict norms and expectations that govern these spaces. During my PhD research, disabled people shared a range of experiences of hate when occupying social space. In one interview, </w:t>
      </w:r>
      <w:proofErr w:type="spellStart"/>
      <w:r>
        <w:rPr>
          <w:rFonts w:ascii="Times New Roman" w:eastAsia="Times New Roman" w:hAnsi="Times New Roman" w:cs="Times New Roman"/>
          <w:color w:val="000000"/>
        </w:rPr>
        <w:t>Shaz</w:t>
      </w:r>
      <w:proofErr w:type="spellEnd"/>
      <w:r>
        <w:rPr>
          <w:rFonts w:ascii="Times New Roman" w:eastAsia="Times New Roman" w:hAnsi="Times New Roman" w:cs="Times New Roman"/>
          <w:color w:val="000000"/>
        </w:rPr>
        <w:t xml:space="preserve"> describe</w:t>
      </w:r>
      <w:r>
        <w:rPr>
          <w:rFonts w:ascii="Times New Roman" w:eastAsia="Times New Roman" w:hAnsi="Times New Roman" w:cs="Times New Roman"/>
        </w:rPr>
        <w:t>d</w:t>
      </w:r>
      <w:r>
        <w:rPr>
          <w:rFonts w:ascii="Times New Roman" w:eastAsia="Times New Roman" w:hAnsi="Times New Roman" w:cs="Times New Roman"/>
          <w:color w:val="000000"/>
        </w:rPr>
        <w:t xml:space="preserve"> a hate incident that occurred while he was walking </w:t>
      </w:r>
      <w:r>
        <w:rPr>
          <w:rFonts w:ascii="Times New Roman" w:eastAsia="Times New Roman" w:hAnsi="Times New Roman" w:cs="Times New Roman"/>
        </w:rPr>
        <w:t xml:space="preserve">through </w:t>
      </w:r>
      <w:r>
        <w:rPr>
          <w:rFonts w:ascii="Times New Roman" w:eastAsia="Times New Roman" w:hAnsi="Times New Roman" w:cs="Times New Roman"/>
          <w:color w:val="000000"/>
        </w:rPr>
        <w:t>his town centre.</w:t>
      </w:r>
    </w:p>
    <w:p w14:paraId="0000000D" w14:textId="77777777" w:rsidR="00133B21" w:rsidRDefault="00784576">
      <w:pPr>
        <w:spacing w:after="200" w:line="480" w:lineRule="auto"/>
        <w:ind w:left="720"/>
        <w:jc w:val="both"/>
        <w:rPr>
          <w:rFonts w:ascii="Times New Roman" w:eastAsia="Times New Roman" w:hAnsi="Times New Roman" w:cs="Times New Roman"/>
        </w:rPr>
      </w:pPr>
      <w:bookmarkStart w:id="4" w:name="_Hlk105670764"/>
      <w:r>
        <w:rPr>
          <w:rFonts w:ascii="Times New Roman" w:eastAsia="Times New Roman" w:hAnsi="Times New Roman" w:cs="Times New Roman"/>
          <w:i/>
          <w:color w:val="000000"/>
        </w:rPr>
        <w:t xml:space="preserve">I was actually going independently using my cane in a public space, and somebody, I nearly walked into something. </w:t>
      </w:r>
      <w:bookmarkEnd w:id="4"/>
      <w:r>
        <w:rPr>
          <w:rFonts w:ascii="Times New Roman" w:eastAsia="Times New Roman" w:hAnsi="Times New Roman" w:cs="Times New Roman"/>
          <w:i/>
          <w:color w:val="000000"/>
        </w:rPr>
        <w:t xml:space="preserve">It wasn’t until later that somebody stopped me and said erm, basically it was a group of lads. I was moving using my long cane as you do. I couldn't distinguish people, but I can distinguish light from dark and erm, things </w:t>
      </w:r>
      <w:r>
        <w:rPr>
          <w:rFonts w:ascii="Times New Roman" w:eastAsia="Times New Roman" w:hAnsi="Times New Roman" w:cs="Times New Roman"/>
          <w:i/>
          <w:color w:val="000000"/>
        </w:rPr>
        <w:lastRenderedPageBreak/>
        <w:t>suddenly went dark and I ducked because I thought I was going to walk into something. And somebody told me what it was, it was a group of lads walking towards me and one of the lads held his arm out straight as if I’d, so if I didn’t move I’d have walked into it. And you just can’t understand the, you know, the motivation for that is that the whole thing about wanting to exclude people.</w:t>
      </w:r>
    </w:p>
    <w:p w14:paraId="0000000E" w14:textId="74424163" w:rsidR="00133B21" w:rsidRDefault="00784576">
      <w:pPr>
        <w:spacing w:after="200" w:line="480" w:lineRule="auto"/>
        <w:jc w:val="both"/>
        <w:rPr>
          <w:rFonts w:ascii="Times New Roman" w:eastAsia="Times New Roman" w:hAnsi="Times New Roman" w:cs="Times New Roman"/>
        </w:rPr>
      </w:pPr>
      <w:r>
        <w:rPr>
          <w:rFonts w:ascii="Times New Roman" w:eastAsia="Times New Roman" w:hAnsi="Times New Roman" w:cs="Times New Roman"/>
        </w:rPr>
        <w:t xml:space="preserve">The above social encounter creates a space that is characterised by both distance and close proximity between </w:t>
      </w:r>
      <w:proofErr w:type="spellStart"/>
      <w:r>
        <w:rPr>
          <w:rFonts w:ascii="Times New Roman" w:eastAsia="Times New Roman" w:hAnsi="Times New Roman" w:cs="Times New Roman"/>
        </w:rPr>
        <w:t>Shaz</w:t>
      </w:r>
      <w:proofErr w:type="spellEnd"/>
      <w:r>
        <w:rPr>
          <w:rFonts w:ascii="Times New Roman" w:eastAsia="Times New Roman" w:hAnsi="Times New Roman" w:cs="Times New Roman"/>
        </w:rPr>
        <w:t xml:space="preserve"> and the ‘group of lads.’ The ‘group of lads’ recognise </w:t>
      </w:r>
      <w:proofErr w:type="spellStart"/>
      <w:r>
        <w:rPr>
          <w:rFonts w:ascii="Times New Roman" w:eastAsia="Times New Roman" w:hAnsi="Times New Roman" w:cs="Times New Roman"/>
        </w:rPr>
        <w:t>Shaz’s</w:t>
      </w:r>
      <w:proofErr w:type="spellEnd"/>
      <w:r>
        <w:rPr>
          <w:rFonts w:ascii="Times New Roman" w:eastAsia="Times New Roman" w:hAnsi="Times New Roman" w:cs="Times New Roman"/>
        </w:rPr>
        <w:t xml:space="preserve"> visual impairment through his use of a cane, and </w:t>
      </w:r>
      <w:bookmarkStart w:id="5" w:name="_Hlk105670873"/>
      <w:r w:rsidR="007A39FE">
        <w:rPr>
          <w:rFonts w:ascii="Times New Roman" w:eastAsia="Times New Roman" w:hAnsi="Times New Roman" w:cs="Times New Roman"/>
        </w:rPr>
        <w:t xml:space="preserve">‘assume authority’ (Bolt, 2021) over the space that is shared between them. </w:t>
      </w:r>
      <w:bookmarkEnd w:id="5"/>
      <w:r>
        <w:rPr>
          <w:rFonts w:ascii="Times New Roman" w:eastAsia="Times New Roman" w:hAnsi="Times New Roman" w:cs="Times New Roman"/>
        </w:rPr>
        <w:t xml:space="preserve">Indeed, while the space is shared between both parties, the ‘group of lads’ take ownership of the space by </w:t>
      </w:r>
      <w:proofErr w:type="gramStart"/>
      <w:r>
        <w:rPr>
          <w:rFonts w:ascii="Times New Roman" w:eastAsia="Times New Roman" w:hAnsi="Times New Roman" w:cs="Times New Roman"/>
        </w:rPr>
        <w:t>making contact with</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Shaz</w:t>
      </w:r>
      <w:proofErr w:type="spellEnd"/>
      <w:r>
        <w:rPr>
          <w:rFonts w:ascii="Times New Roman" w:eastAsia="Times New Roman" w:hAnsi="Times New Roman" w:cs="Times New Roman"/>
        </w:rPr>
        <w:t xml:space="preserve">. In this moment of contact, </w:t>
      </w:r>
      <w:proofErr w:type="spellStart"/>
      <w:r>
        <w:rPr>
          <w:rFonts w:ascii="Times New Roman" w:eastAsia="Times New Roman" w:hAnsi="Times New Roman" w:cs="Times New Roman"/>
        </w:rPr>
        <w:t>Shaz</w:t>
      </w:r>
      <w:proofErr w:type="spellEnd"/>
      <w:r>
        <w:rPr>
          <w:rFonts w:ascii="Times New Roman" w:eastAsia="Times New Roman" w:hAnsi="Times New Roman" w:cs="Times New Roman"/>
        </w:rPr>
        <w:t xml:space="preserve"> is constructed as an Other who is out of place in this space. Indeed, this unsolicited contact is significant in the way in which </w:t>
      </w:r>
      <w:proofErr w:type="spellStart"/>
      <w:r>
        <w:rPr>
          <w:rFonts w:ascii="Times New Roman" w:eastAsia="Times New Roman" w:hAnsi="Times New Roman" w:cs="Times New Roman"/>
        </w:rPr>
        <w:t>Shaz</w:t>
      </w:r>
      <w:proofErr w:type="spellEnd"/>
      <w:r>
        <w:rPr>
          <w:rFonts w:ascii="Times New Roman" w:eastAsia="Times New Roman" w:hAnsi="Times New Roman" w:cs="Times New Roman"/>
        </w:rPr>
        <w:t xml:space="preserve"> is constructed, as the moment disrupts normative urban codes of keeping your distance from others (</w:t>
      </w:r>
      <w:proofErr w:type="spellStart"/>
      <w:r>
        <w:rPr>
          <w:rFonts w:ascii="Times New Roman" w:eastAsia="Times New Roman" w:hAnsi="Times New Roman" w:cs="Times New Roman"/>
        </w:rPr>
        <w:t>Tonkiss</w:t>
      </w:r>
      <w:proofErr w:type="spellEnd"/>
      <w:r>
        <w:rPr>
          <w:rFonts w:ascii="Times New Roman" w:eastAsia="Times New Roman" w:hAnsi="Times New Roman" w:cs="Times New Roman"/>
        </w:rPr>
        <w:t xml:space="preserve">, 2003) to reinforce his absence from the space. Following what </w:t>
      </w:r>
      <w:proofErr w:type="spellStart"/>
      <w:r>
        <w:rPr>
          <w:rFonts w:ascii="Times New Roman" w:eastAsia="Times New Roman" w:hAnsi="Times New Roman" w:cs="Times New Roman"/>
        </w:rPr>
        <w:t>Leder</w:t>
      </w:r>
      <w:proofErr w:type="spellEnd"/>
      <w:r>
        <w:rPr>
          <w:rFonts w:ascii="Times New Roman" w:eastAsia="Times New Roman" w:hAnsi="Times New Roman" w:cs="Times New Roman"/>
        </w:rPr>
        <w:t xml:space="preserve"> (1990) refers to as ‘dys-appearing bodies’ we can read this encounter as a cultural station which renders disabled people as both absent and insignificant. Indeed, it is the unsolicited contact with </w:t>
      </w:r>
      <w:proofErr w:type="spellStart"/>
      <w:r>
        <w:rPr>
          <w:rFonts w:ascii="Times New Roman" w:eastAsia="Times New Roman" w:hAnsi="Times New Roman" w:cs="Times New Roman"/>
        </w:rPr>
        <w:t>Shaz</w:t>
      </w:r>
      <w:proofErr w:type="spellEnd"/>
      <w:r>
        <w:rPr>
          <w:rFonts w:ascii="Times New Roman" w:eastAsia="Times New Roman" w:hAnsi="Times New Roman" w:cs="Times New Roman"/>
        </w:rPr>
        <w:t xml:space="preserve"> that renders blindness present within the social encounter and thus, within the surrounding social space. Blindness, as an inferior Other, is presented to the ‘group of lads’ through the symbolic signifier of a visual aid and the physical contact that follows. This cultural station of blindness illuminates how ‘the norms prescribing respectful distance and mutual inattention between strangers in the public realm are not quite as binding in encounters with those whose appearance diverges from the norm’ (</w:t>
      </w:r>
      <w:proofErr w:type="spellStart"/>
      <w:r>
        <w:rPr>
          <w:rFonts w:ascii="Times New Roman" w:eastAsia="Times New Roman" w:hAnsi="Times New Roman" w:cs="Times New Roman"/>
        </w:rPr>
        <w:t>Yaron</w:t>
      </w:r>
      <w:proofErr w:type="spellEnd"/>
      <w:r>
        <w:rPr>
          <w:rFonts w:ascii="Times New Roman" w:eastAsia="Times New Roman" w:hAnsi="Times New Roman" w:cs="Times New Roman"/>
        </w:rPr>
        <w:t xml:space="preserve"> et al, 2018, 748). In doing so, the social space is made in a way that does not accommodate or welcome blindness, and therefore marks </w:t>
      </w:r>
      <w:proofErr w:type="spellStart"/>
      <w:r>
        <w:rPr>
          <w:rFonts w:ascii="Times New Roman" w:eastAsia="Times New Roman" w:hAnsi="Times New Roman" w:cs="Times New Roman"/>
        </w:rPr>
        <w:t>Shaz</w:t>
      </w:r>
      <w:proofErr w:type="spellEnd"/>
      <w:r>
        <w:rPr>
          <w:rFonts w:ascii="Times New Roman" w:eastAsia="Times New Roman" w:hAnsi="Times New Roman" w:cs="Times New Roman"/>
        </w:rPr>
        <w:t xml:space="preserve"> out through unwanted and unanticipated contact.</w:t>
      </w:r>
    </w:p>
    <w:p w14:paraId="0000000F" w14:textId="77777777" w:rsidR="00133B21" w:rsidRDefault="00784576">
      <w:pPr>
        <w:spacing w:after="200" w:line="48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The moment of contact that is instigated by the ‘group of lads’ involves a movement towards </w:t>
      </w:r>
      <w:proofErr w:type="spellStart"/>
      <w:r>
        <w:rPr>
          <w:rFonts w:ascii="Times New Roman" w:eastAsia="Times New Roman" w:hAnsi="Times New Roman" w:cs="Times New Roman"/>
        </w:rPr>
        <w:t>Shaz</w:t>
      </w:r>
      <w:proofErr w:type="spellEnd"/>
      <w:r>
        <w:rPr>
          <w:rFonts w:ascii="Times New Roman" w:eastAsia="Times New Roman" w:hAnsi="Times New Roman" w:cs="Times New Roman"/>
        </w:rPr>
        <w:t xml:space="preserve"> in order to create distance from him and ensure the boundaries between them are </w:t>
      </w:r>
      <w:r>
        <w:rPr>
          <w:rFonts w:ascii="Times New Roman" w:eastAsia="Times New Roman" w:hAnsi="Times New Roman" w:cs="Times New Roman"/>
        </w:rPr>
        <w:lastRenderedPageBreak/>
        <w:t xml:space="preserve">secure (Ahmed, 2014). Indeed, the physical contact can be read as an expression of hostility that secures the relationship between bodies; it aligns the ‘group of lads’ together, against </w:t>
      </w:r>
      <w:proofErr w:type="spellStart"/>
      <w:r>
        <w:rPr>
          <w:rFonts w:ascii="Times New Roman" w:eastAsia="Times New Roman" w:hAnsi="Times New Roman" w:cs="Times New Roman"/>
        </w:rPr>
        <w:t>Shaz</w:t>
      </w:r>
      <w:proofErr w:type="spellEnd"/>
      <w:r>
        <w:rPr>
          <w:rFonts w:ascii="Times New Roman" w:eastAsia="Times New Roman" w:hAnsi="Times New Roman" w:cs="Times New Roman"/>
        </w:rPr>
        <w:t xml:space="preserve">, who is constituted as the ‘them’ in this encounter (Burch, 2021a). This moment impresses upon the surface of the body and informs future encounters. Indeed, when reflecting upon his experience </w:t>
      </w:r>
      <w:proofErr w:type="spellStart"/>
      <w:r>
        <w:rPr>
          <w:rFonts w:ascii="Times New Roman" w:eastAsia="Times New Roman" w:hAnsi="Times New Roman" w:cs="Times New Roman"/>
        </w:rPr>
        <w:t>Shaz</w:t>
      </w:r>
      <w:proofErr w:type="spellEnd"/>
      <w:r>
        <w:rPr>
          <w:rFonts w:ascii="Times New Roman" w:eastAsia="Times New Roman" w:hAnsi="Times New Roman" w:cs="Times New Roman"/>
        </w:rPr>
        <w:t xml:space="preserve"> recognised this treatment as a means of excluding him, and making him feel like the space is not ‘for’ disabled people. In this cultural station, then, the architecture of space is not within the material structure but embedded within the way in which social interactions configure the meanings and boundaries of space and the affects that this can have on those who encounter this.</w:t>
      </w:r>
    </w:p>
    <w:p w14:paraId="00000010" w14:textId="739DA2F9" w:rsidR="00133B21" w:rsidRDefault="00784576">
      <w:pPr>
        <w:spacing w:after="200" w:line="480" w:lineRule="auto"/>
        <w:ind w:firstLine="720"/>
        <w:jc w:val="both"/>
        <w:rPr>
          <w:rFonts w:ascii="Times New Roman" w:eastAsia="Times New Roman" w:hAnsi="Times New Roman" w:cs="Times New Roman"/>
        </w:rPr>
      </w:pPr>
      <w:r>
        <w:rPr>
          <w:rFonts w:ascii="Times New Roman" w:eastAsia="Times New Roman" w:hAnsi="Times New Roman" w:cs="Times New Roman"/>
        </w:rPr>
        <w:t>In this encounter, unwanted and unsolicited contact is made as an expression of hostility. There are important parallels here between the reading of disabled people as bodies as inferior Others and as bodies in need of help which can elicit unwanted and improperly performed guiding (Calder-Dawe et al, 2020). Indeed, described by disability activist Dr Amy Kavanagh as ‘silent non-consensual touching,’ it can become a routine feature of day-to-day life to be touched by strangers when occupying social spaces (Kavanagh and Mason-</w:t>
      </w:r>
      <w:proofErr w:type="spellStart"/>
      <w:r>
        <w:rPr>
          <w:rFonts w:ascii="Times New Roman" w:eastAsia="Times New Roman" w:hAnsi="Times New Roman" w:cs="Times New Roman"/>
        </w:rPr>
        <w:t>Bish</w:t>
      </w:r>
      <w:proofErr w:type="spellEnd"/>
      <w:r>
        <w:rPr>
          <w:rFonts w:ascii="Times New Roman" w:eastAsia="Times New Roman" w:hAnsi="Times New Roman" w:cs="Times New Roman"/>
        </w:rPr>
        <w:t xml:space="preserve">, 2019). Yet these ‘unanticipated encounters’ are inherently affective, and can undermine ‘predictive confidence’ within familiar surroundings (Allen, 2004). Indeed, unsolicited contact changes the make-up of an environment </w:t>
      </w:r>
      <w:r w:rsidR="0015462E">
        <w:rPr>
          <w:rFonts w:ascii="Times New Roman" w:eastAsia="Times New Roman" w:hAnsi="Times New Roman" w:cs="Times New Roman"/>
        </w:rPr>
        <w:t xml:space="preserve">for which </w:t>
      </w:r>
      <w:r>
        <w:rPr>
          <w:rFonts w:ascii="Times New Roman" w:eastAsia="Times New Roman" w:hAnsi="Times New Roman" w:cs="Times New Roman"/>
        </w:rPr>
        <w:t xml:space="preserve">we are unprepared. While it is possible to become familiar with the physical architecture of space, unwanted contact and the intrusion of space disrupts this. It is also important to recognise the limits imposed upon how people respond to these situations. As Low (2019) has argued, when moments of unsolicited contact are challenged by disabled people, there is a further risk that this will lead to verbal abuse (Low, 2019). Public space can thus </w:t>
      </w:r>
      <w:r>
        <w:rPr>
          <w:rFonts w:ascii="Times New Roman" w:eastAsia="Times New Roman" w:hAnsi="Times New Roman" w:cs="Times New Roman"/>
          <w:i/>
        </w:rPr>
        <w:t xml:space="preserve">feel </w:t>
      </w:r>
      <w:r>
        <w:rPr>
          <w:rFonts w:ascii="Times New Roman" w:eastAsia="Times New Roman" w:hAnsi="Times New Roman" w:cs="Times New Roman"/>
        </w:rPr>
        <w:t xml:space="preserve">inherently risky for those bodies who are not able to move successfully through space unmarked (Burch, 2021a). Hostile encounters such as the one described above can shape the movement of bodies within different spaces; risky spaces come </w:t>
      </w:r>
      <w:r>
        <w:rPr>
          <w:rFonts w:ascii="Times New Roman" w:eastAsia="Times New Roman" w:hAnsi="Times New Roman" w:cs="Times New Roman"/>
        </w:rPr>
        <w:lastRenderedPageBreak/>
        <w:t xml:space="preserve">to be known as ‘not for them’ and avoided. This cultural station therefore demonstrates the way in which social interactions can limit the extent to which people feel they can safely occupy those spaces, and therefore limit their affective capacity to </w:t>
      </w:r>
      <w:r>
        <w:rPr>
          <w:rFonts w:ascii="Times New Roman" w:eastAsia="Times New Roman" w:hAnsi="Times New Roman" w:cs="Times New Roman"/>
          <w:i/>
        </w:rPr>
        <w:t xml:space="preserve">be </w:t>
      </w:r>
      <w:r>
        <w:rPr>
          <w:rFonts w:ascii="Times New Roman" w:eastAsia="Times New Roman" w:hAnsi="Times New Roman" w:cs="Times New Roman"/>
        </w:rPr>
        <w:t xml:space="preserve">within social spaces in the future. </w:t>
      </w:r>
    </w:p>
    <w:p w14:paraId="00000011" w14:textId="018218FB" w:rsidR="00133B21" w:rsidRDefault="00133B21">
      <w:pPr>
        <w:spacing w:after="200" w:line="480" w:lineRule="auto"/>
        <w:jc w:val="both"/>
        <w:rPr>
          <w:rFonts w:ascii="Times New Roman" w:eastAsia="Times New Roman" w:hAnsi="Times New Roman" w:cs="Times New Roman"/>
        </w:rPr>
      </w:pPr>
    </w:p>
    <w:p w14:paraId="770505A9" w14:textId="77777777" w:rsidR="0015462E" w:rsidRDefault="0015462E">
      <w:pPr>
        <w:spacing w:after="200" w:line="480" w:lineRule="auto"/>
        <w:jc w:val="both"/>
        <w:rPr>
          <w:rFonts w:ascii="Times New Roman" w:eastAsia="Times New Roman" w:hAnsi="Times New Roman" w:cs="Times New Roman"/>
        </w:rPr>
      </w:pPr>
    </w:p>
    <w:p w14:paraId="4FAAB965" w14:textId="54CD7D4E" w:rsidR="0015462E" w:rsidRDefault="00784576">
      <w:pPr>
        <w:spacing w:after="200" w:line="48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Higher </w:t>
      </w:r>
      <w:r w:rsidR="007A39FE">
        <w:rPr>
          <w:rFonts w:ascii="Times New Roman" w:eastAsia="Times New Roman" w:hAnsi="Times New Roman" w:cs="Times New Roman"/>
          <w:b/>
          <w:color w:val="000000"/>
        </w:rPr>
        <w:t>E</w:t>
      </w:r>
      <w:r>
        <w:rPr>
          <w:rFonts w:ascii="Times New Roman" w:eastAsia="Times New Roman" w:hAnsi="Times New Roman" w:cs="Times New Roman"/>
          <w:b/>
          <w:color w:val="000000"/>
        </w:rPr>
        <w:t xml:space="preserve">ducation </w:t>
      </w:r>
      <w:r w:rsidR="007A39FE">
        <w:rPr>
          <w:rFonts w:ascii="Times New Roman" w:eastAsia="Times New Roman" w:hAnsi="Times New Roman" w:cs="Times New Roman"/>
          <w:b/>
          <w:color w:val="000000"/>
        </w:rPr>
        <w:t>C</w:t>
      </w:r>
      <w:r>
        <w:rPr>
          <w:rFonts w:ascii="Times New Roman" w:eastAsia="Times New Roman" w:hAnsi="Times New Roman" w:cs="Times New Roman"/>
          <w:b/>
          <w:color w:val="000000"/>
        </w:rPr>
        <w:t>lassroom</w:t>
      </w:r>
      <w:r w:rsidR="0015462E">
        <w:rPr>
          <w:rFonts w:ascii="Times New Roman" w:eastAsia="Times New Roman" w:hAnsi="Times New Roman" w:cs="Times New Roman"/>
          <w:b/>
          <w:color w:val="000000"/>
        </w:rPr>
        <w:t xml:space="preserve">: </w:t>
      </w:r>
      <w:r w:rsidR="007A39FE">
        <w:rPr>
          <w:rFonts w:ascii="Times New Roman" w:eastAsia="Times New Roman" w:hAnsi="Times New Roman" w:cs="Times New Roman"/>
          <w:b/>
          <w:color w:val="000000"/>
        </w:rPr>
        <w:t>Affective Possibilities of Classroom Encounters</w:t>
      </w:r>
      <w:r>
        <w:rPr>
          <w:rFonts w:ascii="Times New Roman" w:eastAsia="Times New Roman" w:hAnsi="Times New Roman" w:cs="Times New Roman"/>
        </w:rPr>
        <w:br/>
      </w:r>
    </w:p>
    <w:p w14:paraId="00000012" w14:textId="142A4619" w:rsidR="00133B21" w:rsidRDefault="00784576">
      <w:pPr>
        <w:spacing w:after="200"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higher education classroom is an interesting space to </w:t>
      </w:r>
      <w:r>
        <w:rPr>
          <w:rFonts w:ascii="Times New Roman" w:eastAsia="Times New Roman" w:hAnsi="Times New Roman" w:cs="Times New Roman"/>
        </w:rPr>
        <w:t xml:space="preserve">explore </w:t>
      </w:r>
      <w:r>
        <w:rPr>
          <w:rFonts w:ascii="Times New Roman" w:eastAsia="Times New Roman" w:hAnsi="Times New Roman" w:cs="Times New Roman"/>
          <w:color w:val="000000"/>
        </w:rPr>
        <w:t xml:space="preserve">as a cultural station of blindness. In </w:t>
      </w:r>
      <w:r w:rsidR="0015462E">
        <w:rPr>
          <w:rFonts w:ascii="Times New Roman" w:eastAsia="Times New Roman" w:hAnsi="Times New Roman" w:cs="Times New Roman"/>
          <w:color w:val="000000"/>
        </w:rPr>
        <w:t xml:space="preserve">this </w:t>
      </w:r>
      <w:r>
        <w:rPr>
          <w:rFonts w:ascii="Times New Roman" w:eastAsia="Times New Roman" w:hAnsi="Times New Roman" w:cs="Times New Roman"/>
          <w:color w:val="000000"/>
        </w:rPr>
        <w:t xml:space="preserve">section, I reflect upon my own higher education classroom while studying for a Masters. The module in question was designed and taught by a person with a visual impairment which shaped the way in which blindness was made present in both limiting and affirmative ways. Like all levels of education, the traditional higher education classroom follows a range of ocularcentric rituals that privilege sight as a form of knowing </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(Bolt, 2016; Jay, 1994).  Indeed, the practices that are </w:t>
      </w:r>
      <w:r>
        <w:rPr>
          <w:rFonts w:ascii="Times New Roman" w:eastAsia="Times New Roman" w:hAnsi="Times New Roman" w:cs="Times New Roman"/>
        </w:rPr>
        <w:t>ingrained</w:t>
      </w:r>
      <w:r>
        <w:rPr>
          <w:rFonts w:ascii="Times New Roman" w:eastAsia="Times New Roman" w:hAnsi="Times New Roman" w:cs="Times New Roman"/>
          <w:color w:val="000000"/>
        </w:rPr>
        <w:t xml:space="preserve"> within our previous educational encounters follow us to higher education and shape the way in which we occupy the classroom. These spaces rely upon communication through eye contact</w:t>
      </w:r>
      <w:r>
        <w:rPr>
          <w:rFonts w:ascii="Times New Roman" w:eastAsia="Times New Roman" w:hAnsi="Times New Roman" w:cs="Times New Roman"/>
        </w:rPr>
        <w:t xml:space="preserve">, and </w:t>
      </w:r>
      <w:r>
        <w:rPr>
          <w:rFonts w:ascii="Times New Roman" w:eastAsia="Times New Roman" w:hAnsi="Times New Roman" w:cs="Times New Roman"/>
          <w:color w:val="000000"/>
        </w:rPr>
        <w:t>the reading of body language</w:t>
      </w:r>
      <w:r>
        <w:rPr>
          <w:rFonts w:ascii="Times New Roman" w:eastAsia="Times New Roman" w:hAnsi="Times New Roman" w:cs="Times New Roman"/>
        </w:rPr>
        <w:t>. For example,</w:t>
      </w:r>
      <w:r>
        <w:rPr>
          <w:rFonts w:ascii="Times New Roman" w:eastAsia="Times New Roman" w:hAnsi="Times New Roman" w:cs="Times New Roman"/>
          <w:color w:val="000000"/>
        </w:rPr>
        <w:t xml:space="preserve"> the act of hand-raising has been culturally implemented as ‘the cardinal rule of the classroom decorum’ (Kleege, 1999; Michalko, 2001). However, these acts rely on the ocularcentri</w:t>
      </w:r>
      <w:r>
        <w:rPr>
          <w:rFonts w:ascii="Times New Roman" w:eastAsia="Times New Roman" w:hAnsi="Times New Roman" w:cs="Times New Roman"/>
        </w:rPr>
        <w:t xml:space="preserve">c </w:t>
      </w:r>
      <w:r>
        <w:rPr>
          <w:rFonts w:ascii="Times New Roman" w:eastAsia="Times New Roman" w:hAnsi="Times New Roman" w:cs="Times New Roman"/>
          <w:color w:val="000000"/>
        </w:rPr>
        <w:t>assumption that everyone in the classroom is able to see through visual means (Michalko, 2001) and altho</w:t>
      </w:r>
      <w:r>
        <w:rPr>
          <w:rFonts w:ascii="Times New Roman" w:eastAsia="Times New Roman" w:hAnsi="Times New Roman" w:cs="Times New Roman"/>
        </w:rPr>
        <w:t xml:space="preserve">ugh unintentional, can be read as excluding </w:t>
      </w:r>
      <w:r>
        <w:rPr>
          <w:rFonts w:ascii="Times New Roman" w:eastAsia="Times New Roman" w:hAnsi="Times New Roman" w:cs="Times New Roman"/>
          <w:color w:val="000000"/>
        </w:rPr>
        <w:t xml:space="preserve">people with visual impairments. Within this cultural station of blindness, such encounters effectively ‘disable’ people with visual impairments to denote ‘a blind Other, demarcated by an ocularcentric social aesthetic’ (Bolt, 2014b, 110). </w:t>
      </w:r>
      <w:r>
        <w:rPr>
          <w:rFonts w:ascii="Times New Roman" w:eastAsia="Times New Roman" w:hAnsi="Times New Roman" w:cs="Times New Roman"/>
          <w:color w:val="000000"/>
        </w:rPr>
        <w:tab/>
        <w:t xml:space="preserve">This disabling process may not be </w:t>
      </w:r>
      <w:r>
        <w:rPr>
          <w:rFonts w:ascii="Times New Roman" w:eastAsia="Times New Roman" w:hAnsi="Times New Roman" w:cs="Times New Roman"/>
          <w:color w:val="000000"/>
        </w:rPr>
        <w:lastRenderedPageBreak/>
        <w:t xml:space="preserve">intentional, but is embedded within typical classroom practices, as illustrated in </w:t>
      </w:r>
      <w:r>
        <w:rPr>
          <w:rFonts w:ascii="Times New Roman" w:eastAsia="Times New Roman" w:hAnsi="Times New Roman" w:cs="Times New Roman"/>
        </w:rPr>
        <w:t xml:space="preserve">the following </w:t>
      </w:r>
      <w:r>
        <w:rPr>
          <w:rFonts w:ascii="Times New Roman" w:eastAsia="Times New Roman" w:hAnsi="Times New Roman" w:cs="Times New Roman"/>
          <w:color w:val="000000"/>
        </w:rPr>
        <w:t>encounter:</w:t>
      </w:r>
    </w:p>
    <w:p w14:paraId="00000013" w14:textId="77777777" w:rsidR="00133B21" w:rsidRDefault="00784576">
      <w:pPr>
        <w:spacing w:after="200" w:line="480" w:lineRule="auto"/>
        <w:ind w:left="720"/>
        <w:jc w:val="both"/>
        <w:rPr>
          <w:rFonts w:ascii="Times New Roman" w:eastAsia="Times New Roman" w:hAnsi="Times New Roman" w:cs="Times New Roman"/>
          <w:color w:val="000000"/>
        </w:rPr>
      </w:pPr>
      <w:r>
        <w:rPr>
          <w:rFonts w:ascii="Times New Roman" w:eastAsia="Times New Roman" w:hAnsi="Times New Roman" w:cs="Times New Roman"/>
          <w:i/>
          <w:color w:val="000000"/>
        </w:rPr>
        <w:t>During a classroom discussion, a student raises their hand to ask a question. The student appears to be confused that their hand has not been recognised. After a moment of silence, a support tutor tells them to say their name and continue making their contribution. The student appears confused, but continues to engage in discussion.</w:t>
      </w:r>
    </w:p>
    <w:p w14:paraId="00000014" w14:textId="09286E41" w:rsidR="00133B21" w:rsidRDefault="00784576">
      <w:pPr>
        <w:spacing w:after="200"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We can assume that the student in this encounter </w:t>
      </w:r>
      <w:r>
        <w:rPr>
          <w:rFonts w:ascii="Times New Roman" w:eastAsia="Times New Roman" w:hAnsi="Times New Roman" w:cs="Times New Roman"/>
        </w:rPr>
        <w:t>was</w:t>
      </w:r>
      <w:r>
        <w:rPr>
          <w:rFonts w:ascii="Times New Roman" w:eastAsia="Times New Roman" w:hAnsi="Times New Roman" w:cs="Times New Roman"/>
          <w:color w:val="000000"/>
        </w:rPr>
        <w:t xml:space="preserve"> following normative classroom rituals. </w:t>
      </w:r>
      <w:r>
        <w:rPr>
          <w:rFonts w:ascii="Times New Roman" w:eastAsia="Times New Roman" w:hAnsi="Times New Roman" w:cs="Times New Roman"/>
        </w:rPr>
        <w:t>However</w:t>
      </w:r>
      <w:r>
        <w:rPr>
          <w:rFonts w:ascii="Times New Roman" w:eastAsia="Times New Roman" w:hAnsi="Times New Roman" w:cs="Times New Roman"/>
          <w:color w:val="000000"/>
        </w:rPr>
        <w:t xml:space="preserve">, in doing so, there is an unintentional ignorance or avoidance of visual impairment which permeates the disabling conventions of confusion, irrationality, and ineptness which are subsequently imposed onto people with visual impairments (Bolt, 2014a; Rodas, 2009). Indeed, this encounter is made in the moment of silence as the student waits for their hand to be acknowledged by the tutor. This silence creates an awkward atmosphere which is felt within the classroom by others who are </w:t>
      </w:r>
      <w:r>
        <w:rPr>
          <w:rFonts w:ascii="Times New Roman" w:eastAsia="Times New Roman" w:hAnsi="Times New Roman" w:cs="Times New Roman"/>
        </w:rPr>
        <w:t xml:space="preserve">witnessing </w:t>
      </w:r>
      <w:r>
        <w:rPr>
          <w:rFonts w:ascii="Times New Roman" w:eastAsia="Times New Roman" w:hAnsi="Times New Roman" w:cs="Times New Roman"/>
          <w:color w:val="000000"/>
        </w:rPr>
        <w:t xml:space="preserve">the encounter. This encounter creates what Brennan (2004 cited in </w:t>
      </w:r>
      <w:proofErr w:type="spellStart"/>
      <w:r>
        <w:rPr>
          <w:rFonts w:ascii="Times New Roman" w:eastAsia="Times New Roman" w:hAnsi="Times New Roman" w:cs="Times New Roman"/>
          <w:color w:val="000000"/>
        </w:rPr>
        <w:t>Åhäll</w:t>
      </w:r>
      <w:proofErr w:type="spellEnd"/>
      <w:r>
        <w:rPr>
          <w:rFonts w:ascii="Times New Roman" w:eastAsia="Times New Roman" w:hAnsi="Times New Roman" w:cs="Times New Roman"/>
          <w:color w:val="000000"/>
        </w:rPr>
        <w:t>, 2018) refers to as ‘affective atmosphere’</w:t>
      </w:r>
      <w:r w:rsidR="0015462E">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This ‘affective atmosphere’ describes the way in which we sense the moods characterised within the spaces that we enter, and that this mood ultimately influences how we feel and become in that space (Burch, 2021</w:t>
      </w:r>
      <w:r w:rsidR="00F02DB1">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 As a spectator to this encounter, I felt this </w:t>
      </w:r>
      <w:r>
        <w:rPr>
          <w:rFonts w:ascii="Times New Roman" w:eastAsia="Times New Roman" w:hAnsi="Times New Roman" w:cs="Times New Roman"/>
        </w:rPr>
        <w:t xml:space="preserve">affective atmosphere impress upon my own body; my presence in the classroom felt tense and unnerving as I became an unwilling participant in a disabling encounter. </w:t>
      </w:r>
      <w:r>
        <w:rPr>
          <w:rFonts w:ascii="Times New Roman" w:eastAsia="Times New Roman" w:hAnsi="Times New Roman" w:cs="Times New Roman"/>
          <w:color w:val="000000"/>
        </w:rPr>
        <w:t>I felt stuck within the awkwardness of the encounter, unsure whether to sit within the silence, or to disrupt this and advise the student to say their name.</w:t>
      </w:r>
    </w:p>
    <w:p w14:paraId="00000015" w14:textId="77777777" w:rsidR="00133B21" w:rsidRDefault="00784576">
      <w:pPr>
        <w:spacing w:after="200" w:line="480" w:lineRule="auto"/>
        <w:ind w:firstLine="720"/>
        <w:jc w:val="both"/>
        <w:rPr>
          <w:rFonts w:ascii="Times New Roman" w:eastAsia="Times New Roman" w:hAnsi="Times New Roman" w:cs="Times New Roman"/>
        </w:rPr>
      </w:pPr>
      <w:bookmarkStart w:id="6" w:name="_heading=h.z0e090fzmg9j" w:colFirst="0" w:colLast="0"/>
      <w:bookmarkEnd w:id="6"/>
      <w:r>
        <w:rPr>
          <w:rFonts w:ascii="Times New Roman" w:eastAsia="Times New Roman" w:hAnsi="Times New Roman" w:cs="Times New Roman"/>
        </w:rPr>
        <w:t xml:space="preserve">This encounter illustrates the affectivity of social encounters and the stickiness of emotions as they move to shape those within shared spaces (Ahmed, 2014). Emotions surfaced to create a collective ‘us’ who, in our shared understanding of the communicative conflicts at </w:t>
      </w:r>
      <w:r>
        <w:rPr>
          <w:rFonts w:ascii="Times New Roman" w:eastAsia="Times New Roman" w:hAnsi="Times New Roman" w:cs="Times New Roman"/>
        </w:rPr>
        <w:lastRenderedPageBreak/>
        <w:t xml:space="preserve">play and refusal to disrupt, became unwillingly active in the creation of a disabling social environment. </w:t>
      </w:r>
      <w:r>
        <w:rPr>
          <w:rFonts w:ascii="Times New Roman" w:eastAsia="Times New Roman" w:hAnsi="Times New Roman" w:cs="Times New Roman"/>
          <w:color w:val="000000"/>
        </w:rPr>
        <w:t xml:space="preserve">This encounter demonstrates the often unintentional, yet inherently disabling practices that key people with visual impairments to a metanarrative of ‘blindness’ (Bolt, 2005; 2012). </w:t>
      </w:r>
      <w:r>
        <w:rPr>
          <w:rFonts w:ascii="Times New Roman" w:eastAsia="Times New Roman" w:hAnsi="Times New Roman" w:cs="Times New Roman"/>
        </w:rPr>
        <w:t>Indeed, w</w:t>
      </w:r>
      <w:r>
        <w:rPr>
          <w:rFonts w:ascii="Times New Roman" w:eastAsia="Times New Roman" w:hAnsi="Times New Roman" w:cs="Times New Roman"/>
          <w:color w:val="000000"/>
        </w:rPr>
        <w:t xml:space="preserve">hile there is an overall shared understanding of more affirmative classroom practices, the collective ignorance and awkwardness of these marks out visual impairment as an Other figure that does not align to the normative higher education classroom. </w:t>
      </w:r>
      <w:r>
        <w:rPr>
          <w:rFonts w:ascii="Times New Roman" w:eastAsia="Times New Roman" w:hAnsi="Times New Roman" w:cs="Times New Roman"/>
        </w:rPr>
        <w:t xml:space="preserve">In this encounter, then, the higher education classroom as a cultural station becomes a space that is limiting. Similar to the first encounter experienced by </w:t>
      </w:r>
      <w:proofErr w:type="spellStart"/>
      <w:r>
        <w:rPr>
          <w:rFonts w:ascii="Times New Roman" w:eastAsia="Times New Roman" w:hAnsi="Times New Roman" w:cs="Times New Roman"/>
        </w:rPr>
        <w:t>Shaz</w:t>
      </w:r>
      <w:proofErr w:type="spellEnd"/>
      <w:r>
        <w:rPr>
          <w:rFonts w:ascii="Times New Roman" w:eastAsia="Times New Roman" w:hAnsi="Times New Roman" w:cs="Times New Roman"/>
        </w:rPr>
        <w:t>, blindness is constructed as an Other to the normative configuration of social space.</w:t>
      </w:r>
    </w:p>
    <w:p w14:paraId="00000016" w14:textId="3B5B7AF3" w:rsidR="00133B21" w:rsidRDefault="00784576">
      <w:pPr>
        <w:spacing w:after="200" w:line="48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While we must continue to draw attention to, and reflect upon, moments of awkwardness and oppression, we must also be attentive to ‘how people make sense of their circumstances and negotiate and initiate patterns of activity in concert with others’ (Wetherell et al, 2020, 18).</w:t>
      </w:r>
      <w:r>
        <w:rPr>
          <w:rFonts w:ascii="Times New Roman" w:eastAsia="Times New Roman" w:hAnsi="Times New Roman" w:cs="Times New Roman"/>
        </w:rPr>
        <w:t xml:space="preserve"> Importantly then, paying attention to affective capacity opens up a space to recognise the ways that the navigation of everyday space represents a unique and embodied way of knowing and being in the world – that is, affective possibility (Burch, 2021b). Attending to what </w:t>
      </w:r>
      <w:proofErr w:type="spellStart"/>
      <w:r>
        <w:rPr>
          <w:rFonts w:ascii="Times New Roman" w:eastAsia="Times New Roman" w:hAnsi="Times New Roman" w:cs="Times New Roman"/>
        </w:rPr>
        <w:t>Wetherall</w:t>
      </w:r>
      <w:proofErr w:type="spellEnd"/>
      <w:r>
        <w:rPr>
          <w:rFonts w:ascii="Times New Roman" w:eastAsia="Times New Roman" w:hAnsi="Times New Roman" w:cs="Times New Roman"/>
        </w:rPr>
        <w:t xml:space="preserve"> et al (2020) term as ‘acts of quiet resistance,’ it is possible to consider the different ways that disabled people come to negotiate the spaces around them. </w:t>
      </w:r>
      <w:r>
        <w:rPr>
          <w:rFonts w:ascii="Times New Roman" w:eastAsia="Times New Roman" w:hAnsi="Times New Roman" w:cs="Times New Roman"/>
          <w:color w:val="000000"/>
        </w:rPr>
        <w:t xml:space="preserve">Such an approach takes into account the ways in which we are affected by, and go on to affect, our surrounding worlds. In doing so, it is possible to ask questions about our affective capacity to address and combat the harsh realities of oppressive environments by drawing attention to the strategies that we develop. </w:t>
      </w:r>
      <w:r>
        <w:rPr>
          <w:rFonts w:ascii="Times New Roman" w:eastAsia="Times New Roman" w:hAnsi="Times New Roman" w:cs="Times New Roman"/>
        </w:rPr>
        <w:t xml:space="preserve"> Indeed, the higher education classroom is not solely a disabling cultural station, but one of affective possibility and opportunity enriched by blindness. </w:t>
      </w:r>
      <w:r>
        <w:rPr>
          <w:rFonts w:ascii="Times New Roman" w:eastAsia="Times New Roman" w:hAnsi="Times New Roman" w:cs="Times New Roman"/>
          <w:color w:val="000000"/>
        </w:rPr>
        <w:t xml:space="preserve"> </w:t>
      </w:r>
      <w:r>
        <w:rPr>
          <w:rFonts w:ascii="Times New Roman" w:eastAsia="Times New Roman" w:hAnsi="Times New Roman" w:cs="Times New Roman"/>
        </w:rPr>
        <w:t>As Scott suggests, ‘the norms governing ordinary personal interactions cannot, as a rule, be applied when one of the actors is unable to see’ (1991, 25). Thus, in</w:t>
      </w:r>
      <w:r>
        <w:rPr>
          <w:rFonts w:ascii="Times New Roman" w:eastAsia="Times New Roman" w:hAnsi="Times New Roman" w:cs="Times New Roman"/>
          <w:color w:val="000000"/>
        </w:rPr>
        <w:t xml:space="preserve"> order to overcome the exclusionary </w:t>
      </w:r>
      <w:r>
        <w:rPr>
          <w:rFonts w:ascii="Times New Roman" w:eastAsia="Times New Roman" w:hAnsi="Times New Roman" w:cs="Times New Roman"/>
          <w:color w:val="000000"/>
        </w:rPr>
        <w:lastRenderedPageBreak/>
        <w:t xml:space="preserve">conventions of </w:t>
      </w:r>
      <w:r>
        <w:rPr>
          <w:rFonts w:ascii="Times New Roman" w:eastAsia="Times New Roman" w:hAnsi="Times New Roman" w:cs="Times New Roman"/>
        </w:rPr>
        <w:t xml:space="preserve">ocularcentric </w:t>
      </w:r>
      <w:r>
        <w:rPr>
          <w:rFonts w:ascii="Times New Roman" w:eastAsia="Times New Roman" w:hAnsi="Times New Roman" w:cs="Times New Roman"/>
          <w:color w:val="000000"/>
        </w:rPr>
        <w:t xml:space="preserve">classroom practices, the tutor invited us to </w:t>
      </w:r>
      <w:r>
        <w:rPr>
          <w:rFonts w:ascii="Times New Roman" w:eastAsia="Times New Roman" w:hAnsi="Times New Roman" w:cs="Times New Roman"/>
        </w:rPr>
        <w:t xml:space="preserve">communicate </w:t>
      </w:r>
      <w:r>
        <w:rPr>
          <w:rFonts w:ascii="Times New Roman" w:eastAsia="Times New Roman" w:hAnsi="Times New Roman" w:cs="Times New Roman"/>
          <w:color w:val="000000"/>
        </w:rPr>
        <w:t>with him and one anot</w:t>
      </w:r>
      <w:r>
        <w:rPr>
          <w:rFonts w:ascii="Times New Roman" w:eastAsia="Times New Roman" w:hAnsi="Times New Roman" w:cs="Times New Roman"/>
        </w:rPr>
        <w:t>her</w:t>
      </w:r>
      <w:r>
        <w:rPr>
          <w:rFonts w:ascii="Times New Roman" w:eastAsia="Times New Roman" w:hAnsi="Times New Roman" w:cs="Times New Roman"/>
          <w:color w:val="000000"/>
        </w:rPr>
        <w:t xml:space="preserve"> in different ways:</w:t>
      </w:r>
    </w:p>
    <w:p w14:paraId="00000017" w14:textId="77777777" w:rsidR="00133B21" w:rsidRDefault="00784576">
      <w:pPr>
        <w:spacing w:after="200" w:line="480" w:lineRule="auto"/>
        <w:ind w:left="720"/>
        <w:jc w:val="both"/>
        <w:rPr>
          <w:rFonts w:ascii="Times New Roman" w:eastAsia="Times New Roman" w:hAnsi="Times New Roman" w:cs="Times New Roman"/>
          <w:color w:val="000000"/>
        </w:rPr>
      </w:pPr>
      <w:r>
        <w:rPr>
          <w:rFonts w:ascii="Times New Roman" w:eastAsia="Times New Roman" w:hAnsi="Times New Roman" w:cs="Times New Roman"/>
          <w:i/>
          <w:color w:val="000000"/>
        </w:rPr>
        <w:t>During the first taught session, the tutor asks students not to raise their hands when responding to questions. Instead, he invites students to say their name before continuing to make a contribution to discussion</w:t>
      </w:r>
      <w:r>
        <w:rPr>
          <w:rFonts w:ascii="Times New Roman" w:eastAsia="Times New Roman" w:hAnsi="Times New Roman" w:cs="Times New Roman"/>
          <w:i/>
        </w:rPr>
        <w:t>.</w:t>
      </w:r>
    </w:p>
    <w:p w14:paraId="00000018" w14:textId="77777777" w:rsidR="00133B21" w:rsidRDefault="00784576">
      <w:pPr>
        <w:spacing w:after="200" w:line="480" w:lineRule="auto"/>
        <w:jc w:val="both"/>
        <w:rPr>
          <w:rFonts w:ascii="Times New Roman" w:eastAsia="Times New Roman" w:hAnsi="Times New Roman" w:cs="Times New Roman"/>
        </w:rPr>
      </w:pPr>
      <w:r>
        <w:rPr>
          <w:rFonts w:ascii="Times New Roman" w:eastAsia="Times New Roman" w:hAnsi="Times New Roman" w:cs="Times New Roman"/>
          <w:color w:val="000000"/>
        </w:rPr>
        <w:t>The presence of visual impairment within the classroom invited students to engage in different ways with each other and the tutor. Importantly, a shift from hand-raising to verbal identification change</w:t>
      </w:r>
      <w:r>
        <w:rPr>
          <w:rFonts w:ascii="Times New Roman" w:eastAsia="Times New Roman" w:hAnsi="Times New Roman" w:cs="Times New Roman"/>
        </w:rPr>
        <w:t>d</w:t>
      </w:r>
      <w:r>
        <w:rPr>
          <w:rFonts w:ascii="Times New Roman" w:eastAsia="Times New Roman" w:hAnsi="Times New Roman" w:cs="Times New Roman"/>
          <w:color w:val="000000"/>
        </w:rPr>
        <w:t xml:space="preserve"> the way in which ‘visual impairment’ and ‘blindness’ are marked by the social encounter as it enable</w:t>
      </w:r>
      <w:r>
        <w:rPr>
          <w:rFonts w:ascii="Times New Roman" w:eastAsia="Times New Roman" w:hAnsi="Times New Roman" w:cs="Times New Roman"/>
        </w:rPr>
        <w:t>d</w:t>
      </w:r>
      <w:r>
        <w:rPr>
          <w:rFonts w:ascii="Times New Roman" w:eastAsia="Times New Roman" w:hAnsi="Times New Roman" w:cs="Times New Roman"/>
          <w:color w:val="000000"/>
        </w:rPr>
        <w:t xml:space="preserve"> the visual to become present through means other than sight (Michalko, 1999). Indeed,</w:t>
      </w:r>
      <w:r>
        <w:rPr>
          <w:rFonts w:ascii="Times New Roman" w:eastAsia="Times New Roman" w:hAnsi="Times New Roman" w:cs="Times New Roman"/>
        </w:rPr>
        <w:t xml:space="preserve"> by moving away from a reliance upon the visual means of sight, </w:t>
      </w:r>
      <w:r>
        <w:rPr>
          <w:rFonts w:ascii="Times New Roman" w:eastAsia="Times New Roman" w:hAnsi="Times New Roman" w:cs="Times New Roman"/>
          <w:color w:val="000000"/>
        </w:rPr>
        <w:t>deviance is no longer problematized</w:t>
      </w:r>
      <w:r>
        <w:rPr>
          <w:rFonts w:ascii="Times New Roman" w:eastAsia="Times New Roman" w:hAnsi="Times New Roman" w:cs="Times New Roman"/>
        </w:rPr>
        <w:t xml:space="preserve"> and typical</w:t>
      </w:r>
      <w:r>
        <w:rPr>
          <w:rFonts w:ascii="Times New Roman" w:eastAsia="Times New Roman" w:hAnsi="Times New Roman" w:cs="Times New Roman"/>
          <w:color w:val="000000"/>
        </w:rPr>
        <w:t xml:space="preserve"> barriers are </w:t>
      </w:r>
      <w:r>
        <w:rPr>
          <w:rFonts w:ascii="Times New Roman" w:eastAsia="Times New Roman" w:hAnsi="Times New Roman" w:cs="Times New Roman"/>
        </w:rPr>
        <w:t xml:space="preserve">alleviated </w:t>
      </w:r>
      <w:r>
        <w:rPr>
          <w:rFonts w:ascii="Times New Roman" w:eastAsia="Times New Roman" w:hAnsi="Times New Roman" w:cs="Times New Roman"/>
          <w:color w:val="000000"/>
        </w:rPr>
        <w:t xml:space="preserve">(Mallett &amp; Runswick-Cole, 2014; Corker &amp; Shakespeare, 2002). </w:t>
      </w:r>
      <w:r>
        <w:rPr>
          <w:rFonts w:ascii="Times New Roman" w:eastAsia="Times New Roman" w:hAnsi="Times New Roman" w:cs="Times New Roman"/>
        </w:rPr>
        <w:t xml:space="preserve">That is, the construct and assumptions of ‘blindness’ are no longer imposed upon people with visual impairments, as the setting no longer requires the ability to communicate through visual means (Bolt, 2014a). Knowledge and experience of oppression can therefore pave the way for new ways of interacting with what would typically be a disabling environment. It encourages different ways of </w:t>
      </w:r>
      <w:r>
        <w:rPr>
          <w:rFonts w:ascii="Times New Roman" w:eastAsia="Times New Roman" w:hAnsi="Times New Roman" w:cs="Times New Roman"/>
          <w:i/>
        </w:rPr>
        <w:t xml:space="preserve">being </w:t>
      </w:r>
      <w:r>
        <w:rPr>
          <w:rFonts w:ascii="Times New Roman" w:eastAsia="Times New Roman" w:hAnsi="Times New Roman" w:cs="Times New Roman"/>
        </w:rPr>
        <w:t xml:space="preserve">and </w:t>
      </w:r>
      <w:r>
        <w:rPr>
          <w:rFonts w:ascii="Times New Roman" w:eastAsia="Times New Roman" w:hAnsi="Times New Roman" w:cs="Times New Roman"/>
          <w:i/>
        </w:rPr>
        <w:t xml:space="preserve">doing </w:t>
      </w:r>
      <w:r>
        <w:rPr>
          <w:rFonts w:ascii="Times New Roman" w:eastAsia="Times New Roman" w:hAnsi="Times New Roman" w:cs="Times New Roman"/>
        </w:rPr>
        <w:t>within surrounding space based upon the unique knowledge of disabled people.</w:t>
      </w:r>
    </w:p>
    <w:p w14:paraId="00000019" w14:textId="772ECE56" w:rsidR="00133B21" w:rsidRDefault="00784576">
      <w:pPr>
        <w:spacing w:after="200" w:line="480" w:lineRule="auto"/>
        <w:ind w:firstLine="720"/>
        <w:jc w:val="both"/>
        <w:rPr>
          <w:rFonts w:ascii="Times New Roman" w:eastAsia="Times New Roman" w:hAnsi="Times New Roman" w:cs="Times New Roman"/>
        </w:rPr>
      </w:pPr>
      <w:r>
        <w:rPr>
          <w:rFonts w:ascii="Times New Roman" w:eastAsia="Times New Roman" w:hAnsi="Times New Roman" w:cs="Times New Roman"/>
        </w:rPr>
        <w:t>This encounter demonstrates a small shift that can change the way in which the higher education classroom is experienced, and the way in which blindness becomes part of that space. While the previous encounters have constructed blindness as Other, this encounter welcomes blindness as an opportunity to engage with one another in different ways. Indeed, while the shift away from hand-raising removes a barrier to communicating within the classroom, it constituted a range of affective possibilities for those in the room. A</w:t>
      </w:r>
      <w:r>
        <w:rPr>
          <w:rFonts w:ascii="Times New Roman" w:eastAsia="Times New Roman" w:hAnsi="Times New Roman" w:cs="Times New Roman"/>
          <w:color w:val="000000"/>
        </w:rPr>
        <w:t xml:space="preserve">sking students to say their name as opposed to hand-raising invited alternative ways of being </w:t>
      </w:r>
      <w:r>
        <w:rPr>
          <w:rFonts w:ascii="Times New Roman" w:eastAsia="Times New Roman" w:hAnsi="Times New Roman" w:cs="Times New Roman"/>
          <w:i/>
          <w:color w:val="000000"/>
        </w:rPr>
        <w:t xml:space="preserve">in </w:t>
      </w:r>
      <w:r>
        <w:rPr>
          <w:rFonts w:ascii="Times New Roman" w:eastAsia="Times New Roman" w:hAnsi="Times New Roman" w:cs="Times New Roman"/>
          <w:color w:val="000000"/>
        </w:rPr>
        <w:t xml:space="preserve">and engaging with the </w:t>
      </w:r>
      <w:r>
        <w:rPr>
          <w:rFonts w:ascii="Times New Roman" w:eastAsia="Times New Roman" w:hAnsi="Times New Roman" w:cs="Times New Roman"/>
          <w:color w:val="000000"/>
        </w:rPr>
        <w:lastRenderedPageBreak/>
        <w:t>classroom environment and with one another. As a change to established educational norms, social encounters that encourage self-identification are established as ‘oral events which are interpretively transformed into the communication event’ (Michalko, 2001</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352). </w:t>
      </w:r>
      <w:r>
        <w:rPr>
          <w:rFonts w:ascii="Times New Roman" w:eastAsia="Times New Roman" w:hAnsi="Times New Roman" w:cs="Times New Roman"/>
        </w:rPr>
        <w:t xml:space="preserve">This small change helped to create a space that was </w:t>
      </w:r>
      <w:r>
        <w:rPr>
          <w:rFonts w:ascii="Times New Roman" w:eastAsia="Times New Roman" w:hAnsi="Times New Roman" w:cs="Times New Roman"/>
          <w:color w:val="000000"/>
        </w:rPr>
        <w:t>inclusive, open and welcoming to all (Bolt, 2016; Oliver, 2004).</w:t>
      </w:r>
      <w:r>
        <w:rPr>
          <w:rFonts w:ascii="Times New Roman" w:eastAsia="Times New Roman" w:hAnsi="Times New Roman" w:cs="Times New Roman"/>
        </w:rPr>
        <w:t xml:space="preserve"> Indeed, s</w:t>
      </w:r>
      <w:r>
        <w:rPr>
          <w:rFonts w:ascii="Times New Roman" w:eastAsia="Times New Roman" w:hAnsi="Times New Roman" w:cs="Times New Roman"/>
          <w:color w:val="000000"/>
        </w:rPr>
        <w:t xml:space="preserve">aying our names as a means of making ourselves present and offering our contribution helped to create a more interactive classroom environment. As someone who has to be reminded of someone’s name several times before remembering it, this shift in classroom practice dispelled the usual awkwardness I feel when meeting new people. The onus was not on me to ask what people’s names were and remember them </w:t>
      </w:r>
      <w:r>
        <w:rPr>
          <w:rFonts w:ascii="Times New Roman" w:eastAsia="Times New Roman" w:hAnsi="Times New Roman" w:cs="Times New Roman"/>
        </w:rPr>
        <w:t>for the</w:t>
      </w:r>
      <w:r>
        <w:rPr>
          <w:rFonts w:ascii="Times New Roman" w:eastAsia="Times New Roman" w:hAnsi="Times New Roman" w:cs="Times New Roman"/>
          <w:color w:val="000000"/>
        </w:rPr>
        <w:t xml:space="preserve"> first time, as I was continually reminded of names as different students engaged with discussion. This practice gave us the time and space to get to know one </w:t>
      </w:r>
      <w:r>
        <w:rPr>
          <w:rFonts w:ascii="Times New Roman" w:eastAsia="Times New Roman" w:hAnsi="Times New Roman" w:cs="Times New Roman"/>
        </w:rPr>
        <w:t>each other</w:t>
      </w:r>
      <w:r>
        <w:rPr>
          <w:rFonts w:ascii="Times New Roman" w:eastAsia="Times New Roman" w:hAnsi="Times New Roman" w:cs="Times New Roman"/>
          <w:color w:val="000000"/>
        </w:rPr>
        <w:t xml:space="preserve"> and changed the rhythm of the classroom. Indeed, as noted above, hand-raising is a classroom practice that informs power relations; it is a form of classroom management whereby the tutor controls the flow and direction of discussion. This one-directional power relation can create jolted discussion practices, and can impede the flow of conversation. On the contrary, by no longer watching for visual cues, we were able to just </w:t>
      </w:r>
      <w:r>
        <w:rPr>
          <w:rFonts w:ascii="Times New Roman" w:eastAsia="Times New Roman" w:hAnsi="Times New Roman" w:cs="Times New Roman"/>
          <w:i/>
          <w:color w:val="000000"/>
        </w:rPr>
        <w:t xml:space="preserve">be </w:t>
      </w:r>
      <w:r>
        <w:rPr>
          <w:rFonts w:ascii="Times New Roman" w:eastAsia="Times New Roman" w:hAnsi="Times New Roman" w:cs="Times New Roman"/>
          <w:color w:val="000000"/>
        </w:rPr>
        <w:t xml:space="preserve">in open dialogue and discussion.  </w:t>
      </w:r>
      <w:r>
        <w:rPr>
          <w:rFonts w:ascii="Times New Roman" w:eastAsia="Times New Roman" w:hAnsi="Times New Roman" w:cs="Times New Roman"/>
        </w:rPr>
        <w:t>I</w:t>
      </w:r>
      <w:r>
        <w:rPr>
          <w:rFonts w:ascii="Times New Roman" w:eastAsia="Times New Roman" w:hAnsi="Times New Roman" w:cs="Times New Roman"/>
          <w:color w:val="000000"/>
        </w:rPr>
        <w:t xml:space="preserve">n this way,  moving away from normative classroom behaviours offered alternative and more </w:t>
      </w:r>
      <w:r>
        <w:rPr>
          <w:rFonts w:ascii="Times New Roman" w:eastAsia="Times New Roman" w:hAnsi="Times New Roman" w:cs="Times New Roman"/>
        </w:rPr>
        <w:t>comfortable ways of being and participating in the classroom.</w:t>
      </w:r>
    </w:p>
    <w:p w14:paraId="0000001A" w14:textId="59AEA2D1" w:rsidR="00133B21" w:rsidRDefault="00133B21">
      <w:pPr>
        <w:spacing w:after="200" w:line="480" w:lineRule="auto"/>
        <w:jc w:val="both"/>
        <w:rPr>
          <w:rFonts w:ascii="Times New Roman" w:eastAsia="Times New Roman" w:hAnsi="Times New Roman" w:cs="Times New Roman"/>
        </w:rPr>
      </w:pPr>
    </w:p>
    <w:p w14:paraId="1BA90338" w14:textId="77777777" w:rsidR="00EE5E72" w:rsidRDefault="00EE5E72">
      <w:pPr>
        <w:spacing w:after="200" w:line="480" w:lineRule="auto"/>
        <w:jc w:val="both"/>
        <w:rPr>
          <w:rFonts w:ascii="Times New Roman" w:eastAsia="Times New Roman" w:hAnsi="Times New Roman" w:cs="Times New Roman"/>
        </w:rPr>
      </w:pPr>
    </w:p>
    <w:p w14:paraId="0000001B" w14:textId="74D0C8A8" w:rsidR="00133B21" w:rsidRDefault="00784576">
      <w:pPr>
        <w:spacing w:after="200" w:line="48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Conclu</w:t>
      </w:r>
      <w:r>
        <w:rPr>
          <w:rFonts w:ascii="Times New Roman" w:eastAsia="Times New Roman" w:hAnsi="Times New Roman" w:cs="Times New Roman"/>
          <w:b/>
        </w:rPr>
        <w:t>ding Discussion</w:t>
      </w:r>
      <w:r w:rsidR="00EE5E72">
        <w:rPr>
          <w:rFonts w:ascii="Times New Roman" w:eastAsia="Times New Roman" w:hAnsi="Times New Roman" w:cs="Times New Roman"/>
          <w:b/>
        </w:rPr>
        <w:t xml:space="preserve">: </w:t>
      </w:r>
      <w:r w:rsidR="007A39FE">
        <w:rPr>
          <w:rFonts w:ascii="Times New Roman" w:eastAsia="Times New Roman" w:hAnsi="Times New Roman" w:cs="Times New Roman"/>
          <w:b/>
        </w:rPr>
        <w:t>Affective Possibilities of Blindness</w:t>
      </w:r>
    </w:p>
    <w:p w14:paraId="2AB558B7" w14:textId="77777777" w:rsidR="00EE5E72" w:rsidRDefault="00EE5E72">
      <w:pPr>
        <w:spacing w:after="200" w:line="480" w:lineRule="auto"/>
        <w:jc w:val="both"/>
        <w:rPr>
          <w:rFonts w:ascii="Times New Roman" w:eastAsia="Times New Roman" w:hAnsi="Times New Roman" w:cs="Times New Roman"/>
          <w:color w:val="000000"/>
        </w:rPr>
      </w:pPr>
    </w:p>
    <w:p w14:paraId="0000001C" w14:textId="388FD0D2" w:rsidR="00133B21" w:rsidRDefault="00784576">
      <w:pPr>
        <w:spacing w:after="200" w:line="480" w:lineRule="auto"/>
        <w:jc w:val="both"/>
        <w:rPr>
          <w:rFonts w:ascii="Times New Roman" w:eastAsia="Times New Roman" w:hAnsi="Times New Roman" w:cs="Times New Roman"/>
        </w:rPr>
      </w:pPr>
      <w:r>
        <w:rPr>
          <w:rFonts w:ascii="Times New Roman" w:eastAsia="Times New Roman" w:hAnsi="Times New Roman" w:cs="Times New Roman"/>
          <w:color w:val="000000"/>
        </w:rPr>
        <w:lastRenderedPageBreak/>
        <w:t xml:space="preserve">In this chapter, I </w:t>
      </w:r>
      <w:r>
        <w:rPr>
          <w:rFonts w:ascii="Times New Roman" w:eastAsia="Times New Roman" w:hAnsi="Times New Roman" w:cs="Times New Roman"/>
        </w:rPr>
        <w:t xml:space="preserve">engage with </w:t>
      </w:r>
      <w:r>
        <w:rPr>
          <w:rFonts w:ascii="Times New Roman" w:eastAsia="Times New Roman" w:hAnsi="Times New Roman" w:cs="Times New Roman"/>
          <w:color w:val="000000"/>
        </w:rPr>
        <w:t xml:space="preserve">the theoretical framework of affect theory to </w:t>
      </w:r>
      <w:r>
        <w:rPr>
          <w:rFonts w:ascii="Times New Roman" w:eastAsia="Times New Roman" w:hAnsi="Times New Roman" w:cs="Times New Roman"/>
        </w:rPr>
        <w:t xml:space="preserve">explore </w:t>
      </w:r>
      <w:r>
        <w:rPr>
          <w:rFonts w:ascii="Times New Roman" w:eastAsia="Times New Roman" w:hAnsi="Times New Roman" w:cs="Times New Roman"/>
          <w:color w:val="000000"/>
        </w:rPr>
        <w:t>two cultural stations of blindness. Affect theory helps to move beyond the mere shaping of bodies according to social space, and instead attends to how the existence and interaction of those bodies shape the space around them (Burch, 2021</w:t>
      </w:r>
      <w:r>
        <w:rPr>
          <w:rFonts w:ascii="Times New Roman" w:eastAsia="Times New Roman" w:hAnsi="Times New Roman" w:cs="Times New Roman"/>
        </w:rPr>
        <w:t>a)</w:t>
      </w:r>
      <w:r>
        <w:rPr>
          <w:rFonts w:ascii="Times New Roman" w:eastAsia="Times New Roman" w:hAnsi="Times New Roman" w:cs="Times New Roman"/>
          <w:color w:val="000000"/>
        </w:rPr>
        <w:t xml:space="preserve">. </w:t>
      </w:r>
      <w:r>
        <w:rPr>
          <w:rFonts w:ascii="Times New Roman" w:eastAsia="Times New Roman" w:hAnsi="Times New Roman" w:cs="Times New Roman"/>
        </w:rPr>
        <w:t>Moving away from thinking about the body as a singular entity, affect theory considers ‘how bodies are always thoroughly entangled processes, and [are] defined by their capacities to affect and be affected’ (Blackman and Venn, 2010, 9). By engaging with affect theory, then, we are asked to think about the way that bodies (both human and non-human) interact with one another, which is also shaped by the characteristics of the space that we are in. Affect theory asks questions about affectivity within the context of our everyday encounters, spaces, and lives (</w:t>
      </w:r>
      <w:proofErr w:type="spellStart"/>
      <w:r>
        <w:rPr>
          <w:rFonts w:ascii="Times New Roman" w:eastAsia="Times New Roman" w:hAnsi="Times New Roman" w:cs="Times New Roman"/>
        </w:rPr>
        <w:t>Jóhannsdóttir</w:t>
      </w:r>
      <w:proofErr w:type="spellEnd"/>
      <w:r>
        <w:rPr>
          <w:rFonts w:ascii="Times New Roman" w:eastAsia="Times New Roman" w:hAnsi="Times New Roman" w:cs="Times New Roman"/>
        </w:rPr>
        <w:t xml:space="preserve"> et al, 2020; Wetherell, 2015). It considers how feelings and movements are negotiated in the public sphere which come to be experienced through the body (Gorton, 2007). Indeed, the way that we are moved by these feelings can shape how we interact with those around us and how we situate ourselves within particular social spaces. This diversity of affects </w:t>
      </w:r>
      <w:r w:rsidR="00EE5E72">
        <w:rPr>
          <w:rFonts w:ascii="Times New Roman" w:eastAsia="Times New Roman" w:hAnsi="Times New Roman" w:cs="Times New Roman"/>
        </w:rPr>
        <w:t xml:space="preserve">is </w:t>
      </w:r>
      <w:r>
        <w:rPr>
          <w:rFonts w:ascii="Times New Roman" w:eastAsia="Times New Roman" w:hAnsi="Times New Roman" w:cs="Times New Roman"/>
        </w:rPr>
        <w:t>explored throughout this chapter, both by attending to how cultural stations of blindness can be limiting and enhancing.</w:t>
      </w:r>
    </w:p>
    <w:p w14:paraId="0000001D" w14:textId="77777777" w:rsidR="00133B21" w:rsidRDefault="00784576">
      <w:pPr>
        <w:spacing w:after="200" w:line="48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Cultural station one ‘everyday hate’ explores hostility within the context of everyday social space, and the making of blindness as both absent and present. In this encounter, </w:t>
      </w:r>
      <w:proofErr w:type="spellStart"/>
      <w:r>
        <w:rPr>
          <w:rFonts w:ascii="Times New Roman" w:eastAsia="Times New Roman" w:hAnsi="Times New Roman" w:cs="Times New Roman"/>
        </w:rPr>
        <w:t>Shaz</w:t>
      </w:r>
      <w:proofErr w:type="spellEnd"/>
      <w:r>
        <w:rPr>
          <w:rFonts w:ascii="Times New Roman" w:eastAsia="Times New Roman" w:hAnsi="Times New Roman" w:cs="Times New Roman"/>
        </w:rPr>
        <w:t xml:space="preserve"> is marked out as a blind person, as the ‘group of lads’ physically interfere with the space around him. The encounter treats </w:t>
      </w:r>
      <w:proofErr w:type="spellStart"/>
      <w:r>
        <w:rPr>
          <w:rFonts w:ascii="Times New Roman" w:eastAsia="Times New Roman" w:hAnsi="Times New Roman" w:cs="Times New Roman"/>
        </w:rPr>
        <w:t>Shaz</w:t>
      </w:r>
      <w:proofErr w:type="spellEnd"/>
      <w:r>
        <w:rPr>
          <w:rFonts w:ascii="Times New Roman" w:eastAsia="Times New Roman" w:hAnsi="Times New Roman" w:cs="Times New Roman"/>
        </w:rPr>
        <w:t xml:space="preserve"> as an absent presence; absent from the space while simultaneously present through the marker of blindness. The unsolicited contact is an affirmation of boundaries between </w:t>
      </w:r>
      <w:proofErr w:type="spellStart"/>
      <w:r>
        <w:rPr>
          <w:rFonts w:ascii="Times New Roman" w:eastAsia="Times New Roman" w:hAnsi="Times New Roman" w:cs="Times New Roman"/>
        </w:rPr>
        <w:t>Shaz</w:t>
      </w:r>
      <w:proofErr w:type="spellEnd"/>
      <w:r>
        <w:rPr>
          <w:rFonts w:ascii="Times New Roman" w:eastAsia="Times New Roman" w:hAnsi="Times New Roman" w:cs="Times New Roman"/>
        </w:rPr>
        <w:t xml:space="preserve"> and the ‘group of lads’ which constructs a space that is ‘not for’ people with visual impairments. Indeed, social spaces that are known as ‘hot spots’ for hate encounters are made sense of as inherently risky and thus constructed as spaces to avoid. This sense of space and marginalization can impress upon the bodies of disabled people and limit their affective futures. The boundaries that are constructed between non-disabled and </w:t>
      </w:r>
      <w:r>
        <w:rPr>
          <w:rFonts w:ascii="Times New Roman" w:eastAsia="Times New Roman" w:hAnsi="Times New Roman" w:cs="Times New Roman"/>
        </w:rPr>
        <w:lastRenderedPageBreak/>
        <w:t>disabled people within social encounters are felt under the skin, shaping the extent to which people feel free to move through and between different spaces (Burch, 2021b). Such encounters can therefore constitute a disabling cultural station of blindness which imposes limits upon the affective capacity of individuals and shapes how they interact with social spaces in the future.</w:t>
      </w:r>
    </w:p>
    <w:p w14:paraId="0000001E" w14:textId="0BA52233" w:rsidR="00133B21" w:rsidRDefault="00784576">
      <w:pPr>
        <w:spacing w:after="200" w:line="480" w:lineRule="auto"/>
        <w:ind w:firstLine="720"/>
        <w:jc w:val="both"/>
        <w:rPr>
          <w:rFonts w:ascii="Times New Roman" w:eastAsia="Times New Roman" w:hAnsi="Times New Roman" w:cs="Times New Roman"/>
        </w:rPr>
      </w:pPr>
      <w:r>
        <w:rPr>
          <w:rFonts w:ascii="Times New Roman" w:eastAsia="Times New Roman" w:hAnsi="Times New Roman" w:cs="Times New Roman"/>
        </w:rPr>
        <w:t>Cultural station two ‘the higher education classroom’ is more attentive to the affective possibilities of blindness and the ability of disabled people to disrupt normative standards and expectations. While the normative conventions of classroom practice can continue to mark out blindness as Other, there is an opportunity to transcend these standards and offer alternative ways of being in the classroom. Due to the requirement of many disabled people in navigating an inaccessible social world, disability is considered to be a body of knowledge (Siebers, 2014), within which disabled people ‘embrace complex embodiment as a means to take on unsuspected forms and to hold them in memory for the possession and use of the disability community (Siebers, 2015, 244). Indeed, it is through ‘their unique navigation of, and movement within, society (physically and symbolically), disabled people generate deep understandings of their surrounding world, which can come to critically inform future encounters’ (Burch, 2021b, 86). From this perspective, visual impairment and blindness ‘emerge not just as the Other side of the oppression coin but also as a resistant alternative’ (Goodley &amp; Runswick-Cole, 2016, 4). Indeed, cultural station two shows how the presence of visual impairment within the classroom created a space that was not limited by or tied to conventional classroom rituals, but was more free, welcoming and participatory. That is, space does not determine the capacity of bodies entirely, but can be shaped by the interactions that take place within them. This cultural station of blindness thereby demonstrates the ways in which visual impairment shapes surrounding space and creates the possibility for more inclusive affective futures. Encounters with blindness are affective, and these affects are long-lasting.</w:t>
      </w:r>
    </w:p>
    <w:p w14:paraId="0000001F" w14:textId="591DBBBE" w:rsidR="00133B21" w:rsidRDefault="00784576">
      <w:pPr>
        <w:spacing w:after="200" w:line="480" w:lineRule="auto"/>
        <w:ind w:firstLine="720"/>
        <w:jc w:val="both"/>
        <w:rPr>
          <w:rFonts w:ascii="Times New Roman" w:eastAsia="Times New Roman" w:hAnsi="Times New Roman" w:cs="Times New Roman"/>
        </w:rPr>
      </w:pPr>
      <w:r>
        <w:rPr>
          <w:rFonts w:ascii="Times New Roman" w:eastAsia="Times New Roman" w:hAnsi="Times New Roman" w:cs="Times New Roman"/>
        </w:rPr>
        <w:lastRenderedPageBreak/>
        <w:t>To quote Ahmed (2004, 39) ‘the impressions we have of others, and the impressions left by others are shaped by histories that stick, at the same time as they generate the surfaces and boundaries that allow bodies to appear in the present. The impressions left by others should impress us for sure; it is here, on the skin surface, that histories are made’.</w:t>
      </w:r>
    </w:p>
    <w:p w14:paraId="00000020" w14:textId="366637FB" w:rsidR="00133B21" w:rsidRDefault="00784576">
      <w:pPr>
        <w:spacing w:after="200" w:line="48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As a non-disabled person who does not have a visual impairment, I am a spectator in the different encounters shared in this chapter, but all have had a lasting impression upon me. Indeed, the cultural stations that I share reflect encounters that have resonated with me and encouraged me to think about the affective possibilities of blindness. These encounters ask questions about the ways in which the architecture of space is not limited to physical characteristics, but to the way in which bodies interact and engage with one another. Being attentive to these interactions, and reflecting upon how they make us feel, </w:t>
      </w:r>
      <w:r>
        <w:rPr>
          <w:rFonts w:ascii="Times New Roman" w:eastAsia="Times New Roman" w:hAnsi="Times New Roman" w:cs="Times New Roman"/>
          <w:i/>
        </w:rPr>
        <w:t xml:space="preserve">be, </w:t>
      </w:r>
      <w:r>
        <w:rPr>
          <w:rFonts w:ascii="Times New Roman" w:eastAsia="Times New Roman" w:hAnsi="Times New Roman" w:cs="Times New Roman"/>
        </w:rPr>
        <w:t>and think is important. We learn about ourselves and the world around us by reflecting upon social encounters. The cultural stations of blindness shared in this chapter therefore offer an important learning opportunity, to ask ourselves about our own experiences with, and perceptions of, blindness.</w:t>
      </w:r>
    </w:p>
    <w:p w14:paraId="00000021" w14:textId="77777777" w:rsidR="00133B21" w:rsidRDefault="00133B21">
      <w:pPr>
        <w:spacing w:after="200" w:line="480" w:lineRule="auto"/>
        <w:rPr>
          <w:rFonts w:ascii="Times New Roman" w:eastAsia="Times New Roman" w:hAnsi="Times New Roman" w:cs="Times New Roman"/>
        </w:rPr>
      </w:pPr>
    </w:p>
    <w:p w14:paraId="00000022" w14:textId="77777777" w:rsidR="00133B21" w:rsidRDefault="00133B21">
      <w:pPr>
        <w:spacing w:after="200" w:line="480" w:lineRule="auto"/>
        <w:rPr>
          <w:rFonts w:ascii="Times New Roman" w:eastAsia="Times New Roman" w:hAnsi="Times New Roman" w:cs="Times New Roman"/>
        </w:rPr>
      </w:pPr>
    </w:p>
    <w:p w14:paraId="00000023" w14:textId="77777777" w:rsidR="00133B21" w:rsidRDefault="00784576">
      <w:pPr>
        <w:spacing w:after="200" w:line="480" w:lineRule="auto"/>
        <w:rPr>
          <w:rFonts w:ascii="Times New Roman" w:eastAsia="Times New Roman" w:hAnsi="Times New Roman" w:cs="Times New Roman"/>
          <w:b/>
        </w:rPr>
      </w:pPr>
      <w:r>
        <w:rPr>
          <w:rFonts w:ascii="Times New Roman" w:eastAsia="Times New Roman" w:hAnsi="Times New Roman" w:cs="Times New Roman"/>
          <w:b/>
          <w:color w:val="000000"/>
        </w:rPr>
        <w:t>References</w:t>
      </w:r>
    </w:p>
    <w:p w14:paraId="00000024" w14:textId="6982A21C" w:rsidR="00133B21" w:rsidRPr="007A39FE" w:rsidRDefault="007A39FE">
      <w:pPr>
        <w:spacing w:after="200" w:line="480" w:lineRule="auto"/>
        <w:rPr>
          <w:rFonts w:ascii="Times New Roman" w:eastAsia="Times New Roman" w:hAnsi="Times New Roman" w:cs="Times New Roman"/>
        </w:rPr>
      </w:pPr>
      <w:proofErr w:type="spellStart"/>
      <w:r>
        <w:rPr>
          <w:rFonts w:ascii="Times New Roman" w:eastAsia="Times New Roman" w:hAnsi="Times New Roman" w:cs="Times New Roman"/>
        </w:rPr>
        <w:t>Åhäll</w:t>
      </w:r>
      <w:proofErr w:type="spellEnd"/>
      <w:r>
        <w:rPr>
          <w:rFonts w:ascii="Times New Roman" w:eastAsia="Times New Roman" w:hAnsi="Times New Roman" w:cs="Times New Roman"/>
        </w:rPr>
        <w:t xml:space="preserve">, L. (2018) Affect as Methodology: Feminism and the Politics of Emotion. </w:t>
      </w:r>
      <w:r>
        <w:rPr>
          <w:rFonts w:ascii="Times New Roman" w:eastAsia="Times New Roman" w:hAnsi="Times New Roman" w:cs="Times New Roman"/>
          <w:i/>
        </w:rPr>
        <w:t xml:space="preserve">International Political Sociology. </w:t>
      </w:r>
      <w:r>
        <w:rPr>
          <w:rFonts w:ascii="Times New Roman" w:eastAsia="Times New Roman" w:hAnsi="Times New Roman" w:cs="Times New Roman"/>
        </w:rPr>
        <w:t xml:space="preserve">12(1), pp. 36-52. </w:t>
      </w:r>
    </w:p>
    <w:p w14:paraId="07649169" w14:textId="77777777" w:rsidR="007A39FE" w:rsidRDefault="007A39FE">
      <w:pPr>
        <w:spacing w:after="200" w:line="480" w:lineRule="auto"/>
        <w:rPr>
          <w:rFonts w:ascii="Times New Roman" w:eastAsia="Times New Roman" w:hAnsi="Times New Roman" w:cs="Times New Roman"/>
        </w:rPr>
      </w:pPr>
    </w:p>
    <w:p w14:paraId="00000025" w14:textId="77777777" w:rsidR="00133B21" w:rsidRDefault="00784576">
      <w:pPr>
        <w:spacing w:after="200" w:line="480" w:lineRule="auto"/>
        <w:rPr>
          <w:rFonts w:ascii="Times New Roman" w:eastAsia="Times New Roman" w:hAnsi="Times New Roman" w:cs="Times New Roman"/>
        </w:rPr>
      </w:pPr>
      <w:r>
        <w:rPr>
          <w:rFonts w:ascii="Times New Roman" w:eastAsia="Times New Roman" w:hAnsi="Times New Roman" w:cs="Times New Roman"/>
        </w:rPr>
        <w:t xml:space="preserve">Ahmed, S. (2014) </w:t>
      </w:r>
      <w:r>
        <w:rPr>
          <w:rFonts w:ascii="Times New Roman" w:eastAsia="Times New Roman" w:hAnsi="Times New Roman" w:cs="Times New Roman"/>
          <w:i/>
        </w:rPr>
        <w:t xml:space="preserve">The Cultural Politics of Emotion. </w:t>
      </w:r>
      <w:r>
        <w:rPr>
          <w:rFonts w:ascii="Times New Roman" w:eastAsia="Times New Roman" w:hAnsi="Times New Roman" w:cs="Times New Roman"/>
        </w:rPr>
        <w:t>Edinburgh: Edinburgh University Press.</w:t>
      </w:r>
    </w:p>
    <w:p w14:paraId="00000026" w14:textId="77777777" w:rsidR="00133B21" w:rsidRDefault="00133B21">
      <w:pPr>
        <w:spacing w:after="200" w:line="480" w:lineRule="auto"/>
        <w:rPr>
          <w:rFonts w:ascii="Times New Roman" w:eastAsia="Times New Roman" w:hAnsi="Times New Roman" w:cs="Times New Roman"/>
        </w:rPr>
      </w:pPr>
    </w:p>
    <w:p w14:paraId="00000027" w14:textId="77777777" w:rsidR="00133B21" w:rsidRDefault="00784576">
      <w:pPr>
        <w:spacing w:after="200" w:line="480" w:lineRule="auto"/>
        <w:rPr>
          <w:rFonts w:ascii="Times New Roman" w:eastAsia="Times New Roman" w:hAnsi="Times New Roman" w:cs="Times New Roman"/>
        </w:rPr>
      </w:pPr>
      <w:r>
        <w:rPr>
          <w:rFonts w:ascii="Times New Roman" w:eastAsia="Times New Roman" w:hAnsi="Times New Roman" w:cs="Times New Roman"/>
        </w:rPr>
        <w:t xml:space="preserve">Allen, C. (2004) Merleau-Ponty’s phenomenology and the body-in-space encounters of visually impaired children. </w:t>
      </w:r>
      <w:r>
        <w:rPr>
          <w:rFonts w:ascii="Times New Roman" w:eastAsia="Times New Roman" w:hAnsi="Times New Roman" w:cs="Times New Roman"/>
          <w:i/>
        </w:rPr>
        <w:t xml:space="preserve">Environment and Planning D: Society and Space. </w:t>
      </w:r>
      <w:r>
        <w:rPr>
          <w:rFonts w:ascii="Times New Roman" w:eastAsia="Times New Roman" w:hAnsi="Times New Roman" w:cs="Times New Roman"/>
        </w:rPr>
        <w:t>22(5), pp. 719-735.</w:t>
      </w:r>
    </w:p>
    <w:p w14:paraId="00000028" w14:textId="77777777" w:rsidR="00133B21" w:rsidRDefault="00133B21">
      <w:pPr>
        <w:spacing w:after="200" w:line="480" w:lineRule="auto"/>
        <w:jc w:val="both"/>
        <w:rPr>
          <w:rFonts w:ascii="Times New Roman" w:eastAsia="Times New Roman" w:hAnsi="Times New Roman" w:cs="Times New Roman"/>
          <w:highlight w:val="red"/>
        </w:rPr>
      </w:pPr>
    </w:p>
    <w:p w14:paraId="00000029" w14:textId="77777777" w:rsidR="00133B21" w:rsidRDefault="00784576">
      <w:pPr>
        <w:spacing w:after="200" w:line="480" w:lineRule="auto"/>
        <w:jc w:val="both"/>
        <w:rPr>
          <w:rFonts w:ascii="Times New Roman" w:eastAsia="Times New Roman" w:hAnsi="Times New Roman" w:cs="Times New Roman"/>
        </w:rPr>
      </w:pPr>
      <w:r>
        <w:rPr>
          <w:rFonts w:ascii="Times New Roman" w:eastAsia="Times New Roman" w:hAnsi="Times New Roman" w:cs="Times New Roman"/>
        </w:rPr>
        <w:t xml:space="preserve">Blackman, L. and Venn, C. (2010) Affect. </w:t>
      </w:r>
      <w:r>
        <w:rPr>
          <w:rFonts w:ascii="Times New Roman" w:eastAsia="Times New Roman" w:hAnsi="Times New Roman" w:cs="Times New Roman"/>
          <w:i/>
        </w:rPr>
        <w:t xml:space="preserve">Body &amp; Society. </w:t>
      </w:r>
      <w:r>
        <w:rPr>
          <w:rFonts w:ascii="Times New Roman" w:eastAsia="Times New Roman" w:hAnsi="Times New Roman" w:cs="Times New Roman"/>
        </w:rPr>
        <w:t>16(1), pp. 7-28.</w:t>
      </w:r>
    </w:p>
    <w:p w14:paraId="0000002A" w14:textId="77777777" w:rsidR="00133B21" w:rsidRDefault="00133B21">
      <w:pPr>
        <w:spacing w:after="200" w:line="480" w:lineRule="auto"/>
        <w:rPr>
          <w:rFonts w:ascii="Times New Roman" w:eastAsia="Times New Roman" w:hAnsi="Times New Roman" w:cs="Times New Roman"/>
        </w:rPr>
      </w:pPr>
    </w:p>
    <w:p w14:paraId="0000002B" w14:textId="77777777" w:rsidR="00133B21" w:rsidRDefault="00784576">
      <w:pPr>
        <w:spacing w:after="200" w:line="480" w:lineRule="auto"/>
        <w:rPr>
          <w:rFonts w:ascii="Times New Roman" w:eastAsia="Times New Roman" w:hAnsi="Times New Roman" w:cs="Times New Roman"/>
        </w:rPr>
      </w:pPr>
      <w:r>
        <w:rPr>
          <w:rFonts w:ascii="Times New Roman" w:eastAsia="Times New Roman" w:hAnsi="Times New Roman" w:cs="Times New Roman"/>
        </w:rPr>
        <w:t xml:space="preserve">Bolt, D. (2005) From blindness to visual impairment: terminological typology and the Social Model of Disability. </w:t>
      </w:r>
      <w:r>
        <w:rPr>
          <w:rFonts w:ascii="Times New Roman" w:eastAsia="Times New Roman" w:hAnsi="Times New Roman" w:cs="Times New Roman"/>
          <w:i/>
        </w:rPr>
        <w:t xml:space="preserve">Disability &amp; Society. </w:t>
      </w:r>
      <w:r>
        <w:rPr>
          <w:rFonts w:ascii="Times New Roman" w:eastAsia="Times New Roman" w:hAnsi="Times New Roman" w:cs="Times New Roman"/>
        </w:rPr>
        <w:t>20(5), pp. 539-552.</w:t>
      </w:r>
    </w:p>
    <w:p w14:paraId="0000002C" w14:textId="77777777" w:rsidR="00133B21" w:rsidRDefault="00784576">
      <w:pPr>
        <w:spacing w:after="200" w:line="480" w:lineRule="auto"/>
        <w:rPr>
          <w:rFonts w:ascii="Times New Roman" w:eastAsia="Times New Roman" w:hAnsi="Times New Roman" w:cs="Times New Roman"/>
        </w:rPr>
      </w:pPr>
      <w:r>
        <w:rPr>
          <w:rFonts w:ascii="Times New Roman" w:eastAsia="Times New Roman" w:hAnsi="Times New Roman" w:cs="Times New Roman"/>
        </w:rPr>
        <w:t xml:space="preserve"> </w:t>
      </w:r>
    </w:p>
    <w:p w14:paraId="0000002D" w14:textId="77777777" w:rsidR="00133B21" w:rsidRDefault="00784576">
      <w:pPr>
        <w:spacing w:after="200" w:line="480" w:lineRule="auto"/>
        <w:rPr>
          <w:rFonts w:ascii="Times New Roman" w:eastAsia="Times New Roman" w:hAnsi="Times New Roman" w:cs="Times New Roman"/>
        </w:rPr>
      </w:pPr>
      <w:r>
        <w:rPr>
          <w:rFonts w:ascii="Times New Roman" w:eastAsia="Times New Roman" w:hAnsi="Times New Roman" w:cs="Times New Roman"/>
        </w:rPr>
        <w:t xml:space="preserve">Bolt, D. (2012) Social Encounters, Cultural Representation and Critical Avoidance. In: Watson, T. Roulstone, A. and Thomas, C. (Eds) </w:t>
      </w:r>
      <w:r>
        <w:rPr>
          <w:rFonts w:ascii="Times New Roman" w:eastAsia="Times New Roman" w:hAnsi="Times New Roman" w:cs="Times New Roman"/>
          <w:i/>
        </w:rPr>
        <w:t>Routledge Handbook of Disability Studies.</w:t>
      </w:r>
      <w:r>
        <w:rPr>
          <w:rFonts w:ascii="Times New Roman" w:eastAsia="Times New Roman" w:hAnsi="Times New Roman" w:cs="Times New Roman"/>
        </w:rPr>
        <w:t xml:space="preserve"> Abingdon: Routledge, pp. 287-297.</w:t>
      </w:r>
    </w:p>
    <w:p w14:paraId="0000002E" w14:textId="77777777" w:rsidR="00133B21" w:rsidRDefault="00133B21">
      <w:pPr>
        <w:spacing w:after="200" w:line="480" w:lineRule="auto"/>
        <w:rPr>
          <w:rFonts w:ascii="Times New Roman" w:eastAsia="Times New Roman" w:hAnsi="Times New Roman" w:cs="Times New Roman"/>
        </w:rPr>
      </w:pPr>
    </w:p>
    <w:p w14:paraId="0000002F" w14:textId="77777777" w:rsidR="00133B21" w:rsidRDefault="00784576">
      <w:pPr>
        <w:spacing w:after="200" w:line="480" w:lineRule="auto"/>
        <w:rPr>
          <w:rFonts w:ascii="Times New Roman" w:eastAsia="Times New Roman" w:hAnsi="Times New Roman" w:cs="Times New Roman"/>
        </w:rPr>
      </w:pPr>
      <w:r>
        <w:rPr>
          <w:rFonts w:ascii="Times New Roman" w:eastAsia="Times New Roman" w:hAnsi="Times New Roman" w:cs="Times New Roman"/>
        </w:rPr>
        <w:t xml:space="preserve">Bolt, D. (2014a) </w:t>
      </w:r>
      <w:r>
        <w:rPr>
          <w:rFonts w:ascii="Times New Roman" w:eastAsia="Times New Roman" w:hAnsi="Times New Roman" w:cs="Times New Roman"/>
          <w:i/>
        </w:rPr>
        <w:t>The Metanarrative of Blindness: A Re-reading of Twentieth Century Anglophone Writing</w:t>
      </w:r>
      <w:r>
        <w:rPr>
          <w:rFonts w:ascii="Times New Roman" w:eastAsia="Times New Roman" w:hAnsi="Times New Roman" w:cs="Times New Roman"/>
        </w:rPr>
        <w:t>. Ann Arbor: The University of Michigan Press.</w:t>
      </w:r>
    </w:p>
    <w:p w14:paraId="00000030" w14:textId="77777777" w:rsidR="00133B21" w:rsidRDefault="00784576">
      <w:pPr>
        <w:spacing w:after="200" w:line="480" w:lineRule="auto"/>
        <w:rPr>
          <w:rFonts w:ascii="Times New Roman" w:eastAsia="Times New Roman" w:hAnsi="Times New Roman" w:cs="Times New Roman"/>
        </w:rPr>
      </w:pPr>
      <w:r>
        <w:rPr>
          <w:rFonts w:ascii="Times New Roman" w:eastAsia="Times New Roman" w:hAnsi="Times New Roman" w:cs="Times New Roman"/>
        </w:rPr>
        <w:t xml:space="preserve"> </w:t>
      </w:r>
    </w:p>
    <w:p w14:paraId="00000031" w14:textId="77777777" w:rsidR="00133B21" w:rsidRDefault="00784576">
      <w:pPr>
        <w:spacing w:after="200" w:line="480" w:lineRule="auto"/>
        <w:rPr>
          <w:rFonts w:ascii="Times New Roman" w:eastAsia="Times New Roman" w:hAnsi="Times New Roman" w:cs="Times New Roman"/>
        </w:rPr>
      </w:pPr>
      <w:r>
        <w:rPr>
          <w:rFonts w:ascii="Times New Roman" w:eastAsia="Times New Roman" w:hAnsi="Times New Roman" w:cs="Times New Roman"/>
        </w:rPr>
        <w:t xml:space="preserve">Bolt, D. (2014b) An advertising aesthetic: Real beauty and visual impairment. </w:t>
      </w:r>
      <w:r>
        <w:rPr>
          <w:rFonts w:ascii="Times New Roman" w:eastAsia="Times New Roman" w:hAnsi="Times New Roman" w:cs="Times New Roman"/>
          <w:i/>
        </w:rPr>
        <w:t xml:space="preserve">The British Journal of Visual Impairment. </w:t>
      </w:r>
      <w:r>
        <w:rPr>
          <w:rFonts w:ascii="Times New Roman" w:eastAsia="Times New Roman" w:hAnsi="Times New Roman" w:cs="Times New Roman"/>
        </w:rPr>
        <w:t>32(1), pp. 25-32.</w:t>
      </w:r>
    </w:p>
    <w:p w14:paraId="00000032" w14:textId="77777777" w:rsidR="00133B21" w:rsidRDefault="00133B21">
      <w:pPr>
        <w:spacing w:after="200" w:line="480" w:lineRule="auto"/>
        <w:rPr>
          <w:rFonts w:ascii="Times New Roman" w:eastAsia="Times New Roman" w:hAnsi="Times New Roman" w:cs="Times New Roman"/>
        </w:rPr>
      </w:pPr>
    </w:p>
    <w:p w14:paraId="00000033" w14:textId="77777777" w:rsidR="00133B21" w:rsidRDefault="00784576">
      <w:pPr>
        <w:spacing w:after="200" w:line="480" w:lineRule="auto"/>
        <w:rPr>
          <w:rFonts w:ascii="Times New Roman" w:eastAsia="Times New Roman" w:hAnsi="Times New Roman" w:cs="Times New Roman"/>
        </w:rPr>
      </w:pPr>
      <w:r>
        <w:rPr>
          <w:rFonts w:ascii="Times New Roman" w:eastAsia="Times New Roman" w:hAnsi="Times New Roman" w:cs="Times New Roman"/>
        </w:rPr>
        <w:lastRenderedPageBreak/>
        <w:t xml:space="preserve">Bolt, D. (2016) Enabling the classroom and the curriculum: higher education, literary studies and disability. </w:t>
      </w:r>
      <w:r>
        <w:rPr>
          <w:rFonts w:ascii="Times New Roman" w:eastAsia="Times New Roman" w:hAnsi="Times New Roman" w:cs="Times New Roman"/>
          <w:i/>
        </w:rPr>
        <w:t xml:space="preserve">Journal of Further and Higher Education. </w:t>
      </w:r>
      <w:r>
        <w:rPr>
          <w:rFonts w:ascii="Times New Roman" w:eastAsia="Times New Roman" w:hAnsi="Times New Roman" w:cs="Times New Roman"/>
        </w:rPr>
        <w:t>41(4), pp. 556-565.</w:t>
      </w:r>
    </w:p>
    <w:p w14:paraId="00000034" w14:textId="77777777" w:rsidR="00133B21" w:rsidRDefault="00133B21">
      <w:pPr>
        <w:spacing w:after="200" w:line="480" w:lineRule="auto"/>
        <w:rPr>
          <w:rFonts w:ascii="Times New Roman" w:eastAsia="Times New Roman" w:hAnsi="Times New Roman" w:cs="Times New Roman"/>
        </w:rPr>
      </w:pPr>
    </w:p>
    <w:p w14:paraId="00000035" w14:textId="77777777" w:rsidR="00133B21" w:rsidRDefault="00784576">
      <w:pPr>
        <w:spacing w:after="200" w:line="480" w:lineRule="auto"/>
        <w:rPr>
          <w:rFonts w:ascii="Times New Roman" w:eastAsia="Times New Roman" w:hAnsi="Times New Roman" w:cs="Times New Roman"/>
        </w:rPr>
      </w:pPr>
      <w:r>
        <w:rPr>
          <w:rFonts w:ascii="Times New Roman" w:eastAsia="Times New Roman" w:hAnsi="Times New Roman" w:cs="Times New Roman"/>
        </w:rPr>
        <w:t xml:space="preserve">Burch, L. (2021a) </w:t>
      </w:r>
      <w:r>
        <w:rPr>
          <w:rFonts w:ascii="Times New Roman" w:eastAsia="Times New Roman" w:hAnsi="Times New Roman" w:cs="Times New Roman"/>
          <w:i/>
        </w:rPr>
        <w:t xml:space="preserve">Understanding Disability and Everyday Hate. </w:t>
      </w:r>
      <w:r>
        <w:rPr>
          <w:rFonts w:ascii="Times New Roman" w:eastAsia="Times New Roman" w:hAnsi="Times New Roman" w:cs="Times New Roman"/>
        </w:rPr>
        <w:t>Palgrave Macmillan.</w:t>
      </w:r>
    </w:p>
    <w:p w14:paraId="00000036" w14:textId="77777777" w:rsidR="00133B21" w:rsidRDefault="00133B21">
      <w:pPr>
        <w:spacing w:after="200" w:line="480" w:lineRule="auto"/>
        <w:rPr>
          <w:rFonts w:ascii="Times New Roman" w:eastAsia="Times New Roman" w:hAnsi="Times New Roman" w:cs="Times New Roman"/>
        </w:rPr>
      </w:pPr>
    </w:p>
    <w:p w14:paraId="00000037" w14:textId="77777777" w:rsidR="00133B21" w:rsidRDefault="00784576">
      <w:pPr>
        <w:spacing w:after="200" w:line="480" w:lineRule="auto"/>
        <w:rPr>
          <w:rFonts w:ascii="Times New Roman" w:eastAsia="Times New Roman" w:hAnsi="Times New Roman" w:cs="Times New Roman"/>
        </w:rPr>
      </w:pPr>
      <w:r>
        <w:rPr>
          <w:rFonts w:ascii="Times New Roman" w:eastAsia="Times New Roman" w:hAnsi="Times New Roman" w:cs="Times New Roman"/>
        </w:rPr>
        <w:t xml:space="preserve">Burch, L. (2021b) Everyday Hate and Affective Possibility: Disabled People’s Negotiations of Space, Place and Identity. </w:t>
      </w:r>
      <w:r>
        <w:rPr>
          <w:rFonts w:ascii="Times New Roman" w:eastAsia="Times New Roman" w:hAnsi="Times New Roman" w:cs="Times New Roman"/>
          <w:i/>
        </w:rPr>
        <w:t xml:space="preserve">International Journal of Disability and Social Justice. </w:t>
      </w:r>
      <w:r>
        <w:rPr>
          <w:rFonts w:ascii="Times New Roman" w:eastAsia="Times New Roman" w:hAnsi="Times New Roman" w:cs="Times New Roman"/>
        </w:rPr>
        <w:t>1(1), pp. 73-94.</w:t>
      </w:r>
    </w:p>
    <w:p w14:paraId="00000038" w14:textId="0C7D2E32" w:rsidR="00133B21" w:rsidRDefault="00133B21">
      <w:pPr>
        <w:spacing w:after="200" w:line="480" w:lineRule="auto"/>
        <w:rPr>
          <w:rFonts w:ascii="Times New Roman" w:eastAsia="Times New Roman" w:hAnsi="Times New Roman" w:cs="Times New Roman"/>
        </w:rPr>
      </w:pPr>
    </w:p>
    <w:p w14:paraId="3961D9DB" w14:textId="1D591E04" w:rsidR="007A39FE" w:rsidRPr="007A39FE" w:rsidRDefault="007A39FE">
      <w:pPr>
        <w:spacing w:after="200" w:line="480" w:lineRule="auto"/>
        <w:rPr>
          <w:rFonts w:ascii="Times New Roman" w:eastAsia="Times New Roman" w:hAnsi="Times New Roman" w:cs="Times New Roman"/>
        </w:rPr>
      </w:pPr>
      <w:r>
        <w:rPr>
          <w:rFonts w:ascii="Times New Roman" w:eastAsia="Times New Roman" w:hAnsi="Times New Roman" w:cs="Times New Roman"/>
        </w:rPr>
        <w:t xml:space="preserve">Calder-Dawe, O. Witten, K. and Carroll, P. (2020) Being the body in question: young people’s accounts of everyday ableism, visibility and disability. </w:t>
      </w:r>
      <w:r>
        <w:rPr>
          <w:rFonts w:ascii="Times New Roman" w:eastAsia="Times New Roman" w:hAnsi="Times New Roman" w:cs="Times New Roman"/>
          <w:i/>
        </w:rPr>
        <w:t xml:space="preserve">Disability &amp; Society. </w:t>
      </w:r>
      <w:r>
        <w:rPr>
          <w:rFonts w:ascii="Times New Roman" w:eastAsia="Times New Roman" w:hAnsi="Times New Roman" w:cs="Times New Roman"/>
        </w:rPr>
        <w:t>35(1), pp. 132-155.</w:t>
      </w:r>
    </w:p>
    <w:p w14:paraId="00000039" w14:textId="77777777" w:rsidR="00133B21" w:rsidRDefault="00784576">
      <w:pPr>
        <w:spacing w:after="200" w:line="480" w:lineRule="auto"/>
        <w:rPr>
          <w:rFonts w:ascii="Times New Roman" w:eastAsia="Times New Roman" w:hAnsi="Times New Roman" w:cs="Times New Roman"/>
        </w:rPr>
      </w:pPr>
      <w:r>
        <w:rPr>
          <w:rFonts w:ascii="Times New Roman" w:eastAsia="Times New Roman" w:hAnsi="Times New Roman" w:cs="Times New Roman"/>
        </w:rPr>
        <w:t xml:space="preserve">Corker, M. and Shakespeare, T. (2002) (eds) </w:t>
      </w:r>
      <w:r>
        <w:rPr>
          <w:rFonts w:ascii="Times New Roman" w:eastAsia="Times New Roman" w:hAnsi="Times New Roman" w:cs="Times New Roman"/>
          <w:i/>
        </w:rPr>
        <w:t xml:space="preserve">Disability/Postmodernity: Embodying Disability Theory. </w:t>
      </w:r>
      <w:r>
        <w:rPr>
          <w:rFonts w:ascii="Times New Roman" w:eastAsia="Times New Roman" w:hAnsi="Times New Roman" w:cs="Times New Roman"/>
        </w:rPr>
        <w:t>London: Continuum.</w:t>
      </w:r>
    </w:p>
    <w:p w14:paraId="0000003A" w14:textId="77777777" w:rsidR="00133B21" w:rsidRDefault="00133B21">
      <w:pPr>
        <w:spacing w:after="200" w:line="480" w:lineRule="auto"/>
        <w:rPr>
          <w:rFonts w:ascii="Times New Roman" w:eastAsia="Times New Roman" w:hAnsi="Times New Roman" w:cs="Times New Roman"/>
        </w:rPr>
      </w:pPr>
    </w:p>
    <w:p w14:paraId="0000003B" w14:textId="77777777" w:rsidR="00133B21" w:rsidRDefault="00784576">
      <w:pPr>
        <w:spacing w:after="200" w:line="480" w:lineRule="auto"/>
        <w:rPr>
          <w:rFonts w:ascii="Times New Roman" w:eastAsia="Times New Roman" w:hAnsi="Times New Roman" w:cs="Times New Roman"/>
        </w:rPr>
      </w:pPr>
      <w:r>
        <w:rPr>
          <w:rFonts w:ascii="Times New Roman" w:eastAsia="Times New Roman" w:hAnsi="Times New Roman" w:cs="Times New Roman"/>
        </w:rPr>
        <w:t xml:space="preserve">Equality and Human Rights Commission (EHRC). (2011) </w:t>
      </w:r>
      <w:r>
        <w:rPr>
          <w:rFonts w:ascii="Times New Roman" w:eastAsia="Times New Roman" w:hAnsi="Times New Roman" w:cs="Times New Roman"/>
          <w:i/>
        </w:rPr>
        <w:t xml:space="preserve">Hidden in plain sight: inquiry into disability-related harassment. </w:t>
      </w:r>
      <w:r>
        <w:rPr>
          <w:rFonts w:ascii="Times New Roman" w:eastAsia="Times New Roman" w:hAnsi="Times New Roman" w:cs="Times New Roman"/>
        </w:rPr>
        <w:t>Manchester. Equality and Human Rights Commission.</w:t>
      </w:r>
    </w:p>
    <w:p w14:paraId="0000003C" w14:textId="77777777" w:rsidR="00133B21" w:rsidRDefault="00133B21">
      <w:pPr>
        <w:spacing w:after="200" w:line="480" w:lineRule="auto"/>
        <w:rPr>
          <w:rFonts w:ascii="Times New Roman" w:eastAsia="Times New Roman" w:hAnsi="Times New Roman" w:cs="Times New Roman"/>
        </w:rPr>
      </w:pPr>
    </w:p>
    <w:p w14:paraId="0000003D" w14:textId="77777777" w:rsidR="00133B21" w:rsidRDefault="00784576">
      <w:pPr>
        <w:spacing w:after="200" w:line="480" w:lineRule="auto"/>
        <w:rPr>
          <w:rFonts w:ascii="Times New Roman" w:eastAsia="Times New Roman" w:hAnsi="Times New Roman" w:cs="Times New Roman"/>
        </w:rPr>
      </w:pPr>
      <w:r>
        <w:rPr>
          <w:rFonts w:ascii="Times New Roman" w:eastAsia="Times New Roman" w:hAnsi="Times New Roman" w:cs="Times New Roman"/>
        </w:rPr>
        <w:t xml:space="preserve">Garland-Thompson, R. 1997. </w:t>
      </w:r>
      <w:r>
        <w:rPr>
          <w:rFonts w:ascii="Times New Roman" w:eastAsia="Times New Roman" w:hAnsi="Times New Roman" w:cs="Times New Roman"/>
          <w:i/>
        </w:rPr>
        <w:t xml:space="preserve">Extraordinary Bodies: Figuring Physical Disability in American Culture and Literature. </w:t>
      </w:r>
      <w:r>
        <w:rPr>
          <w:rFonts w:ascii="Times New Roman" w:eastAsia="Times New Roman" w:hAnsi="Times New Roman" w:cs="Times New Roman"/>
        </w:rPr>
        <w:t>New York: Columbia University Press.</w:t>
      </w:r>
    </w:p>
    <w:p w14:paraId="0000003E" w14:textId="77777777" w:rsidR="00133B21" w:rsidRDefault="00133B21">
      <w:pPr>
        <w:spacing w:after="200" w:line="480" w:lineRule="auto"/>
        <w:rPr>
          <w:rFonts w:ascii="Times New Roman" w:eastAsia="Times New Roman" w:hAnsi="Times New Roman" w:cs="Times New Roman"/>
        </w:rPr>
      </w:pPr>
    </w:p>
    <w:p w14:paraId="0000003F" w14:textId="77777777" w:rsidR="00133B21" w:rsidRDefault="00784576">
      <w:pPr>
        <w:spacing w:after="200"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Goffman, I. (1963) </w:t>
      </w:r>
      <w:r>
        <w:rPr>
          <w:rFonts w:ascii="Times New Roman" w:eastAsia="Times New Roman" w:hAnsi="Times New Roman" w:cs="Times New Roman"/>
          <w:i/>
          <w:color w:val="000000"/>
        </w:rPr>
        <w:t xml:space="preserve">Stigma: Notes on the management of Spoiled Identity. </w:t>
      </w:r>
      <w:r>
        <w:rPr>
          <w:rFonts w:ascii="Times New Roman" w:eastAsia="Times New Roman" w:hAnsi="Times New Roman" w:cs="Times New Roman"/>
          <w:color w:val="000000"/>
        </w:rPr>
        <w:t>London: Penguin.</w:t>
      </w:r>
    </w:p>
    <w:p w14:paraId="00000040" w14:textId="77777777" w:rsidR="00133B21" w:rsidRDefault="00133B21">
      <w:pPr>
        <w:spacing w:after="200" w:line="480" w:lineRule="auto"/>
        <w:rPr>
          <w:rFonts w:ascii="Times New Roman" w:eastAsia="Times New Roman" w:hAnsi="Times New Roman" w:cs="Times New Roman"/>
        </w:rPr>
      </w:pPr>
    </w:p>
    <w:p w14:paraId="00000041" w14:textId="77777777" w:rsidR="00133B21" w:rsidRDefault="00784576">
      <w:pPr>
        <w:spacing w:after="200"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Goodley, D. and Runswick-Cole, K. (2016) Becoming </w:t>
      </w:r>
      <w:proofErr w:type="spellStart"/>
      <w:r>
        <w:rPr>
          <w:rFonts w:ascii="Times New Roman" w:eastAsia="Times New Roman" w:hAnsi="Times New Roman" w:cs="Times New Roman"/>
          <w:color w:val="000000"/>
        </w:rPr>
        <w:t>dishuman</w:t>
      </w:r>
      <w:proofErr w:type="spellEnd"/>
      <w:r>
        <w:rPr>
          <w:rFonts w:ascii="Times New Roman" w:eastAsia="Times New Roman" w:hAnsi="Times New Roman" w:cs="Times New Roman"/>
          <w:color w:val="000000"/>
        </w:rPr>
        <w:t xml:space="preserve">: thinking about the human through dis/ability. </w:t>
      </w:r>
      <w:r>
        <w:rPr>
          <w:rFonts w:ascii="Times New Roman" w:eastAsia="Times New Roman" w:hAnsi="Times New Roman" w:cs="Times New Roman"/>
          <w:i/>
          <w:color w:val="000000"/>
        </w:rPr>
        <w:t xml:space="preserve">Discourse: Studies in the Cultural Politics of Education. </w:t>
      </w:r>
      <w:r>
        <w:rPr>
          <w:rFonts w:ascii="Times New Roman" w:eastAsia="Times New Roman" w:hAnsi="Times New Roman" w:cs="Times New Roman"/>
          <w:color w:val="000000"/>
        </w:rPr>
        <w:t>37(1), pp. 1-15.</w:t>
      </w:r>
    </w:p>
    <w:p w14:paraId="00000042" w14:textId="77777777" w:rsidR="00133B21" w:rsidRDefault="00133B21">
      <w:pPr>
        <w:spacing w:after="200" w:line="480" w:lineRule="auto"/>
        <w:rPr>
          <w:rFonts w:ascii="Times New Roman" w:eastAsia="Times New Roman" w:hAnsi="Times New Roman" w:cs="Times New Roman"/>
        </w:rPr>
      </w:pPr>
    </w:p>
    <w:p w14:paraId="00000043" w14:textId="77777777" w:rsidR="00133B21" w:rsidRDefault="00784576">
      <w:pPr>
        <w:spacing w:after="200" w:line="480" w:lineRule="auto"/>
        <w:jc w:val="both"/>
        <w:rPr>
          <w:rFonts w:ascii="Times New Roman" w:eastAsia="Times New Roman" w:hAnsi="Times New Roman" w:cs="Times New Roman"/>
        </w:rPr>
      </w:pPr>
      <w:r>
        <w:rPr>
          <w:rFonts w:ascii="Times New Roman" w:eastAsia="Times New Roman" w:hAnsi="Times New Roman" w:cs="Times New Roman"/>
        </w:rPr>
        <w:t xml:space="preserve">Gorton, K. (2007) Theorising emotion and affect. </w:t>
      </w:r>
      <w:r>
        <w:rPr>
          <w:rFonts w:ascii="Times New Roman" w:eastAsia="Times New Roman" w:hAnsi="Times New Roman" w:cs="Times New Roman"/>
          <w:i/>
        </w:rPr>
        <w:t xml:space="preserve">Feminist Theory. </w:t>
      </w:r>
      <w:r>
        <w:rPr>
          <w:rFonts w:ascii="Times New Roman" w:eastAsia="Times New Roman" w:hAnsi="Times New Roman" w:cs="Times New Roman"/>
        </w:rPr>
        <w:t>8(3), pp. 1464-7001.</w:t>
      </w:r>
    </w:p>
    <w:p w14:paraId="00000044" w14:textId="77777777" w:rsidR="00133B21" w:rsidRDefault="00133B21">
      <w:pPr>
        <w:spacing w:after="200" w:line="480" w:lineRule="auto"/>
        <w:rPr>
          <w:rFonts w:ascii="Times New Roman" w:eastAsia="Times New Roman" w:hAnsi="Times New Roman" w:cs="Times New Roman"/>
        </w:rPr>
      </w:pPr>
    </w:p>
    <w:p w14:paraId="00000045" w14:textId="77777777" w:rsidR="00133B21" w:rsidRDefault="00784576">
      <w:pPr>
        <w:spacing w:after="200" w:line="480" w:lineRule="auto"/>
        <w:rPr>
          <w:rFonts w:ascii="Times New Roman" w:eastAsia="Times New Roman" w:hAnsi="Times New Roman" w:cs="Times New Roman"/>
        </w:rPr>
      </w:pPr>
      <w:r>
        <w:rPr>
          <w:rFonts w:ascii="Times New Roman" w:eastAsia="Times New Roman" w:hAnsi="Times New Roman" w:cs="Times New Roman"/>
        </w:rPr>
        <w:t xml:space="preserve">Jay, M. (1994) </w:t>
      </w:r>
      <w:r>
        <w:rPr>
          <w:rFonts w:ascii="Times New Roman" w:eastAsia="Times New Roman" w:hAnsi="Times New Roman" w:cs="Times New Roman"/>
          <w:i/>
        </w:rPr>
        <w:t xml:space="preserve">Downcast Eyes: The Denigration of Vision in Twentieth-Century French Thought. </w:t>
      </w:r>
      <w:r>
        <w:rPr>
          <w:rFonts w:ascii="Times New Roman" w:eastAsia="Times New Roman" w:hAnsi="Times New Roman" w:cs="Times New Roman"/>
        </w:rPr>
        <w:t>Berkeley: University of California Press.</w:t>
      </w:r>
    </w:p>
    <w:p w14:paraId="00000046" w14:textId="77777777" w:rsidR="00133B21" w:rsidRDefault="00133B21">
      <w:pPr>
        <w:spacing w:after="200" w:line="480" w:lineRule="auto"/>
        <w:rPr>
          <w:rFonts w:ascii="Times New Roman" w:eastAsia="Times New Roman" w:hAnsi="Times New Roman" w:cs="Times New Roman"/>
        </w:rPr>
      </w:pPr>
    </w:p>
    <w:p w14:paraId="00000047" w14:textId="77777777" w:rsidR="00133B21" w:rsidRDefault="00784576">
      <w:pPr>
        <w:spacing w:after="200" w:line="480" w:lineRule="auto"/>
        <w:jc w:val="both"/>
        <w:rPr>
          <w:rFonts w:ascii="Times New Roman" w:eastAsia="Times New Roman" w:hAnsi="Times New Roman" w:cs="Times New Roman"/>
        </w:rPr>
      </w:pPr>
      <w:proofErr w:type="spellStart"/>
      <w:r>
        <w:rPr>
          <w:rFonts w:ascii="Times New Roman" w:eastAsia="Times New Roman" w:hAnsi="Times New Roman" w:cs="Times New Roman"/>
        </w:rPr>
        <w:t>Jóhannsdóttir</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Egilson</w:t>
      </w:r>
      <w:proofErr w:type="spellEnd"/>
      <w:r>
        <w:rPr>
          <w:rFonts w:ascii="Times New Roman" w:eastAsia="Times New Roman" w:hAnsi="Times New Roman" w:cs="Times New Roman"/>
        </w:rPr>
        <w:t xml:space="preserve">, S. and Gibson, B. (2020) What’s shame got to do with it? The importance of affect in critical disability studies? </w:t>
      </w:r>
      <w:r>
        <w:rPr>
          <w:rFonts w:ascii="Times New Roman" w:eastAsia="Times New Roman" w:hAnsi="Times New Roman" w:cs="Times New Roman"/>
          <w:i/>
        </w:rPr>
        <w:t>Disability &amp; Society.</w:t>
      </w:r>
      <w:hyperlink r:id="rId5">
        <w:r>
          <w:rPr>
            <w:rFonts w:ascii="Times New Roman" w:eastAsia="Times New Roman" w:hAnsi="Times New Roman" w:cs="Times New Roman"/>
            <w:i/>
          </w:rPr>
          <w:t xml:space="preserve"> </w:t>
        </w:r>
      </w:hyperlink>
      <w:r>
        <w:rPr>
          <w:rFonts w:ascii="Times New Roman" w:eastAsia="Times New Roman" w:hAnsi="Times New Roman" w:cs="Times New Roman"/>
        </w:rPr>
        <w:t>36(3), pp. 342-357.</w:t>
      </w:r>
    </w:p>
    <w:p w14:paraId="00000048" w14:textId="77777777" w:rsidR="00133B21" w:rsidRDefault="00133B21">
      <w:pPr>
        <w:spacing w:after="200" w:line="480" w:lineRule="auto"/>
        <w:jc w:val="both"/>
        <w:rPr>
          <w:rFonts w:ascii="Times New Roman" w:eastAsia="Times New Roman" w:hAnsi="Times New Roman" w:cs="Times New Roman"/>
        </w:rPr>
      </w:pPr>
    </w:p>
    <w:p w14:paraId="00000049" w14:textId="77777777" w:rsidR="00133B21" w:rsidRDefault="00784576">
      <w:pPr>
        <w:spacing w:after="200" w:line="480" w:lineRule="auto"/>
        <w:jc w:val="both"/>
        <w:rPr>
          <w:rFonts w:ascii="Times New Roman" w:eastAsia="Times New Roman" w:hAnsi="Times New Roman" w:cs="Times New Roman"/>
        </w:rPr>
      </w:pPr>
      <w:r>
        <w:rPr>
          <w:rFonts w:ascii="Times New Roman" w:eastAsia="Times New Roman" w:hAnsi="Times New Roman" w:cs="Times New Roman"/>
        </w:rPr>
        <w:t>Kavanagh, A. and Mason-</w:t>
      </w:r>
      <w:proofErr w:type="spellStart"/>
      <w:r>
        <w:rPr>
          <w:rFonts w:ascii="Times New Roman" w:eastAsia="Times New Roman" w:hAnsi="Times New Roman" w:cs="Times New Roman"/>
        </w:rPr>
        <w:t>Bish</w:t>
      </w:r>
      <w:proofErr w:type="spellEnd"/>
      <w:r>
        <w:rPr>
          <w:rFonts w:ascii="Times New Roman" w:eastAsia="Times New Roman" w:hAnsi="Times New Roman" w:cs="Times New Roman"/>
        </w:rPr>
        <w:t xml:space="preserve">, H. (2019) As A Disabled Woman, I’m Harassed On The Street Daily - Where’s My #MeToo Movement? </w:t>
      </w:r>
      <w:r>
        <w:rPr>
          <w:rFonts w:ascii="Times New Roman" w:eastAsia="Times New Roman" w:hAnsi="Times New Roman" w:cs="Times New Roman"/>
          <w:i/>
        </w:rPr>
        <w:t xml:space="preserve">Huffington Post. </w:t>
      </w:r>
      <w:r>
        <w:rPr>
          <w:rFonts w:ascii="Times New Roman" w:eastAsia="Times New Roman" w:hAnsi="Times New Roman" w:cs="Times New Roman"/>
        </w:rPr>
        <w:t>[online] Available at &lt;https://www.huffingtonpost.co.uk/entry/disabled-woman-me-too_uk_5d3eaee2e4b0db8affaadf12?guccounter=1&amp;guce_referrer=aHR0cHM6Ly90LmNvL0plWVJSZmFiZG8&amp;guce_referrer_sig=AQAAAHtHiVhyU6mEDWmpvq32f_u90gPTFD_GH4rzNF4Y6_9cdDqAR66AqYHFjdy8gNdUfbMULvTlPEprDA2Vjx_PEQatvZ-mkzRMx2_-SjYAzRM4jIANBOqeXm3lE_8MemRGJ0s9xllXl3a55VaNPPJ-QDixn5T79pzKA4Sme9I1VxyF&gt; Accessed 25th May, 2022.</w:t>
      </w:r>
    </w:p>
    <w:p w14:paraId="0000004A" w14:textId="77777777" w:rsidR="00133B21" w:rsidRDefault="00133B21">
      <w:pPr>
        <w:spacing w:after="200" w:line="480" w:lineRule="auto"/>
        <w:jc w:val="both"/>
        <w:rPr>
          <w:rFonts w:ascii="Times New Roman" w:eastAsia="Times New Roman" w:hAnsi="Times New Roman" w:cs="Times New Roman"/>
        </w:rPr>
      </w:pPr>
    </w:p>
    <w:p w14:paraId="0000004B" w14:textId="77777777" w:rsidR="00133B21" w:rsidRDefault="00784576">
      <w:pPr>
        <w:spacing w:after="200" w:line="480" w:lineRule="auto"/>
        <w:jc w:val="both"/>
        <w:rPr>
          <w:rFonts w:ascii="Times New Roman" w:eastAsia="Times New Roman" w:hAnsi="Times New Roman" w:cs="Times New Roman"/>
        </w:rPr>
      </w:pPr>
      <w:r>
        <w:rPr>
          <w:rFonts w:ascii="Times New Roman" w:eastAsia="Times New Roman" w:hAnsi="Times New Roman" w:cs="Times New Roman"/>
        </w:rPr>
        <w:t xml:space="preserve">Kitchin, R. (1998) ‘Out of Place’, ‘Knowing One’s Place’: Space, power and the exclusion of disabled people. </w:t>
      </w:r>
      <w:r>
        <w:rPr>
          <w:rFonts w:ascii="Times New Roman" w:eastAsia="Times New Roman" w:hAnsi="Times New Roman" w:cs="Times New Roman"/>
          <w:i/>
        </w:rPr>
        <w:t xml:space="preserve">Disability &amp; Society. </w:t>
      </w:r>
      <w:r>
        <w:rPr>
          <w:rFonts w:ascii="Times New Roman" w:eastAsia="Times New Roman" w:hAnsi="Times New Roman" w:cs="Times New Roman"/>
        </w:rPr>
        <w:t>13(3), pp. 343-356.</w:t>
      </w:r>
    </w:p>
    <w:p w14:paraId="0000004C" w14:textId="77777777" w:rsidR="00133B21" w:rsidRDefault="00133B21">
      <w:pPr>
        <w:spacing w:after="200" w:line="480" w:lineRule="auto"/>
        <w:jc w:val="both"/>
        <w:rPr>
          <w:rFonts w:ascii="Times New Roman" w:eastAsia="Times New Roman" w:hAnsi="Times New Roman" w:cs="Times New Roman"/>
        </w:rPr>
      </w:pPr>
    </w:p>
    <w:p w14:paraId="0000004D" w14:textId="77777777" w:rsidR="00133B21" w:rsidRDefault="00784576">
      <w:pPr>
        <w:spacing w:after="200" w:line="480" w:lineRule="auto"/>
        <w:rPr>
          <w:rFonts w:ascii="Times New Roman" w:eastAsia="Times New Roman" w:hAnsi="Times New Roman" w:cs="Times New Roman"/>
        </w:rPr>
      </w:pPr>
      <w:r>
        <w:rPr>
          <w:rFonts w:ascii="Times New Roman" w:eastAsia="Times New Roman" w:hAnsi="Times New Roman" w:cs="Times New Roman"/>
        </w:rPr>
        <w:t xml:space="preserve">Kleege, G. (1999) </w:t>
      </w:r>
      <w:r>
        <w:rPr>
          <w:rFonts w:ascii="Times New Roman" w:eastAsia="Times New Roman" w:hAnsi="Times New Roman" w:cs="Times New Roman"/>
          <w:i/>
        </w:rPr>
        <w:t xml:space="preserve">Sight Unseen. </w:t>
      </w:r>
      <w:r>
        <w:rPr>
          <w:rFonts w:ascii="Times New Roman" w:eastAsia="Times New Roman" w:hAnsi="Times New Roman" w:cs="Times New Roman"/>
        </w:rPr>
        <w:t>New Haven: Yale University Press.</w:t>
      </w:r>
    </w:p>
    <w:p w14:paraId="0000004E" w14:textId="77777777" w:rsidR="00133B21" w:rsidRDefault="00133B21">
      <w:pPr>
        <w:spacing w:after="200" w:line="480" w:lineRule="auto"/>
        <w:rPr>
          <w:rFonts w:ascii="Times New Roman" w:eastAsia="Times New Roman" w:hAnsi="Times New Roman" w:cs="Times New Roman"/>
        </w:rPr>
      </w:pPr>
    </w:p>
    <w:p w14:paraId="0000004F" w14:textId="77777777" w:rsidR="00133B21" w:rsidRDefault="00784576">
      <w:pPr>
        <w:spacing w:after="200" w:line="480" w:lineRule="auto"/>
        <w:rPr>
          <w:rFonts w:ascii="Times New Roman" w:eastAsia="Times New Roman" w:hAnsi="Times New Roman" w:cs="Times New Roman"/>
        </w:rPr>
      </w:pPr>
      <w:proofErr w:type="spellStart"/>
      <w:r>
        <w:rPr>
          <w:rFonts w:ascii="Times New Roman" w:eastAsia="Times New Roman" w:hAnsi="Times New Roman" w:cs="Times New Roman"/>
        </w:rPr>
        <w:t>Leder</w:t>
      </w:r>
      <w:proofErr w:type="spellEnd"/>
      <w:r>
        <w:rPr>
          <w:rFonts w:ascii="Times New Roman" w:eastAsia="Times New Roman" w:hAnsi="Times New Roman" w:cs="Times New Roman"/>
        </w:rPr>
        <w:t xml:space="preserve">, D. (1990) </w:t>
      </w:r>
      <w:r>
        <w:rPr>
          <w:rFonts w:ascii="Times New Roman" w:eastAsia="Times New Roman" w:hAnsi="Times New Roman" w:cs="Times New Roman"/>
          <w:i/>
        </w:rPr>
        <w:t xml:space="preserve">The Absent Body. </w:t>
      </w:r>
      <w:r>
        <w:rPr>
          <w:rFonts w:ascii="Times New Roman" w:eastAsia="Times New Roman" w:hAnsi="Times New Roman" w:cs="Times New Roman"/>
        </w:rPr>
        <w:t>Chicago: University of Chicago Press.</w:t>
      </w:r>
    </w:p>
    <w:p w14:paraId="00000050" w14:textId="77777777" w:rsidR="00133B21" w:rsidRDefault="00133B21">
      <w:pPr>
        <w:spacing w:after="200" w:line="480" w:lineRule="auto"/>
        <w:rPr>
          <w:rFonts w:ascii="Times New Roman" w:eastAsia="Times New Roman" w:hAnsi="Times New Roman" w:cs="Times New Roman"/>
        </w:rPr>
      </w:pPr>
    </w:p>
    <w:p w14:paraId="00000051" w14:textId="77777777" w:rsidR="00133B21" w:rsidRDefault="00784576">
      <w:pPr>
        <w:spacing w:after="200" w:line="480" w:lineRule="auto"/>
        <w:rPr>
          <w:rFonts w:ascii="Times New Roman" w:eastAsia="Times New Roman" w:hAnsi="Times New Roman" w:cs="Times New Roman"/>
        </w:rPr>
      </w:pPr>
      <w:r>
        <w:rPr>
          <w:rFonts w:ascii="Times New Roman" w:eastAsia="Times New Roman" w:hAnsi="Times New Roman" w:cs="Times New Roman"/>
        </w:rPr>
        <w:t xml:space="preserve">Low, H. (2019) Spikes - and other ways disabled people combat unwanted touching. </w:t>
      </w:r>
      <w:r>
        <w:rPr>
          <w:rFonts w:ascii="Times New Roman" w:eastAsia="Times New Roman" w:hAnsi="Times New Roman" w:cs="Times New Roman"/>
          <w:i/>
        </w:rPr>
        <w:t xml:space="preserve">BBC. </w:t>
      </w:r>
      <w:r>
        <w:rPr>
          <w:rFonts w:ascii="Times New Roman" w:eastAsia="Times New Roman" w:hAnsi="Times New Roman" w:cs="Times New Roman"/>
        </w:rPr>
        <w:t>[online] Available at &lt;https://www.bbc.co.uk/news/disability-49584591&gt; Accessed 25th May, 2022.</w:t>
      </w:r>
    </w:p>
    <w:p w14:paraId="00000052" w14:textId="77777777" w:rsidR="00133B21" w:rsidRDefault="00133B21">
      <w:pPr>
        <w:spacing w:after="200" w:line="480" w:lineRule="auto"/>
        <w:rPr>
          <w:rFonts w:ascii="Times New Roman" w:eastAsia="Times New Roman" w:hAnsi="Times New Roman" w:cs="Times New Roman"/>
        </w:rPr>
      </w:pPr>
    </w:p>
    <w:p w14:paraId="00000053" w14:textId="77777777" w:rsidR="00133B21" w:rsidRDefault="00784576">
      <w:pPr>
        <w:spacing w:after="200" w:line="480" w:lineRule="auto"/>
        <w:rPr>
          <w:rFonts w:ascii="Times New Roman" w:eastAsia="Times New Roman" w:hAnsi="Times New Roman" w:cs="Times New Roman"/>
          <w:highlight w:val="red"/>
        </w:rPr>
      </w:pPr>
      <w:r>
        <w:rPr>
          <w:rFonts w:ascii="Times New Roman" w:eastAsia="Times New Roman" w:hAnsi="Times New Roman" w:cs="Times New Roman"/>
        </w:rPr>
        <w:t xml:space="preserve">Mallett, R. and Runswick-Cole, K. (2014) </w:t>
      </w:r>
      <w:r>
        <w:rPr>
          <w:rFonts w:ascii="Times New Roman" w:eastAsia="Times New Roman" w:hAnsi="Times New Roman" w:cs="Times New Roman"/>
          <w:i/>
        </w:rPr>
        <w:t xml:space="preserve">Approaching Disability: Critical Issues and Perspectives. </w:t>
      </w:r>
      <w:r>
        <w:rPr>
          <w:rFonts w:ascii="Times New Roman" w:eastAsia="Times New Roman" w:hAnsi="Times New Roman" w:cs="Times New Roman"/>
        </w:rPr>
        <w:t>London: Routledge.</w:t>
      </w:r>
    </w:p>
    <w:p w14:paraId="00000054" w14:textId="77777777" w:rsidR="00133B21" w:rsidRDefault="00133B21">
      <w:pPr>
        <w:spacing w:after="200" w:line="480" w:lineRule="auto"/>
        <w:rPr>
          <w:rFonts w:ascii="Times New Roman" w:eastAsia="Times New Roman" w:hAnsi="Times New Roman" w:cs="Times New Roman"/>
          <w:color w:val="000000"/>
        </w:rPr>
      </w:pPr>
    </w:p>
    <w:p w14:paraId="00000055" w14:textId="77777777" w:rsidR="00133B21" w:rsidRDefault="00784576">
      <w:pPr>
        <w:spacing w:after="200" w:line="480" w:lineRule="auto"/>
        <w:rPr>
          <w:rFonts w:ascii="Times New Roman" w:eastAsia="Times New Roman" w:hAnsi="Times New Roman" w:cs="Times New Roman"/>
        </w:rPr>
      </w:pPr>
      <w:r>
        <w:rPr>
          <w:rFonts w:ascii="Times New Roman" w:eastAsia="Times New Roman" w:hAnsi="Times New Roman" w:cs="Times New Roman"/>
          <w:color w:val="000000"/>
        </w:rPr>
        <w:t xml:space="preserve">Michalko, R. (1999) </w:t>
      </w:r>
      <w:r>
        <w:rPr>
          <w:rFonts w:ascii="Times New Roman" w:eastAsia="Times New Roman" w:hAnsi="Times New Roman" w:cs="Times New Roman"/>
          <w:i/>
          <w:color w:val="000000"/>
        </w:rPr>
        <w:t xml:space="preserve">The Two in One: Walking with Smokie, Walking with Blindness. </w:t>
      </w:r>
      <w:r>
        <w:rPr>
          <w:rFonts w:ascii="Times New Roman" w:eastAsia="Times New Roman" w:hAnsi="Times New Roman" w:cs="Times New Roman"/>
          <w:color w:val="000000"/>
        </w:rPr>
        <w:t>Philadelphia: Temple University Press.</w:t>
      </w:r>
    </w:p>
    <w:p w14:paraId="00000056" w14:textId="77777777" w:rsidR="00133B21" w:rsidRDefault="00133B21">
      <w:pPr>
        <w:spacing w:after="200" w:line="480" w:lineRule="auto"/>
        <w:rPr>
          <w:rFonts w:ascii="Times New Roman" w:eastAsia="Times New Roman" w:hAnsi="Times New Roman" w:cs="Times New Roman"/>
        </w:rPr>
      </w:pPr>
    </w:p>
    <w:p w14:paraId="00000057" w14:textId="77777777" w:rsidR="00133B21" w:rsidRDefault="00784576">
      <w:pPr>
        <w:spacing w:after="200"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Michalko, R. (2001) Blindness Enters the Classroom. </w:t>
      </w:r>
      <w:r>
        <w:rPr>
          <w:rFonts w:ascii="Times New Roman" w:eastAsia="Times New Roman" w:hAnsi="Times New Roman" w:cs="Times New Roman"/>
          <w:i/>
          <w:color w:val="000000"/>
        </w:rPr>
        <w:t xml:space="preserve">Disability &amp; Society. </w:t>
      </w:r>
      <w:r>
        <w:rPr>
          <w:rFonts w:ascii="Times New Roman" w:eastAsia="Times New Roman" w:hAnsi="Times New Roman" w:cs="Times New Roman"/>
          <w:color w:val="000000"/>
        </w:rPr>
        <w:t>16(3), pp. 349-359.</w:t>
      </w:r>
    </w:p>
    <w:p w14:paraId="00000058" w14:textId="77777777" w:rsidR="00133B21" w:rsidRDefault="00133B21">
      <w:pPr>
        <w:spacing w:after="200" w:line="480" w:lineRule="auto"/>
        <w:rPr>
          <w:rFonts w:ascii="Times New Roman" w:eastAsia="Times New Roman" w:hAnsi="Times New Roman" w:cs="Times New Roman"/>
        </w:rPr>
      </w:pPr>
    </w:p>
    <w:p w14:paraId="00000059" w14:textId="77777777" w:rsidR="00133B21" w:rsidRDefault="00784576">
      <w:pPr>
        <w:spacing w:after="200" w:line="480" w:lineRule="auto"/>
        <w:rPr>
          <w:rFonts w:ascii="Times New Roman" w:eastAsia="Times New Roman" w:hAnsi="Times New Roman" w:cs="Times New Roman"/>
        </w:rPr>
      </w:pPr>
      <w:r>
        <w:rPr>
          <w:rFonts w:ascii="Times New Roman" w:eastAsia="Times New Roman" w:hAnsi="Times New Roman" w:cs="Times New Roman"/>
        </w:rPr>
        <w:t xml:space="preserve">Oliver, M. (2004) The Social Model in Action: if I had a hammer. In: Barnes, C. and Mercer, G. (Eds) </w:t>
      </w:r>
      <w:r>
        <w:rPr>
          <w:rFonts w:ascii="Times New Roman" w:eastAsia="Times New Roman" w:hAnsi="Times New Roman" w:cs="Times New Roman"/>
          <w:i/>
        </w:rPr>
        <w:t xml:space="preserve">Implementing the Social Model of Disability: Theory and Research. </w:t>
      </w:r>
      <w:r>
        <w:rPr>
          <w:rFonts w:ascii="Times New Roman" w:eastAsia="Times New Roman" w:hAnsi="Times New Roman" w:cs="Times New Roman"/>
        </w:rPr>
        <w:t>Leeds: The Disability Press, pp. 18-31.</w:t>
      </w:r>
    </w:p>
    <w:p w14:paraId="0000005A" w14:textId="77777777" w:rsidR="00133B21" w:rsidRDefault="00133B21">
      <w:pPr>
        <w:spacing w:after="200" w:line="480" w:lineRule="auto"/>
        <w:rPr>
          <w:rFonts w:ascii="Times New Roman" w:eastAsia="Times New Roman" w:hAnsi="Times New Roman" w:cs="Times New Roman"/>
        </w:rPr>
      </w:pPr>
    </w:p>
    <w:p w14:paraId="0000005B" w14:textId="77777777" w:rsidR="00133B21" w:rsidRDefault="00784576">
      <w:pPr>
        <w:spacing w:after="200" w:line="480" w:lineRule="auto"/>
        <w:rPr>
          <w:rFonts w:ascii="Times New Roman" w:eastAsia="Times New Roman" w:hAnsi="Times New Roman" w:cs="Times New Roman"/>
        </w:rPr>
      </w:pPr>
      <w:r>
        <w:rPr>
          <w:rFonts w:ascii="Times New Roman" w:eastAsia="Times New Roman" w:hAnsi="Times New Roman" w:cs="Times New Roman"/>
        </w:rPr>
        <w:t xml:space="preserve">Rodas, J. (2009) On Blindness. </w:t>
      </w:r>
      <w:r>
        <w:rPr>
          <w:rFonts w:ascii="Times New Roman" w:eastAsia="Times New Roman" w:hAnsi="Times New Roman" w:cs="Times New Roman"/>
          <w:i/>
        </w:rPr>
        <w:t xml:space="preserve">Journal of Literary &amp; Cultural Disability Studies. </w:t>
      </w:r>
      <w:r>
        <w:rPr>
          <w:rFonts w:ascii="Times New Roman" w:eastAsia="Times New Roman" w:hAnsi="Times New Roman" w:cs="Times New Roman"/>
        </w:rPr>
        <w:t>3(2), pp.</w:t>
      </w:r>
    </w:p>
    <w:p w14:paraId="0000005C" w14:textId="77777777" w:rsidR="00133B21" w:rsidRDefault="00784576">
      <w:pPr>
        <w:spacing w:after="200" w:line="480" w:lineRule="auto"/>
        <w:rPr>
          <w:rFonts w:ascii="Times New Roman" w:eastAsia="Times New Roman" w:hAnsi="Times New Roman" w:cs="Times New Roman"/>
        </w:rPr>
      </w:pPr>
      <w:r>
        <w:rPr>
          <w:rFonts w:ascii="Times New Roman" w:eastAsia="Times New Roman" w:hAnsi="Times New Roman" w:cs="Times New Roman"/>
        </w:rPr>
        <w:t>115-130.</w:t>
      </w:r>
    </w:p>
    <w:p w14:paraId="0000005D" w14:textId="77777777" w:rsidR="00133B21" w:rsidRDefault="00133B21">
      <w:pPr>
        <w:spacing w:after="200" w:line="480" w:lineRule="auto"/>
        <w:rPr>
          <w:rFonts w:ascii="Times New Roman" w:eastAsia="Times New Roman" w:hAnsi="Times New Roman" w:cs="Times New Roman"/>
        </w:rPr>
      </w:pPr>
    </w:p>
    <w:p w14:paraId="0000005E" w14:textId="77777777" w:rsidR="00133B21" w:rsidRDefault="00784576">
      <w:pPr>
        <w:spacing w:after="200" w:line="480" w:lineRule="auto"/>
        <w:rPr>
          <w:rFonts w:ascii="Times New Roman" w:eastAsia="Times New Roman" w:hAnsi="Times New Roman" w:cs="Times New Roman"/>
        </w:rPr>
      </w:pPr>
      <w:r>
        <w:rPr>
          <w:rFonts w:ascii="Times New Roman" w:eastAsia="Times New Roman" w:hAnsi="Times New Roman" w:cs="Times New Roman"/>
          <w:color w:val="000000"/>
        </w:rPr>
        <w:t xml:space="preserve">Scott, R. (1991) </w:t>
      </w:r>
      <w:r>
        <w:rPr>
          <w:rFonts w:ascii="Times New Roman" w:eastAsia="Times New Roman" w:hAnsi="Times New Roman" w:cs="Times New Roman"/>
          <w:i/>
          <w:color w:val="000000"/>
        </w:rPr>
        <w:t xml:space="preserve">The Making of Blind Men: A Study of Adult Socialization. </w:t>
      </w:r>
      <w:r>
        <w:rPr>
          <w:rFonts w:ascii="Times New Roman" w:eastAsia="Times New Roman" w:hAnsi="Times New Roman" w:cs="Times New Roman"/>
          <w:color w:val="000000"/>
        </w:rPr>
        <w:t>New Brunswick: Transaction Publishers.</w:t>
      </w:r>
    </w:p>
    <w:p w14:paraId="0000005F" w14:textId="77777777" w:rsidR="00133B21" w:rsidRDefault="00133B21">
      <w:pPr>
        <w:spacing w:after="200" w:line="480" w:lineRule="auto"/>
        <w:rPr>
          <w:rFonts w:ascii="Times New Roman" w:eastAsia="Times New Roman" w:hAnsi="Times New Roman" w:cs="Times New Roman"/>
        </w:rPr>
      </w:pPr>
    </w:p>
    <w:p w14:paraId="00000060" w14:textId="66EB4229" w:rsidR="00133B21" w:rsidRPr="007A39FE" w:rsidRDefault="00784576">
      <w:pPr>
        <w:spacing w:after="200" w:line="480" w:lineRule="auto"/>
        <w:rPr>
          <w:rFonts w:ascii="Times New Roman" w:eastAsia="Times New Roman" w:hAnsi="Times New Roman" w:cs="Times New Roman"/>
        </w:rPr>
      </w:pPr>
      <w:proofErr w:type="spellStart"/>
      <w:r>
        <w:rPr>
          <w:rFonts w:ascii="Times New Roman" w:eastAsia="Times New Roman" w:hAnsi="Times New Roman" w:cs="Times New Roman"/>
        </w:rPr>
        <w:t>Seigworth</w:t>
      </w:r>
      <w:proofErr w:type="spellEnd"/>
      <w:r w:rsidR="007A39FE">
        <w:rPr>
          <w:rFonts w:ascii="Times New Roman" w:eastAsia="Times New Roman" w:hAnsi="Times New Roman" w:cs="Times New Roman"/>
        </w:rPr>
        <w:t>, G.</w:t>
      </w:r>
      <w:r>
        <w:rPr>
          <w:rFonts w:ascii="Times New Roman" w:eastAsia="Times New Roman" w:hAnsi="Times New Roman" w:cs="Times New Roman"/>
        </w:rPr>
        <w:t xml:space="preserve"> and Gregg</w:t>
      </w:r>
      <w:r w:rsidR="007A39FE">
        <w:rPr>
          <w:rFonts w:ascii="Times New Roman" w:eastAsia="Times New Roman" w:hAnsi="Times New Roman" w:cs="Times New Roman"/>
        </w:rPr>
        <w:t>, M.</w:t>
      </w:r>
      <w:r>
        <w:rPr>
          <w:rFonts w:ascii="Times New Roman" w:eastAsia="Times New Roman" w:hAnsi="Times New Roman" w:cs="Times New Roman"/>
        </w:rPr>
        <w:t xml:space="preserve"> (2010)</w:t>
      </w:r>
      <w:r w:rsidR="007A39FE">
        <w:rPr>
          <w:rFonts w:ascii="Times New Roman" w:eastAsia="Times New Roman" w:hAnsi="Times New Roman" w:cs="Times New Roman"/>
        </w:rPr>
        <w:t xml:space="preserve"> An Inventory of Shimmers. In </w:t>
      </w:r>
      <w:proofErr w:type="spellStart"/>
      <w:r w:rsidR="007A39FE">
        <w:rPr>
          <w:rFonts w:ascii="Times New Roman" w:eastAsia="Times New Roman" w:hAnsi="Times New Roman" w:cs="Times New Roman"/>
        </w:rPr>
        <w:t>Seigworth</w:t>
      </w:r>
      <w:proofErr w:type="spellEnd"/>
      <w:r w:rsidR="007A39FE">
        <w:rPr>
          <w:rFonts w:ascii="Times New Roman" w:eastAsia="Times New Roman" w:hAnsi="Times New Roman" w:cs="Times New Roman"/>
        </w:rPr>
        <w:t xml:space="preserve">, G. and Gregg, M. (eds) </w:t>
      </w:r>
      <w:r w:rsidR="007A39FE">
        <w:rPr>
          <w:rFonts w:ascii="Times New Roman" w:eastAsia="Times New Roman" w:hAnsi="Times New Roman" w:cs="Times New Roman"/>
          <w:i/>
        </w:rPr>
        <w:t xml:space="preserve">The Affect Theory Reader. </w:t>
      </w:r>
      <w:r w:rsidR="007A39FE">
        <w:rPr>
          <w:rFonts w:ascii="Times New Roman" w:eastAsia="Times New Roman" w:hAnsi="Times New Roman" w:cs="Times New Roman"/>
        </w:rPr>
        <w:t>Durham: Duke University Press, pp. 1-29.</w:t>
      </w:r>
    </w:p>
    <w:p w14:paraId="00000061" w14:textId="77777777" w:rsidR="00133B21" w:rsidRDefault="00133B21">
      <w:pPr>
        <w:spacing w:after="200" w:line="480" w:lineRule="auto"/>
        <w:rPr>
          <w:rFonts w:ascii="Times New Roman" w:eastAsia="Times New Roman" w:hAnsi="Times New Roman" w:cs="Times New Roman"/>
        </w:rPr>
      </w:pPr>
    </w:p>
    <w:p w14:paraId="00000062" w14:textId="77777777" w:rsidR="00133B21" w:rsidRDefault="00784576">
      <w:pPr>
        <w:spacing w:after="200" w:line="480" w:lineRule="auto"/>
        <w:rPr>
          <w:rFonts w:ascii="Times New Roman" w:eastAsia="Times New Roman" w:hAnsi="Times New Roman" w:cs="Times New Roman"/>
        </w:rPr>
      </w:pPr>
      <w:r>
        <w:rPr>
          <w:rFonts w:ascii="Times New Roman" w:eastAsia="Times New Roman" w:hAnsi="Times New Roman" w:cs="Times New Roman"/>
        </w:rPr>
        <w:t xml:space="preserve">Shakespeare, T. (1994) Cultural Representation of Disabled People: Dustbins for Disavowal? </w:t>
      </w:r>
      <w:r>
        <w:rPr>
          <w:rFonts w:ascii="Times New Roman" w:eastAsia="Times New Roman" w:hAnsi="Times New Roman" w:cs="Times New Roman"/>
          <w:i/>
        </w:rPr>
        <w:t xml:space="preserve">Disability &amp; Society. </w:t>
      </w:r>
      <w:r>
        <w:rPr>
          <w:rFonts w:ascii="Times New Roman" w:eastAsia="Times New Roman" w:hAnsi="Times New Roman" w:cs="Times New Roman"/>
        </w:rPr>
        <w:t>9(3), pp. 283-299.</w:t>
      </w:r>
    </w:p>
    <w:p w14:paraId="00000063" w14:textId="77777777" w:rsidR="00133B21" w:rsidRDefault="00133B21">
      <w:pPr>
        <w:spacing w:after="200" w:line="480" w:lineRule="auto"/>
        <w:rPr>
          <w:rFonts w:ascii="Times New Roman" w:eastAsia="Times New Roman" w:hAnsi="Times New Roman" w:cs="Times New Roman"/>
        </w:rPr>
      </w:pPr>
    </w:p>
    <w:p w14:paraId="00000064" w14:textId="77777777" w:rsidR="00133B21" w:rsidRDefault="00784576">
      <w:pPr>
        <w:spacing w:after="200" w:line="480" w:lineRule="auto"/>
        <w:rPr>
          <w:rFonts w:ascii="Times New Roman" w:eastAsia="Times New Roman" w:hAnsi="Times New Roman" w:cs="Times New Roman"/>
        </w:rPr>
      </w:pPr>
      <w:r>
        <w:rPr>
          <w:rFonts w:ascii="Times New Roman" w:eastAsia="Times New Roman" w:hAnsi="Times New Roman" w:cs="Times New Roman"/>
          <w:color w:val="000000"/>
        </w:rPr>
        <w:t xml:space="preserve">Shakespeare, T. (2015) </w:t>
      </w:r>
      <w:r>
        <w:rPr>
          <w:rFonts w:ascii="Times New Roman" w:eastAsia="Times New Roman" w:hAnsi="Times New Roman" w:cs="Times New Roman"/>
          <w:i/>
          <w:color w:val="000000"/>
        </w:rPr>
        <w:t xml:space="preserve">Disability Research Today: International Perspectives. </w:t>
      </w:r>
      <w:r>
        <w:rPr>
          <w:rFonts w:ascii="Times New Roman" w:eastAsia="Times New Roman" w:hAnsi="Times New Roman" w:cs="Times New Roman"/>
          <w:color w:val="000000"/>
        </w:rPr>
        <w:t>London: Routledge.</w:t>
      </w:r>
    </w:p>
    <w:p w14:paraId="00000065" w14:textId="77777777" w:rsidR="00133B21" w:rsidRDefault="00133B21">
      <w:pPr>
        <w:spacing w:after="200" w:line="480" w:lineRule="auto"/>
        <w:rPr>
          <w:rFonts w:ascii="Times New Roman" w:eastAsia="Times New Roman" w:hAnsi="Times New Roman" w:cs="Times New Roman"/>
        </w:rPr>
      </w:pPr>
    </w:p>
    <w:p w14:paraId="00000066" w14:textId="77777777" w:rsidR="00133B21" w:rsidRDefault="00784576">
      <w:pPr>
        <w:spacing w:after="200" w:line="48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Siebers, T. (2014) Returning the Social to the Social Model. </w:t>
      </w:r>
      <w:r>
        <w:rPr>
          <w:rFonts w:ascii="Times New Roman" w:eastAsia="Times New Roman" w:hAnsi="Times New Roman" w:cs="Times New Roman"/>
          <w:i/>
        </w:rPr>
        <w:t>Non-Normative Positivisms: Towards a Methodology of Critical Embodiment.</w:t>
      </w:r>
      <w:r>
        <w:rPr>
          <w:rFonts w:ascii="Times New Roman" w:eastAsia="Times New Roman" w:hAnsi="Times New Roman" w:cs="Times New Roman"/>
        </w:rPr>
        <w:t xml:space="preserve"> Minneapolis.</w:t>
      </w:r>
    </w:p>
    <w:p w14:paraId="00000067" w14:textId="77777777" w:rsidR="00133B21" w:rsidRDefault="00784576">
      <w:pPr>
        <w:spacing w:after="200" w:line="48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68" w14:textId="77777777" w:rsidR="00133B21" w:rsidRDefault="00784576">
      <w:pPr>
        <w:spacing w:after="200" w:line="480" w:lineRule="auto"/>
        <w:jc w:val="both"/>
        <w:rPr>
          <w:rFonts w:ascii="Times New Roman" w:eastAsia="Times New Roman" w:hAnsi="Times New Roman" w:cs="Times New Roman"/>
        </w:rPr>
      </w:pPr>
      <w:r>
        <w:rPr>
          <w:rFonts w:ascii="Times New Roman" w:eastAsia="Times New Roman" w:hAnsi="Times New Roman" w:cs="Times New Roman"/>
        </w:rPr>
        <w:t xml:space="preserve">Siebers, T. (2015) Introduction: Disability and Visual Culture. </w:t>
      </w:r>
      <w:r>
        <w:rPr>
          <w:rFonts w:ascii="Times New Roman" w:eastAsia="Times New Roman" w:hAnsi="Times New Roman" w:cs="Times New Roman"/>
          <w:i/>
        </w:rPr>
        <w:t xml:space="preserve">Journal of Literary &amp; Cultural Disability Studies. </w:t>
      </w:r>
      <w:r>
        <w:rPr>
          <w:rFonts w:ascii="Times New Roman" w:eastAsia="Times New Roman" w:hAnsi="Times New Roman" w:cs="Times New Roman"/>
        </w:rPr>
        <w:t>9(3), pp. 239-246.</w:t>
      </w:r>
    </w:p>
    <w:p w14:paraId="00000069" w14:textId="77777777" w:rsidR="00133B21" w:rsidRDefault="00133B21">
      <w:pPr>
        <w:spacing w:after="200" w:line="480" w:lineRule="auto"/>
        <w:jc w:val="both"/>
        <w:rPr>
          <w:rFonts w:ascii="Times New Roman" w:eastAsia="Times New Roman" w:hAnsi="Times New Roman" w:cs="Times New Roman"/>
        </w:rPr>
      </w:pPr>
    </w:p>
    <w:p w14:paraId="0000006A" w14:textId="77777777" w:rsidR="00133B21" w:rsidRDefault="00784576">
      <w:pPr>
        <w:spacing w:after="200" w:line="480" w:lineRule="auto"/>
        <w:jc w:val="both"/>
        <w:rPr>
          <w:rFonts w:ascii="Times New Roman" w:eastAsia="Times New Roman" w:hAnsi="Times New Roman" w:cs="Times New Roman"/>
        </w:rPr>
      </w:pPr>
      <w:proofErr w:type="spellStart"/>
      <w:r>
        <w:rPr>
          <w:rFonts w:ascii="Times New Roman" w:eastAsia="Times New Roman" w:hAnsi="Times New Roman" w:cs="Times New Roman"/>
        </w:rPr>
        <w:t>Tonkiss</w:t>
      </w:r>
      <w:proofErr w:type="spellEnd"/>
      <w:r>
        <w:rPr>
          <w:rFonts w:ascii="Times New Roman" w:eastAsia="Times New Roman" w:hAnsi="Times New Roman" w:cs="Times New Roman"/>
        </w:rPr>
        <w:t xml:space="preserve">, F. (2003) The ethics of indifference: community and solitude in the city. </w:t>
      </w:r>
      <w:r>
        <w:rPr>
          <w:rFonts w:ascii="Times New Roman" w:eastAsia="Times New Roman" w:hAnsi="Times New Roman" w:cs="Times New Roman"/>
          <w:i/>
        </w:rPr>
        <w:t xml:space="preserve">International Journal of Cultural Studies. </w:t>
      </w:r>
      <w:r>
        <w:rPr>
          <w:rFonts w:ascii="Times New Roman" w:eastAsia="Times New Roman" w:hAnsi="Times New Roman" w:cs="Times New Roman"/>
        </w:rPr>
        <w:t>6(3), pp. 297-311.</w:t>
      </w:r>
    </w:p>
    <w:p w14:paraId="0000006B" w14:textId="77777777" w:rsidR="00133B21" w:rsidRDefault="00133B21">
      <w:pPr>
        <w:spacing w:after="200" w:line="480" w:lineRule="auto"/>
        <w:rPr>
          <w:rFonts w:ascii="Times New Roman" w:eastAsia="Times New Roman" w:hAnsi="Times New Roman" w:cs="Times New Roman"/>
        </w:rPr>
      </w:pPr>
    </w:p>
    <w:p w14:paraId="0000006C" w14:textId="77777777" w:rsidR="00133B21" w:rsidRDefault="00784576">
      <w:pPr>
        <w:spacing w:after="200" w:line="480" w:lineRule="auto"/>
        <w:jc w:val="both"/>
        <w:rPr>
          <w:rFonts w:ascii="Times New Roman" w:eastAsia="Times New Roman" w:hAnsi="Times New Roman" w:cs="Times New Roman"/>
        </w:rPr>
      </w:pPr>
      <w:r>
        <w:rPr>
          <w:rFonts w:ascii="Times New Roman" w:eastAsia="Times New Roman" w:hAnsi="Times New Roman" w:cs="Times New Roman"/>
        </w:rPr>
        <w:t xml:space="preserve">Wetherell, M. (2015) Trends in the Turn to Affect: A Social Psychological Critique. </w:t>
      </w:r>
      <w:r>
        <w:rPr>
          <w:rFonts w:ascii="Times New Roman" w:eastAsia="Times New Roman" w:hAnsi="Times New Roman" w:cs="Times New Roman"/>
          <w:i/>
        </w:rPr>
        <w:t xml:space="preserve">Body &amp; Society. </w:t>
      </w:r>
      <w:r>
        <w:rPr>
          <w:rFonts w:ascii="Times New Roman" w:eastAsia="Times New Roman" w:hAnsi="Times New Roman" w:cs="Times New Roman"/>
        </w:rPr>
        <w:t>21(2), pp. 139-166.</w:t>
      </w:r>
    </w:p>
    <w:p w14:paraId="0000006D" w14:textId="77777777" w:rsidR="00133B21" w:rsidRDefault="00784576">
      <w:pPr>
        <w:spacing w:after="200" w:line="48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6E" w14:textId="77777777" w:rsidR="00133B21" w:rsidRDefault="00784576">
      <w:pPr>
        <w:spacing w:after="200" w:line="480" w:lineRule="auto"/>
        <w:jc w:val="both"/>
        <w:rPr>
          <w:rFonts w:ascii="Times New Roman" w:eastAsia="Times New Roman" w:hAnsi="Times New Roman" w:cs="Times New Roman"/>
          <w:highlight w:val="red"/>
        </w:rPr>
      </w:pPr>
      <w:r>
        <w:rPr>
          <w:rFonts w:ascii="Times New Roman" w:eastAsia="Times New Roman" w:hAnsi="Times New Roman" w:cs="Times New Roman"/>
        </w:rPr>
        <w:t xml:space="preserve">Wetherell, M. McConville, A. and </w:t>
      </w:r>
      <w:proofErr w:type="spellStart"/>
      <w:r>
        <w:rPr>
          <w:rFonts w:ascii="Times New Roman" w:eastAsia="Times New Roman" w:hAnsi="Times New Roman" w:cs="Times New Roman"/>
        </w:rPr>
        <w:t>McCreanor</w:t>
      </w:r>
      <w:proofErr w:type="spellEnd"/>
      <w:r>
        <w:rPr>
          <w:rFonts w:ascii="Times New Roman" w:eastAsia="Times New Roman" w:hAnsi="Times New Roman" w:cs="Times New Roman"/>
        </w:rPr>
        <w:t xml:space="preserve">, T. (2020) Defrosting the freezer and other acts of quiet resistance: Affective practice theory, everyday activism and affective dilemmas. </w:t>
      </w:r>
      <w:r>
        <w:rPr>
          <w:rFonts w:ascii="Times New Roman" w:eastAsia="Times New Roman" w:hAnsi="Times New Roman" w:cs="Times New Roman"/>
          <w:i/>
        </w:rPr>
        <w:t xml:space="preserve">Qualitative Research in Psychology. </w:t>
      </w:r>
      <w:r>
        <w:rPr>
          <w:rFonts w:ascii="Times New Roman" w:eastAsia="Times New Roman" w:hAnsi="Times New Roman" w:cs="Times New Roman"/>
        </w:rPr>
        <w:t>17(1), pp. 13-35.</w:t>
      </w:r>
    </w:p>
    <w:p w14:paraId="0000006F" w14:textId="77777777" w:rsidR="00133B21" w:rsidRDefault="00133B21">
      <w:pPr>
        <w:spacing w:after="200" w:line="480" w:lineRule="auto"/>
        <w:rPr>
          <w:rFonts w:ascii="Times New Roman" w:eastAsia="Times New Roman" w:hAnsi="Times New Roman" w:cs="Times New Roman"/>
        </w:rPr>
      </w:pPr>
    </w:p>
    <w:p w14:paraId="00000070" w14:textId="77777777" w:rsidR="00133B21" w:rsidRDefault="00784576">
      <w:pPr>
        <w:spacing w:after="200" w:line="480" w:lineRule="auto"/>
        <w:rPr>
          <w:rFonts w:ascii="Times New Roman" w:eastAsia="Times New Roman" w:hAnsi="Times New Roman" w:cs="Times New Roman"/>
        </w:rPr>
      </w:pPr>
      <w:proofErr w:type="spellStart"/>
      <w:r>
        <w:rPr>
          <w:rFonts w:ascii="Times New Roman" w:eastAsia="Times New Roman" w:hAnsi="Times New Roman" w:cs="Times New Roman"/>
        </w:rPr>
        <w:t>Yaron</w:t>
      </w:r>
      <w:proofErr w:type="spellEnd"/>
      <w:r>
        <w:rPr>
          <w:rFonts w:ascii="Times New Roman" w:eastAsia="Times New Roman" w:hAnsi="Times New Roman" w:cs="Times New Roman"/>
        </w:rPr>
        <w:t xml:space="preserve">, G. </w:t>
      </w:r>
      <w:proofErr w:type="spellStart"/>
      <w:r>
        <w:rPr>
          <w:rFonts w:ascii="Times New Roman" w:eastAsia="Times New Roman" w:hAnsi="Times New Roman" w:cs="Times New Roman"/>
        </w:rPr>
        <w:t>Meershoek</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Widdershoven</w:t>
      </w:r>
      <w:proofErr w:type="spellEnd"/>
      <w:r>
        <w:rPr>
          <w:rFonts w:ascii="Times New Roman" w:eastAsia="Times New Roman" w:hAnsi="Times New Roman" w:cs="Times New Roman"/>
        </w:rPr>
        <w:t xml:space="preserve">, G. and </w:t>
      </w:r>
      <w:proofErr w:type="spellStart"/>
      <w:r>
        <w:rPr>
          <w:rFonts w:ascii="Times New Roman" w:eastAsia="Times New Roman" w:hAnsi="Times New Roman" w:cs="Times New Roman"/>
        </w:rPr>
        <w:t>Slatman</w:t>
      </w:r>
      <w:proofErr w:type="spellEnd"/>
      <w:r>
        <w:rPr>
          <w:rFonts w:ascii="Times New Roman" w:eastAsia="Times New Roman" w:hAnsi="Times New Roman" w:cs="Times New Roman"/>
        </w:rPr>
        <w:t xml:space="preserve">, J. (2018) Recognizing difference: in/visibility in the everyday life of individuals with facial limb absence. </w:t>
      </w:r>
      <w:r>
        <w:rPr>
          <w:rFonts w:ascii="Times New Roman" w:eastAsia="Times New Roman" w:hAnsi="Times New Roman" w:cs="Times New Roman"/>
          <w:i/>
        </w:rPr>
        <w:t xml:space="preserve">Disability &amp; Society. </w:t>
      </w:r>
      <w:r>
        <w:rPr>
          <w:rFonts w:ascii="Times New Roman" w:eastAsia="Times New Roman" w:hAnsi="Times New Roman" w:cs="Times New Roman"/>
        </w:rPr>
        <w:t>33(5), pp. 743-762.</w:t>
      </w:r>
    </w:p>
    <w:sectPr w:rsidR="00133B21">
      <w:pgSz w:w="11900" w:h="16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B21"/>
    <w:rsid w:val="00133B21"/>
    <w:rsid w:val="0015462E"/>
    <w:rsid w:val="003871A0"/>
    <w:rsid w:val="00784576"/>
    <w:rsid w:val="007A39FE"/>
    <w:rsid w:val="009A0B3F"/>
    <w:rsid w:val="00EB736C"/>
    <w:rsid w:val="00EE5E72"/>
    <w:rsid w:val="00F02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CCA2A"/>
  <w15:docId w15:val="{60245700-6307-490C-B635-5DA81C889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DE073D"/>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A27CFE"/>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doi.org/10.1080/09687599.2020.175107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DFYxIVm6Gvr/w/fK2+CoQCzCcA==">AMUW2mVoAASLgDulLkSsKmrjcXXRIFIBisdZ7OeD4K2UzVcYZCE9xqehACOEMsjZjBRLZvmiXXhi8rpdtYCqZBi6namRTFCYa7ZtI+bNbAzYN2YauGRDgdrp0JiUMey1ygQ2ChOsFCDu84Z/xaR2G4rGmcxpJWv96NZV7wOOwPZYir6tsOWnzEg=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4726</Words>
  <Characters>26942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31605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burchl@hope.ac.uk</cp:lastModifiedBy>
  <cp:revision>2</cp:revision>
  <dcterms:created xsi:type="dcterms:W3CDTF">2022-06-20T11:25:00Z</dcterms:created>
  <dcterms:modified xsi:type="dcterms:W3CDTF">2022-06-20T11:25:00Z</dcterms:modified>
</cp:coreProperties>
</file>