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AF16" w14:textId="33CAC483" w:rsidR="00A279DF" w:rsidRPr="00E8281A" w:rsidRDefault="009134E0" w:rsidP="00A279DF">
      <w:pPr>
        <w:spacing w:line="480" w:lineRule="auto"/>
        <w:jc w:val="center"/>
        <w:outlineLvl w:val="0"/>
        <w:rPr>
          <w:b/>
          <w:bCs/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 </w:t>
      </w:r>
      <w:r w:rsidR="0059334C" w:rsidRPr="00E8281A">
        <w:rPr>
          <w:b/>
          <w:bCs/>
          <w:color w:val="000000" w:themeColor="text1"/>
          <w:szCs w:val="20"/>
          <w:lang w:eastAsia="zh-HK"/>
        </w:rPr>
        <w:t>Abstract</w:t>
      </w:r>
    </w:p>
    <w:p w14:paraId="2345B397" w14:textId="1548B9C0" w:rsidR="00A279DF" w:rsidRPr="00E8281A" w:rsidRDefault="001332F2" w:rsidP="00A279DF">
      <w:pPr>
        <w:spacing w:line="480" w:lineRule="auto"/>
        <w:rPr>
          <w:color w:val="000000" w:themeColor="text1"/>
          <w:highlight w:val="yellow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>This</w:t>
      </w:r>
      <w:r w:rsidR="000F7269" w:rsidRPr="00E8281A">
        <w:rPr>
          <w:color w:val="000000" w:themeColor="text1"/>
          <w:szCs w:val="20"/>
          <w:lang w:eastAsia="zh-HK"/>
        </w:rPr>
        <w:t xml:space="preserve"> study examined </w:t>
      </w:r>
      <w:r w:rsidR="00471CB6" w:rsidRPr="00E8281A">
        <w:rPr>
          <w:color w:val="000000" w:themeColor="text1"/>
          <w:szCs w:val="20"/>
          <w:lang w:eastAsia="zh-HK"/>
        </w:rPr>
        <w:t xml:space="preserve">the </w:t>
      </w:r>
      <w:r w:rsidR="00D5054E" w:rsidRPr="00E8281A">
        <w:rPr>
          <w:color w:val="000000" w:themeColor="text1"/>
          <w:szCs w:val="20"/>
          <w:lang w:eastAsia="zh-HK"/>
        </w:rPr>
        <w:t>bidirectional</w:t>
      </w:r>
      <w:r w:rsidR="00A040F6" w:rsidRPr="00E8281A">
        <w:rPr>
          <w:color w:val="000000" w:themeColor="text1"/>
          <w:szCs w:val="20"/>
          <w:lang w:eastAsia="zh-HK"/>
        </w:rPr>
        <w:t xml:space="preserve"> relationship</w:t>
      </w:r>
      <w:r w:rsidR="00D5054E" w:rsidRPr="00E8281A">
        <w:rPr>
          <w:color w:val="000000" w:themeColor="text1"/>
          <w:szCs w:val="20"/>
          <w:lang w:eastAsia="zh-HK"/>
        </w:rPr>
        <w:t xml:space="preserve"> </w:t>
      </w:r>
      <w:r w:rsidR="00F61631" w:rsidRPr="00E8281A">
        <w:rPr>
          <w:color w:val="000000" w:themeColor="text1"/>
          <w:szCs w:val="20"/>
          <w:lang w:eastAsia="zh-HK"/>
        </w:rPr>
        <w:t>between</w:t>
      </w:r>
      <w:r w:rsidR="00D5054E" w:rsidRPr="00E8281A">
        <w:rPr>
          <w:color w:val="000000" w:themeColor="text1"/>
          <w:szCs w:val="20"/>
          <w:lang w:eastAsia="zh-HK"/>
        </w:rPr>
        <w:t xml:space="preserve"> children’s </w:t>
      </w:r>
      <w:r w:rsidR="00471CB6" w:rsidRPr="00E8281A">
        <w:rPr>
          <w:color w:val="000000" w:themeColor="text1"/>
          <w:szCs w:val="20"/>
          <w:lang w:eastAsia="zh-HK"/>
        </w:rPr>
        <w:t>playfulness</w:t>
      </w:r>
      <w:r w:rsidR="00515AD6" w:rsidRPr="00E8281A">
        <w:rPr>
          <w:color w:val="000000" w:themeColor="text1"/>
          <w:szCs w:val="20"/>
          <w:lang w:eastAsia="zh-HK"/>
        </w:rPr>
        <w:t xml:space="preserve"> and creative potential</w:t>
      </w:r>
      <w:r w:rsidR="00F22ACD" w:rsidRPr="00E8281A">
        <w:rPr>
          <w:color w:val="000000" w:themeColor="text1"/>
          <w:szCs w:val="20"/>
          <w:lang w:eastAsia="zh-HK"/>
        </w:rPr>
        <w:t xml:space="preserve"> </w:t>
      </w:r>
      <w:r w:rsidR="00D5054E" w:rsidRPr="00E8281A">
        <w:rPr>
          <w:color w:val="000000" w:themeColor="text1"/>
          <w:szCs w:val="20"/>
          <w:lang w:eastAsia="zh-HK"/>
        </w:rPr>
        <w:t>and how these factors were longitudinally related to overexcitabilities.</w:t>
      </w:r>
      <w:r w:rsidR="000F7269" w:rsidRPr="00E8281A">
        <w:rPr>
          <w:color w:val="000000" w:themeColor="text1"/>
          <w:szCs w:val="20"/>
          <w:lang w:eastAsia="zh-HK"/>
        </w:rPr>
        <w:t xml:space="preserve"> </w:t>
      </w:r>
      <w:r w:rsidR="009517B3">
        <w:rPr>
          <w:color w:val="000000" w:themeColor="text1"/>
          <w:szCs w:val="20"/>
          <w:lang w:eastAsia="zh-HK"/>
        </w:rPr>
        <w:t xml:space="preserve">The </w:t>
      </w:r>
      <w:r w:rsidR="009517B3">
        <w:rPr>
          <w:bCs/>
          <w:color w:val="000000" w:themeColor="text1"/>
        </w:rPr>
        <w:t>p</w:t>
      </w:r>
      <w:r w:rsidR="00D5054E" w:rsidRPr="00E8281A">
        <w:rPr>
          <w:bCs/>
          <w:color w:val="000000" w:themeColor="text1"/>
        </w:rPr>
        <w:t xml:space="preserve">articipants were parents and teachers of 139 Hong Kong kindergarten children </w:t>
      </w:r>
      <w:r w:rsidR="00D5054E" w:rsidRPr="00E8281A">
        <w:rPr>
          <w:color w:val="000000" w:themeColor="text1"/>
          <w:szCs w:val="20"/>
          <w:lang w:eastAsia="zh-HK"/>
        </w:rPr>
        <w:t>(</w:t>
      </w:r>
      <w:r w:rsidR="00D5054E" w:rsidRPr="00E8281A">
        <w:rPr>
          <w:bCs/>
          <w:color w:val="000000" w:themeColor="text1"/>
        </w:rPr>
        <w:t>52.1% boys, mean age = 4.4 years</w:t>
      </w:r>
      <w:r w:rsidR="003523C6" w:rsidRPr="00E8281A">
        <w:rPr>
          <w:bCs/>
          <w:color w:val="000000" w:themeColor="text1"/>
        </w:rPr>
        <w:t>, age range = 3.4 to 5.9 years</w:t>
      </w:r>
      <w:r w:rsidR="00D5054E" w:rsidRPr="00E8281A">
        <w:rPr>
          <w:bCs/>
          <w:color w:val="000000" w:themeColor="text1"/>
        </w:rPr>
        <w:t>)</w:t>
      </w:r>
      <w:r w:rsidR="000F7269" w:rsidRPr="00E8281A">
        <w:rPr>
          <w:color w:val="000000" w:themeColor="text1"/>
          <w:lang w:eastAsia="zh-HK"/>
        </w:rPr>
        <w:t xml:space="preserve">. </w:t>
      </w:r>
      <w:r w:rsidR="00457EF9" w:rsidRPr="00E8281A">
        <w:rPr>
          <w:color w:val="000000" w:themeColor="text1"/>
          <w:lang w:eastAsia="zh-HK"/>
        </w:rPr>
        <w:t xml:space="preserve">At Time 1, </w:t>
      </w:r>
      <w:r w:rsidR="009517B3">
        <w:rPr>
          <w:color w:val="000000" w:themeColor="text1"/>
          <w:lang w:eastAsia="zh-HK"/>
        </w:rPr>
        <w:t xml:space="preserve">the </w:t>
      </w:r>
      <w:r w:rsidR="00457EF9" w:rsidRPr="00E8281A">
        <w:rPr>
          <w:color w:val="000000" w:themeColor="text1"/>
          <w:lang w:eastAsia="zh-HK"/>
        </w:rPr>
        <w:t>p</w:t>
      </w:r>
      <w:r w:rsidR="00F22ACD" w:rsidRPr="00E8281A">
        <w:rPr>
          <w:color w:val="000000" w:themeColor="text1"/>
          <w:lang w:eastAsia="zh-HK"/>
        </w:rPr>
        <w:t>arents</w:t>
      </w:r>
      <w:r w:rsidR="00616920" w:rsidRPr="00E8281A">
        <w:rPr>
          <w:color w:val="000000" w:themeColor="text1"/>
          <w:lang w:eastAsia="zh-HK"/>
        </w:rPr>
        <w:t xml:space="preserve"> </w:t>
      </w:r>
      <w:r w:rsidR="00F22ACD" w:rsidRPr="00E8281A">
        <w:rPr>
          <w:color w:val="000000" w:themeColor="text1"/>
          <w:szCs w:val="20"/>
          <w:lang w:eastAsia="zh-HK"/>
        </w:rPr>
        <w:t>reported their child</w:t>
      </w:r>
      <w:r w:rsidR="00B438DC" w:rsidRPr="00E8281A">
        <w:rPr>
          <w:color w:val="000000" w:themeColor="text1"/>
          <w:szCs w:val="20"/>
          <w:lang w:eastAsia="zh-HK"/>
        </w:rPr>
        <w:t>ren</w:t>
      </w:r>
      <w:r w:rsidR="00F22ACD" w:rsidRPr="00E8281A">
        <w:rPr>
          <w:color w:val="000000" w:themeColor="text1"/>
          <w:szCs w:val="20"/>
          <w:lang w:eastAsia="zh-HK"/>
        </w:rPr>
        <w:t>’s overexcitabilities (imaginational, psychomotor, sensual, intellectual, and emotional)</w:t>
      </w:r>
      <w:r w:rsidR="00E50020" w:rsidRPr="00E8281A">
        <w:rPr>
          <w:color w:val="000000" w:themeColor="text1"/>
          <w:szCs w:val="20"/>
          <w:lang w:eastAsia="zh-HK"/>
        </w:rPr>
        <w:t>,</w:t>
      </w:r>
      <w:r w:rsidR="00184148" w:rsidRPr="00E8281A">
        <w:rPr>
          <w:color w:val="000000" w:themeColor="text1"/>
          <w:szCs w:val="20"/>
          <w:lang w:eastAsia="zh-HK"/>
        </w:rPr>
        <w:t xml:space="preserve"> </w:t>
      </w:r>
      <w:r w:rsidR="00F22ACD" w:rsidRPr="00E8281A">
        <w:rPr>
          <w:color w:val="000000" w:themeColor="text1"/>
          <w:szCs w:val="20"/>
          <w:lang w:eastAsia="zh-HK"/>
        </w:rPr>
        <w:t>a</w:t>
      </w:r>
      <w:r w:rsidR="00616920" w:rsidRPr="00E8281A">
        <w:rPr>
          <w:color w:val="000000" w:themeColor="text1"/>
          <w:lang w:eastAsia="zh-HK"/>
        </w:rPr>
        <w:t>nd</w:t>
      </w:r>
      <w:r w:rsidR="009517B3">
        <w:rPr>
          <w:color w:val="000000" w:themeColor="text1"/>
          <w:lang w:eastAsia="zh-HK"/>
        </w:rPr>
        <w:t xml:space="preserve"> the</w:t>
      </w:r>
      <w:r w:rsidR="00616920" w:rsidRPr="00E8281A">
        <w:rPr>
          <w:color w:val="000000" w:themeColor="text1"/>
          <w:lang w:eastAsia="zh-HK"/>
        </w:rPr>
        <w:t xml:space="preserve"> </w:t>
      </w:r>
      <w:r w:rsidR="00F22ACD" w:rsidRPr="00E8281A">
        <w:rPr>
          <w:color w:val="000000" w:themeColor="text1"/>
          <w:lang w:eastAsia="zh-HK"/>
        </w:rPr>
        <w:t>teachers</w:t>
      </w:r>
      <w:r w:rsidR="00777165" w:rsidRPr="00E8281A">
        <w:rPr>
          <w:color w:val="000000" w:themeColor="text1"/>
          <w:szCs w:val="20"/>
          <w:lang w:eastAsia="zh-HK"/>
        </w:rPr>
        <w:t xml:space="preserve"> </w:t>
      </w:r>
      <w:r w:rsidR="00616920" w:rsidRPr="00E8281A">
        <w:rPr>
          <w:color w:val="000000" w:themeColor="text1"/>
          <w:szCs w:val="20"/>
          <w:lang w:eastAsia="zh-HK"/>
        </w:rPr>
        <w:t xml:space="preserve">rated children’s </w:t>
      </w:r>
      <w:r w:rsidR="00471CB6" w:rsidRPr="00E8281A">
        <w:rPr>
          <w:color w:val="000000" w:themeColor="text1"/>
          <w:szCs w:val="20"/>
          <w:lang w:eastAsia="zh-HK"/>
        </w:rPr>
        <w:t>playfulness</w:t>
      </w:r>
      <w:r w:rsidR="00777165" w:rsidRPr="00E8281A">
        <w:rPr>
          <w:color w:val="000000" w:themeColor="text1"/>
          <w:szCs w:val="20"/>
          <w:lang w:eastAsia="zh-HK"/>
        </w:rPr>
        <w:t xml:space="preserve"> </w:t>
      </w:r>
      <w:r w:rsidR="00471CB6" w:rsidRPr="00E8281A">
        <w:rPr>
          <w:color w:val="000000" w:themeColor="text1"/>
          <w:szCs w:val="20"/>
          <w:lang w:eastAsia="zh-HK"/>
        </w:rPr>
        <w:t>(physical spontaneity, social spontaneity, cognitive spontaneity, manifest joy, and sense of humor)</w:t>
      </w:r>
      <w:r w:rsidR="00616920" w:rsidRPr="00E8281A">
        <w:rPr>
          <w:color w:val="000000" w:themeColor="text1"/>
          <w:szCs w:val="20"/>
          <w:lang w:eastAsia="zh-HK"/>
        </w:rPr>
        <w:t xml:space="preserve"> and creative potential</w:t>
      </w:r>
      <w:r w:rsidR="000C70B0" w:rsidRPr="00E8281A">
        <w:rPr>
          <w:color w:val="000000" w:themeColor="text1"/>
          <w:szCs w:val="20"/>
          <w:lang w:eastAsia="zh-HK"/>
        </w:rPr>
        <w:t xml:space="preserve"> (</w:t>
      </w:r>
      <w:r w:rsidR="000C70B0" w:rsidRPr="00E8281A">
        <w:rPr>
          <w:color w:val="000000" w:themeColor="text1"/>
          <w:lang w:eastAsia="zh-HK"/>
        </w:rPr>
        <w:t>creative personality traits)</w:t>
      </w:r>
      <w:r w:rsidR="003F643B" w:rsidRPr="00E8281A">
        <w:rPr>
          <w:color w:val="000000" w:themeColor="text1"/>
          <w:szCs w:val="20"/>
          <w:lang w:eastAsia="zh-HK"/>
        </w:rPr>
        <w:t>.</w:t>
      </w:r>
      <w:r w:rsidR="00457EF9" w:rsidRPr="00E8281A">
        <w:rPr>
          <w:color w:val="000000" w:themeColor="text1"/>
          <w:szCs w:val="20"/>
          <w:lang w:eastAsia="zh-HK"/>
        </w:rPr>
        <w:t xml:space="preserve"> </w:t>
      </w:r>
      <w:r w:rsidR="00D5054E" w:rsidRPr="00E8281A">
        <w:rPr>
          <w:color w:val="000000" w:themeColor="text1"/>
          <w:szCs w:val="20"/>
          <w:lang w:eastAsia="zh-HK"/>
        </w:rPr>
        <w:t>Six months later</w:t>
      </w:r>
      <w:r w:rsidR="00E50020" w:rsidRPr="00E8281A">
        <w:rPr>
          <w:color w:val="000000" w:themeColor="text1"/>
          <w:szCs w:val="20"/>
          <w:lang w:eastAsia="zh-HK"/>
        </w:rPr>
        <w:t>,</w:t>
      </w:r>
      <w:r w:rsidR="00D5054E" w:rsidRPr="00E8281A">
        <w:rPr>
          <w:color w:val="000000" w:themeColor="text1"/>
          <w:szCs w:val="20"/>
          <w:lang w:eastAsia="zh-HK"/>
        </w:rPr>
        <w:t xml:space="preserve"> at Time 2, </w:t>
      </w:r>
      <w:r w:rsidR="009517B3">
        <w:rPr>
          <w:color w:val="000000" w:themeColor="text1"/>
          <w:szCs w:val="20"/>
          <w:lang w:eastAsia="zh-HK"/>
        </w:rPr>
        <w:t xml:space="preserve">the </w:t>
      </w:r>
      <w:r w:rsidR="00D5054E" w:rsidRPr="00E8281A">
        <w:rPr>
          <w:color w:val="000000" w:themeColor="text1"/>
          <w:szCs w:val="20"/>
          <w:lang w:eastAsia="zh-HK"/>
        </w:rPr>
        <w:t>t</w:t>
      </w:r>
      <w:r w:rsidR="00457EF9" w:rsidRPr="00E8281A">
        <w:rPr>
          <w:color w:val="000000" w:themeColor="text1"/>
          <w:szCs w:val="20"/>
          <w:lang w:eastAsia="zh-HK"/>
        </w:rPr>
        <w:t>eachers</w:t>
      </w:r>
      <w:r w:rsidR="00D5054E" w:rsidRPr="00E8281A">
        <w:rPr>
          <w:color w:val="000000" w:themeColor="text1"/>
          <w:szCs w:val="20"/>
          <w:lang w:eastAsia="zh-HK"/>
        </w:rPr>
        <w:t xml:space="preserve">’ ratings </w:t>
      </w:r>
      <w:r w:rsidR="001B1797">
        <w:rPr>
          <w:color w:val="000000" w:themeColor="text1"/>
          <w:szCs w:val="20"/>
          <w:lang w:eastAsia="zh-HK"/>
        </w:rPr>
        <w:t>of</w:t>
      </w:r>
      <w:r w:rsidR="002960B1" w:rsidRPr="00E8281A">
        <w:rPr>
          <w:color w:val="000000" w:themeColor="text1"/>
          <w:szCs w:val="20"/>
          <w:lang w:eastAsia="zh-HK"/>
        </w:rPr>
        <w:t xml:space="preserve"> playfulness and creative potential </w:t>
      </w:r>
      <w:r w:rsidR="00D5054E" w:rsidRPr="00E8281A">
        <w:rPr>
          <w:color w:val="000000" w:themeColor="text1"/>
          <w:szCs w:val="20"/>
          <w:lang w:eastAsia="zh-HK"/>
        </w:rPr>
        <w:t>were obtained</w:t>
      </w:r>
      <w:r w:rsidR="00457EF9" w:rsidRPr="00E8281A">
        <w:rPr>
          <w:color w:val="000000" w:themeColor="text1"/>
          <w:szCs w:val="20"/>
          <w:lang w:eastAsia="zh-HK"/>
        </w:rPr>
        <w:t>.</w:t>
      </w:r>
      <w:r w:rsidR="003F643B" w:rsidRPr="00E8281A">
        <w:rPr>
          <w:color w:val="000000" w:themeColor="text1"/>
          <w:szCs w:val="20"/>
          <w:lang w:eastAsia="zh-HK"/>
        </w:rPr>
        <w:t xml:space="preserve"> </w:t>
      </w:r>
      <w:r w:rsidR="009517B3">
        <w:rPr>
          <w:color w:val="000000" w:themeColor="text1"/>
          <w:szCs w:val="20"/>
          <w:lang w:eastAsia="zh-HK"/>
        </w:rPr>
        <w:t>The r</w:t>
      </w:r>
      <w:r w:rsidR="00D5054E" w:rsidRPr="00E8281A">
        <w:rPr>
          <w:color w:val="000000" w:themeColor="text1"/>
          <w:szCs w:val="20"/>
          <w:lang w:eastAsia="zh-HK"/>
        </w:rPr>
        <w:t>esults from the cross-lagged model revealed that</w:t>
      </w:r>
      <w:r w:rsidR="00997992" w:rsidRPr="00E8281A">
        <w:rPr>
          <w:color w:val="000000" w:themeColor="text1"/>
          <w:szCs w:val="20"/>
          <w:lang w:eastAsia="zh-HK"/>
        </w:rPr>
        <w:t xml:space="preserve"> the path from playfulness at Time 1 to creative potential at Time 2 and the </w:t>
      </w:r>
      <w:r w:rsidR="001B356B">
        <w:rPr>
          <w:color w:val="000000" w:themeColor="text1"/>
          <w:szCs w:val="20"/>
          <w:lang w:eastAsia="zh-HK"/>
        </w:rPr>
        <w:t>path</w:t>
      </w:r>
      <w:r w:rsidR="00997992" w:rsidRPr="00E8281A">
        <w:rPr>
          <w:color w:val="000000" w:themeColor="text1"/>
          <w:szCs w:val="20"/>
          <w:lang w:eastAsia="zh-HK"/>
        </w:rPr>
        <w:t xml:space="preserve"> from creative potential at Time 1 to playfulness at Time 2 were both significant</w:t>
      </w:r>
      <w:r w:rsidR="00065F00">
        <w:rPr>
          <w:color w:val="000000" w:themeColor="text1"/>
          <w:szCs w:val="20"/>
          <w:lang w:eastAsia="zh-HK"/>
        </w:rPr>
        <w:t xml:space="preserve"> when the </w:t>
      </w:r>
      <w:r w:rsidR="00065F00" w:rsidRPr="00E8281A">
        <w:rPr>
          <w:color w:val="000000" w:themeColor="text1"/>
          <w:szCs w:val="20"/>
          <w:lang w:eastAsia="zh-HK"/>
        </w:rPr>
        <w:t>child</w:t>
      </w:r>
      <w:r w:rsidR="00065F00">
        <w:rPr>
          <w:color w:val="000000" w:themeColor="text1"/>
          <w:szCs w:val="20"/>
          <w:lang w:eastAsia="zh-HK"/>
        </w:rPr>
        <w:t>ren’s</w:t>
      </w:r>
      <w:r w:rsidR="00065F00" w:rsidRPr="00E8281A">
        <w:rPr>
          <w:color w:val="000000" w:themeColor="text1"/>
          <w:szCs w:val="20"/>
          <w:lang w:eastAsia="zh-HK"/>
        </w:rPr>
        <w:t xml:space="preserve"> age, gender, and</w:t>
      </w:r>
      <w:r w:rsidR="003623B3">
        <w:rPr>
          <w:color w:val="000000" w:themeColor="text1"/>
          <w:szCs w:val="20"/>
          <w:lang w:eastAsia="zh-HK"/>
        </w:rPr>
        <w:t xml:space="preserve"> their</w:t>
      </w:r>
      <w:r w:rsidR="00065F00" w:rsidRPr="00E8281A">
        <w:rPr>
          <w:color w:val="000000" w:themeColor="text1"/>
          <w:szCs w:val="20"/>
          <w:lang w:eastAsia="zh-HK"/>
        </w:rPr>
        <w:t xml:space="preserve"> parent</w:t>
      </w:r>
      <w:r w:rsidR="003623B3">
        <w:rPr>
          <w:color w:val="000000" w:themeColor="text1"/>
          <w:szCs w:val="20"/>
          <w:lang w:eastAsia="zh-HK"/>
        </w:rPr>
        <w:t>’s</w:t>
      </w:r>
      <w:r w:rsidR="00065F00" w:rsidRPr="00E8281A">
        <w:rPr>
          <w:color w:val="000000" w:themeColor="text1"/>
          <w:szCs w:val="20"/>
          <w:lang w:eastAsia="zh-HK"/>
        </w:rPr>
        <w:t xml:space="preserve"> education</w:t>
      </w:r>
      <w:r w:rsidR="00065F00">
        <w:rPr>
          <w:color w:val="000000" w:themeColor="text1"/>
          <w:szCs w:val="20"/>
          <w:lang w:eastAsia="zh-HK"/>
        </w:rPr>
        <w:t xml:space="preserve"> were controlled</w:t>
      </w:r>
      <w:r w:rsidR="00997992" w:rsidRPr="00E8281A">
        <w:rPr>
          <w:color w:val="000000" w:themeColor="text1"/>
          <w:szCs w:val="20"/>
          <w:lang w:eastAsia="zh-HK"/>
        </w:rPr>
        <w:t xml:space="preserve">. </w:t>
      </w:r>
      <w:r w:rsidR="007516C6" w:rsidRPr="00E8281A">
        <w:rPr>
          <w:color w:val="000000" w:themeColor="text1"/>
          <w:szCs w:val="20"/>
          <w:lang w:eastAsia="zh-HK"/>
        </w:rPr>
        <w:t xml:space="preserve">The </w:t>
      </w:r>
      <w:r w:rsidR="00D5054E" w:rsidRPr="00E8281A">
        <w:rPr>
          <w:color w:val="000000" w:themeColor="text1"/>
          <w:szCs w:val="20"/>
          <w:lang w:eastAsia="zh-HK"/>
        </w:rPr>
        <w:t>indirect relationship between intellectual overexcitability at Time 1 and creative potential at Time 2</w:t>
      </w:r>
      <w:r w:rsidR="00F61631" w:rsidRPr="00E8281A">
        <w:rPr>
          <w:color w:val="000000" w:themeColor="text1"/>
          <w:szCs w:val="20"/>
          <w:lang w:eastAsia="zh-HK"/>
        </w:rPr>
        <w:t>,</w:t>
      </w:r>
      <w:r w:rsidR="00D5054E" w:rsidRPr="00E8281A">
        <w:rPr>
          <w:color w:val="000000" w:themeColor="text1"/>
          <w:szCs w:val="20"/>
          <w:lang w:eastAsia="zh-HK"/>
        </w:rPr>
        <w:t xml:space="preserve"> </w:t>
      </w:r>
      <w:r w:rsidR="003523C6" w:rsidRPr="00E8281A">
        <w:rPr>
          <w:color w:val="000000" w:themeColor="text1"/>
          <w:szCs w:val="20"/>
          <w:lang w:eastAsia="zh-HK"/>
        </w:rPr>
        <w:t>mediating</w:t>
      </w:r>
      <w:r w:rsidR="00997992" w:rsidRPr="00E8281A">
        <w:rPr>
          <w:color w:val="000000" w:themeColor="text1"/>
          <w:szCs w:val="20"/>
          <w:lang w:eastAsia="zh-HK"/>
        </w:rPr>
        <w:t xml:space="preserve"> through playfulness at Time 1</w:t>
      </w:r>
      <w:r w:rsidR="00F61631" w:rsidRPr="00E8281A">
        <w:rPr>
          <w:color w:val="000000" w:themeColor="text1"/>
          <w:szCs w:val="20"/>
          <w:lang w:eastAsia="zh-HK"/>
        </w:rPr>
        <w:t>,</w:t>
      </w:r>
      <w:r w:rsidR="00997992" w:rsidRPr="00E8281A">
        <w:rPr>
          <w:color w:val="000000" w:themeColor="text1"/>
          <w:szCs w:val="20"/>
          <w:lang w:eastAsia="zh-HK"/>
        </w:rPr>
        <w:t xml:space="preserve"> was also significant. </w:t>
      </w:r>
      <w:r w:rsidR="00AB45DB" w:rsidRPr="00E8281A">
        <w:rPr>
          <w:color w:val="000000" w:themeColor="text1"/>
          <w:szCs w:val="20"/>
          <w:lang w:eastAsia="zh-HK"/>
        </w:rPr>
        <w:t>The</w:t>
      </w:r>
      <w:r w:rsidR="007516C6" w:rsidRPr="00E8281A">
        <w:rPr>
          <w:color w:val="000000" w:themeColor="text1"/>
          <w:szCs w:val="20"/>
          <w:lang w:eastAsia="zh-HK"/>
        </w:rPr>
        <w:t>se</w:t>
      </w:r>
      <w:r w:rsidR="00B94230" w:rsidRPr="00E8281A">
        <w:rPr>
          <w:color w:val="000000" w:themeColor="text1"/>
          <w:szCs w:val="20"/>
          <w:lang w:eastAsia="zh-HK"/>
        </w:rPr>
        <w:t xml:space="preserve"> findings </w:t>
      </w:r>
      <w:r w:rsidR="00314F77" w:rsidRPr="00E8281A">
        <w:rPr>
          <w:color w:val="000000" w:themeColor="text1"/>
          <w:szCs w:val="20"/>
          <w:lang w:eastAsia="zh-HK"/>
        </w:rPr>
        <w:t>suggest</w:t>
      </w:r>
      <w:r w:rsidR="00903641" w:rsidRPr="00E8281A">
        <w:rPr>
          <w:color w:val="000000" w:themeColor="text1"/>
          <w:szCs w:val="20"/>
          <w:lang w:eastAsia="zh-HK"/>
        </w:rPr>
        <w:t xml:space="preserve"> </w:t>
      </w:r>
      <w:r w:rsidR="004C6B19" w:rsidRPr="00E8281A">
        <w:rPr>
          <w:color w:val="000000" w:themeColor="text1"/>
          <w:szCs w:val="20"/>
          <w:lang w:eastAsia="zh-HK"/>
        </w:rPr>
        <w:t xml:space="preserve">that </w:t>
      </w:r>
      <w:r w:rsidR="002D1353" w:rsidRPr="00E8281A">
        <w:rPr>
          <w:color w:val="000000" w:themeColor="text1"/>
          <w:szCs w:val="20"/>
          <w:lang w:eastAsia="zh-HK"/>
        </w:rPr>
        <w:t>children</w:t>
      </w:r>
      <w:r w:rsidR="004E3EE1">
        <w:rPr>
          <w:color w:val="000000" w:themeColor="text1"/>
          <w:szCs w:val="20"/>
          <w:lang w:eastAsia="zh-HK"/>
        </w:rPr>
        <w:t xml:space="preserve"> who are</w:t>
      </w:r>
      <w:r w:rsidR="00997992" w:rsidRPr="00E8281A">
        <w:rPr>
          <w:color w:val="000000" w:themeColor="text1"/>
          <w:szCs w:val="20"/>
          <w:lang w:eastAsia="zh-HK"/>
        </w:rPr>
        <w:t xml:space="preserve"> </w:t>
      </w:r>
      <w:r w:rsidR="00F37D1E" w:rsidRPr="00E8281A">
        <w:rPr>
          <w:color w:val="000000" w:themeColor="text1"/>
          <w:szCs w:val="20"/>
          <w:lang w:eastAsia="zh-HK"/>
        </w:rPr>
        <w:t>overexcitable</w:t>
      </w:r>
      <w:r w:rsidR="004E3EE1">
        <w:rPr>
          <w:color w:val="000000" w:themeColor="text1"/>
          <w:szCs w:val="20"/>
          <w:lang w:eastAsia="zh-HK"/>
        </w:rPr>
        <w:t xml:space="preserve"> about</w:t>
      </w:r>
      <w:r w:rsidR="00F37D1E" w:rsidRPr="00E8281A">
        <w:rPr>
          <w:color w:val="000000" w:themeColor="text1"/>
          <w:szCs w:val="20"/>
          <w:lang w:eastAsia="zh-HK"/>
        </w:rPr>
        <w:t xml:space="preserve"> </w:t>
      </w:r>
      <w:r w:rsidR="007516C6" w:rsidRPr="00E8281A">
        <w:rPr>
          <w:color w:val="000000" w:themeColor="text1"/>
          <w:szCs w:val="20"/>
          <w:lang w:eastAsia="zh-HK"/>
        </w:rPr>
        <w:t>manipulating</w:t>
      </w:r>
      <w:r w:rsidR="00F37D1E" w:rsidRPr="00E8281A">
        <w:rPr>
          <w:color w:val="000000" w:themeColor="text1"/>
          <w:szCs w:val="20"/>
          <w:lang w:eastAsia="zh-HK"/>
        </w:rPr>
        <w:t xml:space="preserve"> concepts and ideas tend to be more playful and exhibit higher creative potential</w:t>
      </w:r>
      <w:r w:rsidR="00E50020" w:rsidRPr="00E8281A">
        <w:rPr>
          <w:color w:val="000000" w:themeColor="text1"/>
          <w:szCs w:val="20"/>
          <w:lang w:eastAsia="zh-HK"/>
        </w:rPr>
        <w:t xml:space="preserve">. </w:t>
      </w:r>
      <w:r w:rsidR="004E3EE1">
        <w:rPr>
          <w:color w:val="000000" w:themeColor="text1"/>
          <w:szCs w:val="20"/>
          <w:lang w:eastAsia="zh-HK"/>
        </w:rPr>
        <w:t>At the same time</w:t>
      </w:r>
      <w:r w:rsidR="00E50020" w:rsidRPr="00E8281A">
        <w:rPr>
          <w:color w:val="000000" w:themeColor="text1"/>
          <w:szCs w:val="20"/>
          <w:lang w:eastAsia="zh-HK"/>
        </w:rPr>
        <w:t>,</w:t>
      </w:r>
      <w:r w:rsidR="00F37D1E" w:rsidRPr="00E8281A">
        <w:rPr>
          <w:color w:val="000000" w:themeColor="text1"/>
          <w:szCs w:val="20"/>
          <w:lang w:eastAsia="zh-HK"/>
        </w:rPr>
        <w:t xml:space="preserve"> their creative potential may drive them to act playfully</w:t>
      </w:r>
      <w:r w:rsidR="007516C6" w:rsidRPr="00E8281A">
        <w:rPr>
          <w:color w:val="000000" w:themeColor="text1"/>
          <w:szCs w:val="20"/>
          <w:lang w:eastAsia="zh-HK"/>
        </w:rPr>
        <w:t xml:space="preserve"> and engage in future </w:t>
      </w:r>
      <w:r w:rsidR="0058599C" w:rsidRPr="00E8281A">
        <w:rPr>
          <w:color w:val="000000" w:themeColor="text1"/>
          <w:szCs w:val="20"/>
          <w:lang w:eastAsia="zh-HK"/>
        </w:rPr>
        <w:t xml:space="preserve">kindergarten </w:t>
      </w:r>
      <w:r w:rsidR="007516C6" w:rsidRPr="00E8281A">
        <w:rPr>
          <w:color w:val="000000" w:themeColor="text1"/>
          <w:szCs w:val="20"/>
          <w:lang w:eastAsia="zh-HK"/>
        </w:rPr>
        <w:t>play</w:t>
      </w:r>
      <w:r w:rsidR="00F37D1E" w:rsidRPr="00E8281A">
        <w:rPr>
          <w:color w:val="000000" w:themeColor="text1"/>
          <w:szCs w:val="20"/>
          <w:lang w:eastAsia="zh-HK"/>
        </w:rPr>
        <w:t xml:space="preserve">. </w:t>
      </w:r>
      <w:r w:rsidR="00F5365C" w:rsidRPr="00F5365C">
        <w:rPr>
          <w:color w:val="00B0F0"/>
          <w:szCs w:val="20"/>
          <w:lang w:eastAsia="zh-HK"/>
        </w:rPr>
        <w:t xml:space="preserve">Practically, the results </w:t>
      </w:r>
      <w:r w:rsidR="00F5365C">
        <w:rPr>
          <w:color w:val="00B0F0"/>
          <w:szCs w:val="20"/>
          <w:lang w:eastAsia="zh-HK"/>
        </w:rPr>
        <w:t>highlight</w:t>
      </w:r>
      <w:r w:rsidR="00F5365C" w:rsidRPr="00F5365C">
        <w:rPr>
          <w:color w:val="00B0F0"/>
          <w:szCs w:val="20"/>
          <w:lang w:eastAsia="zh-HK"/>
        </w:rPr>
        <w:t xml:space="preserve"> the utility of promoting children’s playfulness and creative potential through increased </w:t>
      </w:r>
      <w:r w:rsidR="00F5365C">
        <w:rPr>
          <w:color w:val="00B0F0"/>
          <w:szCs w:val="20"/>
          <w:lang w:eastAsia="zh-HK"/>
        </w:rPr>
        <w:t>participation</w:t>
      </w:r>
      <w:r w:rsidR="00F5365C" w:rsidRPr="00F5365C">
        <w:rPr>
          <w:color w:val="00B0F0"/>
          <w:szCs w:val="20"/>
          <w:lang w:eastAsia="zh-HK"/>
        </w:rPr>
        <w:t xml:space="preserve"> </w:t>
      </w:r>
      <w:r w:rsidR="00F5365C">
        <w:rPr>
          <w:color w:val="00B0F0"/>
          <w:szCs w:val="20"/>
          <w:lang w:eastAsia="zh-HK"/>
        </w:rPr>
        <w:t>in</w:t>
      </w:r>
      <w:r w:rsidR="00F5365C" w:rsidRPr="00F5365C">
        <w:rPr>
          <w:color w:val="00B0F0"/>
          <w:szCs w:val="20"/>
          <w:lang w:eastAsia="zh-HK"/>
        </w:rPr>
        <w:t xml:space="preserve"> kindergarten </w:t>
      </w:r>
      <w:r w:rsidR="00F5365C">
        <w:rPr>
          <w:color w:val="00B0F0"/>
          <w:szCs w:val="20"/>
          <w:lang w:eastAsia="zh-HK"/>
        </w:rPr>
        <w:t xml:space="preserve">group </w:t>
      </w:r>
      <w:r w:rsidR="00F5365C" w:rsidRPr="00F5365C">
        <w:rPr>
          <w:color w:val="00B0F0"/>
          <w:szCs w:val="20"/>
          <w:lang w:eastAsia="zh-HK"/>
        </w:rPr>
        <w:t xml:space="preserve">play activities </w:t>
      </w:r>
      <w:r w:rsidR="00065F00">
        <w:rPr>
          <w:color w:val="00B0F0"/>
          <w:szCs w:val="20"/>
          <w:lang w:eastAsia="zh-HK"/>
        </w:rPr>
        <w:t>such as</w:t>
      </w:r>
      <w:r w:rsidR="00F5365C" w:rsidRPr="00F5365C">
        <w:rPr>
          <w:color w:val="00B0F0"/>
          <w:szCs w:val="20"/>
          <w:lang w:eastAsia="zh-HK"/>
        </w:rPr>
        <w:t xml:space="preserve"> sociodramatic play. </w:t>
      </w:r>
    </w:p>
    <w:p w14:paraId="44075E1B" w14:textId="77777777" w:rsidR="000C70B0" w:rsidRPr="00E8281A" w:rsidRDefault="000C70B0" w:rsidP="00A279DF">
      <w:pPr>
        <w:spacing w:line="480" w:lineRule="auto"/>
        <w:rPr>
          <w:color w:val="000000" w:themeColor="text1"/>
          <w:szCs w:val="20"/>
          <w:lang w:eastAsia="zh-HK"/>
        </w:rPr>
      </w:pPr>
    </w:p>
    <w:p w14:paraId="69B1F8C3" w14:textId="08AFF899" w:rsidR="003B66D9" w:rsidRPr="00E8281A" w:rsidRDefault="00A279DF" w:rsidP="001C7BA9">
      <w:pPr>
        <w:spacing w:line="480" w:lineRule="auto"/>
        <w:ind w:left="1080" w:hanging="1080"/>
        <w:rPr>
          <w:color w:val="000000" w:themeColor="text1"/>
          <w:szCs w:val="20"/>
          <w:lang w:eastAsia="zh-HK"/>
        </w:rPr>
      </w:pPr>
      <w:r w:rsidRPr="00E8281A">
        <w:rPr>
          <w:b/>
          <w:color w:val="000000" w:themeColor="text1"/>
          <w:szCs w:val="20"/>
          <w:lang w:eastAsia="zh-HK"/>
        </w:rPr>
        <w:t>Keywords:</w:t>
      </w:r>
      <w:r w:rsidRPr="00E8281A">
        <w:rPr>
          <w:color w:val="000000" w:themeColor="text1"/>
          <w:szCs w:val="20"/>
          <w:lang w:eastAsia="zh-HK"/>
        </w:rPr>
        <w:t xml:space="preserve"> </w:t>
      </w:r>
      <w:r w:rsidR="00777165" w:rsidRPr="00E8281A">
        <w:rPr>
          <w:color w:val="000000" w:themeColor="text1"/>
          <w:szCs w:val="20"/>
          <w:lang w:eastAsia="zh-HK"/>
        </w:rPr>
        <w:t>overexcitabilit</w:t>
      </w:r>
      <w:r w:rsidR="00287D58" w:rsidRPr="00E8281A">
        <w:rPr>
          <w:color w:val="000000" w:themeColor="text1"/>
          <w:szCs w:val="20"/>
          <w:lang w:eastAsia="zh-HK"/>
        </w:rPr>
        <w:t>ies</w:t>
      </w:r>
      <w:r w:rsidR="00666915" w:rsidRPr="00E8281A">
        <w:rPr>
          <w:color w:val="000000" w:themeColor="text1"/>
          <w:szCs w:val="20"/>
          <w:lang w:eastAsia="zh-HK"/>
        </w:rPr>
        <w:t xml:space="preserve">, </w:t>
      </w:r>
      <w:r w:rsidR="008957C6" w:rsidRPr="00E8281A">
        <w:rPr>
          <w:color w:val="000000" w:themeColor="text1"/>
          <w:szCs w:val="20"/>
          <w:lang w:eastAsia="zh-HK"/>
        </w:rPr>
        <w:t>playfulness</w:t>
      </w:r>
      <w:r w:rsidR="00291207" w:rsidRPr="00E8281A">
        <w:rPr>
          <w:color w:val="000000" w:themeColor="text1"/>
          <w:szCs w:val="20"/>
          <w:lang w:eastAsia="zh-HK"/>
        </w:rPr>
        <w:t xml:space="preserve">, </w:t>
      </w:r>
      <w:r w:rsidR="006D595C" w:rsidRPr="00E8281A">
        <w:rPr>
          <w:color w:val="000000" w:themeColor="text1"/>
          <w:szCs w:val="20"/>
          <w:lang w:eastAsia="zh-HK"/>
        </w:rPr>
        <w:t xml:space="preserve">creative potential, </w:t>
      </w:r>
      <w:r w:rsidR="00777165" w:rsidRPr="00E8281A">
        <w:rPr>
          <w:color w:val="000000" w:themeColor="text1"/>
          <w:szCs w:val="20"/>
          <w:lang w:eastAsia="zh-HK"/>
        </w:rPr>
        <w:t xml:space="preserve">kindergarten </w:t>
      </w:r>
      <w:r w:rsidR="005A586A" w:rsidRPr="00E8281A">
        <w:rPr>
          <w:color w:val="000000" w:themeColor="text1"/>
          <w:szCs w:val="20"/>
          <w:lang w:eastAsia="zh-HK"/>
        </w:rPr>
        <w:t>children, bidirectionality</w:t>
      </w:r>
    </w:p>
    <w:p w14:paraId="6BA15190" w14:textId="77777777" w:rsidR="006D595C" w:rsidRPr="00E8281A" w:rsidRDefault="006D595C">
      <w:pPr>
        <w:rPr>
          <w:color w:val="000000" w:themeColor="text1"/>
          <w:szCs w:val="20"/>
        </w:rPr>
      </w:pPr>
      <w:r w:rsidRPr="00E8281A">
        <w:rPr>
          <w:color w:val="000000" w:themeColor="text1"/>
          <w:szCs w:val="20"/>
        </w:rPr>
        <w:br w:type="page"/>
      </w:r>
    </w:p>
    <w:p w14:paraId="26C303C4" w14:textId="52760AE9" w:rsidR="00B54A24" w:rsidRPr="00E8281A" w:rsidRDefault="00C710EA" w:rsidP="00062DB8">
      <w:pPr>
        <w:spacing w:line="480" w:lineRule="auto"/>
        <w:ind w:firstLine="480"/>
        <w:jc w:val="center"/>
        <w:rPr>
          <w:color w:val="000000" w:themeColor="text1"/>
          <w:lang w:eastAsia="zh-HK"/>
        </w:rPr>
      </w:pPr>
      <w:bookmarkStart w:id="0" w:name="_Hlk104816388"/>
      <w:bookmarkStart w:id="1" w:name="_Hlk118795045"/>
      <w:r w:rsidRPr="00E8281A">
        <w:rPr>
          <w:color w:val="000000" w:themeColor="text1"/>
          <w:szCs w:val="20"/>
        </w:rPr>
        <w:lastRenderedPageBreak/>
        <w:t>O</w:t>
      </w:r>
      <w:r w:rsidR="00062DB8" w:rsidRPr="00E8281A">
        <w:rPr>
          <w:color w:val="000000" w:themeColor="text1"/>
          <w:szCs w:val="20"/>
        </w:rPr>
        <w:t xml:space="preserve">verexcitabilities </w:t>
      </w:r>
      <w:r w:rsidRPr="00E8281A">
        <w:rPr>
          <w:color w:val="000000" w:themeColor="text1"/>
          <w:szCs w:val="20"/>
        </w:rPr>
        <w:t xml:space="preserve">and </w:t>
      </w:r>
      <w:r w:rsidR="005A0EF8" w:rsidRPr="00E8281A">
        <w:rPr>
          <w:color w:val="000000" w:themeColor="text1"/>
          <w:szCs w:val="20"/>
        </w:rPr>
        <w:t>Bidirectional</w:t>
      </w:r>
      <w:r w:rsidRPr="00E8281A">
        <w:rPr>
          <w:color w:val="000000" w:themeColor="text1"/>
          <w:szCs w:val="20"/>
        </w:rPr>
        <w:t xml:space="preserve"> Development in Playfulness and Creative Potential </w:t>
      </w:r>
      <w:r w:rsidR="004C7ABD" w:rsidRPr="00E8281A">
        <w:rPr>
          <w:color w:val="000000" w:themeColor="text1"/>
          <w:szCs w:val="20"/>
        </w:rPr>
        <w:t>among</w:t>
      </w:r>
      <w:r w:rsidRPr="00E8281A">
        <w:rPr>
          <w:color w:val="000000" w:themeColor="text1"/>
          <w:szCs w:val="20"/>
        </w:rPr>
        <w:t xml:space="preserve"> Kindergarten Children</w:t>
      </w:r>
      <w:bookmarkEnd w:id="0"/>
    </w:p>
    <w:bookmarkEnd w:id="1"/>
    <w:p w14:paraId="227432D2" w14:textId="77777777" w:rsidR="00471CB6" w:rsidRPr="00E8281A" w:rsidRDefault="00471CB6" w:rsidP="00314919">
      <w:pPr>
        <w:spacing w:line="480" w:lineRule="auto"/>
        <w:ind w:firstLine="480"/>
        <w:rPr>
          <w:color w:val="000000" w:themeColor="text1"/>
          <w:lang w:eastAsia="zh-HK"/>
        </w:rPr>
      </w:pPr>
    </w:p>
    <w:p w14:paraId="5ECE7A1A" w14:textId="77777777" w:rsidR="001C588F" w:rsidRPr="00E8281A" w:rsidRDefault="001C588F" w:rsidP="00D607D4">
      <w:pPr>
        <w:spacing w:line="480" w:lineRule="auto"/>
        <w:jc w:val="center"/>
        <w:rPr>
          <w:b/>
          <w:bCs/>
          <w:color w:val="000000" w:themeColor="text1"/>
          <w:lang w:eastAsia="zh-HK"/>
        </w:rPr>
      </w:pPr>
      <w:r w:rsidRPr="00E8281A">
        <w:rPr>
          <w:b/>
          <w:bCs/>
          <w:color w:val="000000" w:themeColor="text1"/>
          <w:lang w:eastAsia="zh-HK"/>
        </w:rPr>
        <w:t>Introduction</w:t>
      </w:r>
    </w:p>
    <w:p w14:paraId="73F79446" w14:textId="3563AE9C" w:rsidR="00BC7B73" w:rsidRPr="00E8281A" w:rsidRDefault="00BC7B73" w:rsidP="00A872D1">
      <w:pPr>
        <w:spacing w:line="480" w:lineRule="auto"/>
        <w:ind w:firstLine="480"/>
        <w:rPr>
          <w:color w:val="000000" w:themeColor="text1"/>
          <w:lang w:eastAsia="zh-HK"/>
        </w:rPr>
      </w:pPr>
      <w:r w:rsidRPr="00E8281A">
        <w:rPr>
          <w:color w:val="000000" w:themeColor="text1"/>
          <w:lang w:eastAsia="zh-HK"/>
        </w:rPr>
        <w:t xml:space="preserve">Overexcitabilities represent </w:t>
      </w:r>
      <w:r w:rsidR="00C04CCF" w:rsidRPr="00E8281A">
        <w:rPr>
          <w:color w:val="000000" w:themeColor="text1"/>
          <w:lang w:eastAsia="zh-HK"/>
        </w:rPr>
        <w:t>people’s</w:t>
      </w:r>
      <w:r w:rsidRPr="00E8281A">
        <w:rPr>
          <w:color w:val="000000" w:themeColor="text1"/>
          <w:lang w:eastAsia="zh-HK"/>
        </w:rPr>
        <w:t xml:space="preserve"> inherited levels of responsiveness </w:t>
      </w:r>
      <w:r w:rsidR="00BE7E12" w:rsidRPr="00E8281A">
        <w:rPr>
          <w:color w:val="000000" w:themeColor="text1"/>
          <w:lang w:eastAsia="zh-HK"/>
        </w:rPr>
        <w:t xml:space="preserve">when exposed </w:t>
      </w:r>
      <w:r w:rsidRPr="00E8281A">
        <w:rPr>
          <w:color w:val="000000" w:themeColor="text1"/>
          <w:lang w:eastAsia="zh-HK"/>
        </w:rPr>
        <w:t xml:space="preserve">to </w:t>
      </w:r>
      <w:r w:rsidR="00BE7E12" w:rsidRPr="00E8281A">
        <w:rPr>
          <w:color w:val="000000" w:themeColor="text1"/>
          <w:lang w:eastAsia="zh-HK"/>
        </w:rPr>
        <w:t xml:space="preserve">different categories of </w:t>
      </w:r>
      <w:r w:rsidRPr="00E8281A">
        <w:rPr>
          <w:color w:val="000000" w:themeColor="text1"/>
          <w:lang w:eastAsia="zh-HK"/>
        </w:rPr>
        <w:t xml:space="preserve">external or internal </w:t>
      </w:r>
      <w:r w:rsidR="00BE7E12" w:rsidRPr="00E8281A">
        <w:rPr>
          <w:color w:val="000000" w:themeColor="text1"/>
          <w:lang w:eastAsia="zh-HK"/>
        </w:rPr>
        <w:t>stimulation (Dabrowski, 1964</w:t>
      </w:r>
      <w:r w:rsidR="00DE1BB4" w:rsidRPr="00E8281A">
        <w:rPr>
          <w:color w:val="000000" w:themeColor="text1"/>
          <w:lang w:eastAsia="zh-HK"/>
        </w:rPr>
        <w:t>; He et al., 2017</w:t>
      </w:r>
      <w:r w:rsidR="00BE7E12" w:rsidRPr="00E8281A">
        <w:rPr>
          <w:color w:val="000000" w:themeColor="text1"/>
          <w:lang w:eastAsia="zh-HK"/>
        </w:rPr>
        <w:t>). A</w:t>
      </w:r>
      <w:r w:rsidR="002A7F5C">
        <w:rPr>
          <w:color w:val="000000" w:themeColor="text1"/>
          <w:lang w:eastAsia="zh-HK"/>
        </w:rPr>
        <w:t xml:space="preserve"> growing body of </w:t>
      </w:r>
      <w:r w:rsidR="006F3CFC" w:rsidRPr="00E8281A">
        <w:rPr>
          <w:color w:val="000000" w:themeColor="text1"/>
          <w:lang w:eastAsia="zh-HK"/>
        </w:rPr>
        <w:t>evidence</w:t>
      </w:r>
      <w:r w:rsidR="00BE7E12" w:rsidRPr="00E8281A">
        <w:rPr>
          <w:color w:val="000000" w:themeColor="text1"/>
          <w:lang w:eastAsia="zh-HK"/>
        </w:rPr>
        <w:t xml:space="preserve"> has revealed </w:t>
      </w:r>
      <w:r w:rsidR="00D6764C" w:rsidRPr="00E8281A">
        <w:rPr>
          <w:color w:val="000000" w:themeColor="text1"/>
          <w:lang w:eastAsia="zh-HK"/>
        </w:rPr>
        <w:t>the interrelationships among</w:t>
      </w:r>
      <w:r w:rsidR="00BE7E12" w:rsidRPr="00E8281A">
        <w:rPr>
          <w:color w:val="000000" w:themeColor="text1"/>
          <w:lang w:eastAsia="zh-HK"/>
        </w:rPr>
        <w:t xml:space="preserve"> kindergarten children’s</w:t>
      </w:r>
      <w:r w:rsidR="00D6764C" w:rsidRPr="00E8281A">
        <w:rPr>
          <w:color w:val="000000" w:themeColor="text1"/>
          <w:lang w:eastAsia="zh-HK"/>
        </w:rPr>
        <w:t xml:space="preserve"> overexcitabilities,</w:t>
      </w:r>
      <w:r w:rsidR="00BE7E12" w:rsidRPr="00E8281A">
        <w:rPr>
          <w:color w:val="000000" w:themeColor="text1"/>
          <w:lang w:eastAsia="zh-HK"/>
        </w:rPr>
        <w:t xml:space="preserve"> playfulness</w:t>
      </w:r>
      <w:r w:rsidR="00D6764C" w:rsidRPr="00E8281A">
        <w:rPr>
          <w:color w:val="000000" w:themeColor="text1"/>
          <w:lang w:eastAsia="zh-HK"/>
        </w:rPr>
        <w:t>,</w:t>
      </w:r>
      <w:r w:rsidR="00BE7E12" w:rsidRPr="00E8281A">
        <w:rPr>
          <w:color w:val="000000" w:themeColor="text1"/>
          <w:lang w:eastAsia="zh-HK"/>
        </w:rPr>
        <w:t xml:space="preserve"> and creative potential (e.g., Fung &amp; Chung, 2021, 2022a; Fung et al., 2021). </w:t>
      </w:r>
      <w:r w:rsidR="00C04CCF" w:rsidRPr="00E8281A">
        <w:rPr>
          <w:color w:val="000000" w:themeColor="text1"/>
          <w:lang w:eastAsia="zh-HK"/>
        </w:rPr>
        <w:t>Conceptually, o</w:t>
      </w:r>
      <w:r w:rsidR="006F3CFC" w:rsidRPr="00E8281A">
        <w:rPr>
          <w:color w:val="000000" w:themeColor="text1"/>
          <w:lang w:eastAsia="zh-HK"/>
        </w:rPr>
        <w:t xml:space="preserve">verexcitabilities </w:t>
      </w:r>
      <w:r w:rsidR="00C04CCF" w:rsidRPr="00E8281A">
        <w:rPr>
          <w:color w:val="000000" w:themeColor="text1"/>
          <w:lang w:eastAsia="zh-HK"/>
        </w:rPr>
        <w:t xml:space="preserve">may </w:t>
      </w:r>
      <w:r w:rsidR="00E50020" w:rsidRPr="00E8281A">
        <w:rPr>
          <w:color w:val="000000" w:themeColor="text1"/>
          <w:lang w:eastAsia="zh-HK"/>
        </w:rPr>
        <w:t xml:space="preserve">directly </w:t>
      </w:r>
      <w:r w:rsidR="006F3CFC" w:rsidRPr="00E8281A">
        <w:rPr>
          <w:color w:val="000000" w:themeColor="text1"/>
          <w:lang w:eastAsia="zh-HK"/>
        </w:rPr>
        <w:t>foster children’s creative potential</w:t>
      </w:r>
      <w:r w:rsidR="00012316" w:rsidRPr="00E8281A">
        <w:rPr>
          <w:color w:val="000000" w:themeColor="text1"/>
          <w:lang w:eastAsia="zh-HK"/>
        </w:rPr>
        <w:t xml:space="preserve"> </w:t>
      </w:r>
      <w:r w:rsidR="00384611" w:rsidRPr="00E8281A">
        <w:rPr>
          <w:color w:val="000000" w:themeColor="text1"/>
          <w:lang w:eastAsia="zh-HK"/>
        </w:rPr>
        <w:t>by</w:t>
      </w:r>
      <w:r w:rsidR="00012316" w:rsidRPr="00E8281A">
        <w:rPr>
          <w:color w:val="000000" w:themeColor="text1"/>
          <w:lang w:eastAsia="zh-HK"/>
        </w:rPr>
        <w:t xml:space="preserve"> </w:t>
      </w:r>
      <w:r w:rsidR="00F23E54" w:rsidRPr="00E8281A">
        <w:rPr>
          <w:color w:val="000000" w:themeColor="text1"/>
          <w:lang w:eastAsia="zh-HK"/>
        </w:rPr>
        <w:t>amplifying their</w:t>
      </w:r>
      <w:r w:rsidR="00012316" w:rsidRPr="00E8281A">
        <w:rPr>
          <w:color w:val="000000" w:themeColor="text1"/>
          <w:lang w:eastAsia="zh-HK"/>
        </w:rPr>
        <w:t xml:space="preserve"> perceptual processes (He et al., 2017)</w:t>
      </w:r>
      <w:r w:rsidR="00F45085" w:rsidRPr="00E8281A">
        <w:rPr>
          <w:color w:val="000000" w:themeColor="text1"/>
          <w:lang w:eastAsia="zh-HK"/>
        </w:rPr>
        <w:t>. Given that playfulness is a</w:t>
      </w:r>
      <w:r w:rsidR="005E58D0" w:rsidRPr="00E8281A">
        <w:rPr>
          <w:color w:val="000000" w:themeColor="text1"/>
          <w:lang w:eastAsia="zh-HK"/>
        </w:rPr>
        <w:t xml:space="preserve"> potential contributor to </w:t>
      </w:r>
      <w:r w:rsidR="00F45085" w:rsidRPr="00E8281A">
        <w:rPr>
          <w:color w:val="000000" w:themeColor="text1"/>
          <w:lang w:eastAsia="zh-HK"/>
        </w:rPr>
        <w:t>creative potential (</w:t>
      </w:r>
      <w:r w:rsidR="005E58D0" w:rsidRPr="00E8281A">
        <w:rPr>
          <w:color w:val="000000" w:themeColor="text1"/>
          <w:lang w:eastAsia="zh-HK"/>
        </w:rPr>
        <w:t xml:space="preserve">e.g., </w:t>
      </w:r>
      <w:r w:rsidR="00F45085" w:rsidRPr="00E8281A">
        <w:rPr>
          <w:color w:val="000000" w:themeColor="text1"/>
          <w:lang w:eastAsia="zh-HK"/>
        </w:rPr>
        <w:t>Bateson &amp; Nettle, 2014; Luria et al., 2018; Trevlas et al., 2003)</w:t>
      </w:r>
      <w:r w:rsidR="00012316" w:rsidRPr="00E8281A">
        <w:rPr>
          <w:color w:val="000000" w:themeColor="text1"/>
          <w:lang w:eastAsia="zh-HK"/>
        </w:rPr>
        <w:t xml:space="preserve">, </w:t>
      </w:r>
      <w:r w:rsidR="00F45085" w:rsidRPr="00E8281A">
        <w:rPr>
          <w:color w:val="000000" w:themeColor="text1"/>
          <w:lang w:eastAsia="zh-HK"/>
        </w:rPr>
        <w:t>overexcitabilities may</w:t>
      </w:r>
      <w:r w:rsidR="00012316" w:rsidRPr="00E8281A">
        <w:rPr>
          <w:color w:val="000000" w:themeColor="text1"/>
          <w:lang w:eastAsia="zh-HK"/>
        </w:rPr>
        <w:t xml:space="preserve"> also </w:t>
      </w:r>
      <w:r w:rsidR="00F45085" w:rsidRPr="00E8281A">
        <w:rPr>
          <w:color w:val="000000" w:themeColor="text1"/>
          <w:lang w:eastAsia="zh-HK"/>
        </w:rPr>
        <w:t xml:space="preserve">promote children’s creative potential </w:t>
      </w:r>
      <w:r w:rsidR="00D6764C" w:rsidRPr="00E8281A">
        <w:rPr>
          <w:color w:val="000000" w:themeColor="text1"/>
          <w:lang w:eastAsia="zh-HK"/>
        </w:rPr>
        <w:t xml:space="preserve">indirectly by </w:t>
      </w:r>
      <w:r w:rsidR="00F23E54" w:rsidRPr="00E8281A">
        <w:rPr>
          <w:color w:val="000000" w:themeColor="text1"/>
          <w:lang w:eastAsia="zh-HK"/>
        </w:rPr>
        <w:t>prompting</w:t>
      </w:r>
      <w:r w:rsidR="00012316" w:rsidRPr="00E8281A">
        <w:rPr>
          <w:color w:val="000000" w:themeColor="text1"/>
          <w:lang w:eastAsia="zh-HK"/>
        </w:rPr>
        <w:t xml:space="preserve"> them </w:t>
      </w:r>
      <w:r w:rsidR="00F23E54" w:rsidRPr="00E8281A">
        <w:rPr>
          <w:color w:val="000000" w:themeColor="text1"/>
          <w:lang w:eastAsia="zh-HK"/>
        </w:rPr>
        <w:t xml:space="preserve">to </w:t>
      </w:r>
      <w:r w:rsidR="00D6764C" w:rsidRPr="00E8281A">
        <w:rPr>
          <w:color w:val="000000" w:themeColor="text1"/>
          <w:lang w:eastAsia="zh-HK"/>
        </w:rPr>
        <w:t xml:space="preserve">display </w:t>
      </w:r>
      <w:r w:rsidR="00012316" w:rsidRPr="00E8281A">
        <w:rPr>
          <w:color w:val="000000" w:themeColor="text1"/>
          <w:lang w:eastAsia="zh-HK"/>
        </w:rPr>
        <w:t xml:space="preserve">certain </w:t>
      </w:r>
      <w:r w:rsidR="00D6764C" w:rsidRPr="00E8281A">
        <w:rPr>
          <w:color w:val="000000" w:themeColor="text1"/>
          <w:lang w:eastAsia="zh-HK"/>
        </w:rPr>
        <w:t xml:space="preserve">styles of play </w:t>
      </w:r>
      <w:r w:rsidR="00F23E54" w:rsidRPr="00E8281A">
        <w:rPr>
          <w:color w:val="000000" w:themeColor="text1"/>
          <w:lang w:eastAsia="zh-HK"/>
        </w:rPr>
        <w:t>(Fung &amp; Chung, 2021</w:t>
      </w:r>
      <w:r w:rsidR="00F45085" w:rsidRPr="00E8281A">
        <w:rPr>
          <w:color w:val="000000" w:themeColor="text1"/>
          <w:lang w:eastAsia="zh-HK"/>
        </w:rPr>
        <w:t>; Fung et al., 2021</w:t>
      </w:r>
      <w:r w:rsidR="00F23E54" w:rsidRPr="00E8281A">
        <w:rPr>
          <w:color w:val="000000" w:themeColor="text1"/>
          <w:lang w:eastAsia="zh-HK"/>
        </w:rPr>
        <w:t>)</w:t>
      </w:r>
      <w:r w:rsidR="00134284" w:rsidRPr="00E8281A">
        <w:rPr>
          <w:color w:val="000000" w:themeColor="text1"/>
          <w:lang w:eastAsia="zh-HK"/>
        </w:rPr>
        <w:t xml:space="preserve">. </w:t>
      </w:r>
      <w:r w:rsidR="00BE7E12" w:rsidRPr="00E8281A">
        <w:rPr>
          <w:color w:val="000000" w:themeColor="text1"/>
          <w:lang w:eastAsia="zh-HK"/>
        </w:rPr>
        <w:t xml:space="preserve">Nonetheless, </w:t>
      </w:r>
      <w:r w:rsidR="002A7F5C">
        <w:rPr>
          <w:color w:val="000000" w:themeColor="text1"/>
          <w:lang w:eastAsia="zh-HK"/>
        </w:rPr>
        <w:t xml:space="preserve">previous </w:t>
      </w:r>
      <w:r w:rsidR="006F3CFC" w:rsidRPr="00E8281A">
        <w:rPr>
          <w:color w:val="000000" w:themeColor="text1"/>
          <w:lang w:eastAsia="zh-HK"/>
        </w:rPr>
        <w:t>studies</w:t>
      </w:r>
      <w:r w:rsidR="00BE7E12" w:rsidRPr="00E8281A">
        <w:rPr>
          <w:color w:val="000000" w:themeColor="text1"/>
          <w:lang w:eastAsia="zh-HK"/>
        </w:rPr>
        <w:t xml:space="preserve"> </w:t>
      </w:r>
      <w:r w:rsidR="006F3CFC" w:rsidRPr="00E8281A">
        <w:rPr>
          <w:color w:val="000000" w:themeColor="text1"/>
          <w:lang w:eastAsia="zh-HK"/>
        </w:rPr>
        <w:t>were</w:t>
      </w:r>
      <w:r w:rsidR="00BE7E12" w:rsidRPr="00E8281A">
        <w:rPr>
          <w:color w:val="000000" w:themeColor="text1"/>
          <w:lang w:eastAsia="zh-HK"/>
        </w:rPr>
        <w:t xml:space="preserve"> cross-sectional </w:t>
      </w:r>
      <w:r w:rsidR="006F3CFC" w:rsidRPr="00E8281A">
        <w:rPr>
          <w:color w:val="000000" w:themeColor="text1"/>
          <w:lang w:eastAsia="zh-HK"/>
        </w:rPr>
        <w:t xml:space="preserve">and, therefore, </w:t>
      </w:r>
      <w:r w:rsidR="002E13B8" w:rsidRPr="00E8281A">
        <w:rPr>
          <w:color w:val="000000" w:themeColor="text1"/>
          <w:lang w:eastAsia="zh-HK"/>
        </w:rPr>
        <w:t>un</w:t>
      </w:r>
      <w:r w:rsidR="006F3CFC" w:rsidRPr="00E8281A">
        <w:rPr>
          <w:color w:val="000000" w:themeColor="text1"/>
          <w:lang w:eastAsia="zh-HK"/>
        </w:rPr>
        <w:t xml:space="preserve">able to inform the direction of relationships. </w:t>
      </w:r>
      <w:bookmarkStart w:id="2" w:name="_Hlk136607667"/>
      <w:r w:rsidR="0042616F" w:rsidRPr="00E8281A">
        <w:rPr>
          <w:color w:val="000000" w:themeColor="text1"/>
          <w:lang w:eastAsia="zh-HK"/>
        </w:rPr>
        <w:t>Apart from a unidirectional relationship</w:t>
      </w:r>
      <w:r w:rsidR="00CD5E18" w:rsidRPr="00E8281A">
        <w:rPr>
          <w:color w:val="000000" w:themeColor="text1"/>
          <w:lang w:eastAsia="zh-HK"/>
        </w:rPr>
        <w:t>, a</w:t>
      </w:r>
      <w:r w:rsidR="006F3CFC" w:rsidRPr="00E8281A">
        <w:rPr>
          <w:color w:val="000000" w:themeColor="text1"/>
          <w:lang w:eastAsia="zh-HK"/>
        </w:rPr>
        <w:t xml:space="preserve"> </w:t>
      </w:r>
      <w:r w:rsidR="0042616F" w:rsidRPr="00E8281A">
        <w:rPr>
          <w:color w:val="000000" w:themeColor="text1"/>
          <w:lang w:eastAsia="zh-HK"/>
        </w:rPr>
        <w:t>separate</w:t>
      </w:r>
      <w:r w:rsidR="006F3CFC" w:rsidRPr="00E8281A">
        <w:rPr>
          <w:color w:val="000000" w:themeColor="text1"/>
          <w:lang w:eastAsia="zh-HK"/>
        </w:rPr>
        <w:t xml:space="preserve"> line of research has proposed </w:t>
      </w:r>
      <w:r w:rsidR="00CC24A4" w:rsidRPr="00E8281A">
        <w:rPr>
          <w:color w:val="000000" w:themeColor="text1"/>
          <w:lang w:eastAsia="zh-HK"/>
        </w:rPr>
        <w:t xml:space="preserve">that </w:t>
      </w:r>
      <w:r w:rsidR="0089329D" w:rsidRPr="00E8281A">
        <w:rPr>
          <w:color w:val="000000" w:themeColor="text1"/>
          <w:lang w:eastAsia="zh-HK"/>
        </w:rPr>
        <w:t>children's and adults'</w:t>
      </w:r>
      <w:r w:rsidR="00CC24A4" w:rsidRPr="00E8281A">
        <w:rPr>
          <w:color w:val="000000" w:themeColor="text1"/>
          <w:lang w:eastAsia="zh-HK"/>
        </w:rPr>
        <w:t xml:space="preserve"> creative potential may positively predict their future playfulness (e.g., </w:t>
      </w:r>
      <w:r w:rsidR="00935FBB" w:rsidRPr="00E8281A">
        <w:rPr>
          <w:color w:val="000000" w:themeColor="text1"/>
          <w:lang w:eastAsia="zh-HK"/>
        </w:rPr>
        <w:t xml:space="preserve">Bateson, 2015; </w:t>
      </w:r>
      <w:r w:rsidR="00CC24A4" w:rsidRPr="00E8281A">
        <w:rPr>
          <w:color w:val="000000" w:themeColor="text1"/>
          <w:lang w:eastAsia="zh-HK"/>
        </w:rPr>
        <w:t xml:space="preserve">Bundy et al., 2008; </w:t>
      </w:r>
      <w:r w:rsidR="00935FBB" w:rsidRPr="00E8281A">
        <w:rPr>
          <w:color w:val="000000" w:themeColor="text1"/>
          <w:lang w:eastAsia="zh-HK"/>
        </w:rPr>
        <w:t>Keisari et al., 2020).</w:t>
      </w:r>
      <w:r w:rsidR="002E13B8" w:rsidRPr="00E8281A">
        <w:rPr>
          <w:color w:val="000000" w:themeColor="text1"/>
          <w:lang w:eastAsia="zh-HK"/>
        </w:rPr>
        <w:t xml:space="preserve"> </w:t>
      </w:r>
      <w:bookmarkEnd w:id="2"/>
      <w:r w:rsidR="002E13B8" w:rsidRPr="00E8281A">
        <w:rPr>
          <w:color w:val="000000" w:themeColor="text1"/>
          <w:lang w:eastAsia="zh-HK"/>
        </w:rPr>
        <w:t>Together, the extant literature suggest</w:t>
      </w:r>
      <w:r w:rsidR="002A7F5C">
        <w:rPr>
          <w:color w:val="000000" w:themeColor="text1"/>
          <w:lang w:eastAsia="zh-HK"/>
        </w:rPr>
        <w:t xml:space="preserve">s </w:t>
      </w:r>
      <w:r w:rsidR="00E50020" w:rsidRPr="00E8281A">
        <w:rPr>
          <w:color w:val="000000" w:themeColor="text1"/>
          <w:lang w:eastAsia="zh-HK"/>
        </w:rPr>
        <w:t>a potential</w:t>
      </w:r>
      <w:r w:rsidR="002E13B8" w:rsidRPr="00E8281A">
        <w:rPr>
          <w:color w:val="000000" w:themeColor="text1"/>
          <w:lang w:eastAsia="zh-HK"/>
        </w:rPr>
        <w:t xml:space="preserve"> </w:t>
      </w:r>
      <w:r w:rsidR="00CD5E18" w:rsidRPr="00E8281A">
        <w:rPr>
          <w:color w:val="000000" w:themeColor="text1"/>
          <w:lang w:eastAsia="zh-HK"/>
        </w:rPr>
        <w:t>bidirectional</w:t>
      </w:r>
      <w:r w:rsidR="002E13B8" w:rsidRPr="00E8281A">
        <w:rPr>
          <w:color w:val="000000" w:themeColor="text1"/>
          <w:lang w:eastAsia="zh-HK"/>
        </w:rPr>
        <w:t xml:space="preserve"> </w:t>
      </w:r>
      <w:r w:rsidR="00CD5E18" w:rsidRPr="00E8281A">
        <w:rPr>
          <w:color w:val="000000" w:themeColor="text1"/>
          <w:lang w:eastAsia="zh-HK"/>
        </w:rPr>
        <w:t>relationship</w:t>
      </w:r>
      <w:r w:rsidR="002E13B8" w:rsidRPr="00E8281A">
        <w:rPr>
          <w:color w:val="000000" w:themeColor="text1"/>
          <w:lang w:eastAsia="zh-HK"/>
        </w:rPr>
        <w:t xml:space="preserve"> between playfulness and </w:t>
      </w:r>
      <w:r w:rsidR="00CD5E18" w:rsidRPr="00E8281A">
        <w:rPr>
          <w:color w:val="000000" w:themeColor="text1"/>
          <w:lang w:eastAsia="zh-HK"/>
        </w:rPr>
        <w:t xml:space="preserve">creative potential, but no prior study has examined their </w:t>
      </w:r>
      <w:r w:rsidR="008C357A">
        <w:rPr>
          <w:color w:val="000000" w:themeColor="text1"/>
          <w:lang w:eastAsia="zh-HK"/>
        </w:rPr>
        <w:t>co-development</w:t>
      </w:r>
      <w:r w:rsidR="00CD5E18" w:rsidRPr="00E8281A">
        <w:rPr>
          <w:color w:val="000000" w:themeColor="text1"/>
          <w:lang w:eastAsia="zh-HK"/>
        </w:rPr>
        <w:t>. The present study fill</w:t>
      </w:r>
      <w:r w:rsidR="00F61631" w:rsidRPr="00E8281A">
        <w:rPr>
          <w:color w:val="000000" w:themeColor="text1"/>
          <w:lang w:eastAsia="zh-HK"/>
        </w:rPr>
        <w:t>ed</w:t>
      </w:r>
      <w:r w:rsidR="00CD5E18" w:rsidRPr="00E8281A">
        <w:rPr>
          <w:color w:val="000000" w:themeColor="text1"/>
          <w:lang w:eastAsia="zh-HK"/>
        </w:rPr>
        <w:t xml:space="preserve"> </w:t>
      </w:r>
      <w:r w:rsidR="00FC2626" w:rsidRPr="00E8281A">
        <w:rPr>
          <w:color w:val="000000" w:themeColor="text1"/>
          <w:lang w:eastAsia="zh-HK"/>
        </w:rPr>
        <w:t>the</w:t>
      </w:r>
      <w:r w:rsidR="002A7F5C">
        <w:rPr>
          <w:color w:val="000000" w:themeColor="text1"/>
          <w:lang w:eastAsia="zh-HK"/>
        </w:rPr>
        <w:t>se</w:t>
      </w:r>
      <w:r w:rsidR="00FC2626" w:rsidRPr="00E8281A">
        <w:rPr>
          <w:color w:val="000000" w:themeColor="text1"/>
          <w:lang w:eastAsia="zh-HK"/>
        </w:rPr>
        <w:t xml:space="preserve"> </w:t>
      </w:r>
      <w:r w:rsidR="00CD5E18" w:rsidRPr="00E8281A">
        <w:rPr>
          <w:color w:val="000000" w:themeColor="text1"/>
          <w:lang w:eastAsia="zh-HK"/>
        </w:rPr>
        <w:t>gaps by investigating the reciprocal relationship between playfulness and creative potential</w:t>
      </w:r>
      <w:r w:rsidR="00F61631" w:rsidRPr="00E8281A">
        <w:rPr>
          <w:color w:val="000000" w:themeColor="text1"/>
          <w:lang w:eastAsia="zh-HK"/>
        </w:rPr>
        <w:t>. It also</w:t>
      </w:r>
      <w:r w:rsidR="00CD5E18" w:rsidRPr="00E8281A">
        <w:rPr>
          <w:color w:val="000000" w:themeColor="text1"/>
          <w:lang w:eastAsia="zh-HK"/>
        </w:rPr>
        <w:t xml:space="preserve"> </w:t>
      </w:r>
      <w:r w:rsidR="00F61631" w:rsidRPr="00E8281A">
        <w:rPr>
          <w:color w:val="000000" w:themeColor="text1"/>
          <w:lang w:eastAsia="zh-HK"/>
        </w:rPr>
        <w:t xml:space="preserve">examined </w:t>
      </w:r>
      <w:r w:rsidR="00CD5E18" w:rsidRPr="00E8281A">
        <w:rPr>
          <w:color w:val="000000" w:themeColor="text1"/>
          <w:lang w:eastAsia="zh-HK"/>
        </w:rPr>
        <w:t xml:space="preserve">how overexcitabilities </w:t>
      </w:r>
      <w:r w:rsidR="005C2FDE">
        <w:rPr>
          <w:color w:val="000000" w:themeColor="text1"/>
          <w:lang w:eastAsia="zh-HK"/>
        </w:rPr>
        <w:t xml:space="preserve">are </w:t>
      </w:r>
      <w:r w:rsidR="00CD5E18" w:rsidRPr="00E8281A">
        <w:rPr>
          <w:color w:val="000000" w:themeColor="text1"/>
          <w:lang w:eastAsia="zh-HK"/>
        </w:rPr>
        <w:t>longitudinally related to these two outcomes in a sample of Hong Kong Chinese kindergarten children.</w:t>
      </w:r>
    </w:p>
    <w:p w14:paraId="3FEEFF31" w14:textId="4EBE30EF" w:rsidR="005163C6" w:rsidRPr="00E8281A" w:rsidRDefault="008B3E11" w:rsidP="00001A8C">
      <w:pPr>
        <w:spacing w:line="480" w:lineRule="auto"/>
        <w:rPr>
          <w:b/>
          <w:bCs/>
          <w:color w:val="000000" w:themeColor="text1"/>
          <w:lang w:eastAsia="zh-HK"/>
        </w:rPr>
      </w:pPr>
      <w:r w:rsidRPr="00E8281A">
        <w:rPr>
          <w:b/>
          <w:bCs/>
          <w:color w:val="000000" w:themeColor="text1"/>
          <w:lang w:eastAsia="zh-HK"/>
        </w:rPr>
        <w:t xml:space="preserve">Overexcitabilities and </w:t>
      </w:r>
      <w:r w:rsidR="005163C6" w:rsidRPr="00E8281A">
        <w:rPr>
          <w:b/>
          <w:bCs/>
          <w:color w:val="000000" w:themeColor="text1"/>
          <w:lang w:eastAsia="zh-HK"/>
        </w:rPr>
        <w:t xml:space="preserve">Creative </w:t>
      </w:r>
      <w:r w:rsidR="00702947" w:rsidRPr="00E8281A">
        <w:rPr>
          <w:b/>
          <w:bCs/>
          <w:color w:val="000000" w:themeColor="text1"/>
          <w:lang w:eastAsia="zh-HK"/>
        </w:rPr>
        <w:t>P</w:t>
      </w:r>
      <w:r w:rsidR="005163C6" w:rsidRPr="00E8281A">
        <w:rPr>
          <w:b/>
          <w:bCs/>
          <w:color w:val="000000" w:themeColor="text1"/>
          <w:lang w:eastAsia="zh-HK"/>
        </w:rPr>
        <w:t>otential</w:t>
      </w:r>
    </w:p>
    <w:p w14:paraId="6A97ED0B" w14:textId="4CE3A8B9" w:rsidR="005015F0" w:rsidRPr="00E8281A" w:rsidRDefault="005163C6" w:rsidP="00001A8C">
      <w:pPr>
        <w:spacing w:line="480" w:lineRule="auto"/>
        <w:rPr>
          <w:color w:val="000000" w:themeColor="text1"/>
          <w:lang w:eastAsia="zh-HK"/>
        </w:rPr>
      </w:pPr>
      <w:r w:rsidRPr="00E8281A">
        <w:rPr>
          <w:b/>
          <w:bCs/>
          <w:color w:val="000000" w:themeColor="text1"/>
          <w:lang w:eastAsia="zh-HK"/>
        </w:rPr>
        <w:tab/>
      </w:r>
      <w:r w:rsidR="003A1C4A" w:rsidRPr="00E8281A">
        <w:rPr>
          <w:color w:val="000000" w:themeColor="text1"/>
          <w:lang w:eastAsia="zh-HK"/>
        </w:rPr>
        <w:t xml:space="preserve">Creativity </w:t>
      </w:r>
      <w:r w:rsidR="001E40E2">
        <w:rPr>
          <w:color w:val="000000" w:themeColor="text1"/>
          <w:lang w:eastAsia="zh-HK"/>
        </w:rPr>
        <w:t>is</w:t>
      </w:r>
      <w:r w:rsidR="008B3E11" w:rsidRPr="00E8281A">
        <w:rPr>
          <w:color w:val="000000" w:themeColor="text1"/>
          <w:lang w:eastAsia="zh-HK"/>
        </w:rPr>
        <w:t xml:space="preserve"> regarded as one’s </w:t>
      </w:r>
      <w:r w:rsidR="00C9602F" w:rsidRPr="00E8281A">
        <w:rPr>
          <w:color w:val="000000" w:themeColor="text1"/>
          <w:lang w:eastAsia="zh-HK"/>
        </w:rPr>
        <w:t>competency</w:t>
      </w:r>
      <w:r w:rsidR="008B3E11" w:rsidRPr="00E8281A">
        <w:rPr>
          <w:color w:val="000000" w:themeColor="text1"/>
          <w:lang w:eastAsia="zh-HK"/>
        </w:rPr>
        <w:t xml:space="preserve"> in </w:t>
      </w:r>
      <w:r w:rsidR="003A1C4A" w:rsidRPr="00E8281A">
        <w:rPr>
          <w:color w:val="000000" w:themeColor="text1"/>
          <w:lang w:eastAsia="zh-HK"/>
        </w:rPr>
        <w:t xml:space="preserve">generating </w:t>
      </w:r>
      <w:r w:rsidR="008B3E11" w:rsidRPr="00E8281A">
        <w:rPr>
          <w:color w:val="000000" w:themeColor="text1"/>
          <w:lang w:eastAsia="zh-HK"/>
        </w:rPr>
        <w:t>original</w:t>
      </w:r>
      <w:r w:rsidR="003A1C4A" w:rsidRPr="00E8281A">
        <w:rPr>
          <w:color w:val="000000" w:themeColor="text1"/>
          <w:lang w:eastAsia="zh-HK"/>
        </w:rPr>
        <w:t xml:space="preserve"> and useful ideas </w:t>
      </w:r>
      <w:r w:rsidR="008B3E11" w:rsidRPr="00E8281A">
        <w:rPr>
          <w:color w:val="000000" w:themeColor="text1"/>
          <w:lang w:eastAsia="zh-HK"/>
        </w:rPr>
        <w:t>across</w:t>
      </w:r>
      <w:r w:rsidR="003A1C4A" w:rsidRPr="00E8281A">
        <w:rPr>
          <w:color w:val="000000" w:themeColor="text1"/>
          <w:lang w:eastAsia="zh-HK"/>
        </w:rPr>
        <w:t xml:space="preserve"> different domains (Amabile, 1996). </w:t>
      </w:r>
      <w:r w:rsidR="008B3E11" w:rsidRPr="00E8281A">
        <w:rPr>
          <w:color w:val="000000" w:themeColor="text1"/>
          <w:lang w:eastAsia="zh-HK"/>
        </w:rPr>
        <w:t xml:space="preserve">Nevertheless, the aspect of usefulness may be less </w:t>
      </w:r>
      <w:r w:rsidR="008B3E11" w:rsidRPr="00E8281A">
        <w:rPr>
          <w:color w:val="000000" w:themeColor="text1"/>
          <w:lang w:eastAsia="zh-HK"/>
        </w:rPr>
        <w:lastRenderedPageBreak/>
        <w:t xml:space="preserve">emphasized in </w:t>
      </w:r>
      <w:r w:rsidR="00EF47C3" w:rsidRPr="00E8281A">
        <w:rPr>
          <w:color w:val="000000" w:themeColor="text1"/>
          <w:lang w:eastAsia="zh-HK"/>
        </w:rPr>
        <w:t>examining</w:t>
      </w:r>
      <w:r w:rsidR="008B3E11" w:rsidRPr="00E8281A">
        <w:rPr>
          <w:color w:val="000000" w:themeColor="text1"/>
          <w:lang w:eastAsia="zh-HK"/>
        </w:rPr>
        <w:t xml:space="preserve"> creativity in early childhood sinc</w:t>
      </w:r>
      <w:r w:rsidR="003A1C4A" w:rsidRPr="00E8281A">
        <w:rPr>
          <w:color w:val="000000" w:themeColor="text1"/>
          <w:lang w:eastAsia="zh-HK"/>
        </w:rPr>
        <w:t xml:space="preserve">e </w:t>
      </w:r>
      <w:r w:rsidR="008B3E11" w:rsidRPr="00E8281A">
        <w:rPr>
          <w:color w:val="000000" w:themeColor="text1"/>
          <w:lang w:eastAsia="zh-HK"/>
        </w:rPr>
        <w:t xml:space="preserve">children are more likely to reintegrate existing knowledge and resources for fun and enjoyment without considering functionality </w:t>
      </w:r>
      <w:r w:rsidR="00CA0149" w:rsidRPr="00E8281A">
        <w:rPr>
          <w:color w:val="000000" w:themeColor="text1"/>
          <w:lang w:eastAsia="zh-HK"/>
        </w:rPr>
        <w:t xml:space="preserve">(Fung &amp; Chung, 2022; </w:t>
      </w:r>
      <w:r w:rsidR="003A1C4A" w:rsidRPr="00E8281A">
        <w:rPr>
          <w:color w:val="000000" w:themeColor="text1"/>
          <w:lang w:eastAsia="zh-HK"/>
        </w:rPr>
        <w:t xml:space="preserve">Runco &amp; Jaeger, 2012). </w:t>
      </w:r>
      <w:r w:rsidR="00EF47C3" w:rsidRPr="00E8281A">
        <w:rPr>
          <w:color w:val="000000" w:themeColor="text1"/>
          <w:lang w:eastAsia="zh-HK"/>
        </w:rPr>
        <w:t>C</w:t>
      </w:r>
      <w:r w:rsidR="00C9602F" w:rsidRPr="00E8281A">
        <w:rPr>
          <w:color w:val="000000" w:themeColor="text1"/>
          <w:lang w:eastAsia="zh-HK"/>
        </w:rPr>
        <w:t xml:space="preserve">hildren tend to express their </w:t>
      </w:r>
      <w:r w:rsidR="00C32E9D" w:rsidRPr="00E8281A">
        <w:rPr>
          <w:color w:val="000000" w:themeColor="text1"/>
          <w:lang w:eastAsia="zh-HK"/>
        </w:rPr>
        <w:t xml:space="preserve">novel and appropriate </w:t>
      </w:r>
      <w:r w:rsidR="00C9602F" w:rsidRPr="00E8281A">
        <w:rPr>
          <w:color w:val="000000" w:themeColor="text1"/>
          <w:lang w:eastAsia="zh-HK"/>
        </w:rPr>
        <w:t>creative ideations in everyday situations (e.g., play, art</w:t>
      </w:r>
      <w:r w:rsidR="00C32E9D" w:rsidRPr="00E8281A">
        <w:rPr>
          <w:color w:val="000000" w:themeColor="text1"/>
          <w:lang w:eastAsia="zh-HK"/>
        </w:rPr>
        <w:t xml:space="preserve">s; </w:t>
      </w:r>
      <w:r w:rsidR="003A1C4A" w:rsidRPr="00E8281A">
        <w:rPr>
          <w:color w:val="000000" w:themeColor="text1"/>
          <w:lang w:eastAsia="zh-HK"/>
        </w:rPr>
        <w:t>Richards, 2007, 2019)</w:t>
      </w:r>
      <w:r w:rsidR="00115E74" w:rsidRPr="00E8281A">
        <w:rPr>
          <w:color w:val="000000" w:themeColor="text1"/>
          <w:lang w:eastAsia="zh-HK"/>
        </w:rPr>
        <w:t>,</w:t>
      </w:r>
      <w:r w:rsidR="00C9602F" w:rsidRPr="00E8281A">
        <w:rPr>
          <w:color w:val="000000" w:themeColor="text1"/>
          <w:lang w:eastAsia="zh-HK"/>
        </w:rPr>
        <w:t xml:space="preserve"> and they </w:t>
      </w:r>
      <w:r w:rsidR="00115E74" w:rsidRPr="00E8281A">
        <w:rPr>
          <w:color w:val="000000" w:themeColor="text1"/>
          <w:lang w:eastAsia="zh-HK"/>
        </w:rPr>
        <w:t>can demonstrate</w:t>
      </w:r>
      <w:r w:rsidR="00C9602F" w:rsidRPr="00E8281A">
        <w:rPr>
          <w:color w:val="000000" w:themeColor="text1"/>
          <w:lang w:eastAsia="zh-HK"/>
        </w:rPr>
        <w:t xml:space="preserve"> varying </w:t>
      </w:r>
      <w:r w:rsidR="00115E74" w:rsidRPr="00E8281A">
        <w:rPr>
          <w:color w:val="000000" w:themeColor="text1"/>
          <w:lang w:eastAsia="zh-HK"/>
        </w:rPr>
        <w:t xml:space="preserve">potentials </w:t>
      </w:r>
      <w:r w:rsidR="00805E6B" w:rsidRPr="00E8281A">
        <w:rPr>
          <w:color w:val="000000" w:themeColor="text1"/>
          <w:lang w:eastAsia="zh-HK"/>
        </w:rPr>
        <w:t>for</w:t>
      </w:r>
      <w:r w:rsidR="00115E74" w:rsidRPr="00E8281A">
        <w:rPr>
          <w:color w:val="000000" w:themeColor="text1"/>
          <w:lang w:eastAsia="zh-HK"/>
        </w:rPr>
        <w:t xml:space="preserve"> </w:t>
      </w:r>
      <w:r w:rsidR="00C9602F" w:rsidRPr="00E8281A">
        <w:rPr>
          <w:color w:val="000000" w:themeColor="text1"/>
          <w:lang w:eastAsia="zh-HK"/>
        </w:rPr>
        <w:t>creative expression</w:t>
      </w:r>
      <w:r w:rsidR="00115E74" w:rsidRPr="00E8281A">
        <w:rPr>
          <w:color w:val="000000" w:themeColor="text1"/>
          <w:lang w:eastAsia="zh-HK"/>
        </w:rPr>
        <w:t xml:space="preserve"> (i.e., creative potential; </w:t>
      </w:r>
      <w:r w:rsidR="003A1C4A" w:rsidRPr="00E8281A">
        <w:rPr>
          <w:color w:val="000000" w:themeColor="text1"/>
          <w:lang w:eastAsia="zh-HK"/>
        </w:rPr>
        <w:t>Runco</w:t>
      </w:r>
      <w:r w:rsidR="00115E74" w:rsidRPr="00E8281A">
        <w:rPr>
          <w:color w:val="000000" w:themeColor="text1"/>
          <w:lang w:eastAsia="zh-HK"/>
        </w:rPr>
        <w:t xml:space="preserve">, </w:t>
      </w:r>
      <w:r w:rsidR="003A1C4A" w:rsidRPr="00E8281A">
        <w:rPr>
          <w:color w:val="000000" w:themeColor="text1"/>
          <w:lang w:eastAsia="zh-HK"/>
        </w:rPr>
        <w:t>2014)</w:t>
      </w:r>
      <w:r w:rsidR="00BA2B55" w:rsidRPr="00E8281A">
        <w:rPr>
          <w:color w:val="000000" w:themeColor="text1"/>
          <w:lang w:eastAsia="zh-HK"/>
        </w:rPr>
        <w:t xml:space="preserve">. </w:t>
      </w:r>
    </w:p>
    <w:p w14:paraId="480A1506" w14:textId="4ECB7A38" w:rsidR="00E530FB" w:rsidRPr="00E8281A" w:rsidRDefault="00C32E9D" w:rsidP="005015F0">
      <w:pPr>
        <w:spacing w:line="480" w:lineRule="auto"/>
        <w:ind w:firstLine="480"/>
        <w:rPr>
          <w:color w:val="000000" w:themeColor="text1"/>
          <w:szCs w:val="20"/>
          <w:lang w:eastAsia="zh-HK"/>
        </w:rPr>
      </w:pPr>
      <w:bookmarkStart w:id="3" w:name="_Hlk136760434"/>
      <w:bookmarkStart w:id="4" w:name="_Hlk136604703"/>
      <w:r w:rsidRPr="00274D0A">
        <w:rPr>
          <w:color w:val="00B0F0"/>
          <w:lang w:eastAsia="zh-HK"/>
        </w:rPr>
        <w:t xml:space="preserve">Rhodes (1961) </w:t>
      </w:r>
      <w:r w:rsidR="003A6BC7" w:rsidRPr="00274D0A">
        <w:rPr>
          <w:color w:val="00B0F0"/>
          <w:lang w:eastAsia="zh-HK"/>
        </w:rPr>
        <w:t>conceptualized</w:t>
      </w:r>
      <w:r w:rsidRPr="00274D0A">
        <w:rPr>
          <w:color w:val="00B0F0"/>
          <w:lang w:eastAsia="zh-HK"/>
        </w:rPr>
        <w:t xml:space="preserve"> that </w:t>
      </w:r>
      <w:r w:rsidR="003A6BC7" w:rsidRPr="00274D0A">
        <w:rPr>
          <w:color w:val="00B0F0"/>
          <w:lang w:eastAsia="zh-HK"/>
        </w:rPr>
        <w:t xml:space="preserve">creativity </w:t>
      </w:r>
      <w:r w:rsidR="00E50020" w:rsidRPr="00274D0A">
        <w:rPr>
          <w:color w:val="00B0F0"/>
          <w:lang w:eastAsia="zh-HK"/>
        </w:rPr>
        <w:t>could</w:t>
      </w:r>
      <w:r w:rsidR="005163C6" w:rsidRPr="00274D0A">
        <w:rPr>
          <w:color w:val="00B0F0"/>
          <w:lang w:eastAsia="zh-HK"/>
        </w:rPr>
        <w:t xml:space="preserve"> </w:t>
      </w:r>
      <w:r w:rsidRPr="00274D0A">
        <w:rPr>
          <w:color w:val="00B0F0"/>
          <w:lang w:eastAsia="zh-HK"/>
        </w:rPr>
        <w:t xml:space="preserve">be </w:t>
      </w:r>
      <w:r w:rsidR="003A6BC7" w:rsidRPr="00274D0A">
        <w:rPr>
          <w:color w:val="00B0F0"/>
          <w:lang w:eastAsia="zh-HK"/>
        </w:rPr>
        <w:t xml:space="preserve">defined </w:t>
      </w:r>
      <w:r w:rsidRPr="00274D0A">
        <w:rPr>
          <w:color w:val="00B0F0"/>
          <w:lang w:eastAsia="zh-HK"/>
        </w:rPr>
        <w:t>in</w:t>
      </w:r>
      <w:r w:rsidR="005163C6" w:rsidRPr="00274D0A">
        <w:rPr>
          <w:color w:val="00B0F0"/>
          <w:lang w:eastAsia="zh-HK"/>
        </w:rPr>
        <w:t xml:space="preserve"> </w:t>
      </w:r>
      <w:r w:rsidR="003A6BC7" w:rsidRPr="00274D0A">
        <w:rPr>
          <w:color w:val="00B0F0"/>
          <w:lang w:eastAsia="zh-HK"/>
        </w:rPr>
        <w:t xml:space="preserve">four </w:t>
      </w:r>
      <w:r w:rsidR="00274D0A" w:rsidRPr="00274D0A">
        <w:rPr>
          <w:color w:val="00B0F0"/>
          <w:lang w:eastAsia="zh-HK"/>
        </w:rPr>
        <w:t>“</w:t>
      </w:r>
      <w:r w:rsidR="003A6BC7" w:rsidRPr="00274D0A">
        <w:rPr>
          <w:color w:val="00B0F0"/>
          <w:lang w:eastAsia="zh-HK"/>
        </w:rPr>
        <w:t>strands</w:t>
      </w:r>
      <w:r w:rsidR="00274D0A" w:rsidRPr="00274D0A">
        <w:rPr>
          <w:color w:val="00B0F0"/>
          <w:lang w:eastAsia="zh-HK"/>
        </w:rPr>
        <w:t>” (p.</w:t>
      </w:r>
      <w:r w:rsidR="00274D0A">
        <w:rPr>
          <w:color w:val="00B0F0"/>
          <w:lang w:eastAsia="zh-HK"/>
        </w:rPr>
        <w:t xml:space="preserve"> </w:t>
      </w:r>
      <w:r w:rsidR="00274D0A" w:rsidRPr="00274D0A">
        <w:rPr>
          <w:color w:val="00B0F0"/>
          <w:lang w:eastAsia="zh-HK"/>
        </w:rPr>
        <w:t>307)</w:t>
      </w:r>
      <w:r w:rsidR="00AE4764" w:rsidRPr="00E8281A">
        <w:rPr>
          <w:color w:val="000000" w:themeColor="text1"/>
          <w:lang w:eastAsia="zh-HK"/>
        </w:rPr>
        <w:t>:</w:t>
      </w:r>
      <w:r w:rsidR="003A6BC7" w:rsidRPr="00E8281A">
        <w:rPr>
          <w:color w:val="000000" w:themeColor="text1"/>
          <w:lang w:eastAsia="zh-HK"/>
        </w:rPr>
        <w:t xml:space="preserve"> </w:t>
      </w:r>
      <w:r w:rsidR="005163C6" w:rsidRPr="00E8281A">
        <w:rPr>
          <w:i/>
          <w:iCs/>
          <w:color w:val="000000" w:themeColor="text1"/>
          <w:lang w:eastAsia="zh-HK"/>
        </w:rPr>
        <w:t>press</w:t>
      </w:r>
      <w:r w:rsidR="005163C6" w:rsidRPr="00E8281A">
        <w:rPr>
          <w:color w:val="000000" w:themeColor="text1"/>
          <w:lang w:eastAsia="zh-HK"/>
        </w:rPr>
        <w:t xml:space="preserve"> (</w:t>
      </w:r>
      <w:r w:rsidR="00C27FBF" w:rsidRPr="00E8281A">
        <w:rPr>
          <w:color w:val="000000" w:themeColor="text1"/>
          <w:lang w:eastAsia="zh-HK"/>
        </w:rPr>
        <w:t>i.e.</w:t>
      </w:r>
      <w:r w:rsidR="005163C6" w:rsidRPr="00E8281A">
        <w:rPr>
          <w:color w:val="000000" w:themeColor="text1"/>
          <w:lang w:eastAsia="zh-HK"/>
        </w:rPr>
        <w:t xml:space="preserve">, </w:t>
      </w:r>
      <w:r w:rsidR="00C27FBF" w:rsidRPr="00E8281A">
        <w:rPr>
          <w:color w:val="000000" w:themeColor="text1"/>
          <w:lang w:eastAsia="zh-HK"/>
        </w:rPr>
        <w:t xml:space="preserve">perception </w:t>
      </w:r>
      <w:r w:rsidR="007B71C1" w:rsidRPr="00E8281A">
        <w:rPr>
          <w:color w:val="000000" w:themeColor="text1"/>
          <w:lang w:eastAsia="zh-HK"/>
        </w:rPr>
        <w:t>of</w:t>
      </w:r>
      <w:r w:rsidR="00C27FBF" w:rsidRPr="00E8281A">
        <w:rPr>
          <w:color w:val="000000" w:themeColor="text1"/>
          <w:lang w:eastAsia="zh-HK"/>
        </w:rPr>
        <w:t xml:space="preserve"> and relationship with the environment</w:t>
      </w:r>
      <w:r w:rsidR="005163C6" w:rsidRPr="00E8281A">
        <w:rPr>
          <w:color w:val="000000" w:themeColor="text1"/>
          <w:lang w:eastAsia="zh-HK"/>
        </w:rPr>
        <w:t xml:space="preserve">), </w:t>
      </w:r>
      <w:r w:rsidR="005163C6" w:rsidRPr="00E8281A">
        <w:rPr>
          <w:i/>
          <w:iCs/>
          <w:color w:val="000000" w:themeColor="text1"/>
          <w:lang w:eastAsia="zh-HK"/>
        </w:rPr>
        <w:t>person</w:t>
      </w:r>
      <w:r w:rsidR="005163C6" w:rsidRPr="00E8281A">
        <w:rPr>
          <w:color w:val="000000" w:themeColor="text1"/>
          <w:lang w:eastAsia="zh-HK"/>
        </w:rPr>
        <w:t xml:space="preserve"> (</w:t>
      </w:r>
      <w:r w:rsidR="00C27FBF" w:rsidRPr="00E8281A">
        <w:rPr>
          <w:color w:val="000000" w:themeColor="text1"/>
          <w:lang w:eastAsia="zh-HK"/>
        </w:rPr>
        <w:t>i.e.</w:t>
      </w:r>
      <w:r w:rsidR="005163C6" w:rsidRPr="00E8281A">
        <w:rPr>
          <w:color w:val="000000" w:themeColor="text1"/>
          <w:lang w:eastAsia="zh-HK"/>
        </w:rPr>
        <w:t>, personality</w:t>
      </w:r>
      <w:r w:rsidRPr="00E8281A">
        <w:rPr>
          <w:color w:val="000000" w:themeColor="text1"/>
          <w:lang w:eastAsia="zh-HK"/>
        </w:rPr>
        <w:t xml:space="preserve"> traits</w:t>
      </w:r>
      <w:r w:rsidR="00AE4764" w:rsidRPr="00E8281A">
        <w:rPr>
          <w:color w:val="000000" w:themeColor="text1"/>
          <w:lang w:eastAsia="zh-HK"/>
        </w:rPr>
        <w:t>, temperament</w:t>
      </w:r>
      <w:r w:rsidR="005163C6" w:rsidRPr="00E8281A">
        <w:rPr>
          <w:color w:val="000000" w:themeColor="text1"/>
          <w:lang w:eastAsia="zh-HK"/>
        </w:rPr>
        <w:t xml:space="preserve">), </w:t>
      </w:r>
      <w:r w:rsidR="005163C6" w:rsidRPr="00E8281A">
        <w:rPr>
          <w:i/>
          <w:iCs/>
          <w:color w:val="000000" w:themeColor="text1"/>
          <w:lang w:eastAsia="zh-HK"/>
        </w:rPr>
        <w:t>process</w:t>
      </w:r>
      <w:r w:rsidR="005163C6" w:rsidRPr="00E8281A">
        <w:rPr>
          <w:color w:val="000000" w:themeColor="text1"/>
          <w:lang w:eastAsia="zh-HK"/>
        </w:rPr>
        <w:t xml:space="preserve"> (</w:t>
      </w:r>
      <w:r w:rsidR="00C27FBF" w:rsidRPr="00E8281A">
        <w:rPr>
          <w:color w:val="000000" w:themeColor="text1"/>
          <w:lang w:eastAsia="zh-HK"/>
        </w:rPr>
        <w:t>i.e.</w:t>
      </w:r>
      <w:r w:rsidR="005163C6" w:rsidRPr="00E8281A">
        <w:rPr>
          <w:color w:val="000000" w:themeColor="text1"/>
          <w:lang w:eastAsia="zh-HK"/>
        </w:rPr>
        <w:t xml:space="preserve">, </w:t>
      </w:r>
      <w:r w:rsidR="00C27FBF" w:rsidRPr="00E8281A">
        <w:rPr>
          <w:color w:val="000000" w:themeColor="text1"/>
          <w:lang w:eastAsia="zh-HK"/>
        </w:rPr>
        <w:t xml:space="preserve">stages of </w:t>
      </w:r>
      <w:r w:rsidR="00AE4764" w:rsidRPr="00E8281A">
        <w:rPr>
          <w:color w:val="000000" w:themeColor="text1"/>
          <w:lang w:eastAsia="zh-HK"/>
        </w:rPr>
        <w:t>thinking</w:t>
      </w:r>
      <w:r w:rsidR="005163C6" w:rsidRPr="00E8281A">
        <w:rPr>
          <w:color w:val="000000" w:themeColor="text1"/>
          <w:lang w:eastAsia="zh-HK"/>
        </w:rPr>
        <w:t xml:space="preserve"> processes), and </w:t>
      </w:r>
      <w:r w:rsidR="005163C6" w:rsidRPr="00E8281A">
        <w:rPr>
          <w:i/>
          <w:iCs/>
          <w:color w:val="000000" w:themeColor="text1"/>
          <w:lang w:eastAsia="zh-HK"/>
        </w:rPr>
        <w:t>product</w:t>
      </w:r>
      <w:r w:rsidR="005163C6" w:rsidRPr="00E8281A">
        <w:rPr>
          <w:color w:val="000000" w:themeColor="text1"/>
          <w:lang w:eastAsia="zh-HK"/>
        </w:rPr>
        <w:t xml:space="preserve"> (</w:t>
      </w:r>
      <w:r w:rsidR="008860C2" w:rsidRPr="00E8281A">
        <w:rPr>
          <w:color w:val="000000" w:themeColor="text1"/>
          <w:lang w:eastAsia="zh-HK"/>
        </w:rPr>
        <w:t xml:space="preserve">i.e., </w:t>
      </w:r>
      <w:r w:rsidR="003A3C87" w:rsidRPr="00E8281A">
        <w:rPr>
          <w:color w:val="000000" w:themeColor="text1"/>
          <w:lang w:eastAsia="zh-HK"/>
        </w:rPr>
        <w:t>the embodiment of ideas into tangible outcomes</w:t>
      </w:r>
      <w:r w:rsidR="005163C6" w:rsidRPr="00E8281A">
        <w:rPr>
          <w:color w:val="000000" w:themeColor="text1"/>
          <w:lang w:eastAsia="zh-HK"/>
        </w:rPr>
        <w:t>)</w:t>
      </w:r>
      <w:r w:rsidRPr="00E8281A">
        <w:rPr>
          <w:color w:val="000000" w:themeColor="text1"/>
          <w:lang w:eastAsia="zh-HK"/>
        </w:rPr>
        <w:t>.</w:t>
      </w:r>
      <w:r w:rsidR="003A3C87" w:rsidRPr="00E8281A">
        <w:rPr>
          <w:color w:val="000000" w:themeColor="text1"/>
          <w:lang w:eastAsia="zh-HK"/>
        </w:rPr>
        <w:t xml:space="preserve"> </w:t>
      </w:r>
      <w:r w:rsidR="007E2267">
        <w:rPr>
          <w:color w:val="000000" w:themeColor="text1"/>
          <w:lang w:eastAsia="zh-HK"/>
        </w:rPr>
        <w:t>In p</w:t>
      </w:r>
      <w:r w:rsidR="008860C2" w:rsidRPr="00E8281A">
        <w:rPr>
          <w:color w:val="000000" w:themeColor="text1"/>
          <w:lang w:eastAsia="zh-HK"/>
        </w:rPr>
        <w:t>revious</w:t>
      </w:r>
      <w:r w:rsidR="00F017E8" w:rsidRPr="00E8281A">
        <w:rPr>
          <w:color w:val="000000" w:themeColor="text1"/>
          <w:lang w:eastAsia="zh-HK"/>
        </w:rPr>
        <w:t xml:space="preserve"> research</w:t>
      </w:r>
      <w:r w:rsidR="007E2267">
        <w:rPr>
          <w:color w:val="000000" w:themeColor="text1"/>
          <w:lang w:eastAsia="zh-HK"/>
        </w:rPr>
        <w:t>,</w:t>
      </w:r>
      <w:r w:rsidR="00F017E8" w:rsidRPr="00E8281A">
        <w:rPr>
          <w:color w:val="000000" w:themeColor="text1"/>
          <w:lang w:eastAsia="zh-HK"/>
        </w:rPr>
        <w:t xml:space="preserve"> </w:t>
      </w:r>
      <w:r w:rsidR="00AE4764" w:rsidRPr="00E8281A">
        <w:rPr>
          <w:color w:val="000000" w:themeColor="text1"/>
          <w:lang w:eastAsia="zh-HK"/>
        </w:rPr>
        <w:t>different</w:t>
      </w:r>
      <w:r w:rsidR="00F017E8" w:rsidRPr="00E8281A">
        <w:rPr>
          <w:color w:val="000000" w:themeColor="text1"/>
          <w:lang w:eastAsia="zh-HK"/>
        </w:rPr>
        <w:t xml:space="preserve"> </w:t>
      </w:r>
      <w:r w:rsidRPr="00E8281A">
        <w:rPr>
          <w:color w:val="000000" w:themeColor="text1"/>
          <w:lang w:eastAsia="zh-HK"/>
        </w:rPr>
        <w:t>approaches</w:t>
      </w:r>
      <w:r w:rsidR="007E2267">
        <w:rPr>
          <w:color w:val="000000" w:themeColor="text1"/>
          <w:lang w:eastAsia="zh-HK"/>
        </w:rPr>
        <w:t xml:space="preserve"> have been used to</w:t>
      </w:r>
      <w:r w:rsidRPr="00E8281A">
        <w:rPr>
          <w:color w:val="000000" w:themeColor="text1"/>
          <w:lang w:eastAsia="zh-HK"/>
        </w:rPr>
        <w:t xml:space="preserve"> </w:t>
      </w:r>
      <w:r w:rsidR="007E2267">
        <w:rPr>
          <w:color w:val="000000" w:themeColor="text1"/>
          <w:lang w:eastAsia="zh-HK"/>
        </w:rPr>
        <w:t xml:space="preserve">access </w:t>
      </w:r>
      <w:r w:rsidRPr="00E8281A">
        <w:rPr>
          <w:color w:val="000000" w:themeColor="text1"/>
          <w:lang w:eastAsia="zh-HK"/>
        </w:rPr>
        <w:t>children’s creative potential</w:t>
      </w:r>
      <w:r w:rsidR="00AE4764" w:rsidRPr="00E8281A">
        <w:rPr>
          <w:color w:val="000000" w:themeColor="text1"/>
          <w:lang w:eastAsia="zh-HK"/>
        </w:rPr>
        <w:t xml:space="preserve">. For example, Hui et al. (2015) assessed </w:t>
      </w:r>
      <w:r w:rsidR="0057088D" w:rsidRPr="00E8281A">
        <w:rPr>
          <w:color w:val="000000" w:themeColor="text1"/>
          <w:lang w:eastAsia="zh-HK"/>
        </w:rPr>
        <w:t>kindergarten children’s creative potential using a</w:t>
      </w:r>
      <w:r w:rsidR="00F017E8" w:rsidRPr="00E8281A">
        <w:rPr>
          <w:color w:val="000000" w:themeColor="text1"/>
          <w:lang w:eastAsia="zh-HK"/>
        </w:rPr>
        <w:t xml:space="preserve"> </w:t>
      </w:r>
      <w:r w:rsidR="00840E18" w:rsidRPr="00E8281A">
        <w:rPr>
          <w:color w:val="000000" w:themeColor="text1"/>
          <w:lang w:eastAsia="zh-HK"/>
        </w:rPr>
        <w:t xml:space="preserve">drawing production </w:t>
      </w:r>
      <w:r w:rsidR="0057088D" w:rsidRPr="00E8281A">
        <w:rPr>
          <w:color w:val="000000" w:themeColor="text1"/>
          <w:lang w:eastAsia="zh-HK"/>
        </w:rPr>
        <w:t xml:space="preserve">task, which corresponded to the </w:t>
      </w:r>
      <w:r w:rsidR="0057088D" w:rsidRPr="00E8281A">
        <w:rPr>
          <w:i/>
          <w:iCs/>
          <w:color w:val="000000" w:themeColor="text1"/>
          <w:lang w:eastAsia="zh-HK"/>
        </w:rPr>
        <w:t>product</w:t>
      </w:r>
      <w:r w:rsidR="0057088D" w:rsidRPr="00E8281A">
        <w:rPr>
          <w:color w:val="000000" w:themeColor="text1"/>
          <w:lang w:eastAsia="zh-HK"/>
        </w:rPr>
        <w:t xml:space="preserve"> strand of creativity. Lloyd and Howe (2003) evaluated children’s </w:t>
      </w:r>
      <w:r w:rsidR="00E556E3" w:rsidRPr="00E8281A">
        <w:rPr>
          <w:color w:val="000000" w:themeColor="text1"/>
          <w:lang w:eastAsia="zh-HK"/>
        </w:rPr>
        <w:t>divergent and convergent</w:t>
      </w:r>
      <w:r w:rsidR="00840E18" w:rsidRPr="00E8281A">
        <w:rPr>
          <w:color w:val="000000" w:themeColor="text1"/>
          <w:lang w:eastAsia="zh-HK"/>
        </w:rPr>
        <w:t xml:space="preserve"> thinking</w:t>
      </w:r>
      <w:r w:rsidR="0057088D" w:rsidRPr="00E8281A">
        <w:rPr>
          <w:color w:val="000000" w:themeColor="text1"/>
          <w:lang w:eastAsia="zh-HK"/>
        </w:rPr>
        <w:t xml:space="preserve"> skills</w:t>
      </w:r>
      <w:r w:rsidR="00840E18" w:rsidRPr="00E8281A">
        <w:rPr>
          <w:color w:val="000000" w:themeColor="text1"/>
          <w:lang w:eastAsia="zh-HK"/>
        </w:rPr>
        <w:t xml:space="preserve"> </w:t>
      </w:r>
      <w:r w:rsidR="0057088D" w:rsidRPr="00E8281A">
        <w:rPr>
          <w:color w:val="000000" w:themeColor="text1"/>
          <w:lang w:eastAsia="zh-HK"/>
        </w:rPr>
        <w:t xml:space="preserve">to </w:t>
      </w:r>
      <w:r w:rsidR="00EE6F72" w:rsidRPr="00E8281A">
        <w:rPr>
          <w:color w:val="000000" w:themeColor="text1"/>
          <w:lang w:eastAsia="zh-HK"/>
        </w:rPr>
        <w:t>indicate</w:t>
      </w:r>
      <w:r w:rsidR="0057088D" w:rsidRPr="00E8281A">
        <w:rPr>
          <w:color w:val="000000" w:themeColor="text1"/>
          <w:lang w:eastAsia="zh-HK"/>
        </w:rPr>
        <w:t xml:space="preserve"> their creative potential, </w:t>
      </w:r>
      <w:r w:rsidR="007B71C1" w:rsidRPr="00E8281A">
        <w:rPr>
          <w:color w:val="000000" w:themeColor="text1"/>
          <w:lang w:eastAsia="zh-HK"/>
        </w:rPr>
        <w:t>drawing</w:t>
      </w:r>
      <w:r w:rsidR="0057088D" w:rsidRPr="00E8281A">
        <w:rPr>
          <w:color w:val="000000" w:themeColor="text1"/>
          <w:lang w:eastAsia="zh-HK"/>
        </w:rPr>
        <w:t xml:space="preserve"> on the </w:t>
      </w:r>
      <w:r w:rsidR="0057088D" w:rsidRPr="00E8281A">
        <w:rPr>
          <w:i/>
          <w:iCs/>
          <w:color w:val="000000" w:themeColor="text1"/>
          <w:lang w:eastAsia="zh-HK"/>
        </w:rPr>
        <w:t>process</w:t>
      </w:r>
      <w:r w:rsidR="0057088D" w:rsidRPr="00E8281A">
        <w:rPr>
          <w:color w:val="000000" w:themeColor="text1"/>
          <w:lang w:eastAsia="zh-HK"/>
        </w:rPr>
        <w:t xml:space="preserve"> strand of creativity. </w:t>
      </w:r>
      <w:bookmarkStart w:id="5" w:name="_Hlk136607092"/>
      <w:r w:rsidR="005E4277" w:rsidRPr="00E8281A">
        <w:rPr>
          <w:color w:val="000000" w:themeColor="text1"/>
          <w:lang w:eastAsia="zh-HK"/>
        </w:rPr>
        <w:t xml:space="preserve">The present study focused on the </w:t>
      </w:r>
      <w:r w:rsidR="005E4277" w:rsidRPr="00E8281A">
        <w:rPr>
          <w:i/>
          <w:iCs/>
          <w:color w:val="000000" w:themeColor="text1"/>
          <w:lang w:eastAsia="zh-HK"/>
        </w:rPr>
        <w:t>person</w:t>
      </w:r>
      <w:r w:rsidR="005E4277" w:rsidRPr="00E8281A">
        <w:rPr>
          <w:color w:val="000000" w:themeColor="text1"/>
          <w:lang w:eastAsia="zh-HK"/>
        </w:rPr>
        <w:t xml:space="preserve"> strand and operationalized </w:t>
      </w:r>
      <w:r w:rsidR="003A3C87" w:rsidRPr="00E8281A">
        <w:rPr>
          <w:color w:val="000000" w:themeColor="text1"/>
          <w:lang w:eastAsia="zh-HK"/>
        </w:rPr>
        <w:t xml:space="preserve">children’s creative potential as their </w:t>
      </w:r>
      <w:r w:rsidR="005E4277" w:rsidRPr="00E8281A">
        <w:rPr>
          <w:color w:val="000000" w:themeColor="text1"/>
          <w:lang w:eastAsia="zh-HK"/>
        </w:rPr>
        <w:t xml:space="preserve">creative </w:t>
      </w:r>
      <w:r w:rsidR="005163C6" w:rsidRPr="00E8281A">
        <w:rPr>
          <w:color w:val="000000" w:themeColor="text1"/>
          <w:lang w:eastAsia="zh-HK"/>
        </w:rPr>
        <w:t>personality traits</w:t>
      </w:r>
      <w:r w:rsidR="005E4277" w:rsidRPr="00E8281A">
        <w:rPr>
          <w:color w:val="000000" w:themeColor="text1"/>
          <w:lang w:eastAsia="zh-HK"/>
        </w:rPr>
        <w:t xml:space="preserve">. </w:t>
      </w:r>
      <w:r w:rsidR="005E4277" w:rsidRPr="00333066">
        <w:rPr>
          <w:color w:val="00B0F0"/>
          <w:lang w:eastAsia="zh-HK"/>
        </w:rPr>
        <w:t xml:space="preserve">This approach has been adopted </w:t>
      </w:r>
      <w:r w:rsidR="007B71C1" w:rsidRPr="00333066">
        <w:rPr>
          <w:color w:val="00B0F0"/>
          <w:lang w:eastAsia="zh-HK"/>
        </w:rPr>
        <w:t xml:space="preserve">in </w:t>
      </w:r>
      <w:r w:rsidR="00333066" w:rsidRPr="00333066">
        <w:rPr>
          <w:color w:val="00B0F0"/>
          <w:lang w:eastAsia="zh-HK"/>
        </w:rPr>
        <w:t xml:space="preserve">creativity research </w:t>
      </w:r>
      <w:r w:rsidR="00FC3806">
        <w:rPr>
          <w:color w:val="00B0F0"/>
          <w:lang w:eastAsia="zh-HK"/>
        </w:rPr>
        <w:t>on</w:t>
      </w:r>
      <w:r w:rsidR="00333066" w:rsidRPr="00333066">
        <w:rPr>
          <w:color w:val="00B0F0"/>
          <w:lang w:eastAsia="zh-HK"/>
        </w:rPr>
        <w:t xml:space="preserve"> children from Hong Kong</w:t>
      </w:r>
      <w:r w:rsidR="007B71C1" w:rsidRPr="00333066">
        <w:rPr>
          <w:color w:val="00B0F0"/>
          <w:lang w:eastAsia="zh-HK"/>
        </w:rPr>
        <w:t xml:space="preserve"> </w:t>
      </w:r>
      <w:r w:rsidR="000A0415" w:rsidRPr="00333066">
        <w:rPr>
          <w:color w:val="00B0F0"/>
          <w:lang w:eastAsia="zh-HK"/>
        </w:rPr>
        <w:t xml:space="preserve">(e.g., Fung &amp; Chung, 2022a; </w:t>
      </w:r>
      <w:r w:rsidR="000A0415" w:rsidRPr="00333066">
        <w:rPr>
          <w:color w:val="00B0F0"/>
          <w:szCs w:val="20"/>
          <w:lang w:eastAsia="zh-HK"/>
        </w:rPr>
        <w:t>Fung et al., 2021)</w:t>
      </w:r>
      <w:r w:rsidR="00333066" w:rsidRPr="00333066">
        <w:rPr>
          <w:color w:val="00B0F0"/>
          <w:szCs w:val="20"/>
          <w:lang w:eastAsia="zh-HK"/>
        </w:rPr>
        <w:t>, India, and the</w:t>
      </w:r>
      <w:r w:rsidR="000A0415" w:rsidRPr="00333066">
        <w:rPr>
          <w:color w:val="00B0F0"/>
          <w:szCs w:val="20"/>
          <w:lang w:eastAsia="zh-HK"/>
        </w:rPr>
        <w:t xml:space="preserve"> </w:t>
      </w:r>
      <w:r w:rsidR="00333066" w:rsidRPr="00333066">
        <w:rPr>
          <w:color w:val="00B0F0"/>
          <w:lang w:eastAsia="zh-HK"/>
        </w:rPr>
        <w:t>United States</w:t>
      </w:r>
      <w:r w:rsidR="000A0415" w:rsidRPr="00333066">
        <w:rPr>
          <w:color w:val="00B0F0"/>
          <w:lang w:eastAsia="zh-HK"/>
        </w:rPr>
        <w:t xml:space="preserve"> </w:t>
      </w:r>
      <w:r w:rsidR="00FC3A87" w:rsidRPr="00333066">
        <w:rPr>
          <w:color w:val="00B0F0"/>
          <w:lang w:eastAsia="zh-HK"/>
        </w:rPr>
        <w:t>(e.g., Runco et al., 1993; Runco &amp; Johnson, 2002)</w:t>
      </w:r>
      <w:r w:rsidR="000A0415" w:rsidRPr="00333066">
        <w:rPr>
          <w:color w:val="00B0F0"/>
          <w:lang w:eastAsia="zh-HK"/>
        </w:rPr>
        <w:t>.</w:t>
      </w:r>
      <w:r w:rsidR="000A0415" w:rsidRPr="00E8281A">
        <w:rPr>
          <w:color w:val="000000" w:themeColor="text1"/>
          <w:lang w:eastAsia="zh-HK"/>
        </w:rPr>
        <w:t xml:space="preserve"> </w:t>
      </w:r>
      <w:r w:rsidR="007B71C1" w:rsidRPr="00E8281A">
        <w:rPr>
          <w:color w:val="000000" w:themeColor="text1"/>
          <w:lang w:eastAsia="zh-HK"/>
        </w:rPr>
        <w:t>E</w:t>
      </w:r>
      <w:r w:rsidR="00FC3A87" w:rsidRPr="00E8281A">
        <w:rPr>
          <w:color w:val="000000" w:themeColor="text1"/>
          <w:lang w:eastAsia="zh-HK"/>
        </w:rPr>
        <w:t xml:space="preserve">vidence has </w:t>
      </w:r>
      <w:r w:rsidR="00246F51" w:rsidRPr="00E8281A">
        <w:rPr>
          <w:color w:val="000000" w:themeColor="text1"/>
          <w:lang w:eastAsia="zh-HK"/>
        </w:rPr>
        <w:t>consistently</w:t>
      </w:r>
      <w:r w:rsidR="007B71C1" w:rsidRPr="00E8281A">
        <w:rPr>
          <w:color w:val="000000" w:themeColor="text1"/>
          <w:lang w:eastAsia="zh-HK"/>
        </w:rPr>
        <w:t xml:space="preserve"> </w:t>
      </w:r>
      <w:r w:rsidR="00FC3A87" w:rsidRPr="00E8281A">
        <w:rPr>
          <w:color w:val="000000" w:themeColor="text1"/>
          <w:lang w:eastAsia="zh-HK"/>
        </w:rPr>
        <w:t>revealed positive relationship</w:t>
      </w:r>
      <w:r w:rsidR="00622408" w:rsidRPr="00E8281A">
        <w:rPr>
          <w:color w:val="000000" w:themeColor="text1"/>
          <w:lang w:eastAsia="zh-HK"/>
        </w:rPr>
        <w:t>s</w:t>
      </w:r>
      <w:r w:rsidR="00FC3A87" w:rsidRPr="00E8281A">
        <w:rPr>
          <w:color w:val="000000" w:themeColor="text1"/>
          <w:lang w:eastAsia="zh-HK"/>
        </w:rPr>
        <w:t xml:space="preserve"> between children’s creative personality traits and their divergent thinking skills</w:t>
      </w:r>
      <w:r w:rsidR="007B71C1" w:rsidRPr="00E8281A">
        <w:rPr>
          <w:color w:val="000000" w:themeColor="text1"/>
          <w:lang w:eastAsia="zh-HK"/>
        </w:rPr>
        <w:t>,</w:t>
      </w:r>
      <w:r w:rsidR="00FC3A87" w:rsidRPr="00E8281A">
        <w:rPr>
          <w:color w:val="000000" w:themeColor="text1"/>
          <w:lang w:eastAsia="zh-HK"/>
        </w:rPr>
        <w:t xml:space="preserve"> such as fluency and originality </w:t>
      </w:r>
      <w:r w:rsidR="005163C6" w:rsidRPr="00E8281A">
        <w:rPr>
          <w:color w:val="000000" w:themeColor="text1"/>
          <w:lang w:eastAsia="zh-HK"/>
        </w:rPr>
        <w:t xml:space="preserve">(e.g., </w:t>
      </w:r>
      <w:r w:rsidR="005163C6" w:rsidRPr="00E8281A">
        <w:rPr>
          <w:color w:val="000000" w:themeColor="text1"/>
          <w:szCs w:val="20"/>
          <w:lang w:eastAsia="zh-HK"/>
        </w:rPr>
        <w:t>Butcher &amp; Niec, 2005;</w:t>
      </w:r>
      <w:r w:rsidR="00622408" w:rsidRPr="00E8281A">
        <w:rPr>
          <w:color w:val="000000" w:themeColor="text1"/>
          <w:szCs w:val="20"/>
          <w:lang w:eastAsia="zh-HK"/>
        </w:rPr>
        <w:t xml:space="preserve"> Runco, 1984)</w:t>
      </w:r>
      <w:bookmarkEnd w:id="3"/>
      <w:r w:rsidR="005163C6" w:rsidRPr="00E8281A">
        <w:rPr>
          <w:color w:val="000000" w:themeColor="text1"/>
          <w:szCs w:val="20"/>
          <w:lang w:eastAsia="zh-HK"/>
        </w:rPr>
        <w:t>.</w:t>
      </w:r>
      <w:r w:rsidR="00526B0E" w:rsidRPr="00E8281A">
        <w:rPr>
          <w:color w:val="000000" w:themeColor="text1"/>
          <w:szCs w:val="20"/>
          <w:lang w:eastAsia="zh-HK"/>
        </w:rPr>
        <w:t xml:space="preserve"> </w:t>
      </w:r>
      <w:bookmarkEnd w:id="5"/>
    </w:p>
    <w:bookmarkEnd w:id="4"/>
    <w:p w14:paraId="50C0050C" w14:textId="34F116F7" w:rsidR="00267999" w:rsidRPr="00E8281A" w:rsidRDefault="008860C2" w:rsidP="00E530FB">
      <w:pPr>
        <w:spacing w:line="480" w:lineRule="auto"/>
        <w:ind w:firstLine="48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Creative potential is </w:t>
      </w:r>
      <w:r w:rsidR="00E50020" w:rsidRPr="00E8281A">
        <w:rPr>
          <w:color w:val="000000" w:themeColor="text1"/>
          <w:szCs w:val="20"/>
          <w:lang w:eastAsia="zh-HK"/>
        </w:rPr>
        <w:t>vital</w:t>
      </w:r>
      <w:r w:rsidRPr="00E8281A">
        <w:rPr>
          <w:color w:val="000000" w:themeColor="text1"/>
          <w:szCs w:val="20"/>
          <w:lang w:eastAsia="zh-HK"/>
        </w:rPr>
        <w:t xml:space="preserve"> for children to grow and thrive in the </w:t>
      </w:r>
      <w:r w:rsidR="00E85BB5" w:rsidRPr="00E8281A">
        <w:rPr>
          <w:color w:val="000000" w:themeColor="text1"/>
          <w:szCs w:val="20"/>
          <w:lang w:eastAsia="zh-HK"/>
        </w:rPr>
        <w:t>21</w:t>
      </w:r>
      <w:r w:rsidR="00E85BB5" w:rsidRPr="00E8281A">
        <w:rPr>
          <w:color w:val="000000" w:themeColor="text1"/>
          <w:szCs w:val="20"/>
          <w:vertAlign w:val="superscript"/>
          <w:lang w:eastAsia="zh-HK"/>
        </w:rPr>
        <w:t>st</w:t>
      </w:r>
      <w:r w:rsidR="00805E6B" w:rsidRPr="00E8281A">
        <w:rPr>
          <w:color w:val="000000" w:themeColor="text1"/>
          <w:szCs w:val="20"/>
          <w:lang w:eastAsia="zh-HK"/>
        </w:rPr>
        <w:t xml:space="preserve"> </w:t>
      </w:r>
      <w:r w:rsidR="00E85BB5" w:rsidRPr="00E8281A">
        <w:rPr>
          <w:color w:val="000000" w:themeColor="text1"/>
          <w:szCs w:val="20"/>
          <w:lang w:eastAsia="zh-HK"/>
        </w:rPr>
        <w:t>century (Van Laar et al., 2022</w:t>
      </w:r>
      <w:r w:rsidRPr="00E8281A">
        <w:rPr>
          <w:color w:val="000000" w:themeColor="text1"/>
          <w:szCs w:val="20"/>
          <w:lang w:eastAsia="zh-HK"/>
        </w:rPr>
        <w:t>)</w:t>
      </w:r>
      <w:r w:rsidR="00E50020" w:rsidRPr="00E8281A">
        <w:rPr>
          <w:color w:val="000000" w:themeColor="text1"/>
          <w:szCs w:val="20"/>
          <w:lang w:eastAsia="zh-HK"/>
        </w:rPr>
        <w:t>,</w:t>
      </w:r>
      <w:r w:rsidRPr="00E8281A">
        <w:rPr>
          <w:color w:val="000000" w:themeColor="text1"/>
          <w:szCs w:val="20"/>
          <w:lang w:eastAsia="zh-HK"/>
        </w:rPr>
        <w:t xml:space="preserve"> and research has investigated the antecedents of its development. </w:t>
      </w:r>
      <w:r w:rsidR="00E50020" w:rsidRPr="00E8281A">
        <w:rPr>
          <w:color w:val="000000" w:themeColor="text1"/>
          <w:szCs w:val="20"/>
          <w:lang w:eastAsia="zh-HK"/>
        </w:rPr>
        <w:t>For example, o</w:t>
      </w:r>
      <w:r w:rsidRPr="00E8281A">
        <w:rPr>
          <w:color w:val="000000" w:themeColor="text1"/>
          <w:szCs w:val="20"/>
          <w:lang w:eastAsia="zh-HK"/>
        </w:rPr>
        <w:t xml:space="preserve">verexcitabilities </w:t>
      </w:r>
      <w:r w:rsidR="00BF5BEC">
        <w:rPr>
          <w:color w:val="000000" w:themeColor="text1"/>
          <w:szCs w:val="20"/>
          <w:lang w:eastAsia="zh-HK"/>
        </w:rPr>
        <w:t>are</w:t>
      </w:r>
      <w:r w:rsidRPr="00E8281A">
        <w:rPr>
          <w:color w:val="000000" w:themeColor="text1"/>
          <w:szCs w:val="20"/>
          <w:lang w:eastAsia="zh-HK"/>
        </w:rPr>
        <w:t xml:space="preserve"> considered a class of </w:t>
      </w:r>
      <w:r w:rsidR="00130BB9" w:rsidRPr="00E8281A">
        <w:rPr>
          <w:color w:val="000000" w:themeColor="text1"/>
          <w:szCs w:val="20"/>
          <w:lang w:eastAsia="zh-HK"/>
        </w:rPr>
        <w:t>inborn</w:t>
      </w:r>
      <w:r w:rsidRPr="00E8281A">
        <w:rPr>
          <w:color w:val="000000" w:themeColor="text1"/>
          <w:szCs w:val="20"/>
          <w:lang w:eastAsia="zh-HK"/>
        </w:rPr>
        <w:t xml:space="preserve"> predictors of children’s creative potential (</w:t>
      </w:r>
      <w:r w:rsidR="00130BB9" w:rsidRPr="00E8281A">
        <w:rPr>
          <w:color w:val="000000" w:themeColor="text1"/>
          <w:szCs w:val="20"/>
          <w:lang w:eastAsia="zh-HK"/>
        </w:rPr>
        <w:t>Fung et al., 2021; He et al., 2017</w:t>
      </w:r>
      <w:r w:rsidRPr="00E8281A">
        <w:rPr>
          <w:color w:val="000000" w:themeColor="text1"/>
          <w:szCs w:val="20"/>
          <w:lang w:eastAsia="zh-HK"/>
        </w:rPr>
        <w:t xml:space="preserve">). </w:t>
      </w:r>
      <w:r w:rsidR="00130BB9" w:rsidRPr="00E8281A">
        <w:rPr>
          <w:color w:val="000000" w:themeColor="text1"/>
          <w:szCs w:val="20"/>
          <w:lang w:eastAsia="zh-HK"/>
        </w:rPr>
        <w:t xml:space="preserve">Dabrowski (1964) defined overexcitabilities as one’s </w:t>
      </w:r>
      <w:r w:rsidR="00CD3F1D" w:rsidRPr="00A4045C">
        <w:rPr>
          <w:color w:val="00B0F0"/>
          <w:szCs w:val="20"/>
          <w:lang w:eastAsia="zh-HK"/>
        </w:rPr>
        <w:lastRenderedPageBreak/>
        <w:t>inborn</w:t>
      </w:r>
      <w:r w:rsidR="00130BB9" w:rsidRPr="00A4045C">
        <w:rPr>
          <w:color w:val="00B0F0"/>
          <w:szCs w:val="20"/>
          <w:lang w:eastAsia="zh-HK"/>
        </w:rPr>
        <w:t xml:space="preserve"> </w:t>
      </w:r>
      <w:r w:rsidR="00A4045C" w:rsidRPr="00A4045C">
        <w:rPr>
          <w:color w:val="00B0F0"/>
          <w:szCs w:val="20"/>
          <w:lang w:eastAsia="zh-HK"/>
        </w:rPr>
        <w:t>disposition</w:t>
      </w:r>
      <w:r w:rsidR="00130BB9" w:rsidRPr="00A4045C">
        <w:rPr>
          <w:color w:val="00B0F0"/>
          <w:szCs w:val="20"/>
          <w:lang w:eastAsia="zh-HK"/>
        </w:rPr>
        <w:t xml:space="preserve"> to be aroused at </w:t>
      </w:r>
      <w:r w:rsidR="00A4045C" w:rsidRPr="00A4045C">
        <w:rPr>
          <w:color w:val="00B0F0"/>
          <w:szCs w:val="20"/>
          <w:lang w:eastAsia="zh-HK"/>
        </w:rPr>
        <w:t>exceptional</w:t>
      </w:r>
      <w:r w:rsidR="00130BB9" w:rsidRPr="00A4045C">
        <w:rPr>
          <w:color w:val="00B0F0"/>
          <w:szCs w:val="20"/>
          <w:lang w:eastAsia="zh-HK"/>
        </w:rPr>
        <w:t xml:space="preserve"> levels by stimuli </w:t>
      </w:r>
      <w:r w:rsidR="00130BB9" w:rsidRPr="00E8281A">
        <w:rPr>
          <w:color w:val="000000" w:themeColor="text1"/>
          <w:szCs w:val="20"/>
          <w:lang w:eastAsia="zh-HK"/>
        </w:rPr>
        <w:t>in five different domains: imaginational (vivid fantasies and widespread associations), psychomotor (active, energetic, and agitation), sensual (</w:t>
      </w:r>
      <w:r w:rsidR="007531DA" w:rsidRPr="00E8281A">
        <w:rPr>
          <w:color w:val="000000" w:themeColor="text1"/>
          <w:szCs w:val="20"/>
          <w:lang w:eastAsia="zh-HK"/>
        </w:rPr>
        <w:t>exceptional sensory</w:t>
      </w:r>
      <w:r w:rsidR="00130BB9" w:rsidRPr="00E8281A">
        <w:rPr>
          <w:color w:val="000000" w:themeColor="text1"/>
          <w:szCs w:val="20"/>
          <w:lang w:eastAsia="zh-HK"/>
        </w:rPr>
        <w:t xml:space="preserve"> and </w:t>
      </w:r>
      <w:r w:rsidR="007531DA" w:rsidRPr="00E8281A">
        <w:rPr>
          <w:color w:val="000000" w:themeColor="text1"/>
          <w:szCs w:val="20"/>
          <w:lang w:eastAsia="zh-HK"/>
        </w:rPr>
        <w:t xml:space="preserve">artistic perception), intellectual (curious inquisition and mental manipulation of ideas), and emotional (extraordinary emotional experience). </w:t>
      </w:r>
      <w:bookmarkStart w:id="6" w:name="_Hlk136605067"/>
      <w:r w:rsidR="000517CD" w:rsidRPr="00E8281A">
        <w:rPr>
          <w:color w:val="000000" w:themeColor="text1"/>
          <w:szCs w:val="20"/>
          <w:lang w:eastAsia="zh-HK"/>
        </w:rPr>
        <w:t xml:space="preserve">Overexcitabilities </w:t>
      </w:r>
      <w:r w:rsidR="007463D7" w:rsidRPr="00E8281A">
        <w:rPr>
          <w:color w:val="000000" w:themeColor="text1"/>
          <w:szCs w:val="20"/>
          <w:lang w:eastAsia="zh-HK"/>
        </w:rPr>
        <w:t>augment</w:t>
      </w:r>
      <w:r w:rsidR="000517CD" w:rsidRPr="00E8281A">
        <w:rPr>
          <w:color w:val="000000" w:themeColor="text1"/>
          <w:szCs w:val="20"/>
          <w:lang w:eastAsia="zh-HK"/>
        </w:rPr>
        <w:t xml:space="preserve"> one’s physiological experiences </w:t>
      </w:r>
      <w:r w:rsidR="007463D7" w:rsidRPr="00E8281A">
        <w:rPr>
          <w:color w:val="000000" w:themeColor="text1"/>
          <w:szCs w:val="20"/>
          <w:lang w:eastAsia="zh-HK"/>
        </w:rPr>
        <w:t>as a result of</w:t>
      </w:r>
      <w:r w:rsidR="000517CD" w:rsidRPr="00E8281A">
        <w:rPr>
          <w:color w:val="000000" w:themeColor="text1"/>
          <w:szCs w:val="20"/>
          <w:lang w:eastAsia="zh-HK"/>
        </w:rPr>
        <w:t xml:space="preserve"> exceptional neural sensitivity </w:t>
      </w:r>
      <w:r w:rsidR="007463D7" w:rsidRPr="00E8281A">
        <w:rPr>
          <w:color w:val="000000" w:themeColor="text1"/>
          <w:szCs w:val="20"/>
          <w:lang w:eastAsia="zh-HK"/>
        </w:rPr>
        <w:t xml:space="preserve">(Mendaglio &amp; Tillier, 2006). </w:t>
      </w:r>
      <w:r w:rsidR="00E50020" w:rsidRPr="00E8281A">
        <w:rPr>
          <w:color w:val="000000" w:themeColor="text1"/>
          <w:szCs w:val="20"/>
          <w:lang w:eastAsia="zh-HK"/>
        </w:rPr>
        <w:t>Any</w:t>
      </w:r>
      <w:r w:rsidR="007531DA" w:rsidRPr="00E8281A">
        <w:rPr>
          <w:color w:val="000000" w:themeColor="text1"/>
          <w:szCs w:val="20"/>
          <w:lang w:eastAsia="zh-HK"/>
        </w:rPr>
        <w:t xml:space="preserve"> aligning stimuli can </w:t>
      </w:r>
      <w:r w:rsidR="0001268C" w:rsidRPr="00E8281A">
        <w:rPr>
          <w:color w:val="000000" w:themeColor="text1"/>
          <w:szCs w:val="20"/>
          <w:lang w:eastAsia="zh-HK"/>
        </w:rPr>
        <w:t>induce intense internal arousal</w:t>
      </w:r>
      <w:r w:rsidR="006D45AB" w:rsidRPr="00E8281A">
        <w:rPr>
          <w:color w:val="000000" w:themeColor="text1"/>
          <w:szCs w:val="20"/>
          <w:lang w:eastAsia="zh-HK"/>
        </w:rPr>
        <w:t xml:space="preserve"> </w:t>
      </w:r>
      <w:r w:rsidR="00E50020" w:rsidRPr="00E8281A">
        <w:rPr>
          <w:color w:val="000000" w:themeColor="text1"/>
          <w:szCs w:val="20"/>
          <w:lang w:eastAsia="zh-HK"/>
        </w:rPr>
        <w:t xml:space="preserve">and </w:t>
      </w:r>
      <w:r w:rsidR="006D45AB" w:rsidRPr="00E8281A">
        <w:rPr>
          <w:color w:val="000000" w:themeColor="text1"/>
          <w:szCs w:val="20"/>
          <w:lang w:eastAsia="zh-HK"/>
        </w:rPr>
        <w:t>exaggerated emotional/behavioral responses</w:t>
      </w:r>
      <w:r w:rsidR="00E50020" w:rsidRPr="00E8281A">
        <w:rPr>
          <w:color w:val="000000" w:themeColor="text1"/>
          <w:szCs w:val="20"/>
          <w:lang w:eastAsia="zh-HK"/>
        </w:rPr>
        <w:t>, leading</w:t>
      </w:r>
      <w:r w:rsidR="0001268C" w:rsidRPr="00E8281A">
        <w:rPr>
          <w:color w:val="000000" w:themeColor="text1"/>
          <w:szCs w:val="20"/>
          <w:lang w:eastAsia="zh-HK"/>
        </w:rPr>
        <w:t xml:space="preserve"> to augmented </w:t>
      </w:r>
      <w:r w:rsidR="007463D7" w:rsidRPr="00E8281A">
        <w:rPr>
          <w:color w:val="000000" w:themeColor="text1"/>
          <w:szCs w:val="20"/>
          <w:lang w:eastAsia="zh-HK"/>
        </w:rPr>
        <w:t>physiological</w:t>
      </w:r>
      <w:r w:rsidR="0001268C" w:rsidRPr="00E8281A">
        <w:rPr>
          <w:color w:val="000000" w:themeColor="text1"/>
          <w:szCs w:val="20"/>
          <w:lang w:eastAsia="zh-HK"/>
        </w:rPr>
        <w:t xml:space="preserve"> experiences </w:t>
      </w:r>
      <w:r w:rsidR="003B0B67" w:rsidRPr="00E8281A">
        <w:rPr>
          <w:color w:val="000000" w:themeColor="text1"/>
          <w:szCs w:val="20"/>
          <w:lang w:eastAsia="zh-HK"/>
        </w:rPr>
        <w:t>(</w:t>
      </w:r>
      <w:r w:rsidR="0001268C" w:rsidRPr="00E8281A">
        <w:rPr>
          <w:color w:val="000000" w:themeColor="text1"/>
          <w:szCs w:val="20"/>
          <w:lang w:eastAsia="zh-HK"/>
        </w:rPr>
        <w:t>De Bondt et al., 2</w:t>
      </w:r>
      <w:r w:rsidR="00A66CB7" w:rsidRPr="00E8281A">
        <w:rPr>
          <w:color w:val="000000" w:themeColor="text1"/>
          <w:szCs w:val="20"/>
          <w:lang w:eastAsia="zh-HK"/>
        </w:rPr>
        <w:t>021</w:t>
      </w:r>
      <w:r w:rsidR="0001268C" w:rsidRPr="00E8281A">
        <w:rPr>
          <w:color w:val="000000" w:themeColor="text1"/>
          <w:szCs w:val="20"/>
          <w:lang w:eastAsia="zh-HK"/>
        </w:rPr>
        <w:t>; Piechowski &amp; Cunningham, 1985</w:t>
      </w:r>
      <w:r w:rsidR="003B0B67" w:rsidRPr="00E8281A">
        <w:rPr>
          <w:color w:val="000000" w:themeColor="text1"/>
          <w:szCs w:val="20"/>
          <w:lang w:eastAsia="zh-HK"/>
        </w:rPr>
        <w:t xml:space="preserve">). </w:t>
      </w:r>
    </w:p>
    <w:p w14:paraId="4105F0D1" w14:textId="113B7E3C" w:rsidR="00267999" w:rsidRPr="00DA416E" w:rsidRDefault="000517CD" w:rsidP="00E530FB">
      <w:pPr>
        <w:spacing w:line="480" w:lineRule="auto"/>
        <w:ind w:firstLine="480"/>
        <w:rPr>
          <w:color w:val="00B0F0"/>
          <w:szCs w:val="20"/>
          <w:lang w:eastAsia="zh-HK"/>
        </w:rPr>
      </w:pPr>
      <w:bookmarkStart w:id="7" w:name="_Hlk136760566"/>
      <w:r w:rsidRPr="00E8281A">
        <w:rPr>
          <w:color w:val="000000" w:themeColor="text1"/>
          <w:szCs w:val="20"/>
          <w:lang w:eastAsia="zh-HK"/>
        </w:rPr>
        <w:t xml:space="preserve">Overexcitabilities also </w:t>
      </w:r>
      <w:r w:rsidR="007B71C1" w:rsidRPr="00E8281A">
        <w:rPr>
          <w:color w:val="000000" w:themeColor="text1"/>
          <w:szCs w:val="20"/>
          <w:lang w:eastAsia="zh-HK"/>
        </w:rPr>
        <w:t>filter</w:t>
      </w:r>
      <w:r w:rsidRPr="00E8281A">
        <w:rPr>
          <w:color w:val="000000" w:themeColor="text1"/>
          <w:szCs w:val="20"/>
          <w:lang w:eastAsia="zh-HK"/>
        </w:rPr>
        <w:t xml:space="preserve"> one’s sensory inputs (Chang &amp; Kuo, 2013)</w:t>
      </w:r>
      <w:r w:rsidR="007463D7" w:rsidRPr="00E8281A">
        <w:rPr>
          <w:color w:val="000000" w:themeColor="text1"/>
          <w:szCs w:val="20"/>
          <w:lang w:eastAsia="zh-HK"/>
        </w:rPr>
        <w:t xml:space="preserve"> and may lead to </w:t>
      </w:r>
      <w:r w:rsidR="00231AB8" w:rsidRPr="00E8281A">
        <w:rPr>
          <w:color w:val="000000" w:themeColor="text1"/>
          <w:szCs w:val="20"/>
          <w:lang w:eastAsia="zh-HK"/>
        </w:rPr>
        <w:t>enhanced information processing</w:t>
      </w:r>
      <w:r w:rsidR="004A7C24" w:rsidRPr="00E8281A">
        <w:rPr>
          <w:color w:val="000000" w:themeColor="text1"/>
          <w:szCs w:val="20"/>
          <w:lang w:eastAsia="zh-HK"/>
        </w:rPr>
        <w:t xml:space="preserve"> (Daniels &amp; Piechowski, 2009).</w:t>
      </w:r>
      <w:r w:rsidR="00231AB8" w:rsidRPr="00E8281A">
        <w:rPr>
          <w:color w:val="000000" w:themeColor="text1"/>
          <w:szCs w:val="20"/>
          <w:lang w:eastAsia="zh-HK"/>
        </w:rPr>
        <w:t xml:space="preserve"> </w:t>
      </w:r>
      <w:r w:rsidR="00FF45F2" w:rsidRPr="00A4045C">
        <w:rPr>
          <w:color w:val="00B0F0"/>
          <w:szCs w:val="20"/>
          <w:lang w:eastAsia="zh-HK"/>
        </w:rPr>
        <w:t>Specifically, overexcitable child</w:t>
      </w:r>
      <w:r w:rsidR="00730324" w:rsidRPr="00A4045C">
        <w:rPr>
          <w:color w:val="00B0F0"/>
          <w:szCs w:val="20"/>
          <w:lang w:eastAsia="zh-HK"/>
        </w:rPr>
        <w:t>ren</w:t>
      </w:r>
      <w:r w:rsidR="00FF45F2" w:rsidRPr="00A4045C">
        <w:rPr>
          <w:color w:val="00B0F0"/>
          <w:szCs w:val="20"/>
          <w:lang w:eastAsia="zh-HK"/>
        </w:rPr>
        <w:t xml:space="preserve"> </w:t>
      </w:r>
      <w:r w:rsidR="00A4045C" w:rsidRPr="00A4045C">
        <w:rPr>
          <w:color w:val="00B0F0"/>
          <w:szCs w:val="20"/>
          <w:lang w:eastAsia="zh-HK"/>
        </w:rPr>
        <w:t>take in more information based on the domain of their overexcitability</w:t>
      </w:r>
      <w:r w:rsidR="00A77FF1" w:rsidRPr="00A4045C">
        <w:rPr>
          <w:color w:val="00B0F0"/>
          <w:szCs w:val="20"/>
          <w:lang w:eastAsia="zh-HK"/>
        </w:rPr>
        <w:t xml:space="preserve"> (He et al., 2017)</w:t>
      </w:r>
      <w:r w:rsidRPr="00E8281A">
        <w:rPr>
          <w:color w:val="000000" w:themeColor="text1"/>
          <w:szCs w:val="20"/>
          <w:lang w:eastAsia="zh-HK"/>
        </w:rPr>
        <w:t>.</w:t>
      </w:r>
      <w:r w:rsidR="00FF45F2" w:rsidRPr="00E8281A">
        <w:rPr>
          <w:color w:val="000000" w:themeColor="text1"/>
          <w:szCs w:val="20"/>
          <w:lang w:eastAsia="zh-HK"/>
        </w:rPr>
        <w:t xml:space="preserve"> </w:t>
      </w:r>
      <w:r w:rsidR="00A77FF1" w:rsidRPr="00E8281A">
        <w:rPr>
          <w:color w:val="000000" w:themeColor="text1"/>
          <w:szCs w:val="20"/>
          <w:lang w:eastAsia="zh-HK"/>
        </w:rPr>
        <w:t xml:space="preserve">For example, imaginational overexcitable children might perceive and process more fantasy-related information when </w:t>
      </w:r>
      <w:r w:rsidR="00871184">
        <w:rPr>
          <w:color w:val="000000" w:themeColor="text1"/>
          <w:szCs w:val="20"/>
          <w:lang w:eastAsia="zh-HK"/>
        </w:rPr>
        <w:t xml:space="preserve">they are </w:t>
      </w:r>
      <w:r w:rsidR="00A77FF1" w:rsidRPr="00E8281A">
        <w:rPr>
          <w:color w:val="000000" w:themeColor="text1"/>
          <w:szCs w:val="20"/>
          <w:lang w:eastAsia="zh-HK"/>
        </w:rPr>
        <w:t xml:space="preserve">watching a magical cartoon. </w:t>
      </w:r>
      <w:r w:rsidR="00A77FF1" w:rsidRPr="00A4045C">
        <w:rPr>
          <w:color w:val="00B0F0"/>
          <w:szCs w:val="20"/>
          <w:lang w:eastAsia="zh-HK"/>
        </w:rPr>
        <w:t xml:space="preserve">Therefore, overexcitabilities </w:t>
      </w:r>
      <w:r w:rsidR="00EF1FCB" w:rsidRPr="00A4045C">
        <w:rPr>
          <w:color w:val="00B0F0"/>
          <w:szCs w:val="20"/>
          <w:lang w:eastAsia="zh-HK"/>
        </w:rPr>
        <w:t xml:space="preserve">may </w:t>
      </w:r>
      <w:r w:rsidR="003C2569">
        <w:rPr>
          <w:color w:val="00B0F0"/>
          <w:szCs w:val="20"/>
          <w:lang w:eastAsia="zh-HK"/>
        </w:rPr>
        <w:t>give children</w:t>
      </w:r>
      <w:r w:rsidR="00A4045C" w:rsidRPr="00A4045C">
        <w:rPr>
          <w:color w:val="00B0F0"/>
          <w:szCs w:val="20"/>
          <w:lang w:eastAsia="zh-HK"/>
        </w:rPr>
        <w:t xml:space="preserve"> </w:t>
      </w:r>
      <w:r w:rsidR="00F04815" w:rsidRPr="00A4045C">
        <w:rPr>
          <w:color w:val="00B0F0"/>
          <w:szCs w:val="20"/>
          <w:lang w:eastAsia="zh-HK"/>
        </w:rPr>
        <w:t xml:space="preserve">vigorous and </w:t>
      </w:r>
      <w:r w:rsidR="001531F9" w:rsidRPr="00A4045C">
        <w:rPr>
          <w:color w:val="00B0F0"/>
          <w:szCs w:val="20"/>
          <w:lang w:eastAsia="zh-HK"/>
        </w:rPr>
        <w:t xml:space="preserve">unconventional experiences and ideas </w:t>
      </w:r>
      <w:r w:rsidR="00A4045C" w:rsidRPr="00A4045C">
        <w:rPr>
          <w:color w:val="00B0F0"/>
          <w:szCs w:val="20"/>
          <w:lang w:eastAsia="zh-HK"/>
        </w:rPr>
        <w:t>(Fung et al., 2021</w:t>
      </w:r>
      <w:r w:rsidR="00A4045C" w:rsidRPr="00011D0E">
        <w:rPr>
          <w:color w:val="00B0F0"/>
          <w:szCs w:val="20"/>
          <w:lang w:eastAsia="zh-HK"/>
        </w:rPr>
        <w:t>)</w:t>
      </w:r>
      <w:r w:rsidR="001531F9" w:rsidRPr="00011D0E">
        <w:rPr>
          <w:color w:val="00B0F0"/>
          <w:szCs w:val="20"/>
          <w:lang w:eastAsia="zh-HK"/>
        </w:rPr>
        <w:t>.</w:t>
      </w:r>
      <w:r w:rsidR="00F04815" w:rsidRPr="00011D0E">
        <w:rPr>
          <w:color w:val="00B0F0"/>
          <w:szCs w:val="20"/>
          <w:lang w:eastAsia="zh-HK"/>
        </w:rPr>
        <w:t xml:space="preserve"> </w:t>
      </w:r>
      <w:r w:rsidR="001531F9" w:rsidRPr="00011D0E">
        <w:rPr>
          <w:color w:val="00B0F0"/>
          <w:szCs w:val="20"/>
          <w:lang w:eastAsia="zh-HK"/>
        </w:rPr>
        <w:t>The</w:t>
      </w:r>
      <w:r w:rsidR="0095208C" w:rsidRPr="00011D0E">
        <w:rPr>
          <w:color w:val="00B0F0"/>
          <w:szCs w:val="20"/>
          <w:lang w:eastAsia="zh-HK"/>
        </w:rPr>
        <w:t>se</w:t>
      </w:r>
      <w:r w:rsidR="001531F9" w:rsidRPr="00011D0E">
        <w:rPr>
          <w:color w:val="00B0F0"/>
          <w:szCs w:val="20"/>
          <w:lang w:eastAsia="zh-HK"/>
        </w:rPr>
        <w:t xml:space="preserve"> </w:t>
      </w:r>
      <w:r w:rsidR="001531F9" w:rsidRPr="00735E54">
        <w:rPr>
          <w:color w:val="00B0F0"/>
          <w:szCs w:val="20"/>
          <w:lang w:eastAsia="zh-HK"/>
        </w:rPr>
        <w:t>incomparable physiological experiences and a</w:t>
      </w:r>
      <w:r w:rsidR="00E50020" w:rsidRPr="00735E54">
        <w:rPr>
          <w:color w:val="00B0F0"/>
          <w:szCs w:val="20"/>
          <w:lang w:eastAsia="zh-HK"/>
        </w:rPr>
        <w:t>dvanced</w:t>
      </w:r>
      <w:r w:rsidR="006D45AB" w:rsidRPr="00735E54">
        <w:rPr>
          <w:color w:val="00B0F0"/>
          <w:szCs w:val="20"/>
          <w:lang w:eastAsia="zh-HK"/>
        </w:rPr>
        <w:t xml:space="preserve"> information processing </w:t>
      </w:r>
      <w:r w:rsidR="00735E54">
        <w:rPr>
          <w:color w:val="00B0F0"/>
          <w:szCs w:val="20"/>
          <w:lang w:eastAsia="zh-HK"/>
        </w:rPr>
        <w:t xml:space="preserve">may explain how </w:t>
      </w:r>
      <w:r w:rsidR="00266873" w:rsidRPr="00735E54">
        <w:rPr>
          <w:color w:val="00B0F0"/>
          <w:szCs w:val="20"/>
          <w:lang w:eastAsia="zh-HK"/>
        </w:rPr>
        <w:t xml:space="preserve">overexcitabilities </w:t>
      </w:r>
      <w:r w:rsidR="00CD3F1D">
        <w:rPr>
          <w:color w:val="00B0F0"/>
          <w:szCs w:val="20"/>
          <w:lang w:eastAsia="zh-HK"/>
        </w:rPr>
        <w:t>enhance</w:t>
      </w:r>
      <w:r w:rsidR="00735E54" w:rsidRPr="00735E54">
        <w:rPr>
          <w:color w:val="00B0F0"/>
          <w:szCs w:val="20"/>
          <w:lang w:eastAsia="zh-HK"/>
        </w:rPr>
        <w:t xml:space="preserve"> children’s</w:t>
      </w:r>
      <w:r w:rsidR="006D45AB" w:rsidRPr="00735E54">
        <w:rPr>
          <w:color w:val="00B0F0"/>
          <w:szCs w:val="20"/>
          <w:lang w:eastAsia="zh-HK"/>
        </w:rPr>
        <w:t xml:space="preserve"> creative potential (He et al., 2017).</w:t>
      </w:r>
      <w:r w:rsidR="00231AB8" w:rsidRPr="00E8281A">
        <w:rPr>
          <w:color w:val="000000" w:themeColor="text1"/>
          <w:szCs w:val="20"/>
          <w:lang w:eastAsia="zh-HK"/>
        </w:rPr>
        <w:t xml:space="preserve"> </w:t>
      </w:r>
      <w:r w:rsidR="00267999" w:rsidRPr="00DA416E">
        <w:rPr>
          <w:color w:val="00B0F0"/>
          <w:szCs w:val="20"/>
          <w:lang w:eastAsia="zh-HK"/>
        </w:rPr>
        <w:t xml:space="preserve">Indeed, Rhodes (1961) argued that creative production depends </w:t>
      </w:r>
      <w:r w:rsidR="007B71C1" w:rsidRPr="00DA416E">
        <w:rPr>
          <w:color w:val="00B0F0"/>
          <w:szCs w:val="20"/>
          <w:lang w:eastAsia="zh-HK"/>
        </w:rPr>
        <w:t xml:space="preserve">on </w:t>
      </w:r>
      <w:r w:rsidR="00DA416E" w:rsidRPr="00DA416E">
        <w:rPr>
          <w:color w:val="00B0F0"/>
          <w:szCs w:val="20"/>
          <w:lang w:eastAsia="zh-HK"/>
        </w:rPr>
        <w:t>children’s</w:t>
      </w:r>
      <w:r w:rsidR="00267999" w:rsidRPr="00DA416E">
        <w:rPr>
          <w:color w:val="00B0F0"/>
          <w:szCs w:val="20"/>
          <w:lang w:eastAsia="zh-HK"/>
        </w:rPr>
        <w:t xml:space="preserve"> individual characteristics governing how they sense and perceive internal and external stimuli</w:t>
      </w:r>
      <w:bookmarkEnd w:id="7"/>
      <w:r w:rsidR="00267999" w:rsidRPr="00DA416E">
        <w:rPr>
          <w:color w:val="00B0F0"/>
          <w:szCs w:val="20"/>
          <w:lang w:eastAsia="zh-HK"/>
        </w:rPr>
        <w:t>.</w:t>
      </w:r>
    </w:p>
    <w:p w14:paraId="30231D79" w14:textId="180BCB36" w:rsidR="005015F0" w:rsidRPr="00E8281A" w:rsidRDefault="00267999" w:rsidP="00E530FB">
      <w:pPr>
        <w:spacing w:line="480" w:lineRule="auto"/>
        <w:ind w:firstLine="48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Among the five domains, Dabrowski (1972) highlighted that </w:t>
      </w:r>
      <w:r w:rsidR="001531F9" w:rsidRPr="00E8281A">
        <w:rPr>
          <w:color w:val="000000" w:themeColor="text1"/>
          <w:szCs w:val="20"/>
          <w:lang w:eastAsia="zh-HK"/>
        </w:rPr>
        <w:t xml:space="preserve">imaginational, intellectual, </w:t>
      </w:r>
      <w:r w:rsidRPr="00E8281A">
        <w:rPr>
          <w:color w:val="000000" w:themeColor="text1"/>
          <w:szCs w:val="20"/>
          <w:lang w:eastAsia="zh-HK"/>
        </w:rPr>
        <w:t>and</w:t>
      </w:r>
      <w:r w:rsidR="001531F9" w:rsidRPr="00E8281A">
        <w:rPr>
          <w:color w:val="000000" w:themeColor="text1"/>
          <w:szCs w:val="20"/>
          <w:lang w:eastAsia="zh-HK"/>
        </w:rPr>
        <w:t xml:space="preserve"> emotional </w:t>
      </w:r>
      <w:r w:rsidRPr="00E8281A">
        <w:rPr>
          <w:color w:val="000000" w:themeColor="text1"/>
          <w:szCs w:val="20"/>
          <w:lang w:eastAsia="zh-HK"/>
        </w:rPr>
        <w:t xml:space="preserve">overexcitabilities are particularly important </w:t>
      </w:r>
      <w:r w:rsidR="00F56FC6">
        <w:rPr>
          <w:color w:val="000000" w:themeColor="text1"/>
          <w:szCs w:val="20"/>
          <w:lang w:eastAsia="zh-HK"/>
        </w:rPr>
        <w:t>for</w:t>
      </w:r>
      <w:r w:rsidRPr="00E8281A">
        <w:rPr>
          <w:color w:val="000000" w:themeColor="text1"/>
          <w:szCs w:val="20"/>
          <w:lang w:eastAsia="zh-HK"/>
        </w:rPr>
        <w:t xml:space="preserve"> </w:t>
      </w:r>
      <w:r w:rsidR="00EE274A" w:rsidRPr="00E8281A">
        <w:rPr>
          <w:color w:val="000000" w:themeColor="text1"/>
          <w:szCs w:val="20"/>
          <w:lang w:eastAsia="zh-HK"/>
        </w:rPr>
        <w:t>determining</w:t>
      </w:r>
      <w:r w:rsidRPr="00E8281A">
        <w:rPr>
          <w:color w:val="000000" w:themeColor="text1"/>
          <w:szCs w:val="20"/>
          <w:lang w:eastAsia="zh-HK"/>
        </w:rPr>
        <w:t xml:space="preserve"> </w:t>
      </w:r>
      <w:r w:rsidR="00EE274A" w:rsidRPr="00E8281A">
        <w:rPr>
          <w:color w:val="000000" w:themeColor="text1"/>
          <w:szCs w:val="20"/>
          <w:lang w:eastAsia="zh-HK"/>
        </w:rPr>
        <w:t xml:space="preserve">children’s creative potential. Recent research has revealed consistent findings (e.g., Fung &amp; Chung, 2021; He et al., 2017). For instance, Fung and Chung (2021) demonstrated that kindergarten children’s </w:t>
      </w:r>
      <w:r w:rsidR="00F86E2B" w:rsidRPr="00E8281A">
        <w:rPr>
          <w:color w:val="000000" w:themeColor="text1"/>
          <w:szCs w:val="20"/>
          <w:lang w:eastAsia="zh-HK"/>
        </w:rPr>
        <w:t xml:space="preserve">imaginational and intellectual overexcitabilities are predictive of their flexible use of play </w:t>
      </w:r>
      <w:r w:rsidR="00F86E2B" w:rsidRPr="00E8281A">
        <w:rPr>
          <w:color w:val="000000" w:themeColor="text1"/>
          <w:szCs w:val="20"/>
          <w:lang w:eastAsia="zh-HK"/>
        </w:rPr>
        <w:lastRenderedPageBreak/>
        <w:t xml:space="preserve">materials and originality in play. Likewise, He et al. (2017) reported that imaginational, intellectual, and emotional overexcitabilities are stronger predictors of children’s and adolescents’ creative drawing production </w:t>
      </w:r>
      <w:r w:rsidR="007B71C1" w:rsidRPr="00E8281A">
        <w:rPr>
          <w:color w:val="000000" w:themeColor="text1"/>
          <w:szCs w:val="20"/>
          <w:lang w:eastAsia="zh-HK"/>
        </w:rPr>
        <w:t>than</w:t>
      </w:r>
      <w:r w:rsidR="00F86E2B" w:rsidRPr="00E8281A">
        <w:rPr>
          <w:color w:val="000000" w:themeColor="text1"/>
          <w:szCs w:val="20"/>
          <w:lang w:eastAsia="zh-HK"/>
        </w:rPr>
        <w:t xml:space="preserve"> their sensual and psychomotor overexcitabilities. </w:t>
      </w:r>
    </w:p>
    <w:p w14:paraId="544344ED" w14:textId="43AE6400" w:rsidR="005163C6" w:rsidRPr="00E8281A" w:rsidRDefault="00F745F1" w:rsidP="00E530FB">
      <w:pPr>
        <w:spacing w:line="480" w:lineRule="auto"/>
        <w:ind w:firstLine="480"/>
        <w:rPr>
          <w:color w:val="000000" w:themeColor="text1"/>
          <w:szCs w:val="20"/>
          <w:lang w:eastAsia="zh-HK"/>
        </w:rPr>
      </w:pPr>
      <w:bookmarkStart w:id="8" w:name="_Hlk136760757"/>
      <w:bookmarkStart w:id="9" w:name="_Hlk136603976"/>
      <w:bookmarkEnd w:id="6"/>
      <w:r>
        <w:rPr>
          <w:color w:val="000000" w:themeColor="text1"/>
          <w:szCs w:val="20"/>
          <w:lang w:eastAsia="zh-HK"/>
        </w:rPr>
        <w:t xml:space="preserve">Although there is </w:t>
      </w:r>
      <w:r w:rsidR="005015F0" w:rsidRPr="00E8281A">
        <w:rPr>
          <w:color w:val="000000" w:themeColor="text1"/>
          <w:szCs w:val="20"/>
          <w:lang w:eastAsia="zh-HK"/>
        </w:rPr>
        <w:t>theoretical and empirical</w:t>
      </w:r>
      <w:r>
        <w:rPr>
          <w:color w:val="000000" w:themeColor="text1"/>
          <w:szCs w:val="20"/>
          <w:lang w:eastAsia="zh-HK"/>
        </w:rPr>
        <w:t xml:space="preserve"> support for </w:t>
      </w:r>
      <w:r w:rsidR="00DA324F" w:rsidRPr="00E8281A">
        <w:rPr>
          <w:color w:val="000000" w:themeColor="text1"/>
          <w:szCs w:val="20"/>
          <w:lang w:eastAsia="zh-HK"/>
        </w:rPr>
        <w:t xml:space="preserve">the </w:t>
      </w:r>
      <w:r w:rsidR="001C08A0" w:rsidRPr="00E8281A">
        <w:rPr>
          <w:color w:val="000000" w:themeColor="text1"/>
          <w:szCs w:val="20"/>
          <w:lang w:eastAsia="zh-HK"/>
        </w:rPr>
        <w:t>inter</w:t>
      </w:r>
      <w:r w:rsidR="00DA324F" w:rsidRPr="00E8281A">
        <w:rPr>
          <w:color w:val="000000" w:themeColor="text1"/>
          <w:szCs w:val="20"/>
          <w:lang w:eastAsia="zh-HK"/>
        </w:rPr>
        <w:t>link</w:t>
      </w:r>
      <w:r w:rsidR="001C08A0" w:rsidRPr="00E8281A">
        <w:rPr>
          <w:color w:val="000000" w:themeColor="text1"/>
          <w:szCs w:val="20"/>
          <w:lang w:eastAsia="zh-HK"/>
        </w:rPr>
        <w:t xml:space="preserve">s </w:t>
      </w:r>
      <w:r w:rsidR="00DA324F" w:rsidRPr="00E8281A">
        <w:rPr>
          <w:color w:val="000000" w:themeColor="text1"/>
          <w:szCs w:val="20"/>
          <w:lang w:eastAsia="zh-HK"/>
        </w:rPr>
        <w:t>between overexcitabilities and creative potential</w:t>
      </w:r>
      <w:r w:rsidR="005015F0" w:rsidRPr="00E8281A">
        <w:rPr>
          <w:color w:val="000000" w:themeColor="text1"/>
          <w:szCs w:val="20"/>
          <w:lang w:eastAsia="zh-HK"/>
        </w:rPr>
        <w:t xml:space="preserve"> (i.e., Dabrowski, 1972; Fung &amp; Chung, 2021; He et al., 2017), </w:t>
      </w:r>
      <w:r w:rsidR="003461EF" w:rsidRPr="00E8281A">
        <w:rPr>
          <w:color w:val="000000" w:themeColor="text1"/>
          <w:szCs w:val="20"/>
          <w:lang w:eastAsia="zh-HK"/>
        </w:rPr>
        <w:t>alternative</w:t>
      </w:r>
      <w:r w:rsidR="00DA324F" w:rsidRPr="00E8281A">
        <w:rPr>
          <w:color w:val="000000" w:themeColor="text1"/>
          <w:szCs w:val="20"/>
          <w:lang w:eastAsia="zh-HK"/>
        </w:rPr>
        <w:t xml:space="preserve"> research </w:t>
      </w:r>
      <w:r w:rsidR="003461EF" w:rsidRPr="00E8281A">
        <w:rPr>
          <w:color w:val="000000" w:themeColor="text1"/>
          <w:szCs w:val="20"/>
          <w:lang w:eastAsia="zh-HK"/>
        </w:rPr>
        <w:t xml:space="preserve">has </w:t>
      </w:r>
      <w:r w:rsidR="00DA324F" w:rsidRPr="00E8281A">
        <w:rPr>
          <w:color w:val="000000" w:themeColor="text1"/>
          <w:szCs w:val="20"/>
          <w:lang w:eastAsia="zh-HK"/>
        </w:rPr>
        <w:t xml:space="preserve">proposed that </w:t>
      </w:r>
      <w:r w:rsidR="001C08A0" w:rsidRPr="00E8281A">
        <w:rPr>
          <w:color w:val="000000" w:themeColor="text1"/>
          <w:szCs w:val="20"/>
          <w:lang w:eastAsia="zh-HK"/>
        </w:rPr>
        <w:t>the personality trait of openness should be used</w:t>
      </w:r>
      <w:r w:rsidR="001F3BFD" w:rsidRPr="00E8281A">
        <w:rPr>
          <w:color w:val="000000" w:themeColor="text1"/>
          <w:szCs w:val="20"/>
          <w:lang w:eastAsia="zh-HK"/>
        </w:rPr>
        <w:t xml:space="preserve"> in </w:t>
      </w:r>
      <w:r w:rsidR="00EE6F72" w:rsidRPr="00E8281A">
        <w:rPr>
          <w:color w:val="000000" w:themeColor="text1"/>
          <w:szCs w:val="20"/>
          <w:lang w:eastAsia="zh-HK"/>
        </w:rPr>
        <w:t>studying</w:t>
      </w:r>
      <w:r w:rsidR="003461EF" w:rsidRPr="00E8281A">
        <w:rPr>
          <w:color w:val="000000" w:themeColor="text1"/>
          <w:szCs w:val="20"/>
          <w:lang w:eastAsia="zh-HK"/>
        </w:rPr>
        <w:t xml:space="preserve"> </w:t>
      </w:r>
      <w:r w:rsidR="001F3BFD" w:rsidRPr="00E8281A">
        <w:rPr>
          <w:color w:val="000000" w:themeColor="text1"/>
          <w:szCs w:val="20"/>
          <w:lang w:eastAsia="zh-HK"/>
        </w:rPr>
        <w:t>gifted</w:t>
      </w:r>
      <w:r w:rsidR="00EE6F72" w:rsidRPr="00E8281A">
        <w:rPr>
          <w:color w:val="000000" w:themeColor="text1"/>
          <w:szCs w:val="20"/>
          <w:lang w:eastAsia="zh-HK"/>
        </w:rPr>
        <w:t xml:space="preserve">ness </w:t>
      </w:r>
      <w:r w:rsidR="001F3BFD" w:rsidRPr="00E8281A">
        <w:rPr>
          <w:color w:val="000000" w:themeColor="text1"/>
          <w:szCs w:val="20"/>
          <w:lang w:eastAsia="zh-HK"/>
        </w:rPr>
        <w:t xml:space="preserve">and creativity development </w:t>
      </w:r>
      <w:r w:rsidR="005015F0" w:rsidRPr="00E8281A">
        <w:rPr>
          <w:color w:val="000000" w:themeColor="text1"/>
          <w:szCs w:val="20"/>
          <w:lang w:eastAsia="zh-HK"/>
        </w:rPr>
        <w:t xml:space="preserve">(e.g., </w:t>
      </w:r>
      <w:r w:rsidR="001D41BB" w:rsidRPr="00E8281A">
        <w:rPr>
          <w:color w:val="000000" w:themeColor="text1"/>
          <w:szCs w:val="20"/>
          <w:lang w:eastAsia="zh-HK"/>
        </w:rPr>
        <w:t xml:space="preserve">Vuyk, Kerr, &amp; Krieshok, 2016; Vuyk, Krieshok, Kerr, 2016 </w:t>
      </w:r>
      <w:r w:rsidR="005015F0" w:rsidRPr="00E8281A">
        <w:rPr>
          <w:color w:val="000000" w:themeColor="text1"/>
          <w:szCs w:val="20"/>
          <w:lang w:eastAsia="zh-HK"/>
        </w:rPr>
        <w:t xml:space="preserve">). </w:t>
      </w:r>
      <w:r w:rsidR="00F066BF" w:rsidRPr="00E8281A">
        <w:rPr>
          <w:color w:val="000000" w:themeColor="text1"/>
          <w:szCs w:val="20"/>
          <w:lang w:eastAsia="zh-HK"/>
        </w:rPr>
        <w:t xml:space="preserve">Openness indicates the degree </w:t>
      </w:r>
      <w:r w:rsidR="007B71C1" w:rsidRPr="00E8281A">
        <w:rPr>
          <w:color w:val="000000" w:themeColor="text1"/>
          <w:szCs w:val="20"/>
          <w:lang w:eastAsia="zh-HK"/>
        </w:rPr>
        <w:t>to</w:t>
      </w:r>
      <w:r w:rsidR="00F066BF" w:rsidRPr="00E8281A">
        <w:rPr>
          <w:color w:val="000000" w:themeColor="text1"/>
          <w:szCs w:val="20"/>
          <w:lang w:eastAsia="zh-HK"/>
        </w:rPr>
        <w:t xml:space="preserve"> which one </w:t>
      </w:r>
      <w:r w:rsidR="007B71C1" w:rsidRPr="00E8281A">
        <w:rPr>
          <w:color w:val="000000" w:themeColor="text1"/>
          <w:szCs w:val="20"/>
          <w:lang w:eastAsia="zh-HK"/>
        </w:rPr>
        <w:t>embraces</w:t>
      </w:r>
      <w:r w:rsidR="00936723" w:rsidRPr="00E8281A">
        <w:rPr>
          <w:color w:val="000000" w:themeColor="text1"/>
          <w:szCs w:val="20"/>
          <w:lang w:eastAsia="zh-HK"/>
        </w:rPr>
        <w:t xml:space="preserve"> new experiences</w:t>
      </w:r>
      <w:r w:rsidR="00E976AC" w:rsidRPr="00E8281A">
        <w:rPr>
          <w:color w:val="000000" w:themeColor="text1"/>
          <w:szCs w:val="20"/>
          <w:lang w:eastAsia="zh-HK"/>
        </w:rPr>
        <w:t xml:space="preserve"> (e.g., fantastic, aesthetic, intellectual)</w:t>
      </w:r>
      <w:r w:rsidR="00936723" w:rsidRPr="00E8281A">
        <w:rPr>
          <w:color w:val="000000" w:themeColor="text1"/>
          <w:szCs w:val="20"/>
          <w:lang w:eastAsia="zh-HK"/>
        </w:rPr>
        <w:t xml:space="preserve"> (Vuyk, Kerr, &amp; Krieshok, 2016).</w:t>
      </w:r>
      <w:r w:rsidR="00F066BF" w:rsidRPr="00E8281A">
        <w:rPr>
          <w:color w:val="000000" w:themeColor="text1"/>
          <w:szCs w:val="20"/>
          <w:lang w:eastAsia="zh-HK"/>
        </w:rPr>
        <w:t xml:space="preserve"> </w:t>
      </w:r>
      <w:r w:rsidR="001D41BB" w:rsidRPr="00E8281A">
        <w:rPr>
          <w:color w:val="000000" w:themeColor="text1"/>
          <w:szCs w:val="20"/>
          <w:lang w:eastAsia="zh-HK"/>
        </w:rPr>
        <w:t>Specifically, Vuyk and colleagues (2016) argued that overexcitabilities</w:t>
      </w:r>
      <w:r w:rsidR="00042DBC" w:rsidRPr="00E8281A">
        <w:rPr>
          <w:color w:val="000000" w:themeColor="text1"/>
          <w:szCs w:val="20"/>
          <w:lang w:eastAsia="zh-HK"/>
        </w:rPr>
        <w:t xml:space="preserve"> and openness</w:t>
      </w:r>
      <w:r w:rsidR="001D41BB" w:rsidRPr="00E8281A">
        <w:rPr>
          <w:color w:val="000000" w:themeColor="text1"/>
          <w:szCs w:val="20"/>
          <w:lang w:eastAsia="zh-HK"/>
        </w:rPr>
        <w:t xml:space="preserve"> are overlapping concepts</w:t>
      </w:r>
      <w:r w:rsidR="00042DBC" w:rsidRPr="00E8281A">
        <w:rPr>
          <w:color w:val="000000" w:themeColor="text1"/>
          <w:szCs w:val="20"/>
          <w:lang w:eastAsia="zh-HK"/>
        </w:rPr>
        <w:t>,</w:t>
      </w:r>
      <w:r w:rsidR="001D41BB" w:rsidRPr="00E8281A">
        <w:rPr>
          <w:color w:val="000000" w:themeColor="text1"/>
          <w:szCs w:val="20"/>
          <w:lang w:eastAsia="zh-HK"/>
        </w:rPr>
        <w:t xml:space="preserve"> </w:t>
      </w:r>
      <w:r w:rsidR="00427703">
        <w:rPr>
          <w:color w:val="000000" w:themeColor="text1"/>
          <w:szCs w:val="20"/>
          <w:lang w:eastAsia="zh-HK"/>
        </w:rPr>
        <w:t xml:space="preserve">although </w:t>
      </w:r>
      <w:r w:rsidR="00042DBC" w:rsidRPr="00E8281A">
        <w:rPr>
          <w:color w:val="000000" w:themeColor="text1"/>
          <w:szCs w:val="20"/>
          <w:lang w:eastAsia="zh-HK"/>
        </w:rPr>
        <w:t xml:space="preserve">the latter is a more </w:t>
      </w:r>
      <w:r w:rsidR="003461EF" w:rsidRPr="00E8281A">
        <w:rPr>
          <w:color w:val="000000" w:themeColor="text1"/>
          <w:szCs w:val="20"/>
          <w:lang w:eastAsia="zh-HK"/>
        </w:rPr>
        <w:t xml:space="preserve">robust and </w:t>
      </w:r>
      <w:r w:rsidR="00042DBC" w:rsidRPr="00E8281A">
        <w:rPr>
          <w:color w:val="000000" w:themeColor="text1"/>
          <w:szCs w:val="20"/>
          <w:lang w:eastAsia="zh-HK"/>
        </w:rPr>
        <w:t xml:space="preserve">generalizable way </w:t>
      </w:r>
      <w:r w:rsidR="007B71C1" w:rsidRPr="00E8281A">
        <w:rPr>
          <w:color w:val="000000" w:themeColor="text1"/>
          <w:szCs w:val="20"/>
          <w:lang w:eastAsia="zh-HK"/>
        </w:rPr>
        <w:t>of</w:t>
      </w:r>
      <w:r w:rsidR="00042DBC" w:rsidRPr="00E8281A">
        <w:rPr>
          <w:color w:val="000000" w:themeColor="text1"/>
          <w:szCs w:val="20"/>
          <w:lang w:eastAsia="zh-HK"/>
        </w:rPr>
        <w:t xml:space="preserve"> describing individual characteristics</w:t>
      </w:r>
      <w:r w:rsidR="00427703">
        <w:rPr>
          <w:color w:val="000000" w:themeColor="text1"/>
          <w:szCs w:val="20"/>
          <w:lang w:eastAsia="zh-HK"/>
        </w:rPr>
        <w:t xml:space="preserve"> and has </w:t>
      </w:r>
      <w:r w:rsidR="00F066BF" w:rsidRPr="00E8281A">
        <w:rPr>
          <w:color w:val="000000" w:themeColor="text1"/>
          <w:szCs w:val="20"/>
          <w:lang w:eastAsia="zh-HK"/>
        </w:rPr>
        <w:t>better</w:t>
      </w:r>
      <w:r w:rsidR="007F304C" w:rsidRPr="00E8281A">
        <w:rPr>
          <w:color w:val="000000" w:themeColor="text1"/>
          <w:szCs w:val="20"/>
          <w:lang w:eastAsia="zh-HK"/>
        </w:rPr>
        <w:t xml:space="preserve"> e</w:t>
      </w:r>
      <w:r w:rsidR="00042DBC" w:rsidRPr="00E8281A">
        <w:rPr>
          <w:color w:val="000000" w:themeColor="text1"/>
          <w:szCs w:val="20"/>
          <w:lang w:eastAsia="zh-HK"/>
        </w:rPr>
        <w:t xml:space="preserve">mpirical support. Nevertheless, </w:t>
      </w:r>
      <w:r w:rsidR="009812CA" w:rsidRPr="00E8281A">
        <w:rPr>
          <w:color w:val="000000" w:themeColor="text1"/>
          <w:szCs w:val="20"/>
          <w:lang w:eastAsia="zh-HK"/>
        </w:rPr>
        <w:t>De Bondt et al. (20</w:t>
      </w:r>
      <w:r w:rsidR="00114E28" w:rsidRPr="00E8281A">
        <w:rPr>
          <w:color w:val="000000" w:themeColor="text1"/>
          <w:szCs w:val="20"/>
          <w:lang w:eastAsia="zh-HK"/>
        </w:rPr>
        <w:t>21</w:t>
      </w:r>
      <w:r w:rsidR="009812CA" w:rsidRPr="00E8281A">
        <w:rPr>
          <w:color w:val="000000" w:themeColor="text1"/>
          <w:szCs w:val="20"/>
          <w:lang w:eastAsia="zh-HK"/>
        </w:rPr>
        <w:t>)</w:t>
      </w:r>
      <w:r w:rsidR="00EE274A" w:rsidRPr="00E8281A">
        <w:rPr>
          <w:color w:val="000000" w:themeColor="text1"/>
          <w:szCs w:val="20"/>
          <w:lang w:eastAsia="zh-HK"/>
        </w:rPr>
        <w:t xml:space="preserve"> </w:t>
      </w:r>
      <w:r w:rsidR="00F7409A" w:rsidRPr="00E8281A">
        <w:rPr>
          <w:color w:val="000000" w:themeColor="text1"/>
          <w:szCs w:val="20"/>
          <w:lang w:eastAsia="zh-HK"/>
        </w:rPr>
        <w:t xml:space="preserve">reported that overexcitabilities are weakly to moderately associated with openness and concluded that these two constructs are not conceptually equivalent or interchangeable. Grant (2021) also </w:t>
      </w:r>
      <w:r w:rsidR="00231713" w:rsidRPr="00E8281A">
        <w:rPr>
          <w:color w:val="000000" w:themeColor="text1"/>
          <w:szCs w:val="20"/>
          <w:lang w:eastAsia="zh-HK"/>
        </w:rPr>
        <w:t>indicated</w:t>
      </w:r>
      <w:r w:rsidR="00F7409A" w:rsidRPr="00E8281A">
        <w:rPr>
          <w:color w:val="000000" w:themeColor="text1"/>
          <w:szCs w:val="20"/>
          <w:lang w:eastAsia="zh-HK"/>
        </w:rPr>
        <w:t xml:space="preserve"> </w:t>
      </w:r>
      <w:r w:rsidR="00B774F2">
        <w:rPr>
          <w:color w:val="000000" w:themeColor="text1"/>
          <w:szCs w:val="20"/>
          <w:lang w:eastAsia="zh-HK"/>
        </w:rPr>
        <w:t xml:space="preserve">that </w:t>
      </w:r>
      <w:r w:rsidR="00114E28" w:rsidRPr="00E8281A">
        <w:rPr>
          <w:color w:val="000000" w:themeColor="text1"/>
          <w:szCs w:val="20"/>
          <w:lang w:eastAsia="zh-HK"/>
        </w:rPr>
        <w:t>Vuyk, Krieshok, and Kerr</w:t>
      </w:r>
      <w:r w:rsidR="00B774F2">
        <w:rPr>
          <w:color w:val="000000" w:themeColor="text1"/>
          <w:szCs w:val="20"/>
          <w:lang w:eastAsia="zh-HK"/>
        </w:rPr>
        <w:t xml:space="preserve">’s </w:t>
      </w:r>
      <w:r w:rsidR="00114E28" w:rsidRPr="00E8281A">
        <w:rPr>
          <w:color w:val="000000" w:themeColor="text1"/>
          <w:szCs w:val="20"/>
          <w:lang w:eastAsia="zh-HK"/>
        </w:rPr>
        <w:t xml:space="preserve">(2016) </w:t>
      </w:r>
      <w:r w:rsidR="007B71C1" w:rsidRPr="00E8281A">
        <w:rPr>
          <w:color w:val="000000" w:themeColor="text1"/>
          <w:szCs w:val="20"/>
          <w:lang w:eastAsia="zh-HK"/>
        </w:rPr>
        <w:t xml:space="preserve">findings </w:t>
      </w:r>
      <w:r w:rsidR="00114E28" w:rsidRPr="00E8281A">
        <w:rPr>
          <w:color w:val="000000" w:themeColor="text1"/>
          <w:szCs w:val="20"/>
          <w:lang w:eastAsia="zh-HK"/>
        </w:rPr>
        <w:t>did</w:t>
      </w:r>
      <w:r w:rsidR="00231713" w:rsidRPr="00E8281A">
        <w:rPr>
          <w:color w:val="000000" w:themeColor="text1"/>
          <w:szCs w:val="20"/>
          <w:lang w:eastAsia="zh-HK"/>
        </w:rPr>
        <w:t xml:space="preserve"> not support the </w:t>
      </w:r>
      <w:r w:rsidR="00B774F2">
        <w:rPr>
          <w:color w:val="000000" w:themeColor="text1"/>
          <w:szCs w:val="20"/>
          <w:lang w:eastAsia="zh-HK"/>
        </w:rPr>
        <w:t xml:space="preserve">argument </w:t>
      </w:r>
      <w:r w:rsidR="00231713" w:rsidRPr="00E8281A">
        <w:rPr>
          <w:color w:val="000000" w:themeColor="text1"/>
          <w:szCs w:val="20"/>
          <w:lang w:eastAsia="zh-HK"/>
        </w:rPr>
        <w:t>that overexcitabilities can be wholly represented by openness.</w:t>
      </w:r>
      <w:r w:rsidR="00114E28" w:rsidRPr="00E8281A">
        <w:rPr>
          <w:color w:val="000000" w:themeColor="text1"/>
          <w:szCs w:val="20"/>
          <w:lang w:eastAsia="zh-HK"/>
        </w:rPr>
        <w:t xml:space="preserve"> </w:t>
      </w:r>
      <w:r w:rsidR="00B774F2">
        <w:rPr>
          <w:color w:val="000000" w:themeColor="text1"/>
          <w:szCs w:val="20"/>
          <w:lang w:eastAsia="zh-HK"/>
        </w:rPr>
        <w:t xml:space="preserve">Although </w:t>
      </w:r>
      <w:r w:rsidR="00114E28" w:rsidRPr="00E8281A">
        <w:rPr>
          <w:color w:val="000000" w:themeColor="text1"/>
          <w:szCs w:val="20"/>
          <w:lang w:eastAsia="zh-HK"/>
        </w:rPr>
        <w:t>the</w:t>
      </w:r>
      <w:r w:rsidR="00B774F2">
        <w:rPr>
          <w:color w:val="000000" w:themeColor="text1"/>
          <w:szCs w:val="20"/>
          <w:lang w:eastAsia="zh-HK"/>
        </w:rPr>
        <w:t>re is</w:t>
      </w:r>
      <w:r w:rsidR="00114E28" w:rsidRPr="00E8281A">
        <w:rPr>
          <w:color w:val="000000" w:themeColor="text1"/>
          <w:szCs w:val="20"/>
          <w:lang w:eastAsia="zh-HK"/>
        </w:rPr>
        <w:t xml:space="preserve"> </w:t>
      </w:r>
      <w:r w:rsidR="00114E28" w:rsidRPr="00E8281A">
        <w:rPr>
          <w:color w:val="000000" w:themeColor="text1"/>
          <w:szCs w:val="20"/>
          <w:lang w:eastAsia="zh-HK"/>
        </w:rPr>
        <w:t>continuing debate</w:t>
      </w:r>
      <w:r w:rsidR="004A4337" w:rsidRPr="00E8281A">
        <w:rPr>
          <w:color w:val="000000" w:themeColor="text1"/>
          <w:szCs w:val="20"/>
          <w:lang w:eastAsia="zh-HK"/>
        </w:rPr>
        <w:t xml:space="preserve"> on conceptual similarity</w:t>
      </w:r>
      <w:r w:rsidR="00114E28" w:rsidRPr="00E8281A">
        <w:rPr>
          <w:color w:val="000000" w:themeColor="text1"/>
          <w:szCs w:val="20"/>
          <w:lang w:eastAsia="zh-HK"/>
        </w:rPr>
        <w:t xml:space="preserve"> (Grant, 2021; Vuyk &amp; Kerr, 2021), </w:t>
      </w:r>
      <w:r w:rsidR="00A66CB7" w:rsidRPr="00E8281A">
        <w:rPr>
          <w:color w:val="000000" w:themeColor="text1"/>
          <w:szCs w:val="20"/>
          <w:lang w:eastAsia="zh-HK"/>
        </w:rPr>
        <w:t>openness is not closely linked with temperament</w:t>
      </w:r>
      <w:r w:rsidR="004A4337" w:rsidRPr="00E8281A">
        <w:rPr>
          <w:color w:val="000000" w:themeColor="text1"/>
          <w:szCs w:val="20"/>
          <w:lang w:eastAsia="zh-HK"/>
        </w:rPr>
        <w:t xml:space="preserve">, is difficult to assess in early childhood, and may be developmentally irrelevant until middle childhood or early adolescence </w:t>
      </w:r>
      <w:r w:rsidR="00703714" w:rsidRPr="00E8281A">
        <w:rPr>
          <w:color w:val="000000" w:themeColor="text1"/>
          <w:szCs w:val="20"/>
          <w:lang w:eastAsia="zh-HK"/>
        </w:rPr>
        <w:t xml:space="preserve">(Donnellan &amp; Robins, 2009). </w:t>
      </w:r>
      <w:bookmarkStart w:id="10" w:name="_Hlk141082498"/>
      <w:r w:rsidR="003C2569">
        <w:rPr>
          <w:color w:val="00B0F0"/>
          <w:szCs w:val="20"/>
          <w:lang w:eastAsia="zh-HK"/>
        </w:rPr>
        <w:t>A further</w:t>
      </w:r>
      <w:r w:rsidR="006E1169" w:rsidRPr="006E1169">
        <w:rPr>
          <w:color w:val="00B0F0"/>
          <w:szCs w:val="20"/>
          <w:lang w:eastAsia="zh-HK"/>
        </w:rPr>
        <w:t xml:space="preserve"> study</w:t>
      </w:r>
      <w:r w:rsidR="001A1C83">
        <w:rPr>
          <w:color w:val="00B0F0"/>
          <w:szCs w:val="20"/>
          <w:lang w:eastAsia="zh-HK"/>
        </w:rPr>
        <w:t xml:space="preserve"> could</w:t>
      </w:r>
      <w:r w:rsidR="006E1169" w:rsidRPr="006E1169">
        <w:rPr>
          <w:color w:val="00B0F0"/>
          <w:szCs w:val="20"/>
          <w:lang w:eastAsia="zh-HK"/>
        </w:rPr>
        <w:t xml:space="preserve"> </w:t>
      </w:r>
      <w:r w:rsidR="006E1169" w:rsidRPr="006E1169">
        <w:rPr>
          <w:color w:val="00B0F0"/>
          <w:szCs w:val="20"/>
          <w:lang w:eastAsia="zh-HK"/>
        </w:rPr>
        <w:t>examin</w:t>
      </w:r>
      <w:r w:rsidR="001A1C83">
        <w:rPr>
          <w:color w:val="00B0F0"/>
          <w:szCs w:val="20"/>
          <w:lang w:eastAsia="zh-HK"/>
        </w:rPr>
        <w:t>e</w:t>
      </w:r>
      <w:r w:rsidR="006E1169" w:rsidRPr="006E1169">
        <w:rPr>
          <w:color w:val="00B0F0"/>
          <w:szCs w:val="20"/>
          <w:lang w:eastAsia="zh-HK"/>
        </w:rPr>
        <w:t xml:space="preserve"> the temporal relationship</w:t>
      </w:r>
      <w:r w:rsidR="00CD3F1D">
        <w:rPr>
          <w:color w:val="00B0F0"/>
          <w:szCs w:val="20"/>
          <w:lang w:eastAsia="zh-HK"/>
        </w:rPr>
        <w:t>s</w:t>
      </w:r>
      <w:r w:rsidR="006E1169" w:rsidRPr="006E1169">
        <w:rPr>
          <w:color w:val="00B0F0"/>
          <w:szCs w:val="20"/>
          <w:lang w:eastAsia="zh-HK"/>
        </w:rPr>
        <w:t xml:space="preserve"> between overexcitabilities and openness </w:t>
      </w:r>
      <w:r w:rsidR="001A1C83">
        <w:rPr>
          <w:color w:val="00B0F0"/>
          <w:szCs w:val="20"/>
          <w:lang w:eastAsia="zh-HK"/>
        </w:rPr>
        <w:t>to</w:t>
      </w:r>
      <w:r w:rsidR="006E1169" w:rsidRPr="006E1169">
        <w:rPr>
          <w:color w:val="00B0F0"/>
          <w:szCs w:val="20"/>
          <w:lang w:eastAsia="zh-HK"/>
        </w:rPr>
        <w:t xml:space="preserve"> disentangle their conceptual links and </w:t>
      </w:r>
      <w:r w:rsidR="001A1C83">
        <w:rPr>
          <w:color w:val="00B0F0"/>
          <w:szCs w:val="20"/>
          <w:lang w:eastAsia="zh-HK"/>
        </w:rPr>
        <w:t>the way in which</w:t>
      </w:r>
      <w:r w:rsidR="006E1169" w:rsidRPr="006E1169">
        <w:rPr>
          <w:color w:val="00B0F0"/>
          <w:szCs w:val="20"/>
          <w:lang w:eastAsia="zh-HK"/>
        </w:rPr>
        <w:t xml:space="preserve"> </w:t>
      </w:r>
      <w:r w:rsidR="006E1169" w:rsidRPr="006E1169">
        <w:rPr>
          <w:color w:val="00B0F0"/>
          <w:szCs w:val="20"/>
          <w:lang w:eastAsia="zh-HK"/>
        </w:rPr>
        <w:t xml:space="preserve">these constructs predict creativity development. In </w:t>
      </w:r>
      <w:r w:rsidR="00B15C67" w:rsidRPr="006E1169">
        <w:rPr>
          <w:color w:val="00B0F0"/>
          <w:szCs w:val="20"/>
          <w:lang w:eastAsia="zh-HK"/>
        </w:rPr>
        <w:t>t</w:t>
      </w:r>
      <w:r w:rsidR="006E1169" w:rsidRPr="006E1169">
        <w:rPr>
          <w:color w:val="00B0F0"/>
          <w:szCs w:val="20"/>
          <w:lang w:eastAsia="zh-HK"/>
        </w:rPr>
        <w:t>his</w:t>
      </w:r>
      <w:r w:rsidR="00B15C67" w:rsidRPr="006E1169">
        <w:rPr>
          <w:color w:val="00B0F0"/>
          <w:szCs w:val="20"/>
          <w:lang w:eastAsia="zh-HK"/>
        </w:rPr>
        <w:t xml:space="preserve"> study, </w:t>
      </w:r>
      <w:r w:rsidR="008347EA" w:rsidRPr="006E1169">
        <w:rPr>
          <w:color w:val="00B0F0"/>
          <w:szCs w:val="20"/>
          <w:lang w:eastAsia="zh-HK"/>
        </w:rPr>
        <w:t xml:space="preserve">we </w:t>
      </w:r>
      <w:r w:rsidR="00351525">
        <w:rPr>
          <w:color w:val="00B0F0"/>
          <w:szCs w:val="20"/>
          <w:lang w:eastAsia="zh-HK"/>
        </w:rPr>
        <w:t>focused on</w:t>
      </w:r>
      <w:r w:rsidR="006E1169" w:rsidRPr="006E1169">
        <w:rPr>
          <w:color w:val="00B0F0"/>
          <w:szCs w:val="20"/>
          <w:lang w:eastAsia="zh-HK"/>
        </w:rPr>
        <w:t xml:space="preserve"> kindergarten children’s creative potential and</w:t>
      </w:r>
      <w:r w:rsidR="006E1169" w:rsidRPr="006E1169">
        <w:rPr>
          <w:color w:val="00B0F0"/>
          <w:szCs w:val="20"/>
          <w:lang w:eastAsia="zh-HK"/>
        </w:rPr>
        <w:t xml:space="preserve"> </w:t>
      </w:r>
      <w:r w:rsidR="006E1169" w:rsidRPr="006E1169">
        <w:rPr>
          <w:color w:val="00B0F0"/>
          <w:szCs w:val="20"/>
          <w:lang w:eastAsia="zh-HK"/>
        </w:rPr>
        <w:t>considered o</w:t>
      </w:r>
      <w:r w:rsidR="008347EA" w:rsidRPr="006E1169">
        <w:rPr>
          <w:color w:val="00B0F0"/>
          <w:szCs w:val="20"/>
          <w:lang w:eastAsia="zh-HK"/>
        </w:rPr>
        <w:t xml:space="preserve">verexcitabilities </w:t>
      </w:r>
      <w:bookmarkEnd w:id="8"/>
      <w:r w:rsidR="006E1169" w:rsidRPr="006E1169">
        <w:rPr>
          <w:color w:val="00B0F0"/>
          <w:szCs w:val="20"/>
          <w:lang w:eastAsia="zh-HK"/>
        </w:rPr>
        <w:t>as the antecedent</w:t>
      </w:r>
      <w:r w:rsidR="006E1169" w:rsidRPr="006E1169">
        <w:rPr>
          <w:color w:val="00B0F0"/>
          <w:szCs w:val="20"/>
          <w:lang w:eastAsia="zh-HK"/>
        </w:rPr>
        <w:t>s</w:t>
      </w:r>
      <w:r w:rsidR="008347EA" w:rsidRPr="006E1169">
        <w:rPr>
          <w:color w:val="00B0F0"/>
          <w:szCs w:val="20"/>
          <w:lang w:eastAsia="zh-HK"/>
        </w:rPr>
        <w:t>.</w:t>
      </w:r>
      <w:bookmarkEnd w:id="10"/>
    </w:p>
    <w:bookmarkEnd w:id="9"/>
    <w:p w14:paraId="7358F89B" w14:textId="0B99AC77" w:rsidR="006070A3" w:rsidRPr="00E8281A" w:rsidRDefault="006D45AB" w:rsidP="00001A8C">
      <w:pPr>
        <w:spacing w:line="480" w:lineRule="auto"/>
        <w:rPr>
          <w:b/>
          <w:bCs/>
          <w:color w:val="000000" w:themeColor="text1"/>
          <w:lang w:eastAsia="zh-HK"/>
        </w:rPr>
      </w:pPr>
      <w:r w:rsidRPr="00E8281A">
        <w:rPr>
          <w:b/>
          <w:bCs/>
          <w:color w:val="000000" w:themeColor="text1"/>
          <w:lang w:eastAsia="zh-HK"/>
        </w:rPr>
        <w:lastRenderedPageBreak/>
        <w:t>Overexcitabilities, Playfulness, and Creative Potential</w:t>
      </w:r>
    </w:p>
    <w:p w14:paraId="7D65ED95" w14:textId="63516B02" w:rsidR="0024141E" w:rsidRPr="00E8281A" w:rsidRDefault="006070A3" w:rsidP="00001A8C">
      <w:pPr>
        <w:spacing w:line="480" w:lineRule="auto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ab/>
      </w:r>
      <w:bookmarkStart w:id="11" w:name="_Hlk136760969"/>
      <w:bookmarkStart w:id="12" w:name="_Hlk136607906"/>
      <w:bookmarkStart w:id="13" w:name="_Hlk136605440"/>
      <w:r w:rsidR="006D45AB" w:rsidRPr="00E8281A">
        <w:rPr>
          <w:color w:val="000000" w:themeColor="text1"/>
          <w:szCs w:val="20"/>
          <w:lang w:eastAsia="zh-HK"/>
        </w:rPr>
        <w:t xml:space="preserve">Although overexcitabilities may </w:t>
      </w:r>
      <w:r w:rsidR="0056452C" w:rsidRPr="00E8281A">
        <w:rPr>
          <w:color w:val="000000" w:themeColor="text1"/>
          <w:szCs w:val="20"/>
          <w:lang w:eastAsia="zh-HK"/>
        </w:rPr>
        <w:t>impact</w:t>
      </w:r>
      <w:r w:rsidR="006D45AB" w:rsidRPr="00E8281A">
        <w:rPr>
          <w:color w:val="000000" w:themeColor="text1"/>
          <w:szCs w:val="20"/>
          <w:lang w:eastAsia="zh-HK"/>
        </w:rPr>
        <w:t xml:space="preserve"> children’s creative potential</w:t>
      </w:r>
      <w:r w:rsidR="00216171" w:rsidRPr="00E8281A">
        <w:rPr>
          <w:color w:val="000000" w:themeColor="text1"/>
          <w:szCs w:val="20"/>
          <w:lang w:eastAsia="zh-HK"/>
        </w:rPr>
        <w:t xml:space="preserve">, </w:t>
      </w:r>
      <w:r w:rsidR="0056452C" w:rsidRPr="00E8281A">
        <w:rPr>
          <w:color w:val="000000" w:themeColor="text1"/>
          <w:szCs w:val="20"/>
          <w:lang w:eastAsia="zh-HK"/>
        </w:rPr>
        <w:t xml:space="preserve">the predictive relationships between overexcitabilities and creative potential </w:t>
      </w:r>
      <w:r w:rsidR="00216171" w:rsidRPr="00E8281A">
        <w:rPr>
          <w:color w:val="000000" w:themeColor="text1"/>
          <w:szCs w:val="20"/>
          <w:lang w:eastAsia="zh-HK"/>
        </w:rPr>
        <w:t>are not necessarily positive (Chang &amp; Kuo, 2013)</w:t>
      </w:r>
      <w:r w:rsidR="004D5DC0" w:rsidRPr="00E8281A">
        <w:rPr>
          <w:color w:val="000000" w:themeColor="text1"/>
          <w:szCs w:val="20"/>
          <w:lang w:eastAsia="zh-HK"/>
        </w:rPr>
        <w:t xml:space="preserve">. According to the Theory of Positive Disintegration </w:t>
      </w:r>
      <w:r w:rsidR="00F91EC6" w:rsidRPr="00E8281A">
        <w:rPr>
          <w:color w:val="000000" w:themeColor="text1"/>
          <w:szCs w:val="20"/>
          <w:lang w:eastAsia="zh-HK"/>
        </w:rPr>
        <w:t>(Dabrowski, 1964), overexcitab</w:t>
      </w:r>
      <w:r w:rsidR="006051DF" w:rsidRPr="00E8281A">
        <w:rPr>
          <w:color w:val="000000" w:themeColor="text1"/>
          <w:szCs w:val="20"/>
          <w:lang w:eastAsia="zh-HK"/>
        </w:rPr>
        <w:t>ilities</w:t>
      </w:r>
      <w:r w:rsidR="004B5A68" w:rsidRPr="00E8281A">
        <w:rPr>
          <w:color w:val="000000" w:themeColor="text1"/>
          <w:szCs w:val="20"/>
          <w:lang w:eastAsia="zh-HK"/>
        </w:rPr>
        <w:t xml:space="preserve">, </w:t>
      </w:r>
      <w:r w:rsidR="00AC7DD7" w:rsidRPr="00E8281A">
        <w:rPr>
          <w:color w:val="000000" w:themeColor="text1"/>
          <w:szCs w:val="20"/>
          <w:lang w:eastAsia="zh-HK"/>
        </w:rPr>
        <w:t>regardless</w:t>
      </w:r>
      <w:r w:rsidR="004B5A68" w:rsidRPr="00E8281A">
        <w:rPr>
          <w:color w:val="000000" w:themeColor="text1"/>
          <w:szCs w:val="20"/>
          <w:lang w:eastAsia="zh-HK"/>
        </w:rPr>
        <w:t xml:space="preserve"> of the specific domain,</w:t>
      </w:r>
      <w:r w:rsidR="00F91EC6" w:rsidRPr="00E8281A">
        <w:rPr>
          <w:color w:val="000000" w:themeColor="text1"/>
          <w:szCs w:val="20"/>
          <w:lang w:eastAsia="zh-HK"/>
        </w:rPr>
        <w:t xml:space="preserve"> can</w:t>
      </w:r>
      <w:r w:rsidR="00D83619">
        <w:rPr>
          <w:color w:val="000000" w:themeColor="text1"/>
          <w:szCs w:val="20"/>
          <w:lang w:eastAsia="zh-HK"/>
        </w:rPr>
        <w:t xml:space="preserve"> be</w:t>
      </w:r>
      <w:r w:rsidR="00F91EC6" w:rsidRPr="00E8281A">
        <w:rPr>
          <w:color w:val="000000" w:themeColor="text1"/>
          <w:szCs w:val="20"/>
          <w:lang w:eastAsia="zh-HK"/>
        </w:rPr>
        <w:t xml:space="preserve"> </w:t>
      </w:r>
      <w:r w:rsidR="00482FA0" w:rsidRPr="00E8281A">
        <w:rPr>
          <w:color w:val="000000" w:themeColor="text1"/>
          <w:szCs w:val="20"/>
          <w:lang w:eastAsia="zh-HK"/>
        </w:rPr>
        <w:t>link</w:t>
      </w:r>
      <w:r w:rsidR="00D83619">
        <w:rPr>
          <w:color w:val="000000" w:themeColor="text1"/>
          <w:szCs w:val="20"/>
          <w:lang w:eastAsia="zh-HK"/>
        </w:rPr>
        <w:t>ed</w:t>
      </w:r>
      <w:r w:rsidR="00482FA0" w:rsidRPr="00E8281A">
        <w:rPr>
          <w:color w:val="000000" w:themeColor="text1"/>
          <w:szCs w:val="20"/>
          <w:lang w:eastAsia="zh-HK"/>
        </w:rPr>
        <w:t xml:space="preserve"> with</w:t>
      </w:r>
      <w:r w:rsidR="006051DF" w:rsidRPr="00E8281A">
        <w:rPr>
          <w:color w:val="000000" w:themeColor="text1"/>
          <w:szCs w:val="20"/>
          <w:lang w:eastAsia="zh-HK"/>
        </w:rPr>
        <w:t xml:space="preserve"> emotional vulnerability</w:t>
      </w:r>
      <w:r w:rsidR="00F91EC6" w:rsidRPr="00E8281A">
        <w:rPr>
          <w:color w:val="000000" w:themeColor="text1"/>
          <w:szCs w:val="20"/>
          <w:lang w:eastAsia="zh-HK"/>
        </w:rPr>
        <w:t xml:space="preserve"> since exceptional </w:t>
      </w:r>
      <w:r w:rsidR="0067636B" w:rsidRPr="00E8281A">
        <w:rPr>
          <w:color w:val="000000" w:themeColor="text1"/>
          <w:szCs w:val="20"/>
          <w:lang w:eastAsia="zh-HK"/>
        </w:rPr>
        <w:t>physiological</w:t>
      </w:r>
      <w:r w:rsidR="00F91EC6" w:rsidRPr="00E8281A">
        <w:rPr>
          <w:color w:val="000000" w:themeColor="text1"/>
          <w:szCs w:val="20"/>
          <w:lang w:eastAsia="zh-HK"/>
        </w:rPr>
        <w:t xml:space="preserve"> experiences</w:t>
      </w:r>
      <w:r w:rsidR="0067636B" w:rsidRPr="00E8281A">
        <w:rPr>
          <w:color w:val="000000" w:themeColor="text1"/>
          <w:szCs w:val="20"/>
          <w:lang w:eastAsia="zh-HK"/>
        </w:rPr>
        <w:t xml:space="preserve"> often induce </w:t>
      </w:r>
      <w:r w:rsidR="00D83619">
        <w:rPr>
          <w:color w:val="000000" w:themeColor="text1"/>
          <w:szCs w:val="20"/>
          <w:lang w:eastAsia="zh-HK"/>
        </w:rPr>
        <w:t xml:space="preserve">a </w:t>
      </w:r>
      <w:r w:rsidR="0067636B" w:rsidRPr="00E8281A">
        <w:rPr>
          <w:color w:val="000000" w:themeColor="text1"/>
          <w:szCs w:val="20"/>
          <w:lang w:eastAsia="zh-HK"/>
        </w:rPr>
        <w:t>great intensity of feeling (i.e., emotional tensions).</w:t>
      </w:r>
      <w:r w:rsidR="00CF436E" w:rsidRPr="00E8281A">
        <w:rPr>
          <w:color w:val="000000" w:themeColor="text1"/>
          <w:szCs w:val="20"/>
          <w:lang w:eastAsia="zh-HK"/>
        </w:rPr>
        <w:t xml:space="preserve"> </w:t>
      </w:r>
      <w:bookmarkStart w:id="14" w:name="_Hlk141082632"/>
      <w:r w:rsidR="005D7EE6" w:rsidRPr="00E8281A">
        <w:rPr>
          <w:color w:val="000000" w:themeColor="text1"/>
          <w:szCs w:val="20"/>
          <w:lang w:eastAsia="zh-HK"/>
        </w:rPr>
        <w:t>If the</w:t>
      </w:r>
      <w:r w:rsidR="00D83619">
        <w:rPr>
          <w:color w:val="000000" w:themeColor="text1"/>
          <w:szCs w:val="20"/>
          <w:lang w:eastAsia="zh-HK"/>
        </w:rPr>
        <w:t>se</w:t>
      </w:r>
      <w:r w:rsidR="005D7EE6" w:rsidRPr="00E8281A">
        <w:rPr>
          <w:color w:val="000000" w:themeColor="text1"/>
          <w:szCs w:val="20"/>
          <w:lang w:eastAsia="zh-HK"/>
        </w:rPr>
        <w:t xml:space="preserve"> emotional tensions are not relieved appropriately, </w:t>
      </w:r>
      <w:r w:rsidR="00C5566D" w:rsidRPr="00E8281A">
        <w:rPr>
          <w:color w:val="000000" w:themeColor="text1"/>
          <w:szCs w:val="20"/>
          <w:lang w:eastAsia="zh-HK"/>
        </w:rPr>
        <w:t>they</w:t>
      </w:r>
      <w:r w:rsidR="005D7EE6" w:rsidRPr="00E8281A">
        <w:rPr>
          <w:color w:val="000000" w:themeColor="text1"/>
          <w:szCs w:val="20"/>
          <w:lang w:eastAsia="zh-HK"/>
        </w:rPr>
        <w:t xml:space="preserve"> </w:t>
      </w:r>
      <w:r w:rsidR="008A338A" w:rsidRPr="008A338A">
        <w:rPr>
          <w:color w:val="00B0F0"/>
          <w:szCs w:val="20"/>
          <w:lang w:eastAsia="zh-HK"/>
        </w:rPr>
        <w:t>may</w:t>
      </w:r>
      <w:r w:rsidR="005D7EE6" w:rsidRPr="008A338A">
        <w:rPr>
          <w:color w:val="00B0F0"/>
          <w:szCs w:val="20"/>
          <w:lang w:eastAsia="zh-HK"/>
        </w:rPr>
        <w:t xml:space="preserve"> </w:t>
      </w:r>
      <w:r w:rsidR="005D7EE6" w:rsidRPr="00E8281A">
        <w:rPr>
          <w:color w:val="000000" w:themeColor="text1"/>
          <w:szCs w:val="20"/>
          <w:lang w:eastAsia="zh-HK"/>
        </w:rPr>
        <w:t>reach an unbearable level</w:t>
      </w:r>
      <w:r w:rsidR="00C03FED" w:rsidRPr="00E8281A">
        <w:rPr>
          <w:color w:val="000000" w:themeColor="text1"/>
          <w:szCs w:val="20"/>
          <w:lang w:eastAsia="zh-HK"/>
        </w:rPr>
        <w:t xml:space="preserve">, </w:t>
      </w:r>
      <w:r w:rsidR="005D7EE6" w:rsidRPr="00E8281A">
        <w:rPr>
          <w:color w:val="000000" w:themeColor="text1"/>
          <w:szCs w:val="20"/>
          <w:lang w:eastAsia="zh-HK"/>
        </w:rPr>
        <w:t>cause inner turmoil</w:t>
      </w:r>
      <w:r w:rsidR="00C03FED" w:rsidRPr="00E8281A">
        <w:rPr>
          <w:color w:val="000000" w:themeColor="text1"/>
          <w:szCs w:val="20"/>
          <w:lang w:eastAsia="zh-HK"/>
        </w:rPr>
        <w:t>,</w:t>
      </w:r>
      <w:r w:rsidR="005D7EE6" w:rsidRPr="00E8281A">
        <w:rPr>
          <w:color w:val="000000" w:themeColor="text1"/>
          <w:szCs w:val="20"/>
          <w:lang w:eastAsia="zh-HK"/>
        </w:rPr>
        <w:t xml:space="preserve"> and</w:t>
      </w:r>
      <w:r w:rsidR="00C03FED" w:rsidRPr="00E8281A">
        <w:rPr>
          <w:color w:val="000000" w:themeColor="text1"/>
          <w:szCs w:val="20"/>
          <w:lang w:eastAsia="zh-HK"/>
        </w:rPr>
        <w:t xml:space="preserve"> bring</w:t>
      </w:r>
      <w:r w:rsidR="005D7EE6" w:rsidRPr="00E8281A">
        <w:rPr>
          <w:color w:val="000000" w:themeColor="text1"/>
          <w:szCs w:val="20"/>
          <w:lang w:eastAsia="zh-HK"/>
        </w:rPr>
        <w:t xml:space="preserve"> adverse </w:t>
      </w:r>
      <w:r w:rsidR="00C5566D" w:rsidRPr="00E8281A">
        <w:rPr>
          <w:color w:val="000000" w:themeColor="text1"/>
          <w:szCs w:val="20"/>
          <w:lang w:eastAsia="zh-HK"/>
        </w:rPr>
        <w:t xml:space="preserve">psychological or behavioral </w:t>
      </w:r>
      <w:r w:rsidR="00482FA0" w:rsidRPr="00E8281A">
        <w:rPr>
          <w:color w:val="000000" w:themeColor="text1"/>
          <w:szCs w:val="20"/>
          <w:lang w:eastAsia="zh-HK"/>
        </w:rPr>
        <w:t>consequences</w:t>
      </w:r>
      <w:r w:rsidR="005D7EE6" w:rsidRPr="00E8281A">
        <w:rPr>
          <w:color w:val="000000" w:themeColor="text1"/>
          <w:szCs w:val="20"/>
          <w:lang w:eastAsia="zh-HK"/>
        </w:rPr>
        <w:t xml:space="preserve"> (Piechowski &amp; Cunningham, 1985</w:t>
      </w:r>
      <w:r w:rsidR="00C5566D" w:rsidRPr="00E8281A">
        <w:rPr>
          <w:color w:val="000000" w:themeColor="text1"/>
          <w:szCs w:val="20"/>
          <w:lang w:eastAsia="zh-HK"/>
        </w:rPr>
        <w:t>)</w:t>
      </w:r>
      <w:r w:rsidR="00FD6ED6">
        <w:rPr>
          <w:color w:val="000000" w:themeColor="text1"/>
          <w:szCs w:val="20"/>
          <w:lang w:eastAsia="zh-HK"/>
        </w:rPr>
        <w:t xml:space="preserve">. </w:t>
      </w:r>
      <w:r w:rsidR="008A338A">
        <w:rPr>
          <w:color w:val="00B0F0"/>
          <w:szCs w:val="20"/>
          <w:lang w:eastAsia="zh-HK"/>
        </w:rPr>
        <w:t>For example</w:t>
      </w:r>
      <w:r w:rsidR="00FD6ED6" w:rsidRPr="00FD6ED6">
        <w:rPr>
          <w:color w:val="00B0F0"/>
          <w:szCs w:val="20"/>
          <w:lang w:eastAsia="zh-HK"/>
        </w:rPr>
        <w:t xml:space="preserve">, </w:t>
      </w:r>
      <w:r w:rsidR="008A338A">
        <w:rPr>
          <w:color w:val="00B0F0"/>
          <w:szCs w:val="20"/>
          <w:lang w:eastAsia="zh-HK"/>
        </w:rPr>
        <w:t>an extreme level of</w:t>
      </w:r>
      <w:r w:rsidR="00FD6ED6" w:rsidRPr="00FD6ED6">
        <w:rPr>
          <w:color w:val="00B0F0"/>
          <w:szCs w:val="20"/>
          <w:lang w:eastAsia="zh-HK"/>
        </w:rPr>
        <w:t xml:space="preserve"> emotional </w:t>
      </w:r>
      <w:r w:rsidR="003C2569">
        <w:rPr>
          <w:color w:val="00B0F0"/>
          <w:szCs w:val="20"/>
          <w:lang w:eastAsia="zh-HK"/>
        </w:rPr>
        <w:t>tension</w:t>
      </w:r>
      <w:r w:rsidR="00FD6ED6" w:rsidRPr="00FD6ED6">
        <w:rPr>
          <w:color w:val="00B0F0"/>
          <w:szCs w:val="20"/>
          <w:lang w:eastAsia="zh-HK"/>
        </w:rPr>
        <w:t xml:space="preserve"> might cause inner conflict and the misuse of self-torment or self-injury to relie</w:t>
      </w:r>
      <w:r w:rsidR="00524551">
        <w:rPr>
          <w:color w:val="00B0F0"/>
          <w:szCs w:val="20"/>
          <w:lang w:eastAsia="zh-HK"/>
        </w:rPr>
        <w:t>ve</w:t>
      </w:r>
      <w:r w:rsidR="00FD6ED6" w:rsidRPr="00FD6ED6">
        <w:rPr>
          <w:color w:val="00B0F0"/>
          <w:szCs w:val="20"/>
          <w:lang w:eastAsia="zh-HK"/>
        </w:rPr>
        <w:t xml:space="preserve"> unbearable stress</w:t>
      </w:r>
      <w:r w:rsidR="00FD6ED6">
        <w:rPr>
          <w:color w:val="00B0F0"/>
          <w:szCs w:val="20"/>
          <w:lang w:eastAsia="zh-HK"/>
        </w:rPr>
        <w:t>, as revealed in case studies of gifted creators</w:t>
      </w:r>
      <w:r w:rsidR="00D83619">
        <w:rPr>
          <w:color w:val="00B0F0"/>
          <w:szCs w:val="20"/>
          <w:lang w:eastAsia="zh-HK"/>
        </w:rPr>
        <w:t>, such as</w:t>
      </w:r>
      <w:r w:rsidR="00FD6ED6">
        <w:rPr>
          <w:color w:val="00B0F0"/>
          <w:szCs w:val="20"/>
          <w:lang w:eastAsia="zh-HK"/>
        </w:rPr>
        <w:t xml:space="preserve"> </w:t>
      </w:r>
      <w:r w:rsidR="00FD6ED6" w:rsidRPr="00FD6ED6">
        <w:rPr>
          <w:color w:val="00B0F0"/>
          <w:szCs w:val="20"/>
          <w:lang w:eastAsia="zh-HK"/>
        </w:rPr>
        <w:t xml:space="preserve">Michelangelo </w:t>
      </w:r>
      <w:r w:rsidR="00FD6ED6">
        <w:rPr>
          <w:color w:val="00B0F0"/>
          <w:szCs w:val="20"/>
          <w:lang w:eastAsia="zh-HK"/>
        </w:rPr>
        <w:t xml:space="preserve">and </w:t>
      </w:r>
      <w:r w:rsidR="001A690E" w:rsidRPr="001A690E">
        <w:rPr>
          <w:color w:val="00B0F0"/>
          <w:szCs w:val="20"/>
          <w:lang w:eastAsia="zh-HK"/>
        </w:rPr>
        <w:t xml:space="preserve">Tolstoy </w:t>
      </w:r>
      <w:r w:rsidR="00FD6ED6" w:rsidRPr="00FD6ED6">
        <w:rPr>
          <w:color w:val="00B0F0"/>
          <w:szCs w:val="20"/>
          <w:lang w:eastAsia="zh-HK"/>
        </w:rPr>
        <w:t>(Piechowski,</w:t>
      </w:r>
      <w:r w:rsidR="00FD6ED6">
        <w:rPr>
          <w:color w:val="00B0F0"/>
          <w:szCs w:val="20"/>
          <w:lang w:eastAsia="zh-HK"/>
        </w:rPr>
        <w:t xml:space="preserve"> 1999).</w:t>
      </w:r>
      <w:r w:rsidR="00FD6ED6" w:rsidRPr="00FD6ED6">
        <w:rPr>
          <w:color w:val="000000" w:themeColor="text1"/>
          <w:szCs w:val="20"/>
          <w:lang w:eastAsia="zh-HK"/>
        </w:rPr>
        <w:t xml:space="preserve"> </w:t>
      </w:r>
      <w:bookmarkEnd w:id="14"/>
      <w:r w:rsidR="00C5566D" w:rsidRPr="00E8281A">
        <w:rPr>
          <w:color w:val="000000" w:themeColor="text1"/>
          <w:szCs w:val="20"/>
          <w:lang w:eastAsia="zh-HK"/>
        </w:rPr>
        <w:t>Therefore, t</w:t>
      </w:r>
      <w:r w:rsidR="00216171" w:rsidRPr="00E8281A">
        <w:rPr>
          <w:color w:val="000000" w:themeColor="text1"/>
          <w:szCs w:val="20"/>
          <w:lang w:eastAsia="zh-HK"/>
        </w:rPr>
        <w:t xml:space="preserve">he intense emotional tensions accompanying the augmented perceptual experiences </w:t>
      </w:r>
      <w:r w:rsidR="003655FC" w:rsidRPr="00E8281A">
        <w:rPr>
          <w:color w:val="000000" w:themeColor="text1"/>
          <w:szCs w:val="20"/>
          <w:lang w:eastAsia="zh-HK"/>
        </w:rPr>
        <w:t xml:space="preserve">among overexcitable children </w:t>
      </w:r>
      <w:r w:rsidR="00216171" w:rsidRPr="00E8281A">
        <w:rPr>
          <w:color w:val="000000" w:themeColor="text1"/>
          <w:szCs w:val="20"/>
          <w:lang w:eastAsia="zh-HK"/>
        </w:rPr>
        <w:t xml:space="preserve">require a proper </w:t>
      </w:r>
      <w:r w:rsidR="003C2569">
        <w:rPr>
          <w:color w:val="000000" w:themeColor="text1"/>
          <w:szCs w:val="20"/>
          <w:lang w:eastAsia="zh-HK"/>
        </w:rPr>
        <w:t>release channel</w:t>
      </w:r>
      <w:r w:rsidR="00216171" w:rsidRPr="00E8281A">
        <w:rPr>
          <w:color w:val="000000" w:themeColor="text1"/>
          <w:szCs w:val="20"/>
          <w:lang w:eastAsia="zh-HK"/>
        </w:rPr>
        <w:t xml:space="preserve"> </w:t>
      </w:r>
      <w:r w:rsidR="00216171" w:rsidRPr="00E8281A">
        <w:rPr>
          <w:color w:val="000000" w:themeColor="text1"/>
          <w:szCs w:val="20"/>
          <w:lang w:eastAsia="zh-HK"/>
        </w:rPr>
        <w:t>(Piechowski &amp; Cunningham, 1985)</w:t>
      </w:r>
      <w:r w:rsidR="00C5566D" w:rsidRPr="00E8281A">
        <w:rPr>
          <w:color w:val="000000" w:themeColor="text1"/>
          <w:szCs w:val="20"/>
          <w:lang w:eastAsia="zh-HK"/>
        </w:rPr>
        <w:t xml:space="preserve"> such that overexcitabilities </w:t>
      </w:r>
      <w:r w:rsidR="00D83619">
        <w:rPr>
          <w:color w:val="000000" w:themeColor="text1"/>
          <w:szCs w:val="20"/>
          <w:lang w:eastAsia="zh-HK"/>
        </w:rPr>
        <w:t xml:space="preserve">can </w:t>
      </w:r>
      <w:r w:rsidR="003C2569">
        <w:rPr>
          <w:color w:val="000000" w:themeColor="text1"/>
          <w:szCs w:val="20"/>
          <w:lang w:eastAsia="zh-HK"/>
        </w:rPr>
        <w:t>positively influence</w:t>
      </w:r>
      <w:r w:rsidR="00C5566D" w:rsidRPr="00E8281A">
        <w:rPr>
          <w:color w:val="000000" w:themeColor="text1"/>
          <w:szCs w:val="20"/>
          <w:lang w:eastAsia="zh-HK"/>
        </w:rPr>
        <w:t xml:space="preserve"> </w:t>
      </w:r>
      <w:r w:rsidR="00A966DB" w:rsidRPr="00E8281A">
        <w:rPr>
          <w:color w:val="000000" w:themeColor="text1"/>
          <w:szCs w:val="20"/>
          <w:lang w:eastAsia="zh-HK"/>
        </w:rPr>
        <w:t>creativity</w:t>
      </w:r>
      <w:r w:rsidR="00C5566D" w:rsidRPr="00E8281A">
        <w:rPr>
          <w:color w:val="000000" w:themeColor="text1"/>
          <w:szCs w:val="20"/>
          <w:lang w:eastAsia="zh-HK"/>
        </w:rPr>
        <w:t xml:space="preserve"> development</w:t>
      </w:r>
      <w:bookmarkEnd w:id="11"/>
      <w:r w:rsidR="00216171" w:rsidRPr="00E8281A">
        <w:rPr>
          <w:color w:val="000000" w:themeColor="text1"/>
          <w:szCs w:val="20"/>
          <w:lang w:eastAsia="zh-HK"/>
        </w:rPr>
        <w:t>.</w:t>
      </w:r>
      <w:r w:rsidR="005B1B98" w:rsidRPr="00E8281A">
        <w:rPr>
          <w:color w:val="000000" w:themeColor="text1"/>
          <w:szCs w:val="20"/>
          <w:lang w:eastAsia="zh-HK"/>
        </w:rPr>
        <w:t xml:space="preserve"> </w:t>
      </w:r>
      <w:bookmarkEnd w:id="12"/>
    </w:p>
    <w:p w14:paraId="75D74825" w14:textId="4C1EE2D3" w:rsidR="003F7918" w:rsidRPr="00E8281A" w:rsidRDefault="00124209" w:rsidP="00C5566D">
      <w:pPr>
        <w:spacing w:line="480" w:lineRule="auto"/>
        <w:ind w:firstLine="480"/>
        <w:rPr>
          <w:color w:val="000000" w:themeColor="text1"/>
          <w:szCs w:val="20"/>
          <w:lang w:eastAsia="zh-HK"/>
        </w:rPr>
      </w:pPr>
      <w:bookmarkStart w:id="15" w:name="_Hlk136761246"/>
      <w:bookmarkStart w:id="16" w:name="_Hlk141082761"/>
      <w:r w:rsidRPr="00E20333">
        <w:rPr>
          <w:color w:val="00B0F0"/>
          <w:szCs w:val="20"/>
          <w:lang w:eastAsia="zh-HK"/>
        </w:rPr>
        <w:t>Play offers children a safe</w:t>
      </w:r>
      <w:r w:rsidR="00E20333" w:rsidRPr="00E20333">
        <w:rPr>
          <w:color w:val="00B0F0"/>
          <w:szCs w:val="20"/>
          <w:lang w:eastAsia="zh-HK"/>
        </w:rPr>
        <w:t>, age-appropriate, and socially acceptable</w:t>
      </w:r>
      <w:r w:rsidRPr="00E20333">
        <w:rPr>
          <w:color w:val="00B0F0"/>
          <w:szCs w:val="20"/>
          <w:lang w:eastAsia="zh-HK"/>
        </w:rPr>
        <w:t xml:space="preserve"> environment (Ayling et al., 2019) </w:t>
      </w:r>
      <w:r w:rsidR="008609FC">
        <w:rPr>
          <w:color w:val="00B0F0"/>
          <w:szCs w:val="20"/>
          <w:lang w:eastAsia="zh-HK"/>
        </w:rPr>
        <w:t xml:space="preserve">in which </w:t>
      </w:r>
      <w:r w:rsidRPr="00E20333">
        <w:rPr>
          <w:color w:val="00B0F0"/>
          <w:szCs w:val="20"/>
          <w:lang w:eastAsia="zh-HK"/>
        </w:rPr>
        <w:t xml:space="preserve">to satisfy their unrealizable desires (Vygotsky, 1967) without </w:t>
      </w:r>
      <w:r w:rsidR="004F0A86">
        <w:rPr>
          <w:color w:val="00B0F0"/>
          <w:szCs w:val="20"/>
          <w:lang w:eastAsia="zh-HK"/>
        </w:rPr>
        <w:t xml:space="preserve">having </w:t>
      </w:r>
      <w:r w:rsidR="00D612A9">
        <w:rPr>
          <w:color w:val="00B0F0"/>
          <w:szCs w:val="20"/>
          <w:lang w:eastAsia="zh-HK"/>
        </w:rPr>
        <w:t xml:space="preserve">to </w:t>
      </w:r>
      <w:r w:rsidRPr="00E20333">
        <w:rPr>
          <w:color w:val="00B0F0"/>
          <w:szCs w:val="20"/>
          <w:lang w:eastAsia="zh-HK"/>
        </w:rPr>
        <w:t>consider practical needs or consequences.</w:t>
      </w:r>
      <w:r w:rsidR="009B4130" w:rsidRPr="00E20333">
        <w:rPr>
          <w:color w:val="00B0F0"/>
          <w:szCs w:val="20"/>
          <w:lang w:eastAsia="zh-HK"/>
        </w:rPr>
        <w:t xml:space="preserve"> </w:t>
      </w:r>
      <w:r w:rsidR="00E20333" w:rsidRPr="00E20333">
        <w:rPr>
          <w:color w:val="00B0F0"/>
          <w:szCs w:val="20"/>
          <w:lang w:eastAsia="zh-HK"/>
        </w:rPr>
        <w:t>O</w:t>
      </w:r>
      <w:r w:rsidR="009B4130" w:rsidRPr="00E20333">
        <w:rPr>
          <w:color w:val="00B0F0"/>
          <w:szCs w:val="20"/>
          <w:lang w:eastAsia="zh-HK"/>
        </w:rPr>
        <w:t xml:space="preserve">verexcitable children can </w:t>
      </w:r>
      <w:r w:rsidR="004D5CA8" w:rsidRPr="00E20333">
        <w:rPr>
          <w:color w:val="00B0F0"/>
          <w:szCs w:val="20"/>
          <w:lang w:eastAsia="zh-HK"/>
        </w:rPr>
        <w:t>release</w:t>
      </w:r>
      <w:r w:rsidR="009B4130" w:rsidRPr="00E20333">
        <w:rPr>
          <w:color w:val="00B0F0"/>
          <w:szCs w:val="20"/>
          <w:lang w:eastAsia="zh-HK"/>
        </w:rPr>
        <w:t xml:space="preserve"> their emotional arousal and impulse </w:t>
      </w:r>
      <w:r w:rsidR="00CF436E" w:rsidRPr="00E20333">
        <w:rPr>
          <w:color w:val="00B0F0"/>
          <w:szCs w:val="20"/>
          <w:lang w:eastAsia="zh-HK"/>
        </w:rPr>
        <w:t>through play activities</w:t>
      </w:r>
      <w:r w:rsidR="00E20333" w:rsidRPr="00E20333">
        <w:rPr>
          <w:color w:val="00B0F0"/>
          <w:szCs w:val="20"/>
          <w:lang w:eastAsia="zh-HK"/>
        </w:rPr>
        <w:t xml:space="preserve"> after </w:t>
      </w:r>
      <w:r w:rsidR="00762AD4">
        <w:rPr>
          <w:color w:val="00B0F0"/>
          <w:szCs w:val="20"/>
          <w:lang w:eastAsia="zh-HK"/>
        </w:rPr>
        <w:t>exposure</w:t>
      </w:r>
      <w:r w:rsidR="00E20333" w:rsidRPr="00E20333">
        <w:rPr>
          <w:color w:val="00B0F0"/>
          <w:szCs w:val="20"/>
          <w:lang w:eastAsia="zh-HK"/>
        </w:rPr>
        <w:t xml:space="preserve"> to contextual or internal stimulation</w:t>
      </w:r>
      <w:bookmarkEnd w:id="16"/>
      <w:r w:rsidR="00CF436E" w:rsidRPr="00E20333">
        <w:rPr>
          <w:color w:val="00B0F0"/>
          <w:szCs w:val="20"/>
          <w:lang w:eastAsia="zh-HK"/>
        </w:rPr>
        <w:t>.</w:t>
      </w:r>
      <w:r w:rsidR="009B4130" w:rsidRPr="00E20333">
        <w:rPr>
          <w:color w:val="00B0F0"/>
          <w:szCs w:val="20"/>
          <w:lang w:eastAsia="zh-HK"/>
        </w:rPr>
        <w:t xml:space="preserve"> </w:t>
      </w:r>
      <w:r w:rsidR="00223AD2" w:rsidRPr="00E8281A">
        <w:rPr>
          <w:color w:val="000000" w:themeColor="text1"/>
          <w:szCs w:val="20"/>
          <w:lang w:eastAsia="zh-HK"/>
        </w:rPr>
        <w:t>For instance, after reading a fantasy story describing how a giant senselessly destroy</w:t>
      </w:r>
      <w:r w:rsidR="0072017E" w:rsidRPr="00E8281A">
        <w:rPr>
          <w:color w:val="000000" w:themeColor="text1"/>
          <w:szCs w:val="20"/>
          <w:lang w:eastAsia="zh-HK"/>
        </w:rPr>
        <w:t>ed</w:t>
      </w:r>
      <w:r w:rsidR="00223AD2" w:rsidRPr="00E8281A">
        <w:rPr>
          <w:color w:val="000000" w:themeColor="text1"/>
          <w:szCs w:val="20"/>
          <w:lang w:eastAsia="zh-HK"/>
        </w:rPr>
        <w:t xml:space="preserve"> the forest and animals, an imaginational overexcitable child may find the scene especially fascinating</w:t>
      </w:r>
      <w:r w:rsidR="00B67966" w:rsidRPr="00E8281A">
        <w:rPr>
          <w:color w:val="000000" w:themeColor="text1"/>
          <w:szCs w:val="20"/>
          <w:lang w:eastAsia="zh-HK"/>
        </w:rPr>
        <w:t xml:space="preserve">. </w:t>
      </w:r>
      <w:r w:rsidR="00AE2D54" w:rsidRPr="00E8281A">
        <w:rPr>
          <w:color w:val="000000" w:themeColor="text1"/>
          <w:szCs w:val="20"/>
          <w:lang w:eastAsia="zh-HK"/>
        </w:rPr>
        <w:t xml:space="preserve">The intense physiological arousal and vivid mental images relevant to the scene of destruction may lead to emotional tensions and urge the child to perform aggressive acts. </w:t>
      </w:r>
      <w:r w:rsidR="00B67966" w:rsidRPr="00E8281A">
        <w:rPr>
          <w:color w:val="000000" w:themeColor="text1"/>
          <w:szCs w:val="20"/>
          <w:lang w:eastAsia="zh-HK"/>
        </w:rPr>
        <w:t xml:space="preserve">To release these </w:t>
      </w:r>
      <w:r w:rsidR="0024141E" w:rsidRPr="00E8281A">
        <w:rPr>
          <w:color w:val="000000" w:themeColor="text1"/>
          <w:szCs w:val="20"/>
          <w:lang w:eastAsia="zh-HK"/>
        </w:rPr>
        <w:t>emotional tensions and impulses, the child can set up a pretend play situation</w:t>
      </w:r>
      <w:r w:rsidR="00223AD2" w:rsidRPr="00E8281A">
        <w:rPr>
          <w:color w:val="000000" w:themeColor="text1"/>
          <w:szCs w:val="20"/>
          <w:lang w:eastAsia="zh-HK"/>
        </w:rPr>
        <w:t xml:space="preserve"> </w:t>
      </w:r>
      <w:r w:rsidR="0024141E" w:rsidRPr="00E8281A">
        <w:rPr>
          <w:color w:val="000000" w:themeColor="text1"/>
          <w:szCs w:val="20"/>
          <w:lang w:eastAsia="zh-HK"/>
        </w:rPr>
        <w:t xml:space="preserve">by putting various objects on the floor and </w:t>
      </w:r>
      <w:r w:rsidR="007B71C1" w:rsidRPr="00E8281A">
        <w:rPr>
          <w:color w:val="000000" w:themeColor="text1"/>
          <w:szCs w:val="20"/>
          <w:lang w:eastAsia="zh-HK"/>
        </w:rPr>
        <w:t>walking</w:t>
      </w:r>
      <w:r w:rsidR="0024141E" w:rsidRPr="00E8281A">
        <w:rPr>
          <w:color w:val="000000" w:themeColor="text1"/>
          <w:szCs w:val="20"/>
          <w:lang w:eastAsia="zh-HK"/>
        </w:rPr>
        <w:t xml:space="preserve"> through them like a </w:t>
      </w:r>
      <w:r w:rsidR="0024141E" w:rsidRPr="00E8281A">
        <w:rPr>
          <w:color w:val="000000" w:themeColor="text1"/>
          <w:szCs w:val="20"/>
          <w:lang w:eastAsia="zh-HK"/>
        </w:rPr>
        <w:lastRenderedPageBreak/>
        <w:t>giant</w:t>
      </w:r>
      <w:r w:rsidR="00223AD2" w:rsidRPr="00E8281A">
        <w:rPr>
          <w:color w:val="000000" w:themeColor="text1"/>
          <w:szCs w:val="20"/>
          <w:lang w:eastAsia="zh-HK"/>
        </w:rPr>
        <w:t>.</w:t>
      </w:r>
      <w:r w:rsidR="0024141E" w:rsidRPr="00E8281A">
        <w:rPr>
          <w:color w:val="000000" w:themeColor="text1"/>
          <w:szCs w:val="20"/>
          <w:lang w:eastAsia="zh-HK"/>
        </w:rPr>
        <w:t xml:space="preserve"> This type of pretend play</w:t>
      </w:r>
      <w:r w:rsidR="00D92B24" w:rsidRPr="00E8281A">
        <w:rPr>
          <w:color w:val="000000" w:themeColor="text1"/>
          <w:szCs w:val="20"/>
          <w:lang w:eastAsia="zh-HK"/>
        </w:rPr>
        <w:t>,</w:t>
      </w:r>
      <w:r w:rsidR="0024141E" w:rsidRPr="00E8281A">
        <w:rPr>
          <w:color w:val="000000" w:themeColor="text1"/>
          <w:szCs w:val="20"/>
          <w:lang w:eastAsia="zh-HK"/>
        </w:rPr>
        <w:t xml:space="preserve"> involving object substitution </w:t>
      </w:r>
      <w:r w:rsidR="0072017E" w:rsidRPr="00E8281A">
        <w:rPr>
          <w:color w:val="000000" w:themeColor="text1"/>
          <w:szCs w:val="20"/>
          <w:lang w:eastAsia="zh-HK"/>
        </w:rPr>
        <w:t xml:space="preserve">(i.e., toys as trees and animals) </w:t>
      </w:r>
      <w:r w:rsidR="0024141E" w:rsidRPr="00E8281A">
        <w:rPr>
          <w:color w:val="000000" w:themeColor="text1"/>
          <w:szCs w:val="20"/>
          <w:lang w:eastAsia="zh-HK"/>
        </w:rPr>
        <w:t>and symbolic behaviors</w:t>
      </w:r>
      <w:r w:rsidR="0072017E" w:rsidRPr="00E8281A">
        <w:rPr>
          <w:color w:val="000000" w:themeColor="text1"/>
          <w:szCs w:val="20"/>
          <w:lang w:eastAsia="zh-HK"/>
        </w:rPr>
        <w:t xml:space="preserve"> (i.e., giant steps and attacks)</w:t>
      </w:r>
      <w:r w:rsidR="00D92B24" w:rsidRPr="00E8281A">
        <w:rPr>
          <w:color w:val="000000" w:themeColor="text1"/>
          <w:szCs w:val="20"/>
          <w:lang w:eastAsia="zh-HK"/>
        </w:rPr>
        <w:t>,</w:t>
      </w:r>
      <w:r w:rsidR="0024141E" w:rsidRPr="00E8281A">
        <w:rPr>
          <w:color w:val="000000" w:themeColor="text1"/>
          <w:szCs w:val="20"/>
          <w:lang w:eastAsia="zh-HK"/>
        </w:rPr>
        <w:t xml:space="preserve"> </w:t>
      </w:r>
      <w:r w:rsidR="00B619F9" w:rsidRPr="00E8281A">
        <w:rPr>
          <w:color w:val="000000" w:themeColor="text1"/>
          <w:szCs w:val="20"/>
          <w:lang w:eastAsia="zh-HK"/>
        </w:rPr>
        <w:t>encourages alternative uses of play materials and creative ideations</w:t>
      </w:r>
      <w:r w:rsidR="00D92B24" w:rsidRPr="00E8281A">
        <w:rPr>
          <w:color w:val="000000" w:themeColor="text1"/>
          <w:szCs w:val="20"/>
          <w:lang w:eastAsia="zh-HK"/>
        </w:rPr>
        <w:t xml:space="preserve"> and</w:t>
      </w:r>
      <w:r w:rsidR="00B619F9" w:rsidRPr="00E8281A">
        <w:rPr>
          <w:color w:val="000000" w:themeColor="text1"/>
          <w:szCs w:val="20"/>
          <w:lang w:eastAsia="zh-HK"/>
        </w:rPr>
        <w:t xml:space="preserve"> is beneficial to children’s creative potential (Russ, 2003; Russ &amp; Wallace, 2013).</w:t>
      </w:r>
      <w:r w:rsidR="0024141E" w:rsidRPr="00E8281A">
        <w:rPr>
          <w:color w:val="000000" w:themeColor="text1"/>
          <w:szCs w:val="20"/>
          <w:lang w:eastAsia="zh-HK"/>
        </w:rPr>
        <w:t xml:space="preserve"> </w:t>
      </w:r>
      <w:r w:rsidR="009D6A1F" w:rsidRPr="00E8281A">
        <w:rPr>
          <w:color w:val="000000" w:themeColor="text1"/>
          <w:szCs w:val="20"/>
          <w:lang w:eastAsia="zh-HK"/>
        </w:rPr>
        <w:t>Therefore, the positive link between kindergarten children’s overexcitabilities and creative potential may be mediated through their likeli</w:t>
      </w:r>
      <w:r w:rsidR="00C04E29">
        <w:rPr>
          <w:color w:val="000000" w:themeColor="text1"/>
          <w:szCs w:val="20"/>
          <w:lang w:eastAsia="zh-HK"/>
        </w:rPr>
        <w:t>hood</w:t>
      </w:r>
      <w:r w:rsidR="009D6A1F" w:rsidRPr="00E8281A">
        <w:rPr>
          <w:color w:val="000000" w:themeColor="text1"/>
          <w:szCs w:val="20"/>
          <w:lang w:eastAsia="zh-HK"/>
        </w:rPr>
        <w:t xml:space="preserve"> </w:t>
      </w:r>
      <w:r w:rsidR="00C04E29">
        <w:rPr>
          <w:color w:val="000000" w:themeColor="text1"/>
          <w:szCs w:val="20"/>
          <w:lang w:eastAsia="zh-HK"/>
        </w:rPr>
        <w:t>of</w:t>
      </w:r>
      <w:r w:rsidR="009D6A1F" w:rsidRPr="00E8281A">
        <w:rPr>
          <w:color w:val="000000" w:themeColor="text1"/>
          <w:szCs w:val="20"/>
          <w:lang w:eastAsia="zh-HK"/>
        </w:rPr>
        <w:t xml:space="preserve"> engag</w:t>
      </w:r>
      <w:r w:rsidR="00C04E29">
        <w:rPr>
          <w:color w:val="000000" w:themeColor="text1"/>
          <w:szCs w:val="20"/>
          <w:lang w:eastAsia="zh-HK"/>
        </w:rPr>
        <w:t xml:space="preserve">ing </w:t>
      </w:r>
      <w:r w:rsidR="009D6A1F" w:rsidRPr="00E8281A">
        <w:rPr>
          <w:color w:val="000000" w:themeColor="text1"/>
          <w:szCs w:val="20"/>
          <w:lang w:eastAsia="zh-HK"/>
        </w:rPr>
        <w:t>in playful circumstances</w:t>
      </w:r>
      <w:bookmarkEnd w:id="15"/>
      <w:r w:rsidR="009D6A1F" w:rsidRPr="00E8281A">
        <w:rPr>
          <w:color w:val="000000" w:themeColor="text1"/>
          <w:szCs w:val="20"/>
          <w:lang w:eastAsia="zh-HK"/>
        </w:rPr>
        <w:t>.</w:t>
      </w:r>
      <w:r w:rsidR="00C5566D" w:rsidRPr="00E8281A">
        <w:rPr>
          <w:color w:val="000000" w:themeColor="text1"/>
          <w:szCs w:val="20"/>
          <w:lang w:eastAsia="zh-HK"/>
        </w:rPr>
        <w:t xml:space="preserve"> </w:t>
      </w:r>
      <w:bookmarkEnd w:id="13"/>
      <w:r w:rsidRPr="00E8281A">
        <w:rPr>
          <w:color w:val="000000" w:themeColor="text1"/>
          <w:szCs w:val="20"/>
          <w:lang w:eastAsia="zh-HK"/>
        </w:rPr>
        <w:t xml:space="preserve">Playfulness indicates one’s </w:t>
      </w:r>
      <w:r w:rsidR="005C1EB8" w:rsidRPr="00E8281A">
        <w:rPr>
          <w:color w:val="000000" w:themeColor="text1"/>
          <w:szCs w:val="20"/>
          <w:lang w:eastAsia="zh-HK"/>
        </w:rPr>
        <w:t>propensity</w:t>
      </w:r>
      <w:r w:rsidR="00C971FC" w:rsidRPr="00E8281A">
        <w:rPr>
          <w:color w:val="000000" w:themeColor="text1"/>
          <w:szCs w:val="20"/>
          <w:lang w:eastAsia="zh-HK"/>
        </w:rPr>
        <w:t xml:space="preserve"> to </w:t>
      </w:r>
      <w:r w:rsidR="00CF436E" w:rsidRPr="00E8281A">
        <w:rPr>
          <w:color w:val="000000" w:themeColor="text1"/>
          <w:szCs w:val="20"/>
          <w:lang w:eastAsia="zh-HK"/>
        </w:rPr>
        <w:t xml:space="preserve">create and </w:t>
      </w:r>
      <w:r w:rsidR="004D5CA8" w:rsidRPr="00E8281A">
        <w:rPr>
          <w:color w:val="000000" w:themeColor="text1"/>
          <w:szCs w:val="20"/>
          <w:lang w:eastAsia="zh-HK"/>
        </w:rPr>
        <w:t>participate</w:t>
      </w:r>
      <w:r w:rsidR="00CF436E" w:rsidRPr="00E8281A">
        <w:rPr>
          <w:color w:val="000000" w:themeColor="text1"/>
          <w:szCs w:val="20"/>
          <w:lang w:eastAsia="zh-HK"/>
        </w:rPr>
        <w:t xml:space="preserve"> in playful </w:t>
      </w:r>
      <w:r w:rsidR="00AD743A" w:rsidRPr="00E8281A">
        <w:rPr>
          <w:color w:val="000000" w:themeColor="text1"/>
          <w:szCs w:val="20"/>
          <w:lang w:eastAsia="zh-HK"/>
        </w:rPr>
        <w:t>situations</w:t>
      </w:r>
      <w:r w:rsidR="00CF436E" w:rsidRPr="00E8281A">
        <w:rPr>
          <w:color w:val="000000" w:themeColor="text1"/>
          <w:szCs w:val="20"/>
          <w:lang w:eastAsia="zh-HK"/>
        </w:rPr>
        <w:t xml:space="preserve"> (Pinchover, 2017)</w:t>
      </w:r>
      <w:r w:rsidR="004D5CA8" w:rsidRPr="00E8281A">
        <w:rPr>
          <w:color w:val="000000" w:themeColor="text1"/>
          <w:szCs w:val="20"/>
          <w:lang w:eastAsia="zh-HK"/>
        </w:rPr>
        <w:t>,</w:t>
      </w:r>
      <w:r w:rsidR="00CF436E" w:rsidRPr="00E8281A">
        <w:rPr>
          <w:color w:val="000000" w:themeColor="text1"/>
          <w:szCs w:val="20"/>
          <w:lang w:eastAsia="zh-HK"/>
        </w:rPr>
        <w:t xml:space="preserve"> and this construct governs children’s </w:t>
      </w:r>
      <w:r w:rsidR="004D5CA8" w:rsidRPr="00E8281A">
        <w:rPr>
          <w:color w:val="000000" w:themeColor="text1"/>
          <w:szCs w:val="20"/>
          <w:lang w:eastAsia="zh-HK"/>
        </w:rPr>
        <w:t>play patterns</w:t>
      </w:r>
      <w:r w:rsidR="00CF436E" w:rsidRPr="00E8281A">
        <w:rPr>
          <w:color w:val="000000" w:themeColor="text1"/>
          <w:szCs w:val="20"/>
          <w:lang w:eastAsia="zh-HK"/>
        </w:rPr>
        <w:t xml:space="preserve"> in multiple contexts (Barnett, 1991; Lieberman, 1977). </w:t>
      </w:r>
      <w:r w:rsidR="004D5CA8" w:rsidRPr="00E8281A">
        <w:rPr>
          <w:color w:val="000000" w:themeColor="text1"/>
          <w:szCs w:val="20"/>
          <w:lang w:eastAsia="zh-HK"/>
        </w:rPr>
        <w:t>Five indicators can reflect children’s playfulness</w:t>
      </w:r>
      <w:r w:rsidR="004950F1">
        <w:rPr>
          <w:color w:val="000000" w:themeColor="text1"/>
          <w:szCs w:val="20"/>
          <w:lang w:eastAsia="zh-HK"/>
        </w:rPr>
        <w:t>;</w:t>
      </w:r>
      <w:r w:rsidR="00CF436E" w:rsidRPr="00E8281A">
        <w:rPr>
          <w:color w:val="000000" w:themeColor="text1"/>
          <w:szCs w:val="20"/>
          <w:lang w:eastAsia="zh-HK"/>
        </w:rPr>
        <w:t xml:space="preserve"> includ</w:t>
      </w:r>
      <w:r w:rsidR="009040EA">
        <w:rPr>
          <w:color w:val="000000" w:themeColor="text1"/>
          <w:szCs w:val="20"/>
          <w:lang w:eastAsia="zh-HK"/>
        </w:rPr>
        <w:t>e</w:t>
      </w:r>
      <w:r w:rsidR="00CF436E" w:rsidRPr="00E8281A">
        <w:rPr>
          <w:color w:val="000000" w:themeColor="text1"/>
          <w:szCs w:val="20"/>
          <w:lang w:eastAsia="zh-HK"/>
        </w:rPr>
        <w:t xml:space="preserve"> </w:t>
      </w:r>
      <w:r w:rsidR="007546C8" w:rsidRPr="00E8281A">
        <w:rPr>
          <w:color w:val="000000" w:themeColor="text1"/>
          <w:szCs w:val="20"/>
          <w:lang w:eastAsia="zh-HK"/>
        </w:rPr>
        <w:t>physical spontaneity (activity level and motor control), social spontaneity (initiate, gain access to, and coordinate peer play), cognitive spontaneity (proneness to fantasy, imagination, and original ideas), manifest joy (express</w:t>
      </w:r>
      <w:r w:rsidR="005C1EB8" w:rsidRPr="00E8281A">
        <w:rPr>
          <w:color w:val="000000" w:themeColor="text1"/>
          <w:szCs w:val="20"/>
          <w:lang w:eastAsia="zh-HK"/>
        </w:rPr>
        <w:t>ing</w:t>
      </w:r>
      <w:r w:rsidR="007546C8" w:rsidRPr="00E8281A">
        <w:rPr>
          <w:color w:val="000000" w:themeColor="text1"/>
          <w:szCs w:val="20"/>
          <w:lang w:eastAsia="zh-HK"/>
        </w:rPr>
        <w:t xml:space="preserve"> positive emotions and passion), and sense of humor (</w:t>
      </w:r>
      <w:r w:rsidR="005C1EB8" w:rsidRPr="00E8281A">
        <w:rPr>
          <w:color w:val="000000" w:themeColor="text1"/>
          <w:szCs w:val="20"/>
          <w:lang w:eastAsia="zh-HK"/>
        </w:rPr>
        <w:t>teasing and joke-telling) (Barnett, 2018).</w:t>
      </w:r>
      <w:r w:rsidR="00CF436E" w:rsidRPr="00E8281A">
        <w:rPr>
          <w:color w:val="000000" w:themeColor="text1"/>
          <w:szCs w:val="20"/>
          <w:lang w:eastAsia="zh-HK"/>
        </w:rPr>
        <w:t xml:space="preserve"> </w:t>
      </w:r>
      <w:r w:rsidR="004D5CA8" w:rsidRPr="00E8281A">
        <w:rPr>
          <w:color w:val="000000" w:themeColor="text1"/>
          <w:szCs w:val="20"/>
          <w:lang w:eastAsia="zh-HK"/>
        </w:rPr>
        <w:t>To examine children’s playfulness</w:t>
      </w:r>
      <w:r w:rsidR="00FB35E9" w:rsidRPr="00E8281A">
        <w:rPr>
          <w:color w:val="000000" w:themeColor="text1"/>
          <w:szCs w:val="20"/>
          <w:lang w:eastAsia="zh-HK"/>
        </w:rPr>
        <w:t xml:space="preserve"> further</w:t>
      </w:r>
      <w:r w:rsidR="004D5CA8" w:rsidRPr="00E8281A">
        <w:rPr>
          <w:color w:val="000000" w:themeColor="text1"/>
          <w:szCs w:val="20"/>
          <w:lang w:eastAsia="zh-HK"/>
        </w:rPr>
        <w:t xml:space="preserve">, empirical evidence </w:t>
      </w:r>
      <w:r w:rsidR="00AD743A" w:rsidRPr="00E8281A">
        <w:rPr>
          <w:color w:val="000000" w:themeColor="text1"/>
          <w:szCs w:val="20"/>
          <w:lang w:eastAsia="zh-HK"/>
        </w:rPr>
        <w:t xml:space="preserve">has </w:t>
      </w:r>
      <w:r w:rsidR="004D5CA8" w:rsidRPr="00E8281A">
        <w:rPr>
          <w:color w:val="000000" w:themeColor="text1"/>
          <w:szCs w:val="20"/>
          <w:lang w:eastAsia="zh-HK"/>
        </w:rPr>
        <w:t xml:space="preserve">shown </w:t>
      </w:r>
      <w:r w:rsidR="003F7918" w:rsidRPr="00E8281A">
        <w:rPr>
          <w:color w:val="000000" w:themeColor="text1"/>
          <w:szCs w:val="20"/>
          <w:lang w:eastAsia="zh-HK"/>
        </w:rPr>
        <w:t>positive</w:t>
      </w:r>
      <w:r w:rsidR="00AD743A" w:rsidRPr="00E8281A">
        <w:rPr>
          <w:color w:val="000000" w:themeColor="text1"/>
          <w:szCs w:val="20"/>
          <w:lang w:eastAsia="zh-HK"/>
        </w:rPr>
        <w:t xml:space="preserve"> relationships between kindergarten children’s overexcitabilities (imaginational, intellectual, and psychomotor) and playfulness (social, cognitive, and physical spontaneity) as perceived by the</w:t>
      </w:r>
      <w:r w:rsidR="00E1513D" w:rsidRPr="00E8281A">
        <w:rPr>
          <w:color w:val="000000" w:themeColor="text1"/>
          <w:szCs w:val="20"/>
          <w:lang w:eastAsia="zh-HK"/>
        </w:rPr>
        <w:t>ir</w:t>
      </w:r>
      <w:r w:rsidR="00AD743A" w:rsidRPr="00E8281A">
        <w:rPr>
          <w:color w:val="000000" w:themeColor="text1"/>
          <w:szCs w:val="20"/>
          <w:lang w:eastAsia="zh-HK"/>
        </w:rPr>
        <w:t xml:space="preserve"> parents (Fung &amp; Chung, 2021). </w:t>
      </w:r>
    </w:p>
    <w:p w14:paraId="305211C9" w14:textId="4DE3C995" w:rsidR="00F447AD" w:rsidRPr="00E8281A" w:rsidRDefault="003F7918" w:rsidP="00216171">
      <w:pPr>
        <w:spacing w:line="480" w:lineRule="auto"/>
        <w:ind w:firstLine="480"/>
        <w:rPr>
          <w:color w:val="000000" w:themeColor="text1"/>
          <w:szCs w:val="20"/>
          <w:lang w:eastAsia="zh-HK"/>
        </w:rPr>
      </w:pPr>
      <w:bookmarkStart w:id="17" w:name="_Hlk136606208"/>
      <w:r w:rsidRPr="00321E06">
        <w:rPr>
          <w:color w:val="00B0F0"/>
          <w:szCs w:val="20"/>
          <w:lang w:eastAsia="zh-HK"/>
        </w:rPr>
        <w:t>As</w:t>
      </w:r>
      <w:r w:rsidR="00C9145D" w:rsidRPr="00321E06">
        <w:rPr>
          <w:color w:val="00B0F0"/>
          <w:szCs w:val="20"/>
          <w:lang w:eastAsia="zh-HK"/>
        </w:rPr>
        <w:t xml:space="preserve"> playful children are </w:t>
      </w:r>
      <w:r w:rsidR="00321E06" w:rsidRPr="00321E06">
        <w:rPr>
          <w:color w:val="00B0F0"/>
          <w:szCs w:val="20"/>
          <w:lang w:eastAsia="zh-HK"/>
        </w:rPr>
        <w:t>likelier</w:t>
      </w:r>
      <w:r w:rsidR="00C9145D" w:rsidRPr="00321E06">
        <w:rPr>
          <w:color w:val="00B0F0"/>
          <w:szCs w:val="20"/>
          <w:lang w:eastAsia="zh-HK"/>
        </w:rPr>
        <w:t xml:space="preserve"> to </w:t>
      </w:r>
      <w:r w:rsidR="00321E06" w:rsidRPr="00321E06">
        <w:rPr>
          <w:color w:val="00B0F0"/>
          <w:szCs w:val="20"/>
          <w:lang w:eastAsia="zh-HK"/>
        </w:rPr>
        <w:t xml:space="preserve">explore and link up </w:t>
      </w:r>
      <w:r w:rsidR="00C9145D" w:rsidRPr="00321E06">
        <w:rPr>
          <w:color w:val="00B0F0"/>
          <w:szCs w:val="20"/>
          <w:lang w:eastAsia="zh-HK"/>
        </w:rPr>
        <w:t xml:space="preserve">different concepts and materials (Chávez-Eakle et al., 2012), </w:t>
      </w:r>
      <w:r w:rsidRPr="00321E06">
        <w:rPr>
          <w:color w:val="00B0F0"/>
          <w:szCs w:val="20"/>
          <w:lang w:eastAsia="zh-HK"/>
        </w:rPr>
        <w:t xml:space="preserve">playfulness </w:t>
      </w:r>
      <w:r w:rsidR="008A338A">
        <w:rPr>
          <w:color w:val="00B0F0"/>
          <w:szCs w:val="20"/>
          <w:lang w:eastAsia="zh-HK"/>
        </w:rPr>
        <w:t>is</w:t>
      </w:r>
      <w:r w:rsidRPr="00321E06">
        <w:rPr>
          <w:color w:val="00B0F0"/>
          <w:szCs w:val="20"/>
          <w:lang w:eastAsia="zh-HK"/>
        </w:rPr>
        <w:t xml:space="preserve"> </w:t>
      </w:r>
      <w:r w:rsidR="00321E06" w:rsidRPr="00321E06">
        <w:rPr>
          <w:color w:val="00B0F0"/>
          <w:szCs w:val="20"/>
          <w:lang w:eastAsia="zh-HK"/>
        </w:rPr>
        <w:t>predictive</w:t>
      </w:r>
      <w:r w:rsidRPr="00321E06">
        <w:rPr>
          <w:color w:val="00B0F0"/>
          <w:szCs w:val="20"/>
          <w:lang w:eastAsia="zh-HK"/>
        </w:rPr>
        <w:t xml:space="preserve"> of creative potential (e.g., Bateson &amp; Nettle, 2014; Luria et al., 2018; Trevlas et al., 2003)</w:t>
      </w:r>
      <w:r w:rsidR="0080510C" w:rsidRPr="00321E06">
        <w:rPr>
          <w:color w:val="00B0F0"/>
          <w:szCs w:val="20"/>
          <w:lang w:eastAsia="zh-HK"/>
        </w:rPr>
        <w:t>.</w:t>
      </w:r>
      <w:r w:rsidR="00231AC1" w:rsidRPr="00321E06">
        <w:rPr>
          <w:color w:val="00B0F0"/>
          <w:szCs w:val="20"/>
          <w:lang w:eastAsia="zh-HK"/>
        </w:rPr>
        <w:t xml:space="preserve"> </w:t>
      </w:r>
      <w:r w:rsidR="005D2F4C" w:rsidRPr="00E8281A">
        <w:rPr>
          <w:color w:val="000000" w:themeColor="text1"/>
          <w:szCs w:val="20"/>
          <w:lang w:eastAsia="zh-HK"/>
        </w:rPr>
        <w:t>Specifically, c</w:t>
      </w:r>
      <w:r w:rsidR="00B432D0" w:rsidRPr="00E8281A">
        <w:rPr>
          <w:color w:val="000000" w:themeColor="text1"/>
          <w:szCs w:val="20"/>
          <w:lang w:eastAsia="zh-HK"/>
        </w:rPr>
        <w:t>ognitive spontaneity indicate</w:t>
      </w:r>
      <w:r w:rsidR="00EA17CE" w:rsidRPr="00E8281A">
        <w:rPr>
          <w:color w:val="000000" w:themeColor="text1"/>
          <w:szCs w:val="20"/>
          <w:lang w:eastAsia="zh-HK"/>
        </w:rPr>
        <w:t>s</w:t>
      </w:r>
      <w:r w:rsidR="00B432D0" w:rsidRPr="00E8281A">
        <w:rPr>
          <w:color w:val="000000" w:themeColor="text1"/>
          <w:szCs w:val="20"/>
          <w:lang w:eastAsia="zh-HK"/>
        </w:rPr>
        <w:t xml:space="preserve"> </w:t>
      </w:r>
      <w:r w:rsidR="00EA17CE" w:rsidRPr="00E8281A">
        <w:rPr>
          <w:color w:val="000000" w:themeColor="text1"/>
          <w:szCs w:val="20"/>
          <w:lang w:eastAsia="zh-HK"/>
        </w:rPr>
        <w:t>children’s</w:t>
      </w:r>
      <w:r w:rsidR="00B432D0" w:rsidRPr="00E8281A">
        <w:rPr>
          <w:color w:val="000000" w:themeColor="text1"/>
          <w:szCs w:val="20"/>
          <w:lang w:eastAsia="zh-HK"/>
        </w:rPr>
        <w:t xml:space="preserve"> tendency to </w:t>
      </w:r>
      <w:r w:rsidR="00F13EC4" w:rsidRPr="00E8281A">
        <w:rPr>
          <w:color w:val="000000" w:themeColor="text1"/>
          <w:szCs w:val="20"/>
          <w:lang w:eastAsia="zh-HK"/>
        </w:rPr>
        <w:t>assume</w:t>
      </w:r>
      <w:r w:rsidR="00551F58" w:rsidRPr="00E8281A">
        <w:rPr>
          <w:color w:val="000000" w:themeColor="text1"/>
          <w:szCs w:val="20"/>
          <w:lang w:eastAsia="zh-HK"/>
        </w:rPr>
        <w:t xml:space="preserve"> different characters and</w:t>
      </w:r>
      <w:r w:rsidR="00B432D0" w:rsidRPr="00E8281A">
        <w:rPr>
          <w:color w:val="000000" w:themeColor="text1"/>
          <w:szCs w:val="20"/>
          <w:lang w:eastAsia="zh-HK"/>
        </w:rPr>
        <w:t xml:space="preserve"> integrate unusual </w:t>
      </w:r>
      <w:r w:rsidR="00551F58" w:rsidRPr="00E8281A">
        <w:rPr>
          <w:color w:val="000000" w:themeColor="text1"/>
          <w:szCs w:val="20"/>
          <w:lang w:eastAsia="zh-HK"/>
        </w:rPr>
        <w:t xml:space="preserve">objects or </w:t>
      </w:r>
      <w:r w:rsidR="00B432D0" w:rsidRPr="00E8281A">
        <w:rPr>
          <w:color w:val="000000" w:themeColor="text1"/>
          <w:szCs w:val="20"/>
          <w:lang w:eastAsia="zh-HK"/>
        </w:rPr>
        <w:t xml:space="preserve">ideas </w:t>
      </w:r>
      <w:r w:rsidR="00551F58" w:rsidRPr="00E8281A">
        <w:rPr>
          <w:color w:val="000000" w:themeColor="text1"/>
          <w:szCs w:val="20"/>
          <w:lang w:eastAsia="zh-HK"/>
        </w:rPr>
        <w:t>into play</w:t>
      </w:r>
      <w:r w:rsidR="007B71C1" w:rsidRPr="00E8281A">
        <w:rPr>
          <w:color w:val="000000" w:themeColor="text1"/>
          <w:szCs w:val="20"/>
          <w:lang w:eastAsia="zh-HK"/>
        </w:rPr>
        <w:t>. In contrast, social</w:t>
      </w:r>
      <w:r w:rsidR="00F13EC4" w:rsidRPr="00E8281A">
        <w:rPr>
          <w:color w:val="000000" w:themeColor="text1"/>
          <w:szCs w:val="20"/>
          <w:lang w:eastAsia="zh-HK"/>
        </w:rPr>
        <w:t xml:space="preserve"> spontaneity reflects their likelihood to lead, engage, and cooperate with peers in play </w:t>
      </w:r>
      <w:r w:rsidR="00EA17CE" w:rsidRPr="00E8281A">
        <w:rPr>
          <w:color w:val="000000" w:themeColor="text1"/>
          <w:szCs w:val="20"/>
          <w:lang w:eastAsia="zh-HK"/>
        </w:rPr>
        <w:t>(Barnett, 1991)</w:t>
      </w:r>
      <w:r w:rsidR="00652EE2">
        <w:rPr>
          <w:color w:val="000000" w:themeColor="text1"/>
          <w:szCs w:val="20"/>
          <w:lang w:eastAsia="zh-HK"/>
        </w:rPr>
        <w:t xml:space="preserve">. </w:t>
      </w:r>
      <w:r w:rsidR="00652EE2">
        <w:rPr>
          <w:color w:val="00B0F0"/>
          <w:szCs w:val="20"/>
          <w:lang w:eastAsia="zh-HK"/>
        </w:rPr>
        <w:t>Social spontaneity enables children</w:t>
      </w:r>
      <w:r w:rsidR="00321E06" w:rsidRPr="00321E06">
        <w:rPr>
          <w:color w:val="00B0F0"/>
          <w:szCs w:val="20"/>
          <w:lang w:eastAsia="zh-HK"/>
        </w:rPr>
        <w:t xml:space="preserve"> to propose, negotiate, and incorporate </w:t>
      </w:r>
      <w:r w:rsidR="00321E06">
        <w:rPr>
          <w:color w:val="00B0F0"/>
          <w:szCs w:val="20"/>
          <w:lang w:eastAsia="zh-HK"/>
        </w:rPr>
        <w:t xml:space="preserve">imaginative </w:t>
      </w:r>
      <w:r w:rsidR="00321E06" w:rsidRPr="00321E06">
        <w:rPr>
          <w:color w:val="00B0F0"/>
          <w:szCs w:val="20"/>
          <w:lang w:eastAsia="zh-HK"/>
        </w:rPr>
        <w:t>ideas into group play constructively</w:t>
      </w:r>
      <w:r w:rsidR="00652EE2">
        <w:rPr>
          <w:color w:val="00B0F0"/>
          <w:szCs w:val="20"/>
          <w:lang w:eastAsia="zh-HK"/>
        </w:rPr>
        <w:t xml:space="preserve"> (Fung &amp; Chung, 2022a)</w:t>
      </w:r>
      <w:r w:rsidR="00321E06" w:rsidRPr="00321E06">
        <w:rPr>
          <w:color w:val="00B0F0"/>
          <w:szCs w:val="20"/>
          <w:lang w:eastAsia="zh-HK"/>
        </w:rPr>
        <w:t xml:space="preserve">. </w:t>
      </w:r>
      <w:r w:rsidR="00F13EC4" w:rsidRPr="00E8281A">
        <w:rPr>
          <w:color w:val="000000" w:themeColor="text1"/>
          <w:szCs w:val="20"/>
          <w:lang w:eastAsia="zh-HK"/>
        </w:rPr>
        <w:t xml:space="preserve">These two aspects of playfulness </w:t>
      </w:r>
      <w:r w:rsidR="00BD3C63" w:rsidRPr="00E8281A">
        <w:rPr>
          <w:color w:val="000000" w:themeColor="text1"/>
          <w:szCs w:val="20"/>
          <w:lang w:eastAsia="zh-HK"/>
        </w:rPr>
        <w:t>are</w:t>
      </w:r>
      <w:r w:rsidR="00F13EC4" w:rsidRPr="00E8281A">
        <w:rPr>
          <w:color w:val="000000" w:themeColor="text1"/>
          <w:szCs w:val="20"/>
          <w:lang w:eastAsia="zh-HK"/>
        </w:rPr>
        <w:t xml:space="preserve"> particularly important in </w:t>
      </w:r>
      <w:r w:rsidR="00BD3C63" w:rsidRPr="00E8281A">
        <w:rPr>
          <w:color w:val="000000" w:themeColor="text1"/>
          <w:szCs w:val="20"/>
          <w:lang w:eastAsia="zh-HK"/>
        </w:rPr>
        <w:t>shaping</w:t>
      </w:r>
      <w:r w:rsidR="00F13EC4" w:rsidRPr="00E8281A">
        <w:rPr>
          <w:color w:val="000000" w:themeColor="text1"/>
          <w:szCs w:val="20"/>
          <w:lang w:eastAsia="zh-HK"/>
        </w:rPr>
        <w:t xml:space="preserve"> children’s participation in kindergarten group pretend play (Fung &amp; Chung, 2022a), </w:t>
      </w:r>
      <w:r w:rsidR="00EA17CE" w:rsidRPr="00E8281A">
        <w:rPr>
          <w:color w:val="000000" w:themeColor="text1"/>
          <w:szCs w:val="20"/>
          <w:lang w:eastAsia="zh-HK"/>
        </w:rPr>
        <w:t xml:space="preserve">which may, in turn, </w:t>
      </w:r>
      <w:r w:rsidR="00EA17CE" w:rsidRPr="00E8281A">
        <w:rPr>
          <w:color w:val="000000" w:themeColor="text1"/>
          <w:szCs w:val="20"/>
          <w:lang w:eastAsia="zh-HK"/>
        </w:rPr>
        <w:lastRenderedPageBreak/>
        <w:t xml:space="preserve">promote their creative potential (Russ, 2003; Russ &amp; Wallace, 2013). </w:t>
      </w:r>
      <w:r w:rsidR="007B07F9" w:rsidRPr="007B07F9">
        <w:rPr>
          <w:color w:val="00B0F0"/>
          <w:szCs w:val="20"/>
          <w:lang w:eastAsia="zh-HK"/>
        </w:rPr>
        <w:t>R</w:t>
      </w:r>
      <w:r w:rsidR="00B432D0" w:rsidRPr="007B07F9">
        <w:rPr>
          <w:color w:val="00B0F0"/>
          <w:szCs w:val="20"/>
          <w:lang w:eastAsia="zh-HK"/>
        </w:rPr>
        <w:t xml:space="preserve">ecent research examining the relationships </w:t>
      </w:r>
      <w:r w:rsidR="00ED092B">
        <w:rPr>
          <w:color w:val="00B0F0"/>
          <w:szCs w:val="20"/>
          <w:lang w:eastAsia="zh-HK"/>
        </w:rPr>
        <w:t>among</w:t>
      </w:r>
      <w:r w:rsidR="00B432D0" w:rsidRPr="007B07F9">
        <w:rPr>
          <w:color w:val="00B0F0"/>
          <w:szCs w:val="20"/>
          <w:lang w:eastAsia="zh-HK"/>
        </w:rPr>
        <w:t xml:space="preserve"> children’s overexcitabilities, playfulness, and creative potential has </w:t>
      </w:r>
      <w:r w:rsidR="00652EE2">
        <w:rPr>
          <w:color w:val="00B0F0"/>
          <w:szCs w:val="20"/>
          <w:lang w:eastAsia="zh-HK"/>
        </w:rPr>
        <w:t>highlighted social</w:t>
      </w:r>
      <w:r w:rsidR="007B07F9">
        <w:rPr>
          <w:color w:val="00B0F0"/>
          <w:szCs w:val="20"/>
          <w:lang w:eastAsia="zh-HK"/>
        </w:rPr>
        <w:t xml:space="preserve"> and </w:t>
      </w:r>
      <w:r w:rsidR="00652EE2">
        <w:rPr>
          <w:color w:val="00B0F0"/>
          <w:szCs w:val="20"/>
          <w:lang w:eastAsia="zh-HK"/>
        </w:rPr>
        <w:t>cognitive</w:t>
      </w:r>
      <w:r w:rsidR="007B07F9">
        <w:rPr>
          <w:color w:val="00B0F0"/>
          <w:szCs w:val="20"/>
          <w:lang w:eastAsia="zh-HK"/>
        </w:rPr>
        <w:t xml:space="preserve"> spontaneity</w:t>
      </w:r>
      <w:r w:rsidR="00652EE2">
        <w:rPr>
          <w:color w:val="00B0F0"/>
          <w:szCs w:val="20"/>
          <w:lang w:eastAsia="zh-HK"/>
        </w:rPr>
        <w:t xml:space="preserve"> as </w:t>
      </w:r>
      <w:r w:rsidR="00891337">
        <w:rPr>
          <w:color w:val="00B0F0"/>
          <w:szCs w:val="20"/>
          <w:lang w:eastAsia="zh-HK"/>
        </w:rPr>
        <w:t xml:space="preserve">the </w:t>
      </w:r>
      <w:r w:rsidR="00652EE2">
        <w:rPr>
          <w:color w:val="00B0F0"/>
          <w:szCs w:val="20"/>
          <w:lang w:eastAsia="zh-HK"/>
        </w:rPr>
        <w:t>potential mediators</w:t>
      </w:r>
      <w:r w:rsidR="007546C8" w:rsidRPr="007B07F9">
        <w:rPr>
          <w:color w:val="00B0F0"/>
          <w:szCs w:val="20"/>
          <w:lang w:eastAsia="zh-HK"/>
        </w:rPr>
        <w:t xml:space="preserve"> (e.g., Fung &amp; Chung, 2022a; Fung et al., 2021)</w:t>
      </w:r>
      <w:r w:rsidR="007546C8" w:rsidRPr="00E8281A">
        <w:rPr>
          <w:color w:val="000000" w:themeColor="text1"/>
          <w:szCs w:val="20"/>
          <w:lang w:eastAsia="zh-HK"/>
        </w:rPr>
        <w:t>.</w:t>
      </w:r>
      <w:r w:rsidR="00F447AD" w:rsidRPr="00E8281A">
        <w:rPr>
          <w:color w:val="000000" w:themeColor="text1"/>
          <w:szCs w:val="20"/>
          <w:lang w:eastAsia="zh-HK"/>
        </w:rPr>
        <w:t xml:space="preserve"> </w:t>
      </w:r>
      <w:r w:rsidR="00C9145D" w:rsidRPr="00E8281A">
        <w:rPr>
          <w:color w:val="000000" w:themeColor="text1"/>
          <w:szCs w:val="20"/>
          <w:lang w:eastAsia="zh-HK"/>
        </w:rPr>
        <w:t>For example,</w:t>
      </w:r>
      <w:r w:rsidR="004258CB" w:rsidRPr="00E8281A">
        <w:rPr>
          <w:color w:val="000000" w:themeColor="text1"/>
          <w:szCs w:val="20"/>
          <w:lang w:eastAsia="zh-HK"/>
        </w:rPr>
        <w:t xml:space="preserve"> </w:t>
      </w:r>
      <w:r w:rsidR="00231AC1" w:rsidRPr="00E8281A">
        <w:rPr>
          <w:color w:val="000000" w:themeColor="text1"/>
          <w:szCs w:val="20"/>
          <w:lang w:eastAsia="zh-HK"/>
        </w:rPr>
        <w:t xml:space="preserve">children’s imaginational overexcitability was </w:t>
      </w:r>
      <w:r w:rsidR="00ED092B">
        <w:rPr>
          <w:color w:val="000000" w:themeColor="text1"/>
          <w:szCs w:val="20"/>
          <w:lang w:eastAsia="zh-HK"/>
        </w:rPr>
        <w:t xml:space="preserve">shown to be </w:t>
      </w:r>
      <w:r w:rsidR="00231AC1" w:rsidRPr="00E8281A">
        <w:rPr>
          <w:color w:val="000000" w:themeColor="text1"/>
          <w:szCs w:val="20"/>
          <w:lang w:eastAsia="zh-HK"/>
        </w:rPr>
        <w:t>indirectly related to their creative potential via cognitive spontaneity</w:t>
      </w:r>
      <w:r w:rsidR="0080510C" w:rsidRPr="00E8281A">
        <w:rPr>
          <w:color w:val="000000" w:themeColor="text1"/>
          <w:szCs w:val="20"/>
          <w:lang w:eastAsia="zh-HK"/>
        </w:rPr>
        <w:t xml:space="preserve"> </w:t>
      </w:r>
      <w:r w:rsidR="00FB35E9" w:rsidRPr="00E8281A">
        <w:rPr>
          <w:color w:val="000000" w:themeColor="text1"/>
          <w:szCs w:val="20"/>
          <w:lang w:eastAsia="zh-HK"/>
        </w:rPr>
        <w:t>in</w:t>
      </w:r>
      <w:r w:rsidR="004258CB" w:rsidRPr="00E8281A">
        <w:rPr>
          <w:color w:val="000000" w:themeColor="text1"/>
          <w:szCs w:val="20"/>
          <w:lang w:eastAsia="zh-HK"/>
        </w:rPr>
        <w:t xml:space="preserve"> the</w:t>
      </w:r>
      <w:r w:rsidR="00FB35E9" w:rsidRPr="00E8281A">
        <w:rPr>
          <w:color w:val="000000" w:themeColor="text1"/>
          <w:szCs w:val="20"/>
          <w:lang w:eastAsia="zh-HK"/>
        </w:rPr>
        <w:t xml:space="preserve"> </w:t>
      </w:r>
      <w:r w:rsidR="0080510C" w:rsidRPr="00E8281A">
        <w:rPr>
          <w:color w:val="000000" w:themeColor="text1"/>
          <w:szCs w:val="20"/>
          <w:lang w:eastAsia="zh-HK"/>
        </w:rPr>
        <w:t>home</w:t>
      </w:r>
      <w:r w:rsidR="00FB35E9" w:rsidRPr="00E8281A">
        <w:rPr>
          <w:color w:val="000000" w:themeColor="text1"/>
          <w:szCs w:val="20"/>
          <w:lang w:eastAsia="zh-HK"/>
        </w:rPr>
        <w:t xml:space="preserve"> setting</w:t>
      </w:r>
      <w:r w:rsidR="00231AC1" w:rsidRPr="00E8281A">
        <w:rPr>
          <w:color w:val="000000" w:themeColor="text1"/>
          <w:szCs w:val="20"/>
          <w:lang w:eastAsia="zh-HK"/>
        </w:rPr>
        <w:t xml:space="preserve"> (Fung et al., 2021). Relatedly, the indirect relationship between children’s parent-reported intellectual overexcitability and teacher-reported creative potential was</w:t>
      </w:r>
      <w:r w:rsidR="00E1513D" w:rsidRPr="00E8281A">
        <w:rPr>
          <w:color w:val="000000" w:themeColor="text1"/>
          <w:szCs w:val="20"/>
          <w:lang w:eastAsia="zh-HK"/>
        </w:rPr>
        <w:t xml:space="preserve"> </w:t>
      </w:r>
      <w:r w:rsidR="005F3A15">
        <w:rPr>
          <w:color w:val="000000" w:themeColor="text1"/>
          <w:szCs w:val="20"/>
          <w:lang w:eastAsia="zh-HK"/>
        </w:rPr>
        <w:t xml:space="preserve">shown to be </w:t>
      </w:r>
      <w:r w:rsidR="00E1513D" w:rsidRPr="00E8281A">
        <w:rPr>
          <w:color w:val="000000" w:themeColor="text1"/>
          <w:szCs w:val="20"/>
          <w:lang w:eastAsia="zh-HK"/>
        </w:rPr>
        <w:t xml:space="preserve">mediated through teachers’ ratings </w:t>
      </w:r>
      <w:r w:rsidR="00AE78AB" w:rsidRPr="00E8281A">
        <w:rPr>
          <w:color w:val="000000" w:themeColor="text1"/>
          <w:szCs w:val="20"/>
          <w:lang w:eastAsia="zh-HK"/>
        </w:rPr>
        <w:t>of</w:t>
      </w:r>
      <w:r w:rsidR="00E1513D" w:rsidRPr="00E8281A">
        <w:rPr>
          <w:color w:val="000000" w:themeColor="text1"/>
          <w:szCs w:val="20"/>
          <w:lang w:eastAsia="zh-HK"/>
        </w:rPr>
        <w:t xml:space="preserve"> children’s social and cognitive spontaneity (Fung &amp; Chung, 2022a). </w:t>
      </w:r>
      <w:bookmarkEnd w:id="17"/>
      <w:r w:rsidR="00FB35E9" w:rsidRPr="00E8281A">
        <w:rPr>
          <w:color w:val="000000" w:themeColor="text1"/>
          <w:szCs w:val="20"/>
          <w:lang w:eastAsia="zh-HK"/>
        </w:rPr>
        <w:t>These</w:t>
      </w:r>
      <w:r w:rsidR="00EE60A2" w:rsidRPr="00E8281A">
        <w:rPr>
          <w:color w:val="000000" w:themeColor="text1"/>
          <w:szCs w:val="20"/>
          <w:lang w:eastAsia="zh-HK"/>
        </w:rPr>
        <w:t xml:space="preserve"> </w:t>
      </w:r>
      <w:r w:rsidR="00FB35E9" w:rsidRPr="00E8281A">
        <w:rPr>
          <w:color w:val="000000" w:themeColor="text1"/>
          <w:szCs w:val="20"/>
          <w:lang w:eastAsia="zh-HK"/>
        </w:rPr>
        <w:t xml:space="preserve">cross-sectional </w:t>
      </w:r>
      <w:r w:rsidR="00EE60A2" w:rsidRPr="00E8281A">
        <w:rPr>
          <w:color w:val="000000" w:themeColor="text1"/>
          <w:szCs w:val="20"/>
          <w:lang w:eastAsia="zh-HK"/>
        </w:rPr>
        <w:t>studies demonstrated the possible mediating role of playfulness in the relationship between overexcitabilities and creative potential</w:t>
      </w:r>
      <w:r w:rsidR="00FB35E9" w:rsidRPr="00E8281A">
        <w:rPr>
          <w:color w:val="000000" w:themeColor="text1"/>
          <w:szCs w:val="20"/>
          <w:lang w:eastAsia="zh-HK"/>
        </w:rPr>
        <w:t xml:space="preserve">. </w:t>
      </w:r>
      <w:r w:rsidR="004258CB" w:rsidRPr="00E8281A">
        <w:rPr>
          <w:color w:val="000000" w:themeColor="text1"/>
          <w:szCs w:val="20"/>
          <w:lang w:eastAsia="zh-HK"/>
        </w:rPr>
        <w:t>Nonetheless</w:t>
      </w:r>
      <w:r w:rsidR="00EE60A2" w:rsidRPr="00E8281A">
        <w:rPr>
          <w:color w:val="000000" w:themeColor="text1"/>
          <w:szCs w:val="20"/>
          <w:lang w:eastAsia="zh-HK"/>
        </w:rPr>
        <w:t xml:space="preserve">, a further investigation using </w:t>
      </w:r>
      <w:r w:rsidR="005F3A15">
        <w:rPr>
          <w:color w:val="000000" w:themeColor="text1"/>
          <w:szCs w:val="20"/>
          <w:lang w:eastAsia="zh-HK"/>
        </w:rPr>
        <w:t xml:space="preserve">a </w:t>
      </w:r>
      <w:r w:rsidR="00EE60A2" w:rsidRPr="00E8281A">
        <w:rPr>
          <w:color w:val="000000" w:themeColor="text1"/>
          <w:szCs w:val="20"/>
          <w:lang w:eastAsia="zh-HK"/>
        </w:rPr>
        <w:t xml:space="preserve">longitudinal design </w:t>
      </w:r>
      <w:r w:rsidR="005F3A15">
        <w:rPr>
          <w:color w:val="000000" w:themeColor="text1"/>
          <w:szCs w:val="20"/>
          <w:lang w:eastAsia="zh-HK"/>
        </w:rPr>
        <w:t xml:space="preserve">is </w:t>
      </w:r>
      <w:r w:rsidR="005F3A15" w:rsidRPr="00E8281A">
        <w:rPr>
          <w:color w:val="000000" w:themeColor="text1"/>
          <w:szCs w:val="20"/>
          <w:lang w:eastAsia="zh-HK"/>
        </w:rPr>
        <w:t>warranted</w:t>
      </w:r>
      <w:r w:rsidR="005F3A15">
        <w:rPr>
          <w:color w:val="000000" w:themeColor="text1"/>
          <w:szCs w:val="20"/>
          <w:lang w:eastAsia="zh-HK"/>
        </w:rPr>
        <w:t xml:space="preserve"> to better examine</w:t>
      </w:r>
      <w:r w:rsidR="00EE60A2" w:rsidRPr="00E8281A">
        <w:rPr>
          <w:color w:val="000000" w:themeColor="text1"/>
          <w:szCs w:val="20"/>
          <w:lang w:eastAsia="zh-HK"/>
        </w:rPr>
        <w:t xml:space="preserve"> </w:t>
      </w:r>
      <w:r w:rsidR="00AE78AB" w:rsidRPr="00E8281A">
        <w:rPr>
          <w:color w:val="000000" w:themeColor="text1"/>
          <w:szCs w:val="20"/>
          <w:lang w:eastAsia="zh-HK"/>
        </w:rPr>
        <w:t>their directional relationships</w:t>
      </w:r>
      <w:r w:rsidR="00EE60A2" w:rsidRPr="00E8281A">
        <w:rPr>
          <w:color w:val="000000" w:themeColor="text1"/>
          <w:szCs w:val="20"/>
          <w:lang w:eastAsia="zh-HK"/>
        </w:rPr>
        <w:t>.</w:t>
      </w:r>
      <w:r w:rsidR="00E1513D" w:rsidRPr="00E8281A">
        <w:rPr>
          <w:color w:val="000000" w:themeColor="text1"/>
          <w:szCs w:val="20"/>
          <w:lang w:eastAsia="zh-HK"/>
        </w:rPr>
        <w:t xml:space="preserve"> </w:t>
      </w:r>
    </w:p>
    <w:p w14:paraId="41F11C32" w14:textId="69F49772" w:rsidR="000D397B" w:rsidRPr="00E8281A" w:rsidRDefault="000D397B" w:rsidP="000D397B">
      <w:pPr>
        <w:spacing w:line="480" w:lineRule="auto"/>
        <w:rPr>
          <w:b/>
          <w:bCs/>
          <w:color w:val="000000" w:themeColor="text1"/>
          <w:lang w:eastAsia="zh-HK"/>
        </w:rPr>
      </w:pPr>
      <w:r w:rsidRPr="00E8281A">
        <w:rPr>
          <w:b/>
          <w:bCs/>
          <w:color w:val="000000" w:themeColor="text1"/>
          <w:lang w:eastAsia="zh-HK"/>
        </w:rPr>
        <w:t>Bidirectional Development in Playfulness and Creative Potential</w:t>
      </w:r>
    </w:p>
    <w:p w14:paraId="7EC1CE5D" w14:textId="73C8095B" w:rsidR="00AD1C4D" w:rsidRPr="00E8281A" w:rsidRDefault="008049A5" w:rsidP="000D397B">
      <w:pPr>
        <w:spacing w:line="480" w:lineRule="auto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ab/>
      </w:r>
      <w:r w:rsidR="00AE78AB" w:rsidRPr="00E8281A">
        <w:rPr>
          <w:color w:val="000000" w:themeColor="text1"/>
          <w:szCs w:val="20"/>
          <w:lang w:eastAsia="zh-HK"/>
        </w:rPr>
        <w:t>T</w:t>
      </w:r>
      <w:r w:rsidR="00770672" w:rsidRPr="00E8281A">
        <w:rPr>
          <w:color w:val="000000" w:themeColor="text1"/>
          <w:szCs w:val="20"/>
          <w:lang w:eastAsia="zh-HK"/>
        </w:rPr>
        <w:t>heories</w:t>
      </w:r>
      <w:r w:rsidRPr="00E8281A">
        <w:rPr>
          <w:color w:val="000000" w:themeColor="text1"/>
          <w:szCs w:val="20"/>
          <w:lang w:eastAsia="zh-HK"/>
        </w:rPr>
        <w:t xml:space="preserve"> (e.g., Bateson &amp; Nettle, 2014; Luria et al., 2018) and </w:t>
      </w:r>
      <w:r w:rsidR="00AE78AB" w:rsidRPr="00E8281A">
        <w:rPr>
          <w:color w:val="000000" w:themeColor="text1"/>
          <w:szCs w:val="20"/>
          <w:lang w:eastAsia="zh-HK"/>
        </w:rPr>
        <w:t xml:space="preserve">empirical </w:t>
      </w:r>
      <w:r w:rsidRPr="00E8281A">
        <w:rPr>
          <w:color w:val="000000" w:themeColor="text1"/>
          <w:szCs w:val="20"/>
          <w:lang w:eastAsia="zh-HK"/>
        </w:rPr>
        <w:t>evidence (e.g., Fung &amp; Chung, 2022a; Fung et al., 2021) support the predictive role of playfulness in creative potential</w:t>
      </w:r>
      <w:r w:rsidR="00AE78AB" w:rsidRPr="00E8281A">
        <w:rPr>
          <w:color w:val="000000" w:themeColor="text1"/>
          <w:szCs w:val="20"/>
          <w:lang w:eastAsia="zh-HK"/>
        </w:rPr>
        <w:t xml:space="preserve">. </w:t>
      </w:r>
      <w:r w:rsidR="00AE78AB" w:rsidRPr="007B07F9">
        <w:rPr>
          <w:color w:val="00B0F0"/>
          <w:szCs w:val="20"/>
          <w:lang w:eastAsia="zh-HK"/>
        </w:rPr>
        <w:t>However,</w:t>
      </w:r>
      <w:r w:rsidR="00770672" w:rsidRPr="007B07F9">
        <w:rPr>
          <w:color w:val="00B0F0"/>
          <w:szCs w:val="20"/>
          <w:lang w:eastAsia="zh-HK"/>
        </w:rPr>
        <w:t xml:space="preserve"> anecdotes (Bateson, 2015) and alternative findings (Bundy et al., 2008; Keisari et al., 2020) </w:t>
      </w:r>
      <w:r w:rsidR="007A1B66">
        <w:rPr>
          <w:color w:val="00B0F0"/>
          <w:szCs w:val="20"/>
          <w:lang w:eastAsia="zh-HK"/>
        </w:rPr>
        <w:t xml:space="preserve">have </w:t>
      </w:r>
      <w:r w:rsidR="00AE78AB" w:rsidRPr="007B07F9">
        <w:rPr>
          <w:color w:val="00B0F0"/>
          <w:szCs w:val="20"/>
          <w:lang w:eastAsia="zh-HK"/>
        </w:rPr>
        <w:t>suggested</w:t>
      </w:r>
      <w:r w:rsidR="00FA5445" w:rsidRPr="007B07F9">
        <w:rPr>
          <w:color w:val="00B0F0"/>
          <w:szCs w:val="20"/>
          <w:lang w:eastAsia="zh-HK"/>
        </w:rPr>
        <w:t xml:space="preserve"> that</w:t>
      </w:r>
      <w:r w:rsidR="00770672" w:rsidRPr="007B07F9">
        <w:rPr>
          <w:color w:val="00B0F0"/>
          <w:szCs w:val="20"/>
          <w:lang w:eastAsia="zh-HK"/>
        </w:rPr>
        <w:t xml:space="preserve"> creative people</w:t>
      </w:r>
      <w:r w:rsidR="00AE78AB" w:rsidRPr="007B07F9">
        <w:rPr>
          <w:color w:val="00B0F0"/>
          <w:szCs w:val="20"/>
          <w:lang w:eastAsia="zh-HK"/>
        </w:rPr>
        <w:t xml:space="preserve"> could</w:t>
      </w:r>
      <w:r w:rsidR="00FA5445" w:rsidRPr="007B07F9">
        <w:rPr>
          <w:color w:val="00B0F0"/>
          <w:szCs w:val="20"/>
          <w:lang w:eastAsia="zh-HK"/>
        </w:rPr>
        <w:t xml:space="preserve"> show</w:t>
      </w:r>
      <w:r w:rsidR="00770672" w:rsidRPr="007B07F9">
        <w:rPr>
          <w:color w:val="00B0F0"/>
          <w:szCs w:val="20"/>
          <w:lang w:eastAsia="zh-HK"/>
        </w:rPr>
        <w:t xml:space="preserve"> higher </w:t>
      </w:r>
      <w:r w:rsidR="00FB35E9" w:rsidRPr="007B07F9">
        <w:rPr>
          <w:color w:val="00B0F0"/>
          <w:szCs w:val="20"/>
          <w:lang w:eastAsia="zh-HK"/>
        </w:rPr>
        <w:t>playfulness levels than</w:t>
      </w:r>
      <w:r w:rsidR="00AE78AB" w:rsidRPr="007B07F9">
        <w:rPr>
          <w:color w:val="00B0F0"/>
          <w:szCs w:val="20"/>
          <w:lang w:eastAsia="zh-HK"/>
        </w:rPr>
        <w:t xml:space="preserve"> </w:t>
      </w:r>
      <w:r w:rsidR="005B3CE4">
        <w:rPr>
          <w:color w:val="00B0F0"/>
          <w:szCs w:val="20"/>
          <w:lang w:eastAsia="zh-HK"/>
        </w:rPr>
        <w:t>others</w:t>
      </w:r>
      <w:r w:rsidR="00770672" w:rsidRPr="00E8281A">
        <w:rPr>
          <w:color w:val="000000" w:themeColor="text1"/>
          <w:szCs w:val="20"/>
          <w:lang w:eastAsia="zh-HK"/>
        </w:rPr>
        <w:t>. Bateson (2015)</w:t>
      </w:r>
      <w:r w:rsidR="007A1B66">
        <w:rPr>
          <w:color w:val="000000" w:themeColor="text1"/>
          <w:szCs w:val="20"/>
          <w:lang w:eastAsia="zh-HK"/>
        </w:rPr>
        <w:t xml:space="preserve"> recounted </w:t>
      </w:r>
      <w:r w:rsidR="00AB3947">
        <w:rPr>
          <w:color w:val="000000" w:themeColor="text1"/>
          <w:szCs w:val="20"/>
          <w:lang w:eastAsia="zh-HK"/>
        </w:rPr>
        <w:t>that</w:t>
      </w:r>
      <w:r w:rsidR="00770672" w:rsidRPr="00E8281A">
        <w:rPr>
          <w:color w:val="000000" w:themeColor="text1"/>
          <w:szCs w:val="20"/>
          <w:lang w:eastAsia="zh-HK"/>
        </w:rPr>
        <w:t xml:space="preserve"> </w:t>
      </w:r>
      <w:r w:rsidR="00EB7667" w:rsidRPr="00E8281A">
        <w:rPr>
          <w:color w:val="000000" w:themeColor="text1"/>
          <w:szCs w:val="20"/>
          <w:lang w:eastAsia="zh-HK"/>
        </w:rPr>
        <w:t xml:space="preserve">many creative composers, artists, or scientists (e.g., Wolfgang Mozart, </w:t>
      </w:r>
      <w:r w:rsidR="0090695D" w:rsidRPr="00E8281A">
        <w:rPr>
          <w:color w:val="000000" w:themeColor="text1"/>
          <w:szCs w:val="20"/>
          <w:lang w:eastAsia="zh-HK"/>
        </w:rPr>
        <w:t xml:space="preserve">Pablo Picasso, Richard Feynman) </w:t>
      </w:r>
      <w:r w:rsidR="00EB7667" w:rsidRPr="00E8281A">
        <w:rPr>
          <w:color w:val="000000" w:themeColor="text1"/>
          <w:szCs w:val="20"/>
          <w:lang w:eastAsia="zh-HK"/>
        </w:rPr>
        <w:t xml:space="preserve">were </w:t>
      </w:r>
      <w:r w:rsidR="0090695D" w:rsidRPr="00E8281A">
        <w:rPr>
          <w:color w:val="000000" w:themeColor="text1"/>
          <w:szCs w:val="20"/>
          <w:lang w:eastAsia="zh-HK"/>
        </w:rPr>
        <w:t>well</w:t>
      </w:r>
      <w:r w:rsidR="007A1B66">
        <w:rPr>
          <w:color w:val="000000" w:themeColor="text1"/>
          <w:szCs w:val="20"/>
          <w:lang w:eastAsia="zh-HK"/>
        </w:rPr>
        <w:t xml:space="preserve"> </w:t>
      </w:r>
      <w:r w:rsidR="0090695D" w:rsidRPr="00E8281A">
        <w:rPr>
          <w:color w:val="000000" w:themeColor="text1"/>
          <w:szCs w:val="20"/>
          <w:lang w:eastAsia="zh-HK"/>
        </w:rPr>
        <w:t xml:space="preserve">known </w:t>
      </w:r>
      <w:r w:rsidR="00EF4A57" w:rsidRPr="00E8281A">
        <w:rPr>
          <w:color w:val="000000" w:themeColor="text1"/>
          <w:szCs w:val="20"/>
          <w:lang w:eastAsia="zh-HK"/>
        </w:rPr>
        <w:t>for</w:t>
      </w:r>
      <w:r w:rsidR="0090695D" w:rsidRPr="00E8281A">
        <w:rPr>
          <w:color w:val="000000" w:themeColor="text1"/>
          <w:szCs w:val="20"/>
          <w:lang w:eastAsia="zh-HK"/>
        </w:rPr>
        <w:t xml:space="preserve"> </w:t>
      </w:r>
      <w:r w:rsidR="00D255AA" w:rsidRPr="00E8281A">
        <w:rPr>
          <w:color w:val="000000" w:themeColor="text1"/>
          <w:szCs w:val="20"/>
          <w:lang w:eastAsia="zh-HK"/>
        </w:rPr>
        <w:t xml:space="preserve">their </w:t>
      </w:r>
      <w:r w:rsidR="0090695D" w:rsidRPr="00E8281A">
        <w:rPr>
          <w:color w:val="000000" w:themeColor="text1"/>
          <w:szCs w:val="20"/>
          <w:lang w:eastAsia="zh-HK"/>
        </w:rPr>
        <w:t xml:space="preserve">playfulness in </w:t>
      </w:r>
      <w:r w:rsidR="00D255AA" w:rsidRPr="00E8281A">
        <w:rPr>
          <w:color w:val="000000" w:themeColor="text1"/>
          <w:szCs w:val="20"/>
          <w:lang w:eastAsia="zh-HK"/>
        </w:rPr>
        <w:t>their</w:t>
      </w:r>
      <w:r w:rsidR="0090695D" w:rsidRPr="00E8281A">
        <w:rPr>
          <w:color w:val="000000" w:themeColor="text1"/>
          <w:szCs w:val="20"/>
          <w:lang w:eastAsia="zh-HK"/>
        </w:rPr>
        <w:t xml:space="preserve"> respective areas of expertise</w:t>
      </w:r>
      <w:r w:rsidR="00D255AA" w:rsidRPr="00E8281A">
        <w:rPr>
          <w:color w:val="000000" w:themeColor="text1"/>
          <w:szCs w:val="20"/>
          <w:lang w:eastAsia="zh-HK"/>
        </w:rPr>
        <w:t xml:space="preserve">. This </w:t>
      </w:r>
      <w:r w:rsidR="00DB288D" w:rsidRPr="00E8281A">
        <w:rPr>
          <w:color w:val="000000" w:themeColor="text1"/>
          <w:szCs w:val="20"/>
          <w:lang w:eastAsia="zh-HK"/>
        </w:rPr>
        <w:t xml:space="preserve">proposed suggestion </w:t>
      </w:r>
      <w:r w:rsidR="00D255AA" w:rsidRPr="00E8281A">
        <w:rPr>
          <w:color w:val="000000" w:themeColor="text1"/>
          <w:szCs w:val="20"/>
          <w:lang w:eastAsia="zh-HK"/>
        </w:rPr>
        <w:t>is partly</w:t>
      </w:r>
      <w:r w:rsidR="0090695D" w:rsidRPr="00E8281A">
        <w:rPr>
          <w:color w:val="000000" w:themeColor="text1"/>
          <w:szCs w:val="20"/>
          <w:lang w:eastAsia="zh-HK"/>
        </w:rPr>
        <w:t xml:space="preserve"> because </w:t>
      </w:r>
      <w:r w:rsidR="00EF47C3" w:rsidRPr="00E8281A">
        <w:rPr>
          <w:color w:val="000000" w:themeColor="text1"/>
          <w:szCs w:val="20"/>
          <w:lang w:eastAsia="zh-HK"/>
        </w:rPr>
        <w:t>they</w:t>
      </w:r>
      <w:r w:rsidR="0090695D" w:rsidRPr="00E8281A">
        <w:rPr>
          <w:color w:val="000000" w:themeColor="text1"/>
          <w:szCs w:val="20"/>
          <w:lang w:eastAsia="zh-HK"/>
        </w:rPr>
        <w:t xml:space="preserve"> </w:t>
      </w:r>
      <w:r w:rsidR="00BD011C" w:rsidRPr="00E8281A">
        <w:rPr>
          <w:color w:val="000000" w:themeColor="text1"/>
          <w:szCs w:val="20"/>
          <w:lang w:eastAsia="zh-HK"/>
        </w:rPr>
        <w:t>treated work as a game</w:t>
      </w:r>
      <w:r w:rsidR="003C2569">
        <w:rPr>
          <w:color w:val="000000" w:themeColor="text1"/>
          <w:szCs w:val="20"/>
          <w:lang w:eastAsia="zh-HK"/>
        </w:rPr>
        <w:t>,</w:t>
      </w:r>
      <w:r w:rsidR="00BD011C" w:rsidRPr="00E8281A">
        <w:rPr>
          <w:color w:val="000000" w:themeColor="text1"/>
          <w:szCs w:val="20"/>
          <w:lang w:eastAsia="zh-HK"/>
        </w:rPr>
        <w:t xml:space="preserve"> </w:t>
      </w:r>
      <w:r w:rsidR="00003290" w:rsidRPr="00003290">
        <w:rPr>
          <w:color w:val="00B0F0"/>
          <w:szCs w:val="20"/>
          <w:lang w:eastAsia="zh-HK"/>
        </w:rPr>
        <w:t>enabling</w:t>
      </w:r>
      <w:r w:rsidR="00BD011C" w:rsidRPr="00003290">
        <w:rPr>
          <w:color w:val="00B0F0"/>
          <w:szCs w:val="20"/>
          <w:lang w:eastAsia="zh-HK"/>
        </w:rPr>
        <w:t xml:space="preserve"> </w:t>
      </w:r>
      <w:r w:rsidR="00BD011C" w:rsidRPr="00E8281A">
        <w:rPr>
          <w:color w:val="000000" w:themeColor="text1"/>
          <w:szCs w:val="20"/>
          <w:lang w:eastAsia="zh-HK"/>
        </w:rPr>
        <w:t xml:space="preserve">them to play with different possibilities </w:t>
      </w:r>
      <w:r w:rsidR="003B1D1E" w:rsidRPr="00E8281A">
        <w:rPr>
          <w:color w:val="000000" w:themeColor="text1"/>
          <w:szCs w:val="20"/>
          <w:lang w:eastAsia="zh-HK"/>
        </w:rPr>
        <w:t>during which</w:t>
      </w:r>
      <w:r w:rsidR="00BD011C" w:rsidRPr="00E8281A">
        <w:rPr>
          <w:color w:val="000000" w:themeColor="text1"/>
          <w:szCs w:val="20"/>
          <w:lang w:eastAsia="zh-HK"/>
        </w:rPr>
        <w:t xml:space="preserve"> </w:t>
      </w:r>
      <w:r w:rsidR="001977B1" w:rsidRPr="00E8281A">
        <w:rPr>
          <w:color w:val="000000" w:themeColor="text1"/>
          <w:szCs w:val="20"/>
          <w:lang w:eastAsia="zh-HK"/>
        </w:rPr>
        <w:t xml:space="preserve">new ideas emerged effortlessly. Keisari and colleagues (2020) reported that adults who participated in a creative group intervention of dramatic playback theatre </w:t>
      </w:r>
      <w:r w:rsidR="003B1D1E" w:rsidRPr="00E8281A">
        <w:rPr>
          <w:color w:val="000000" w:themeColor="text1"/>
          <w:szCs w:val="20"/>
          <w:lang w:eastAsia="zh-HK"/>
        </w:rPr>
        <w:t>experienced</w:t>
      </w:r>
      <w:r w:rsidR="001977B1" w:rsidRPr="00E8281A">
        <w:rPr>
          <w:color w:val="000000" w:themeColor="text1"/>
          <w:szCs w:val="20"/>
          <w:lang w:eastAsia="zh-HK"/>
        </w:rPr>
        <w:t xml:space="preserve"> </w:t>
      </w:r>
      <w:r w:rsidR="00D255AA" w:rsidRPr="00E8281A">
        <w:rPr>
          <w:color w:val="000000" w:themeColor="text1"/>
          <w:szCs w:val="20"/>
          <w:lang w:eastAsia="zh-HK"/>
        </w:rPr>
        <w:t>particular</w:t>
      </w:r>
      <w:r w:rsidR="001977B1" w:rsidRPr="00E8281A">
        <w:rPr>
          <w:color w:val="000000" w:themeColor="text1"/>
          <w:szCs w:val="20"/>
          <w:lang w:eastAsia="zh-HK"/>
        </w:rPr>
        <w:t xml:space="preserve"> evolution in their playfulness. </w:t>
      </w:r>
      <w:r w:rsidR="00D255AA" w:rsidRPr="00E65B5A">
        <w:rPr>
          <w:color w:val="00B0F0"/>
          <w:szCs w:val="20"/>
          <w:lang w:eastAsia="zh-HK"/>
        </w:rPr>
        <w:t xml:space="preserve">Similarly, </w:t>
      </w:r>
      <w:r w:rsidR="003B1D1E" w:rsidRPr="00E65B5A">
        <w:rPr>
          <w:color w:val="00B0F0"/>
          <w:szCs w:val="20"/>
          <w:lang w:eastAsia="zh-HK"/>
        </w:rPr>
        <w:t xml:space="preserve">Bundy and colleagues (2008) reported that </w:t>
      </w:r>
      <w:r w:rsidR="00FA5445" w:rsidRPr="00E65B5A">
        <w:rPr>
          <w:color w:val="00B0F0"/>
          <w:szCs w:val="20"/>
          <w:lang w:eastAsia="zh-HK"/>
        </w:rPr>
        <w:t xml:space="preserve">creative children </w:t>
      </w:r>
      <w:r w:rsidR="003C2569">
        <w:rPr>
          <w:color w:val="00B0F0"/>
          <w:szCs w:val="20"/>
          <w:lang w:eastAsia="zh-HK"/>
        </w:rPr>
        <w:t>showed</w:t>
      </w:r>
      <w:r w:rsidR="00E65B5A" w:rsidRPr="00E65B5A">
        <w:rPr>
          <w:color w:val="00B0F0"/>
          <w:szCs w:val="20"/>
          <w:lang w:eastAsia="zh-HK"/>
        </w:rPr>
        <w:t xml:space="preserve"> </w:t>
      </w:r>
      <w:r w:rsidR="00E65B5A" w:rsidRPr="00E65B5A">
        <w:rPr>
          <w:color w:val="00B0F0"/>
          <w:szCs w:val="20"/>
          <w:lang w:eastAsia="zh-HK"/>
        </w:rPr>
        <w:t>higher levels of leadership and engagement in playful activities</w:t>
      </w:r>
      <w:r w:rsidR="00E65B5A">
        <w:rPr>
          <w:color w:val="00B0F0"/>
          <w:szCs w:val="20"/>
          <w:lang w:eastAsia="zh-HK"/>
        </w:rPr>
        <w:t xml:space="preserve"> than </w:t>
      </w:r>
      <w:r w:rsidR="00E65B5A">
        <w:rPr>
          <w:color w:val="00B0F0"/>
          <w:szCs w:val="20"/>
          <w:lang w:eastAsia="zh-HK"/>
        </w:rPr>
        <w:lastRenderedPageBreak/>
        <w:t xml:space="preserve">their </w:t>
      </w:r>
      <w:r w:rsidR="00E65B5A" w:rsidRPr="00B0034E">
        <w:rPr>
          <w:color w:val="00B0F0"/>
          <w:szCs w:val="20"/>
          <w:lang w:eastAsia="zh-HK"/>
        </w:rPr>
        <w:t>peers</w:t>
      </w:r>
      <w:r w:rsidR="00FA5445" w:rsidRPr="00B0034E">
        <w:rPr>
          <w:color w:val="00B0F0"/>
          <w:szCs w:val="20"/>
          <w:lang w:eastAsia="zh-HK"/>
        </w:rPr>
        <w:t xml:space="preserve">. </w:t>
      </w:r>
      <w:bookmarkStart w:id="18" w:name="_Hlk141083211"/>
      <w:r w:rsidR="005C5128" w:rsidRPr="00237488">
        <w:rPr>
          <w:color w:val="00B0F0"/>
          <w:szCs w:val="20"/>
          <w:lang w:eastAsia="zh-HK"/>
        </w:rPr>
        <w:t>The</w:t>
      </w:r>
      <w:r w:rsidR="00FA5445" w:rsidRPr="00237488">
        <w:rPr>
          <w:color w:val="00B0F0"/>
          <w:szCs w:val="20"/>
          <w:lang w:eastAsia="zh-HK"/>
        </w:rPr>
        <w:t xml:space="preserve"> narratives and evidence </w:t>
      </w:r>
      <w:r w:rsidR="00237488" w:rsidRPr="00237488">
        <w:rPr>
          <w:color w:val="00B0F0"/>
          <w:szCs w:val="20"/>
          <w:lang w:eastAsia="zh-HK"/>
        </w:rPr>
        <w:t xml:space="preserve">(Bateson, 2015; Bundy et al., 2008; Keisari et al., 2020) </w:t>
      </w:r>
      <w:r w:rsidR="002F32D7">
        <w:rPr>
          <w:color w:val="00B0F0"/>
          <w:szCs w:val="20"/>
          <w:lang w:eastAsia="zh-HK"/>
        </w:rPr>
        <w:t xml:space="preserve">support the argument </w:t>
      </w:r>
      <w:r w:rsidR="00FA5445" w:rsidRPr="00237488">
        <w:rPr>
          <w:color w:val="00B0F0"/>
          <w:szCs w:val="20"/>
          <w:lang w:eastAsia="zh-HK"/>
        </w:rPr>
        <w:t>that</w:t>
      </w:r>
      <w:r w:rsidR="00FA5445" w:rsidRPr="00237488">
        <w:rPr>
          <w:color w:val="00B0F0"/>
          <w:szCs w:val="20"/>
          <w:lang w:eastAsia="zh-HK"/>
        </w:rPr>
        <w:t xml:space="preserve"> </w:t>
      </w:r>
      <w:r w:rsidR="00237488" w:rsidRPr="00237488">
        <w:rPr>
          <w:color w:val="00B0F0"/>
          <w:szCs w:val="20"/>
          <w:lang w:eastAsia="zh-HK"/>
        </w:rPr>
        <w:t xml:space="preserve">children’s playfulness and </w:t>
      </w:r>
      <w:r w:rsidR="00FA5445" w:rsidRPr="00237488">
        <w:rPr>
          <w:color w:val="00B0F0"/>
          <w:szCs w:val="20"/>
          <w:lang w:eastAsia="zh-HK"/>
        </w:rPr>
        <w:t>creative potential</w:t>
      </w:r>
      <w:r w:rsidR="005C5128" w:rsidRPr="00237488">
        <w:rPr>
          <w:color w:val="00B0F0"/>
          <w:szCs w:val="20"/>
          <w:lang w:eastAsia="zh-HK"/>
        </w:rPr>
        <w:t xml:space="preserve"> may </w:t>
      </w:r>
      <w:r w:rsidR="003C2569">
        <w:rPr>
          <w:color w:val="00B0F0"/>
          <w:szCs w:val="20"/>
          <w:lang w:eastAsia="zh-HK"/>
        </w:rPr>
        <w:t>co</w:t>
      </w:r>
      <w:r w:rsidR="00B0034E">
        <w:rPr>
          <w:color w:val="00B0F0"/>
          <w:szCs w:val="20"/>
          <w:lang w:eastAsia="zh-HK"/>
        </w:rPr>
        <w:t>-</w:t>
      </w:r>
      <w:r w:rsidR="003C2569">
        <w:rPr>
          <w:color w:val="00B0F0"/>
          <w:szCs w:val="20"/>
          <w:lang w:eastAsia="zh-HK"/>
        </w:rPr>
        <w:t>develop</w:t>
      </w:r>
      <w:r w:rsidR="005C5128" w:rsidRPr="00237488">
        <w:rPr>
          <w:color w:val="00B0F0"/>
          <w:szCs w:val="20"/>
          <w:lang w:eastAsia="zh-HK"/>
        </w:rPr>
        <w:t xml:space="preserve"> </w:t>
      </w:r>
      <w:r w:rsidR="005C5128" w:rsidRPr="00237488">
        <w:rPr>
          <w:color w:val="00B0F0"/>
          <w:szCs w:val="20"/>
          <w:lang w:eastAsia="zh-HK"/>
        </w:rPr>
        <w:t>over time</w:t>
      </w:r>
      <w:r w:rsidR="003C2569">
        <w:rPr>
          <w:color w:val="00B0F0"/>
          <w:szCs w:val="20"/>
          <w:lang w:eastAsia="zh-HK"/>
        </w:rPr>
        <w:t xml:space="preserve"> instead of </w:t>
      </w:r>
      <w:r w:rsidR="002F32D7">
        <w:rPr>
          <w:color w:val="00B0F0"/>
          <w:szCs w:val="20"/>
          <w:lang w:eastAsia="zh-HK"/>
        </w:rPr>
        <w:t xml:space="preserve">having </w:t>
      </w:r>
      <w:r w:rsidR="003C2569">
        <w:rPr>
          <w:color w:val="00B0F0"/>
          <w:szCs w:val="20"/>
          <w:lang w:eastAsia="zh-HK"/>
        </w:rPr>
        <w:t>a unidirectional relationship</w:t>
      </w:r>
      <w:bookmarkEnd w:id="18"/>
      <w:r w:rsidR="005C5128" w:rsidRPr="00237488">
        <w:rPr>
          <w:color w:val="00B0F0"/>
          <w:szCs w:val="20"/>
          <w:lang w:eastAsia="zh-HK"/>
        </w:rPr>
        <w:t>.</w:t>
      </w:r>
      <w:r w:rsidR="005C5128" w:rsidRPr="00E8281A">
        <w:rPr>
          <w:color w:val="000000" w:themeColor="text1"/>
          <w:szCs w:val="20"/>
          <w:lang w:eastAsia="zh-HK"/>
        </w:rPr>
        <w:t xml:space="preserve"> </w:t>
      </w:r>
    </w:p>
    <w:p w14:paraId="1FC8B302" w14:textId="3E660FD7" w:rsidR="00EE60A2" w:rsidRPr="00E8281A" w:rsidRDefault="00955463" w:rsidP="00AD1C4D">
      <w:pPr>
        <w:spacing w:line="480" w:lineRule="auto"/>
        <w:ind w:firstLine="480"/>
        <w:rPr>
          <w:color w:val="000000" w:themeColor="text1"/>
          <w:szCs w:val="20"/>
          <w:lang w:eastAsia="zh-HK"/>
        </w:rPr>
      </w:pPr>
      <w:bookmarkStart w:id="19" w:name="_Hlk136606446"/>
      <w:bookmarkStart w:id="20" w:name="_Hlk141083433"/>
      <w:r w:rsidRPr="00955463">
        <w:rPr>
          <w:color w:val="00B0F0"/>
          <w:szCs w:val="20"/>
          <w:lang w:eastAsia="zh-HK"/>
        </w:rPr>
        <w:t>On</w:t>
      </w:r>
      <w:r w:rsidR="00FB7D44">
        <w:rPr>
          <w:color w:val="00B0F0"/>
          <w:szCs w:val="20"/>
          <w:lang w:eastAsia="zh-HK"/>
        </w:rPr>
        <w:t xml:space="preserve"> the</w:t>
      </w:r>
      <w:r w:rsidRPr="00955463">
        <w:rPr>
          <w:color w:val="00B0F0"/>
          <w:szCs w:val="20"/>
          <w:lang w:eastAsia="zh-HK"/>
        </w:rPr>
        <w:t xml:space="preserve"> one hand,</w:t>
      </w:r>
      <w:r w:rsidR="00007FE4" w:rsidRPr="00955463">
        <w:rPr>
          <w:color w:val="00B0F0"/>
          <w:szCs w:val="20"/>
          <w:lang w:eastAsia="zh-HK"/>
        </w:rPr>
        <w:t xml:space="preserve"> </w:t>
      </w:r>
      <w:r w:rsidR="00EF1641" w:rsidRPr="00955463">
        <w:rPr>
          <w:color w:val="00B0F0"/>
          <w:szCs w:val="20"/>
          <w:lang w:eastAsia="zh-HK"/>
        </w:rPr>
        <w:t xml:space="preserve">playful children </w:t>
      </w:r>
      <w:r w:rsidR="00115553" w:rsidRPr="00955463">
        <w:rPr>
          <w:color w:val="00B0F0"/>
          <w:szCs w:val="20"/>
          <w:lang w:eastAsia="zh-HK"/>
        </w:rPr>
        <w:t>tend more</w:t>
      </w:r>
      <w:r w:rsidR="00EF1641" w:rsidRPr="00955463">
        <w:rPr>
          <w:color w:val="00B0F0"/>
          <w:szCs w:val="20"/>
          <w:lang w:eastAsia="zh-HK"/>
        </w:rPr>
        <w:t xml:space="preserve"> to engage in kindergarten group pretense </w:t>
      </w:r>
      <w:r w:rsidRPr="00955463">
        <w:rPr>
          <w:color w:val="00B0F0"/>
          <w:szCs w:val="20"/>
          <w:lang w:eastAsia="zh-HK"/>
        </w:rPr>
        <w:t xml:space="preserve">to exercise their </w:t>
      </w:r>
      <w:r w:rsidR="005458EC">
        <w:rPr>
          <w:color w:val="00B0F0"/>
          <w:szCs w:val="20"/>
          <w:lang w:eastAsia="zh-HK"/>
        </w:rPr>
        <w:t>social</w:t>
      </w:r>
      <w:r w:rsidRPr="00955463">
        <w:rPr>
          <w:color w:val="00B0F0"/>
          <w:szCs w:val="20"/>
          <w:lang w:eastAsia="zh-HK"/>
        </w:rPr>
        <w:t xml:space="preserve"> and </w:t>
      </w:r>
      <w:r w:rsidR="005458EC">
        <w:rPr>
          <w:color w:val="00B0F0"/>
          <w:szCs w:val="20"/>
          <w:lang w:eastAsia="zh-HK"/>
        </w:rPr>
        <w:t>cognitive</w:t>
      </w:r>
      <w:r w:rsidRPr="00955463">
        <w:rPr>
          <w:color w:val="00B0F0"/>
          <w:szCs w:val="20"/>
          <w:lang w:eastAsia="zh-HK"/>
        </w:rPr>
        <w:t xml:space="preserve"> spontaneity </w:t>
      </w:r>
      <w:r w:rsidR="00EF1641" w:rsidRPr="00955463">
        <w:rPr>
          <w:color w:val="00B0F0"/>
          <w:szCs w:val="20"/>
          <w:lang w:eastAsia="zh-HK"/>
        </w:rPr>
        <w:t xml:space="preserve">and develop </w:t>
      </w:r>
      <w:r w:rsidR="00281157" w:rsidRPr="00955463">
        <w:rPr>
          <w:color w:val="00B0F0"/>
          <w:szCs w:val="20"/>
          <w:lang w:eastAsia="zh-HK"/>
        </w:rPr>
        <w:t>their</w:t>
      </w:r>
      <w:r w:rsidR="00EF1641" w:rsidRPr="00955463">
        <w:rPr>
          <w:color w:val="00B0F0"/>
          <w:szCs w:val="20"/>
          <w:lang w:eastAsia="zh-HK"/>
        </w:rPr>
        <w:t xml:space="preserve"> creative potential</w:t>
      </w:r>
      <w:r w:rsidR="00281157" w:rsidRPr="00955463">
        <w:rPr>
          <w:color w:val="00B0F0"/>
          <w:szCs w:val="20"/>
          <w:lang w:eastAsia="zh-HK"/>
        </w:rPr>
        <w:t xml:space="preserve"> (Fung &amp; Chung, 2022a; Russ &amp; Wallace, 2013)</w:t>
      </w:r>
      <w:r w:rsidRPr="00955463">
        <w:rPr>
          <w:color w:val="00B0F0"/>
          <w:szCs w:val="20"/>
          <w:lang w:eastAsia="zh-HK"/>
        </w:rPr>
        <w:t>. On the other hand</w:t>
      </w:r>
      <w:r w:rsidR="00EF1641" w:rsidRPr="00955463">
        <w:rPr>
          <w:color w:val="00B0F0"/>
          <w:szCs w:val="20"/>
          <w:lang w:eastAsia="zh-HK"/>
        </w:rPr>
        <w:t xml:space="preserve">, creative children may see kindergarten group play as </w:t>
      </w:r>
      <w:r w:rsidR="00E35083">
        <w:rPr>
          <w:color w:val="00B0F0"/>
          <w:szCs w:val="20"/>
          <w:lang w:eastAsia="zh-HK"/>
        </w:rPr>
        <w:t>a</w:t>
      </w:r>
      <w:r w:rsidR="00EF1641" w:rsidRPr="00955463">
        <w:rPr>
          <w:color w:val="00B0F0"/>
          <w:szCs w:val="20"/>
          <w:lang w:eastAsia="zh-HK"/>
        </w:rPr>
        <w:t xml:space="preserve"> prominent situation</w:t>
      </w:r>
      <w:r w:rsidR="00007FE4" w:rsidRPr="00955463">
        <w:rPr>
          <w:color w:val="00B0F0"/>
          <w:szCs w:val="20"/>
          <w:lang w:eastAsia="zh-HK"/>
        </w:rPr>
        <w:t xml:space="preserve"> to </w:t>
      </w:r>
      <w:r w:rsidRPr="00955463">
        <w:rPr>
          <w:color w:val="00B0F0"/>
          <w:szCs w:val="20"/>
          <w:lang w:eastAsia="zh-HK"/>
        </w:rPr>
        <w:t>actualize</w:t>
      </w:r>
      <w:r w:rsidR="00007FE4" w:rsidRPr="00955463">
        <w:rPr>
          <w:color w:val="00B0F0"/>
          <w:szCs w:val="20"/>
          <w:lang w:eastAsia="zh-HK"/>
        </w:rPr>
        <w:t xml:space="preserve"> </w:t>
      </w:r>
      <w:r w:rsidR="005458EC">
        <w:rPr>
          <w:color w:val="00B0F0"/>
          <w:szCs w:val="20"/>
          <w:lang w:eastAsia="zh-HK"/>
        </w:rPr>
        <w:t xml:space="preserve">or test </w:t>
      </w:r>
      <w:r w:rsidR="00007FE4" w:rsidRPr="00955463">
        <w:rPr>
          <w:color w:val="00B0F0"/>
          <w:szCs w:val="20"/>
          <w:lang w:eastAsia="zh-HK"/>
        </w:rPr>
        <w:t>their novel ideas</w:t>
      </w:r>
      <w:r w:rsidR="00482FA0" w:rsidRPr="00955463">
        <w:rPr>
          <w:color w:val="00B0F0"/>
          <w:szCs w:val="20"/>
          <w:lang w:eastAsia="zh-HK"/>
        </w:rPr>
        <w:t>, leading to higher levels of playfulness</w:t>
      </w:r>
      <w:bookmarkEnd w:id="20"/>
      <w:r w:rsidR="00482FA0" w:rsidRPr="00955463">
        <w:rPr>
          <w:color w:val="00B0F0"/>
          <w:szCs w:val="20"/>
          <w:lang w:eastAsia="zh-HK"/>
        </w:rPr>
        <w:t xml:space="preserve">. </w:t>
      </w:r>
      <w:r w:rsidR="00CA7B26" w:rsidRPr="00E8281A">
        <w:rPr>
          <w:color w:val="000000" w:themeColor="text1"/>
          <w:szCs w:val="20"/>
          <w:lang w:eastAsia="zh-HK"/>
        </w:rPr>
        <w:t>T</w:t>
      </w:r>
      <w:r w:rsidR="00281157" w:rsidRPr="00E8281A">
        <w:rPr>
          <w:color w:val="000000" w:themeColor="text1"/>
          <w:szCs w:val="20"/>
          <w:lang w:eastAsia="zh-HK"/>
        </w:rPr>
        <w:t xml:space="preserve">his </w:t>
      </w:r>
      <w:r w:rsidR="00A47BC9" w:rsidRPr="00E8281A">
        <w:rPr>
          <w:color w:val="000000" w:themeColor="text1"/>
          <w:szCs w:val="20"/>
          <w:lang w:eastAsia="zh-HK"/>
        </w:rPr>
        <w:t xml:space="preserve">suggestion </w:t>
      </w:r>
      <w:r w:rsidR="00281157" w:rsidRPr="00E8281A">
        <w:rPr>
          <w:color w:val="000000" w:themeColor="text1"/>
          <w:szCs w:val="20"/>
          <w:lang w:eastAsia="zh-HK"/>
        </w:rPr>
        <w:t xml:space="preserve">is </w:t>
      </w:r>
      <w:r w:rsidR="00007FE4" w:rsidRPr="00E8281A">
        <w:rPr>
          <w:color w:val="000000" w:themeColor="text1"/>
          <w:szCs w:val="20"/>
          <w:lang w:eastAsia="zh-HK"/>
        </w:rPr>
        <w:t>analogous to how creative composers and scientists perceive their daily work as a pla</w:t>
      </w:r>
      <w:r w:rsidR="00115553" w:rsidRPr="00E8281A">
        <w:rPr>
          <w:color w:val="000000" w:themeColor="text1"/>
          <w:szCs w:val="20"/>
          <w:lang w:eastAsia="zh-HK"/>
        </w:rPr>
        <w:t>ying</w:t>
      </w:r>
      <w:r w:rsidR="00007FE4" w:rsidRPr="00E8281A">
        <w:rPr>
          <w:color w:val="000000" w:themeColor="text1"/>
          <w:szCs w:val="20"/>
          <w:lang w:eastAsia="zh-HK"/>
        </w:rPr>
        <w:t xml:space="preserve"> field to explore possibilities</w:t>
      </w:r>
      <w:r w:rsidR="00281157" w:rsidRPr="00E8281A">
        <w:rPr>
          <w:color w:val="000000" w:themeColor="text1"/>
          <w:szCs w:val="20"/>
          <w:lang w:eastAsia="zh-HK"/>
        </w:rPr>
        <w:t xml:space="preserve">, </w:t>
      </w:r>
      <w:r w:rsidR="00007FE4" w:rsidRPr="00E8281A">
        <w:rPr>
          <w:color w:val="000000" w:themeColor="text1"/>
          <w:szCs w:val="20"/>
          <w:lang w:eastAsia="zh-HK"/>
        </w:rPr>
        <w:t>extend boundaries</w:t>
      </w:r>
      <w:r w:rsidR="00281157" w:rsidRPr="00E8281A">
        <w:rPr>
          <w:color w:val="000000" w:themeColor="text1"/>
          <w:szCs w:val="20"/>
          <w:lang w:eastAsia="zh-HK"/>
        </w:rPr>
        <w:t>, and have fun</w:t>
      </w:r>
      <w:r w:rsidR="00007FE4" w:rsidRPr="00E8281A">
        <w:rPr>
          <w:color w:val="000000" w:themeColor="text1"/>
          <w:szCs w:val="20"/>
          <w:lang w:eastAsia="zh-HK"/>
        </w:rPr>
        <w:t xml:space="preserve"> (Batson, 2015)</w:t>
      </w:r>
      <w:r w:rsidR="00CA7B26" w:rsidRPr="00E8281A">
        <w:rPr>
          <w:color w:val="000000" w:themeColor="text1"/>
          <w:szCs w:val="20"/>
          <w:lang w:eastAsia="zh-HK"/>
        </w:rPr>
        <w:t xml:space="preserve">, resulting in higher engagement in composition </w:t>
      </w:r>
      <w:r w:rsidR="00827947" w:rsidRPr="00E8281A">
        <w:rPr>
          <w:color w:val="000000" w:themeColor="text1"/>
          <w:szCs w:val="20"/>
          <w:lang w:eastAsia="zh-HK"/>
        </w:rPr>
        <w:t>or</w:t>
      </w:r>
      <w:r w:rsidR="00CA7B26" w:rsidRPr="00E8281A">
        <w:rPr>
          <w:color w:val="000000" w:themeColor="text1"/>
          <w:szCs w:val="20"/>
          <w:lang w:eastAsia="zh-HK"/>
        </w:rPr>
        <w:t xml:space="preserve"> experiment</w:t>
      </w:r>
      <w:r w:rsidR="00003290">
        <w:rPr>
          <w:color w:val="000000" w:themeColor="text1"/>
          <w:szCs w:val="20"/>
          <w:lang w:eastAsia="zh-HK"/>
        </w:rPr>
        <w:t>ation</w:t>
      </w:r>
      <w:r w:rsidR="00007FE4" w:rsidRPr="00E8281A">
        <w:rPr>
          <w:color w:val="000000" w:themeColor="text1"/>
          <w:szCs w:val="20"/>
          <w:lang w:eastAsia="zh-HK"/>
        </w:rPr>
        <w:t>.</w:t>
      </w:r>
      <w:r w:rsidR="00EF1641" w:rsidRPr="00E8281A">
        <w:rPr>
          <w:color w:val="000000" w:themeColor="text1"/>
          <w:szCs w:val="20"/>
          <w:lang w:eastAsia="zh-HK"/>
        </w:rPr>
        <w:t xml:space="preserve"> </w:t>
      </w:r>
      <w:r w:rsidR="00827947" w:rsidRPr="00E8281A">
        <w:rPr>
          <w:color w:val="000000" w:themeColor="text1"/>
          <w:szCs w:val="20"/>
          <w:lang w:eastAsia="zh-HK"/>
        </w:rPr>
        <w:t>Successful engagement in group play activities is one of the prim</w:t>
      </w:r>
      <w:r w:rsidR="00E82DE8">
        <w:rPr>
          <w:color w:val="000000" w:themeColor="text1"/>
          <w:szCs w:val="20"/>
          <w:lang w:eastAsia="zh-HK"/>
        </w:rPr>
        <w:t>ary</w:t>
      </w:r>
      <w:r w:rsidR="00827947" w:rsidRPr="00E8281A">
        <w:rPr>
          <w:color w:val="000000" w:themeColor="text1"/>
          <w:szCs w:val="20"/>
          <w:lang w:eastAsia="zh-HK"/>
        </w:rPr>
        <w:t xml:space="preserve"> social goals </w:t>
      </w:r>
      <w:r w:rsidR="00E82DE8">
        <w:rPr>
          <w:color w:val="000000" w:themeColor="text1"/>
          <w:szCs w:val="20"/>
          <w:lang w:eastAsia="zh-HK"/>
        </w:rPr>
        <w:t>for</w:t>
      </w:r>
      <w:r w:rsidR="00827947" w:rsidRPr="00E8281A">
        <w:rPr>
          <w:color w:val="000000" w:themeColor="text1"/>
          <w:szCs w:val="20"/>
          <w:lang w:eastAsia="zh-HK"/>
        </w:rPr>
        <w:t xml:space="preserve"> kindergarten children (Beaty, 2014)</w:t>
      </w:r>
      <w:r w:rsidR="00247BAB" w:rsidRPr="00E8281A">
        <w:rPr>
          <w:color w:val="000000" w:themeColor="text1"/>
          <w:szCs w:val="20"/>
          <w:lang w:eastAsia="zh-HK"/>
        </w:rPr>
        <w:t xml:space="preserve">; </w:t>
      </w:r>
      <w:r w:rsidR="00827947" w:rsidRPr="00E8281A">
        <w:rPr>
          <w:color w:val="000000" w:themeColor="text1"/>
          <w:szCs w:val="20"/>
          <w:lang w:eastAsia="zh-HK"/>
        </w:rPr>
        <w:t xml:space="preserve">creativity and playfulness may be the factors </w:t>
      </w:r>
      <w:r w:rsidR="00827947" w:rsidRPr="00E8281A">
        <w:rPr>
          <w:color w:val="000000" w:themeColor="text1"/>
          <w:szCs w:val="20"/>
          <w:lang w:eastAsia="zh-HK"/>
        </w:rPr>
        <w:t xml:space="preserve">supporting </w:t>
      </w:r>
      <w:r w:rsidR="00827947" w:rsidRPr="00E8281A">
        <w:rPr>
          <w:color w:val="000000" w:themeColor="text1"/>
          <w:szCs w:val="20"/>
          <w:lang w:eastAsia="zh-HK"/>
        </w:rPr>
        <w:t xml:space="preserve">their participation in and, at the same time, </w:t>
      </w:r>
      <w:r w:rsidR="00827947" w:rsidRPr="00E8281A">
        <w:rPr>
          <w:color w:val="000000" w:themeColor="text1"/>
          <w:szCs w:val="20"/>
          <w:lang w:eastAsia="zh-HK"/>
        </w:rPr>
        <w:t xml:space="preserve">benefiting </w:t>
      </w:r>
      <w:r w:rsidR="00827947" w:rsidRPr="00E8281A">
        <w:rPr>
          <w:color w:val="000000" w:themeColor="text1"/>
          <w:szCs w:val="20"/>
          <w:lang w:eastAsia="zh-HK"/>
        </w:rPr>
        <w:t xml:space="preserve">from the group play processes. </w:t>
      </w:r>
      <w:bookmarkEnd w:id="19"/>
      <w:r w:rsidR="005C5128" w:rsidRPr="00E8281A">
        <w:rPr>
          <w:color w:val="000000" w:themeColor="text1"/>
          <w:szCs w:val="20"/>
          <w:lang w:eastAsia="zh-HK"/>
        </w:rPr>
        <w:t>Despite the sound theoretical and empirical basis</w:t>
      </w:r>
      <w:r w:rsidR="00184148" w:rsidRPr="00E8281A">
        <w:rPr>
          <w:color w:val="000000" w:themeColor="text1"/>
          <w:szCs w:val="20"/>
          <w:lang w:eastAsia="zh-HK"/>
        </w:rPr>
        <w:t xml:space="preserve"> (e.g., Bateson, 2015; Bateson &amp; Nettle; Bundy et al., 2008; Fung &amp; Chung, 2022a)</w:t>
      </w:r>
      <w:r w:rsidR="005C5128" w:rsidRPr="00E8281A">
        <w:rPr>
          <w:color w:val="000000" w:themeColor="text1"/>
          <w:szCs w:val="20"/>
          <w:lang w:eastAsia="zh-HK"/>
        </w:rPr>
        <w:t xml:space="preserve">, research </w:t>
      </w:r>
      <w:r w:rsidR="003B6601" w:rsidRPr="00E8281A">
        <w:rPr>
          <w:color w:val="000000" w:themeColor="text1"/>
          <w:szCs w:val="20"/>
          <w:lang w:eastAsia="zh-HK"/>
        </w:rPr>
        <w:t>examining</w:t>
      </w:r>
      <w:r w:rsidR="005C5128" w:rsidRPr="00E8281A">
        <w:rPr>
          <w:color w:val="000000" w:themeColor="text1"/>
          <w:szCs w:val="20"/>
          <w:lang w:eastAsia="zh-HK"/>
        </w:rPr>
        <w:t xml:space="preserve"> the bidirectional </w:t>
      </w:r>
      <w:r w:rsidR="00DE1E03" w:rsidRPr="00E8281A">
        <w:rPr>
          <w:color w:val="000000" w:themeColor="text1"/>
          <w:szCs w:val="20"/>
          <w:lang w:eastAsia="zh-HK"/>
        </w:rPr>
        <w:t xml:space="preserve">relationship </w:t>
      </w:r>
      <w:r w:rsidR="00DB288D" w:rsidRPr="00E8281A">
        <w:rPr>
          <w:color w:val="000000" w:themeColor="text1"/>
          <w:szCs w:val="20"/>
          <w:lang w:eastAsia="zh-HK"/>
        </w:rPr>
        <w:t>between</w:t>
      </w:r>
      <w:r w:rsidR="005C5128" w:rsidRPr="00E8281A">
        <w:rPr>
          <w:color w:val="000000" w:themeColor="text1"/>
          <w:szCs w:val="20"/>
          <w:lang w:eastAsia="zh-HK"/>
        </w:rPr>
        <w:t xml:space="preserve"> playfulness and creative potential among kindergarten children</w:t>
      </w:r>
      <w:r w:rsidR="00DE1E03" w:rsidRPr="00E8281A">
        <w:rPr>
          <w:color w:val="000000" w:themeColor="text1"/>
          <w:szCs w:val="20"/>
          <w:lang w:eastAsia="zh-HK"/>
        </w:rPr>
        <w:t xml:space="preserve"> </w:t>
      </w:r>
      <w:r w:rsidR="00CA2814">
        <w:rPr>
          <w:color w:val="000000" w:themeColor="text1"/>
          <w:szCs w:val="20"/>
          <w:lang w:eastAsia="zh-HK"/>
        </w:rPr>
        <w:t>i</w:t>
      </w:r>
      <w:r w:rsidR="00DE1E03" w:rsidRPr="00E8281A">
        <w:rPr>
          <w:color w:val="000000" w:themeColor="text1"/>
          <w:szCs w:val="20"/>
          <w:lang w:eastAsia="zh-HK"/>
        </w:rPr>
        <w:t>s sparse</w:t>
      </w:r>
      <w:r w:rsidR="005C5128" w:rsidRPr="00E8281A">
        <w:rPr>
          <w:color w:val="000000" w:themeColor="text1"/>
          <w:szCs w:val="20"/>
          <w:lang w:eastAsia="zh-HK"/>
        </w:rPr>
        <w:t>. The present study aimed to fill this gap by investigating their reciprocal relationship using a cross-lagged panel model.</w:t>
      </w:r>
    </w:p>
    <w:p w14:paraId="48074E30" w14:textId="7D1F88C9" w:rsidR="0046098E" w:rsidRPr="00E8281A" w:rsidRDefault="00A11DED" w:rsidP="00F063F9">
      <w:pPr>
        <w:spacing w:line="480" w:lineRule="auto"/>
        <w:rPr>
          <w:b/>
          <w:bCs/>
          <w:color w:val="000000" w:themeColor="text1"/>
          <w:lang w:eastAsia="zh-HK"/>
        </w:rPr>
      </w:pPr>
      <w:r w:rsidRPr="00E8281A">
        <w:rPr>
          <w:b/>
          <w:bCs/>
          <w:color w:val="000000" w:themeColor="text1"/>
          <w:lang w:eastAsia="zh-HK"/>
        </w:rPr>
        <w:t xml:space="preserve">The </w:t>
      </w:r>
      <w:r w:rsidR="00702947" w:rsidRPr="00E8281A">
        <w:rPr>
          <w:b/>
          <w:bCs/>
          <w:color w:val="000000" w:themeColor="text1"/>
          <w:lang w:eastAsia="zh-HK"/>
        </w:rPr>
        <w:t>P</w:t>
      </w:r>
      <w:r w:rsidRPr="00E8281A">
        <w:rPr>
          <w:b/>
          <w:bCs/>
          <w:color w:val="000000" w:themeColor="text1"/>
          <w:lang w:eastAsia="zh-HK"/>
        </w:rPr>
        <w:t xml:space="preserve">resent </w:t>
      </w:r>
      <w:r w:rsidR="00702947" w:rsidRPr="00E8281A">
        <w:rPr>
          <w:b/>
          <w:bCs/>
          <w:color w:val="000000" w:themeColor="text1"/>
          <w:lang w:eastAsia="zh-HK"/>
        </w:rPr>
        <w:t>S</w:t>
      </w:r>
      <w:r w:rsidRPr="00E8281A">
        <w:rPr>
          <w:b/>
          <w:bCs/>
          <w:color w:val="000000" w:themeColor="text1"/>
          <w:lang w:eastAsia="zh-HK"/>
        </w:rPr>
        <w:t>tudy</w:t>
      </w:r>
    </w:p>
    <w:p w14:paraId="5B4F70A3" w14:textId="42052131" w:rsidR="0069364B" w:rsidRPr="00E8281A" w:rsidRDefault="00577390" w:rsidP="00DE1E03">
      <w:pPr>
        <w:spacing w:line="480" w:lineRule="auto"/>
        <w:ind w:firstLine="480"/>
        <w:rPr>
          <w:b/>
          <w:bCs/>
          <w:color w:val="000000" w:themeColor="text1"/>
          <w:lang w:eastAsia="zh-HK"/>
        </w:rPr>
      </w:pPr>
      <w:r w:rsidRPr="00E8281A">
        <w:rPr>
          <w:color w:val="000000" w:themeColor="text1"/>
        </w:rPr>
        <w:t>This</w:t>
      </w:r>
      <w:r w:rsidR="00436368" w:rsidRPr="00E8281A">
        <w:rPr>
          <w:color w:val="000000" w:themeColor="text1"/>
        </w:rPr>
        <w:t xml:space="preserve"> study </w:t>
      </w:r>
      <w:r w:rsidR="00B70D92" w:rsidRPr="00E8281A">
        <w:rPr>
          <w:color w:val="000000" w:themeColor="text1"/>
        </w:rPr>
        <w:t>investigated</w:t>
      </w:r>
      <w:r w:rsidR="00436368" w:rsidRPr="00E8281A">
        <w:rPr>
          <w:color w:val="000000" w:themeColor="text1"/>
        </w:rPr>
        <w:t xml:space="preserve"> </w:t>
      </w:r>
      <w:r w:rsidR="00B3252C" w:rsidRPr="00E8281A">
        <w:rPr>
          <w:color w:val="000000" w:themeColor="text1"/>
        </w:rPr>
        <w:t xml:space="preserve">the </w:t>
      </w:r>
      <w:r w:rsidR="00184148" w:rsidRPr="00E8281A">
        <w:rPr>
          <w:color w:val="000000" w:themeColor="text1"/>
        </w:rPr>
        <w:t xml:space="preserve">longitudinal relationships </w:t>
      </w:r>
      <w:r w:rsidR="004900E8" w:rsidRPr="00E8281A">
        <w:rPr>
          <w:color w:val="000000" w:themeColor="text1"/>
        </w:rPr>
        <w:t>between</w:t>
      </w:r>
      <w:r w:rsidR="00850A86" w:rsidRPr="00E8281A">
        <w:rPr>
          <w:color w:val="000000" w:themeColor="text1"/>
        </w:rPr>
        <w:t xml:space="preserve"> </w:t>
      </w:r>
      <w:r w:rsidR="00184148" w:rsidRPr="00E8281A">
        <w:rPr>
          <w:color w:val="000000" w:themeColor="text1"/>
        </w:rPr>
        <w:t xml:space="preserve">parent-reported </w:t>
      </w:r>
      <w:r w:rsidR="00B3252C" w:rsidRPr="00E8281A">
        <w:rPr>
          <w:color w:val="000000" w:themeColor="text1"/>
        </w:rPr>
        <w:t>overexcitabilit</w:t>
      </w:r>
      <w:r w:rsidR="005452E8" w:rsidRPr="00E8281A">
        <w:rPr>
          <w:color w:val="000000" w:themeColor="text1"/>
        </w:rPr>
        <w:t xml:space="preserve">ies </w:t>
      </w:r>
      <w:r w:rsidR="00184148" w:rsidRPr="00E8281A">
        <w:rPr>
          <w:color w:val="000000" w:themeColor="text1"/>
        </w:rPr>
        <w:t>and teacher-reported playfulness</w:t>
      </w:r>
      <w:r w:rsidR="00236E6B" w:rsidRPr="00E8281A">
        <w:rPr>
          <w:color w:val="000000" w:themeColor="text1"/>
        </w:rPr>
        <w:t xml:space="preserve"> and creative potential</w:t>
      </w:r>
      <w:r w:rsidR="001F04A0">
        <w:rPr>
          <w:color w:val="000000" w:themeColor="text1"/>
        </w:rPr>
        <w:t xml:space="preserve"> among</w:t>
      </w:r>
      <w:r w:rsidR="00184148" w:rsidRPr="00E8281A">
        <w:rPr>
          <w:color w:val="000000" w:themeColor="text1"/>
        </w:rPr>
        <w:t xml:space="preserve"> kindergarten children</w:t>
      </w:r>
      <w:r w:rsidR="001D5619" w:rsidRPr="00E8281A">
        <w:rPr>
          <w:color w:val="000000" w:themeColor="text1"/>
        </w:rPr>
        <w:t xml:space="preserve">. </w:t>
      </w:r>
      <w:bookmarkStart w:id="21" w:name="_Hlk141083583"/>
      <w:r w:rsidR="00184148" w:rsidRPr="00B5349B">
        <w:rPr>
          <w:color w:val="00B0F0"/>
        </w:rPr>
        <w:t xml:space="preserve">It also examined </w:t>
      </w:r>
      <w:r w:rsidR="002D7884" w:rsidRPr="00B5349B">
        <w:rPr>
          <w:color w:val="00B0F0"/>
        </w:rPr>
        <w:t>the</w:t>
      </w:r>
      <w:r w:rsidR="00184148" w:rsidRPr="00B5349B">
        <w:rPr>
          <w:color w:val="00B0F0"/>
        </w:rPr>
        <w:t xml:space="preserve"> reciprocal </w:t>
      </w:r>
      <w:r w:rsidR="00DE1E03" w:rsidRPr="00B5349B">
        <w:rPr>
          <w:color w:val="00B0F0"/>
        </w:rPr>
        <w:t xml:space="preserve">association </w:t>
      </w:r>
      <w:r w:rsidR="00FB35E9" w:rsidRPr="00B5349B">
        <w:rPr>
          <w:color w:val="00B0F0"/>
        </w:rPr>
        <w:t>between</w:t>
      </w:r>
      <w:r w:rsidR="00184148" w:rsidRPr="00B5349B">
        <w:rPr>
          <w:color w:val="00B0F0"/>
        </w:rPr>
        <w:t xml:space="preserve"> </w:t>
      </w:r>
      <w:r w:rsidR="00DE1E03" w:rsidRPr="00B5349B">
        <w:rPr>
          <w:color w:val="00B0F0"/>
        </w:rPr>
        <w:t xml:space="preserve">children’s </w:t>
      </w:r>
      <w:r w:rsidR="00184148" w:rsidRPr="00B5349B">
        <w:rPr>
          <w:color w:val="00B0F0"/>
        </w:rPr>
        <w:t>playfulness and creative potential</w:t>
      </w:r>
      <w:r w:rsidR="00B5349B" w:rsidRPr="00B5349B">
        <w:rPr>
          <w:color w:val="00B0F0"/>
        </w:rPr>
        <w:t xml:space="preserve"> across Time 1 (</w:t>
      </w:r>
      <w:r w:rsidR="00E35083">
        <w:rPr>
          <w:color w:val="00B0F0"/>
        </w:rPr>
        <w:t>in</w:t>
      </w:r>
      <w:r w:rsidR="00B5349B" w:rsidRPr="00B5349B">
        <w:rPr>
          <w:color w:val="00B0F0"/>
        </w:rPr>
        <w:t xml:space="preserve"> the middle of the school year) and Time 2 (</w:t>
      </w:r>
      <w:r w:rsidR="00B5349B" w:rsidRPr="00B5349B">
        <w:rPr>
          <w:color w:val="00B0F0"/>
          <w:lang w:eastAsia="zh-HK"/>
        </w:rPr>
        <w:t>six months later, at the end of the school year)</w:t>
      </w:r>
      <w:r w:rsidR="00B5349B" w:rsidRPr="00B5349B">
        <w:rPr>
          <w:color w:val="00B0F0"/>
        </w:rPr>
        <w:t>.</w:t>
      </w:r>
      <w:r w:rsidR="00184148" w:rsidRPr="00B5349B">
        <w:rPr>
          <w:color w:val="00B0F0"/>
        </w:rPr>
        <w:t xml:space="preserve"> </w:t>
      </w:r>
      <w:bookmarkStart w:id="22" w:name="_Hlk136606689"/>
      <w:r w:rsidR="00CB667F" w:rsidRPr="00E8281A">
        <w:rPr>
          <w:color w:val="000000" w:themeColor="text1"/>
        </w:rPr>
        <w:t>B</w:t>
      </w:r>
      <w:r w:rsidR="00C24688" w:rsidRPr="00E8281A">
        <w:rPr>
          <w:color w:val="000000" w:themeColor="text1"/>
        </w:rPr>
        <w:t>ased on the literature</w:t>
      </w:r>
      <w:r w:rsidR="00DE1E03" w:rsidRPr="00E8281A">
        <w:rPr>
          <w:color w:val="000000" w:themeColor="text1"/>
        </w:rPr>
        <w:t xml:space="preserve"> review and studies</w:t>
      </w:r>
      <w:r w:rsidR="00C24688" w:rsidRPr="00E8281A">
        <w:rPr>
          <w:color w:val="000000" w:themeColor="text1"/>
        </w:rPr>
        <w:t xml:space="preserve"> (</w:t>
      </w:r>
      <w:r w:rsidR="00B3252C" w:rsidRPr="00E8281A">
        <w:rPr>
          <w:color w:val="000000" w:themeColor="text1"/>
          <w:szCs w:val="20"/>
          <w:lang w:eastAsia="zh-HK"/>
        </w:rPr>
        <w:t xml:space="preserve">e.g., </w:t>
      </w:r>
      <w:r w:rsidR="00184148" w:rsidRPr="00E8281A">
        <w:rPr>
          <w:color w:val="000000" w:themeColor="text1"/>
          <w:szCs w:val="20"/>
          <w:lang w:eastAsia="zh-HK"/>
        </w:rPr>
        <w:t xml:space="preserve">Bateson, 2015; Bateson &amp; Nettle; Bundy et al., 2008; Fung &amp; Chung, 2022a; Fung et al., 2021; Luria </w:t>
      </w:r>
      <w:r w:rsidR="00184148" w:rsidRPr="00E8281A">
        <w:rPr>
          <w:color w:val="000000" w:themeColor="text1"/>
          <w:szCs w:val="20"/>
          <w:lang w:eastAsia="zh-HK"/>
        </w:rPr>
        <w:lastRenderedPageBreak/>
        <w:t>et al., 2018</w:t>
      </w:r>
      <w:r w:rsidR="00AE0728" w:rsidRPr="00E8281A">
        <w:rPr>
          <w:color w:val="000000" w:themeColor="text1"/>
          <w:lang w:eastAsia="zh-HK"/>
        </w:rPr>
        <w:t xml:space="preserve">), </w:t>
      </w:r>
      <w:r w:rsidR="00696BA4" w:rsidRPr="00696BA4">
        <w:rPr>
          <w:color w:val="00B0F0"/>
          <w:lang w:eastAsia="zh-HK"/>
        </w:rPr>
        <w:t xml:space="preserve">it was hypothesized that </w:t>
      </w:r>
      <w:r w:rsidR="00536FB3" w:rsidRPr="00696BA4">
        <w:rPr>
          <w:color w:val="00B0F0"/>
          <w:lang w:eastAsia="zh-HK"/>
        </w:rPr>
        <w:t xml:space="preserve">children’s </w:t>
      </w:r>
      <w:r w:rsidR="00457EF9" w:rsidRPr="00696BA4">
        <w:rPr>
          <w:color w:val="00B0F0"/>
          <w:lang w:eastAsia="zh-HK"/>
        </w:rPr>
        <w:t xml:space="preserve">imaginational and intellectual </w:t>
      </w:r>
      <w:r w:rsidR="00C461CF" w:rsidRPr="00696BA4">
        <w:rPr>
          <w:color w:val="00B0F0"/>
          <w:lang w:eastAsia="zh-HK"/>
        </w:rPr>
        <w:t xml:space="preserve">overexcitabilities </w:t>
      </w:r>
      <w:r w:rsidR="00184148" w:rsidRPr="00696BA4">
        <w:rPr>
          <w:color w:val="00B0F0"/>
          <w:lang w:eastAsia="zh-HK"/>
        </w:rPr>
        <w:t xml:space="preserve">at Time 1 would </w:t>
      </w:r>
      <w:r w:rsidR="007905BC" w:rsidRPr="00696BA4">
        <w:rPr>
          <w:color w:val="00B0F0"/>
          <w:lang w:eastAsia="zh-HK"/>
        </w:rPr>
        <w:t xml:space="preserve">be </w:t>
      </w:r>
      <w:r w:rsidR="00696BA4" w:rsidRPr="00696BA4">
        <w:rPr>
          <w:color w:val="00B0F0"/>
          <w:lang w:eastAsia="zh-HK"/>
        </w:rPr>
        <w:t xml:space="preserve">indirectly </w:t>
      </w:r>
      <w:r w:rsidR="005458EC">
        <w:rPr>
          <w:color w:val="00B0F0"/>
          <w:lang w:eastAsia="zh-HK"/>
        </w:rPr>
        <w:t>related to</w:t>
      </w:r>
      <w:r w:rsidR="007905BC" w:rsidRPr="00696BA4">
        <w:rPr>
          <w:color w:val="00B0F0"/>
          <w:lang w:eastAsia="zh-HK"/>
        </w:rPr>
        <w:t xml:space="preserve"> </w:t>
      </w:r>
      <w:r w:rsidR="003C2569">
        <w:rPr>
          <w:color w:val="00B0F0"/>
          <w:lang w:eastAsia="zh-HK"/>
        </w:rPr>
        <w:t>the</w:t>
      </w:r>
      <w:r w:rsidR="0072435E">
        <w:rPr>
          <w:color w:val="00B0F0"/>
          <w:lang w:eastAsia="zh-HK"/>
        </w:rPr>
        <w:t>ir</w:t>
      </w:r>
      <w:r w:rsidR="003C2569">
        <w:rPr>
          <w:color w:val="00B0F0"/>
          <w:lang w:eastAsia="zh-HK"/>
        </w:rPr>
        <w:t xml:space="preserve"> </w:t>
      </w:r>
      <w:r w:rsidR="009A4E30" w:rsidRPr="00696BA4">
        <w:rPr>
          <w:color w:val="00B0F0"/>
          <w:lang w:eastAsia="zh-HK"/>
        </w:rPr>
        <w:t>creative potential</w:t>
      </w:r>
      <w:r w:rsidR="00184148" w:rsidRPr="00696BA4">
        <w:rPr>
          <w:color w:val="00B0F0"/>
          <w:lang w:eastAsia="zh-HK"/>
        </w:rPr>
        <w:t xml:space="preserve"> at Time 2</w:t>
      </w:r>
      <w:r w:rsidR="00457EF9" w:rsidRPr="00696BA4">
        <w:rPr>
          <w:color w:val="00B0F0"/>
          <w:lang w:eastAsia="zh-HK"/>
        </w:rPr>
        <w:t xml:space="preserve"> </w:t>
      </w:r>
      <w:r w:rsidR="00696BA4" w:rsidRPr="00696BA4">
        <w:rPr>
          <w:color w:val="00B0F0"/>
          <w:lang w:eastAsia="zh-HK"/>
        </w:rPr>
        <w:t>via</w:t>
      </w:r>
      <w:r w:rsidR="00457EF9" w:rsidRPr="00696BA4">
        <w:rPr>
          <w:color w:val="00B0F0"/>
          <w:lang w:eastAsia="zh-HK"/>
        </w:rPr>
        <w:t xml:space="preserve"> </w:t>
      </w:r>
      <w:r w:rsidR="00B5349B" w:rsidRPr="00696BA4">
        <w:rPr>
          <w:color w:val="00B0F0"/>
          <w:lang w:eastAsia="zh-HK"/>
        </w:rPr>
        <w:t xml:space="preserve">their </w:t>
      </w:r>
      <w:r w:rsidR="00457EF9" w:rsidRPr="00696BA4">
        <w:rPr>
          <w:color w:val="00B0F0"/>
          <w:lang w:eastAsia="zh-HK"/>
        </w:rPr>
        <w:t>social and cognitive spontaneity</w:t>
      </w:r>
      <w:r w:rsidR="00C461CF" w:rsidRPr="00696BA4">
        <w:rPr>
          <w:color w:val="00B0F0"/>
          <w:lang w:eastAsia="zh-HK"/>
        </w:rPr>
        <w:t xml:space="preserve"> (i.e., playfulness)</w:t>
      </w:r>
      <w:r w:rsidR="00457EF9" w:rsidRPr="00696BA4">
        <w:rPr>
          <w:color w:val="00B0F0"/>
          <w:lang w:eastAsia="zh-HK"/>
        </w:rPr>
        <w:t xml:space="preserve"> at Time 1</w:t>
      </w:r>
      <w:bookmarkEnd w:id="21"/>
      <w:r w:rsidR="00536FB3" w:rsidRPr="00E8281A">
        <w:rPr>
          <w:color w:val="000000" w:themeColor="text1"/>
          <w:lang w:eastAsia="zh-HK"/>
        </w:rPr>
        <w:t>.</w:t>
      </w:r>
      <w:bookmarkEnd w:id="22"/>
      <w:r w:rsidR="00536FB3" w:rsidRPr="00E8281A">
        <w:rPr>
          <w:color w:val="000000" w:themeColor="text1"/>
          <w:lang w:eastAsia="zh-HK"/>
        </w:rPr>
        <w:t xml:space="preserve"> </w:t>
      </w:r>
      <w:r w:rsidR="003E14FC" w:rsidRPr="00E8281A">
        <w:rPr>
          <w:color w:val="000000" w:themeColor="text1"/>
          <w:lang w:eastAsia="zh-HK"/>
        </w:rPr>
        <w:t>It was also</w:t>
      </w:r>
      <w:r w:rsidR="00536FB3" w:rsidRPr="00E8281A">
        <w:rPr>
          <w:color w:val="000000" w:themeColor="text1"/>
          <w:lang w:eastAsia="zh-HK"/>
        </w:rPr>
        <w:t xml:space="preserve"> expected that </w:t>
      </w:r>
      <w:r w:rsidR="004D2BBF" w:rsidRPr="00E8281A">
        <w:rPr>
          <w:color w:val="000000" w:themeColor="text1"/>
          <w:lang w:eastAsia="zh-HK"/>
        </w:rPr>
        <w:t xml:space="preserve">teacher-reported </w:t>
      </w:r>
      <w:r w:rsidR="00C461CF" w:rsidRPr="00E8281A">
        <w:rPr>
          <w:color w:val="000000" w:themeColor="text1"/>
          <w:lang w:eastAsia="zh-HK"/>
        </w:rPr>
        <w:t>playfulness</w:t>
      </w:r>
      <w:r w:rsidR="004D2BBF" w:rsidRPr="00E8281A">
        <w:rPr>
          <w:color w:val="000000" w:themeColor="text1"/>
          <w:lang w:eastAsia="zh-HK"/>
        </w:rPr>
        <w:t xml:space="preserve"> and creative potential</w:t>
      </w:r>
      <w:r w:rsidR="00C461CF" w:rsidRPr="00E8281A">
        <w:rPr>
          <w:color w:val="000000" w:themeColor="text1"/>
          <w:lang w:eastAsia="zh-HK"/>
        </w:rPr>
        <w:t xml:space="preserve"> would predict each other across Time</w:t>
      </w:r>
      <w:r w:rsidR="0072435E">
        <w:rPr>
          <w:color w:val="000000" w:themeColor="text1"/>
          <w:lang w:eastAsia="zh-HK"/>
        </w:rPr>
        <w:t>s</w:t>
      </w:r>
      <w:r w:rsidR="00C461CF" w:rsidRPr="00E8281A">
        <w:rPr>
          <w:color w:val="000000" w:themeColor="text1"/>
          <w:lang w:eastAsia="zh-HK"/>
        </w:rPr>
        <w:t xml:space="preserve"> 1 and 2.</w:t>
      </w:r>
    </w:p>
    <w:p w14:paraId="11A1036C" w14:textId="77777777" w:rsidR="000B09E4" w:rsidRPr="00E8281A" w:rsidRDefault="000B09E4" w:rsidP="00D607D4">
      <w:pPr>
        <w:spacing w:line="480" w:lineRule="auto"/>
        <w:jc w:val="center"/>
        <w:rPr>
          <w:b/>
          <w:color w:val="000000" w:themeColor="text1"/>
        </w:rPr>
      </w:pPr>
      <w:r w:rsidRPr="00E8281A">
        <w:rPr>
          <w:b/>
          <w:color w:val="000000" w:themeColor="text1"/>
        </w:rPr>
        <w:t>Method</w:t>
      </w:r>
    </w:p>
    <w:p w14:paraId="690CF06B" w14:textId="769DBCFD" w:rsidR="000B09E4" w:rsidRPr="00E8281A" w:rsidRDefault="000B09E4" w:rsidP="000B09E4">
      <w:pPr>
        <w:spacing w:line="480" w:lineRule="auto"/>
        <w:rPr>
          <w:b/>
          <w:color w:val="000000" w:themeColor="text1"/>
        </w:rPr>
      </w:pPr>
      <w:r w:rsidRPr="00E8281A">
        <w:rPr>
          <w:b/>
          <w:color w:val="000000" w:themeColor="text1"/>
        </w:rPr>
        <w:t>Participants</w:t>
      </w:r>
    </w:p>
    <w:p w14:paraId="30701CD4" w14:textId="67985D19" w:rsidR="000B09E4" w:rsidRPr="00E8281A" w:rsidRDefault="000B09E4" w:rsidP="00111947">
      <w:pPr>
        <w:spacing w:line="480" w:lineRule="auto"/>
        <w:rPr>
          <w:bCs/>
          <w:color w:val="000000" w:themeColor="text1"/>
        </w:rPr>
      </w:pPr>
      <w:r w:rsidRPr="00E8281A">
        <w:rPr>
          <w:b/>
          <w:color w:val="000000" w:themeColor="text1"/>
        </w:rPr>
        <w:tab/>
      </w:r>
      <w:bookmarkStart w:id="23" w:name="_Hlk136606724"/>
      <w:r w:rsidR="00DF0C32" w:rsidRPr="002C2C26">
        <w:rPr>
          <w:bCs/>
          <w:color w:val="000000" w:themeColor="text1"/>
        </w:rPr>
        <w:t>The</w:t>
      </w:r>
      <w:r w:rsidR="00DF0C32">
        <w:rPr>
          <w:b/>
          <w:color w:val="000000" w:themeColor="text1"/>
        </w:rPr>
        <w:t xml:space="preserve"> </w:t>
      </w:r>
      <w:r w:rsidR="00DF0C32">
        <w:rPr>
          <w:bCs/>
          <w:color w:val="000000" w:themeColor="text1"/>
        </w:rPr>
        <w:t>p</w:t>
      </w:r>
      <w:r w:rsidRPr="00E8281A">
        <w:rPr>
          <w:bCs/>
          <w:color w:val="000000" w:themeColor="text1"/>
        </w:rPr>
        <w:t>articipants were</w:t>
      </w:r>
      <w:r w:rsidR="00ED0657" w:rsidRPr="00E8281A">
        <w:rPr>
          <w:bCs/>
          <w:color w:val="000000" w:themeColor="text1"/>
        </w:rPr>
        <w:t xml:space="preserve"> </w:t>
      </w:r>
      <w:r w:rsidR="004A2F7E">
        <w:rPr>
          <w:bCs/>
          <w:color w:val="000000" w:themeColor="text1"/>
        </w:rPr>
        <w:t xml:space="preserve">the </w:t>
      </w:r>
      <w:r w:rsidR="00AD51C9" w:rsidRPr="00E8281A">
        <w:rPr>
          <w:bCs/>
          <w:color w:val="000000" w:themeColor="text1"/>
        </w:rPr>
        <w:t>parents</w:t>
      </w:r>
      <w:r w:rsidR="00FA315F" w:rsidRPr="00E8281A">
        <w:rPr>
          <w:bCs/>
          <w:color w:val="000000" w:themeColor="text1"/>
        </w:rPr>
        <w:t xml:space="preserve"> and </w:t>
      </w:r>
      <w:r w:rsidR="00AD51C9" w:rsidRPr="00E8281A">
        <w:rPr>
          <w:bCs/>
          <w:color w:val="000000" w:themeColor="text1"/>
        </w:rPr>
        <w:t>teachers</w:t>
      </w:r>
      <w:r w:rsidR="00FA315F" w:rsidRPr="00E8281A">
        <w:rPr>
          <w:bCs/>
          <w:color w:val="000000" w:themeColor="text1"/>
        </w:rPr>
        <w:t xml:space="preserve"> of 1</w:t>
      </w:r>
      <w:r w:rsidR="002D7884" w:rsidRPr="00E8281A">
        <w:rPr>
          <w:bCs/>
          <w:color w:val="000000" w:themeColor="text1"/>
        </w:rPr>
        <w:t>39</w:t>
      </w:r>
      <w:r w:rsidR="00FA315F" w:rsidRPr="00E8281A">
        <w:rPr>
          <w:bCs/>
          <w:color w:val="000000" w:themeColor="text1"/>
        </w:rPr>
        <w:t xml:space="preserve"> </w:t>
      </w:r>
      <w:r w:rsidR="00004B90" w:rsidRPr="00E8281A">
        <w:rPr>
          <w:bCs/>
          <w:color w:val="000000" w:themeColor="text1"/>
        </w:rPr>
        <w:t xml:space="preserve">Hong Kong </w:t>
      </w:r>
      <w:r w:rsidR="00FE6643" w:rsidRPr="00E8281A">
        <w:rPr>
          <w:bCs/>
          <w:color w:val="000000" w:themeColor="text1"/>
        </w:rPr>
        <w:t xml:space="preserve">kindergarten </w:t>
      </w:r>
      <w:r w:rsidRPr="00E8281A">
        <w:rPr>
          <w:bCs/>
          <w:color w:val="000000" w:themeColor="text1"/>
        </w:rPr>
        <w:t>children</w:t>
      </w:r>
      <w:r w:rsidR="004B783F" w:rsidRPr="00E8281A">
        <w:rPr>
          <w:bCs/>
          <w:color w:val="000000" w:themeColor="text1"/>
        </w:rPr>
        <w:t xml:space="preserve"> </w:t>
      </w:r>
      <w:r w:rsidR="004B783F" w:rsidRPr="00E8281A">
        <w:rPr>
          <w:color w:val="000000" w:themeColor="text1"/>
          <w:szCs w:val="20"/>
          <w:lang w:eastAsia="zh-HK"/>
        </w:rPr>
        <w:t>(</w:t>
      </w:r>
      <w:r w:rsidR="002D7884" w:rsidRPr="00E8281A">
        <w:rPr>
          <w:bCs/>
          <w:color w:val="000000" w:themeColor="text1"/>
        </w:rPr>
        <w:t>52.1</w:t>
      </w:r>
      <w:r w:rsidR="004B783F" w:rsidRPr="00E8281A">
        <w:rPr>
          <w:bCs/>
          <w:color w:val="000000" w:themeColor="text1"/>
        </w:rPr>
        <w:t xml:space="preserve">% </w:t>
      </w:r>
      <w:r w:rsidR="002D7884" w:rsidRPr="00E8281A">
        <w:rPr>
          <w:bCs/>
          <w:color w:val="000000" w:themeColor="text1"/>
        </w:rPr>
        <w:t>boy</w:t>
      </w:r>
      <w:r w:rsidR="004B783F" w:rsidRPr="00E8281A">
        <w:rPr>
          <w:bCs/>
          <w:color w:val="000000" w:themeColor="text1"/>
        </w:rPr>
        <w:t xml:space="preserve">s, mean age = </w:t>
      </w:r>
      <w:r w:rsidR="002D7884" w:rsidRPr="00E8281A">
        <w:rPr>
          <w:bCs/>
          <w:color w:val="000000" w:themeColor="text1"/>
        </w:rPr>
        <w:t>4.4 years</w:t>
      </w:r>
      <w:r w:rsidR="0056452C" w:rsidRPr="00E8281A">
        <w:rPr>
          <w:bCs/>
          <w:color w:val="000000" w:themeColor="text1"/>
        </w:rPr>
        <w:t>, age range = 3.4 to 5.9 years</w:t>
      </w:r>
      <w:r w:rsidR="004B783F" w:rsidRPr="00E8281A">
        <w:rPr>
          <w:bCs/>
          <w:color w:val="000000" w:themeColor="text1"/>
        </w:rPr>
        <w:t>)</w:t>
      </w:r>
      <w:r w:rsidR="002D7884" w:rsidRPr="00E8281A">
        <w:rPr>
          <w:bCs/>
          <w:color w:val="000000" w:themeColor="text1"/>
        </w:rPr>
        <w:t xml:space="preserve">. All </w:t>
      </w:r>
      <w:r w:rsidR="004A2F7E">
        <w:rPr>
          <w:bCs/>
          <w:color w:val="000000" w:themeColor="text1"/>
        </w:rPr>
        <w:t xml:space="preserve">of the </w:t>
      </w:r>
      <w:r w:rsidR="002D7884" w:rsidRPr="00E8281A">
        <w:rPr>
          <w:bCs/>
          <w:color w:val="000000" w:themeColor="text1"/>
        </w:rPr>
        <w:t>participants were recruited</w:t>
      </w:r>
      <w:r w:rsidR="008006D6" w:rsidRPr="00E8281A">
        <w:rPr>
          <w:bCs/>
          <w:color w:val="000000" w:themeColor="text1"/>
        </w:rPr>
        <w:t xml:space="preserve"> from </w:t>
      </w:r>
      <w:r w:rsidR="00FA315F" w:rsidRPr="00E8281A">
        <w:rPr>
          <w:bCs/>
          <w:color w:val="000000" w:themeColor="text1"/>
        </w:rPr>
        <w:t>a</w:t>
      </w:r>
      <w:r w:rsidR="008006D6" w:rsidRPr="00E8281A">
        <w:rPr>
          <w:bCs/>
          <w:color w:val="000000" w:themeColor="text1"/>
        </w:rPr>
        <w:t xml:space="preserve"> local kindergarten</w:t>
      </w:r>
      <w:r w:rsidR="002D7884" w:rsidRPr="00E8281A">
        <w:rPr>
          <w:bCs/>
          <w:color w:val="000000" w:themeColor="text1"/>
        </w:rPr>
        <w:t xml:space="preserve"> </w:t>
      </w:r>
      <w:r w:rsidR="003C2569" w:rsidRPr="002C2C26">
        <w:rPr>
          <w:bCs/>
        </w:rPr>
        <w:t>situate</w:t>
      </w:r>
      <w:r w:rsidR="002C2C26" w:rsidRPr="002C2C26">
        <w:rPr>
          <w:bCs/>
        </w:rPr>
        <w:t>d</w:t>
      </w:r>
      <w:r w:rsidR="009F7F29" w:rsidRPr="002C2C26">
        <w:rPr>
          <w:bCs/>
        </w:rPr>
        <w:t xml:space="preserve"> </w:t>
      </w:r>
      <w:r w:rsidR="009F7F29" w:rsidRPr="00E8281A">
        <w:rPr>
          <w:bCs/>
          <w:color w:val="000000" w:themeColor="text1"/>
        </w:rPr>
        <w:t xml:space="preserve">in </w:t>
      </w:r>
      <w:r w:rsidR="002D7884" w:rsidRPr="00E8281A">
        <w:rPr>
          <w:bCs/>
          <w:color w:val="000000" w:themeColor="text1"/>
        </w:rPr>
        <w:t>a</w:t>
      </w:r>
      <w:r w:rsidR="009F7F29" w:rsidRPr="00E8281A">
        <w:rPr>
          <w:bCs/>
          <w:color w:val="000000" w:themeColor="text1"/>
        </w:rPr>
        <w:t xml:space="preserve"> middle-socioeconomic </w:t>
      </w:r>
      <w:r w:rsidR="0005177D" w:rsidRPr="00E8281A">
        <w:rPr>
          <w:bCs/>
          <w:color w:val="000000" w:themeColor="text1"/>
        </w:rPr>
        <w:t>district</w:t>
      </w:r>
      <w:r w:rsidR="009F7F29" w:rsidRPr="00E8281A">
        <w:rPr>
          <w:bCs/>
          <w:color w:val="000000" w:themeColor="text1"/>
        </w:rPr>
        <w:t xml:space="preserve">. </w:t>
      </w:r>
      <w:r w:rsidR="0063110A" w:rsidRPr="00E8281A">
        <w:rPr>
          <w:bCs/>
          <w:color w:val="000000" w:themeColor="text1"/>
        </w:rPr>
        <w:t xml:space="preserve">In Hong Kong, most children aged 3.5 years attend three years from kindergarten 1 (K1) to kindergarten 3 (K3). </w:t>
      </w:r>
      <w:r w:rsidR="00C329BE" w:rsidRPr="00E8281A">
        <w:rPr>
          <w:bCs/>
          <w:color w:val="000000" w:themeColor="text1"/>
        </w:rPr>
        <w:t>At Time 1, 55 children were studying at K1, 44 were at K2, and 40 were at K3</w:t>
      </w:r>
      <w:r w:rsidR="003B6601" w:rsidRPr="00E8281A">
        <w:rPr>
          <w:bCs/>
          <w:color w:val="000000" w:themeColor="text1"/>
        </w:rPr>
        <w:t xml:space="preserve"> across 14 classrooms</w:t>
      </w:r>
      <w:r w:rsidR="00C329BE" w:rsidRPr="00E8281A">
        <w:rPr>
          <w:bCs/>
          <w:color w:val="000000" w:themeColor="text1"/>
        </w:rPr>
        <w:t xml:space="preserve">. </w:t>
      </w:r>
      <w:bookmarkEnd w:id="23"/>
      <w:r w:rsidR="0063110A" w:rsidRPr="00696BA4">
        <w:rPr>
          <w:bCs/>
          <w:color w:val="00B0F0"/>
        </w:rPr>
        <w:t>Kindergarten has been encouraged to promote different types of play-based learning, mainly free play activities, since 2017</w:t>
      </w:r>
      <w:r w:rsidR="00696BA4" w:rsidRPr="00696BA4">
        <w:rPr>
          <w:bCs/>
          <w:color w:val="00B0F0"/>
        </w:rPr>
        <w:t xml:space="preserve"> (Curriculum Development Council of HKSARG, 2017)</w:t>
      </w:r>
      <w:r w:rsidR="0063110A" w:rsidRPr="00E8281A">
        <w:rPr>
          <w:bCs/>
          <w:color w:val="000000" w:themeColor="text1"/>
        </w:rPr>
        <w:t xml:space="preserve">. </w:t>
      </w:r>
      <w:r w:rsidR="002877C6" w:rsidRPr="002877C6">
        <w:rPr>
          <w:bCs/>
          <w:color w:val="00B0F0"/>
        </w:rPr>
        <w:t>Twenty-two</w:t>
      </w:r>
      <w:r w:rsidR="00886E6B" w:rsidRPr="002877C6">
        <w:rPr>
          <w:bCs/>
          <w:color w:val="00B0F0"/>
        </w:rPr>
        <w:t xml:space="preserve"> </w:t>
      </w:r>
      <w:r w:rsidR="00886E6B" w:rsidRPr="00E8281A">
        <w:rPr>
          <w:bCs/>
          <w:color w:val="000000" w:themeColor="text1"/>
        </w:rPr>
        <w:t xml:space="preserve">teachers </w:t>
      </w:r>
      <w:r w:rsidR="003C2569">
        <w:rPr>
          <w:bCs/>
          <w:color w:val="000000" w:themeColor="text1"/>
        </w:rPr>
        <w:t>participated</w:t>
      </w:r>
      <w:r w:rsidR="00886E6B" w:rsidRPr="00E8281A">
        <w:rPr>
          <w:bCs/>
          <w:color w:val="000000" w:themeColor="text1"/>
        </w:rPr>
        <w:t xml:space="preserve"> </w:t>
      </w:r>
      <w:r w:rsidR="00886E6B" w:rsidRPr="00E8281A">
        <w:rPr>
          <w:bCs/>
          <w:color w:val="000000" w:themeColor="text1"/>
        </w:rPr>
        <w:t>in th</w:t>
      </w:r>
      <w:r w:rsidR="002D7884" w:rsidRPr="00E8281A">
        <w:rPr>
          <w:bCs/>
          <w:color w:val="000000" w:themeColor="text1"/>
        </w:rPr>
        <w:t>is</w:t>
      </w:r>
      <w:r w:rsidR="00886E6B" w:rsidRPr="00E8281A">
        <w:rPr>
          <w:bCs/>
          <w:color w:val="000000" w:themeColor="text1"/>
        </w:rPr>
        <w:t xml:space="preserve"> study</w:t>
      </w:r>
      <w:r w:rsidR="00CF5178" w:rsidRPr="00E8281A">
        <w:rPr>
          <w:bCs/>
          <w:color w:val="000000" w:themeColor="text1"/>
        </w:rPr>
        <w:t>; each</w:t>
      </w:r>
      <w:r w:rsidR="00CA7653" w:rsidRPr="00E8281A">
        <w:rPr>
          <w:bCs/>
          <w:color w:val="000000" w:themeColor="text1"/>
        </w:rPr>
        <w:t xml:space="preserve"> rated seven children in their class</w:t>
      </w:r>
      <w:r w:rsidR="00CF5178" w:rsidRPr="00E8281A">
        <w:rPr>
          <w:bCs/>
          <w:color w:val="000000" w:themeColor="text1"/>
        </w:rPr>
        <w:t xml:space="preserve"> on average</w:t>
      </w:r>
      <w:r w:rsidR="005D27D3" w:rsidRPr="00E8281A">
        <w:rPr>
          <w:bCs/>
          <w:color w:val="000000" w:themeColor="text1"/>
        </w:rPr>
        <w:t xml:space="preserve">. </w:t>
      </w:r>
      <w:bookmarkStart w:id="24" w:name="_Hlk119052399"/>
      <w:bookmarkStart w:id="25" w:name="_Hlk118805004"/>
      <w:r w:rsidR="00CA7653" w:rsidRPr="00E8281A">
        <w:rPr>
          <w:bCs/>
          <w:color w:val="000000" w:themeColor="text1"/>
        </w:rPr>
        <w:t>More than 90% of the teachers</w:t>
      </w:r>
      <w:r w:rsidR="00291EA6" w:rsidRPr="00E8281A">
        <w:rPr>
          <w:bCs/>
          <w:color w:val="000000" w:themeColor="text1"/>
        </w:rPr>
        <w:t xml:space="preserve"> </w:t>
      </w:r>
      <w:r w:rsidR="00CA7653" w:rsidRPr="00E8281A">
        <w:rPr>
          <w:bCs/>
          <w:color w:val="000000" w:themeColor="text1"/>
        </w:rPr>
        <w:t>h</w:t>
      </w:r>
      <w:r w:rsidR="004A2F7E">
        <w:rPr>
          <w:bCs/>
          <w:color w:val="000000" w:themeColor="text1"/>
        </w:rPr>
        <w:t>eld</w:t>
      </w:r>
      <w:r w:rsidR="00291EA6" w:rsidRPr="00E8281A">
        <w:rPr>
          <w:bCs/>
          <w:color w:val="000000" w:themeColor="text1"/>
        </w:rPr>
        <w:t xml:space="preserve"> a bachelor’s degree in early childhood education</w:t>
      </w:r>
      <w:r w:rsidR="00CF5178" w:rsidRPr="00E8281A">
        <w:rPr>
          <w:bCs/>
          <w:color w:val="000000" w:themeColor="text1"/>
        </w:rPr>
        <w:t>,</w:t>
      </w:r>
      <w:r w:rsidR="00291EA6" w:rsidRPr="00E8281A">
        <w:rPr>
          <w:bCs/>
          <w:color w:val="000000" w:themeColor="text1"/>
        </w:rPr>
        <w:t xml:space="preserve"> </w:t>
      </w:r>
      <w:r w:rsidR="00CA7653" w:rsidRPr="00E8281A">
        <w:rPr>
          <w:bCs/>
          <w:color w:val="000000" w:themeColor="text1"/>
        </w:rPr>
        <w:t xml:space="preserve">and they </w:t>
      </w:r>
      <w:r w:rsidR="004A2F7E" w:rsidRPr="002C2C26">
        <w:rPr>
          <w:bCs/>
          <w:color w:val="00B0F0"/>
        </w:rPr>
        <w:t>had been teaching</w:t>
      </w:r>
      <w:r w:rsidR="00CA7653" w:rsidRPr="002C2C26">
        <w:rPr>
          <w:bCs/>
          <w:color w:val="00B0F0"/>
        </w:rPr>
        <w:t xml:space="preserve"> </w:t>
      </w:r>
      <w:r w:rsidR="00CF5178" w:rsidRPr="00E8281A">
        <w:rPr>
          <w:bCs/>
          <w:color w:val="000000" w:themeColor="text1"/>
        </w:rPr>
        <w:t>for at least</w:t>
      </w:r>
      <w:r w:rsidR="00CA7653" w:rsidRPr="00E8281A">
        <w:rPr>
          <w:bCs/>
          <w:color w:val="000000" w:themeColor="text1"/>
        </w:rPr>
        <w:t xml:space="preserve"> a year</w:t>
      </w:r>
      <w:r w:rsidR="00AD51C9" w:rsidRPr="00E8281A">
        <w:rPr>
          <w:bCs/>
          <w:color w:val="000000" w:themeColor="text1"/>
        </w:rPr>
        <w:t xml:space="preserve">. </w:t>
      </w:r>
      <w:bookmarkEnd w:id="24"/>
      <w:bookmarkEnd w:id="25"/>
      <w:r w:rsidR="0005177D" w:rsidRPr="00E8281A">
        <w:rPr>
          <w:bCs/>
          <w:color w:val="000000" w:themeColor="text1"/>
        </w:rPr>
        <w:t>Thus</w:t>
      </w:r>
      <w:r w:rsidR="00CA7653" w:rsidRPr="00E8281A">
        <w:rPr>
          <w:bCs/>
          <w:color w:val="000000" w:themeColor="text1"/>
        </w:rPr>
        <w:t xml:space="preserve">, the participating teachers </w:t>
      </w:r>
      <w:r w:rsidR="000C3946" w:rsidRPr="000C3946">
        <w:rPr>
          <w:bCs/>
          <w:color w:val="00B0F0"/>
        </w:rPr>
        <w:t>had</w:t>
      </w:r>
      <w:r w:rsidR="00CA7653" w:rsidRPr="000C3946">
        <w:rPr>
          <w:bCs/>
          <w:color w:val="00B0F0"/>
        </w:rPr>
        <w:t xml:space="preserve"> </w:t>
      </w:r>
      <w:r w:rsidR="00CA7653" w:rsidRPr="00E8281A">
        <w:rPr>
          <w:bCs/>
          <w:color w:val="000000" w:themeColor="text1"/>
        </w:rPr>
        <w:t>adequate knowledge and experience in observing children’s play pattern</w:t>
      </w:r>
      <w:r w:rsidR="00EF4A57" w:rsidRPr="00E8281A">
        <w:rPr>
          <w:bCs/>
          <w:color w:val="000000" w:themeColor="text1"/>
        </w:rPr>
        <w:t>s</w:t>
      </w:r>
      <w:r w:rsidR="00CA7653" w:rsidRPr="00E8281A">
        <w:rPr>
          <w:bCs/>
          <w:color w:val="000000" w:themeColor="text1"/>
        </w:rPr>
        <w:t xml:space="preserve"> and personal characteristics. </w:t>
      </w:r>
      <w:bookmarkStart w:id="26" w:name="_Hlk136608051"/>
      <w:r w:rsidR="004A2F7E">
        <w:rPr>
          <w:bCs/>
          <w:color w:val="000000" w:themeColor="text1"/>
        </w:rPr>
        <w:t>The p</w:t>
      </w:r>
      <w:r w:rsidR="00B07D51" w:rsidRPr="00E8281A">
        <w:rPr>
          <w:bCs/>
          <w:color w:val="000000" w:themeColor="text1"/>
        </w:rPr>
        <w:t>arents</w:t>
      </w:r>
      <w:r w:rsidR="00C42BA6" w:rsidRPr="00E8281A">
        <w:rPr>
          <w:bCs/>
          <w:color w:val="000000" w:themeColor="text1"/>
        </w:rPr>
        <w:t xml:space="preserve"> reported </w:t>
      </w:r>
      <w:r w:rsidR="00CA7653" w:rsidRPr="00E8281A">
        <w:rPr>
          <w:bCs/>
          <w:color w:val="000000" w:themeColor="text1"/>
        </w:rPr>
        <w:t xml:space="preserve">demographic information including </w:t>
      </w:r>
      <w:r w:rsidR="00691665">
        <w:rPr>
          <w:bCs/>
          <w:color w:val="000000" w:themeColor="text1"/>
        </w:rPr>
        <w:t xml:space="preserve">their </w:t>
      </w:r>
      <w:r w:rsidR="00CA7653" w:rsidRPr="00E8281A">
        <w:rPr>
          <w:bCs/>
          <w:color w:val="000000" w:themeColor="text1"/>
        </w:rPr>
        <w:t>child</w:t>
      </w:r>
      <w:r w:rsidR="00691665">
        <w:rPr>
          <w:bCs/>
          <w:color w:val="000000" w:themeColor="text1"/>
        </w:rPr>
        <w:t>ren’s</w:t>
      </w:r>
      <w:r w:rsidR="00CA7653" w:rsidRPr="00E8281A">
        <w:rPr>
          <w:bCs/>
          <w:color w:val="000000" w:themeColor="text1"/>
        </w:rPr>
        <w:t xml:space="preserve"> age, </w:t>
      </w:r>
      <w:r w:rsidR="00691665">
        <w:rPr>
          <w:bCs/>
          <w:color w:val="000000" w:themeColor="text1"/>
        </w:rPr>
        <w:t xml:space="preserve">and </w:t>
      </w:r>
      <w:r w:rsidR="00CA7653" w:rsidRPr="00E8281A">
        <w:rPr>
          <w:bCs/>
          <w:color w:val="000000" w:themeColor="text1"/>
        </w:rPr>
        <w:t xml:space="preserve">gender, and </w:t>
      </w:r>
      <w:r w:rsidR="00691665">
        <w:rPr>
          <w:bCs/>
          <w:color w:val="000000" w:themeColor="text1"/>
        </w:rPr>
        <w:t xml:space="preserve">their own </w:t>
      </w:r>
      <w:r w:rsidR="00C42BA6" w:rsidRPr="00E8281A">
        <w:rPr>
          <w:bCs/>
          <w:color w:val="000000" w:themeColor="text1"/>
        </w:rPr>
        <w:t>education level: (1) primary, (2) secondary, (3) college, (4) university, and (5) postgraduate</w:t>
      </w:r>
      <w:r w:rsidR="0071116E" w:rsidRPr="00E8281A">
        <w:rPr>
          <w:bCs/>
          <w:color w:val="000000" w:themeColor="text1"/>
        </w:rPr>
        <w:t xml:space="preserve">. </w:t>
      </w:r>
      <w:bookmarkStart w:id="27" w:name="_Hlk136608239"/>
      <w:bookmarkEnd w:id="26"/>
      <w:r w:rsidR="002877C6" w:rsidRPr="002877C6">
        <w:rPr>
          <w:bCs/>
          <w:color w:val="00B0F0"/>
        </w:rPr>
        <w:t>Forty-four percent</w:t>
      </w:r>
      <w:r w:rsidR="00AE5436" w:rsidRPr="002877C6">
        <w:rPr>
          <w:bCs/>
          <w:color w:val="00B0F0"/>
        </w:rPr>
        <w:t xml:space="preserve"> </w:t>
      </w:r>
      <w:r w:rsidR="00F12500" w:rsidRPr="00E8281A">
        <w:rPr>
          <w:bCs/>
          <w:color w:val="000000" w:themeColor="text1"/>
        </w:rPr>
        <w:t xml:space="preserve">of the parents had a </w:t>
      </w:r>
      <w:r w:rsidR="002F6D1F" w:rsidRPr="00E8281A">
        <w:rPr>
          <w:bCs/>
          <w:color w:val="000000" w:themeColor="text1"/>
        </w:rPr>
        <w:t xml:space="preserve">university or postgraduate </w:t>
      </w:r>
      <w:r w:rsidR="00F12500" w:rsidRPr="00E8281A">
        <w:rPr>
          <w:bCs/>
          <w:color w:val="000000" w:themeColor="text1"/>
        </w:rPr>
        <w:t>degree</w:t>
      </w:r>
      <w:r w:rsidR="00CD66F1" w:rsidRPr="00E8281A">
        <w:rPr>
          <w:bCs/>
          <w:color w:val="000000" w:themeColor="text1"/>
        </w:rPr>
        <w:t>,</w:t>
      </w:r>
      <w:r w:rsidR="00AE5436" w:rsidRPr="00E8281A">
        <w:rPr>
          <w:bCs/>
          <w:color w:val="000000" w:themeColor="text1"/>
        </w:rPr>
        <w:t xml:space="preserve"> </w:t>
      </w:r>
      <w:r w:rsidR="002F6D1F" w:rsidRPr="00E8281A">
        <w:rPr>
          <w:bCs/>
          <w:color w:val="000000" w:themeColor="text1"/>
        </w:rPr>
        <w:t xml:space="preserve">26% finished college, and </w:t>
      </w:r>
      <w:r w:rsidR="00F12500" w:rsidRPr="00E8281A">
        <w:rPr>
          <w:bCs/>
          <w:color w:val="000000" w:themeColor="text1"/>
        </w:rPr>
        <w:t>30</w:t>
      </w:r>
      <w:r w:rsidR="00AE5436" w:rsidRPr="00E8281A">
        <w:rPr>
          <w:bCs/>
          <w:color w:val="000000" w:themeColor="text1"/>
        </w:rPr>
        <w:t xml:space="preserve">% </w:t>
      </w:r>
      <w:r w:rsidR="00F12500" w:rsidRPr="00E8281A">
        <w:rPr>
          <w:bCs/>
          <w:color w:val="000000" w:themeColor="text1"/>
        </w:rPr>
        <w:t>finished</w:t>
      </w:r>
      <w:r w:rsidR="00AE5436" w:rsidRPr="00E8281A">
        <w:rPr>
          <w:bCs/>
          <w:color w:val="000000" w:themeColor="text1"/>
        </w:rPr>
        <w:t xml:space="preserve"> secondary school</w:t>
      </w:r>
      <w:r w:rsidR="00C42BA6" w:rsidRPr="00E8281A">
        <w:rPr>
          <w:bCs/>
          <w:color w:val="000000" w:themeColor="text1"/>
        </w:rPr>
        <w:t>.</w:t>
      </w:r>
      <w:bookmarkEnd w:id="27"/>
      <w:r w:rsidR="00AD51C9" w:rsidRPr="00E8281A">
        <w:rPr>
          <w:bCs/>
          <w:color w:val="000000" w:themeColor="text1"/>
        </w:rPr>
        <w:t xml:space="preserve"> </w:t>
      </w:r>
      <w:bookmarkStart w:id="28" w:name="_Hlk141083686"/>
      <w:r w:rsidR="002877C6" w:rsidRPr="002877C6">
        <w:rPr>
          <w:bCs/>
          <w:color w:val="00B0F0"/>
        </w:rPr>
        <w:t>Seventy percent</w:t>
      </w:r>
      <w:r w:rsidR="00F12500" w:rsidRPr="002877C6">
        <w:rPr>
          <w:bCs/>
          <w:color w:val="00B0F0"/>
        </w:rPr>
        <w:t xml:space="preserve"> </w:t>
      </w:r>
      <w:r w:rsidR="00F12500" w:rsidRPr="00E8281A">
        <w:rPr>
          <w:bCs/>
          <w:color w:val="000000" w:themeColor="text1"/>
        </w:rPr>
        <w:t xml:space="preserve">of the mothers </w:t>
      </w:r>
      <w:r w:rsidR="0005177D" w:rsidRPr="00E8281A">
        <w:rPr>
          <w:bCs/>
          <w:color w:val="000000" w:themeColor="text1"/>
        </w:rPr>
        <w:t>were equally or better educated</w:t>
      </w:r>
      <w:r w:rsidR="00F12500" w:rsidRPr="00E8281A">
        <w:rPr>
          <w:bCs/>
          <w:color w:val="000000" w:themeColor="text1"/>
        </w:rPr>
        <w:t xml:space="preserve"> </w:t>
      </w:r>
      <w:r w:rsidR="00CF5178" w:rsidRPr="00E8281A">
        <w:rPr>
          <w:bCs/>
          <w:color w:val="000000" w:themeColor="text1"/>
        </w:rPr>
        <w:t>than</w:t>
      </w:r>
      <w:r w:rsidR="00F12500" w:rsidRPr="00E8281A">
        <w:rPr>
          <w:bCs/>
          <w:color w:val="000000" w:themeColor="text1"/>
        </w:rPr>
        <w:t xml:space="preserve"> their spouses, and </w:t>
      </w:r>
      <w:r w:rsidR="00CF5178" w:rsidRPr="00E8281A">
        <w:rPr>
          <w:bCs/>
          <w:color w:val="000000" w:themeColor="text1"/>
        </w:rPr>
        <w:t xml:space="preserve">mothers </w:t>
      </w:r>
      <w:r w:rsidR="002871DC">
        <w:rPr>
          <w:bCs/>
          <w:color w:val="000000" w:themeColor="text1"/>
        </w:rPr>
        <w:t xml:space="preserve">completed </w:t>
      </w:r>
      <w:r w:rsidR="00CF5178" w:rsidRPr="00E8281A">
        <w:rPr>
          <w:bCs/>
          <w:color w:val="000000" w:themeColor="text1"/>
        </w:rPr>
        <w:t>90% of the questionnaires</w:t>
      </w:r>
      <w:bookmarkEnd w:id="28"/>
      <w:r w:rsidR="00F12500" w:rsidRPr="00E8281A">
        <w:rPr>
          <w:bCs/>
          <w:color w:val="000000" w:themeColor="text1"/>
        </w:rPr>
        <w:t>.</w:t>
      </w:r>
    </w:p>
    <w:p w14:paraId="580EB054" w14:textId="245F7960" w:rsidR="00FC36DF" w:rsidRPr="00E8281A" w:rsidRDefault="00FC36DF" w:rsidP="000B09E4">
      <w:pPr>
        <w:spacing w:line="480" w:lineRule="auto"/>
        <w:rPr>
          <w:b/>
          <w:color w:val="000000" w:themeColor="text1"/>
        </w:rPr>
      </w:pPr>
      <w:r w:rsidRPr="00E8281A">
        <w:rPr>
          <w:b/>
          <w:color w:val="000000" w:themeColor="text1"/>
        </w:rPr>
        <w:t>Procedure</w:t>
      </w:r>
    </w:p>
    <w:p w14:paraId="468F7303" w14:textId="6F1AC157" w:rsidR="00FC36DF" w:rsidRPr="00E8281A" w:rsidRDefault="00FC36DF" w:rsidP="000B09E4">
      <w:pPr>
        <w:spacing w:line="480" w:lineRule="auto"/>
        <w:rPr>
          <w:color w:val="000000" w:themeColor="text1"/>
          <w:lang w:eastAsia="zh-HK"/>
        </w:rPr>
      </w:pPr>
      <w:r w:rsidRPr="00E8281A">
        <w:rPr>
          <w:bCs/>
          <w:color w:val="000000" w:themeColor="text1"/>
        </w:rPr>
        <w:lastRenderedPageBreak/>
        <w:tab/>
      </w:r>
      <w:r w:rsidR="000A1C4C" w:rsidRPr="00E8281A">
        <w:rPr>
          <w:bCs/>
          <w:color w:val="000000" w:themeColor="text1"/>
        </w:rPr>
        <w:t xml:space="preserve">Ethical approval was </w:t>
      </w:r>
      <w:r w:rsidR="0005177D" w:rsidRPr="00E8281A">
        <w:rPr>
          <w:bCs/>
          <w:color w:val="000000" w:themeColor="text1"/>
        </w:rPr>
        <w:t>granted</w:t>
      </w:r>
      <w:r w:rsidR="00F71648" w:rsidRPr="00E8281A">
        <w:rPr>
          <w:bCs/>
          <w:color w:val="000000" w:themeColor="text1"/>
        </w:rPr>
        <w:t xml:space="preserve"> by</w:t>
      </w:r>
      <w:r w:rsidR="00280A8A" w:rsidRPr="00E8281A">
        <w:rPr>
          <w:bCs/>
          <w:color w:val="000000" w:themeColor="text1"/>
        </w:rPr>
        <w:t xml:space="preserve"> the university</w:t>
      </w:r>
      <w:r w:rsidR="004C6B19" w:rsidRPr="00E8281A">
        <w:rPr>
          <w:bCs/>
          <w:color w:val="000000" w:themeColor="text1"/>
        </w:rPr>
        <w:t xml:space="preserve"> </w:t>
      </w:r>
      <w:r w:rsidR="007262A5" w:rsidRPr="00E8281A">
        <w:rPr>
          <w:bCs/>
          <w:color w:val="000000" w:themeColor="text1"/>
        </w:rPr>
        <w:t>(blinded for review)</w:t>
      </w:r>
      <w:r w:rsidR="00280A8A" w:rsidRPr="00E8281A">
        <w:rPr>
          <w:bCs/>
          <w:color w:val="000000" w:themeColor="text1"/>
        </w:rPr>
        <w:t xml:space="preserve">. </w:t>
      </w:r>
      <w:r w:rsidR="007A3409" w:rsidRPr="00E8281A">
        <w:rPr>
          <w:bCs/>
          <w:color w:val="000000" w:themeColor="text1"/>
        </w:rPr>
        <w:t xml:space="preserve">The principal of the kindergarten also </w:t>
      </w:r>
      <w:r w:rsidR="0005177D" w:rsidRPr="00E8281A">
        <w:rPr>
          <w:bCs/>
          <w:color w:val="000000" w:themeColor="text1"/>
        </w:rPr>
        <w:t>consented to participate</w:t>
      </w:r>
      <w:r w:rsidR="000A1C4C" w:rsidRPr="00E8281A">
        <w:rPr>
          <w:color w:val="000000" w:themeColor="text1"/>
          <w:lang w:eastAsia="zh-HK"/>
        </w:rPr>
        <w:t xml:space="preserve">. </w:t>
      </w:r>
      <w:r w:rsidR="00F71648" w:rsidRPr="00E8281A">
        <w:rPr>
          <w:color w:val="000000" w:themeColor="text1"/>
          <w:lang w:eastAsia="zh-HK"/>
        </w:rPr>
        <w:t>Informed consent</w:t>
      </w:r>
      <w:r w:rsidR="007E6759" w:rsidRPr="00E8281A">
        <w:rPr>
          <w:color w:val="000000" w:themeColor="text1"/>
          <w:lang w:eastAsia="zh-HK"/>
        </w:rPr>
        <w:t xml:space="preserve"> </w:t>
      </w:r>
      <w:r w:rsidR="00920CB2" w:rsidRPr="00E8281A">
        <w:rPr>
          <w:color w:val="000000" w:themeColor="text1"/>
          <w:lang w:eastAsia="zh-HK"/>
        </w:rPr>
        <w:t xml:space="preserve">and questionnaire </w:t>
      </w:r>
      <w:r w:rsidR="00287E84" w:rsidRPr="00E8281A">
        <w:rPr>
          <w:color w:val="000000" w:themeColor="text1"/>
          <w:lang w:eastAsia="zh-HK"/>
        </w:rPr>
        <w:t xml:space="preserve">forms </w:t>
      </w:r>
      <w:r w:rsidR="00F71648" w:rsidRPr="00E8281A">
        <w:rPr>
          <w:color w:val="000000" w:themeColor="text1"/>
          <w:lang w:eastAsia="zh-HK"/>
        </w:rPr>
        <w:t>w</w:t>
      </w:r>
      <w:r w:rsidR="007E6759" w:rsidRPr="00E8281A">
        <w:rPr>
          <w:color w:val="000000" w:themeColor="text1"/>
          <w:lang w:eastAsia="zh-HK"/>
        </w:rPr>
        <w:t>ere</w:t>
      </w:r>
      <w:r w:rsidR="00F71648" w:rsidRPr="00E8281A">
        <w:rPr>
          <w:color w:val="000000" w:themeColor="text1"/>
          <w:lang w:eastAsia="zh-HK"/>
        </w:rPr>
        <w:t xml:space="preserve"> </w:t>
      </w:r>
      <w:r w:rsidR="0005177D" w:rsidRPr="00E8281A">
        <w:rPr>
          <w:color w:val="000000" w:themeColor="text1"/>
          <w:lang w:eastAsia="zh-HK"/>
        </w:rPr>
        <w:t>distributed</w:t>
      </w:r>
      <w:r w:rsidR="00F71648" w:rsidRPr="00E8281A">
        <w:rPr>
          <w:color w:val="000000" w:themeColor="text1"/>
          <w:lang w:eastAsia="zh-HK"/>
        </w:rPr>
        <w:t xml:space="preserve"> to the </w:t>
      </w:r>
      <w:r w:rsidR="0005177D" w:rsidRPr="00E8281A">
        <w:rPr>
          <w:color w:val="000000" w:themeColor="text1"/>
          <w:lang w:eastAsia="zh-HK"/>
        </w:rPr>
        <w:t>parents</w:t>
      </w:r>
      <w:r w:rsidR="00886E6B" w:rsidRPr="00E8281A">
        <w:rPr>
          <w:color w:val="000000" w:themeColor="text1"/>
          <w:lang w:eastAsia="zh-HK"/>
        </w:rPr>
        <w:t xml:space="preserve"> and </w:t>
      </w:r>
      <w:r w:rsidR="0005177D" w:rsidRPr="00E8281A">
        <w:rPr>
          <w:color w:val="000000" w:themeColor="text1"/>
          <w:lang w:eastAsia="zh-HK"/>
        </w:rPr>
        <w:t>teachers</w:t>
      </w:r>
      <w:r w:rsidR="00674D7C" w:rsidRPr="00E8281A">
        <w:rPr>
          <w:color w:val="000000" w:themeColor="text1"/>
          <w:lang w:eastAsia="zh-HK"/>
        </w:rPr>
        <w:t xml:space="preserve"> as </w:t>
      </w:r>
      <w:r w:rsidR="00D2474A" w:rsidRPr="00E8281A">
        <w:rPr>
          <w:color w:val="000000" w:themeColor="text1"/>
          <w:lang w:eastAsia="zh-HK"/>
        </w:rPr>
        <w:t xml:space="preserve">an </w:t>
      </w:r>
      <w:r w:rsidR="00674D7C" w:rsidRPr="00E8281A">
        <w:rPr>
          <w:color w:val="000000" w:themeColor="text1"/>
          <w:lang w:eastAsia="zh-HK"/>
        </w:rPr>
        <w:t xml:space="preserve">invitation. </w:t>
      </w:r>
      <w:r w:rsidR="0005177D" w:rsidRPr="00E8281A">
        <w:rPr>
          <w:color w:val="000000" w:themeColor="text1"/>
          <w:lang w:eastAsia="zh-HK"/>
        </w:rPr>
        <w:t xml:space="preserve">At Time 1, </w:t>
      </w:r>
      <w:r w:rsidR="000B66FE">
        <w:rPr>
          <w:color w:val="000000" w:themeColor="text1"/>
          <w:lang w:eastAsia="zh-HK"/>
        </w:rPr>
        <w:t xml:space="preserve">the </w:t>
      </w:r>
      <w:r w:rsidR="0005177D" w:rsidRPr="00E8281A">
        <w:rPr>
          <w:color w:val="000000" w:themeColor="text1"/>
          <w:lang w:eastAsia="zh-HK"/>
        </w:rPr>
        <w:t>p</w:t>
      </w:r>
      <w:r w:rsidR="006F7C5F" w:rsidRPr="00E8281A">
        <w:rPr>
          <w:color w:val="000000" w:themeColor="text1"/>
          <w:lang w:eastAsia="zh-HK"/>
        </w:rPr>
        <w:t>arents</w:t>
      </w:r>
      <w:r w:rsidR="00920CB2" w:rsidRPr="00E8281A">
        <w:rPr>
          <w:color w:val="000000" w:themeColor="text1"/>
          <w:lang w:eastAsia="zh-HK"/>
        </w:rPr>
        <w:t xml:space="preserve"> </w:t>
      </w:r>
      <w:r w:rsidR="006F7C5F" w:rsidRPr="00E8281A">
        <w:rPr>
          <w:color w:val="000000" w:themeColor="text1"/>
          <w:lang w:eastAsia="zh-HK"/>
        </w:rPr>
        <w:t xml:space="preserve">reported </w:t>
      </w:r>
      <w:r w:rsidR="0005177D" w:rsidRPr="00E8281A">
        <w:rPr>
          <w:color w:val="000000" w:themeColor="text1"/>
          <w:lang w:eastAsia="zh-HK"/>
        </w:rPr>
        <w:t>demographic information and rate</w:t>
      </w:r>
      <w:r w:rsidR="00825E92" w:rsidRPr="00E8281A">
        <w:rPr>
          <w:color w:val="000000" w:themeColor="text1"/>
          <w:lang w:eastAsia="zh-HK"/>
        </w:rPr>
        <w:t xml:space="preserve">d </w:t>
      </w:r>
      <w:r w:rsidR="0005177D" w:rsidRPr="00E8281A">
        <w:rPr>
          <w:color w:val="000000" w:themeColor="text1"/>
          <w:lang w:eastAsia="zh-HK"/>
        </w:rPr>
        <w:t xml:space="preserve">children’s </w:t>
      </w:r>
      <w:r w:rsidR="006F7C5F" w:rsidRPr="00E8281A">
        <w:rPr>
          <w:color w:val="000000" w:themeColor="text1"/>
          <w:lang w:eastAsia="zh-HK"/>
        </w:rPr>
        <w:t>overexcitabilit</w:t>
      </w:r>
      <w:r w:rsidR="00CD66F1" w:rsidRPr="00E8281A">
        <w:rPr>
          <w:color w:val="000000" w:themeColor="text1"/>
          <w:lang w:eastAsia="zh-HK"/>
        </w:rPr>
        <w:t xml:space="preserve">ies </w:t>
      </w:r>
      <w:r w:rsidR="006F7C5F" w:rsidRPr="00E8281A">
        <w:rPr>
          <w:color w:val="000000" w:themeColor="text1"/>
          <w:lang w:eastAsia="zh-HK"/>
        </w:rPr>
        <w:t>by completing a questionnaire</w:t>
      </w:r>
      <w:r w:rsidR="0005177D" w:rsidRPr="00E8281A">
        <w:rPr>
          <w:color w:val="000000" w:themeColor="text1"/>
          <w:lang w:eastAsia="zh-HK"/>
        </w:rPr>
        <w:t xml:space="preserve"> </w:t>
      </w:r>
      <w:r w:rsidR="000B66FE">
        <w:rPr>
          <w:color w:val="000000" w:themeColor="text1"/>
          <w:lang w:eastAsia="zh-HK"/>
        </w:rPr>
        <w:t xml:space="preserve">that took approximately </w:t>
      </w:r>
      <w:r w:rsidR="000C3946" w:rsidRPr="000C3946">
        <w:rPr>
          <w:color w:val="00B0F0"/>
          <w:lang w:eastAsia="zh-HK"/>
        </w:rPr>
        <w:t>20</w:t>
      </w:r>
      <w:r w:rsidR="00F538E0" w:rsidRPr="00E8281A">
        <w:rPr>
          <w:color w:val="000000" w:themeColor="text1"/>
          <w:lang w:eastAsia="zh-HK"/>
        </w:rPr>
        <w:t xml:space="preserve"> </w:t>
      </w:r>
      <w:r w:rsidR="00F538E0" w:rsidRPr="00E8281A">
        <w:rPr>
          <w:color w:val="000000" w:themeColor="text1"/>
          <w:lang w:eastAsia="zh-HK"/>
        </w:rPr>
        <w:t>minutes</w:t>
      </w:r>
      <w:r w:rsidR="00290201" w:rsidRPr="00E8281A">
        <w:rPr>
          <w:color w:val="000000" w:themeColor="text1"/>
          <w:lang w:eastAsia="zh-HK"/>
        </w:rPr>
        <w:t>.</w:t>
      </w:r>
      <w:r w:rsidR="006F7C5F" w:rsidRPr="00E8281A">
        <w:rPr>
          <w:color w:val="000000" w:themeColor="text1"/>
          <w:lang w:eastAsia="zh-HK"/>
        </w:rPr>
        <w:t xml:space="preserve"> </w:t>
      </w:r>
      <w:r w:rsidR="0005177D" w:rsidRPr="00E8281A">
        <w:rPr>
          <w:color w:val="000000" w:themeColor="text1"/>
          <w:lang w:eastAsia="zh-HK"/>
        </w:rPr>
        <w:t xml:space="preserve">Based on children’s daily behaviors in the kindergarten context, </w:t>
      </w:r>
      <w:r w:rsidR="000B66FE">
        <w:rPr>
          <w:color w:val="000000" w:themeColor="text1"/>
          <w:lang w:eastAsia="zh-HK"/>
        </w:rPr>
        <w:t xml:space="preserve">the </w:t>
      </w:r>
      <w:r w:rsidR="0005177D" w:rsidRPr="00E8281A">
        <w:rPr>
          <w:color w:val="000000" w:themeColor="text1"/>
          <w:lang w:eastAsia="zh-HK"/>
        </w:rPr>
        <w:t>c</w:t>
      </w:r>
      <w:r w:rsidR="009A7935" w:rsidRPr="00E8281A">
        <w:rPr>
          <w:color w:val="000000" w:themeColor="text1"/>
          <w:lang w:eastAsia="zh-HK"/>
        </w:rPr>
        <w:t>lass t</w:t>
      </w:r>
      <w:r w:rsidR="0071116E" w:rsidRPr="00E8281A">
        <w:rPr>
          <w:color w:val="000000" w:themeColor="text1"/>
          <w:lang w:eastAsia="zh-HK"/>
        </w:rPr>
        <w:t xml:space="preserve">eachers </w:t>
      </w:r>
      <w:r w:rsidR="0005177D" w:rsidRPr="00E8281A">
        <w:rPr>
          <w:color w:val="000000" w:themeColor="text1"/>
          <w:lang w:eastAsia="zh-HK"/>
        </w:rPr>
        <w:t>reported</w:t>
      </w:r>
      <w:r w:rsidR="0071116E" w:rsidRPr="00E8281A">
        <w:rPr>
          <w:color w:val="000000" w:themeColor="text1"/>
          <w:lang w:eastAsia="zh-HK"/>
        </w:rPr>
        <w:t xml:space="preserve"> children’s playfulness and creative potential</w:t>
      </w:r>
      <w:r w:rsidR="0005177D" w:rsidRPr="00E8281A">
        <w:rPr>
          <w:color w:val="000000" w:themeColor="text1"/>
          <w:lang w:eastAsia="zh-HK"/>
        </w:rPr>
        <w:t xml:space="preserve"> at both Time 1 and Time 2 (six months </w:t>
      </w:r>
      <w:r w:rsidR="006235F9" w:rsidRPr="00E8281A">
        <w:rPr>
          <w:color w:val="000000" w:themeColor="text1"/>
          <w:lang w:eastAsia="zh-HK"/>
        </w:rPr>
        <w:t>apart</w:t>
      </w:r>
      <w:r w:rsidR="0005177D" w:rsidRPr="00E8281A">
        <w:rPr>
          <w:color w:val="000000" w:themeColor="text1"/>
          <w:lang w:eastAsia="zh-HK"/>
        </w:rPr>
        <w:t>)</w:t>
      </w:r>
      <w:r w:rsidR="00674D7C" w:rsidRPr="00E8281A">
        <w:rPr>
          <w:color w:val="000000" w:themeColor="text1"/>
          <w:lang w:eastAsia="zh-HK"/>
        </w:rPr>
        <w:t xml:space="preserve"> through a questionnaire, which </w:t>
      </w:r>
      <w:r w:rsidR="000B66FE">
        <w:rPr>
          <w:color w:val="000000" w:themeColor="text1"/>
          <w:lang w:eastAsia="zh-HK"/>
        </w:rPr>
        <w:t xml:space="preserve">took </w:t>
      </w:r>
      <w:r w:rsidR="000C3946" w:rsidRPr="000C3946">
        <w:rPr>
          <w:color w:val="00B0F0"/>
          <w:lang w:eastAsia="zh-HK"/>
        </w:rPr>
        <w:t>10</w:t>
      </w:r>
      <w:r w:rsidR="00082FE5" w:rsidRPr="00E8281A">
        <w:rPr>
          <w:color w:val="000000" w:themeColor="text1"/>
          <w:lang w:eastAsia="zh-HK"/>
        </w:rPr>
        <w:t xml:space="preserve"> minutes</w:t>
      </w:r>
      <w:r w:rsidR="00674D7C" w:rsidRPr="00E8281A">
        <w:rPr>
          <w:color w:val="000000" w:themeColor="text1"/>
          <w:lang w:eastAsia="zh-HK"/>
        </w:rPr>
        <w:t xml:space="preserve"> to complete.</w:t>
      </w:r>
    </w:p>
    <w:p w14:paraId="083C1488" w14:textId="47B6F143" w:rsidR="00B740F4" w:rsidRPr="00E8281A" w:rsidRDefault="00B740F4" w:rsidP="000B09E4">
      <w:pPr>
        <w:spacing w:line="480" w:lineRule="auto"/>
        <w:rPr>
          <w:b/>
          <w:bCs/>
          <w:color w:val="000000" w:themeColor="text1"/>
          <w:lang w:eastAsia="zh-HK"/>
        </w:rPr>
      </w:pPr>
      <w:r w:rsidRPr="00E8281A">
        <w:rPr>
          <w:b/>
          <w:bCs/>
          <w:color w:val="000000" w:themeColor="text1"/>
          <w:lang w:eastAsia="zh-HK"/>
        </w:rPr>
        <w:t>Measures</w:t>
      </w:r>
    </w:p>
    <w:p w14:paraId="03EC621A" w14:textId="7E5AED65" w:rsidR="00B83487" w:rsidRPr="00E8281A" w:rsidRDefault="00F43B49" w:rsidP="000B09E4">
      <w:pPr>
        <w:spacing w:line="480" w:lineRule="auto"/>
        <w:rPr>
          <w:b/>
          <w:bCs/>
          <w:i/>
          <w:iCs/>
          <w:color w:val="000000" w:themeColor="text1"/>
          <w:lang w:eastAsia="zh-HK"/>
        </w:rPr>
      </w:pPr>
      <w:r w:rsidRPr="00E8281A">
        <w:rPr>
          <w:b/>
          <w:bCs/>
          <w:i/>
          <w:iCs/>
          <w:color w:val="000000" w:themeColor="text1"/>
          <w:lang w:eastAsia="zh-HK"/>
        </w:rPr>
        <w:t xml:space="preserve">Parent-reported </w:t>
      </w:r>
      <w:r w:rsidR="00702947" w:rsidRPr="00E8281A">
        <w:rPr>
          <w:b/>
          <w:bCs/>
          <w:i/>
          <w:iCs/>
          <w:color w:val="000000" w:themeColor="text1"/>
          <w:lang w:eastAsia="zh-HK"/>
        </w:rPr>
        <w:t>O</w:t>
      </w:r>
      <w:r w:rsidR="004E5C85" w:rsidRPr="00E8281A">
        <w:rPr>
          <w:b/>
          <w:bCs/>
          <w:i/>
          <w:iCs/>
          <w:color w:val="000000" w:themeColor="text1"/>
          <w:lang w:eastAsia="zh-HK"/>
        </w:rPr>
        <w:t>verexcitabilities</w:t>
      </w:r>
      <w:r w:rsidR="00674D7C" w:rsidRPr="00E8281A">
        <w:rPr>
          <w:b/>
          <w:bCs/>
          <w:i/>
          <w:iCs/>
          <w:color w:val="000000" w:themeColor="text1"/>
          <w:lang w:eastAsia="zh-HK"/>
        </w:rPr>
        <w:t xml:space="preserve"> at Time 1</w:t>
      </w:r>
    </w:p>
    <w:p w14:paraId="1E7C37DE" w14:textId="63079E27" w:rsidR="00255588" w:rsidRPr="00E8281A" w:rsidRDefault="00B83487" w:rsidP="002C1466">
      <w:pPr>
        <w:spacing w:line="480" w:lineRule="auto"/>
        <w:rPr>
          <w:color w:val="000000" w:themeColor="text1"/>
          <w:highlight w:val="yellow"/>
          <w:lang w:eastAsia="zh-HK"/>
        </w:rPr>
      </w:pPr>
      <w:r w:rsidRPr="00E8281A">
        <w:rPr>
          <w:i/>
          <w:iCs/>
          <w:color w:val="000000" w:themeColor="text1"/>
          <w:lang w:eastAsia="zh-HK"/>
        </w:rPr>
        <w:tab/>
      </w:r>
      <w:r w:rsidR="00674D7C" w:rsidRPr="00E8281A">
        <w:rPr>
          <w:color w:val="000000" w:themeColor="text1"/>
          <w:lang w:eastAsia="zh-HK"/>
        </w:rPr>
        <w:t>O</w:t>
      </w:r>
      <w:r w:rsidR="004E5C85" w:rsidRPr="00E8281A">
        <w:rPr>
          <w:color w:val="000000" w:themeColor="text1"/>
          <w:lang w:eastAsia="zh-HK"/>
        </w:rPr>
        <w:t>verexcitabilities</w:t>
      </w:r>
      <w:r w:rsidRPr="00E8281A">
        <w:rPr>
          <w:color w:val="000000" w:themeColor="text1"/>
          <w:lang w:eastAsia="zh-HK"/>
        </w:rPr>
        <w:t xml:space="preserve"> </w:t>
      </w:r>
      <w:r w:rsidR="004E5C85" w:rsidRPr="00E8281A">
        <w:rPr>
          <w:color w:val="000000" w:themeColor="text1"/>
          <w:lang w:eastAsia="zh-HK"/>
        </w:rPr>
        <w:t>were</w:t>
      </w:r>
      <w:r w:rsidRPr="00E8281A">
        <w:rPr>
          <w:color w:val="000000" w:themeColor="text1"/>
          <w:lang w:eastAsia="zh-HK"/>
        </w:rPr>
        <w:t xml:space="preserve"> </w:t>
      </w:r>
      <w:r w:rsidR="00674D7C" w:rsidRPr="00E8281A">
        <w:rPr>
          <w:color w:val="000000" w:themeColor="text1"/>
          <w:lang w:eastAsia="zh-HK"/>
        </w:rPr>
        <w:t>measured</w:t>
      </w:r>
      <w:r w:rsidRPr="00E8281A">
        <w:rPr>
          <w:color w:val="000000" w:themeColor="text1"/>
          <w:lang w:eastAsia="zh-HK"/>
        </w:rPr>
        <w:t xml:space="preserve"> </w:t>
      </w:r>
      <w:r w:rsidR="00882CFE">
        <w:rPr>
          <w:color w:val="000000" w:themeColor="text1"/>
          <w:lang w:eastAsia="zh-HK"/>
        </w:rPr>
        <w:t xml:space="preserve">by </w:t>
      </w:r>
      <w:r w:rsidR="00F554D7" w:rsidRPr="00E8281A">
        <w:rPr>
          <w:color w:val="000000" w:themeColor="text1"/>
          <w:lang w:eastAsia="zh-HK"/>
        </w:rPr>
        <w:t xml:space="preserve">the </w:t>
      </w:r>
      <w:r w:rsidR="00E42157" w:rsidRPr="00E8281A">
        <w:rPr>
          <w:color w:val="000000" w:themeColor="text1"/>
          <w:lang w:eastAsia="zh-HK"/>
        </w:rPr>
        <w:t>Chinese version of</w:t>
      </w:r>
      <w:r w:rsidR="00232CE1" w:rsidRPr="00E8281A">
        <w:rPr>
          <w:color w:val="000000" w:themeColor="text1"/>
          <w:lang w:eastAsia="zh-HK"/>
        </w:rPr>
        <w:t xml:space="preserve"> </w:t>
      </w:r>
      <w:r w:rsidR="00E42157" w:rsidRPr="00E8281A">
        <w:rPr>
          <w:color w:val="000000" w:themeColor="text1"/>
          <w:lang w:eastAsia="zh-HK"/>
        </w:rPr>
        <w:t xml:space="preserve">Overexcitability Questionnaire–Two (OEQII; </w:t>
      </w:r>
      <w:r w:rsidR="008B5B5D" w:rsidRPr="00E8281A">
        <w:rPr>
          <w:color w:val="000000" w:themeColor="text1"/>
          <w:lang w:eastAsia="zh-HK"/>
        </w:rPr>
        <w:t>Falk</w:t>
      </w:r>
      <w:r w:rsidR="00107880" w:rsidRPr="00E8281A">
        <w:rPr>
          <w:color w:val="000000" w:themeColor="text1"/>
          <w:lang w:eastAsia="zh-HK"/>
        </w:rPr>
        <w:t xml:space="preserve"> et al.</w:t>
      </w:r>
      <w:r w:rsidR="008B5B5D" w:rsidRPr="00E8281A">
        <w:rPr>
          <w:color w:val="000000" w:themeColor="text1"/>
          <w:lang w:eastAsia="zh-HK"/>
        </w:rPr>
        <w:t>, 1999</w:t>
      </w:r>
      <w:r w:rsidR="00E42157" w:rsidRPr="00E8281A">
        <w:rPr>
          <w:color w:val="000000" w:themeColor="text1"/>
          <w:lang w:eastAsia="zh-HK"/>
        </w:rPr>
        <w:t>)</w:t>
      </w:r>
      <w:r w:rsidR="00674D7C" w:rsidRPr="00E8281A">
        <w:rPr>
          <w:color w:val="000000" w:themeColor="text1"/>
          <w:lang w:eastAsia="zh-HK"/>
        </w:rPr>
        <w:t xml:space="preserve">. </w:t>
      </w:r>
      <w:r w:rsidR="007F4801" w:rsidRPr="00E8281A">
        <w:rPr>
          <w:color w:val="000000" w:themeColor="text1"/>
          <w:lang w:eastAsia="zh-HK"/>
        </w:rPr>
        <w:t xml:space="preserve">The </w:t>
      </w:r>
      <w:r w:rsidR="00674D7C" w:rsidRPr="00E8281A">
        <w:rPr>
          <w:color w:val="000000" w:themeColor="text1"/>
          <w:lang w:eastAsia="zh-HK"/>
        </w:rPr>
        <w:t xml:space="preserve">OEQII </w:t>
      </w:r>
      <w:r w:rsidR="00077342">
        <w:rPr>
          <w:color w:val="000000" w:themeColor="text1"/>
          <w:lang w:eastAsia="zh-HK"/>
        </w:rPr>
        <w:t xml:space="preserve">has been </w:t>
      </w:r>
      <w:r w:rsidR="00674D7C" w:rsidRPr="00E8281A">
        <w:rPr>
          <w:color w:val="000000" w:themeColor="text1"/>
          <w:lang w:eastAsia="zh-HK"/>
        </w:rPr>
        <w:t>employed in research locally and internationally</w:t>
      </w:r>
      <w:r w:rsidR="00624EE2" w:rsidRPr="00E8281A">
        <w:rPr>
          <w:color w:val="000000" w:themeColor="text1"/>
          <w:lang w:eastAsia="zh-HK"/>
        </w:rPr>
        <w:t xml:space="preserve"> (</w:t>
      </w:r>
      <w:r w:rsidR="00384994" w:rsidRPr="00E8281A">
        <w:rPr>
          <w:color w:val="000000" w:themeColor="text1"/>
          <w:szCs w:val="20"/>
          <w:lang w:eastAsia="zh-HK"/>
        </w:rPr>
        <w:t xml:space="preserve">Chang &amp; Kuo, 2013; </w:t>
      </w:r>
      <w:r w:rsidR="00384994" w:rsidRPr="00E8281A">
        <w:rPr>
          <w:color w:val="000000" w:themeColor="text1"/>
          <w:lang w:eastAsia="zh-HK"/>
        </w:rPr>
        <w:t>Fung &amp; Chung, 2021</w:t>
      </w:r>
      <w:r w:rsidR="00624EE2" w:rsidRPr="00E8281A">
        <w:rPr>
          <w:color w:val="000000" w:themeColor="text1"/>
          <w:lang w:eastAsia="zh-HK"/>
        </w:rPr>
        <w:t>)</w:t>
      </w:r>
      <w:r w:rsidR="00BA2C6E" w:rsidRPr="00E8281A">
        <w:rPr>
          <w:color w:val="000000" w:themeColor="text1"/>
          <w:lang w:eastAsia="zh-HK"/>
        </w:rPr>
        <w:t>.</w:t>
      </w:r>
      <w:bookmarkStart w:id="29" w:name="_Hlk68778835"/>
      <w:r w:rsidR="00384994" w:rsidRPr="00E8281A">
        <w:rPr>
          <w:color w:val="000000" w:themeColor="text1"/>
          <w:lang w:eastAsia="zh-HK"/>
        </w:rPr>
        <w:t xml:space="preserve"> </w:t>
      </w:r>
      <w:bookmarkStart w:id="30" w:name="_Hlk136604392"/>
      <w:bookmarkEnd w:id="29"/>
      <w:r w:rsidR="002F6D1F" w:rsidRPr="00E8281A">
        <w:rPr>
          <w:color w:val="000000" w:themeColor="text1"/>
          <w:lang w:eastAsia="zh-HK"/>
        </w:rPr>
        <w:t>Previous results also revealed the reliab</w:t>
      </w:r>
      <w:r w:rsidR="0024452E" w:rsidRPr="00E8281A">
        <w:rPr>
          <w:color w:val="000000" w:themeColor="text1"/>
          <w:lang w:eastAsia="zh-HK"/>
        </w:rPr>
        <w:t>ility</w:t>
      </w:r>
      <w:r w:rsidR="002F6D1F" w:rsidRPr="00E8281A">
        <w:rPr>
          <w:color w:val="000000" w:themeColor="text1"/>
          <w:lang w:eastAsia="zh-HK"/>
        </w:rPr>
        <w:t xml:space="preserve"> </w:t>
      </w:r>
      <w:r w:rsidR="00FF3084" w:rsidRPr="00E8281A">
        <w:rPr>
          <w:color w:val="000000" w:themeColor="text1"/>
          <w:lang w:eastAsia="zh-HK"/>
        </w:rPr>
        <w:t xml:space="preserve">of its test scores </w:t>
      </w:r>
      <w:r w:rsidR="002F6D1F" w:rsidRPr="00E8281A">
        <w:rPr>
          <w:color w:val="000000" w:themeColor="text1"/>
          <w:lang w:eastAsia="zh-HK"/>
        </w:rPr>
        <w:t xml:space="preserve">(Cronbach’s alphas &gt; .80; De Bondt et al., 2021) and </w:t>
      </w:r>
      <w:r w:rsidR="00DB288D" w:rsidRPr="00E8281A">
        <w:rPr>
          <w:color w:val="000000" w:themeColor="text1"/>
          <w:lang w:eastAsia="zh-HK"/>
        </w:rPr>
        <w:t xml:space="preserve">the </w:t>
      </w:r>
      <w:r w:rsidR="002F6D1F" w:rsidRPr="00E8281A">
        <w:rPr>
          <w:color w:val="000000" w:themeColor="text1"/>
          <w:lang w:eastAsia="zh-HK"/>
        </w:rPr>
        <w:t>valid</w:t>
      </w:r>
      <w:r w:rsidR="0024452E" w:rsidRPr="00E8281A">
        <w:rPr>
          <w:color w:val="000000" w:themeColor="text1"/>
          <w:lang w:eastAsia="zh-HK"/>
        </w:rPr>
        <w:t>ity</w:t>
      </w:r>
      <w:r w:rsidR="002F6D1F" w:rsidRPr="00E8281A">
        <w:rPr>
          <w:color w:val="000000" w:themeColor="text1"/>
          <w:lang w:eastAsia="zh-HK"/>
        </w:rPr>
        <w:t xml:space="preserve"> </w:t>
      </w:r>
      <w:r w:rsidR="00FF3084" w:rsidRPr="00E8281A">
        <w:rPr>
          <w:color w:val="000000" w:themeColor="text1"/>
          <w:lang w:eastAsia="zh-HK"/>
        </w:rPr>
        <w:t xml:space="preserve">of test score interpretations </w:t>
      </w:r>
      <w:r w:rsidR="002F6D1F" w:rsidRPr="00E8281A">
        <w:rPr>
          <w:color w:val="000000" w:themeColor="text1"/>
          <w:lang w:eastAsia="zh-HK"/>
        </w:rPr>
        <w:t>(factorial validity; De Bondt &amp; Van Petegem, 2015)</w:t>
      </w:r>
      <w:r w:rsidR="0024452E" w:rsidRPr="00E8281A">
        <w:rPr>
          <w:color w:val="000000" w:themeColor="text1"/>
          <w:lang w:eastAsia="zh-HK"/>
        </w:rPr>
        <w:t xml:space="preserve">. </w:t>
      </w:r>
      <w:bookmarkEnd w:id="30"/>
      <w:r w:rsidR="00674D7C" w:rsidRPr="00E8281A">
        <w:rPr>
          <w:color w:val="000000" w:themeColor="text1"/>
          <w:lang w:eastAsia="zh-HK"/>
        </w:rPr>
        <w:t xml:space="preserve">This </w:t>
      </w:r>
      <w:r w:rsidR="001B63ED" w:rsidRPr="00E8281A">
        <w:rPr>
          <w:color w:val="000000" w:themeColor="text1"/>
          <w:lang w:eastAsia="zh-HK"/>
        </w:rPr>
        <w:t>instrument</w:t>
      </w:r>
      <w:r w:rsidR="00674D7C" w:rsidRPr="00E8281A">
        <w:rPr>
          <w:color w:val="000000" w:themeColor="text1"/>
          <w:lang w:eastAsia="zh-HK"/>
        </w:rPr>
        <w:t xml:space="preserve"> consist</w:t>
      </w:r>
      <w:r w:rsidR="00077342">
        <w:rPr>
          <w:color w:val="000000" w:themeColor="text1"/>
          <w:lang w:eastAsia="zh-HK"/>
        </w:rPr>
        <w:t>s</w:t>
      </w:r>
      <w:r w:rsidR="00674D7C" w:rsidRPr="00E8281A">
        <w:rPr>
          <w:color w:val="000000" w:themeColor="text1"/>
          <w:lang w:eastAsia="zh-HK"/>
        </w:rPr>
        <w:t xml:space="preserve"> of</w:t>
      </w:r>
      <w:r w:rsidR="00384994" w:rsidRPr="00E8281A">
        <w:rPr>
          <w:color w:val="000000" w:themeColor="text1"/>
          <w:lang w:eastAsia="zh-HK"/>
        </w:rPr>
        <w:t xml:space="preserve"> five subscales</w:t>
      </w:r>
      <w:r w:rsidR="00B21287" w:rsidRPr="00E8281A">
        <w:rPr>
          <w:color w:val="000000" w:themeColor="text1"/>
          <w:lang w:eastAsia="zh-HK"/>
        </w:rPr>
        <w:t>,</w:t>
      </w:r>
      <w:r w:rsidR="00384994" w:rsidRPr="00E8281A">
        <w:rPr>
          <w:color w:val="000000" w:themeColor="text1"/>
          <w:lang w:eastAsia="zh-HK"/>
        </w:rPr>
        <w:t xml:space="preserve"> </w:t>
      </w:r>
      <w:r w:rsidR="00674D7C" w:rsidRPr="00E8281A">
        <w:rPr>
          <w:color w:val="000000" w:themeColor="text1"/>
          <w:lang w:eastAsia="zh-HK"/>
        </w:rPr>
        <w:t xml:space="preserve">and each of them has </w:t>
      </w:r>
      <w:r w:rsidR="00CE2863" w:rsidRPr="00CE2863">
        <w:rPr>
          <w:color w:val="00B0F0"/>
          <w:lang w:eastAsia="zh-HK"/>
        </w:rPr>
        <w:t>10</w:t>
      </w:r>
      <w:r w:rsidR="00674D7C" w:rsidRPr="00E8281A">
        <w:rPr>
          <w:color w:val="000000" w:themeColor="text1"/>
          <w:lang w:eastAsia="zh-HK"/>
        </w:rPr>
        <w:t xml:space="preserve"> items</w:t>
      </w:r>
      <w:r w:rsidR="00384994" w:rsidRPr="00E8281A">
        <w:rPr>
          <w:color w:val="000000" w:themeColor="text1"/>
          <w:lang w:eastAsia="zh-HK"/>
        </w:rPr>
        <w:t xml:space="preserve">: </w:t>
      </w:r>
      <w:r w:rsidR="00C46B68" w:rsidRPr="00E8281A">
        <w:rPr>
          <w:color w:val="000000" w:themeColor="text1"/>
          <w:lang w:eastAsia="zh-HK"/>
        </w:rPr>
        <w:t xml:space="preserve">imaginational </w:t>
      </w:r>
      <w:r w:rsidR="008A34AE" w:rsidRPr="00E8281A">
        <w:rPr>
          <w:color w:val="000000" w:themeColor="text1"/>
          <w:lang w:eastAsia="zh-HK"/>
        </w:rPr>
        <w:t xml:space="preserve">(e.g., </w:t>
      </w:r>
      <w:r w:rsidR="001F190E" w:rsidRPr="00E8281A">
        <w:rPr>
          <w:color w:val="000000" w:themeColor="text1"/>
          <w:lang w:eastAsia="zh-HK"/>
        </w:rPr>
        <w:t>“</w:t>
      </w:r>
      <w:r w:rsidR="000A0D4E" w:rsidRPr="00E8281A">
        <w:rPr>
          <w:color w:val="000000" w:themeColor="text1"/>
          <w:lang w:eastAsia="zh-HK"/>
        </w:rPr>
        <w:t>When the child get</w:t>
      </w:r>
      <w:r w:rsidR="00EE7A81" w:rsidRPr="00E8281A">
        <w:rPr>
          <w:color w:val="000000" w:themeColor="text1"/>
          <w:lang w:eastAsia="zh-HK"/>
        </w:rPr>
        <w:t>s</w:t>
      </w:r>
      <w:r w:rsidR="000A0D4E" w:rsidRPr="00E8281A">
        <w:rPr>
          <w:color w:val="000000" w:themeColor="text1"/>
          <w:lang w:eastAsia="zh-HK"/>
        </w:rPr>
        <w:t xml:space="preserve"> bored, s/he begins to daydream</w:t>
      </w:r>
      <w:r w:rsidR="001F190E" w:rsidRPr="00E8281A">
        <w:rPr>
          <w:color w:val="000000" w:themeColor="text1"/>
          <w:lang w:eastAsia="zh-HK"/>
        </w:rPr>
        <w:t>”</w:t>
      </w:r>
      <w:r w:rsidR="004E5C85" w:rsidRPr="00E8281A">
        <w:rPr>
          <w:color w:val="000000" w:themeColor="text1"/>
          <w:lang w:eastAsia="zh-HK"/>
        </w:rPr>
        <w:t>), psychomotor</w:t>
      </w:r>
      <w:r w:rsidR="000C6E1F" w:rsidRPr="00E8281A">
        <w:rPr>
          <w:color w:val="000000" w:themeColor="text1"/>
          <w:lang w:eastAsia="zh-HK"/>
        </w:rPr>
        <w:t xml:space="preserve"> (e.g., “</w:t>
      </w:r>
      <w:r w:rsidR="000A0D4E" w:rsidRPr="00E8281A">
        <w:rPr>
          <w:color w:val="000000" w:themeColor="text1"/>
          <w:lang w:eastAsia="zh-HK"/>
        </w:rPr>
        <w:t>The longer that the child has to sit still, the more restless s/he gets</w:t>
      </w:r>
      <w:r w:rsidR="000C6E1F" w:rsidRPr="00E8281A">
        <w:rPr>
          <w:color w:val="000000" w:themeColor="text1"/>
          <w:lang w:eastAsia="zh-HK"/>
        </w:rPr>
        <w:t>”</w:t>
      </w:r>
      <w:r w:rsidR="00384994" w:rsidRPr="00E8281A">
        <w:rPr>
          <w:color w:val="000000" w:themeColor="text1"/>
          <w:lang w:eastAsia="zh-HK"/>
        </w:rPr>
        <w:t xml:space="preserve">), </w:t>
      </w:r>
      <w:r w:rsidR="000C6E1F" w:rsidRPr="00E8281A">
        <w:rPr>
          <w:color w:val="000000" w:themeColor="text1"/>
          <w:lang w:eastAsia="zh-HK"/>
        </w:rPr>
        <w:t xml:space="preserve">sensual (e.g., </w:t>
      </w:r>
      <w:r w:rsidR="00CE3D20" w:rsidRPr="00E8281A">
        <w:rPr>
          <w:color w:val="000000" w:themeColor="text1"/>
          <w:lang w:eastAsia="zh-HK"/>
        </w:rPr>
        <w:t xml:space="preserve">“My child </w:t>
      </w:r>
      <w:r w:rsidR="000A0D4E" w:rsidRPr="00E8281A">
        <w:rPr>
          <w:color w:val="000000" w:themeColor="text1"/>
          <w:lang w:eastAsia="zh-HK"/>
        </w:rPr>
        <w:t>enjoys the sensations of colors, shapes, and designs</w:t>
      </w:r>
      <w:r w:rsidR="00CE3D20" w:rsidRPr="00E8281A">
        <w:rPr>
          <w:color w:val="000000" w:themeColor="text1"/>
          <w:lang w:eastAsia="zh-HK"/>
        </w:rPr>
        <w:t>”</w:t>
      </w:r>
      <w:r w:rsidR="000C6E1F" w:rsidRPr="00E8281A">
        <w:rPr>
          <w:color w:val="000000" w:themeColor="text1"/>
          <w:lang w:eastAsia="zh-HK"/>
        </w:rPr>
        <w:t xml:space="preserve">), intellectual (e.g., </w:t>
      </w:r>
      <w:r w:rsidR="00CE3D20" w:rsidRPr="00E8281A">
        <w:rPr>
          <w:color w:val="000000" w:themeColor="text1"/>
          <w:lang w:eastAsia="zh-HK"/>
        </w:rPr>
        <w:t xml:space="preserve">“My child </w:t>
      </w:r>
      <w:r w:rsidR="000A0D4E" w:rsidRPr="00E8281A">
        <w:rPr>
          <w:color w:val="000000" w:themeColor="text1"/>
          <w:lang w:eastAsia="zh-HK"/>
        </w:rPr>
        <w:t>loves to solve problems and develop new concepts</w:t>
      </w:r>
      <w:r w:rsidR="00CE3D20" w:rsidRPr="00E8281A">
        <w:rPr>
          <w:color w:val="000000" w:themeColor="text1"/>
          <w:lang w:eastAsia="zh-HK"/>
        </w:rPr>
        <w:t>”</w:t>
      </w:r>
      <w:r w:rsidR="000C6E1F" w:rsidRPr="00E8281A">
        <w:rPr>
          <w:color w:val="000000" w:themeColor="text1"/>
          <w:lang w:eastAsia="zh-HK"/>
        </w:rPr>
        <w:t xml:space="preserve">), and emotional (e.g., </w:t>
      </w:r>
      <w:r w:rsidR="00CE3D20" w:rsidRPr="00E8281A">
        <w:rPr>
          <w:color w:val="000000" w:themeColor="text1"/>
          <w:lang w:eastAsia="zh-HK"/>
        </w:rPr>
        <w:t>“</w:t>
      </w:r>
      <w:r w:rsidR="000A0D4E" w:rsidRPr="00E8281A">
        <w:rPr>
          <w:color w:val="000000" w:themeColor="text1"/>
          <w:lang w:eastAsia="zh-HK"/>
        </w:rPr>
        <w:t>My child's strong emotions move him</w:t>
      </w:r>
      <w:r w:rsidR="00A92F73">
        <w:rPr>
          <w:color w:val="000000" w:themeColor="text1"/>
          <w:lang w:eastAsia="zh-HK"/>
        </w:rPr>
        <w:t xml:space="preserve"> or </w:t>
      </w:r>
      <w:r w:rsidR="000A0D4E" w:rsidRPr="00E8281A">
        <w:rPr>
          <w:color w:val="000000" w:themeColor="text1"/>
          <w:lang w:eastAsia="zh-HK"/>
        </w:rPr>
        <w:t>her to tears</w:t>
      </w:r>
      <w:r w:rsidR="00CE3D20" w:rsidRPr="00E8281A">
        <w:rPr>
          <w:color w:val="000000" w:themeColor="text1"/>
          <w:lang w:eastAsia="zh-HK"/>
        </w:rPr>
        <w:t>”</w:t>
      </w:r>
      <w:r w:rsidR="000C6E1F" w:rsidRPr="00E8281A">
        <w:rPr>
          <w:color w:val="000000" w:themeColor="text1"/>
          <w:lang w:eastAsia="zh-HK"/>
        </w:rPr>
        <w:t>).</w:t>
      </w:r>
      <w:r w:rsidR="00453EC3" w:rsidRPr="00E8281A">
        <w:rPr>
          <w:color w:val="000000" w:themeColor="text1"/>
          <w:lang w:eastAsia="zh-HK"/>
        </w:rPr>
        <w:t xml:space="preserve"> </w:t>
      </w:r>
      <w:r w:rsidR="00A92F73">
        <w:rPr>
          <w:color w:val="000000" w:themeColor="text1"/>
          <w:lang w:eastAsia="zh-HK"/>
        </w:rPr>
        <w:t>The p</w:t>
      </w:r>
      <w:r w:rsidR="009E3124" w:rsidRPr="00E8281A">
        <w:rPr>
          <w:color w:val="000000" w:themeColor="text1"/>
          <w:lang w:eastAsia="zh-HK"/>
        </w:rPr>
        <w:t xml:space="preserve">arents rated </w:t>
      </w:r>
      <w:r w:rsidR="000A0D4E" w:rsidRPr="00E8281A">
        <w:rPr>
          <w:color w:val="000000" w:themeColor="text1"/>
          <w:lang w:eastAsia="zh-HK"/>
        </w:rPr>
        <w:t>the</w:t>
      </w:r>
      <w:r w:rsidR="009E3124" w:rsidRPr="00E8281A">
        <w:rPr>
          <w:color w:val="000000" w:themeColor="text1"/>
          <w:lang w:eastAsia="zh-HK"/>
        </w:rPr>
        <w:t xml:space="preserve"> item</w:t>
      </w:r>
      <w:r w:rsidR="000A0D4E" w:rsidRPr="00E8281A">
        <w:rPr>
          <w:color w:val="000000" w:themeColor="text1"/>
          <w:lang w:eastAsia="zh-HK"/>
        </w:rPr>
        <w:t>s</w:t>
      </w:r>
      <w:r w:rsidR="009E3124" w:rsidRPr="00E8281A">
        <w:rPr>
          <w:color w:val="000000" w:themeColor="text1"/>
          <w:lang w:eastAsia="zh-HK"/>
        </w:rPr>
        <w:t xml:space="preserve"> </w:t>
      </w:r>
      <w:r w:rsidR="008A34AE" w:rsidRPr="00E8281A">
        <w:rPr>
          <w:color w:val="000000" w:themeColor="text1"/>
          <w:lang w:eastAsia="zh-HK"/>
        </w:rPr>
        <w:t>on a 5-point scale ranging from 1 (</w:t>
      </w:r>
      <w:r w:rsidR="00C46B68" w:rsidRPr="00E8281A">
        <w:rPr>
          <w:i/>
          <w:iCs/>
          <w:color w:val="000000" w:themeColor="text1"/>
          <w:lang w:eastAsia="zh-HK"/>
        </w:rPr>
        <w:t>not like</w:t>
      </w:r>
      <w:r w:rsidR="008A34AE" w:rsidRPr="00E8281A">
        <w:rPr>
          <w:color w:val="000000" w:themeColor="text1"/>
          <w:lang w:eastAsia="zh-HK"/>
        </w:rPr>
        <w:t>) to 5 (</w:t>
      </w:r>
      <w:r w:rsidR="006F10C4" w:rsidRPr="00E8281A">
        <w:rPr>
          <w:i/>
          <w:iCs/>
          <w:color w:val="000000" w:themeColor="text1"/>
          <w:lang w:eastAsia="zh-HK"/>
        </w:rPr>
        <w:t>exactly</w:t>
      </w:r>
      <w:r w:rsidR="00C46B68" w:rsidRPr="00E8281A">
        <w:rPr>
          <w:i/>
          <w:iCs/>
          <w:color w:val="000000" w:themeColor="text1"/>
          <w:lang w:eastAsia="zh-HK"/>
        </w:rPr>
        <w:t xml:space="preserve"> like</w:t>
      </w:r>
      <w:r w:rsidR="008A34AE" w:rsidRPr="00E8281A">
        <w:rPr>
          <w:color w:val="000000" w:themeColor="text1"/>
          <w:lang w:eastAsia="zh-HK"/>
        </w:rPr>
        <w:t xml:space="preserve">). </w:t>
      </w:r>
      <w:r w:rsidR="0027272F" w:rsidRPr="00E8281A">
        <w:rPr>
          <w:color w:val="000000" w:themeColor="text1"/>
          <w:lang w:eastAsia="zh-HK"/>
        </w:rPr>
        <w:t xml:space="preserve">The </w:t>
      </w:r>
      <w:r w:rsidR="000A0D4E" w:rsidRPr="00E8281A">
        <w:rPr>
          <w:color w:val="000000" w:themeColor="text1"/>
          <w:lang w:eastAsia="zh-HK"/>
        </w:rPr>
        <w:t>mean</w:t>
      </w:r>
      <w:r w:rsidR="0027272F" w:rsidRPr="00E8281A">
        <w:rPr>
          <w:color w:val="000000" w:themeColor="text1"/>
          <w:lang w:eastAsia="zh-HK"/>
        </w:rPr>
        <w:t xml:space="preserve"> score</w:t>
      </w:r>
      <w:r w:rsidR="000C6E1F" w:rsidRPr="00E8281A">
        <w:rPr>
          <w:color w:val="000000" w:themeColor="text1"/>
          <w:lang w:eastAsia="zh-HK"/>
        </w:rPr>
        <w:t>s of the subscales</w:t>
      </w:r>
      <w:r w:rsidR="0027272F" w:rsidRPr="00E8281A">
        <w:rPr>
          <w:color w:val="000000" w:themeColor="text1"/>
          <w:lang w:eastAsia="zh-HK"/>
        </w:rPr>
        <w:t xml:space="preserve"> </w:t>
      </w:r>
      <w:r w:rsidR="0024543F" w:rsidRPr="00E8281A">
        <w:rPr>
          <w:color w:val="000000" w:themeColor="text1"/>
          <w:lang w:eastAsia="zh-HK"/>
        </w:rPr>
        <w:t>corresponded with</w:t>
      </w:r>
      <w:r w:rsidR="00B21287" w:rsidRPr="00E8281A" w:rsidDel="00B21287">
        <w:rPr>
          <w:color w:val="000000" w:themeColor="text1"/>
          <w:lang w:eastAsia="zh-HK"/>
        </w:rPr>
        <w:t xml:space="preserve"> </w:t>
      </w:r>
      <w:r w:rsidR="0027272F" w:rsidRPr="00E8281A">
        <w:rPr>
          <w:color w:val="000000" w:themeColor="text1"/>
          <w:lang w:eastAsia="zh-HK"/>
        </w:rPr>
        <w:t xml:space="preserve">children’s </w:t>
      </w:r>
      <w:r w:rsidR="00F554D7" w:rsidRPr="00E8281A">
        <w:rPr>
          <w:color w:val="000000" w:themeColor="text1"/>
          <w:lang w:eastAsia="zh-HK"/>
        </w:rPr>
        <w:t xml:space="preserve">imaginational, psychomotor, sensual, intellectual, and emotional </w:t>
      </w:r>
      <w:r w:rsidR="000C6E1F" w:rsidRPr="00E8281A">
        <w:rPr>
          <w:color w:val="000000" w:themeColor="text1"/>
          <w:lang w:eastAsia="zh-HK"/>
        </w:rPr>
        <w:t>overexcitabilities</w:t>
      </w:r>
      <w:r w:rsidR="0027272F" w:rsidRPr="00E8281A">
        <w:rPr>
          <w:color w:val="000000" w:themeColor="text1"/>
          <w:lang w:eastAsia="zh-HK"/>
        </w:rPr>
        <w:t>.</w:t>
      </w:r>
      <w:r w:rsidR="00EA505B" w:rsidRPr="00E8281A">
        <w:rPr>
          <w:color w:val="000000" w:themeColor="text1"/>
          <w:lang w:eastAsia="zh-HK"/>
        </w:rPr>
        <w:t xml:space="preserve"> </w:t>
      </w:r>
      <w:bookmarkStart w:id="31" w:name="_Hlk136606924"/>
      <w:r w:rsidR="004044BF" w:rsidRPr="00E8281A">
        <w:rPr>
          <w:color w:val="000000" w:themeColor="text1"/>
          <w:lang w:eastAsia="zh-HK"/>
        </w:rPr>
        <w:t xml:space="preserve">In this study, the Cronbach’s alphas of the </w:t>
      </w:r>
      <w:r w:rsidR="0024452E" w:rsidRPr="00E8281A">
        <w:rPr>
          <w:color w:val="000000" w:themeColor="text1"/>
          <w:lang w:eastAsia="zh-HK"/>
        </w:rPr>
        <w:t xml:space="preserve">test scores under the </w:t>
      </w:r>
      <w:r w:rsidR="004044BF" w:rsidRPr="00E8281A">
        <w:rPr>
          <w:color w:val="000000" w:themeColor="text1"/>
          <w:lang w:eastAsia="zh-HK"/>
        </w:rPr>
        <w:t>imaginational, psychomotor</w:t>
      </w:r>
      <w:r w:rsidR="004044BF" w:rsidRPr="00CE2863">
        <w:rPr>
          <w:lang w:eastAsia="zh-HK"/>
        </w:rPr>
        <w:t>, sensual, intellectual, and emotional subscales were .84, .81, .74, .84, and .71, respectively</w:t>
      </w:r>
      <w:r w:rsidR="004044BF" w:rsidRPr="00E8281A">
        <w:rPr>
          <w:color w:val="000000" w:themeColor="text1"/>
          <w:lang w:eastAsia="zh-HK"/>
        </w:rPr>
        <w:t>.</w:t>
      </w:r>
      <w:bookmarkEnd w:id="31"/>
    </w:p>
    <w:p w14:paraId="1E7810E0" w14:textId="48FB926E" w:rsidR="001E7CAC" w:rsidRPr="00E8281A" w:rsidRDefault="00F43B49" w:rsidP="00D607D4">
      <w:pPr>
        <w:spacing w:line="480" w:lineRule="auto"/>
        <w:rPr>
          <w:b/>
          <w:bCs/>
          <w:i/>
          <w:color w:val="000000" w:themeColor="text1"/>
          <w:lang w:eastAsia="zh-HK"/>
        </w:rPr>
      </w:pPr>
      <w:r w:rsidRPr="00E8281A">
        <w:rPr>
          <w:b/>
          <w:bCs/>
          <w:i/>
          <w:color w:val="000000" w:themeColor="text1"/>
          <w:lang w:eastAsia="zh-HK"/>
        </w:rPr>
        <w:lastRenderedPageBreak/>
        <w:t xml:space="preserve">Teacher-reported </w:t>
      </w:r>
      <w:r w:rsidR="00702947" w:rsidRPr="00E8281A">
        <w:rPr>
          <w:b/>
          <w:bCs/>
          <w:i/>
          <w:color w:val="000000" w:themeColor="text1"/>
          <w:lang w:eastAsia="zh-HK"/>
        </w:rPr>
        <w:t>P</w:t>
      </w:r>
      <w:r w:rsidR="00200009" w:rsidRPr="00E8281A">
        <w:rPr>
          <w:b/>
          <w:bCs/>
          <w:i/>
          <w:color w:val="000000" w:themeColor="text1"/>
          <w:lang w:eastAsia="zh-HK"/>
        </w:rPr>
        <w:t>layfulness</w:t>
      </w:r>
      <w:r w:rsidR="007F4801" w:rsidRPr="00E8281A">
        <w:rPr>
          <w:b/>
          <w:bCs/>
          <w:i/>
          <w:color w:val="000000" w:themeColor="text1"/>
          <w:lang w:eastAsia="zh-HK"/>
        </w:rPr>
        <w:t xml:space="preserve"> at Time</w:t>
      </w:r>
      <w:r w:rsidR="0046081C">
        <w:rPr>
          <w:b/>
          <w:bCs/>
          <w:i/>
          <w:color w:val="000000" w:themeColor="text1"/>
          <w:lang w:eastAsia="zh-HK"/>
        </w:rPr>
        <w:t>s</w:t>
      </w:r>
      <w:r w:rsidR="007F4801" w:rsidRPr="00E8281A">
        <w:rPr>
          <w:b/>
          <w:bCs/>
          <w:i/>
          <w:color w:val="000000" w:themeColor="text1"/>
          <w:lang w:eastAsia="zh-HK"/>
        </w:rPr>
        <w:t xml:space="preserve"> 1 and 2</w:t>
      </w:r>
    </w:p>
    <w:p w14:paraId="7F2C10F3" w14:textId="74D9B837" w:rsidR="008A5A8C" w:rsidRPr="00E8281A" w:rsidRDefault="007F4801" w:rsidP="00001A8C">
      <w:pPr>
        <w:spacing w:line="480" w:lineRule="auto"/>
        <w:ind w:firstLine="480"/>
        <w:rPr>
          <w:color w:val="000000" w:themeColor="text1"/>
          <w:lang w:eastAsia="zh-HK"/>
        </w:rPr>
      </w:pPr>
      <w:r w:rsidRPr="00E8281A">
        <w:rPr>
          <w:color w:val="000000" w:themeColor="text1"/>
          <w:lang w:eastAsia="zh-HK"/>
        </w:rPr>
        <w:t>P</w:t>
      </w:r>
      <w:r w:rsidR="00200009" w:rsidRPr="00E8281A">
        <w:rPr>
          <w:color w:val="000000" w:themeColor="text1"/>
          <w:lang w:eastAsia="zh-HK"/>
        </w:rPr>
        <w:t>layfulness</w:t>
      </w:r>
      <w:r w:rsidR="00E11DB4" w:rsidRPr="00E8281A">
        <w:rPr>
          <w:color w:val="000000" w:themeColor="text1"/>
          <w:lang w:eastAsia="zh-HK"/>
        </w:rPr>
        <w:t xml:space="preserve"> w</w:t>
      </w:r>
      <w:r w:rsidR="00200009" w:rsidRPr="00E8281A">
        <w:rPr>
          <w:color w:val="000000" w:themeColor="text1"/>
          <w:lang w:eastAsia="zh-HK"/>
        </w:rPr>
        <w:t>as</w:t>
      </w:r>
      <w:r w:rsidR="00E11DB4" w:rsidRPr="00E8281A">
        <w:rPr>
          <w:color w:val="000000" w:themeColor="text1"/>
          <w:lang w:eastAsia="zh-HK"/>
        </w:rPr>
        <w:t xml:space="preserve"> </w:t>
      </w:r>
      <w:r w:rsidRPr="00E8281A">
        <w:rPr>
          <w:color w:val="000000" w:themeColor="text1"/>
          <w:lang w:eastAsia="zh-HK"/>
        </w:rPr>
        <w:t>measured</w:t>
      </w:r>
      <w:r w:rsidR="00E11DB4" w:rsidRPr="00E8281A">
        <w:rPr>
          <w:color w:val="000000" w:themeColor="text1"/>
          <w:lang w:eastAsia="zh-HK"/>
        </w:rPr>
        <w:t xml:space="preserve"> </w:t>
      </w:r>
      <w:r w:rsidR="00882CFE">
        <w:rPr>
          <w:color w:val="000000" w:themeColor="text1"/>
          <w:lang w:eastAsia="zh-HK"/>
        </w:rPr>
        <w:t>with</w:t>
      </w:r>
      <w:r w:rsidR="00E11DB4" w:rsidRPr="00E8281A">
        <w:rPr>
          <w:color w:val="000000" w:themeColor="text1"/>
          <w:lang w:eastAsia="zh-HK"/>
        </w:rPr>
        <w:t xml:space="preserve"> the Children’s Playfulness Scale</w:t>
      </w:r>
      <w:r w:rsidR="001F190E" w:rsidRPr="00E8281A">
        <w:rPr>
          <w:color w:val="000000" w:themeColor="text1"/>
          <w:lang w:eastAsia="zh-HK"/>
        </w:rPr>
        <w:t xml:space="preserve"> (CPS; Barnett, 1991)</w:t>
      </w:r>
      <w:r w:rsidR="00B21287" w:rsidRPr="00E8281A">
        <w:rPr>
          <w:color w:val="000000" w:themeColor="text1"/>
          <w:lang w:eastAsia="zh-HK"/>
        </w:rPr>
        <w:t>,</w:t>
      </w:r>
      <w:r w:rsidRPr="00E8281A">
        <w:rPr>
          <w:color w:val="000000" w:themeColor="text1"/>
          <w:lang w:eastAsia="zh-HK"/>
        </w:rPr>
        <w:t xml:space="preserve"> </w:t>
      </w:r>
      <w:r w:rsidR="00882CFE">
        <w:rPr>
          <w:color w:val="000000" w:themeColor="text1"/>
          <w:lang w:eastAsia="zh-HK"/>
        </w:rPr>
        <w:t xml:space="preserve">an </w:t>
      </w:r>
      <w:r w:rsidRPr="00E8281A">
        <w:rPr>
          <w:color w:val="000000" w:themeColor="text1"/>
          <w:lang w:eastAsia="zh-HK"/>
        </w:rPr>
        <w:t>instrument</w:t>
      </w:r>
      <w:r w:rsidR="00882CFE">
        <w:rPr>
          <w:color w:val="000000" w:themeColor="text1"/>
          <w:lang w:eastAsia="zh-HK"/>
        </w:rPr>
        <w:t xml:space="preserve"> that has been</w:t>
      </w:r>
      <w:r w:rsidRPr="00E8281A">
        <w:rPr>
          <w:color w:val="000000" w:themeColor="text1"/>
          <w:lang w:eastAsia="zh-HK"/>
        </w:rPr>
        <w:t xml:space="preserve"> </w:t>
      </w:r>
      <w:r w:rsidRPr="00E8281A">
        <w:rPr>
          <w:color w:val="000000" w:themeColor="text1"/>
          <w:lang w:eastAsia="zh-HK"/>
        </w:rPr>
        <w:t>widely</w:t>
      </w:r>
      <w:r w:rsidR="00A9277A" w:rsidRPr="00E8281A">
        <w:rPr>
          <w:color w:val="000000" w:themeColor="text1"/>
          <w:lang w:eastAsia="zh-HK"/>
        </w:rPr>
        <w:t xml:space="preserve"> </w:t>
      </w:r>
      <w:r w:rsidR="00066458" w:rsidRPr="00E8281A">
        <w:rPr>
          <w:color w:val="000000" w:themeColor="text1"/>
          <w:lang w:eastAsia="zh-HK"/>
        </w:rPr>
        <w:t xml:space="preserve">employed in research </w:t>
      </w:r>
      <w:r w:rsidR="008D20E5" w:rsidRPr="00E8281A">
        <w:rPr>
          <w:color w:val="000000" w:themeColor="text1"/>
          <w:lang w:eastAsia="zh-HK"/>
        </w:rPr>
        <w:t>on</w:t>
      </w:r>
      <w:r w:rsidR="00066458" w:rsidRPr="00E8281A">
        <w:rPr>
          <w:color w:val="000000" w:themeColor="text1"/>
          <w:lang w:eastAsia="zh-HK"/>
        </w:rPr>
        <w:t xml:space="preserve"> kindergarten children (e.g., Fung &amp; Chung, 202</w:t>
      </w:r>
      <w:r w:rsidRPr="00E8281A">
        <w:rPr>
          <w:color w:val="000000" w:themeColor="text1"/>
          <w:lang w:eastAsia="zh-HK"/>
        </w:rPr>
        <w:t>2a, 2022b</w:t>
      </w:r>
      <w:r w:rsidR="00066458" w:rsidRPr="00E8281A">
        <w:rPr>
          <w:color w:val="000000" w:themeColor="text1"/>
          <w:lang w:eastAsia="zh-HK"/>
        </w:rPr>
        <w:t>; Trevlas et al., 2003)</w:t>
      </w:r>
      <w:r w:rsidR="0024452E" w:rsidRPr="00E8281A">
        <w:rPr>
          <w:color w:val="000000" w:themeColor="text1"/>
          <w:lang w:eastAsia="zh-HK"/>
        </w:rPr>
        <w:t xml:space="preserve">. </w:t>
      </w:r>
      <w:bookmarkStart w:id="32" w:name="_Hlk136604410"/>
      <w:r w:rsidR="0024452E" w:rsidRPr="00E8281A">
        <w:rPr>
          <w:color w:val="000000" w:themeColor="text1"/>
          <w:lang w:eastAsia="zh-HK"/>
        </w:rPr>
        <w:t xml:space="preserve">Previous results </w:t>
      </w:r>
      <w:r w:rsidR="00882CFE">
        <w:rPr>
          <w:color w:val="000000" w:themeColor="text1"/>
          <w:lang w:eastAsia="zh-HK"/>
        </w:rPr>
        <w:t xml:space="preserve">have </w:t>
      </w:r>
      <w:r w:rsidR="0024452E" w:rsidRPr="00E8281A">
        <w:rPr>
          <w:color w:val="000000" w:themeColor="text1"/>
          <w:lang w:eastAsia="zh-HK"/>
        </w:rPr>
        <w:t xml:space="preserve">demonstrated the </w:t>
      </w:r>
      <w:r w:rsidR="00DB288D" w:rsidRPr="00E8281A">
        <w:rPr>
          <w:color w:val="000000" w:themeColor="text1"/>
          <w:lang w:eastAsia="zh-HK"/>
        </w:rPr>
        <w:t xml:space="preserve">good </w:t>
      </w:r>
      <w:r w:rsidR="00E01F70" w:rsidRPr="00E8281A">
        <w:rPr>
          <w:color w:val="000000" w:themeColor="text1"/>
          <w:lang w:eastAsia="zh-HK"/>
        </w:rPr>
        <w:t xml:space="preserve">reliability </w:t>
      </w:r>
      <w:r w:rsidR="00FF3084" w:rsidRPr="00E8281A">
        <w:rPr>
          <w:color w:val="000000" w:themeColor="text1"/>
          <w:lang w:eastAsia="zh-HK"/>
        </w:rPr>
        <w:t xml:space="preserve">of its test scores </w:t>
      </w:r>
      <w:r w:rsidR="00E01F70" w:rsidRPr="00E8281A">
        <w:rPr>
          <w:color w:val="000000" w:themeColor="text1"/>
          <w:lang w:eastAsia="zh-HK"/>
        </w:rPr>
        <w:t xml:space="preserve">(internal consistency &gt; .80) and </w:t>
      </w:r>
      <w:r w:rsidR="002509AB" w:rsidRPr="00E8281A">
        <w:rPr>
          <w:color w:val="000000" w:themeColor="text1"/>
          <w:lang w:eastAsia="zh-HK"/>
        </w:rPr>
        <w:t xml:space="preserve">the </w:t>
      </w:r>
      <w:r w:rsidR="00E01F70" w:rsidRPr="00E8281A">
        <w:rPr>
          <w:color w:val="000000" w:themeColor="text1"/>
          <w:lang w:eastAsia="zh-HK"/>
        </w:rPr>
        <w:t xml:space="preserve">validity </w:t>
      </w:r>
      <w:r w:rsidR="00FF3084" w:rsidRPr="00E8281A">
        <w:rPr>
          <w:color w:val="000000" w:themeColor="text1"/>
          <w:lang w:eastAsia="zh-HK"/>
        </w:rPr>
        <w:t xml:space="preserve">of </w:t>
      </w:r>
      <w:r w:rsidR="00882CFE">
        <w:rPr>
          <w:color w:val="000000" w:themeColor="text1"/>
          <w:lang w:eastAsia="zh-HK"/>
        </w:rPr>
        <w:t xml:space="preserve">its </w:t>
      </w:r>
      <w:r w:rsidR="00FF3084" w:rsidRPr="00E8281A">
        <w:rPr>
          <w:color w:val="000000" w:themeColor="text1"/>
          <w:lang w:eastAsia="zh-HK"/>
        </w:rPr>
        <w:t xml:space="preserve">test </w:t>
      </w:r>
      <w:r w:rsidR="00FF3084" w:rsidRPr="00E8281A">
        <w:rPr>
          <w:color w:val="000000" w:themeColor="text1"/>
          <w:lang w:eastAsia="zh-HK"/>
        </w:rPr>
        <w:t xml:space="preserve">score interpretations </w:t>
      </w:r>
      <w:r w:rsidR="00E01F70" w:rsidRPr="00E8281A">
        <w:rPr>
          <w:color w:val="000000" w:themeColor="text1"/>
          <w:lang w:eastAsia="zh-HK"/>
        </w:rPr>
        <w:t>(factorial validity; Barnett, 2018)</w:t>
      </w:r>
      <w:r w:rsidR="001F190E" w:rsidRPr="00E8281A">
        <w:rPr>
          <w:color w:val="000000" w:themeColor="text1"/>
          <w:lang w:eastAsia="zh-HK"/>
        </w:rPr>
        <w:t xml:space="preserve">. </w:t>
      </w:r>
      <w:bookmarkEnd w:id="32"/>
      <w:r w:rsidR="001F190E" w:rsidRPr="00E8281A">
        <w:rPr>
          <w:color w:val="000000" w:themeColor="text1"/>
          <w:lang w:eastAsia="zh-HK"/>
        </w:rPr>
        <w:t>The CPS</w:t>
      </w:r>
      <w:r w:rsidR="00134690" w:rsidRPr="00E8281A">
        <w:rPr>
          <w:color w:val="000000" w:themeColor="text1"/>
          <w:lang w:eastAsia="zh-HK"/>
        </w:rPr>
        <w:t xml:space="preserve"> </w:t>
      </w:r>
      <w:r w:rsidR="00156E20" w:rsidRPr="00E8281A">
        <w:rPr>
          <w:color w:val="000000" w:themeColor="text1"/>
          <w:lang w:eastAsia="zh-HK"/>
        </w:rPr>
        <w:t>has</w:t>
      </w:r>
      <w:r w:rsidR="00DB170D" w:rsidRPr="00E8281A">
        <w:rPr>
          <w:color w:val="000000" w:themeColor="text1"/>
          <w:lang w:eastAsia="zh-HK"/>
        </w:rPr>
        <w:t xml:space="preserve"> 23 items </w:t>
      </w:r>
      <w:r w:rsidR="00156E20" w:rsidRPr="00E8281A">
        <w:rPr>
          <w:color w:val="000000" w:themeColor="text1"/>
          <w:lang w:eastAsia="zh-HK"/>
        </w:rPr>
        <w:t>categorized in</w:t>
      </w:r>
      <w:r w:rsidR="003D4DF0">
        <w:rPr>
          <w:color w:val="000000" w:themeColor="text1"/>
          <w:lang w:eastAsia="zh-HK"/>
        </w:rPr>
        <w:t>to</w:t>
      </w:r>
      <w:r w:rsidR="00DB170D" w:rsidRPr="00E8281A">
        <w:rPr>
          <w:color w:val="000000" w:themeColor="text1"/>
          <w:lang w:eastAsia="zh-HK"/>
        </w:rPr>
        <w:t xml:space="preserve"> five subscales</w:t>
      </w:r>
      <w:r w:rsidR="00066458" w:rsidRPr="00E8281A">
        <w:rPr>
          <w:color w:val="000000" w:themeColor="text1"/>
          <w:lang w:eastAsia="zh-HK"/>
        </w:rPr>
        <w:t>:</w:t>
      </w:r>
      <w:r w:rsidR="00DB170D" w:rsidRPr="00E8281A">
        <w:rPr>
          <w:color w:val="000000" w:themeColor="text1"/>
          <w:lang w:eastAsia="zh-HK"/>
        </w:rPr>
        <w:t xml:space="preserve"> physical spontaneity</w:t>
      </w:r>
      <w:r w:rsidR="00F7065C" w:rsidRPr="00E8281A">
        <w:rPr>
          <w:color w:val="000000" w:themeColor="text1"/>
          <w:lang w:eastAsia="zh-HK"/>
        </w:rPr>
        <w:t xml:space="preserve"> </w:t>
      </w:r>
      <w:r w:rsidR="00DB170D" w:rsidRPr="00E8281A">
        <w:rPr>
          <w:color w:val="000000" w:themeColor="text1"/>
          <w:lang w:eastAsia="zh-HK"/>
        </w:rPr>
        <w:t>(e.g., “</w:t>
      </w:r>
      <w:r w:rsidR="00156E20" w:rsidRPr="00E8281A">
        <w:rPr>
          <w:color w:val="000000" w:themeColor="text1"/>
          <w:lang w:eastAsia="zh-HK"/>
        </w:rPr>
        <w:t>The child prefers to be active rather than quiet in play”</w:t>
      </w:r>
      <w:r w:rsidR="00F7065C" w:rsidRPr="00E8281A">
        <w:rPr>
          <w:color w:val="000000" w:themeColor="text1"/>
          <w:lang w:eastAsia="zh-HK"/>
        </w:rPr>
        <w:t xml:space="preserve">), </w:t>
      </w:r>
      <w:r w:rsidR="00DB170D" w:rsidRPr="00E8281A">
        <w:rPr>
          <w:color w:val="000000" w:themeColor="text1"/>
          <w:lang w:eastAsia="zh-HK"/>
        </w:rPr>
        <w:t xml:space="preserve">cognitive spontaneity (e.g., </w:t>
      </w:r>
      <w:r w:rsidR="00A7264F" w:rsidRPr="00E8281A">
        <w:rPr>
          <w:color w:val="000000" w:themeColor="text1"/>
          <w:lang w:eastAsia="zh-HK"/>
        </w:rPr>
        <w:t>“</w:t>
      </w:r>
      <w:r w:rsidR="00156E20" w:rsidRPr="00E8281A">
        <w:rPr>
          <w:color w:val="000000" w:themeColor="text1"/>
          <w:lang w:eastAsia="zh-HK"/>
        </w:rPr>
        <w:t>The child assumes different character roles in play</w:t>
      </w:r>
      <w:r w:rsidR="00A7264F" w:rsidRPr="00E8281A">
        <w:rPr>
          <w:color w:val="000000" w:themeColor="text1"/>
          <w:lang w:eastAsia="zh-HK"/>
        </w:rPr>
        <w:t>”)</w:t>
      </w:r>
      <w:r w:rsidR="00F7065C" w:rsidRPr="00E8281A">
        <w:rPr>
          <w:color w:val="000000" w:themeColor="text1"/>
          <w:lang w:eastAsia="zh-HK"/>
        </w:rPr>
        <w:t>,</w:t>
      </w:r>
      <w:r w:rsidR="00A7264F" w:rsidRPr="00E8281A">
        <w:rPr>
          <w:color w:val="000000" w:themeColor="text1"/>
          <w:lang w:eastAsia="zh-HK"/>
        </w:rPr>
        <w:t xml:space="preserve"> </w:t>
      </w:r>
      <w:r w:rsidR="00DB170D" w:rsidRPr="00E8281A">
        <w:rPr>
          <w:color w:val="000000" w:themeColor="text1"/>
          <w:lang w:eastAsia="zh-HK"/>
        </w:rPr>
        <w:t>social spontaneity</w:t>
      </w:r>
      <w:r w:rsidR="00A7264F" w:rsidRPr="00E8281A">
        <w:rPr>
          <w:color w:val="000000" w:themeColor="text1"/>
          <w:lang w:eastAsia="zh-HK"/>
        </w:rPr>
        <w:t xml:space="preserve"> (e.g., “</w:t>
      </w:r>
      <w:r w:rsidR="00156E20" w:rsidRPr="00E8281A">
        <w:rPr>
          <w:color w:val="000000" w:themeColor="text1"/>
          <w:lang w:eastAsia="zh-HK"/>
        </w:rPr>
        <w:t>The child plays cooperatively with other children</w:t>
      </w:r>
      <w:r w:rsidR="00A7264F" w:rsidRPr="00E8281A">
        <w:rPr>
          <w:color w:val="000000" w:themeColor="text1"/>
          <w:lang w:eastAsia="zh-HK"/>
        </w:rPr>
        <w:t>”)</w:t>
      </w:r>
      <w:r w:rsidR="00DB170D" w:rsidRPr="00E8281A">
        <w:rPr>
          <w:color w:val="000000" w:themeColor="text1"/>
          <w:lang w:eastAsia="zh-HK"/>
        </w:rPr>
        <w:t>, manifest joy</w:t>
      </w:r>
      <w:r w:rsidR="00A7264F" w:rsidRPr="00E8281A">
        <w:rPr>
          <w:color w:val="000000" w:themeColor="text1"/>
          <w:lang w:eastAsia="zh-HK"/>
        </w:rPr>
        <w:t xml:space="preserve"> (e.g., “</w:t>
      </w:r>
      <w:r w:rsidR="00156E20" w:rsidRPr="00E8281A">
        <w:rPr>
          <w:color w:val="000000" w:themeColor="text1"/>
          <w:lang w:eastAsia="zh-HK"/>
        </w:rPr>
        <w:t>The child sings and talks while playing</w:t>
      </w:r>
      <w:r w:rsidR="00A7264F" w:rsidRPr="00E8281A">
        <w:rPr>
          <w:color w:val="000000" w:themeColor="text1"/>
          <w:lang w:eastAsia="zh-HK"/>
        </w:rPr>
        <w:t>”</w:t>
      </w:r>
      <w:r w:rsidR="00F7065C" w:rsidRPr="00E8281A">
        <w:rPr>
          <w:color w:val="000000" w:themeColor="text1"/>
          <w:lang w:eastAsia="zh-HK"/>
        </w:rPr>
        <w:t xml:space="preserve">), </w:t>
      </w:r>
      <w:r w:rsidR="00DB170D" w:rsidRPr="00E8281A">
        <w:rPr>
          <w:color w:val="000000" w:themeColor="text1"/>
          <w:lang w:eastAsia="zh-HK"/>
        </w:rPr>
        <w:t xml:space="preserve">and sense of humor </w:t>
      </w:r>
      <w:r w:rsidR="00A7264F" w:rsidRPr="00E8281A">
        <w:rPr>
          <w:color w:val="000000" w:themeColor="text1"/>
          <w:lang w:eastAsia="zh-HK"/>
        </w:rPr>
        <w:t>(e.g., “</w:t>
      </w:r>
      <w:r w:rsidR="00156E20" w:rsidRPr="00E8281A">
        <w:rPr>
          <w:color w:val="000000" w:themeColor="text1"/>
          <w:lang w:eastAsia="zh-HK"/>
        </w:rPr>
        <w:t>The child gently teases others while at play</w:t>
      </w:r>
      <w:r w:rsidR="00A7264F" w:rsidRPr="00E8281A">
        <w:rPr>
          <w:color w:val="000000" w:themeColor="text1"/>
          <w:lang w:eastAsia="zh-HK"/>
        </w:rPr>
        <w:t>”)</w:t>
      </w:r>
      <w:r w:rsidR="00DB170D" w:rsidRPr="00E8281A">
        <w:rPr>
          <w:color w:val="000000" w:themeColor="text1"/>
          <w:lang w:eastAsia="zh-HK"/>
        </w:rPr>
        <w:t xml:space="preserve">. </w:t>
      </w:r>
      <w:r w:rsidR="002C2C26">
        <w:rPr>
          <w:color w:val="000000" w:themeColor="text1"/>
          <w:lang w:eastAsia="zh-HK"/>
        </w:rPr>
        <w:t>The t</w:t>
      </w:r>
      <w:r w:rsidR="008A5A8C" w:rsidRPr="00E8281A">
        <w:rPr>
          <w:color w:val="000000" w:themeColor="text1"/>
          <w:lang w:eastAsia="zh-HK"/>
        </w:rPr>
        <w:t xml:space="preserve">eachers </w:t>
      </w:r>
      <w:r w:rsidR="009E3124" w:rsidRPr="00E8281A">
        <w:rPr>
          <w:color w:val="000000" w:themeColor="text1"/>
          <w:lang w:eastAsia="zh-HK"/>
        </w:rPr>
        <w:t xml:space="preserve">rated </w:t>
      </w:r>
      <w:r w:rsidR="00B16785" w:rsidRPr="00E8281A">
        <w:rPr>
          <w:color w:val="000000" w:themeColor="text1"/>
          <w:lang w:eastAsia="zh-HK"/>
        </w:rPr>
        <w:t>individual item</w:t>
      </w:r>
      <w:r w:rsidR="00EE7A81" w:rsidRPr="00E8281A">
        <w:rPr>
          <w:color w:val="000000" w:themeColor="text1"/>
          <w:lang w:eastAsia="zh-HK"/>
        </w:rPr>
        <w:t>s</w:t>
      </w:r>
      <w:r w:rsidR="009E3124" w:rsidRPr="00E8281A">
        <w:rPr>
          <w:color w:val="000000" w:themeColor="text1"/>
          <w:lang w:eastAsia="zh-HK"/>
        </w:rPr>
        <w:t xml:space="preserve"> on a 5-point scale ranging from 1 (</w:t>
      </w:r>
      <w:r w:rsidR="009E3124" w:rsidRPr="00E8281A">
        <w:rPr>
          <w:i/>
          <w:iCs/>
          <w:color w:val="000000" w:themeColor="text1"/>
          <w:lang w:eastAsia="zh-HK"/>
        </w:rPr>
        <w:t>not like</w:t>
      </w:r>
      <w:r w:rsidR="009E3124" w:rsidRPr="00E8281A">
        <w:rPr>
          <w:color w:val="000000" w:themeColor="text1"/>
          <w:lang w:eastAsia="zh-HK"/>
        </w:rPr>
        <w:t>) to 5 (</w:t>
      </w:r>
      <w:r w:rsidR="008A5A8C" w:rsidRPr="00E8281A">
        <w:rPr>
          <w:i/>
          <w:iCs/>
          <w:color w:val="000000" w:themeColor="text1"/>
          <w:lang w:eastAsia="zh-HK"/>
        </w:rPr>
        <w:t>exactly</w:t>
      </w:r>
      <w:r w:rsidR="009E3124" w:rsidRPr="00E8281A">
        <w:rPr>
          <w:i/>
          <w:iCs/>
          <w:color w:val="000000" w:themeColor="text1"/>
          <w:lang w:eastAsia="zh-HK"/>
        </w:rPr>
        <w:t xml:space="preserve"> like</w:t>
      </w:r>
      <w:r w:rsidR="009E3124" w:rsidRPr="00E8281A">
        <w:rPr>
          <w:color w:val="000000" w:themeColor="text1"/>
          <w:lang w:eastAsia="zh-HK"/>
        </w:rPr>
        <w:t>)</w:t>
      </w:r>
      <w:r w:rsidR="00B16785" w:rsidRPr="00E8281A">
        <w:rPr>
          <w:color w:val="000000" w:themeColor="text1"/>
          <w:lang w:eastAsia="zh-HK"/>
        </w:rPr>
        <w:t>.</w:t>
      </w:r>
      <w:r w:rsidR="00720543" w:rsidRPr="00E8281A">
        <w:rPr>
          <w:color w:val="000000" w:themeColor="text1"/>
          <w:lang w:eastAsia="zh-HK"/>
        </w:rPr>
        <w:t xml:space="preserve"> </w:t>
      </w:r>
      <w:r w:rsidR="00B16785" w:rsidRPr="00E8281A">
        <w:rPr>
          <w:color w:val="000000" w:themeColor="text1"/>
          <w:lang w:eastAsia="zh-HK"/>
        </w:rPr>
        <w:t>The mean</w:t>
      </w:r>
      <w:r w:rsidR="0027272F" w:rsidRPr="00E8281A">
        <w:rPr>
          <w:color w:val="000000" w:themeColor="text1"/>
          <w:lang w:eastAsia="zh-HK"/>
        </w:rPr>
        <w:t xml:space="preserve"> scores of the subscales represented children’s </w:t>
      </w:r>
      <w:r w:rsidR="008A5A8C" w:rsidRPr="00E8281A">
        <w:rPr>
          <w:color w:val="000000" w:themeColor="text1"/>
          <w:lang w:eastAsia="zh-HK"/>
        </w:rPr>
        <w:t>playfulness</w:t>
      </w:r>
      <w:r w:rsidR="00720543" w:rsidRPr="00E8281A">
        <w:rPr>
          <w:color w:val="000000" w:themeColor="text1"/>
          <w:lang w:eastAsia="zh-HK"/>
        </w:rPr>
        <w:t xml:space="preserve"> in the kindergarten context</w:t>
      </w:r>
      <w:r w:rsidR="00B16785" w:rsidRPr="00E8281A">
        <w:rPr>
          <w:color w:val="000000" w:themeColor="text1"/>
          <w:lang w:eastAsia="zh-HK"/>
        </w:rPr>
        <w:t xml:space="preserve"> correspondingly</w:t>
      </w:r>
      <w:r w:rsidR="0027272F" w:rsidRPr="00E8281A">
        <w:rPr>
          <w:color w:val="000000" w:themeColor="text1"/>
          <w:lang w:eastAsia="zh-HK"/>
        </w:rPr>
        <w:t>.</w:t>
      </w:r>
      <w:r w:rsidR="00E01F70" w:rsidRPr="00E8281A">
        <w:rPr>
          <w:color w:val="000000" w:themeColor="text1"/>
          <w:lang w:eastAsia="zh-HK"/>
        </w:rPr>
        <w:t xml:space="preserve"> </w:t>
      </w:r>
      <w:bookmarkStart w:id="33" w:name="_Hlk136606947"/>
      <w:r w:rsidR="00AA2A9C" w:rsidRPr="00E8281A">
        <w:rPr>
          <w:color w:val="000000" w:themeColor="text1"/>
          <w:lang w:eastAsia="zh-HK"/>
        </w:rPr>
        <w:t>At Time 1</w:t>
      </w:r>
      <w:r w:rsidR="00E01F70" w:rsidRPr="00E8281A">
        <w:rPr>
          <w:color w:val="000000" w:themeColor="text1"/>
          <w:lang w:eastAsia="zh-HK"/>
        </w:rPr>
        <w:t xml:space="preserve">, the Cronbach’s alphas </w:t>
      </w:r>
      <w:r w:rsidR="00AA2A9C" w:rsidRPr="00E8281A">
        <w:rPr>
          <w:color w:val="000000" w:themeColor="text1"/>
          <w:lang w:eastAsia="zh-HK"/>
        </w:rPr>
        <w:t xml:space="preserve">of the </w:t>
      </w:r>
      <w:r w:rsidR="0024452E" w:rsidRPr="00E8281A">
        <w:rPr>
          <w:color w:val="000000" w:themeColor="text1"/>
          <w:lang w:eastAsia="zh-HK"/>
        </w:rPr>
        <w:t xml:space="preserve">test scores under the </w:t>
      </w:r>
      <w:r w:rsidR="00AA2A9C" w:rsidRPr="00E8281A">
        <w:rPr>
          <w:color w:val="000000" w:themeColor="text1"/>
          <w:lang w:eastAsia="zh-HK"/>
        </w:rPr>
        <w:t>physical spontaneity, social spontaneity, cognitive spontaneity, manifest joy, and sense of humor subscales were .84, .84, .75, .90, and .82, respectively</w:t>
      </w:r>
      <w:r w:rsidR="003C2569">
        <w:rPr>
          <w:color w:val="000000" w:themeColor="text1"/>
          <w:lang w:eastAsia="zh-HK"/>
        </w:rPr>
        <w:t xml:space="preserve">. </w:t>
      </w:r>
      <w:r w:rsidR="00D513D5">
        <w:rPr>
          <w:color w:val="000000" w:themeColor="text1"/>
          <w:lang w:eastAsia="zh-HK"/>
        </w:rPr>
        <w:t xml:space="preserve">By </w:t>
      </w:r>
      <w:r w:rsidR="000B062A">
        <w:rPr>
          <w:color w:val="000000" w:themeColor="text1"/>
          <w:lang w:eastAsia="zh-HK"/>
        </w:rPr>
        <w:t>comparison</w:t>
      </w:r>
      <w:r w:rsidR="003C2569">
        <w:rPr>
          <w:color w:val="000000" w:themeColor="text1"/>
          <w:lang w:eastAsia="zh-HK"/>
        </w:rPr>
        <w:t>, those</w:t>
      </w:r>
      <w:r w:rsidR="00AA2A9C" w:rsidRPr="00E8281A">
        <w:rPr>
          <w:color w:val="000000" w:themeColor="text1"/>
          <w:lang w:eastAsia="zh-HK"/>
        </w:rPr>
        <w:t xml:space="preserve"> at Time 2 were .82, .86, .81, .87, and .87, respectively.</w:t>
      </w:r>
      <w:bookmarkEnd w:id="33"/>
    </w:p>
    <w:p w14:paraId="58934797" w14:textId="59CC4AFF" w:rsidR="00C74D0C" w:rsidRPr="002C3DDF" w:rsidRDefault="00F43B49" w:rsidP="00D607D4">
      <w:pPr>
        <w:spacing w:line="480" w:lineRule="auto"/>
        <w:rPr>
          <w:b/>
          <w:i/>
          <w:iCs/>
          <w:color w:val="000000" w:themeColor="text1"/>
        </w:rPr>
      </w:pPr>
      <w:r w:rsidRPr="00E8281A">
        <w:rPr>
          <w:b/>
          <w:i/>
          <w:iCs/>
          <w:color w:val="000000" w:themeColor="text1"/>
        </w:rPr>
        <w:t xml:space="preserve">Teacher-reported </w:t>
      </w:r>
      <w:r w:rsidR="00702947" w:rsidRPr="00E8281A">
        <w:rPr>
          <w:b/>
          <w:i/>
          <w:iCs/>
          <w:color w:val="000000" w:themeColor="text1"/>
        </w:rPr>
        <w:t>C</w:t>
      </w:r>
      <w:r w:rsidRPr="00E8281A">
        <w:rPr>
          <w:b/>
          <w:i/>
          <w:iCs/>
          <w:color w:val="000000" w:themeColor="text1"/>
        </w:rPr>
        <w:t xml:space="preserve">reative </w:t>
      </w:r>
      <w:r w:rsidR="00702947" w:rsidRPr="00E8281A">
        <w:rPr>
          <w:b/>
          <w:i/>
          <w:iCs/>
          <w:color w:val="000000" w:themeColor="text1"/>
        </w:rPr>
        <w:t>P</w:t>
      </w:r>
      <w:r w:rsidRPr="00E8281A">
        <w:rPr>
          <w:b/>
          <w:i/>
          <w:iCs/>
          <w:color w:val="000000" w:themeColor="text1"/>
        </w:rPr>
        <w:t>otential</w:t>
      </w:r>
      <w:r w:rsidR="00A40248" w:rsidRPr="00E8281A">
        <w:rPr>
          <w:b/>
          <w:i/>
          <w:iCs/>
          <w:color w:val="000000" w:themeColor="text1"/>
        </w:rPr>
        <w:t xml:space="preserve"> at Time</w:t>
      </w:r>
      <w:r w:rsidR="000A7DDD">
        <w:rPr>
          <w:b/>
          <w:i/>
          <w:iCs/>
          <w:color w:val="000000" w:themeColor="text1"/>
        </w:rPr>
        <w:t>s</w:t>
      </w:r>
      <w:r w:rsidR="00A40248" w:rsidRPr="00E8281A">
        <w:rPr>
          <w:b/>
          <w:i/>
          <w:iCs/>
          <w:color w:val="000000" w:themeColor="text1"/>
        </w:rPr>
        <w:t xml:space="preserve"> 1 and 2</w:t>
      </w:r>
    </w:p>
    <w:p w14:paraId="252E5BE0" w14:textId="337FC79D" w:rsidR="003A3B3F" w:rsidRPr="00E8281A" w:rsidRDefault="00CB1BFB" w:rsidP="000B09E4">
      <w:pPr>
        <w:spacing w:line="480" w:lineRule="auto"/>
        <w:rPr>
          <w:bCs/>
          <w:color w:val="000000" w:themeColor="text1"/>
        </w:rPr>
      </w:pPr>
      <w:r w:rsidRPr="00E8281A">
        <w:rPr>
          <w:bCs/>
          <w:color w:val="000000" w:themeColor="text1"/>
        </w:rPr>
        <w:tab/>
      </w:r>
      <w:r w:rsidR="00AA021D" w:rsidRPr="00E8281A">
        <w:rPr>
          <w:bCs/>
          <w:color w:val="000000" w:themeColor="text1"/>
        </w:rPr>
        <w:t>Children’s c</w:t>
      </w:r>
      <w:r w:rsidRPr="00E8281A">
        <w:rPr>
          <w:color w:val="000000" w:themeColor="text1"/>
          <w:lang w:eastAsia="zh-HK"/>
        </w:rPr>
        <w:t>reative potential</w:t>
      </w:r>
      <w:r w:rsidRPr="00E8281A">
        <w:rPr>
          <w:bCs/>
          <w:color w:val="000000" w:themeColor="text1"/>
        </w:rPr>
        <w:t xml:space="preserve"> </w:t>
      </w:r>
      <w:r w:rsidR="00825E92" w:rsidRPr="00E8281A">
        <w:rPr>
          <w:bCs/>
          <w:color w:val="000000" w:themeColor="text1"/>
        </w:rPr>
        <w:t>was</w:t>
      </w:r>
      <w:r w:rsidRPr="00E8281A">
        <w:rPr>
          <w:bCs/>
          <w:color w:val="000000" w:themeColor="text1"/>
        </w:rPr>
        <w:t xml:space="preserve"> </w:t>
      </w:r>
      <w:r w:rsidR="00A40248" w:rsidRPr="00E8281A">
        <w:rPr>
          <w:bCs/>
          <w:color w:val="000000" w:themeColor="text1"/>
        </w:rPr>
        <w:t>measur</w:t>
      </w:r>
      <w:r w:rsidRPr="00E8281A">
        <w:rPr>
          <w:bCs/>
          <w:color w:val="000000" w:themeColor="text1"/>
        </w:rPr>
        <w:t xml:space="preserve">ed </w:t>
      </w:r>
      <w:r w:rsidR="000B062A">
        <w:rPr>
          <w:bCs/>
          <w:color w:val="000000" w:themeColor="text1"/>
        </w:rPr>
        <w:t>with</w:t>
      </w:r>
      <w:r w:rsidRPr="00E8281A">
        <w:rPr>
          <w:bCs/>
          <w:color w:val="000000" w:themeColor="text1"/>
        </w:rPr>
        <w:t xml:space="preserve"> </w:t>
      </w:r>
      <w:r w:rsidR="00A40248" w:rsidRPr="00E8281A">
        <w:rPr>
          <w:bCs/>
          <w:color w:val="000000" w:themeColor="text1"/>
        </w:rPr>
        <w:t xml:space="preserve">the </w:t>
      </w:r>
      <w:r w:rsidR="00D824DF" w:rsidRPr="00E8281A">
        <w:rPr>
          <w:bCs/>
          <w:color w:val="000000" w:themeColor="text1"/>
        </w:rPr>
        <w:t>Common Creative Attribute (Chan &amp; Chan, 1999)</w:t>
      </w:r>
      <w:r w:rsidR="0024452E" w:rsidRPr="00E8281A">
        <w:rPr>
          <w:bCs/>
          <w:color w:val="000000" w:themeColor="text1"/>
        </w:rPr>
        <w:t xml:space="preserve">. </w:t>
      </w:r>
      <w:bookmarkStart w:id="34" w:name="_Hlk136604434"/>
      <w:r w:rsidR="0024452E" w:rsidRPr="00E8281A">
        <w:rPr>
          <w:bCs/>
          <w:color w:val="000000" w:themeColor="text1"/>
        </w:rPr>
        <w:t>This measure</w:t>
      </w:r>
      <w:r w:rsidR="00A40248" w:rsidRPr="00E8281A">
        <w:rPr>
          <w:bCs/>
          <w:color w:val="000000" w:themeColor="text1"/>
        </w:rPr>
        <w:t xml:space="preserve"> was employed in </w:t>
      </w:r>
      <w:r w:rsidR="00AA021D" w:rsidRPr="00E8281A">
        <w:rPr>
          <w:bCs/>
          <w:color w:val="000000" w:themeColor="text1"/>
        </w:rPr>
        <w:t xml:space="preserve">a </w:t>
      </w:r>
      <w:r w:rsidR="00A40248" w:rsidRPr="00E8281A">
        <w:rPr>
          <w:bCs/>
          <w:color w:val="000000" w:themeColor="text1"/>
        </w:rPr>
        <w:t xml:space="preserve">recent local </w:t>
      </w:r>
      <w:r w:rsidR="00AA021D" w:rsidRPr="00E8281A">
        <w:rPr>
          <w:bCs/>
          <w:color w:val="000000" w:themeColor="text1"/>
        </w:rPr>
        <w:t>study</w:t>
      </w:r>
      <w:r w:rsidR="00DB288D" w:rsidRPr="00E8281A">
        <w:rPr>
          <w:bCs/>
          <w:color w:val="000000" w:themeColor="text1"/>
        </w:rPr>
        <w:t>,</w:t>
      </w:r>
      <w:r w:rsidR="00A40248" w:rsidRPr="00E8281A">
        <w:rPr>
          <w:bCs/>
          <w:color w:val="000000" w:themeColor="text1"/>
        </w:rPr>
        <w:t xml:space="preserve"> </w:t>
      </w:r>
      <w:r w:rsidR="0024452E" w:rsidRPr="00E8281A">
        <w:rPr>
          <w:bCs/>
          <w:color w:val="000000" w:themeColor="text1"/>
        </w:rPr>
        <w:t>and the test scores showed</w:t>
      </w:r>
      <w:r w:rsidR="00AA2A9C" w:rsidRPr="00E8281A">
        <w:rPr>
          <w:bCs/>
          <w:color w:val="000000" w:themeColor="text1"/>
        </w:rPr>
        <w:t xml:space="preserve"> good reliability </w:t>
      </w:r>
      <w:r w:rsidR="00A40248" w:rsidRPr="00E8281A">
        <w:rPr>
          <w:bCs/>
          <w:color w:val="000000" w:themeColor="text1"/>
        </w:rPr>
        <w:t>(</w:t>
      </w:r>
      <w:r w:rsidR="00AA2A9C" w:rsidRPr="00E8281A">
        <w:rPr>
          <w:bCs/>
          <w:color w:val="000000" w:themeColor="text1"/>
        </w:rPr>
        <w:t xml:space="preserve">Cronbach’s alpha &gt; .90; </w:t>
      </w:r>
      <w:r w:rsidR="00A40248" w:rsidRPr="00E8281A">
        <w:rPr>
          <w:bCs/>
          <w:color w:val="000000" w:themeColor="text1"/>
        </w:rPr>
        <w:t>Fung &amp; Chung, 2022a)</w:t>
      </w:r>
      <w:r w:rsidRPr="00E8281A">
        <w:rPr>
          <w:color w:val="000000" w:themeColor="text1"/>
          <w:szCs w:val="20"/>
          <w:lang w:eastAsia="zh-HK"/>
        </w:rPr>
        <w:t>.</w:t>
      </w:r>
      <w:r w:rsidR="00D824DF" w:rsidRPr="00E8281A">
        <w:rPr>
          <w:color w:val="000000" w:themeColor="text1"/>
          <w:szCs w:val="20"/>
          <w:lang w:eastAsia="zh-HK"/>
        </w:rPr>
        <w:t xml:space="preserve"> </w:t>
      </w:r>
      <w:bookmarkEnd w:id="34"/>
      <w:r w:rsidR="00A40248" w:rsidRPr="00E8281A">
        <w:rPr>
          <w:color w:val="000000" w:themeColor="text1"/>
          <w:szCs w:val="20"/>
          <w:lang w:eastAsia="zh-HK"/>
        </w:rPr>
        <w:t>This instrument</w:t>
      </w:r>
      <w:r w:rsidR="004A483F" w:rsidRPr="00E8281A">
        <w:rPr>
          <w:bCs/>
          <w:color w:val="000000" w:themeColor="text1"/>
        </w:rPr>
        <w:t xml:space="preserve"> </w:t>
      </w:r>
      <w:r w:rsidR="004A483F" w:rsidRPr="00E8281A">
        <w:rPr>
          <w:color w:val="000000" w:themeColor="text1"/>
          <w:szCs w:val="20"/>
          <w:lang w:eastAsia="zh-HK"/>
        </w:rPr>
        <w:t>include</w:t>
      </w:r>
      <w:r w:rsidR="000B062A">
        <w:rPr>
          <w:color w:val="000000" w:themeColor="text1"/>
          <w:szCs w:val="20"/>
          <w:lang w:eastAsia="zh-HK"/>
        </w:rPr>
        <w:t>s</w:t>
      </w:r>
      <w:r w:rsidR="00D824DF" w:rsidRPr="00E8281A">
        <w:rPr>
          <w:color w:val="000000" w:themeColor="text1"/>
          <w:szCs w:val="20"/>
          <w:lang w:eastAsia="zh-HK"/>
        </w:rPr>
        <w:t xml:space="preserve"> </w:t>
      </w:r>
      <w:r w:rsidR="00A40248" w:rsidRPr="00E8281A">
        <w:rPr>
          <w:color w:val="000000" w:themeColor="text1"/>
          <w:szCs w:val="20"/>
          <w:lang w:eastAsia="zh-HK"/>
        </w:rPr>
        <w:t>11</w:t>
      </w:r>
      <w:r w:rsidR="00D824DF" w:rsidRPr="00E8281A">
        <w:rPr>
          <w:color w:val="000000" w:themeColor="text1"/>
          <w:szCs w:val="20"/>
          <w:lang w:eastAsia="zh-HK"/>
        </w:rPr>
        <w:t xml:space="preserve"> </w:t>
      </w:r>
      <w:r w:rsidR="00A40248" w:rsidRPr="00E8281A">
        <w:rPr>
          <w:color w:val="000000" w:themeColor="text1"/>
          <w:szCs w:val="20"/>
          <w:lang w:eastAsia="zh-HK"/>
        </w:rPr>
        <w:t>characteristics</w:t>
      </w:r>
      <w:r w:rsidR="004A483F" w:rsidRPr="00E8281A">
        <w:rPr>
          <w:color w:val="000000" w:themeColor="text1"/>
          <w:szCs w:val="20"/>
          <w:lang w:eastAsia="zh-HK"/>
        </w:rPr>
        <w:t xml:space="preserve"> </w:t>
      </w:r>
      <w:r w:rsidR="00A40248" w:rsidRPr="00E8281A">
        <w:rPr>
          <w:color w:val="000000" w:themeColor="text1"/>
          <w:szCs w:val="20"/>
          <w:lang w:eastAsia="zh-HK"/>
        </w:rPr>
        <w:t xml:space="preserve">that </w:t>
      </w:r>
      <w:r w:rsidR="000B062A">
        <w:rPr>
          <w:color w:val="000000" w:themeColor="text1"/>
          <w:szCs w:val="20"/>
          <w:lang w:eastAsia="zh-HK"/>
        </w:rPr>
        <w:t xml:space="preserve">the </w:t>
      </w:r>
      <w:r w:rsidR="004A483F" w:rsidRPr="00E8281A">
        <w:rPr>
          <w:color w:val="000000" w:themeColor="text1"/>
          <w:szCs w:val="20"/>
          <w:lang w:eastAsia="zh-HK"/>
        </w:rPr>
        <w:t>teachers</w:t>
      </w:r>
      <w:r w:rsidR="00A40248" w:rsidRPr="00E8281A">
        <w:rPr>
          <w:color w:val="000000" w:themeColor="text1"/>
          <w:szCs w:val="20"/>
          <w:lang w:eastAsia="zh-HK"/>
        </w:rPr>
        <w:t xml:space="preserve"> attributed </w:t>
      </w:r>
      <w:r w:rsidR="000B062A">
        <w:rPr>
          <w:color w:val="000000" w:themeColor="text1"/>
          <w:szCs w:val="20"/>
          <w:lang w:eastAsia="zh-HK"/>
        </w:rPr>
        <w:t xml:space="preserve">to </w:t>
      </w:r>
      <w:r w:rsidR="00A40248" w:rsidRPr="00E8281A">
        <w:rPr>
          <w:color w:val="000000" w:themeColor="text1"/>
          <w:szCs w:val="20"/>
          <w:lang w:eastAsia="zh-HK"/>
        </w:rPr>
        <w:t xml:space="preserve">students when considering </w:t>
      </w:r>
      <w:r w:rsidR="00AA021D" w:rsidRPr="00E8281A">
        <w:rPr>
          <w:color w:val="000000" w:themeColor="text1"/>
          <w:szCs w:val="20"/>
          <w:lang w:eastAsia="zh-HK"/>
        </w:rPr>
        <w:t>their</w:t>
      </w:r>
      <w:r w:rsidR="00A40248" w:rsidRPr="00E8281A">
        <w:rPr>
          <w:color w:val="000000" w:themeColor="text1"/>
          <w:szCs w:val="20"/>
          <w:lang w:eastAsia="zh-HK"/>
        </w:rPr>
        <w:t xml:space="preserve"> </w:t>
      </w:r>
      <w:r w:rsidR="004A483F" w:rsidRPr="00E8281A">
        <w:rPr>
          <w:color w:val="000000" w:themeColor="text1"/>
          <w:szCs w:val="20"/>
          <w:lang w:eastAsia="zh-HK"/>
        </w:rPr>
        <w:t xml:space="preserve">creativity </w:t>
      </w:r>
      <w:r w:rsidR="00D824DF" w:rsidRPr="00E8281A">
        <w:rPr>
          <w:color w:val="000000" w:themeColor="text1"/>
          <w:szCs w:val="20"/>
          <w:lang w:eastAsia="zh-HK"/>
        </w:rPr>
        <w:t xml:space="preserve">(e.g., </w:t>
      </w:r>
      <w:r w:rsidR="00A40248" w:rsidRPr="00E8281A">
        <w:rPr>
          <w:color w:val="000000" w:themeColor="text1"/>
          <w:szCs w:val="20"/>
          <w:lang w:eastAsia="zh-HK"/>
        </w:rPr>
        <w:t>nonconforming</w:t>
      </w:r>
      <w:r w:rsidR="00D824DF" w:rsidRPr="00E8281A">
        <w:rPr>
          <w:color w:val="000000" w:themeColor="text1"/>
          <w:szCs w:val="20"/>
          <w:lang w:eastAsia="zh-HK"/>
        </w:rPr>
        <w:t xml:space="preserve">, </w:t>
      </w:r>
      <w:r w:rsidR="00A40248" w:rsidRPr="00E8281A">
        <w:rPr>
          <w:color w:val="000000" w:themeColor="text1"/>
          <w:szCs w:val="20"/>
          <w:lang w:eastAsia="zh-HK"/>
        </w:rPr>
        <w:t>curious</w:t>
      </w:r>
      <w:r w:rsidR="00F82DC4" w:rsidRPr="00E8281A">
        <w:rPr>
          <w:color w:val="000000" w:themeColor="text1"/>
          <w:szCs w:val="20"/>
          <w:lang w:eastAsia="zh-HK"/>
        </w:rPr>
        <w:t>,</w:t>
      </w:r>
      <w:r w:rsidR="00D824DF" w:rsidRPr="00E8281A">
        <w:rPr>
          <w:color w:val="000000" w:themeColor="text1"/>
          <w:szCs w:val="20"/>
          <w:lang w:eastAsia="zh-HK"/>
        </w:rPr>
        <w:t xml:space="preserve"> and original)</w:t>
      </w:r>
      <w:r w:rsidR="00B21287" w:rsidRPr="00E8281A">
        <w:rPr>
          <w:color w:val="000000" w:themeColor="text1"/>
          <w:szCs w:val="20"/>
          <w:lang w:eastAsia="zh-HK"/>
        </w:rPr>
        <w:t>,</w:t>
      </w:r>
      <w:r w:rsidR="00D824DF" w:rsidRPr="00E8281A">
        <w:rPr>
          <w:color w:val="000000" w:themeColor="text1"/>
          <w:szCs w:val="20"/>
          <w:lang w:eastAsia="zh-HK"/>
        </w:rPr>
        <w:t xml:space="preserve"> </w:t>
      </w:r>
      <w:r w:rsidR="003458B6" w:rsidRPr="00E8281A">
        <w:rPr>
          <w:color w:val="000000" w:themeColor="text1"/>
          <w:szCs w:val="20"/>
          <w:lang w:eastAsia="zh-HK"/>
        </w:rPr>
        <w:t xml:space="preserve">and the </w:t>
      </w:r>
      <w:r w:rsidR="00610E23" w:rsidRPr="00E8281A">
        <w:rPr>
          <w:color w:val="000000" w:themeColor="text1"/>
          <w:szCs w:val="20"/>
          <w:lang w:eastAsia="zh-HK"/>
        </w:rPr>
        <w:t>test scores</w:t>
      </w:r>
      <w:r w:rsidR="004A483F" w:rsidRPr="00E8281A">
        <w:rPr>
          <w:color w:val="000000" w:themeColor="text1"/>
          <w:szCs w:val="20"/>
          <w:lang w:eastAsia="zh-HK"/>
        </w:rPr>
        <w:t xml:space="preserve"> were </w:t>
      </w:r>
      <w:r w:rsidR="00AA021D" w:rsidRPr="00E8281A">
        <w:rPr>
          <w:color w:val="000000" w:themeColor="text1"/>
          <w:szCs w:val="20"/>
          <w:lang w:eastAsia="zh-HK"/>
        </w:rPr>
        <w:t xml:space="preserve">locally </w:t>
      </w:r>
      <w:r w:rsidR="003458B6" w:rsidRPr="00E8281A">
        <w:rPr>
          <w:color w:val="000000" w:themeColor="text1"/>
          <w:szCs w:val="20"/>
          <w:lang w:eastAsia="zh-HK"/>
        </w:rPr>
        <w:t>validated</w:t>
      </w:r>
      <w:r w:rsidR="00AA021D" w:rsidRPr="00E8281A">
        <w:rPr>
          <w:color w:val="000000" w:themeColor="text1"/>
          <w:szCs w:val="20"/>
          <w:lang w:eastAsia="zh-HK"/>
        </w:rPr>
        <w:t xml:space="preserve"> </w:t>
      </w:r>
      <w:r w:rsidR="00AA021D" w:rsidRPr="00E8281A">
        <w:rPr>
          <w:bCs/>
          <w:color w:val="000000" w:themeColor="text1"/>
        </w:rPr>
        <w:t>(Chan &amp; Chan, 1999)</w:t>
      </w:r>
      <w:r w:rsidR="009B33FD" w:rsidRPr="00E8281A">
        <w:rPr>
          <w:color w:val="000000" w:themeColor="text1"/>
          <w:szCs w:val="20"/>
          <w:lang w:eastAsia="zh-HK"/>
        </w:rPr>
        <w:t xml:space="preserve">. </w:t>
      </w:r>
      <w:r w:rsidR="00F010BE">
        <w:rPr>
          <w:color w:val="000000" w:themeColor="text1"/>
          <w:szCs w:val="20"/>
          <w:lang w:eastAsia="zh-HK"/>
        </w:rPr>
        <w:t xml:space="preserve">The </w:t>
      </w:r>
      <w:r w:rsidR="00F010BE">
        <w:rPr>
          <w:bCs/>
          <w:color w:val="000000" w:themeColor="text1"/>
        </w:rPr>
        <w:t>t</w:t>
      </w:r>
      <w:r w:rsidR="009B33FD" w:rsidRPr="00E8281A">
        <w:rPr>
          <w:bCs/>
          <w:color w:val="000000" w:themeColor="text1"/>
        </w:rPr>
        <w:t xml:space="preserve">eachers rated </w:t>
      </w:r>
      <w:r w:rsidR="00AA021D" w:rsidRPr="00E8281A">
        <w:rPr>
          <w:bCs/>
          <w:color w:val="000000" w:themeColor="text1"/>
        </w:rPr>
        <w:t>each item</w:t>
      </w:r>
      <w:r w:rsidR="009B33FD" w:rsidRPr="00E8281A">
        <w:rPr>
          <w:bCs/>
          <w:color w:val="000000" w:themeColor="text1"/>
        </w:rPr>
        <w:t xml:space="preserve"> on a 7-point scale ranging from 1 (</w:t>
      </w:r>
      <w:r w:rsidR="009B33FD" w:rsidRPr="00E8281A">
        <w:rPr>
          <w:bCs/>
          <w:i/>
          <w:iCs/>
          <w:color w:val="000000" w:themeColor="text1"/>
        </w:rPr>
        <w:t>rarely</w:t>
      </w:r>
      <w:r w:rsidR="009B33FD" w:rsidRPr="00E8281A">
        <w:rPr>
          <w:bCs/>
          <w:color w:val="000000" w:themeColor="text1"/>
        </w:rPr>
        <w:t>) to 7 (</w:t>
      </w:r>
      <w:r w:rsidR="009B33FD" w:rsidRPr="00E8281A">
        <w:rPr>
          <w:bCs/>
          <w:i/>
          <w:iCs/>
          <w:color w:val="000000" w:themeColor="text1"/>
        </w:rPr>
        <w:t>extremely</w:t>
      </w:r>
      <w:r w:rsidR="009B33FD" w:rsidRPr="00E8281A">
        <w:rPr>
          <w:bCs/>
          <w:color w:val="000000" w:themeColor="text1"/>
        </w:rPr>
        <w:t>)</w:t>
      </w:r>
      <w:r w:rsidR="00AA021D" w:rsidRPr="00E8281A">
        <w:rPr>
          <w:bCs/>
          <w:color w:val="000000" w:themeColor="text1"/>
        </w:rPr>
        <w:t>.</w:t>
      </w:r>
      <w:r w:rsidR="003458B6" w:rsidRPr="00E8281A">
        <w:rPr>
          <w:bCs/>
          <w:color w:val="000000" w:themeColor="text1"/>
        </w:rPr>
        <w:t xml:space="preserve"> </w:t>
      </w:r>
      <w:r w:rsidR="00AA021D" w:rsidRPr="00E8281A">
        <w:rPr>
          <w:bCs/>
          <w:color w:val="000000" w:themeColor="text1"/>
        </w:rPr>
        <w:t>T</w:t>
      </w:r>
      <w:r w:rsidR="009B33FD" w:rsidRPr="00E8281A">
        <w:rPr>
          <w:bCs/>
          <w:color w:val="000000" w:themeColor="text1"/>
        </w:rPr>
        <w:t xml:space="preserve">he </w:t>
      </w:r>
      <w:r w:rsidR="00AA021D" w:rsidRPr="00E8281A">
        <w:rPr>
          <w:bCs/>
          <w:color w:val="000000" w:themeColor="text1"/>
        </w:rPr>
        <w:t>mean</w:t>
      </w:r>
      <w:r w:rsidR="009B33FD" w:rsidRPr="00E8281A">
        <w:rPr>
          <w:bCs/>
          <w:color w:val="000000" w:themeColor="text1"/>
        </w:rPr>
        <w:t xml:space="preserve"> score represented </w:t>
      </w:r>
      <w:r w:rsidR="0051392E" w:rsidRPr="00E8281A">
        <w:rPr>
          <w:bCs/>
          <w:color w:val="000000" w:themeColor="text1"/>
        </w:rPr>
        <w:t xml:space="preserve">children’s </w:t>
      </w:r>
      <w:r w:rsidR="009B33FD" w:rsidRPr="00E8281A">
        <w:rPr>
          <w:bCs/>
          <w:color w:val="000000" w:themeColor="text1"/>
        </w:rPr>
        <w:t>creative potential</w:t>
      </w:r>
      <w:r w:rsidR="00AA021D" w:rsidRPr="00E8281A">
        <w:rPr>
          <w:bCs/>
          <w:color w:val="000000" w:themeColor="text1"/>
        </w:rPr>
        <w:t xml:space="preserve"> in the </w:t>
      </w:r>
      <w:r w:rsidR="00AA021D" w:rsidRPr="00E8281A">
        <w:rPr>
          <w:bCs/>
          <w:color w:val="000000" w:themeColor="text1"/>
        </w:rPr>
        <w:lastRenderedPageBreak/>
        <w:t>kindergarten context</w:t>
      </w:r>
      <w:r w:rsidR="009B33FD" w:rsidRPr="00E8281A">
        <w:rPr>
          <w:bCs/>
          <w:color w:val="000000" w:themeColor="text1"/>
        </w:rPr>
        <w:t xml:space="preserve">. </w:t>
      </w:r>
      <w:bookmarkStart w:id="35" w:name="_Hlk136606968"/>
      <w:r w:rsidR="00AA2A9C" w:rsidRPr="00E8281A">
        <w:rPr>
          <w:bCs/>
          <w:color w:val="000000" w:themeColor="text1"/>
        </w:rPr>
        <w:t xml:space="preserve">In this study, the Cronbach’s alphas </w:t>
      </w:r>
      <w:r w:rsidR="0024452E" w:rsidRPr="00E8281A">
        <w:rPr>
          <w:bCs/>
          <w:color w:val="000000" w:themeColor="text1"/>
        </w:rPr>
        <w:t xml:space="preserve">of the test scores </w:t>
      </w:r>
      <w:r w:rsidR="00AA2A9C" w:rsidRPr="00E8281A">
        <w:rPr>
          <w:bCs/>
          <w:color w:val="000000" w:themeColor="text1"/>
        </w:rPr>
        <w:t>at Time</w:t>
      </w:r>
      <w:r w:rsidR="00F010BE">
        <w:rPr>
          <w:bCs/>
          <w:color w:val="000000" w:themeColor="text1"/>
        </w:rPr>
        <w:t>s</w:t>
      </w:r>
      <w:r w:rsidR="00AA2A9C" w:rsidRPr="00E8281A">
        <w:rPr>
          <w:bCs/>
          <w:color w:val="000000" w:themeColor="text1"/>
        </w:rPr>
        <w:t xml:space="preserve"> 1 and 2 were both .92.</w:t>
      </w:r>
      <w:bookmarkEnd w:id="35"/>
    </w:p>
    <w:p w14:paraId="7E87690D" w14:textId="67CA86AF" w:rsidR="00AB2521" w:rsidRPr="00E8281A" w:rsidRDefault="00AB2521" w:rsidP="00AB2521">
      <w:pPr>
        <w:spacing w:line="480" w:lineRule="auto"/>
        <w:rPr>
          <w:b/>
          <w:bCs/>
          <w:color w:val="000000" w:themeColor="text1"/>
          <w:lang w:eastAsia="zh-HK"/>
        </w:rPr>
      </w:pPr>
      <w:r w:rsidRPr="00E8281A">
        <w:rPr>
          <w:b/>
          <w:bCs/>
          <w:color w:val="000000" w:themeColor="text1"/>
          <w:lang w:eastAsia="zh-HK"/>
        </w:rPr>
        <w:t xml:space="preserve">Data </w:t>
      </w:r>
      <w:r w:rsidR="00702947" w:rsidRPr="00E8281A">
        <w:rPr>
          <w:b/>
          <w:bCs/>
          <w:color w:val="000000" w:themeColor="text1"/>
          <w:lang w:eastAsia="zh-HK"/>
        </w:rPr>
        <w:t>A</w:t>
      </w:r>
      <w:r w:rsidRPr="00E8281A">
        <w:rPr>
          <w:b/>
          <w:bCs/>
          <w:color w:val="000000" w:themeColor="text1"/>
          <w:lang w:eastAsia="zh-HK"/>
        </w:rPr>
        <w:t xml:space="preserve">nalysis </w:t>
      </w:r>
      <w:r w:rsidR="00702947" w:rsidRPr="00E8281A">
        <w:rPr>
          <w:b/>
          <w:bCs/>
          <w:color w:val="000000" w:themeColor="text1"/>
          <w:lang w:eastAsia="zh-HK"/>
        </w:rPr>
        <w:t>P</w:t>
      </w:r>
      <w:r w:rsidRPr="00E8281A">
        <w:rPr>
          <w:b/>
          <w:bCs/>
          <w:color w:val="000000" w:themeColor="text1"/>
          <w:lang w:eastAsia="zh-HK"/>
        </w:rPr>
        <w:t>lan</w:t>
      </w:r>
    </w:p>
    <w:p w14:paraId="2BD61F45" w14:textId="4BC55A61" w:rsidR="00AB2521" w:rsidRPr="00E8281A" w:rsidRDefault="00AB2521" w:rsidP="000B09E4">
      <w:pPr>
        <w:spacing w:line="480" w:lineRule="auto"/>
        <w:rPr>
          <w:bCs/>
          <w:color w:val="000000" w:themeColor="text1"/>
        </w:rPr>
      </w:pPr>
      <w:r w:rsidRPr="00E8281A">
        <w:rPr>
          <w:bCs/>
          <w:color w:val="000000" w:themeColor="text1"/>
        </w:rPr>
        <w:tab/>
      </w:r>
      <w:bookmarkStart w:id="36" w:name="_Hlk118809720"/>
      <w:r w:rsidR="004B32D5" w:rsidRPr="00E8281A">
        <w:rPr>
          <w:bCs/>
          <w:color w:val="000000" w:themeColor="text1"/>
        </w:rPr>
        <w:t xml:space="preserve">Correlation </w:t>
      </w:r>
      <w:r w:rsidR="00026E0B" w:rsidRPr="00E8281A">
        <w:rPr>
          <w:bCs/>
          <w:color w:val="000000" w:themeColor="text1"/>
        </w:rPr>
        <w:t>and hierarchical regression analyses were</w:t>
      </w:r>
      <w:r w:rsidR="004B32D5" w:rsidRPr="00E8281A">
        <w:rPr>
          <w:bCs/>
          <w:color w:val="000000" w:themeColor="text1"/>
        </w:rPr>
        <w:t xml:space="preserve"> conducted to examine </w:t>
      </w:r>
      <w:bookmarkEnd w:id="36"/>
      <w:r w:rsidR="00026E0B" w:rsidRPr="00E8281A">
        <w:rPr>
          <w:bCs/>
          <w:color w:val="000000" w:themeColor="text1"/>
        </w:rPr>
        <w:t xml:space="preserve">the specific aspects of overexcitability and playfulness significantly related to </w:t>
      </w:r>
      <w:r w:rsidR="00B21287" w:rsidRPr="00E8281A">
        <w:rPr>
          <w:bCs/>
          <w:color w:val="000000" w:themeColor="text1"/>
        </w:rPr>
        <w:t xml:space="preserve">the </w:t>
      </w:r>
      <w:r w:rsidR="00026E0B" w:rsidRPr="00E8281A">
        <w:rPr>
          <w:bCs/>
          <w:color w:val="000000" w:themeColor="text1"/>
        </w:rPr>
        <w:t>creative potential at Time</w:t>
      </w:r>
      <w:r w:rsidR="00F010BE">
        <w:rPr>
          <w:bCs/>
          <w:color w:val="000000" w:themeColor="text1"/>
        </w:rPr>
        <w:t>s</w:t>
      </w:r>
      <w:r w:rsidR="00026E0B" w:rsidRPr="00E8281A">
        <w:rPr>
          <w:bCs/>
          <w:color w:val="000000" w:themeColor="text1"/>
        </w:rPr>
        <w:t xml:space="preserve"> 1 and 2. </w:t>
      </w:r>
      <w:r w:rsidR="00AA6627" w:rsidRPr="00E8281A">
        <w:rPr>
          <w:bCs/>
          <w:color w:val="000000" w:themeColor="text1"/>
        </w:rPr>
        <w:t>T</w:t>
      </w:r>
      <w:r w:rsidR="004B32D5" w:rsidRPr="00E8281A">
        <w:rPr>
          <w:bCs/>
          <w:color w:val="000000" w:themeColor="text1"/>
        </w:rPr>
        <w:t xml:space="preserve">he identified </w:t>
      </w:r>
      <w:r w:rsidR="00AA6627" w:rsidRPr="00E8281A">
        <w:rPr>
          <w:bCs/>
          <w:color w:val="000000" w:themeColor="text1"/>
        </w:rPr>
        <w:t>correlates were then subjected to a cross-lagged path model to examine their indirect relationships with creative potential and how playfulness and creative potential would bidirectionally develop</w:t>
      </w:r>
      <w:r w:rsidR="00F010BE">
        <w:rPr>
          <w:bCs/>
          <w:color w:val="000000" w:themeColor="text1"/>
        </w:rPr>
        <w:t xml:space="preserve"> over</w:t>
      </w:r>
      <w:r w:rsidR="00AA6627" w:rsidRPr="00E8281A">
        <w:rPr>
          <w:bCs/>
          <w:color w:val="000000" w:themeColor="text1"/>
        </w:rPr>
        <w:t xml:space="preserve"> time.</w:t>
      </w:r>
      <w:r w:rsidR="004B32D5" w:rsidRPr="00E8281A">
        <w:rPr>
          <w:bCs/>
          <w:color w:val="000000" w:themeColor="text1"/>
        </w:rPr>
        <w:t xml:space="preserve"> </w:t>
      </w:r>
      <w:r w:rsidR="00AA6627" w:rsidRPr="00E8281A">
        <w:rPr>
          <w:bCs/>
          <w:color w:val="000000" w:themeColor="text1"/>
        </w:rPr>
        <w:t>The cross-lagged</w:t>
      </w:r>
      <w:r w:rsidR="002E35EA" w:rsidRPr="00E8281A">
        <w:rPr>
          <w:bCs/>
          <w:color w:val="000000" w:themeColor="text1"/>
        </w:rPr>
        <w:t xml:space="preserve"> model w</w:t>
      </w:r>
      <w:r w:rsidR="00AA6627" w:rsidRPr="00E8281A">
        <w:rPr>
          <w:bCs/>
          <w:color w:val="000000" w:themeColor="text1"/>
        </w:rPr>
        <w:t>as</w:t>
      </w:r>
      <w:r w:rsidR="002E35EA" w:rsidRPr="00E8281A">
        <w:rPr>
          <w:bCs/>
          <w:color w:val="000000" w:themeColor="text1"/>
        </w:rPr>
        <w:t xml:space="preserve"> estimated </w:t>
      </w:r>
      <w:r w:rsidR="00AA6627" w:rsidRPr="00E8281A">
        <w:rPr>
          <w:bCs/>
          <w:color w:val="000000" w:themeColor="text1"/>
        </w:rPr>
        <w:t>using</w:t>
      </w:r>
      <w:r w:rsidR="002E35EA" w:rsidRPr="00E8281A">
        <w:rPr>
          <w:bCs/>
          <w:color w:val="000000" w:themeColor="text1"/>
        </w:rPr>
        <w:t xml:space="preserve"> the lavaan package </w:t>
      </w:r>
      <w:r w:rsidR="00FC52EB" w:rsidRPr="00E8281A">
        <w:rPr>
          <w:bCs/>
          <w:color w:val="000000" w:themeColor="text1"/>
        </w:rPr>
        <w:t xml:space="preserve">in R (version </w:t>
      </w:r>
      <w:r w:rsidR="007B521A" w:rsidRPr="00E8281A">
        <w:rPr>
          <w:bCs/>
          <w:color w:val="000000" w:themeColor="text1"/>
        </w:rPr>
        <w:t>4.2.0</w:t>
      </w:r>
      <w:r w:rsidR="00FC52EB" w:rsidRPr="00E8281A">
        <w:rPr>
          <w:bCs/>
          <w:color w:val="000000" w:themeColor="text1"/>
        </w:rPr>
        <w:t>; R Core Team, 202</w:t>
      </w:r>
      <w:r w:rsidR="007B521A" w:rsidRPr="00E8281A">
        <w:rPr>
          <w:bCs/>
          <w:color w:val="000000" w:themeColor="text1"/>
        </w:rPr>
        <w:t>3</w:t>
      </w:r>
      <w:r w:rsidR="00FC52EB" w:rsidRPr="00E8281A">
        <w:rPr>
          <w:bCs/>
          <w:color w:val="000000" w:themeColor="text1"/>
        </w:rPr>
        <w:t>).</w:t>
      </w:r>
      <w:r w:rsidR="0071761B" w:rsidRPr="00E8281A">
        <w:rPr>
          <w:bCs/>
          <w:color w:val="000000" w:themeColor="text1"/>
        </w:rPr>
        <w:t xml:space="preserve"> </w:t>
      </w:r>
      <w:bookmarkStart w:id="37" w:name="_Hlk118805860"/>
      <w:r w:rsidR="00390DA2" w:rsidRPr="00E8281A">
        <w:rPr>
          <w:bCs/>
          <w:color w:val="000000" w:themeColor="text1"/>
        </w:rPr>
        <w:t xml:space="preserve">Intraclass correlations </w:t>
      </w:r>
      <w:r w:rsidR="006A47A9" w:rsidRPr="00E8281A">
        <w:rPr>
          <w:bCs/>
          <w:color w:val="000000" w:themeColor="text1"/>
        </w:rPr>
        <w:t xml:space="preserve">(ICCs) </w:t>
      </w:r>
      <w:r w:rsidR="00390DA2" w:rsidRPr="00E8281A">
        <w:rPr>
          <w:bCs/>
          <w:color w:val="000000" w:themeColor="text1"/>
        </w:rPr>
        <w:t xml:space="preserve">were </w:t>
      </w:r>
      <w:r w:rsidR="006A47A9" w:rsidRPr="00E8281A">
        <w:rPr>
          <w:bCs/>
          <w:color w:val="000000" w:themeColor="text1"/>
        </w:rPr>
        <w:t>reviewed</w:t>
      </w:r>
      <w:r w:rsidR="00390DA2" w:rsidRPr="00E8281A">
        <w:rPr>
          <w:bCs/>
          <w:color w:val="000000" w:themeColor="text1"/>
        </w:rPr>
        <w:t xml:space="preserve"> to </w:t>
      </w:r>
      <w:r w:rsidR="006A47A9" w:rsidRPr="00E8281A">
        <w:rPr>
          <w:bCs/>
          <w:color w:val="000000" w:themeColor="text1"/>
        </w:rPr>
        <w:t>estimate</w:t>
      </w:r>
      <w:r w:rsidR="00390DA2" w:rsidRPr="00E8281A">
        <w:rPr>
          <w:bCs/>
          <w:color w:val="000000" w:themeColor="text1"/>
        </w:rPr>
        <w:t xml:space="preserve"> the </w:t>
      </w:r>
      <w:r w:rsidR="006A47A9" w:rsidRPr="00E8281A">
        <w:rPr>
          <w:bCs/>
          <w:color w:val="000000" w:themeColor="text1"/>
        </w:rPr>
        <w:t>potential influences</w:t>
      </w:r>
      <w:r w:rsidR="00390DA2" w:rsidRPr="00E8281A">
        <w:rPr>
          <w:bCs/>
          <w:color w:val="000000" w:themeColor="text1"/>
        </w:rPr>
        <w:t xml:space="preserve"> of the nested structure </w:t>
      </w:r>
      <w:r w:rsidR="006A47A9" w:rsidRPr="00E8281A">
        <w:rPr>
          <w:bCs/>
          <w:color w:val="000000" w:themeColor="text1"/>
        </w:rPr>
        <w:t xml:space="preserve">on playfulness and creative potential </w:t>
      </w:r>
      <w:r w:rsidR="00390DA2" w:rsidRPr="00E8281A">
        <w:rPr>
          <w:bCs/>
          <w:color w:val="000000" w:themeColor="text1"/>
        </w:rPr>
        <w:t xml:space="preserve">(i.e., teachers’ </w:t>
      </w:r>
      <w:r w:rsidR="006A47A9" w:rsidRPr="00E8281A">
        <w:rPr>
          <w:bCs/>
          <w:color w:val="000000" w:themeColor="text1"/>
        </w:rPr>
        <w:t xml:space="preserve">ratings </w:t>
      </w:r>
      <w:r w:rsidR="00F010BE">
        <w:rPr>
          <w:bCs/>
          <w:color w:val="000000" w:themeColor="text1"/>
        </w:rPr>
        <w:t>of</w:t>
      </w:r>
      <w:r w:rsidR="006A47A9" w:rsidRPr="00E8281A">
        <w:rPr>
          <w:bCs/>
          <w:color w:val="000000" w:themeColor="text1"/>
        </w:rPr>
        <w:t xml:space="preserve"> children in the same class</w:t>
      </w:r>
      <w:r w:rsidR="00390DA2" w:rsidRPr="00E8281A">
        <w:rPr>
          <w:bCs/>
          <w:color w:val="000000" w:themeColor="text1"/>
        </w:rPr>
        <w:t xml:space="preserve">), </w:t>
      </w:r>
      <w:r w:rsidR="006A47A9" w:rsidRPr="00E8281A">
        <w:rPr>
          <w:bCs/>
          <w:color w:val="000000" w:themeColor="text1"/>
        </w:rPr>
        <w:t>with ICCs ranging</w:t>
      </w:r>
      <w:r w:rsidR="00390DA2" w:rsidRPr="00E8281A">
        <w:rPr>
          <w:bCs/>
          <w:color w:val="000000" w:themeColor="text1"/>
        </w:rPr>
        <w:t xml:space="preserve"> </w:t>
      </w:r>
      <w:r w:rsidR="006A47A9" w:rsidRPr="00E8281A">
        <w:rPr>
          <w:bCs/>
          <w:color w:val="000000" w:themeColor="text1"/>
        </w:rPr>
        <w:t>from</w:t>
      </w:r>
      <w:r w:rsidR="00390DA2" w:rsidRPr="00E8281A">
        <w:rPr>
          <w:bCs/>
          <w:color w:val="000000" w:themeColor="text1"/>
        </w:rPr>
        <w:t xml:space="preserve"> .0</w:t>
      </w:r>
      <w:r w:rsidR="006A47A9" w:rsidRPr="00E8281A">
        <w:rPr>
          <w:bCs/>
          <w:color w:val="000000" w:themeColor="text1"/>
        </w:rPr>
        <w:t>4</w:t>
      </w:r>
      <w:r w:rsidR="00390DA2" w:rsidRPr="00E8281A">
        <w:rPr>
          <w:bCs/>
          <w:color w:val="000000" w:themeColor="text1"/>
        </w:rPr>
        <w:t xml:space="preserve"> (social spontaneity</w:t>
      </w:r>
      <w:r w:rsidR="006A47A9" w:rsidRPr="00E8281A">
        <w:rPr>
          <w:bCs/>
          <w:color w:val="000000" w:themeColor="text1"/>
        </w:rPr>
        <w:t xml:space="preserve"> at Time 2</w:t>
      </w:r>
      <w:r w:rsidR="00390DA2" w:rsidRPr="00E8281A">
        <w:rPr>
          <w:bCs/>
          <w:color w:val="000000" w:themeColor="text1"/>
        </w:rPr>
        <w:t xml:space="preserve">) </w:t>
      </w:r>
      <w:r w:rsidR="006A47A9" w:rsidRPr="00E8281A">
        <w:rPr>
          <w:bCs/>
          <w:color w:val="000000" w:themeColor="text1"/>
        </w:rPr>
        <w:t>to</w:t>
      </w:r>
      <w:r w:rsidR="00390DA2" w:rsidRPr="00E8281A">
        <w:rPr>
          <w:bCs/>
          <w:color w:val="000000" w:themeColor="text1"/>
        </w:rPr>
        <w:t xml:space="preserve"> .2</w:t>
      </w:r>
      <w:r w:rsidR="00581918" w:rsidRPr="00E8281A">
        <w:rPr>
          <w:bCs/>
          <w:color w:val="000000" w:themeColor="text1"/>
        </w:rPr>
        <w:t>9</w:t>
      </w:r>
      <w:r w:rsidR="00390DA2" w:rsidRPr="00E8281A">
        <w:rPr>
          <w:bCs/>
          <w:color w:val="000000" w:themeColor="text1"/>
        </w:rPr>
        <w:t xml:space="preserve"> (creative potential</w:t>
      </w:r>
      <w:r w:rsidR="006A47A9" w:rsidRPr="00E8281A">
        <w:rPr>
          <w:bCs/>
          <w:color w:val="000000" w:themeColor="text1"/>
        </w:rPr>
        <w:t xml:space="preserve"> at Time 1</w:t>
      </w:r>
      <w:r w:rsidR="00390DA2" w:rsidRPr="00E8281A">
        <w:rPr>
          <w:bCs/>
          <w:color w:val="000000" w:themeColor="text1"/>
        </w:rPr>
        <w:t xml:space="preserve">). </w:t>
      </w:r>
      <w:r w:rsidR="0071761B" w:rsidRPr="00E8281A">
        <w:rPr>
          <w:bCs/>
          <w:color w:val="000000" w:themeColor="text1"/>
        </w:rPr>
        <w:t xml:space="preserve">To account for the </w:t>
      </w:r>
      <w:r w:rsidR="00280E31" w:rsidRPr="00E8281A">
        <w:rPr>
          <w:bCs/>
          <w:color w:val="000000" w:themeColor="text1"/>
        </w:rPr>
        <w:t>clustered</w:t>
      </w:r>
      <w:r w:rsidR="006A47A9" w:rsidRPr="00E8281A">
        <w:rPr>
          <w:bCs/>
          <w:color w:val="000000" w:themeColor="text1"/>
        </w:rPr>
        <w:t xml:space="preserve"> sampl</w:t>
      </w:r>
      <w:r w:rsidR="00280E31" w:rsidRPr="00E8281A">
        <w:rPr>
          <w:bCs/>
          <w:color w:val="000000" w:themeColor="text1"/>
        </w:rPr>
        <w:t>ing</w:t>
      </w:r>
      <w:r w:rsidR="006A47A9" w:rsidRPr="00E8281A">
        <w:rPr>
          <w:bCs/>
          <w:color w:val="000000" w:themeColor="text1"/>
        </w:rPr>
        <w:t xml:space="preserve"> structure</w:t>
      </w:r>
      <w:r w:rsidR="0071761B" w:rsidRPr="00E8281A">
        <w:rPr>
          <w:bCs/>
          <w:color w:val="000000" w:themeColor="text1"/>
        </w:rPr>
        <w:t xml:space="preserve">, </w:t>
      </w:r>
      <w:bookmarkStart w:id="38" w:name="_Hlk118805707"/>
      <w:r w:rsidR="001705D9" w:rsidRPr="00E8281A">
        <w:rPr>
          <w:bCs/>
          <w:color w:val="000000" w:themeColor="text1"/>
        </w:rPr>
        <w:t xml:space="preserve">the lavaan.survey package (Oberski, 2014) </w:t>
      </w:r>
      <w:bookmarkEnd w:id="38"/>
      <w:r w:rsidR="001705D9" w:rsidRPr="00E8281A">
        <w:rPr>
          <w:bCs/>
          <w:color w:val="000000" w:themeColor="text1"/>
        </w:rPr>
        <w:t xml:space="preserve">was </w:t>
      </w:r>
      <w:r w:rsidR="006A47A9" w:rsidRPr="00E8281A">
        <w:rPr>
          <w:bCs/>
          <w:color w:val="000000" w:themeColor="text1"/>
        </w:rPr>
        <w:t>used</w:t>
      </w:r>
      <w:r w:rsidR="00DF747F" w:rsidRPr="00E8281A">
        <w:rPr>
          <w:bCs/>
          <w:color w:val="000000" w:themeColor="text1"/>
        </w:rPr>
        <w:t xml:space="preserve"> </w:t>
      </w:r>
      <w:r w:rsidR="00581918" w:rsidRPr="00E8281A">
        <w:rPr>
          <w:bCs/>
          <w:color w:val="000000" w:themeColor="text1"/>
        </w:rPr>
        <w:t xml:space="preserve">to </w:t>
      </w:r>
      <w:r w:rsidR="00280E31" w:rsidRPr="00E8281A">
        <w:rPr>
          <w:bCs/>
          <w:color w:val="000000" w:themeColor="text1"/>
        </w:rPr>
        <w:t>adjust</w:t>
      </w:r>
      <w:r w:rsidR="00581918" w:rsidRPr="00E8281A">
        <w:rPr>
          <w:bCs/>
          <w:color w:val="000000" w:themeColor="text1"/>
        </w:rPr>
        <w:t xml:space="preserve"> the parameter estimates</w:t>
      </w:r>
      <w:r w:rsidR="00280E31" w:rsidRPr="00E8281A">
        <w:rPr>
          <w:bCs/>
          <w:color w:val="000000" w:themeColor="text1"/>
        </w:rPr>
        <w:t xml:space="preserve">, </w:t>
      </w:r>
      <w:r w:rsidR="00581918" w:rsidRPr="00E8281A">
        <w:rPr>
          <w:bCs/>
          <w:color w:val="000000" w:themeColor="text1"/>
        </w:rPr>
        <w:t xml:space="preserve">standard errors, and chi-square-derived fit </w:t>
      </w:r>
      <w:r w:rsidR="00280E31" w:rsidRPr="00E8281A">
        <w:rPr>
          <w:bCs/>
          <w:color w:val="000000" w:themeColor="text1"/>
        </w:rPr>
        <w:t>indices</w:t>
      </w:r>
      <w:r w:rsidR="00DF7A89" w:rsidRPr="00E8281A">
        <w:rPr>
          <w:bCs/>
          <w:color w:val="000000" w:themeColor="text1"/>
        </w:rPr>
        <w:t xml:space="preserve">. </w:t>
      </w:r>
      <w:bookmarkEnd w:id="37"/>
      <w:r w:rsidR="00DF7A89" w:rsidRPr="00E8281A">
        <w:rPr>
          <w:bCs/>
          <w:color w:val="000000" w:themeColor="text1"/>
        </w:rPr>
        <w:t>This</w:t>
      </w:r>
      <w:r w:rsidR="00DF747F" w:rsidRPr="00E8281A">
        <w:rPr>
          <w:bCs/>
          <w:color w:val="000000" w:themeColor="text1"/>
        </w:rPr>
        <w:t xml:space="preserve"> </w:t>
      </w:r>
      <w:r w:rsidR="00280E31" w:rsidRPr="00E8281A">
        <w:rPr>
          <w:bCs/>
          <w:color w:val="000000" w:themeColor="text1"/>
        </w:rPr>
        <w:t>statistical method</w:t>
      </w:r>
      <w:r w:rsidR="00DF747F" w:rsidRPr="00E8281A">
        <w:rPr>
          <w:bCs/>
          <w:color w:val="000000" w:themeColor="text1"/>
        </w:rPr>
        <w:t xml:space="preserve"> </w:t>
      </w:r>
      <w:r w:rsidR="00F010BE">
        <w:rPr>
          <w:bCs/>
          <w:color w:val="000000" w:themeColor="text1"/>
        </w:rPr>
        <w:t>has been</w:t>
      </w:r>
      <w:r w:rsidR="00DF747F" w:rsidRPr="00E8281A">
        <w:rPr>
          <w:bCs/>
          <w:color w:val="000000" w:themeColor="text1"/>
        </w:rPr>
        <w:t xml:space="preserve"> </w:t>
      </w:r>
      <w:r w:rsidR="00280E31" w:rsidRPr="00E8281A">
        <w:rPr>
          <w:bCs/>
          <w:color w:val="000000" w:themeColor="text1"/>
        </w:rPr>
        <w:t>employed</w:t>
      </w:r>
      <w:r w:rsidR="00DF747F" w:rsidRPr="00E8281A">
        <w:rPr>
          <w:bCs/>
          <w:color w:val="000000" w:themeColor="text1"/>
        </w:rPr>
        <w:t xml:space="preserve"> in </w:t>
      </w:r>
      <w:r w:rsidR="00122CE3" w:rsidRPr="00E8281A">
        <w:rPr>
          <w:bCs/>
          <w:color w:val="000000" w:themeColor="text1"/>
        </w:rPr>
        <w:t>prior</w:t>
      </w:r>
      <w:r w:rsidR="00DF747F" w:rsidRPr="00E8281A">
        <w:rPr>
          <w:bCs/>
          <w:color w:val="000000" w:themeColor="text1"/>
        </w:rPr>
        <w:t xml:space="preserve"> </w:t>
      </w:r>
      <w:r w:rsidR="00280E31" w:rsidRPr="00E8281A">
        <w:rPr>
          <w:bCs/>
          <w:color w:val="000000" w:themeColor="text1"/>
        </w:rPr>
        <w:t>studies</w:t>
      </w:r>
      <w:r w:rsidR="00DF747F" w:rsidRPr="00E8281A">
        <w:rPr>
          <w:bCs/>
          <w:color w:val="000000" w:themeColor="text1"/>
        </w:rPr>
        <w:t xml:space="preserve"> (e.g., Jackson &amp; Cunningham, 2017; Stühmann et al., 2020).</w:t>
      </w:r>
      <w:r w:rsidR="00FC2957" w:rsidRPr="00E8281A">
        <w:rPr>
          <w:bCs/>
          <w:color w:val="000000" w:themeColor="text1"/>
        </w:rPr>
        <w:t xml:space="preserve"> Model fit was </w:t>
      </w:r>
      <w:r w:rsidR="00122CE3" w:rsidRPr="00E8281A">
        <w:rPr>
          <w:bCs/>
          <w:color w:val="000000" w:themeColor="text1"/>
        </w:rPr>
        <w:t>evaluated</w:t>
      </w:r>
      <w:r w:rsidR="00FC2957" w:rsidRPr="00E8281A">
        <w:rPr>
          <w:bCs/>
          <w:color w:val="000000" w:themeColor="text1"/>
        </w:rPr>
        <w:t xml:space="preserve"> </w:t>
      </w:r>
      <w:r w:rsidR="00122CE3" w:rsidRPr="00E8281A">
        <w:rPr>
          <w:bCs/>
          <w:color w:val="000000" w:themeColor="text1"/>
        </w:rPr>
        <w:t xml:space="preserve">by referring to Hu and Bentler’s suggestions (1999): nonsignificant </w:t>
      </w:r>
      <w:r w:rsidR="00FC2957" w:rsidRPr="00E8281A">
        <w:rPr>
          <w:bCs/>
          <w:color w:val="000000" w:themeColor="text1"/>
        </w:rPr>
        <w:t>Chi-square index (</w:t>
      </w:r>
      <w:r w:rsidR="00FC2957" w:rsidRPr="00E8281A">
        <w:rPr>
          <w:bCs/>
          <w:i/>
          <w:iCs/>
          <w:color w:val="000000" w:themeColor="text1"/>
        </w:rPr>
        <w:t>χ2</w:t>
      </w:r>
      <w:r w:rsidR="00FC2957" w:rsidRPr="00E8281A">
        <w:rPr>
          <w:bCs/>
          <w:color w:val="000000" w:themeColor="text1"/>
        </w:rPr>
        <w:t>), comparative fit index (CFI</w:t>
      </w:r>
      <w:r w:rsidR="00122CE3" w:rsidRPr="00E8281A">
        <w:rPr>
          <w:bCs/>
          <w:color w:val="000000" w:themeColor="text1"/>
        </w:rPr>
        <w:t>) over</w:t>
      </w:r>
      <w:r w:rsidR="00FC2957" w:rsidRPr="00E8281A">
        <w:rPr>
          <w:bCs/>
          <w:color w:val="000000" w:themeColor="text1"/>
        </w:rPr>
        <w:t xml:space="preserve"> .95, root mean square error of approximation (RMSEA</w:t>
      </w:r>
      <w:r w:rsidR="00122CE3" w:rsidRPr="00E8281A">
        <w:rPr>
          <w:bCs/>
          <w:color w:val="000000" w:themeColor="text1"/>
        </w:rPr>
        <w:t>) below</w:t>
      </w:r>
      <w:r w:rsidR="00FC2957" w:rsidRPr="00E8281A">
        <w:rPr>
          <w:bCs/>
          <w:color w:val="000000" w:themeColor="text1"/>
        </w:rPr>
        <w:t xml:space="preserve"> .06, and standardized root mean square residual (SRM</w:t>
      </w:r>
      <w:r w:rsidR="00122CE3" w:rsidRPr="00E8281A">
        <w:rPr>
          <w:bCs/>
          <w:color w:val="000000" w:themeColor="text1"/>
        </w:rPr>
        <w:t>R) below</w:t>
      </w:r>
      <w:r w:rsidR="00FC2957" w:rsidRPr="00E8281A">
        <w:rPr>
          <w:bCs/>
          <w:color w:val="000000" w:themeColor="text1"/>
        </w:rPr>
        <w:t xml:space="preserve"> .08.</w:t>
      </w:r>
    </w:p>
    <w:p w14:paraId="507A642B" w14:textId="77777777" w:rsidR="000B3874" w:rsidRPr="00E8281A" w:rsidRDefault="008E1617" w:rsidP="00D607D4">
      <w:pPr>
        <w:spacing w:line="480" w:lineRule="auto"/>
        <w:jc w:val="center"/>
        <w:rPr>
          <w:b/>
          <w:color w:val="000000" w:themeColor="text1"/>
        </w:rPr>
      </w:pPr>
      <w:r w:rsidRPr="00E8281A">
        <w:rPr>
          <w:b/>
          <w:color w:val="000000" w:themeColor="text1"/>
        </w:rPr>
        <w:t>Results</w:t>
      </w:r>
    </w:p>
    <w:p w14:paraId="0261B81E" w14:textId="7BE67B73" w:rsidR="008E1617" w:rsidRPr="00E8281A" w:rsidRDefault="008E1617" w:rsidP="009E7AA2">
      <w:pPr>
        <w:spacing w:line="480" w:lineRule="auto"/>
        <w:rPr>
          <w:b/>
          <w:color w:val="000000" w:themeColor="text1"/>
        </w:rPr>
      </w:pPr>
      <w:r w:rsidRPr="00E8281A">
        <w:rPr>
          <w:b/>
          <w:color w:val="000000" w:themeColor="text1"/>
        </w:rPr>
        <w:t xml:space="preserve">Preliminary </w:t>
      </w:r>
      <w:r w:rsidR="00702947" w:rsidRPr="00E8281A">
        <w:rPr>
          <w:b/>
          <w:color w:val="000000" w:themeColor="text1"/>
        </w:rPr>
        <w:t>A</w:t>
      </w:r>
      <w:r w:rsidRPr="00E8281A">
        <w:rPr>
          <w:b/>
          <w:color w:val="000000" w:themeColor="text1"/>
        </w:rPr>
        <w:t>nalyses</w:t>
      </w:r>
    </w:p>
    <w:p w14:paraId="1843B44E" w14:textId="10CA4AB1" w:rsidR="008636AD" w:rsidRPr="00E8281A" w:rsidRDefault="00334296" w:rsidP="009E7AA2">
      <w:pPr>
        <w:spacing w:line="480" w:lineRule="auto"/>
        <w:rPr>
          <w:bCs/>
          <w:color w:val="000000" w:themeColor="text1"/>
        </w:rPr>
      </w:pPr>
      <w:r w:rsidRPr="00E8281A">
        <w:rPr>
          <w:b/>
          <w:color w:val="000000" w:themeColor="text1"/>
        </w:rPr>
        <w:tab/>
      </w:r>
      <w:r w:rsidRPr="00E8281A">
        <w:rPr>
          <w:bCs/>
          <w:color w:val="000000" w:themeColor="text1"/>
        </w:rPr>
        <w:t xml:space="preserve">Table 1 </w:t>
      </w:r>
      <w:r w:rsidR="005F2018" w:rsidRPr="00E8281A">
        <w:rPr>
          <w:bCs/>
          <w:color w:val="000000" w:themeColor="text1"/>
        </w:rPr>
        <w:t>shows</w:t>
      </w:r>
      <w:r w:rsidRPr="00E8281A">
        <w:rPr>
          <w:bCs/>
          <w:color w:val="000000" w:themeColor="text1"/>
        </w:rPr>
        <w:t xml:space="preserve"> the descri</w:t>
      </w:r>
      <w:r w:rsidR="006D49BD" w:rsidRPr="00E8281A">
        <w:rPr>
          <w:bCs/>
          <w:color w:val="000000" w:themeColor="text1"/>
        </w:rPr>
        <w:t>ptive statistics</w:t>
      </w:r>
      <w:r w:rsidR="00720543" w:rsidRPr="00E8281A">
        <w:rPr>
          <w:bCs/>
          <w:color w:val="000000" w:themeColor="text1"/>
        </w:rPr>
        <w:t>, Cronbach’s alphas,</w:t>
      </w:r>
      <w:r w:rsidR="006D49BD" w:rsidRPr="00E8281A">
        <w:rPr>
          <w:bCs/>
          <w:color w:val="000000" w:themeColor="text1"/>
        </w:rPr>
        <w:t xml:space="preserve"> and bivariate correlations of the study variables</w:t>
      </w:r>
      <w:r w:rsidR="000151D4" w:rsidRPr="00E8281A">
        <w:rPr>
          <w:bCs/>
          <w:color w:val="000000" w:themeColor="text1"/>
        </w:rPr>
        <w:t xml:space="preserve"> at Time</w:t>
      </w:r>
      <w:r w:rsidR="002B71C7">
        <w:rPr>
          <w:bCs/>
          <w:color w:val="000000" w:themeColor="text1"/>
        </w:rPr>
        <w:t>s</w:t>
      </w:r>
      <w:r w:rsidR="000151D4" w:rsidRPr="00E8281A">
        <w:rPr>
          <w:bCs/>
          <w:color w:val="000000" w:themeColor="text1"/>
        </w:rPr>
        <w:t xml:space="preserve"> 1 and 2</w:t>
      </w:r>
      <w:r w:rsidR="006D49BD" w:rsidRPr="00E8281A">
        <w:rPr>
          <w:bCs/>
          <w:color w:val="000000" w:themeColor="text1"/>
        </w:rPr>
        <w:t>.</w:t>
      </w:r>
      <w:r w:rsidR="00484D41" w:rsidRPr="00E8281A">
        <w:rPr>
          <w:bCs/>
          <w:color w:val="000000" w:themeColor="text1"/>
        </w:rPr>
        <w:t xml:space="preserve"> </w:t>
      </w:r>
      <w:r w:rsidR="006E2182" w:rsidRPr="00E8281A">
        <w:rPr>
          <w:bCs/>
          <w:color w:val="000000" w:themeColor="text1"/>
        </w:rPr>
        <w:t>The</w:t>
      </w:r>
      <w:r w:rsidR="000151D4" w:rsidRPr="00E8281A">
        <w:rPr>
          <w:bCs/>
          <w:color w:val="000000" w:themeColor="text1"/>
        </w:rPr>
        <w:t xml:space="preserve">re </w:t>
      </w:r>
      <w:r w:rsidR="00B21287" w:rsidRPr="00E8281A">
        <w:rPr>
          <w:bCs/>
          <w:color w:val="000000" w:themeColor="text1"/>
        </w:rPr>
        <w:t>were</w:t>
      </w:r>
      <w:r w:rsidR="000151D4" w:rsidRPr="00E8281A">
        <w:rPr>
          <w:bCs/>
          <w:color w:val="000000" w:themeColor="text1"/>
        </w:rPr>
        <w:t xml:space="preserve"> no</w:t>
      </w:r>
      <w:r w:rsidR="006E2182" w:rsidRPr="00E8281A">
        <w:rPr>
          <w:bCs/>
          <w:color w:val="000000" w:themeColor="text1"/>
        </w:rPr>
        <w:t xml:space="preserve"> missing </w:t>
      </w:r>
      <w:r w:rsidR="001733DC" w:rsidRPr="00E8281A">
        <w:rPr>
          <w:bCs/>
          <w:color w:val="000000" w:themeColor="text1"/>
        </w:rPr>
        <w:t>values</w:t>
      </w:r>
      <w:r w:rsidR="000151D4" w:rsidRPr="00E8281A">
        <w:rPr>
          <w:bCs/>
          <w:color w:val="000000" w:themeColor="text1"/>
        </w:rPr>
        <w:t xml:space="preserve"> in the data</w:t>
      </w:r>
      <w:r w:rsidR="006E2182" w:rsidRPr="00E8281A">
        <w:rPr>
          <w:bCs/>
          <w:color w:val="000000" w:themeColor="text1"/>
        </w:rPr>
        <w:t>. The</w:t>
      </w:r>
      <w:r w:rsidR="000151D4" w:rsidRPr="00E8281A">
        <w:rPr>
          <w:bCs/>
          <w:color w:val="000000" w:themeColor="text1"/>
        </w:rPr>
        <w:t xml:space="preserve"> normality of the variables</w:t>
      </w:r>
      <w:r w:rsidR="00B21287" w:rsidRPr="00E8281A">
        <w:rPr>
          <w:bCs/>
          <w:color w:val="000000" w:themeColor="text1"/>
        </w:rPr>
        <w:t>,</w:t>
      </w:r>
      <w:r w:rsidR="000151D4" w:rsidRPr="00E8281A">
        <w:rPr>
          <w:bCs/>
          <w:color w:val="000000" w:themeColor="text1"/>
        </w:rPr>
        <w:t xml:space="preserve"> as reflected by their</w:t>
      </w:r>
      <w:r w:rsidR="006E2182" w:rsidRPr="00E8281A">
        <w:rPr>
          <w:bCs/>
          <w:color w:val="000000" w:themeColor="text1"/>
        </w:rPr>
        <w:t xml:space="preserve"> skewness and kurtosis</w:t>
      </w:r>
      <w:r w:rsidR="00B21287" w:rsidRPr="00E8281A">
        <w:rPr>
          <w:bCs/>
          <w:color w:val="000000" w:themeColor="text1"/>
        </w:rPr>
        <w:t>,</w:t>
      </w:r>
      <w:r w:rsidR="006E2182" w:rsidRPr="00E8281A">
        <w:rPr>
          <w:bCs/>
          <w:color w:val="000000" w:themeColor="text1"/>
        </w:rPr>
        <w:t xml:space="preserve"> </w:t>
      </w:r>
      <w:r w:rsidR="00B21287" w:rsidRPr="00E8281A">
        <w:rPr>
          <w:bCs/>
          <w:color w:val="000000" w:themeColor="text1"/>
        </w:rPr>
        <w:t>was</w:t>
      </w:r>
      <w:r w:rsidR="000151D4" w:rsidRPr="00E8281A">
        <w:rPr>
          <w:bCs/>
          <w:color w:val="000000" w:themeColor="text1"/>
        </w:rPr>
        <w:t xml:space="preserve"> acceptable</w:t>
      </w:r>
      <w:r w:rsidR="006E2182" w:rsidRPr="00E8281A">
        <w:rPr>
          <w:bCs/>
          <w:color w:val="000000" w:themeColor="text1"/>
        </w:rPr>
        <w:t xml:space="preserve">. </w:t>
      </w:r>
      <w:r w:rsidR="008636AD" w:rsidRPr="00E8281A">
        <w:rPr>
          <w:bCs/>
          <w:color w:val="000000" w:themeColor="text1"/>
        </w:rPr>
        <w:t xml:space="preserve">At Time 1, teacher-reported playfulness </w:t>
      </w:r>
      <w:r w:rsidR="00DB288D" w:rsidRPr="00E8281A">
        <w:rPr>
          <w:bCs/>
          <w:color w:val="000000" w:themeColor="text1"/>
        </w:rPr>
        <w:t>was</w:t>
      </w:r>
      <w:r w:rsidR="008636AD" w:rsidRPr="00E8281A">
        <w:rPr>
          <w:bCs/>
          <w:color w:val="000000" w:themeColor="text1"/>
        </w:rPr>
        <w:t xml:space="preserve"> positively related to psychomotor and intellectual </w:t>
      </w:r>
      <w:r w:rsidR="008636AD" w:rsidRPr="00E8281A">
        <w:rPr>
          <w:bCs/>
          <w:color w:val="000000" w:themeColor="text1"/>
        </w:rPr>
        <w:lastRenderedPageBreak/>
        <w:t>overexcitabilities as reported by parents (</w:t>
      </w:r>
      <w:r w:rsidR="008636AD" w:rsidRPr="00E8281A">
        <w:rPr>
          <w:bCs/>
          <w:i/>
          <w:iCs/>
          <w:color w:val="000000" w:themeColor="text1"/>
        </w:rPr>
        <w:t xml:space="preserve">r </w:t>
      </w:r>
      <w:r w:rsidR="008636AD" w:rsidRPr="00E8281A">
        <w:rPr>
          <w:bCs/>
          <w:color w:val="000000" w:themeColor="text1"/>
        </w:rPr>
        <w:t xml:space="preserve">= .20 to .39, </w:t>
      </w:r>
      <w:r w:rsidR="008636AD" w:rsidRPr="00E8281A">
        <w:rPr>
          <w:bCs/>
          <w:i/>
          <w:iCs/>
          <w:color w:val="000000" w:themeColor="text1"/>
        </w:rPr>
        <w:t xml:space="preserve">p </w:t>
      </w:r>
      <w:r w:rsidR="008636AD" w:rsidRPr="00E8281A">
        <w:rPr>
          <w:bCs/>
          <w:color w:val="000000" w:themeColor="text1"/>
        </w:rPr>
        <w:t>&lt; .01), and a similar pattern of relationships w</w:t>
      </w:r>
      <w:r w:rsidR="00FD7C5B" w:rsidRPr="00E8281A">
        <w:rPr>
          <w:bCs/>
          <w:color w:val="000000" w:themeColor="text1"/>
        </w:rPr>
        <w:t>as</w:t>
      </w:r>
      <w:r w:rsidR="008636AD" w:rsidRPr="00E8281A">
        <w:rPr>
          <w:bCs/>
          <w:color w:val="000000" w:themeColor="text1"/>
        </w:rPr>
        <w:t xml:space="preserve"> obtained at Time 2 (</w:t>
      </w:r>
      <w:r w:rsidR="008636AD" w:rsidRPr="00E8281A">
        <w:rPr>
          <w:bCs/>
          <w:i/>
          <w:iCs/>
          <w:color w:val="000000" w:themeColor="text1"/>
        </w:rPr>
        <w:t xml:space="preserve">r </w:t>
      </w:r>
      <w:r w:rsidR="008636AD" w:rsidRPr="00E8281A">
        <w:rPr>
          <w:bCs/>
          <w:color w:val="000000" w:themeColor="text1"/>
        </w:rPr>
        <w:t xml:space="preserve">= .18 to .25, </w:t>
      </w:r>
      <w:r w:rsidR="008636AD" w:rsidRPr="00E8281A">
        <w:rPr>
          <w:bCs/>
          <w:i/>
          <w:iCs/>
          <w:color w:val="000000" w:themeColor="text1"/>
        </w:rPr>
        <w:t xml:space="preserve">p </w:t>
      </w:r>
      <w:r w:rsidR="008636AD" w:rsidRPr="00E8281A">
        <w:rPr>
          <w:bCs/>
          <w:color w:val="000000" w:themeColor="text1"/>
        </w:rPr>
        <w:t xml:space="preserve">&lt; .05). Teacher-reported creative potential at both Time 1 </w:t>
      </w:r>
      <w:r w:rsidR="000B3453" w:rsidRPr="00E8281A">
        <w:rPr>
          <w:bCs/>
          <w:color w:val="000000" w:themeColor="text1"/>
        </w:rPr>
        <w:t>(</w:t>
      </w:r>
      <w:r w:rsidR="000B3453" w:rsidRPr="00E8281A">
        <w:rPr>
          <w:bCs/>
          <w:i/>
          <w:iCs/>
          <w:color w:val="000000" w:themeColor="text1"/>
        </w:rPr>
        <w:t xml:space="preserve">r </w:t>
      </w:r>
      <w:r w:rsidR="000B3453" w:rsidRPr="00E8281A">
        <w:rPr>
          <w:bCs/>
          <w:color w:val="000000" w:themeColor="text1"/>
        </w:rPr>
        <w:t xml:space="preserve">= .18 to .22, </w:t>
      </w:r>
      <w:r w:rsidR="000B3453" w:rsidRPr="00E8281A">
        <w:rPr>
          <w:bCs/>
          <w:i/>
          <w:iCs/>
          <w:color w:val="000000" w:themeColor="text1"/>
        </w:rPr>
        <w:t xml:space="preserve">p </w:t>
      </w:r>
      <w:r w:rsidR="000B3453" w:rsidRPr="00E8281A">
        <w:rPr>
          <w:bCs/>
          <w:color w:val="000000" w:themeColor="text1"/>
        </w:rPr>
        <w:t xml:space="preserve">&lt; .05) </w:t>
      </w:r>
      <w:r w:rsidR="008636AD" w:rsidRPr="00E8281A">
        <w:rPr>
          <w:bCs/>
          <w:color w:val="000000" w:themeColor="text1"/>
        </w:rPr>
        <w:t xml:space="preserve">and Time 2 </w:t>
      </w:r>
      <w:r w:rsidR="000B3453" w:rsidRPr="00E8281A">
        <w:rPr>
          <w:bCs/>
          <w:color w:val="000000" w:themeColor="text1"/>
        </w:rPr>
        <w:t>(</w:t>
      </w:r>
      <w:r w:rsidR="000B3453" w:rsidRPr="00E8281A">
        <w:rPr>
          <w:bCs/>
          <w:i/>
          <w:iCs/>
          <w:color w:val="000000" w:themeColor="text1"/>
        </w:rPr>
        <w:t xml:space="preserve">r </w:t>
      </w:r>
      <w:r w:rsidR="000B3453" w:rsidRPr="00E8281A">
        <w:rPr>
          <w:bCs/>
          <w:color w:val="000000" w:themeColor="text1"/>
        </w:rPr>
        <w:t xml:space="preserve">= .20 to .26, </w:t>
      </w:r>
      <w:r w:rsidR="000B3453" w:rsidRPr="00E8281A">
        <w:rPr>
          <w:bCs/>
          <w:i/>
          <w:iCs/>
          <w:color w:val="000000" w:themeColor="text1"/>
        </w:rPr>
        <w:t xml:space="preserve">p </w:t>
      </w:r>
      <w:r w:rsidR="000B3453" w:rsidRPr="00E8281A">
        <w:rPr>
          <w:bCs/>
          <w:color w:val="000000" w:themeColor="text1"/>
        </w:rPr>
        <w:t xml:space="preserve">&lt; .05) </w:t>
      </w:r>
      <w:r w:rsidR="008636AD" w:rsidRPr="00E8281A">
        <w:rPr>
          <w:bCs/>
          <w:color w:val="000000" w:themeColor="text1"/>
        </w:rPr>
        <w:t>w</w:t>
      </w:r>
      <w:r w:rsidR="0042527F">
        <w:rPr>
          <w:bCs/>
          <w:color w:val="000000" w:themeColor="text1"/>
        </w:rPr>
        <w:t>as</w:t>
      </w:r>
      <w:r w:rsidR="008636AD" w:rsidRPr="00E8281A">
        <w:rPr>
          <w:bCs/>
          <w:color w:val="000000" w:themeColor="text1"/>
        </w:rPr>
        <w:t xml:space="preserve"> positively correlated with psychomotor and intellectual overexcitabilities.</w:t>
      </w:r>
      <w:r w:rsidR="000B3453" w:rsidRPr="00E8281A">
        <w:rPr>
          <w:bCs/>
          <w:color w:val="000000" w:themeColor="text1"/>
        </w:rPr>
        <w:t xml:space="preserve"> </w:t>
      </w:r>
      <w:r w:rsidR="008F2111" w:rsidRPr="00E8281A">
        <w:rPr>
          <w:bCs/>
          <w:color w:val="000000" w:themeColor="text1"/>
        </w:rPr>
        <w:t>Further</w:t>
      </w:r>
      <w:r w:rsidR="0042527F">
        <w:rPr>
          <w:bCs/>
          <w:color w:val="000000" w:themeColor="text1"/>
        </w:rPr>
        <w:t>more</w:t>
      </w:r>
      <w:r w:rsidR="008F2111" w:rsidRPr="00E8281A">
        <w:rPr>
          <w:bCs/>
          <w:color w:val="000000" w:themeColor="text1"/>
        </w:rPr>
        <w:t>, c</w:t>
      </w:r>
      <w:r w:rsidR="000B3453" w:rsidRPr="00E8281A">
        <w:rPr>
          <w:bCs/>
          <w:color w:val="000000" w:themeColor="text1"/>
        </w:rPr>
        <w:t>hildren’s creative potential was positively associated with all five aspects of playfulness at both Time 1 (</w:t>
      </w:r>
      <w:r w:rsidR="000B3453" w:rsidRPr="00E8281A">
        <w:rPr>
          <w:bCs/>
          <w:i/>
          <w:iCs/>
          <w:color w:val="000000" w:themeColor="text1"/>
        </w:rPr>
        <w:t xml:space="preserve">r </w:t>
      </w:r>
      <w:r w:rsidR="000B3453" w:rsidRPr="00E8281A">
        <w:rPr>
          <w:bCs/>
          <w:color w:val="000000" w:themeColor="text1"/>
        </w:rPr>
        <w:t xml:space="preserve">= .48 to .72, </w:t>
      </w:r>
      <w:r w:rsidR="000B3453" w:rsidRPr="00E8281A">
        <w:rPr>
          <w:bCs/>
          <w:i/>
          <w:iCs/>
          <w:color w:val="000000" w:themeColor="text1"/>
        </w:rPr>
        <w:t xml:space="preserve">p </w:t>
      </w:r>
      <w:r w:rsidR="000B3453" w:rsidRPr="00E8281A">
        <w:rPr>
          <w:bCs/>
          <w:color w:val="000000" w:themeColor="text1"/>
        </w:rPr>
        <w:t>&lt; .001) and Time 2 (</w:t>
      </w:r>
      <w:r w:rsidR="000B3453" w:rsidRPr="00E8281A">
        <w:rPr>
          <w:bCs/>
          <w:i/>
          <w:iCs/>
          <w:color w:val="000000" w:themeColor="text1"/>
        </w:rPr>
        <w:t xml:space="preserve">r </w:t>
      </w:r>
      <w:r w:rsidR="000B3453" w:rsidRPr="00E8281A">
        <w:rPr>
          <w:bCs/>
          <w:color w:val="000000" w:themeColor="text1"/>
        </w:rPr>
        <w:t xml:space="preserve">= .59 to .73, </w:t>
      </w:r>
      <w:r w:rsidR="000B3453" w:rsidRPr="00E8281A">
        <w:rPr>
          <w:bCs/>
          <w:i/>
          <w:iCs/>
          <w:color w:val="000000" w:themeColor="text1"/>
        </w:rPr>
        <w:t xml:space="preserve">p </w:t>
      </w:r>
      <w:r w:rsidR="000B3453" w:rsidRPr="00E8281A">
        <w:rPr>
          <w:bCs/>
          <w:color w:val="000000" w:themeColor="text1"/>
        </w:rPr>
        <w:t>&lt; .001).</w:t>
      </w:r>
      <w:r w:rsidR="00221E16" w:rsidRPr="00E8281A">
        <w:rPr>
          <w:bCs/>
          <w:color w:val="000000" w:themeColor="text1"/>
        </w:rPr>
        <w:t xml:space="preserve"> Hierarchical regression analyses were conducted to identify the aspects of playfulness that specifically predicted creative potential with children’s overexcitabilities and demographic variable</w:t>
      </w:r>
      <w:r w:rsidR="008F2111" w:rsidRPr="00E8281A">
        <w:rPr>
          <w:bCs/>
          <w:color w:val="000000" w:themeColor="text1"/>
        </w:rPr>
        <w:t>s</w:t>
      </w:r>
      <w:r w:rsidR="00221E16" w:rsidRPr="00E8281A">
        <w:rPr>
          <w:bCs/>
          <w:color w:val="000000" w:themeColor="text1"/>
        </w:rPr>
        <w:t xml:space="preserve"> (i.e., child age, gender, and parental education) statistically controlled</w:t>
      </w:r>
      <w:r w:rsidR="008F2111" w:rsidRPr="00E8281A">
        <w:rPr>
          <w:bCs/>
          <w:color w:val="000000" w:themeColor="text1"/>
        </w:rPr>
        <w:t xml:space="preserve"> (He, 2018; He et al., 2017).</w:t>
      </w:r>
    </w:p>
    <w:p w14:paraId="46BCF48D" w14:textId="19750BCD" w:rsidR="00EF6932" w:rsidRPr="00E8281A" w:rsidRDefault="00EF6932" w:rsidP="009E7AA2">
      <w:pPr>
        <w:spacing w:line="480" w:lineRule="auto"/>
        <w:rPr>
          <w:b/>
          <w:color w:val="000000" w:themeColor="text1"/>
          <w:lang w:eastAsia="zh-HK"/>
        </w:rPr>
      </w:pPr>
      <w:r w:rsidRPr="00E8281A">
        <w:rPr>
          <w:b/>
          <w:color w:val="000000" w:themeColor="text1"/>
          <w:lang w:eastAsia="zh-HK"/>
        </w:rPr>
        <w:t xml:space="preserve">Hierarchical </w:t>
      </w:r>
      <w:r w:rsidR="00702947" w:rsidRPr="00E8281A">
        <w:rPr>
          <w:b/>
          <w:color w:val="000000" w:themeColor="text1"/>
          <w:lang w:eastAsia="zh-HK"/>
        </w:rPr>
        <w:t>R</w:t>
      </w:r>
      <w:r w:rsidRPr="00E8281A">
        <w:rPr>
          <w:b/>
          <w:color w:val="000000" w:themeColor="text1"/>
          <w:lang w:eastAsia="zh-HK"/>
        </w:rPr>
        <w:t xml:space="preserve">egression </w:t>
      </w:r>
      <w:r w:rsidR="00702947" w:rsidRPr="00E8281A">
        <w:rPr>
          <w:b/>
          <w:color w:val="000000" w:themeColor="text1"/>
          <w:lang w:eastAsia="zh-HK"/>
        </w:rPr>
        <w:t>M</w:t>
      </w:r>
      <w:r w:rsidRPr="00E8281A">
        <w:rPr>
          <w:b/>
          <w:color w:val="000000" w:themeColor="text1"/>
          <w:lang w:eastAsia="zh-HK"/>
        </w:rPr>
        <w:t>odel</w:t>
      </w:r>
      <w:r w:rsidR="008F2111" w:rsidRPr="00E8281A">
        <w:rPr>
          <w:b/>
          <w:color w:val="000000" w:themeColor="text1"/>
          <w:lang w:eastAsia="zh-HK"/>
        </w:rPr>
        <w:t>s</w:t>
      </w:r>
      <w:r w:rsidR="00A702BD" w:rsidRPr="00E8281A">
        <w:rPr>
          <w:b/>
          <w:color w:val="000000" w:themeColor="text1"/>
          <w:lang w:eastAsia="zh-HK"/>
        </w:rPr>
        <w:t xml:space="preserve"> </w:t>
      </w:r>
      <w:r w:rsidR="00FD7C5B" w:rsidRPr="00E8281A">
        <w:rPr>
          <w:b/>
          <w:color w:val="000000" w:themeColor="text1"/>
          <w:lang w:eastAsia="zh-HK"/>
        </w:rPr>
        <w:t>P</w:t>
      </w:r>
      <w:r w:rsidR="00A702BD" w:rsidRPr="00E8281A">
        <w:rPr>
          <w:b/>
          <w:color w:val="000000" w:themeColor="text1"/>
          <w:lang w:eastAsia="zh-HK"/>
        </w:rPr>
        <w:t>redicting</w:t>
      </w:r>
      <w:r w:rsidRPr="00E8281A">
        <w:rPr>
          <w:b/>
          <w:color w:val="000000" w:themeColor="text1"/>
          <w:lang w:eastAsia="zh-HK"/>
        </w:rPr>
        <w:t xml:space="preserve"> </w:t>
      </w:r>
      <w:r w:rsidR="00702947" w:rsidRPr="00E8281A">
        <w:rPr>
          <w:b/>
          <w:color w:val="000000" w:themeColor="text1"/>
          <w:lang w:eastAsia="zh-HK"/>
        </w:rPr>
        <w:t>C</w:t>
      </w:r>
      <w:r w:rsidR="00C85DEE" w:rsidRPr="00E8281A">
        <w:rPr>
          <w:b/>
          <w:color w:val="000000" w:themeColor="text1"/>
          <w:lang w:eastAsia="zh-HK"/>
        </w:rPr>
        <w:t xml:space="preserve">reative </w:t>
      </w:r>
      <w:r w:rsidR="00702947" w:rsidRPr="00E8281A">
        <w:rPr>
          <w:b/>
          <w:color w:val="000000" w:themeColor="text1"/>
          <w:lang w:eastAsia="zh-HK"/>
        </w:rPr>
        <w:t>P</w:t>
      </w:r>
      <w:r w:rsidR="00C85DEE" w:rsidRPr="00E8281A">
        <w:rPr>
          <w:b/>
          <w:color w:val="000000" w:themeColor="text1"/>
          <w:lang w:eastAsia="zh-HK"/>
        </w:rPr>
        <w:t>otential</w:t>
      </w:r>
    </w:p>
    <w:p w14:paraId="3E6804D1" w14:textId="3BA035B4" w:rsidR="00C9090F" w:rsidRPr="00E8281A" w:rsidRDefault="003D4D05" w:rsidP="00EF02D5">
      <w:pPr>
        <w:spacing w:line="480" w:lineRule="auto"/>
        <w:rPr>
          <w:color w:val="000000" w:themeColor="text1"/>
          <w:lang w:eastAsia="zh-HK"/>
        </w:rPr>
      </w:pPr>
      <w:r w:rsidRPr="00E8281A">
        <w:rPr>
          <w:color w:val="000000" w:themeColor="text1"/>
          <w:lang w:eastAsia="zh-HK"/>
        </w:rPr>
        <w:tab/>
      </w:r>
      <w:r w:rsidR="0076223A" w:rsidRPr="00E8281A">
        <w:rPr>
          <w:color w:val="000000" w:themeColor="text1"/>
          <w:lang w:eastAsia="zh-HK"/>
        </w:rPr>
        <w:t>Table 2 shows the results of h</w:t>
      </w:r>
      <w:r w:rsidR="00EF6932" w:rsidRPr="00E8281A">
        <w:rPr>
          <w:color w:val="000000" w:themeColor="text1"/>
          <w:lang w:eastAsia="zh-HK"/>
        </w:rPr>
        <w:t>ierarchical regression analys</w:t>
      </w:r>
      <w:r w:rsidR="0076223A" w:rsidRPr="00E8281A">
        <w:rPr>
          <w:color w:val="000000" w:themeColor="text1"/>
          <w:lang w:eastAsia="zh-HK"/>
        </w:rPr>
        <w:t>e</w:t>
      </w:r>
      <w:r w:rsidR="00B82B8C" w:rsidRPr="00E8281A">
        <w:rPr>
          <w:color w:val="000000" w:themeColor="text1"/>
          <w:lang w:eastAsia="zh-HK"/>
        </w:rPr>
        <w:t>s</w:t>
      </w:r>
      <w:r w:rsidR="00B21287" w:rsidRPr="00E8281A">
        <w:rPr>
          <w:color w:val="000000" w:themeColor="text1"/>
          <w:lang w:eastAsia="zh-HK"/>
        </w:rPr>
        <w:t>,</w:t>
      </w:r>
      <w:r w:rsidR="0076223A" w:rsidRPr="00E8281A">
        <w:rPr>
          <w:color w:val="000000" w:themeColor="text1"/>
          <w:lang w:eastAsia="zh-HK"/>
        </w:rPr>
        <w:t xml:space="preserve"> which</w:t>
      </w:r>
      <w:r w:rsidR="00EF6932" w:rsidRPr="00E8281A">
        <w:rPr>
          <w:color w:val="000000" w:themeColor="text1"/>
          <w:lang w:eastAsia="zh-HK"/>
        </w:rPr>
        <w:t xml:space="preserve"> </w:t>
      </w:r>
      <w:r w:rsidR="0076223A" w:rsidRPr="00E8281A">
        <w:rPr>
          <w:color w:val="000000" w:themeColor="text1"/>
          <w:lang w:eastAsia="zh-HK"/>
        </w:rPr>
        <w:t>examined</w:t>
      </w:r>
      <w:r w:rsidR="00EF6932" w:rsidRPr="00E8281A">
        <w:rPr>
          <w:color w:val="000000" w:themeColor="text1"/>
          <w:lang w:eastAsia="zh-HK"/>
        </w:rPr>
        <w:t xml:space="preserve"> how children’s overexcitabilities </w:t>
      </w:r>
      <w:r w:rsidR="00E058BD" w:rsidRPr="00E8281A">
        <w:rPr>
          <w:color w:val="000000" w:themeColor="text1"/>
          <w:lang w:eastAsia="zh-HK"/>
        </w:rPr>
        <w:t xml:space="preserve">and playfulness </w:t>
      </w:r>
      <w:r w:rsidR="0076223A" w:rsidRPr="00E8281A">
        <w:rPr>
          <w:color w:val="000000" w:themeColor="text1"/>
          <w:lang w:eastAsia="zh-HK"/>
        </w:rPr>
        <w:t>jointly</w:t>
      </w:r>
      <w:r w:rsidR="00E058BD" w:rsidRPr="00E8281A">
        <w:rPr>
          <w:color w:val="000000" w:themeColor="text1"/>
          <w:lang w:eastAsia="zh-HK"/>
        </w:rPr>
        <w:t xml:space="preserve"> </w:t>
      </w:r>
      <w:r w:rsidR="00EF6932" w:rsidRPr="00E8281A">
        <w:rPr>
          <w:color w:val="000000" w:themeColor="text1"/>
          <w:lang w:eastAsia="zh-HK"/>
        </w:rPr>
        <w:t>predict</w:t>
      </w:r>
      <w:r w:rsidR="00510CD9">
        <w:rPr>
          <w:color w:val="000000" w:themeColor="text1"/>
          <w:lang w:eastAsia="zh-HK"/>
        </w:rPr>
        <w:t>ed</w:t>
      </w:r>
      <w:r w:rsidR="00EF6932" w:rsidRPr="00E8281A">
        <w:rPr>
          <w:color w:val="000000" w:themeColor="text1"/>
          <w:lang w:eastAsia="zh-HK"/>
        </w:rPr>
        <w:t xml:space="preserve"> their </w:t>
      </w:r>
      <w:r w:rsidR="00E058BD" w:rsidRPr="00E8281A">
        <w:rPr>
          <w:color w:val="000000" w:themeColor="text1"/>
          <w:lang w:eastAsia="zh-HK"/>
        </w:rPr>
        <w:t>creative potential</w:t>
      </w:r>
      <w:r w:rsidR="0076223A" w:rsidRPr="00E8281A">
        <w:rPr>
          <w:color w:val="000000" w:themeColor="text1"/>
          <w:lang w:eastAsia="zh-HK"/>
        </w:rPr>
        <w:t xml:space="preserve"> at Time 1 (model 1) and Time 2 (model 2).</w:t>
      </w:r>
      <w:r w:rsidR="005D5ED4" w:rsidRPr="00E8281A">
        <w:rPr>
          <w:color w:val="000000" w:themeColor="text1"/>
          <w:lang w:eastAsia="zh-HK"/>
        </w:rPr>
        <w:t xml:space="preserve"> </w:t>
      </w:r>
      <w:r w:rsidR="0076223A" w:rsidRPr="00E8281A">
        <w:rPr>
          <w:color w:val="000000" w:themeColor="text1"/>
          <w:lang w:eastAsia="zh-HK"/>
        </w:rPr>
        <w:t xml:space="preserve">In both models, </w:t>
      </w:r>
      <w:r w:rsidR="005D5ED4" w:rsidRPr="00E8281A">
        <w:rPr>
          <w:color w:val="000000" w:themeColor="text1"/>
          <w:lang w:eastAsia="zh-HK"/>
        </w:rPr>
        <w:t>d</w:t>
      </w:r>
      <w:r w:rsidR="00EF6932" w:rsidRPr="00E8281A">
        <w:rPr>
          <w:color w:val="000000" w:themeColor="text1"/>
          <w:lang w:eastAsia="zh-HK"/>
        </w:rPr>
        <w:t xml:space="preserve">emographic variables </w:t>
      </w:r>
      <w:r w:rsidR="0076223A" w:rsidRPr="00E8281A">
        <w:rPr>
          <w:color w:val="000000" w:themeColor="text1"/>
          <w:lang w:eastAsia="zh-HK"/>
        </w:rPr>
        <w:t xml:space="preserve">were </w:t>
      </w:r>
      <w:r w:rsidR="005A3C30" w:rsidRPr="00E8281A">
        <w:rPr>
          <w:color w:val="000000" w:themeColor="text1"/>
          <w:lang w:eastAsia="zh-HK"/>
        </w:rPr>
        <w:t>entered</w:t>
      </w:r>
      <w:r w:rsidR="00EF6932" w:rsidRPr="00E8281A">
        <w:rPr>
          <w:color w:val="000000" w:themeColor="text1"/>
          <w:lang w:eastAsia="zh-HK"/>
        </w:rPr>
        <w:t xml:space="preserve"> in step 1</w:t>
      </w:r>
      <w:r w:rsidR="009A3EEB" w:rsidRPr="00E8281A">
        <w:rPr>
          <w:color w:val="000000" w:themeColor="text1"/>
          <w:lang w:eastAsia="zh-HK"/>
        </w:rPr>
        <w:t>,</w:t>
      </w:r>
      <w:r w:rsidR="00EF6932" w:rsidRPr="00E8281A">
        <w:rPr>
          <w:color w:val="000000" w:themeColor="text1"/>
          <w:lang w:eastAsia="zh-HK"/>
        </w:rPr>
        <w:t xml:space="preserve"> </w:t>
      </w:r>
      <w:r w:rsidR="00E058BD" w:rsidRPr="00E8281A">
        <w:rPr>
          <w:color w:val="000000" w:themeColor="text1"/>
          <w:lang w:eastAsia="zh-HK"/>
        </w:rPr>
        <w:t>children’s overexcitabilities</w:t>
      </w:r>
      <w:r w:rsidR="009A3EEB" w:rsidRPr="00E8281A">
        <w:rPr>
          <w:color w:val="000000" w:themeColor="text1"/>
          <w:lang w:eastAsia="zh-HK"/>
        </w:rPr>
        <w:t xml:space="preserve"> </w:t>
      </w:r>
      <w:r w:rsidR="0076223A" w:rsidRPr="00E8281A">
        <w:rPr>
          <w:color w:val="000000" w:themeColor="text1"/>
          <w:lang w:eastAsia="zh-HK"/>
        </w:rPr>
        <w:t xml:space="preserve">were </w:t>
      </w:r>
      <w:r w:rsidR="009A3EEB" w:rsidRPr="00E8281A">
        <w:rPr>
          <w:color w:val="000000" w:themeColor="text1"/>
          <w:lang w:eastAsia="zh-HK"/>
        </w:rPr>
        <w:t xml:space="preserve">entered in step 2, </w:t>
      </w:r>
      <w:r w:rsidR="005D5ED4" w:rsidRPr="00E8281A">
        <w:rPr>
          <w:color w:val="000000" w:themeColor="text1"/>
          <w:lang w:eastAsia="zh-HK"/>
        </w:rPr>
        <w:t>and</w:t>
      </w:r>
      <w:r w:rsidR="009A3EEB" w:rsidRPr="00E8281A">
        <w:rPr>
          <w:color w:val="000000" w:themeColor="text1"/>
          <w:lang w:eastAsia="zh-HK"/>
        </w:rPr>
        <w:t xml:space="preserve"> </w:t>
      </w:r>
      <w:r w:rsidR="00E058BD" w:rsidRPr="00E8281A">
        <w:rPr>
          <w:color w:val="000000" w:themeColor="text1"/>
          <w:lang w:eastAsia="zh-HK"/>
        </w:rPr>
        <w:t>various aspects of playfulness</w:t>
      </w:r>
      <w:r w:rsidR="009A3EEB" w:rsidRPr="00E8281A">
        <w:rPr>
          <w:color w:val="000000" w:themeColor="text1"/>
          <w:lang w:eastAsia="zh-HK"/>
        </w:rPr>
        <w:t xml:space="preserve"> </w:t>
      </w:r>
      <w:r w:rsidR="0076223A" w:rsidRPr="00E8281A">
        <w:rPr>
          <w:color w:val="000000" w:themeColor="text1"/>
          <w:lang w:eastAsia="zh-HK"/>
        </w:rPr>
        <w:t xml:space="preserve">were </w:t>
      </w:r>
      <w:r w:rsidR="009A3EEB" w:rsidRPr="00E8281A">
        <w:rPr>
          <w:color w:val="000000" w:themeColor="text1"/>
          <w:lang w:eastAsia="zh-HK"/>
        </w:rPr>
        <w:t>included in step 3</w:t>
      </w:r>
      <w:r w:rsidR="003A17E8" w:rsidRPr="00E8281A">
        <w:rPr>
          <w:color w:val="000000" w:themeColor="text1"/>
          <w:lang w:eastAsia="zh-HK"/>
        </w:rPr>
        <w:t>.</w:t>
      </w:r>
      <w:r w:rsidR="008E7385" w:rsidRPr="00E8281A">
        <w:rPr>
          <w:color w:val="000000" w:themeColor="text1"/>
          <w:lang w:eastAsia="zh-HK"/>
        </w:rPr>
        <w:t xml:space="preserve"> </w:t>
      </w:r>
      <w:bookmarkStart w:id="39" w:name="_Hlk119054654"/>
      <w:r w:rsidR="00A211E4" w:rsidRPr="00E8281A">
        <w:rPr>
          <w:color w:val="000000" w:themeColor="text1"/>
          <w:lang w:eastAsia="zh-HK"/>
        </w:rPr>
        <w:t>S</w:t>
      </w:r>
      <w:r w:rsidR="004537FE" w:rsidRPr="00E8281A">
        <w:rPr>
          <w:color w:val="000000" w:themeColor="text1"/>
          <w:lang w:eastAsia="zh-HK"/>
        </w:rPr>
        <w:t xml:space="preserve">tandardized regression coefficients of the predictors </w:t>
      </w:r>
      <w:r w:rsidR="00A211E4" w:rsidRPr="00E8281A">
        <w:rPr>
          <w:color w:val="000000" w:themeColor="text1"/>
          <w:lang w:eastAsia="zh-HK"/>
        </w:rPr>
        <w:t>in</w:t>
      </w:r>
      <w:r w:rsidR="004537FE" w:rsidRPr="00E8281A">
        <w:rPr>
          <w:color w:val="000000" w:themeColor="text1"/>
          <w:lang w:eastAsia="zh-HK"/>
        </w:rPr>
        <w:t xml:space="preserve"> the final model with all three steps considered</w:t>
      </w:r>
      <w:r w:rsidR="00A211E4" w:rsidRPr="00E8281A">
        <w:rPr>
          <w:color w:val="000000" w:themeColor="text1"/>
          <w:lang w:eastAsia="zh-HK"/>
        </w:rPr>
        <w:t xml:space="preserve"> are displayed</w:t>
      </w:r>
      <w:r w:rsidR="0024543F" w:rsidRPr="00E8281A">
        <w:rPr>
          <w:color w:val="000000" w:themeColor="text1"/>
          <w:lang w:eastAsia="zh-HK"/>
        </w:rPr>
        <w:t xml:space="preserve"> in </w:t>
      </w:r>
      <w:r w:rsidR="005B1FBA" w:rsidRPr="00E8281A">
        <w:rPr>
          <w:color w:val="000000" w:themeColor="text1"/>
          <w:lang w:eastAsia="zh-HK"/>
        </w:rPr>
        <w:t>Table 2</w:t>
      </w:r>
      <w:r w:rsidR="004537FE" w:rsidRPr="00E8281A">
        <w:rPr>
          <w:color w:val="000000" w:themeColor="text1"/>
          <w:lang w:eastAsia="zh-HK"/>
        </w:rPr>
        <w:t xml:space="preserve">. </w:t>
      </w:r>
      <w:r w:rsidR="0005623D" w:rsidRPr="00E8281A">
        <w:rPr>
          <w:color w:val="000000" w:themeColor="text1"/>
          <w:lang w:eastAsia="zh-HK"/>
        </w:rPr>
        <w:t xml:space="preserve">In regression Model 1, </w:t>
      </w:r>
      <w:r w:rsidR="00BE130D" w:rsidRPr="00E8281A">
        <w:rPr>
          <w:color w:val="000000" w:themeColor="text1"/>
          <w:lang w:eastAsia="zh-HK"/>
        </w:rPr>
        <w:t>c</w:t>
      </w:r>
      <w:r w:rsidR="00FF3E53" w:rsidRPr="00E8281A">
        <w:rPr>
          <w:color w:val="000000" w:themeColor="text1"/>
          <w:lang w:eastAsia="zh-HK"/>
        </w:rPr>
        <w:t xml:space="preserve">hild </w:t>
      </w:r>
      <w:r w:rsidR="0005623D" w:rsidRPr="00E8281A">
        <w:rPr>
          <w:color w:val="000000" w:themeColor="text1"/>
          <w:lang w:eastAsia="zh-HK"/>
        </w:rPr>
        <w:t>age</w:t>
      </w:r>
      <w:r w:rsidR="00FF3E53" w:rsidRPr="00E8281A">
        <w:rPr>
          <w:color w:val="000000" w:themeColor="text1"/>
          <w:lang w:eastAsia="zh-HK"/>
        </w:rPr>
        <w:t xml:space="preserve"> </w:t>
      </w:r>
      <w:r w:rsidR="00A702BD" w:rsidRPr="00E8281A">
        <w:rPr>
          <w:color w:val="000000" w:themeColor="text1"/>
          <w:lang w:eastAsia="zh-HK"/>
        </w:rPr>
        <w:t xml:space="preserve">and </w:t>
      </w:r>
      <w:r w:rsidR="0005623D" w:rsidRPr="00E8281A">
        <w:rPr>
          <w:color w:val="000000" w:themeColor="text1"/>
          <w:lang w:eastAsia="zh-HK"/>
        </w:rPr>
        <w:t>gender</w:t>
      </w:r>
      <w:r w:rsidR="00A702BD" w:rsidRPr="00E8281A">
        <w:rPr>
          <w:color w:val="000000" w:themeColor="text1"/>
          <w:lang w:eastAsia="zh-HK"/>
        </w:rPr>
        <w:t xml:space="preserve"> </w:t>
      </w:r>
      <w:r w:rsidR="00FF3E53" w:rsidRPr="00E8281A">
        <w:rPr>
          <w:color w:val="000000" w:themeColor="text1"/>
          <w:lang w:eastAsia="zh-HK"/>
        </w:rPr>
        <w:t>significantly predict</w:t>
      </w:r>
      <w:r w:rsidR="00670360" w:rsidRPr="00E8281A">
        <w:rPr>
          <w:color w:val="000000" w:themeColor="text1"/>
          <w:lang w:eastAsia="zh-HK"/>
        </w:rPr>
        <w:t xml:space="preserve">ed </w:t>
      </w:r>
      <w:r w:rsidR="004537FE" w:rsidRPr="00E8281A">
        <w:rPr>
          <w:color w:val="000000" w:themeColor="text1"/>
          <w:lang w:eastAsia="zh-HK"/>
        </w:rPr>
        <w:t xml:space="preserve">8% of the variance </w:t>
      </w:r>
      <w:r w:rsidR="001733DC" w:rsidRPr="00E8281A">
        <w:rPr>
          <w:color w:val="000000" w:themeColor="text1"/>
          <w:lang w:eastAsia="zh-HK"/>
        </w:rPr>
        <w:t xml:space="preserve">in </w:t>
      </w:r>
      <w:r w:rsidR="00C85DEE" w:rsidRPr="00E8281A">
        <w:rPr>
          <w:color w:val="000000" w:themeColor="text1"/>
          <w:lang w:eastAsia="zh-HK"/>
        </w:rPr>
        <w:t>creative potential</w:t>
      </w:r>
      <w:r w:rsidR="0005623D" w:rsidRPr="00E8281A">
        <w:rPr>
          <w:color w:val="000000" w:themeColor="text1"/>
          <w:lang w:eastAsia="zh-HK"/>
        </w:rPr>
        <w:t xml:space="preserve"> at Time 1</w:t>
      </w:r>
      <w:r w:rsidR="00FF3E53" w:rsidRPr="00E8281A">
        <w:rPr>
          <w:color w:val="000000" w:themeColor="text1"/>
          <w:lang w:eastAsia="zh-HK"/>
        </w:rPr>
        <w:t xml:space="preserve">. In step 2, </w:t>
      </w:r>
      <w:r w:rsidR="00C85DEE" w:rsidRPr="00E8281A">
        <w:rPr>
          <w:color w:val="000000" w:themeColor="text1"/>
          <w:lang w:eastAsia="zh-HK"/>
        </w:rPr>
        <w:t xml:space="preserve">overexcitabilities </w:t>
      </w:r>
      <w:r w:rsidR="0005623D" w:rsidRPr="00E8281A">
        <w:rPr>
          <w:color w:val="000000" w:themeColor="text1"/>
          <w:lang w:eastAsia="zh-HK"/>
        </w:rPr>
        <w:t xml:space="preserve">collectively </w:t>
      </w:r>
      <w:r w:rsidR="00FF3E53" w:rsidRPr="00E8281A">
        <w:rPr>
          <w:color w:val="000000" w:themeColor="text1"/>
          <w:lang w:eastAsia="zh-HK"/>
        </w:rPr>
        <w:t xml:space="preserve">explained </w:t>
      </w:r>
      <w:r w:rsidR="00F82DC4" w:rsidRPr="00E8281A">
        <w:rPr>
          <w:color w:val="000000" w:themeColor="text1"/>
          <w:lang w:eastAsia="zh-HK"/>
        </w:rPr>
        <w:t xml:space="preserve">an </w:t>
      </w:r>
      <w:r w:rsidR="0005623D" w:rsidRPr="00E8281A">
        <w:rPr>
          <w:color w:val="000000" w:themeColor="text1"/>
          <w:lang w:eastAsia="zh-HK"/>
        </w:rPr>
        <w:t>additional</w:t>
      </w:r>
      <w:r w:rsidR="004537FE" w:rsidRPr="00E8281A">
        <w:rPr>
          <w:color w:val="000000" w:themeColor="text1"/>
          <w:lang w:eastAsia="zh-HK"/>
        </w:rPr>
        <w:t xml:space="preserve"> </w:t>
      </w:r>
      <w:r w:rsidR="00C85DEE" w:rsidRPr="00E8281A">
        <w:rPr>
          <w:color w:val="000000" w:themeColor="text1"/>
          <w:lang w:eastAsia="zh-HK"/>
        </w:rPr>
        <w:t>8</w:t>
      </w:r>
      <w:r w:rsidR="00FF3E53" w:rsidRPr="00E8281A">
        <w:rPr>
          <w:color w:val="000000" w:themeColor="text1"/>
          <w:lang w:eastAsia="zh-HK"/>
        </w:rPr>
        <w:t>% of the variance</w:t>
      </w:r>
      <w:r w:rsidR="00C85DEE" w:rsidRPr="00E8281A">
        <w:rPr>
          <w:color w:val="000000" w:themeColor="text1"/>
          <w:lang w:eastAsia="zh-HK"/>
        </w:rPr>
        <w:t xml:space="preserve"> </w:t>
      </w:r>
      <w:r w:rsidR="00FF3E53" w:rsidRPr="00E8281A">
        <w:rPr>
          <w:color w:val="000000" w:themeColor="text1"/>
          <w:lang w:eastAsia="zh-HK"/>
        </w:rPr>
        <w:t xml:space="preserve">of </w:t>
      </w:r>
      <w:r w:rsidR="00C85DEE" w:rsidRPr="00E8281A">
        <w:rPr>
          <w:color w:val="000000" w:themeColor="text1"/>
          <w:lang w:eastAsia="zh-HK"/>
        </w:rPr>
        <w:t>creative potential</w:t>
      </w:r>
      <w:r w:rsidR="004537FE" w:rsidRPr="00E8281A">
        <w:rPr>
          <w:color w:val="000000" w:themeColor="text1"/>
          <w:lang w:eastAsia="zh-HK"/>
        </w:rPr>
        <w:t xml:space="preserve">, but none of </w:t>
      </w:r>
      <w:r w:rsidR="0005623D" w:rsidRPr="00E8281A">
        <w:rPr>
          <w:color w:val="000000" w:themeColor="text1"/>
          <w:lang w:eastAsia="zh-HK"/>
        </w:rPr>
        <w:t>them turned out to be</w:t>
      </w:r>
      <w:r w:rsidR="004537FE" w:rsidRPr="00E8281A">
        <w:rPr>
          <w:color w:val="000000" w:themeColor="text1"/>
          <w:lang w:eastAsia="zh-HK"/>
        </w:rPr>
        <w:t xml:space="preserve"> a significant predictor in the final model</w:t>
      </w:r>
      <w:bookmarkEnd w:id="39"/>
      <w:r w:rsidR="004537FE" w:rsidRPr="00E8281A">
        <w:rPr>
          <w:color w:val="000000" w:themeColor="text1"/>
          <w:lang w:eastAsia="zh-HK"/>
        </w:rPr>
        <w:t xml:space="preserve">. </w:t>
      </w:r>
      <w:r w:rsidR="00FF3E53" w:rsidRPr="00E8281A">
        <w:rPr>
          <w:color w:val="000000" w:themeColor="text1"/>
          <w:lang w:eastAsia="zh-HK"/>
        </w:rPr>
        <w:t xml:space="preserve">In step 3, </w:t>
      </w:r>
      <w:r w:rsidR="00C85DEE" w:rsidRPr="00E8281A">
        <w:rPr>
          <w:color w:val="000000" w:themeColor="text1"/>
          <w:lang w:eastAsia="zh-HK"/>
        </w:rPr>
        <w:t>playfulness</w:t>
      </w:r>
      <w:r w:rsidR="00FF3E53" w:rsidRPr="00E8281A">
        <w:rPr>
          <w:color w:val="000000" w:themeColor="text1"/>
          <w:lang w:eastAsia="zh-HK"/>
        </w:rPr>
        <w:t xml:space="preserve"> </w:t>
      </w:r>
      <w:r w:rsidR="0005623D" w:rsidRPr="00E8281A">
        <w:rPr>
          <w:color w:val="000000" w:themeColor="text1"/>
          <w:lang w:eastAsia="zh-HK"/>
        </w:rPr>
        <w:t>further</w:t>
      </w:r>
      <w:r w:rsidR="00366282" w:rsidRPr="00E8281A">
        <w:rPr>
          <w:color w:val="000000" w:themeColor="text1"/>
          <w:lang w:eastAsia="zh-HK"/>
        </w:rPr>
        <w:t xml:space="preserve"> </w:t>
      </w:r>
      <w:r w:rsidR="00FF3E53" w:rsidRPr="00E8281A">
        <w:rPr>
          <w:color w:val="000000" w:themeColor="text1"/>
          <w:lang w:eastAsia="zh-HK"/>
        </w:rPr>
        <w:t xml:space="preserve">explained </w:t>
      </w:r>
      <w:r w:rsidR="00C85DEE" w:rsidRPr="00E8281A">
        <w:rPr>
          <w:color w:val="000000" w:themeColor="text1"/>
          <w:lang w:eastAsia="zh-HK"/>
        </w:rPr>
        <w:t xml:space="preserve">45% </w:t>
      </w:r>
      <w:r w:rsidR="00FF3E53" w:rsidRPr="00E8281A">
        <w:rPr>
          <w:color w:val="000000" w:themeColor="text1"/>
          <w:lang w:eastAsia="zh-HK"/>
        </w:rPr>
        <w:t xml:space="preserve">of the variance of </w:t>
      </w:r>
      <w:r w:rsidR="00C85DEE" w:rsidRPr="00E8281A">
        <w:rPr>
          <w:color w:val="000000" w:themeColor="text1"/>
          <w:lang w:eastAsia="zh-HK"/>
        </w:rPr>
        <w:t>creative potential</w:t>
      </w:r>
      <w:r w:rsidR="00C9090F" w:rsidRPr="00E8281A">
        <w:rPr>
          <w:color w:val="000000" w:themeColor="text1"/>
          <w:lang w:eastAsia="zh-HK"/>
        </w:rPr>
        <w:t>, while</w:t>
      </w:r>
      <w:r w:rsidR="00C85DEE" w:rsidRPr="00E8281A">
        <w:rPr>
          <w:color w:val="000000" w:themeColor="text1"/>
          <w:lang w:eastAsia="zh-HK"/>
        </w:rPr>
        <w:t xml:space="preserve"> social </w:t>
      </w:r>
      <w:r w:rsidR="00EA02AB" w:rsidRPr="00E8281A">
        <w:rPr>
          <w:color w:val="000000" w:themeColor="text1"/>
          <w:lang w:eastAsia="zh-HK"/>
        </w:rPr>
        <w:t>(</w:t>
      </w:r>
      <w:r w:rsidR="00EA02AB" w:rsidRPr="00E8281A">
        <w:rPr>
          <w:rFonts w:eastAsia="PMingLiU"/>
          <w:i/>
          <w:iCs/>
          <w:color w:val="000000" w:themeColor="text1"/>
          <w:lang w:eastAsia="en-US"/>
        </w:rPr>
        <w:t>β</w:t>
      </w:r>
      <w:r w:rsidR="00EA02AB" w:rsidRPr="00E8281A">
        <w:rPr>
          <w:color w:val="000000" w:themeColor="text1"/>
          <w:lang w:eastAsia="zh-HK"/>
        </w:rPr>
        <w:t xml:space="preserve"> = .28, </w:t>
      </w:r>
      <w:r w:rsidR="00EA02AB" w:rsidRPr="00E8281A">
        <w:rPr>
          <w:i/>
          <w:iCs/>
          <w:color w:val="000000" w:themeColor="text1"/>
          <w:lang w:eastAsia="zh-HK"/>
        </w:rPr>
        <w:t>SE</w:t>
      </w:r>
      <w:r w:rsidR="00EA02AB" w:rsidRPr="00E8281A">
        <w:rPr>
          <w:color w:val="000000" w:themeColor="text1"/>
          <w:lang w:eastAsia="zh-HK"/>
        </w:rPr>
        <w:t xml:space="preserve"> = .14, </w:t>
      </w:r>
      <w:r w:rsidR="00EA02AB" w:rsidRPr="00E8281A">
        <w:rPr>
          <w:i/>
          <w:iCs/>
          <w:color w:val="000000" w:themeColor="text1"/>
          <w:lang w:eastAsia="zh-HK"/>
        </w:rPr>
        <w:t>p</w:t>
      </w:r>
      <w:r w:rsidR="00EA02AB" w:rsidRPr="00E8281A">
        <w:rPr>
          <w:color w:val="000000" w:themeColor="text1"/>
          <w:lang w:eastAsia="zh-HK"/>
        </w:rPr>
        <w:t xml:space="preserve"> </w:t>
      </w:r>
      <w:r w:rsidR="00C9090F" w:rsidRPr="00E8281A">
        <w:rPr>
          <w:color w:val="000000" w:themeColor="text1"/>
          <w:lang w:eastAsia="zh-HK"/>
        </w:rPr>
        <w:t>&lt;</w:t>
      </w:r>
      <w:r w:rsidR="00EA02AB" w:rsidRPr="00E8281A">
        <w:rPr>
          <w:color w:val="000000" w:themeColor="text1"/>
          <w:lang w:eastAsia="zh-HK"/>
        </w:rPr>
        <w:t xml:space="preserve"> .0</w:t>
      </w:r>
      <w:r w:rsidR="00C9090F" w:rsidRPr="00E8281A">
        <w:rPr>
          <w:color w:val="000000" w:themeColor="text1"/>
          <w:lang w:eastAsia="zh-HK"/>
        </w:rPr>
        <w:t>1</w:t>
      </w:r>
      <w:r w:rsidR="00EA02AB" w:rsidRPr="00E8281A">
        <w:rPr>
          <w:color w:val="000000" w:themeColor="text1"/>
          <w:lang w:eastAsia="zh-HK"/>
        </w:rPr>
        <w:t xml:space="preserve">) </w:t>
      </w:r>
      <w:r w:rsidR="00C85DEE" w:rsidRPr="00E8281A">
        <w:rPr>
          <w:color w:val="000000" w:themeColor="text1"/>
          <w:lang w:eastAsia="zh-HK"/>
        </w:rPr>
        <w:t>and cognitive spontaneity</w:t>
      </w:r>
      <w:r w:rsidR="00EA02AB" w:rsidRPr="00E8281A">
        <w:rPr>
          <w:color w:val="000000" w:themeColor="text1"/>
          <w:lang w:eastAsia="zh-HK"/>
        </w:rPr>
        <w:t xml:space="preserve"> (</w:t>
      </w:r>
      <w:r w:rsidR="00EA02AB" w:rsidRPr="00E8281A">
        <w:rPr>
          <w:rFonts w:eastAsia="PMingLiU"/>
          <w:i/>
          <w:iCs/>
          <w:color w:val="000000" w:themeColor="text1"/>
          <w:lang w:eastAsia="en-US"/>
        </w:rPr>
        <w:t>β</w:t>
      </w:r>
      <w:r w:rsidR="00EA02AB" w:rsidRPr="00E8281A">
        <w:rPr>
          <w:color w:val="000000" w:themeColor="text1"/>
          <w:lang w:eastAsia="zh-HK"/>
        </w:rPr>
        <w:t xml:space="preserve"> = .49, </w:t>
      </w:r>
      <w:r w:rsidR="00EA02AB" w:rsidRPr="00E8281A">
        <w:rPr>
          <w:i/>
          <w:iCs/>
          <w:color w:val="000000" w:themeColor="text1"/>
          <w:lang w:eastAsia="zh-HK"/>
        </w:rPr>
        <w:t>SE</w:t>
      </w:r>
      <w:r w:rsidR="00EA02AB" w:rsidRPr="00E8281A">
        <w:rPr>
          <w:color w:val="000000" w:themeColor="text1"/>
          <w:lang w:eastAsia="zh-HK"/>
        </w:rPr>
        <w:t xml:space="preserve"> = .14, </w:t>
      </w:r>
      <w:r w:rsidR="00EA02AB" w:rsidRPr="00E8281A">
        <w:rPr>
          <w:i/>
          <w:iCs/>
          <w:color w:val="000000" w:themeColor="text1"/>
          <w:lang w:eastAsia="zh-HK"/>
        </w:rPr>
        <w:t>p</w:t>
      </w:r>
      <w:r w:rsidR="00EA02AB" w:rsidRPr="00E8281A">
        <w:rPr>
          <w:color w:val="000000" w:themeColor="text1"/>
          <w:lang w:eastAsia="zh-HK"/>
        </w:rPr>
        <w:t xml:space="preserve"> &lt; .001) </w:t>
      </w:r>
      <w:r w:rsidR="0005623D" w:rsidRPr="00E8281A">
        <w:rPr>
          <w:color w:val="000000" w:themeColor="text1"/>
          <w:lang w:eastAsia="zh-HK"/>
        </w:rPr>
        <w:t>were</w:t>
      </w:r>
      <w:r w:rsidR="00EA02AB" w:rsidRPr="00E8281A">
        <w:rPr>
          <w:color w:val="000000" w:themeColor="text1"/>
          <w:lang w:eastAsia="zh-HK"/>
        </w:rPr>
        <w:t xml:space="preserve"> the significant predictors. </w:t>
      </w:r>
      <w:bookmarkStart w:id="40" w:name="_Hlk119054754"/>
    </w:p>
    <w:p w14:paraId="59FEB2B1" w14:textId="23977792" w:rsidR="00EF6932" w:rsidRPr="00E8281A" w:rsidRDefault="00C9090F" w:rsidP="00A211E4">
      <w:pPr>
        <w:spacing w:line="480" w:lineRule="auto"/>
        <w:ind w:firstLine="480"/>
        <w:rPr>
          <w:color w:val="000000" w:themeColor="text1"/>
          <w:lang w:eastAsia="zh-HK"/>
        </w:rPr>
      </w:pPr>
      <w:r w:rsidRPr="00E8281A">
        <w:rPr>
          <w:color w:val="000000" w:themeColor="text1"/>
          <w:lang w:eastAsia="zh-HK"/>
        </w:rPr>
        <w:t xml:space="preserve">In regression Model 2, child age and gender significantly predicted 7% of the variance in creative potential at Time 2. Overexcitabilities jointly explained an extra 9% of the variance in </w:t>
      </w:r>
      <w:r w:rsidR="007251F0">
        <w:rPr>
          <w:color w:val="000000" w:themeColor="text1"/>
          <w:lang w:eastAsia="zh-HK"/>
        </w:rPr>
        <w:t>s</w:t>
      </w:r>
      <w:r w:rsidRPr="00E8281A">
        <w:rPr>
          <w:color w:val="000000" w:themeColor="text1"/>
          <w:lang w:eastAsia="zh-HK"/>
        </w:rPr>
        <w:t>tep 2</w:t>
      </w:r>
      <w:r w:rsidR="00B21287" w:rsidRPr="00E8281A">
        <w:rPr>
          <w:color w:val="000000" w:themeColor="text1"/>
          <w:lang w:eastAsia="zh-HK"/>
        </w:rPr>
        <w:t>,</w:t>
      </w:r>
      <w:r w:rsidRPr="00E8281A">
        <w:rPr>
          <w:color w:val="000000" w:themeColor="text1"/>
          <w:lang w:eastAsia="zh-HK"/>
        </w:rPr>
        <w:t xml:space="preserve"> but they were not </w:t>
      </w:r>
      <w:r w:rsidR="00EE7A81" w:rsidRPr="00E8281A">
        <w:rPr>
          <w:color w:val="000000" w:themeColor="text1"/>
          <w:lang w:eastAsia="zh-HK"/>
        </w:rPr>
        <w:t xml:space="preserve">a </w:t>
      </w:r>
      <w:r w:rsidR="003A5F83" w:rsidRPr="00E8281A">
        <w:rPr>
          <w:color w:val="000000" w:themeColor="text1"/>
          <w:lang w:eastAsia="zh-HK"/>
        </w:rPr>
        <w:t>significant predictor in the final model</w:t>
      </w:r>
      <w:r w:rsidRPr="00E8281A">
        <w:rPr>
          <w:color w:val="000000" w:themeColor="text1"/>
          <w:lang w:eastAsia="zh-HK"/>
        </w:rPr>
        <w:t xml:space="preserve">. Playfulness </w:t>
      </w:r>
      <w:r w:rsidR="001E47C9" w:rsidRPr="00E8281A">
        <w:rPr>
          <w:color w:val="000000" w:themeColor="text1"/>
          <w:lang w:eastAsia="zh-HK"/>
        </w:rPr>
        <w:lastRenderedPageBreak/>
        <w:t>collectively</w:t>
      </w:r>
      <w:r w:rsidRPr="00E8281A">
        <w:rPr>
          <w:color w:val="000000" w:themeColor="text1"/>
          <w:lang w:eastAsia="zh-HK"/>
        </w:rPr>
        <w:t xml:space="preserve"> explained 47% of the variance of creative potential in </w:t>
      </w:r>
      <w:r w:rsidR="007251F0">
        <w:rPr>
          <w:color w:val="000000" w:themeColor="text1"/>
          <w:lang w:eastAsia="zh-HK"/>
        </w:rPr>
        <w:t>s</w:t>
      </w:r>
      <w:r w:rsidRPr="00E8281A">
        <w:rPr>
          <w:color w:val="000000" w:themeColor="text1"/>
          <w:lang w:eastAsia="zh-HK"/>
        </w:rPr>
        <w:t>tep 3.</w:t>
      </w:r>
      <w:r w:rsidR="003A5F83" w:rsidRPr="00E8281A">
        <w:rPr>
          <w:color w:val="000000" w:themeColor="text1"/>
          <w:lang w:eastAsia="zh-HK"/>
        </w:rPr>
        <w:t xml:space="preserve"> C</w:t>
      </w:r>
      <w:r w:rsidRPr="00E8281A">
        <w:rPr>
          <w:color w:val="000000" w:themeColor="text1"/>
          <w:lang w:eastAsia="zh-HK"/>
        </w:rPr>
        <w:t>ognitive spontaneity</w:t>
      </w:r>
      <w:r w:rsidR="003A5F83" w:rsidRPr="00E8281A">
        <w:rPr>
          <w:color w:val="000000" w:themeColor="text1"/>
          <w:lang w:eastAsia="zh-HK"/>
        </w:rPr>
        <w:t xml:space="preserve"> at Time 2</w:t>
      </w:r>
      <w:r w:rsidRPr="00E8281A">
        <w:rPr>
          <w:color w:val="000000" w:themeColor="text1"/>
          <w:lang w:eastAsia="zh-HK"/>
        </w:rPr>
        <w:t xml:space="preserve"> emerged as a significant predictor (</w:t>
      </w:r>
      <w:r w:rsidRPr="00E8281A">
        <w:rPr>
          <w:rFonts w:eastAsia="PMingLiU"/>
          <w:i/>
          <w:iCs/>
          <w:color w:val="000000" w:themeColor="text1"/>
          <w:lang w:eastAsia="en-US"/>
        </w:rPr>
        <w:t>β</w:t>
      </w:r>
      <w:r w:rsidRPr="00E8281A">
        <w:rPr>
          <w:color w:val="000000" w:themeColor="text1"/>
          <w:lang w:eastAsia="zh-HK"/>
        </w:rPr>
        <w:t xml:space="preserve"> = .42, </w:t>
      </w:r>
      <w:r w:rsidRPr="00E8281A">
        <w:rPr>
          <w:i/>
          <w:iCs/>
          <w:color w:val="000000" w:themeColor="text1"/>
          <w:lang w:eastAsia="zh-HK"/>
        </w:rPr>
        <w:t>SE</w:t>
      </w:r>
      <w:r w:rsidRPr="00E8281A">
        <w:rPr>
          <w:color w:val="000000" w:themeColor="text1"/>
          <w:lang w:eastAsia="zh-HK"/>
        </w:rPr>
        <w:t xml:space="preserve"> = .13, </w:t>
      </w:r>
      <w:r w:rsidRPr="00E8281A">
        <w:rPr>
          <w:i/>
          <w:iCs/>
          <w:color w:val="000000" w:themeColor="text1"/>
          <w:lang w:eastAsia="zh-HK"/>
        </w:rPr>
        <w:t>p</w:t>
      </w:r>
      <w:r w:rsidRPr="00E8281A">
        <w:rPr>
          <w:color w:val="000000" w:themeColor="text1"/>
          <w:lang w:eastAsia="zh-HK"/>
        </w:rPr>
        <w:t xml:space="preserve"> &lt; .001)</w:t>
      </w:r>
      <w:r w:rsidR="00B21287" w:rsidRPr="00E8281A">
        <w:rPr>
          <w:color w:val="000000" w:themeColor="text1"/>
          <w:lang w:eastAsia="zh-HK"/>
        </w:rPr>
        <w:t>,</w:t>
      </w:r>
      <w:r w:rsidRPr="00E8281A">
        <w:rPr>
          <w:color w:val="000000" w:themeColor="text1"/>
          <w:lang w:eastAsia="zh-HK"/>
        </w:rPr>
        <w:t xml:space="preserve"> whereas social spontaneity was only a marginally significant predictor ((</w:t>
      </w:r>
      <w:r w:rsidRPr="00E8281A">
        <w:rPr>
          <w:rFonts w:eastAsia="PMingLiU"/>
          <w:i/>
          <w:iCs/>
          <w:color w:val="000000" w:themeColor="text1"/>
          <w:lang w:eastAsia="en-US"/>
        </w:rPr>
        <w:t>β</w:t>
      </w:r>
      <w:r w:rsidRPr="00E8281A">
        <w:rPr>
          <w:color w:val="000000" w:themeColor="text1"/>
          <w:lang w:eastAsia="zh-HK"/>
        </w:rPr>
        <w:t xml:space="preserve"> = .23, </w:t>
      </w:r>
      <w:r w:rsidRPr="00E8281A">
        <w:rPr>
          <w:i/>
          <w:iCs/>
          <w:color w:val="000000" w:themeColor="text1"/>
          <w:lang w:eastAsia="zh-HK"/>
        </w:rPr>
        <w:t>SE</w:t>
      </w:r>
      <w:r w:rsidRPr="00E8281A">
        <w:rPr>
          <w:color w:val="000000" w:themeColor="text1"/>
          <w:lang w:eastAsia="zh-HK"/>
        </w:rPr>
        <w:t xml:space="preserve"> = .15, </w:t>
      </w:r>
      <w:r w:rsidRPr="00E8281A">
        <w:rPr>
          <w:i/>
          <w:iCs/>
          <w:color w:val="000000" w:themeColor="text1"/>
          <w:lang w:eastAsia="zh-HK"/>
        </w:rPr>
        <w:t>p</w:t>
      </w:r>
      <w:r w:rsidRPr="00E8281A">
        <w:rPr>
          <w:color w:val="000000" w:themeColor="text1"/>
          <w:lang w:eastAsia="zh-HK"/>
        </w:rPr>
        <w:t xml:space="preserve"> = .</w:t>
      </w:r>
      <w:r w:rsidR="003A5F83" w:rsidRPr="00E8281A">
        <w:rPr>
          <w:color w:val="000000" w:themeColor="text1"/>
          <w:lang w:eastAsia="zh-HK"/>
        </w:rPr>
        <w:t>0</w:t>
      </w:r>
      <w:r w:rsidRPr="00E8281A">
        <w:rPr>
          <w:color w:val="000000" w:themeColor="text1"/>
          <w:lang w:eastAsia="zh-HK"/>
        </w:rPr>
        <w:t>6).</w:t>
      </w:r>
      <w:r w:rsidR="00EF02D5" w:rsidRPr="00E8281A">
        <w:rPr>
          <w:color w:val="000000" w:themeColor="text1"/>
          <w:lang w:eastAsia="zh-HK"/>
        </w:rPr>
        <w:t xml:space="preserve"> C</w:t>
      </w:r>
      <w:r w:rsidR="00710501" w:rsidRPr="00E8281A">
        <w:rPr>
          <w:color w:val="000000" w:themeColor="text1"/>
          <w:lang w:eastAsia="zh-HK"/>
        </w:rPr>
        <w:t xml:space="preserve">onsidering the positive </w:t>
      </w:r>
      <w:r w:rsidR="003A5F83" w:rsidRPr="00E8281A">
        <w:rPr>
          <w:color w:val="000000" w:themeColor="text1"/>
          <w:lang w:eastAsia="zh-HK"/>
        </w:rPr>
        <w:t xml:space="preserve">correlations of </w:t>
      </w:r>
      <w:r w:rsidR="00EF02D5" w:rsidRPr="00E8281A">
        <w:rPr>
          <w:color w:val="000000" w:themeColor="text1"/>
          <w:lang w:eastAsia="zh-HK"/>
        </w:rPr>
        <w:t xml:space="preserve">psychomotor and intellectual overexcitabilities </w:t>
      </w:r>
      <w:r w:rsidR="003A5F83" w:rsidRPr="00E8281A">
        <w:rPr>
          <w:color w:val="000000" w:themeColor="text1"/>
          <w:lang w:eastAsia="zh-HK"/>
        </w:rPr>
        <w:t>with</w:t>
      </w:r>
      <w:r w:rsidR="00710501" w:rsidRPr="00E8281A">
        <w:rPr>
          <w:color w:val="000000" w:themeColor="text1"/>
          <w:lang w:eastAsia="zh-HK"/>
        </w:rPr>
        <w:t xml:space="preserve"> </w:t>
      </w:r>
      <w:r w:rsidR="00EF02D5" w:rsidRPr="00E8281A">
        <w:rPr>
          <w:color w:val="000000" w:themeColor="text1"/>
          <w:lang w:eastAsia="zh-HK"/>
        </w:rPr>
        <w:t xml:space="preserve">playfulness and creative potential </w:t>
      </w:r>
      <w:r w:rsidR="003A5F83" w:rsidRPr="00E8281A">
        <w:rPr>
          <w:color w:val="000000" w:themeColor="text1"/>
          <w:lang w:eastAsia="zh-HK"/>
        </w:rPr>
        <w:t>at both Time</w:t>
      </w:r>
      <w:r w:rsidR="00746244">
        <w:rPr>
          <w:color w:val="000000" w:themeColor="text1"/>
          <w:lang w:eastAsia="zh-HK"/>
        </w:rPr>
        <w:t>s</w:t>
      </w:r>
      <w:r w:rsidR="003A5F83" w:rsidRPr="00E8281A">
        <w:rPr>
          <w:color w:val="000000" w:themeColor="text1"/>
          <w:lang w:eastAsia="zh-HK"/>
        </w:rPr>
        <w:t xml:space="preserve"> 1 and 2 (Table 1)</w:t>
      </w:r>
      <w:r w:rsidR="005D5ED4" w:rsidRPr="00E8281A">
        <w:rPr>
          <w:color w:val="000000" w:themeColor="text1"/>
          <w:lang w:eastAsia="zh-HK"/>
        </w:rPr>
        <w:t xml:space="preserve">, </w:t>
      </w:r>
      <w:r w:rsidR="00EF02D5" w:rsidRPr="00E8281A">
        <w:rPr>
          <w:color w:val="000000" w:themeColor="text1"/>
          <w:lang w:eastAsia="zh-HK"/>
        </w:rPr>
        <w:t>these two aspects of</w:t>
      </w:r>
      <w:r w:rsidR="003A5F83" w:rsidRPr="00E8281A">
        <w:rPr>
          <w:color w:val="000000" w:themeColor="text1"/>
          <w:lang w:eastAsia="zh-HK"/>
        </w:rPr>
        <w:t xml:space="preserve"> overexcitabilit</w:t>
      </w:r>
      <w:r w:rsidR="00EF02D5" w:rsidRPr="00E8281A">
        <w:rPr>
          <w:color w:val="000000" w:themeColor="text1"/>
          <w:lang w:eastAsia="zh-HK"/>
        </w:rPr>
        <w:t>y</w:t>
      </w:r>
      <w:r w:rsidR="003A5F83" w:rsidRPr="00E8281A">
        <w:rPr>
          <w:color w:val="000000" w:themeColor="text1"/>
          <w:lang w:eastAsia="zh-HK"/>
        </w:rPr>
        <w:t xml:space="preserve"> were regarded as the antecedents in the cross-lagged model</w:t>
      </w:r>
      <w:r w:rsidR="004537FE" w:rsidRPr="00E8281A">
        <w:rPr>
          <w:color w:val="000000" w:themeColor="text1"/>
          <w:lang w:eastAsia="zh-HK"/>
        </w:rPr>
        <w:t xml:space="preserve">. </w:t>
      </w:r>
      <w:bookmarkEnd w:id="40"/>
      <w:r w:rsidR="00C4540E">
        <w:rPr>
          <w:color w:val="000000" w:themeColor="text1"/>
          <w:lang w:eastAsia="zh-HK"/>
        </w:rPr>
        <w:t>The r</w:t>
      </w:r>
      <w:r w:rsidR="00C710EA" w:rsidRPr="00E8281A">
        <w:rPr>
          <w:color w:val="000000" w:themeColor="text1"/>
          <w:lang w:eastAsia="zh-HK"/>
        </w:rPr>
        <w:t xml:space="preserve">esults from the hierarchical regression analyses </w:t>
      </w:r>
      <w:r w:rsidR="007174FE" w:rsidRPr="00E8281A">
        <w:rPr>
          <w:color w:val="000000" w:themeColor="text1"/>
          <w:lang w:eastAsia="zh-HK"/>
        </w:rPr>
        <w:t xml:space="preserve">also </w:t>
      </w:r>
      <w:r w:rsidR="00C710EA" w:rsidRPr="00E8281A">
        <w:rPr>
          <w:color w:val="000000" w:themeColor="text1"/>
          <w:lang w:eastAsia="zh-HK"/>
        </w:rPr>
        <w:t xml:space="preserve">revealed social and cognitive spontaneity as the two specific aspects of playfulness that predicted creative potential (Table 2). Therefore, the </w:t>
      </w:r>
      <w:r w:rsidR="007174FE" w:rsidRPr="00E8281A">
        <w:rPr>
          <w:color w:val="000000" w:themeColor="text1"/>
          <w:lang w:eastAsia="zh-HK"/>
        </w:rPr>
        <w:t>average</w:t>
      </w:r>
      <w:r w:rsidR="00C710EA" w:rsidRPr="00E8281A">
        <w:rPr>
          <w:color w:val="000000" w:themeColor="text1"/>
          <w:lang w:eastAsia="zh-HK"/>
        </w:rPr>
        <w:t xml:space="preserve"> of children’s social and cognitive spontaneity </w:t>
      </w:r>
      <w:r w:rsidR="007174FE" w:rsidRPr="00E8281A">
        <w:rPr>
          <w:color w:val="000000" w:themeColor="text1"/>
          <w:lang w:eastAsia="zh-HK"/>
        </w:rPr>
        <w:t>was</w:t>
      </w:r>
      <w:r w:rsidR="00C710EA" w:rsidRPr="00E8281A">
        <w:rPr>
          <w:color w:val="000000" w:themeColor="text1"/>
          <w:lang w:eastAsia="zh-HK"/>
        </w:rPr>
        <w:t xml:space="preserve"> used to </w:t>
      </w:r>
      <w:r w:rsidR="003F6BEE" w:rsidRPr="00E8281A">
        <w:rPr>
          <w:color w:val="000000" w:themeColor="text1"/>
          <w:lang w:eastAsia="zh-HK"/>
        </w:rPr>
        <w:t>represent</w:t>
      </w:r>
      <w:r w:rsidR="00C710EA" w:rsidRPr="00E8281A">
        <w:rPr>
          <w:color w:val="000000" w:themeColor="text1"/>
          <w:lang w:eastAsia="zh-HK"/>
        </w:rPr>
        <w:t xml:space="preserve"> their playfulness in the cross-lagged model</w:t>
      </w:r>
      <w:r w:rsidR="001D02D0" w:rsidRPr="00E8281A">
        <w:rPr>
          <w:color w:val="000000" w:themeColor="text1"/>
          <w:lang w:eastAsia="zh-HK"/>
        </w:rPr>
        <w:t xml:space="preserve"> to examine </w:t>
      </w:r>
      <w:r w:rsidR="007174FE" w:rsidRPr="00E8281A">
        <w:rPr>
          <w:color w:val="000000" w:themeColor="text1"/>
          <w:lang w:eastAsia="zh-HK"/>
        </w:rPr>
        <w:t>its</w:t>
      </w:r>
      <w:r w:rsidR="001D02D0" w:rsidRPr="00E8281A">
        <w:rPr>
          <w:color w:val="000000" w:themeColor="text1"/>
          <w:lang w:eastAsia="zh-HK"/>
        </w:rPr>
        <w:t xml:space="preserve"> </w:t>
      </w:r>
      <w:r w:rsidR="00751B16">
        <w:rPr>
          <w:color w:val="000000" w:themeColor="text1"/>
          <w:lang w:eastAsia="zh-HK"/>
        </w:rPr>
        <w:t>co-development</w:t>
      </w:r>
      <w:r w:rsidR="001D02D0" w:rsidRPr="00E8281A">
        <w:rPr>
          <w:color w:val="000000" w:themeColor="text1"/>
          <w:lang w:eastAsia="zh-HK"/>
        </w:rPr>
        <w:t xml:space="preserve"> with creative potential over time.</w:t>
      </w:r>
    </w:p>
    <w:p w14:paraId="1B1A189B" w14:textId="72DA68A6" w:rsidR="00EF1A8D" w:rsidRPr="00E8281A" w:rsidRDefault="00EF02D5" w:rsidP="009E7AA2">
      <w:pPr>
        <w:spacing w:line="480" w:lineRule="auto"/>
        <w:rPr>
          <w:b/>
          <w:bCs/>
          <w:color w:val="000000" w:themeColor="text1"/>
          <w:lang w:eastAsia="zh-HK"/>
        </w:rPr>
      </w:pPr>
      <w:r w:rsidRPr="00E8281A">
        <w:rPr>
          <w:b/>
          <w:bCs/>
          <w:color w:val="000000" w:themeColor="text1"/>
          <w:lang w:eastAsia="zh-HK"/>
        </w:rPr>
        <w:t xml:space="preserve">Cross-lagged </w:t>
      </w:r>
      <w:r w:rsidR="00702947" w:rsidRPr="00E8281A">
        <w:rPr>
          <w:b/>
          <w:bCs/>
          <w:color w:val="000000" w:themeColor="text1"/>
          <w:lang w:eastAsia="zh-HK"/>
        </w:rPr>
        <w:t>M</w:t>
      </w:r>
      <w:r w:rsidRPr="00E8281A">
        <w:rPr>
          <w:b/>
          <w:bCs/>
          <w:color w:val="000000" w:themeColor="text1"/>
          <w:lang w:eastAsia="zh-HK"/>
        </w:rPr>
        <w:t>odel</w:t>
      </w:r>
      <w:r w:rsidR="00EF1A8D" w:rsidRPr="00E8281A">
        <w:rPr>
          <w:b/>
          <w:bCs/>
          <w:color w:val="000000" w:themeColor="text1"/>
          <w:lang w:eastAsia="zh-HK"/>
        </w:rPr>
        <w:t xml:space="preserve"> </w:t>
      </w:r>
      <w:r w:rsidR="00124BCE" w:rsidRPr="00E8281A">
        <w:rPr>
          <w:b/>
          <w:bCs/>
          <w:color w:val="000000" w:themeColor="text1"/>
          <w:lang w:eastAsia="zh-HK"/>
        </w:rPr>
        <w:t>P</w:t>
      </w:r>
      <w:r w:rsidR="00EF1A8D" w:rsidRPr="00E8281A">
        <w:rPr>
          <w:b/>
          <w:bCs/>
          <w:color w:val="000000" w:themeColor="text1"/>
          <w:lang w:eastAsia="zh-HK"/>
        </w:rPr>
        <w:t xml:space="preserve">redicting </w:t>
      </w:r>
      <w:r w:rsidR="00702947" w:rsidRPr="00E8281A">
        <w:rPr>
          <w:b/>
          <w:bCs/>
          <w:color w:val="000000" w:themeColor="text1"/>
          <w:lang w:eastAsia="zh-HK"/>
        </w:rPr>
        <w:t>P</w:t>
      </w:r>
      <w:r w:rsidRPr="00E8281A">
        <w:rPr>
          <w:b/>
          <w:bCs/>
          <w:color w:val="000000" w:themeColor="text1"/>
          <w:lang w:eastAsia="zh-HK"/>
        </w:rPr>
        <w:t xml:space="preserve">layfulness and </w:t>
      </w:r>
      <w:r w:rsidR="00702947" w:rsidRPr="00E8281A">
        <w:rPr>
          <w:b/>
          <w:bCs/>
          <w:color w:val="000000" w:themeColor="text1"/>
          <w:lang w:eastAsia="zh-HK"/>
        </w:rPr>
        <w:t>C</w:t>
      </w:r>
      <w:r w:rsidR="00EF1A8D" w:rsidRPr="00E8281A">
        <w:rPr>
          <w:b/>
          <w:bCs/>
          <w:color w:val="000000" w:themeColor="text1"/>
          <w:lang w:eastAsia="zh-HK"/>
        </w:rPr>
        <w:t xml:space="preserve">reative </w:t>
      </w:r>
      <w:r w:rsidR="00702947" w:rsidRPr="00E8281A">
        <w:rPr>
          <w:b/>
          <w:bCs/>
          <w:color w:val="000000" w:themeColor="text1"/>
          <w:lang w:eastAsia="zh-HK"/>
        </w:rPr>
        <w:t>P</w:t>
      </w:r>
      <w:r w:rsidR="00EF1A8D" w:rsidRPr="00E8281A">
        <w:rPr>
          <w:b/>
          <w:bCs/>
          <w:color w:val="000000" w:themeColor="text1"/>
          <w:lang w:eastAsia="zh-HK"/>
        </w:rPr>
        <w:t>otential</w:t>
      </w:r>
    </w:p>
    <w:p w14:paraId="272E4084" w14:textId="04D2DE21" w:rsidR="00D26522" w:rsidRPr="00E8281A" w:rsidRDefault="00EF1A8D" w:rsidP="009E7AA2">
      <w:pPr>
        <w:spacing w:line="480" w:lineRule="auto"/>
        <w:rPr>
          <w:color w:val="000000" w:themeColor="text1"/>
          <w:lang w:eastAsia="zh-HK"/>
        </w:rPr>
      </w:pPr>
      <w:r w:rsidRPr="00E8281A">
        <w:rPr>
          <w:b/>
          <w:bCs/>
          <w:color w:val="000000" w:themeColor="text1"/>
          <w:lang w:eastAsia="zh-HK"/>
        </w:rPr>
        <w:tab/>
      </w:r>
      <w:r w:rsidR="00760A6A" w:rsidRPr="00E8281A">
        <w:rPr>
          <w:color w:val="000000" w:themeColor="text1"/>
          <w:lang w:eastAsia="zh-HK"/>
        </w:rPr>
        <w:t xml:space="preserve">Figure 1 shows the parameter estimates and model fit statistics for the </w:t>
      </w:r>
      <w:r w:rsidR="001E47C9" w:rsidRPr="00E8281A">
        <w:rPr>
          <w:color w:val="000000" w:themeColor="text1"/>
          <w:lang w:eastAsia="zh-HK"/>
        </w:rPr>
        <w:t xml:space="preserve">cross-lagged </w:t>
      </w:r>
      <w:r w:rsidR="00760A6A" w:rsidRPr="00E8281A">
        <w:rPr>
          <w:color w:val="000000" w:themeColor="text1"/>
          <w:lang w:eastAsia="zh-HK"/>
        </w:rPr>
        <w:t xml:space="preserve">model </w:t>
      </w:r>
      <w:r w:rsidR="001E47C9" w:rsidRPr="00E8281A">
        <w:rPr>
          <w:color w:val="000000" w:themeColor="text1"/>
          <w:lang w:eastAsia="zh-HK"/>
        </w:rPr>
        <w:t>of teacher-reported playfulness (social spontaneity and cognitive spontaneity) and creative potential across Time</w:t>
      </w:r>
      <w:r w:rsidR="00A17FA2">
        <w:rPr>
          <w:color w:val="000000" w:themeColor="text1"/>
          <w:lang w:eastAsia="zh-HK"/>
        </w:rPr>
        <w:t>s</w:t>
      </w:r>
      <w:r w:rsidR="001E47C9" w:rsidRPr="00E8281A">
        <w:rPr>
          <w:color w:val="000000" w:themeColor="text1"/>
          <w:lang w:eastAsia="zh-HK"/>
        </w:rPr>
        <w:t xml:space="preserve"> 1 and 2</w:t>
      </w:r>
      <w:r w:rsidR="00D26522" w:rsidRPr="00E8281A">
        <w:rPr>
          <w:color w:val="000000" w:themeColor="text1"/>
          <w:lang w:eastAsia="zh-HK"/>
        </w:rPr>
        <w:t>,</w:t>
      </w:r>
      <w:r w:rsidR="001E47C9" w:rsidRPr="00E8281A">
        <w:rPr>
          <w:color w:val="000000" w:themeColor="text1"/>
          <w:lang w:eastAsia="zh-HK"/>
        </w:rPr>
        <w:t xml:space="preserve"> with parent-reported psychomotor and intellectual overexcitabilities at Time 1 as antecedents. The cross-lagged model reveals an adequate</w:t>
      </w:r>
      <w:r w:rsidR="00760A6A" w:rsidRPr="00E8281A">
        <w:rPr>
          <w:color w:val="000000" w:themeColor="text1"/>
          <w:lang w:eastAsia="zh-HK"/>
        </w:rPr>
        <w:t xml:space="preserve"> fit to the data </w:t>
      </w:r>
      <w:r w:rsidR="001E47C9" w:rsidRPr="00E8281A">
        <w:rPr>
          <w:i/>
          <w:iCs/>
          <w:color w:val="000000" w:themeColor="text1"/>
        </w:rPr>
        <w:t>χ</w:t>
      </w:r>
      <w:r w:rsidR="001E47C9" w:rsidRPr="00E8281A">
        <w:rPr>
          <w:i/>
          <w:iCs/>
          <w:color w:val="000000" w:themeColor="text1"/>
          <w:vertAlign w:val="superscript"/>
        </w:rPr>
        <w:t>2</w:t>
      </w:r>
      <w:r w:rsidR="001E47C9" w:rsidRPr="00E8281A">
        <w:rPr>
          <w:color w:val="000000" w:themeColor="text1"/>
        </w:rPr>
        <w:t xml:space="preserve"> (</w:t>
      </w:r>
      <w:r w:rsidR="001E47C9" w:rsidRPr="00E8281A">
        <w:rPr>
          <w:i/>
          <w:iCs/>
          <w:color w:val="000000" w:themeColor="text1"/>
        </w:rPr>
        <w:t>df</w:t>
      </w:r>
      <w:r w:rsidR="001E47C9" w:rsidRPr="00E8281A">
        <w:rPr>
          <w:color w:val="000000" w:themeColor="text1"/>
        </w:rPr>
        <w:t xml:space="preserve"> = 21, </w:t>
      </w:r>
      <w:r w:rsidR="001E47C9" w:rsidRPr="00E8281A">
        <w:rPr>
          <w:i/>
          <w:color w:val="000000" w:themeColor="text1"/>
        </w:rPr>
        <w:t>N</w:t>
      </w:r>
      <w:r w:rsidR="001E47C9" w:rsidRPr="00E8281A">
        <w:rPr>
          <w:color w:val="000000" w:themeColor="text1"/>
        </w:rPr>
        <w:t xml:space="preserve"> = 139) = 31.19, </w:t>
      </w:r>
      <w:r w:rsidR="001E47C9" w:rsidRPr="00E8281A">
        <w:rPr>
          <w:i/>
          <w:color w:val="000000" w:themeColor="text1"/>
        </w:rPr>
        <w:t xml:space="preserve">p </w:t>
      </w:r>
      <w:r w:rsidR="001E47C9" w:rsidRPr="00E8281A">
        <w:rPr>
          <w:color w:val="000000" w:themeColor="text1"/>
        </w:rPr>
        <w:t>= .07, CFI = .96, RMSEA = .06 (90% CI: .00, .10), SRMR = .07</w:t>
      </w:r>
      <w:r w:rsidR="001E47C9" w:rsidRPr="00E8281A">
        <w:rPr>
          <w:color w:val="000000" w:themeColor="text1"/>
          <w:lang w:eastAsia="zh-HK"/>
        </w:rPr>
        <w:t xml:space="preserve">, </w:t>
      </w:r>
      <w:r w:rsidR="001E47C9" w:rsidRPr="00E8281A">
        <w:rPr>
          <w:i/>
          <w:color w:val="000000" w:themeColor="text1"/>
          <w:lang w:eastAsia="zh-HK"/>
        </w:rPr>
        <w:t>R</w:t>
      </w:r>
      <w:r w:rsidR="001E47C9" w:rsidRPr="00E8281A">
        <w:rPr>
          <w:i/>
          <w:color w:val="000000" w:themeColor="text1"/>
          <w:vertAlign w:val="superscript"/>
          <w:lang w:eastAsia="zh-HK"/>
        </w:rPr>
        <w:t>2</w:t>
      </w:r>
      <w:r w:rsidR="001E47C9" w:rsidRPr="00E8281A">
        <w:rPr>
          <w:i/>
          <w:color w:val="000000" w:themeColor="text1"/>
          <w:vertAlign w:val="subscript"/>
          <w:lang w:eastAsia="zh-HK"/>
        </w:rPr>
        <w:t xml:space="preserve"> Time 2 Teacher-reported Creative Potential  </w:t>
      </w:r>
      <w:r w:rsidR="001E47C9" w:rsidRPr="00E8281A">
        <w:rPr>
          <w:color w:val="000000" w:themeColor="text1"/>
          <w:lang w:eastAsia="zh-HK"/>
        </w:rPr>
        <w:t xml:space="preserve">= .52, </w:t>
      </w:r>
      <w:r w:rsidR="001E47C9" w:rsidRPr="00E8281A">
        <w:rPr>
          <w:i/>
          <w:color w:val="000000" w:themeColor="text1"/>
          <w:lang w:eastAsia="zh-HK"/>
        </w:rPr>
        <w:t>R</w:t>
      </w:r>
      <w:r w:rsidR="001E47C9" w:rsidRPr="00E8281A">
        <w:rPr>
          <w:i/>
          <w:color w:val="000000" w:themeColor="text1"/>
          <w:vertAlign w:val="superscript"/>
          <w:lang w:eastAsia="zh-HK"/>
        </w:rPr>
        <w:t>2</w:t>
      </w:r>
      <w:r w:rsidR="001E47C9" w:rsidRPr="00E8281A">
        <w:rPr>
          <w:i/>
          <w:color w:val="000000" w:themeColor="text1"/>
          <w:vertAlign w:val="subscript"/>
          <w:lang w:eastAsia="zh-HK"/>
        </w:rPr>
        <w:t xml:space="preserve"> Time 2 Teacher-reported Playfulness</w:t>
      </w:r>
      <w:r w:rsidR="001E47C9" w:rsidRPr="00E8281A">
        <w:rPr>
          <w:color w:val="000000" w:themeColor="text1"/>
          <w:lang w:eastAsia="zh-HK"/>
        </w:rPr>
        <w:t xml:space="preserve"> = .51. </w:t>
      </w:r>
    </w:p>
    <w:p w14:paraId="2920D33D" w14:textId="29AC9832" w:rsidR="00D26522" w:rsidRPr="00E8281A" w:rsidRDefault="00D26522" w:rsidP="009E7AA2">
      <w:pPr>
        <w:spacing w:line="480" w:lineRule="auto"/>
        <w:rPr>
          <w:color w:val="000000" w:themeColor="text1"/>
          <w:lang w:eastAsia="zh-HK"/>
        </w:rPr>
      </w:pPr>
      <w:r w:rsidRPr="00E8281A">
        <w:rPr>
          <w:color w:val="000000" w:themeColor="text1"/>
          <w:lang w:eastAsia="zh-HK"/>
        </w:rPr>
        <w:tab/>
        <w:t xml:space="preserve">Children’s </w:t>
      </w:r>
      <w:r w:rsidR="00026C2C" w:rsidRPr="00E8281A">
        <w:rPr>
          <w:color w:val="000000" w:themeColor="text1"/>
          <w:lang w:eastAsia="zh-HK"/>
        </w:rPr>
        <w:t xml:space="preserve">parent-reported </w:t>
      </w:r>
      <w:r w:rsidRPr="00E8281A">
        <w:rPr>
          <w:color w:val="000000" w:themeColor="text1"/>
          <w:lang w:eastAsia="zh-HK"/>
        </w:rPr>
        <w:t>psychomotor and intellectual overexcitabilities at Time 1 were positively associated (</w:t>
      </w:r>
      <w:r w:rsidRPr="00E8281A">
        <w:rPr>
          <w:i/>
          <w:iCs/>
          <w:color w:val="000000" w:themeColor="text1"/>
          <w:lang w:eastAsia="zh-HK"/>
        </w:rPr>
        <w:t>r</w:t>
      </w:r>
      <w:r w:rsidRPr="00E8281A">
        <w:rPr>
          <w:color w:val="000000" w:themeColor="text1"/>
          <w:lang w:eastAsia="zh-HK"/>
        </w:rPr>
        <w:t xml:space="preserve"> = .42, </w:t>
      </w:r>
      <w:r w:rsidRPr="00E8281A">
        <w:rPr>
          <w:i/>
          <w:iCs/>
          <w:color w:val="000000" w:themeColor="text1"/>
          <w:lang w:eastAsia="zh-HK"/>
        </w:rPr>
        <w:t xml:space="preserve">p </w:t>
      </w:r>
      <w:r w:rsidRPr="00E8281A">
        <w:rPr>
          <w:color w:val="000000" w:themeColor="text1"/>
          <w:lang w:eastAsia="zh-HK"/>
        </w:rPr>
        <w:t xml:space="preserve">&lt; .001). </w:t>
      </w:r>
      <w:r w:rsidR="00026C2C" w:rsidRPr="00E8281A">
        <w:rPr>
          <w:color w:val="000000" w:themeColor="text1"/>
          <w:lang w:eastAsia="zh-HK"/>
        </w:rPr>
        <w:t>Their</w:t>
      </w:r>
      <w:r w:rsidRPr="00E8281A">
        <w:rPr>
          <w:color w:val="000000" w:themeColor="text1"/>
          <w:lang w:eastAsia="zh-HK"/>
        </w:rPr>
        <w:t xml:space="preserve"> </w:t>
      </w:r>
      <w:r w:rsidR="00026C2C" w:rsidRPr="00E8281A">
        <w:rPr>
          <w:color w:val="000000" w:themeColor="text1"/>
          <w:lang w:eastAsia="zh-HK"/>
        </w:rPr>
        <w:t xml:space="preserve">teacher-reported </w:t>
      </w:r>
      <w:r w:rsidRPr="00E8281A">
        <w:rPr>
          <w:color w:val="000000" w:themeColor="text1"/>
          <w:lang w:eastAsia="zh-HK"/>
        </w:rPr>
        <w:t xml:space="preserve">playfulness and creative potential were </w:t>
      </w:r>
      <w:r w:rsidR="00026C2C" w:rsidRPr="00E8281A">
        <w:rPr>
          <w:color w:val="000000" w:themeColor="text1"/>
          <w:lang w:eastAsia="zh-HK"/>
        </w:rPr>
        <w:t>positively</w:t>
      </w:r>
      <w:r w:rsidRPr="00E8281A">
        <w:rPr>
          <w:color w:val="000000" w:themeColor="text1"/>
          <w:lang w:eastAsia="zh-HK"/>
        </w:rPr>
        <w:t xml:space="preserve"> related at both Time 1 (</w:t>
      </w:r>
      <w:r w:rsidRPr="00E8281A">
        <w:rPr>
          <w:i/>
          <w:iCs/>
          <w:color w:val="000000" w:themeColor="text1"/>
          <w:lang w:eastAsia="zh-HK"/>
        </w:rPr>
        <w:t>r</w:t>
      </w:r>
      <w:r w:rsidRPr="00E8281A">
        <w:rPr>
          <w:color w:val="000000" w:themeColor="text1"/>
          <w:lang w:eastAsia="zh-HK"/>
        </w:rPr>
        <w:t xml:space="preserve"> = .73, </w:t>
      </w:r>
      <w:r w:rsidRPr="00E8281A">
        <w:rPr>
          <w:i/>
          <w:iCs/>
          <w:color w:val="000000" w:themeColor="text1"/>
          <w:lang w:eastAsia="zh-HK"/>
        </w:rPr>
        <w:t xml:space="preserve">p </w:t>
      </w:r>
      <w:r w:rsidRPr="00E8281A">
        <w:rPr>
          <w:color w:val="000000" w:themeColor="text1"/>
          <w:lang w:eastAsia="zh-HK"/>
        </w:rPr>
        <w:t>&lt; .001) and Time 2 (</w:t>
      </w:r>
      <w:r w:rsidRPr="00E8281A">
        <w:rPr>
          <w:i/>
          <w:iCs/>
          <w:color w:val="000000" w:themeColor="text1"/>
          <w:lang w:eastAsia="zh-HK"/>
        </w:rPr>
        <w:t>r</w:t>
      </w:r>
      <w:r w:rsidRPr="00E8281A">
        <w:rPr>
          <w:color w:val="000000" w:themeColor="text1"/>
          <w:lang w:eastAsia="zh-HK"/>
        </w:rPr>
        <w:t xml:space="preserve"> = .55, </w:t>
      </w:r>
      <w:r w:rsidRPr="00E8281A">
        <w:rPr>
          <w:i/>
          <w:iCs/>
          <w:color w:val="000000" w:themeColor="text1"/>
          <w:lang w:eastAsia="zh-HK"/>
        </w:rPr>
        <w:t xml:space="preserve">p </w:t>
      </w:r>
      <w:r w:rsidRPr="00E8281A">
        <w:rPr>
          <w:color w:val="000000" w:themeColor="text1"/>
          <w:lang w:eastAsia="zh-HK"/>
        </w:rPr>
        <w:t xml:space="preserve">&lt; .001). </w:t>
      </w:r>
      <w:r w:rsidR="005E6C3C" w:rsidRPr="00E8281A">
        <w:rPr>
          <w:color w:val="000000" w:themeColor="text1"/>
          <w:lang w:eastAsia="zh-HK"/>
        </w:rPr>
        <w:t>For</w:t>
      </w:r>
      <w:r w:rsidR="00425876" w:rsidRPr="00E8281A">
        <w:rPr>
          <w:color w:val="000000" w:themeColor="text1"/>
          <w:lang w:eastAsia="zh-HK"/>
        </w:rPr>
        <w:t xml:space="preserve"> the concurrent associations of overexcitabilities with playfulness and creative potential at Time 1, only </w:t>
      </w:r>
      <w:r w:rsidR="00E63EC8" w:rsidRPr="00E8281A">
        <w:rPr>
          <w:color w:val="000000" w:themeColor="text1"/>
          <w:lang w:eastAsia="zh-HK"/>
        </w:rPr>
        <w:t>the path</w:t>
      </w:r>
      <w:r w:rsidR="00425876" w:rsidRPr="00E8281A">
        <w:rPr>
          <w:color w:val="000000" w:themeColor="text1"/>
          <w:lang w:eastAsia="zh-HK"/>
        </w:rPr>
        <w:t xml:space="preserve"> between parent-reported intellectual overexcitability and teacher-reported playfulness was significant </w:t>
      </w:r>
      <w:r w:rsidR="00E63EC8" w:rsidRPr="00E8281A">
        <w:rPr>
          <w:color w:val="000000" w:themeColor="text1"/>
          <w:lang w:eastAsia="zh-HK"/>
        </w:rPr>
        <w:t>(</w:t>
      </w:r>
      <w:r w:rsidR="00E63EC8" w:rsidRPr="00E8281A">
        <w:rPr>
          <w:i/>
          <w:color w:val="000000" w:themeColor="text1"/>
        </w:rPr>
        <w:t>β</w:t>
      </w:r>
      <w:r w:rsidR="00E63EC8" w:rsidRPr="00E8281A">
        <w:rPr>
          <w:color w:val="000000" w:themeColor="text1"/>
          <w:lang w:eastAsia="zh-HK"/>
        </w:rPr>
        <w:t xml:space="preserve"> = .26, </w:t>
      </w:r>
      <w:r w:rsidR="00E63EC8" w:rsidRPr="00E8281A">
        <w:rPr>
          <w:i/>
          <w:color w:val="000000" w:themeColor="text1"/>
          <w:lang w:eastAsia="zh-HK"/>
        </w:rPr>
        <w:t>SE</w:t>
      </w:r>
      <w:r w:rsidR="00E63EC8" w:rsidRPr="00E8281A">
        <w:rPr>
          <w:color w:val="000000" w:themeColor="text1"/>
          <w:lang w:eastAsia="zh-HK"/>
        </w:rPr>
        <w:t xml:space="preserve"> = .15, </w:t>
      </w:r>
      <w:r w:rsidR="00E63EC8" w:rsidRPr="00E8281A">
        <w:rPr>
          <w:i/>
          <w:color w:val="000000" w:themeColor="text1"/>
          <w:lang w:eastAsia="zh-HK"/>
        </w:rPr>
        <w:t>p</w:t>
      </w:r>
      <w:r w:rsidR="00E63EC8" w:rsidRPr="00E8281A">
        <w:rPr>
          <w:color w:val="000000" w:themeColor="text1"/>
          <w:lang w:eastAsia="zh-HK"/>
        </w:rPr>
        <w:t xml:space="preserve"> &lt; .05)</w:t>
      </w:r>
      <w:r w:rsidR="00B21287" w:rsidRPr="00E8281A">
        <w:rPr>
          <w:color w:val="000000" w:themeColor="text1"/>
          <w:lang w:eastAsia="zh-HK"/>
        </w:rPr>
        <w:t>,</w:t>
      </w:r>
      <w:r w:rsidR="00E63EC8" w:rsidRPr="00E8281A">
        <w:rPr>
          <w:color w:val="000000" w:themeColor="text1"/>
          <w:lang w:eastAsia="zh-HK"/>
        </w:rPr>
        <w:t xml:space="preserve"> </w:t>
      </w:r>
      <w:r w:rsidR="00425876" w:rsidRPr="00E8281A">
        <w:rPr>
          <w:color w:val="000000" w:themeColor="text1"/>
          <w:lang w:eastAsia="zh-HK"/>
        </w:rPr>
        <w:t>whereas the others were nonsignificant.</w:t>
      </w:r>
      <w:r w:rsidR="00E63EC8" w:rsidRPr="00E8281A">
        <w:rPr>
          <w:color w:val="000000" w:themeColor="text1"/>
          <w:lang w:eastAsia="zh-HK"/>
        </w:rPr>
        <w:t xml:space="preserve"> The autoregressive paths of teacher-reported playfulness (</w:t>
      </w:r>
      <w:r w:rsidR="00E63EC8" w:rsidRPr="00E8281A">
        <w:rPr>
          <w:i/>
          <w:color w:val="000000" w:themeColor="text1"/>
        </w:rPr>
        <w:t>β</w:t>
      </w:r>
      <w:r w:rsidR="00E63EC8" w:rsidRPr="00E8281A">
        <w:rPr>
          <w:color w:val="000000" w:themeColor="text1"/>
          <w:lang w:eastAsia="zh-HK"/>
        </w:rPr>
        <w:t xml:space="preserve"> = .42, </w:t>
      </w:r>
      <w:r w:rsidR="00E63EC8" w:rsidRPr="00E8281A">
        <w:rPr>
          <w:i/>
          <w:color w:val="000000" w:themeColor="text1"/>
          <w:lang w:eastAsia="zh-HK"/>
        </w:rPr>
        <w:t>SE</w:t>
      </w:r>
      <w:r w:rsidR="00E63EC8" w:rsidRPr="00E8281A">
        <w:rPr>
          <w:color w:val="000000" w:themeColor="text1"/>
          <w:lang w:eastAsia="zh-HK"/>
        </w:rPr>
        <w:t xml:space="preserve"> </w:t>
      </w:r>
      <w:r w:rsidR="00E63EC8" w:rsidRPr="00E8281A">
        <w:rPr>
          <w:color w:val="000000" w:themeColor="text1"/>
          <w:lang w:eastAsia="zh-HK"/>
        </w:rPr>
        <w:lastRenderedPageBreak/>
        <w:t xml:space="preserve">= .12, </w:t>
      </w:r>
      <w:r w:rsidR="00E63EC8" w:rsidRPr="00E8281A">
        <w:rPr>
          <w:i/>
          <w:color w:val="000000" w:themeColor="text1"/>
          <w:lang w:eastAsia="zh-HK"/>
        </w:rPr>
        <w:t>p</w:t>
      </w:r>
      <w:r w:rsidR="00E63EC8" w:rsidRPr="00E8281A">
        <w:rPr>
          <w:color w:val="000000" w:themeColor="text1"/>
          <w:lang w:eastAsia="zh-HK"/>
        </w:rPr>
        <w:t xml:space="preserve"> &lt; .001) and creative potential (</w:t>
      </w:r>
      <w:r w:rsidR="00E63EC8" w:rsidRPr="00E8281A">
        <w:rPr>
          <w:i/>
          <w:color w:val="000000" w:themeColor="text1"/>
        </w:rPr>
        <w:t>β</w:t>
      </w:r>
      <w:r w:rsidR="00E63EC8" w:rsidRPr="00E8281A">
        <w:rPr>
          <w:color w:val="000000" w:themeColor="text1"/>
          <w:lang w:eastAsia="zh-HK"/>
        </w:rPr>
        <w:t xml:space="preserve"> = .50, </w:t>
      </w:r>
      <w:r w:rsidR="00E63EC8" w:rsidRPr="00E8281A">
        <w:rPr>
          <w:i/>
          <w:color w:val="000000" w:themeColor="text1"/>
          <w:lang w:eastAsia="zh-HK"/>
        </w:rPr>
        <w:t>SE</w:t>
      </w:r>
      <w:r w:rsidR="00E63EC8" w:rsidRPr="00E8281A">
        <w:rPr>
          <w:color w:val="000000" w:themeColor="text1"/>
          <w:lang w:eastAsia="zh-HK"/>
        </w:rPr>
        <w:t xml:space="preserve"> = .11, </w:t>
      </w:r>
      <w:r w:rsidR="00E63EC8" w:rsidRPr="00E8281A">
        <w:rPr>
          <w:i/>
          <w:color w:val="000000" w:themeColor="text1"/>
          <w:lang w:eastAsia="zh-HK"/>
        </w:rPr>
        <w:t>p</w:t>
      </w:r>
      <w:r w:rsidR="00E63EC8" w:rsidRPr="00E8281A">
        <w:rPr>
          <w:color w:val="000000" w:themeColor="text1"/>
          <w:lang w:eastAsia="zh-HK"/>
        </w:rPr>
        <w:t xml:space="preserve"> &lt; .001) across Time</w:t>
      </w:r>
      <w:r w:rsidR="00A17FA2">
        <w:rPr>
          <w:color w:val="000000" w:themeColor="text1"/>
          <w:lang w:eastAsia="zh-HK"/>
        </w:rPr>
        <w:t>s</w:t>
      </w:r>
      <w:r w:rsidR="00E63EC8" w:rsidRPr="00E8281A">
        <w:rPr>
          <w:color w:val="000000" w:themeColor="text1"/>
          <w:lang w:eastAsia="zh-HK"/>
        </w:rPr>
        <w:t xml:space="preserve"> 1 and 2 were both significant. The cross-lagged path from playfulness at Time 1 to creative potential at Time 2 was significant (</w:t>
      </w:r>
      <w:r w:rsidR="00E63EC8" w:rsidRPr="00E8281A">
        <w:rPr>
          <w:i/>
          <w:color w:val="000000" w:themeColor="text1"/>
        </w:rPr>
        <w:t>β</w:t>
      </w:r>
      <w:r w:rsidR="00E63EC8" w:rsidRPr="00E8281A">
        <w:rPr>
          <w:color w:val="000000" w:themeColor="text1"/>
          <w:lang w:eastAsia="zh-HK"/>
        </w:rPr>
        <w:t xml:space="preserve"> = .24, </w:t>
      </w:r>
      <w:r w:rsidR="00E63EC8" w:rsidRPr="00E8281A">
        <w:rPr>
          <w:i/>
          <w:color w:val="000000" w:themeColor="text1"/>
          <w:lang w:eastAsia="zh-HK"/>
        </w:rPr>
        <w:t>SE</w:t>
      </w:r>
      <w:r w:rsidR="00E63EC8" w:rsidRPr="00E8281A">
        <w:rPr>
          <w:color w:val="000000" w:themeColor="text1"/>
          <w:lang w:eastAsia="zh-HK"/>
        </w:rPr>
        <w:t xml:space="preserve"> = .12, </w:t>
      </w:r>
      <w:r w:rsidR="00E63EC8" w:rsidRPr="00E8281A">
        <w:rPr>
          <w:i/>
          <w:color w:val="000000" w:themeColor="text1"/>
          <w:lang w:eastAsia="zh-HK"/>
        </w:rPr>
        <w:t>p</w:t>
      </w:r>
      <w:r w:rsidR="00E63EC8" w:rsidRPr="00E8281A">
        <w:rPr>
          <w:color w:val="000000" w:themeColor="text1"/>
          <w:lang w:eastAsia="zh-HK"/>
        </w:rPr>
        <w:t xml:space="preserve"> &lt; .05). The cross-lagged path from creative potential at Time 1 to playfulness at Time 2 was also significant (</w:t>
      </w:r>
      <w:r w:rsidR="00E63EC8" w:rsidRPr="00E8281A">
        <w:rPr>
          <w:i/>
          <w:color w:val="000000" w:themeColor="text1"/>
        </w:rPr>
        <w:t>β</w:t>
      </w:r>
      <w:r w:rsidR="00E63EC8" w:rsidRPr="00E8281A">
        <w:rPr>
          <w:color w:val="000000" w:themeColor="text1"/>
          <w:lang w:eastAsia="zh-HK"/>
        </w:rPr>
        <w:t xml:space="preserve"> = .33, </w:t>
      </w:r>
      <w:r w:rsidR="00E63EC8" w:rsidRPr="00E8281A">
        <w:rPr>
          <w:i/>
          <w:color w:val="000000" w:themeColor="text1"/>
          <w:lang w:eastAsia="zh-HK"/>
        </w:rPr>
        <w:t>SE</w:t>
      </w:r>
      <w:r w:rsidR="00E63EC8" w:rsidRPr="00E8281A">
        <w:rPr>
          <w:color w:val="000000" w:themeColor="text1"/>
          <w:lang w:eastAsia="zh-HK"/>
        </w:rPr>
        <w:t xml:space="preserve"> = .09, </w:t>
      </w:r>
      <w:r w:rsidR="00E63EC8" w:rsidRPr="00E8281A">
        <w:rPr>
          <w:i/>
          <w:color w:val="000000" w:themeColor="text1"/>
          <w:lang w:eastAsia="zh-HK"/>
        </w:rPr>
        <w:t>p</w:t>
      </w:r>
      <w:r w:rsidR="00E63EC8" w:rsidRPr="00E8281A">
        <w:rPr>
          <w:color w:val="000000" w:themeColor="text1"/>
          <w:lang w:eastAsia="zh-HK"/>
        </w:rPr>
        <w:t xml:space="preserve"> &lt; .01).</w:t>
      </w:r>
      <w:r w:rsidR="00702947" w:rsidRPr="00E8281A">
        <w:rPr>
          <w:color w:val="000000" w:themeColor="text1"/>
          <w:lang w:eastAsia="zh-HK"/>
        </w:rPr>
        <w:t xml:space="preserve"> The indirect relationship between intellectual overexcitability </w:t>
      </w:r>
      <w:r w:rsidR="005E6C3C" w:rsidRPr="00E8281A">
        <w:rPr>
          <w:color w:val="000000" w:themeColor="text1"/>
          <w:lang w:eastAsia="zh-HK"/>
        </w:rPr>
        <w:t xml:space="preserve">at Time 1 </w:t>
      </w:r>
      <w:r w:rsidR="00702947" w:rsidRPr="00E8281A">
        <w:rPr>
          <w:color w:val="000000" w:themeColor="text1"/>
          <w:lang w:eastAsia="zh-HK"/>
        </w:rPr>
        <w:t xml:space="preserve">and creative potential at Time 2 </w:t>
      </w:r>
      <w:r w:rsidR="001A0AA1" w:rsidRPr="00751B16">
        <w:rPr>
          <w:color w:val="00B0F0"/>
          <w:lang w:eastAsia="zh-HK"/>
        </w:rPr>
        <w:t>mediat</w:t>
      </w:r>
      <w:r w:rsidR="00A17FA2" w:rsidRPr="00751B16">
        <w:rPr>
          <w:color w:val="00B0F0"/>
          <w:lang w:eastAsia="zh-HK"/>
        </w:rPr>
        <w:t>ed</w:t>
      </w:r>
      <w:r w:rsidR="00702947" w:rsidRPr="00751B16">
        <w:rPr>
          <w:color w:val="00B0F0"/>
          <w:lang w:eastAsia="zh-HK"/>
        </w:rPr>
        <w:t xml:space="preserve"> </w:t>
      </w:r>
      <w:r w:rsidR="00702947" w:rsidRPr="00E8281A">
        <w:rPr>
          <w:color w:val="000000" w:themeColor="text1"/>
          <w:lang w:eastAsia="zh-HK"/>
        </w:rPr>
        <w:t xml:space="preserve">through playfulness at Time 1 was positive and significant (indirect effect: </w:t>
      </w:r>
      <w:r w:rsidR="00702947" w:rsidRPr="00E8281A">
        <w:rPr>
          <w:i/>
          <w:color w:val="000000" w:themeColor="text1"/>
        </w:rPr>
        <w:t>β</w:t>
      </w:r>
      <w:r w:rsidR="00702947" w:rsidRPr="00E8281A">
        <w:rPr>
          <w:color w:val="000000" w:themeColor="text1"/>
          <w:lang w:eastAsia="zh-HK"/>
        </w:rPr>
        <w:t xml:space="preserve"> = .06, </w:t>
      </w:r>
      <w:r w:rsidR="00702947" w:rsidRPr="00E8281A">
        <w:rPr>
          <w:i/>
          <w:color w:val="000000" w:themeColor="text1"/>
          <w:lang w:eastAsia="zh-HK"/>
        </w:rPr>
        <w:t>SE</w:t>
      </w:r>
      <w:r w:rsidR="00702947" w:rsidRPr="00E8281A">
        <w:rPr>
          <w:color w:val="000000" w:themeColor="text1"/>
          <w:lang w:eastAsia="zh-HK"/>
        </w:rPr>
        <w:t xml:space="preserve"> = .05, </w:t>
      </w:r>
      <w:r w:rsidR="00702947" w:rsidRPr="00E8281A">
        <w:rPr>
          <w:i/>
          <w:color w:val="000000" w:themeColor="text1"/>
          <w:lang w:eastAsia="zh-HK"/>
        </w:rPr>
        <w:t>p</w:t>
      </w:r>
      <w:r w:rsidR="00702947" w:rsidRPr="00E8281A">
        <w:rPr>
          <w:color w:val="000000" w:themeColor="text1"/>
          <w:lang w:eastAsia="zh-HK"/>
        </w:rPr>
        <w:t xml:space="preserve"> &lt; .05, 90% CI: .01, .21).</w:t>
      </w:r>
    </w:p>
    <w:p w14:paraId="3DD00570" w14:textId="77777777" w:rsidR="005661E4" w:rsidRPr="00E8281A" w:rsidRDefault="005661E4" w:rsidP="00D607D4">
      <w:pPr>
        <w:spacing w:line="480" w:lineRule="auto"/>
        <w:jc w:val="center"/>
        <w:rPr>
          <w:b/>
          <w:color w:val="000000" w:themeColor="text1"/>
        </w:rPr>
      </w:pPr>
      <w:r w:rsidRPr="00E8281A">
        <w:rPr>
          <w:b/>
          <w:color w:val="000000" w:themeColor="text1"/>
        </w:rPr>
        <w:t>Discussion</w:t>
      </w:r>
    </w:p>
    <w:p w14:paraId="706D704D" w14:textId="5E72121B" w:rsidR="00C74D0C" w:rsidRPr="00E8281A" w:rsidRDefault="006E350F" w:rsidP="0075577C">
      <w:pPr>
        <w:spacing w:line="480" w:lineRule="auto"/>
        <w:rPr>
          <w:color w:val="000000" w:themeColor="text1"/>
          <w:highlight w:val="yellow"/>
          <w:lang w:eastAsia="zh-HK"/>
        </w:rPr>
      </w:pPr>
      <w:r w:rsidRPr="00E8281A">
        <w:rPr>
          <w:b/>
          <w:color w:val="000000" w:themeColor="text1"/>
        </w:rPr>
        <w:tab/>
      </w:r>
      <w:r w:rsidRPr="00E8281A">
        <w:rPr>
          <w:color w:val="000000" w:themeColor="text1"/>
        </w:rPr>
        <w:t xml:space="preserve">This study </w:t>
      </w:r>
      <w:r w:rsidR="00A904AB" w:rsidRPr="00E8281A">
        <w:rPr>
          <w:color w:val="000000" w:themeColor="text1"/>
        </w:rPr>
        <w:t>examined</w:t>
      </w:r>
      <w:r w:rsidR="005F4754" w:rsidRPr="00E8281A">
        <w:rPr>
          <w:color w:val="000000" w:themeColor="text1"/>
        </w:rPr>
        <w:t xml:space="preserve"> the </w:t>
      </w:r>
      <w:r w:rsidR="00F80D62" w:rsidRPr="00E8281A">
        <w:rPr>
          <w:color w:val="000000" w:themeColor="text1"/>
        </w:rPr>
        <w:t>bidirectionality of</w:t>
      </w:r>
      <w:r w:rsidR="001D13D9" w:rsidRPr="00E8281A">
        <w:rPr>
          <w:color w:val="000000" w:themeColor="text1"/>
        </w:rPr>
        <w:t xml:space="preserve"> </w:t>
      </w:r>
      <w:r w:rsidR="00B82015" w:rsidRPr="00E8281A">
        <w:rPr>
          <w:color w:val="000000" w:themeColor="text1"/>
        </w:rPr>
        <w:t xml:space="preserve">kindergarten </w:t>
      </w:r>
      <w:r w:rsidR="00966521" w:rsidRPr="00E8281A">
        <w:rPr>
          <w:color w:val="000000" w:themeColor="text1"/>
        </w:rPr>
        <w:t xml:space="preserve">children’s </w:t>
      </w:r>
      <w:r w:rsidR="001D13D9" w:rsidRPr="00E8281A">
        <w:rPr>
          <w:color w:val="000000" w:themeColor="text1"/>
        </w:rPr>
        <w:t xml:space="preserve">playfulness and creative potential with their </w:t>
      </w:r>
      <w:r w:rsidR="00966521" w:rsidRPr="00E8281A">
        <w:rPr>
          <w:color w:val="000000" w:themeColor="text1"/>
        </w:rPr>
        <w:t>overexcitabilit</w:t>
      </w:r>
      <w:r w:rsidR="00DD21F7" w:rsidRPr="00E8281A">
        <w:rPr>
          <w:color w:val="000000" w:themeColor="text1"/>
        </w:rPr>
        <w:t>ie</w:t>
      </w:r>
      <w:r w:rsidR="001D13D9" w:rsidRPr="00E8281A">
        <w:rPr>
          <w:color w:val="000000" w:themeColor="text1"/>
        </w:rPr>
        <w:t>s as antecedents</w:t>
      </w:r>
      <w:r w:rsidR="007D5DC0" w:rsidRPr="00E8281A">
        <w:rPr>
          <w:color w:val="000000" w:themeColor="text1"/>
        </w:rPr>
        <w:t>. The results</w:t>
      </w:r>
      <w:r w:rsidR="003B16CE" w:rsidRPr="00E8281A">
        <w:rPr>
          <w:color w:val="000000" w:themeColor="text1"/>
        </w:rPr>
        <w:t xml:space="preserve"> reveal </w:t>
      </w:r>
      <w:r w:rsidR="001D13D9" w:rsidRPr="00E8281A">
        <w:rPr>
          <w:color w:val="000000" w:themeColor="text1"/>
        </w:rPr>
        <w:t>the reciprocal relationship between playfulness and creative potential across time</w:t>
      </w:r>
      <w:r w:rsidR="003B16CE" w:rsidRPr="00E8281A">
        <w:rPr>
          <w:color w:val="000000" w:themeColor="text1"/>
        </w:rPr>
        <w:t xml:space="preserve">. </w:t>
      </w:r>
      <w:r w:rsidR="0094186D" w:rsidRPr="00E8281A">
        <w:rPr>
          <w:color w:val="000000" w:themeColor="text1"/>
        </w:rPr>
        <w:t xml:space="preserve">Moreover, </w:t>
      </w:r>
      <w:r w:rsidR="003B16CE" w:rsidRPr="00E8281A">
        <w:rPr>
          <w:color w:val="000000" w:themeColor="text1"/>
        </w:rPr>
        <w:t xml:space="preserve">the findings highlight </w:t>
      </w:r>
      <w:r w:rsidR="00F80D62" w:rsidRPr="00E8281A">
        <w:rPr>
          <w:color w:val="000000" w:themeColor="text1"/>
        </w:rPr>
        <w:t xml:space="preserve">the indirect relationship </w:t>
      </w:r>
      <w:r w:rsidR="00355A20">
        <w:rPr>
          <w:color w:val="000000" w:themeColor="text1"/>
        </w:rPr>
        <w:t xml:space="preserve">among </w:t>
      </w:r>
      <w:r w:rsidR="00F80D62" w:rsidRPr="00E8281A">
        <w:rPr>
          <w:color w:val="000000" w:themeColor="text1"/>
        </w:rPr>
        <w:t xml:space="preserve">intellectual overexcitability, playfulness, and </w:t>
      </w:r>
      <w:r w:rsidR="003B16CE" w:rsidRPr="00E8281A">
        <w:rPr>
          <w:color w:val="000000" w:themeColor="text1"/>
        </w:rPr>
        <w:t xml:space="preserve">creative potential. </w:t>
      </w:r>
      <w:bookmarkStart w:id="41" w:name="_Hlk118806951"/>
      <w:r w:rsidR="00593553" w:rsidRPr="006828B7">
        <w:rPr>
          <w:color w:val="00B0F0"/>
        </w:rPr>
        <w:t>I</w:t>
      </w:r>
      <w:r w:rsidR="005D3846" w:rsidRPr="006828B7">
        <w:rPr>
          <w:color w:val="00B0F0"/>
        </w:rPr>
        <w:t>mportantly, t</w:t>
      </w:r>
      <w:r w:rsidR="003362EB" w:rsidRPr="006828B7">
        <w:rPr>
          <w:color w:val="00B0F0"/>
          <w:lang w:eastAsia="zh-HK"/>
        </w:rPr>
        <w:t xml:space="preserve">he </w:t>
      </w:r>
      <w:r w:rsidR="00D937DF" w:rsidRPr="006828B7">
        <w:rPr>
          <w:color w:val="00B0F0"/>
          <w:lang w:eastAsia="zh-HK"/>
        </w:rPr>
        <w:t xml:space="preserve">findings </w:t>
      </w:r>
      <w:r w:rsidR="005458EC">
        <w:rPr>
          <w:color w:val="00B0F0"/>
          <w:lang w:eastAsia="zh-HK"/>
        </w:rPr>
        <w:t xml:space="preserve">from this longitudinal study </w:t>
      </w:r>
      <w:r w:rsidR="00D937DF" w:rsidRPr="006828B7">
        <w:rPr>
          <w:color w:val="00B0F0"/>
          <w:lang w:eastAsia="zh-HK"/>
        </w:rPr>
        <w:t xml:space="preserve">have </w:t>
      </w:r>
      <w:r w:rsidR="000D5B57" w:rsidRPr="006828B7">
        <w:rPr>
          <w:color w:val="00B0F0"/>
          <w:lang w:eastAsia="zh-HK"/>
        </w:rPr>
        <w:t>expanded</w:t>
      </w:r>
      <w:r w:rsidR="00D937DF" w:rsidRPr="006828B7">
        <w:rPr>
          <w:color w:val="00B0F0"/>
          <w:lang w:eastAsia="zh-HK"/>
        </w:rPr>
        <w:t xml:space="preserve"> </w:t>
      </w:r>
      <w:r w:rsidR="003362EB" w:rsidRPr="006828B7">
        <w:rPr>
          <w:color w:val="00B0F0"/>
          <w:lang w:eastAsia="zh-HK"/>
        </w:rPr>
        <w:t>the</w:t>
      </w:r>
      <w:r w:rsidR="00D937DF" w:rsidRPr="006828B7">
        <w:rPr>
          <w:color w:val="00B0F0"/>
          <w:lang w:eastAsia="zh-HK"/>
        </w:rPr>
        <w:t xml:space="preserve"> existing </w:t>
      </w:r>
      <w:r w:rsidR="000D5B57" w:rsidRPr="006828B7">
        <w:rPr>
          <w:color w:val="00B0F0"/>
          <w:lang w:eastAsia="zh-HK"/>
        </w:rPr>
        <w:t>evidence</w:t>
      </w:r>
      <w:r w:rsidR="00D937DF" w:rsidRPr="006828B7">
        <w:rPr>
          <w:color w:val="00B0F0"/>
          <w:lang w:eastAsia="zh-HK"/>
        </w:rPr>
        <w:t xml:space="preserve"> </w:t>
      </w:r>
      <w:r w:rsidR="008C4454" w:rsidRPr="006828B7">
        <w:rPr>
          <w:color w:val="00B0F0"/>
          <w:lang w:eastAsia="zh-HK"/>
        </w:rPr>
        <w:t xml:space="preserve">(e.g., </w:t>
      </w:r>
      <w:r w:rsidR="000B2E36" w:rsidRPr="006828B7">
        <w:rPr>
          <w:color w:val="00B0F0"/>
          <w:lang w:eastAsia="zh-HK"/>
        </w:rPr>
        <w:t>Fung &amp; Chung, 2021</w:t>
      </w:r>
      <w:r w:rsidR="005F2F23" w:rsidRPr="006828B7">
        <w:rPr>
          <w:color w:val="00B0F0"/>
          <w:lang w:eastAsia="zh-HK"/>
        </w:rPr>
        <w:t>, 2022</w:t>
      </w:r>
      <w:r w:rsidR="000B2E36" w:rsidRPr="006828B7">
        <w:rPr>
          <w:color w:val="00B0F0"/>
          <w:lang w:eastAsia="zh-HK"/>
        </w:rPr>
        <w:t>; Fung et al., 2021</w:t>
      </w:r>
      <w:r w:rsidR="008C4454" w:rsidRPr="006828B7">
        <w:rPr>
          <w:color w:val="00B0F0"/>
          <w:lang w:eastAsia="zh-HK"/>
        </w:rPr>
        <w:t xml:space="preserve">) </w:t>
      </w:r>
      <w:r w:rsidR="003362EB" w:rsidRPr="006828B7">
        <w:rPr>
          <w:color w:val="00B0F0"/>
          <w:lang w:eastAsia="zh-HK"/>
        </w:rPr>
        <w:t xml:space="preserve">by </w:t>
      </w:r>
      <w:r w:rsidR="00D81AFA" w:rsidRPr="006828B7">
        <w:rPr>
          <w:color w:val="00B0F0"/>
          <w:lang w:eastAsia="zh-HK"/>
        </w:rPr>
        <w:t>demonstrating</w:t>
      </w:r>
      <w:r w:rsidR="002613EA" w:rsidRPr="006828B7">
        <w:rPr>
          <w:color w:val="00B0F0"/>
          <w:lang w:eastAsia="zh-HK"/>
        </w:rPr>
        <w:t xml:space="preserve"> </w:t>
      </w:r>
      <w:r w:rsidR="009B3B39" w:rsidRPr="006828B7">
        <w:rPr>
          <w:color w:val="00B0F0"/>
          <w:lang w:eastAsia="zh-HK"/>
        </w:rPr>
        <w:t xml:space="preserve">how </w:t>
      </w:r>
      <w:r w:rsidR="000D5B57" w:rsidRPr="006828B7">
        <w:rPr>
          <w:color w:val="00B0F0"/>
          <w:lang w:eastAsia="zh-HK"/>
        </w:rPr>
        <w:t>the</w:t>
      </w:r>
      <w:r w:rsidR="009B3B39" w:rsidRPr="006828B7">
        <w:rPr>
          <w:color w:val="00B0F0"/>
          <w:lang w:eastAsia="zh-HK"/>
        </w:rPr>
        <w:t xml:space="preserve"> </w:t>
      </w:r>
      <w:r w:rsidR="00BA6C2F" w:rsidRPr="006828B7">
        <w:rPr>
          <w:color w:val="00B0F0"/>
          <w:lang w:eastAsia="zh-HK"/>
        </w:rPr>
        <w:t xml:space="preserve">innate </w:t>
      </w:r>
      <w:r w:rsidR="000D5B57" w:rsidRPr="006828B7">
        <w:rPr>
          <w:color w:val="00B0F0"/>
          <w:lang w:eastAsia="zh-HK"/>
        </w:rPr>
        <w:t xml:space="preserve">characteristics of </w:t>
      </w:r>
      <w:r w:rsidR="00FA522D" w:rsidRPr="006828B7">
        <w:rPr>
          <w:color w:val="00B0F0"/>
          <w:lang w:eastAsia="zh-HK"/>
        </w:rPr>
        <w:t>overexcitabilit</w:t>
      </w:r>
      <w:r w:rsidR="00287D58" w:rsidRPr="006828B7">
        <w:rPr>
          <w:color w:val="00B0F0"/>
          <w:lang w:eastAsia="zh-HK"/>
        </w:rPr>
        <w:t>ies</w:t>
      </w:r>
      <w:r w:rsidR="009B3B39" w:rsidRPr="006828B7">
        <w:rPr>
          <w:color w:val="00B0F0"/>
          <w:lang w:eastAsia="zh-HK"/>
        </w:rPr>
        <w:t xml:space="preserve"> </w:t>
      </w:r>
      <w:r w:rsidR="006828B7" w:rsidRPr="006828B7">
        <w:rPr>
          <w:color w:val="00B0F0"/>
          <w:lang w:eastAsia="zh-HK"/>
        </w:rPr>
        <w:t>might</w:t>
      </w:r>
      <w:r w:rsidR="00FA522D" w:rsidRPr="006828B7">
        <w:rPr>
          <w:color w:val="00B0F0"/>
          <w:lang w:eastAsia="zh-HK"/>
        </w:rPr>
        <w:t xml:space="preserve"> be </w:t>
      </w:r>
      <w:r w:rsidR="00BA6C2F" w:rsidRPr="006828B7">
        <w:rPr>
          <w:color w:val="00B0F0"/>
          <w:lang w:eastAsia="zh-HK"/>
        </w:rPr>
        <w:t xml:space="preserve">the </w:t>
      </w:r>
      <w:r w:rsidR="006828B7" w:rsidRPr="006828B7">
        <w:rPr>
          <w:color w:val="00B0F0"/>
          <w:lang w:eastAsia="zh-HK"/>
        </w:rPr>
        <w:t>antecedents</w:t>
      </w:r>
      <w:r w:rsidR="00355A20">
        <w:rPr>
          <w:color w:val="00B0F0"/>
          <w:lang w:eastAsia="zh-HK"/>
        </w:rPr>
        <w:t xml:space="preserve"> that predicted</w:t>
      </w:r>
      <w:r w:rsidR="00BA6C2F" w:rsidRPr="006828B7">
        <w:rPr>
          <w:color w:val="00B0F0"/>
          <w:lang w:eastAsia="zh-HK"/>
        </w:rPr>
        <w:t xml:space="preserve"> </w:t>
      </w:r>
      <w:r w:rsidR="000D5B57" w:rsidRPr="006828B7">
        <w:rPr>
          <w:color w:val="00B0F0"/>
          <w:lang w:eastAsia="zh-HK"/>
        </w:rPr>
        <w:t>children’s</w:t>
      </w:r>
      <w:r w:rsidR="00BA6C2F" w:rsidRPr="006828B7">
        <w:rPr>
          <w:color w:val="00B0F0"/>
          <w:lang w:eastAsia="zh-HK"/>
        </w:rPr>
        <w:t xml:space="preserve"> </w:t>
      </w:r>
      <w:r w:rsidR="006828B7" w:rsidRPr="006828B7">
        <w:rPr>
          <w:color w:val="00B0F0"/>
          <w:lang w:eastAsia="zh-HK"/>
        </w:rPr>
        <w:t>co</w:t>
      </w:r>
      <w:r w:rsidR="00B0034E">
        <w:rPr>
          <w:color w:val="00B0F0"/>
          <w:lang w:eastAsia="zh-HK"/>
        </w:rPr>
        <w:t>-</w:t>
      </w:r>
      <w:r w:rsidR="006828B7" w:rsidRPr="006828B7">
        <w:rPr>
          <w:color w:val="00B0F0"/>
          <w:lang w:eastAsia="zh-HK"/>
        </w:rPr>
        <w:t xml:space="preserve">development of </w:t>
      </w:r>
      <w:r w:rsidR="00BA6C2F" w:rsidRPr="006828B7">
        <w:rPr>
          <w:color w:val="00B0F0"/>
          <w:lang w:eastAsia="zh-HK"/>
        </w:rPr>
        <w:t xml:space="preserve">playfulness and </w:t>
      </w:r>
      <w:r w:rsidR="00FA522D" w:rsidRPr="006828B7">
        <w:rPr>
          <w:color w:val="00B0F0"/>
          <w:lang w:eastAsia="zh-HK"/>
        </w:rPr>
        <w:t>creative potential</w:t>
      </w:r>
      <w:bookmarkEnd w:id="41"/>
      <w:r w:rsidR="003B4149" w:rsidRPr="006828B7">
        <w:rPr>
          <w:color w:val="00B0F0"/>
          <w:lang w:eastAsia="zh-HK"/>
        </w:rPr>
        <w:t>.</w:t>
      </w:r>
    </w:p>
    <w:p w14:paraId="317A3947" w14:textId="18F95E6C" w:rsidR="009D4BC4" w:rsidRPr="00E8281A" w:rsidRDefault="00B2073F" w:rsidP="0075577C">
      <w:pPr>
        <w:spacing w:line="480" w:lineRule="auto"/>
        <w:rPr>
          <w:b/>
          <w:color w:val="000000" w:themeColor="text1"/>
          <w:lang w:eastAsia="zh-HK"/>
        </w:rPr>
      </w:pPr>
      <w:r w:rsidRPr="00E8281A">
        <w:rPr>
          <w:b/>
          <w:color w:val="000000" w:themeColor="text1"/>
          <w:lang w:eastAsia="zh-HK"/>
        </w:rPr>
        <w:t>O</w:t>
      </w:r>
      <w:r w:rsidR="00972297" w:rsidRPr="00E8281A">
        <w:rPr>
          <w:b/>
          <w:color w:val="000000" w:themeColor="text1"/>
          <w:lang w:eastAsia="zh-HK"/>
        </w:rPr>
        <w:t>verexcitabilit</w:t>
      </w:r>
      <w:r w:rsidR="00062DB8" w:rsidRPr="00E8281A">
        <w:rPr>
          <w:b/>
          <w:color w:val="000000" w:themeColor="text1"/>
          <w:lang w:eastAsia="zh-HK"/>
        </w:rPr>
        <w:t>ies</w:t>
      </w:r>
      <w:r w:rsidR="00A75C69" w:rsidRPr="00E8281A">
        <w:rPr>
          <w:b/>
          <w:color w:val="000000" w:themeColor="text1"/>
          <w:lang w:eastAsia="zh-HK"/>
        </w:rPr>
        <w:t xml:space="preserve"> </w:t>
      </w:r>
      <w:r w:rsidRPr="00E8281A">
        <w:rPr>
          <w:b/>
          <w:color w:val="000000" w:themeColor="text1"/>
          <w:lang w:eastAsia="zh-HK"/>
        </w:rPr>
        <w:t xml:space="preserve">as the Antecedents of Playfulness </w:t>
      </w:r>
      <w:r w:rsidR="00A75C69" w:rsidRPr="00E8281A">
        <w:rPr>
          <w:b/>
          <w:color w:val="000000" w:themeColor="text1"/>
          <w:lang w:eastAsia="zh-HK"/>
        </w:rPr>
        <w:t xml:space="preserve">and </w:t>
      </w:r>
      <w:r w:rsidRPr="00E8281A">
        <w:rPr>
          <w:b/>
          <w:color w:val="000000" w:themeColor="text1"/>
          <w:lang w:eastAsia="zh-HK"/>
        </w:rPr>
        <w:t>C</w:t>
      </w:r>
      <w:r w:rsidR="00062DB8" w:rsidRPr="00E8281A">
        <w:rPr>
          <w:b/>
          <w:color w:val="000000" w:themeColor="text1"/>
          <w:lang w:eastAsia="zh-HK"/>
        </w:rPr>
        <w:t xml:space="preserve">reative </w:t>
      </w:r>
      <w:r w:rsidRPr="00E8281A">
        <w:rPr>
          <w:b/>
          <w:color w:val="000000" w:themeColor="text1"/>
          <w:lang w:eastAsia="zh-HK"/>
        </w:rPr>
        <w:t>P</w:t>
      </w:r>
      <w:r w:rsidR="00062DB8" w:rsidRPr="00E8281A">
        <w:rPr>
          <w:b/>
          <w:color w:val="000000" w:themeColor="text1"/>
          <w:lang w:eastAsia="zh-HK"/>
        </w:rPr>
        <w:t>otential</w:t>
      </w:r>
    </w:p>
    <w:p w14:paraId="5A6A7B18" w14:textId="4D5238A0" w:rsidR="0094641C" w:rsidRPr="00E8281A" w:rsidRDefault="00D0790F" w:rsidP="00B43FD9">
      <w:pPr>
        <w:spacing w:line="480" w:lineRule="auto"/>
        <w:ind w:firstLine="480"/>
        <w:rPr>
          <w:color w:val="000000" w:themeColor="text1"/>
          <w:lang w:eastAsia="zh-HK"/>
        </w:rPr>
      </w:pPr>
      <w:r w:rsidRPr="00E8281A">
        <w:rPr>
          <w:color w:val="000000" w:themeColor="text1"/>
          <w:lang w:eastAsia="zh-HK"/>
        </w:rPr>
        <w:t>As expected, children</w:t>
      </w:r>
      <w:r w:rsidR="00062DB8" w:rsidRPr="00E8281A">
        <w:rPr>
          <w:color w:val="000000" w:themeColor="text1"/>
          <w:lang w:eastAsia="zh-HK"/>
        </w:rPr>
        <w:t xml:space="preserve">’s intellectual overexcitability </w:t>
      </w:r>
      <w:r w:rsidR="002A250E" w:rsidRPr="00E8281A">
        <w:rPr>
          <w:color w:val="000000" w:themeColor="text1"/>
          <w:lang w:eastAsia="zh-HK"/>
        </w:rPr>
        <w:t xml:space="preserve">was positively </w:t>
      </w:r>
      <w:r w:rsidR="00B2073F" w:rsidRPr="00E8281A">
        <w:rPr>
          <w:color w:val="000000" w:themeColor="text1"/>
          <w:lang w:eastAsia="zh-HK"/>
        </w:rPr>
        <w:t xml:space="preserve">related to their playfulness in the </w:t>
      </w:r>
      <w:r w:rsidR="005E6C3C" w:rsidRPr="00E8281A">
        <w:rPr>
          <w:color w:val="000000" w:themeColor="text1"/>
          <w:lang w:eastAsia="zh-HK"/>
        </w:rPr>
        <w:t>cross-lagged</w:t>
      </w:r>
      <w:r w:rsidR="00B2073F" w:rsidRPr="00E8281A">
        <w:rPr>
          <w:color w:val="000000" w:themeColor="text1"/>
          <w:lang w:eastAsia="zh-HK"/>
        </w:rPr>
        <w:t xml:space="preserve"> model but not </w:t>
      </w:r>
      <w:r w:rsidR="009134E0" w:rsidRPr="00E8281A">
        <w:rPr>
          <w:color w:val="000000" w:themeColor="text1"/>
          <w:lang w:eastAsia="zh-HK"/>
        </w:rPr>
        <w:t xml:space="preserve">their </w:t>
      </w:r>
      <w:r w:rsidR="001B697E" w:rsidRPr="00E8281A">
        <w:rPr>
          <w:color w:val="000000" w:themeColor="text1"/>
          <w:lang w:eastAsia="zh-HK"/>
        </w:rPr>
        <w:t xml:space="preserve">concurrent </w:t>
      </w:r>
      <w:r w:rsidR="00B2073F" w:rsidRPr="00E8281A">
        <w:rPr>
          <w:color w:val="000000" w:themeColor="text1"/>
          <w:lang w:eastAsia="zh-HK"/>
        </w:rPr>
        <w:t>creative potential</w:t>
      </w:r>
      <w:r w:rsidR="00062DB8" w:rsidRPr="00E8281A">
        <w:rPr>
          <w:color w:val="000000" w:themeColor="text1"/>
          <w:lang w:eastAsia="zh-HK"/>
        </w:rPr>
        <w:t xml:space="preserve">. </w:t>
      </w:r>
      <w:r w:rsidR="009134E0" w:rsidRPr="00E8281A">
        <w:rPr>
          <w:color w:val="000000" w:themeColor="text1"/>
          <w:lang w:eastAsia="zh-HK"/>
        </w:rPr>
        <w:t xml:space="preserve">Although psychomotor overexcitability </w:t>
      </w:r>
      <w:r w:rsidR="00340715">
        <w:rPr>
          <w:color w:val="000000" w:themeColor="text1"/>
          <w:lang w:eastAsia="zh-HK"/>
        </w:rPr>
        <w:t xml:space="preserve">was </w:t>
      </w:r>
      <w:r w:rsidR="00934283" w:rsidRPr="00E8281A">
        <w:rPr>
          <w:color w:val="000000" w:themeColor="text1"/>
          <w:lang w:eastAsia="zh-HK"/>
        </w:rPr>
        <w:t>significantly correlated with</w:t>
      </w:r>
      <w:r w:rsidR="009134E0" w:rsidRPr="00E8281A">
        <w:rPr>
          <w:color w:val="000000" w:themeColor="text1"/>
          <w:lang w:eastAsia="zh-HK"/>
        </w:rPr>
        <w:t xml:space="preserve"> children</w:t>
      </w:r>
      <w:r w:rsidR="006D41AD" w:rsidRPr="00E8281A">
        <w:rPr>
          <w:color w:val="000000" w:themeColor="text1"/>
          <w:lang w:eastAsia="zh-HK"/>
        </w:rPr>
        <w:t>’s</w:t>
      </w:r>
      <w:r w:rsidR="009134E0" w:rsidRPr="00E8281A">
        <w:rPr>
          <w:color w:val="000000" w:themeColor="text1"/>
          <w:lang w:eastAsia="zh-HK"/>
        </w:rPr>
        <w:t xml:space="preserve"> playfulness and creative potential (Table 1), its </w:t>
      </w:r>
      <w:r w:rsidR="00934283" w:rsidRPr="00E8281A">
        <w:rPr>
          <w:color w:val="000000" w:themeColor="text1"/>
          <w:lang w:eastAsia="zh-HK"/>
        </w:rPr>
        <w:t>relationship</w:t>
      </w:r>
      <w:r w:rsidR="005B1FBA" w:rsidRPr="00E8281A">
        <w:rPr>
          <w:color w:val="000000" w:themeColor="text1"/>
          <w:lang w:eastAsia="zh-HK"/>
        </w:rPr>
        <w:t>s</w:t>
      </w:r>
      <w:r w:rsidR="009134E0" w:rsidRPr="00E8281A">
        <w:rPr>
          <w:color w:val="000000" w:themeColor="text1"/>
          <w:lang w:eastAsia="zh-HK"/>
        </w:rPr>
        <w:t xml:space="preserve"> with </w:t>
      </w:r>
      <w:r w:rsidR="005B1FBA" w:rsidRPr="00E8281A">
        <w:rPr>
          <w:color w:val="000000" w:themeColor="text1"/>
          <w:lang w:eastAsia="zh-HK"/>
        </w:rPr>
        <w:t>playfulness and creative potential</w:t>
      </w:r>
      <w:r w:rsidR="009134E0" w:rsidRPr="00E8281A">
        <w:rPr>
          <w:color w:val="000000" w:themeColor="text1"/>
          <w:lang w:eastAsia="zh-HK"/>
        </w:rPr>
        <w:t xml:space="preserve"> were nonsignificant in the </w:t>
      </w:r>
      <w:r w:rsidR="005E6C3C" w:rsidRPr="00E8281A">
        <w:rPr>
          <w:color w:val="000000" w:themeColor="text1"/>
          <w:lang w:eastAsia="zh-HK"/>
        </w:rPr>
        <w:t>cross-lagged</w:t>
      </w:r>
      <w:r w:rsidR="009134E0" w:rsidRPr="00E8281A">
        <w:rPr>
          <w:color w:val="000000" w:themeColor="text1"/>
          <w:lang w:eastAsia="zh-HK"/>
        </w:rPr>
        <w:t xml:space="preserve"> model. </w:t>
      </w:r>
      <w:r w:rsidR="003B4149" w:rsidRPr="00E8281A">
        <w:rPr>
          <w:color w:val="000000" w:themeColor="text1"/>
          <w:lang w:eastAsia="zh-HK"/>
        </w:rPr>
        <w:t>T</w:t>
      </w:r>
      <w:r w:rsidR="009134E0" w:rsidRPr="00E8281A">
        <w:rPr>
          <w:color w:val="000000" w:themeColor="text1"/>
          <w:lang w:eastAsia="zh-HK"/>
        </w:rPr>
        <w:t xml:space="preserve">he association between intellectual overexcitability </w:t>
      </w:r>
      <w:r w:rsidR="00B2207E" w:rsidRPr="00E8281A">
        <w:rPr>
          <w:color w:val="000000" w:themeColor="text1"/>
          <w:lang w:eastAsia="zh-HK"/>
        </w:rPr>
        <w:t xml:space="preserve">at Time 1 </w:t>
      </w:r>
      <w:r w:rsidR="009134E0" w:rsidRPr="00E8281A">
        <w:rPr>
          <w:color w:val="000000" w:themeColor="text1"/>
          <w:lang w:eastAsia="zh-HK"/>
        </w:rPr>
        <w:t xml:space="preserve">and creative potential </w:t>
      </w:r>
      <w:r w:rsidR="00B2207E" w:rsidRPr="00E8281A">
        <w:rPr>
          <w:color w:val="000000" w:themeColor="text1"/>
          <w:lang w:eastAsia="zh-HK"/>
        </w:rPr>
        <w:t xml:space="preserve">at Time 2 </w:t>
      </w:r>
      <w:r w:rsidR="009134E0" w:rsidRPr="00E8281A">
        <w:rPr>
          <w:color w:val="000000" w:themeColor="text1"/>
          <w:lang w:eastAsia="zh-HK"/>
        </w:rPr>
        <w:t xml:space="preserve">was mediated through </w:t>
      </w:r>
      <w:r w:rsidR="00B2207E" w:rsidRPr="00E8281A">
        <w:rPr>
          <w:color w:val="000000" w:themeColor="text1"/>
          <w:lang w:eastAsia="zh-HK"/>
        </w:rPr>
        <w:t>playfulness at Time 1.</w:t>
      </w:r>
      <w:r w:rsidR="00934283" w:rsidRPr="00E8281A">
        <w:rPr>
          <w:color w:val="000000" w:themeColor="text1"/>
          <w:lang w:eastAsia="zh-HK"/>
        </w:rPr>
        <w:t xml:space="preserve"> </w:t>
      </w:r>
      <w:r w:rsidR="005B1FBA" w:rsidRPr="00E8281A">
        <w:rPr>
          <w:color w:val="000000" w:themeColor="text1"/>
          <w:lang w:eastAsia="zh-HK"/>
        </w:rPr>
        <w:t>T</w:t>
      </w:r>
      <w:r w:rsidR="00B2207E" w:rsidRPr="00E8281A">
        <w:rPr>
          <w:color w:val="000000" w:themeColor="text1"/>
          <w:lang w:eastAsia="zh-HK"/>
        </w:rPr>
        <w:t xml:space="preserve">his pattern of relationships </w:t>
      </w:r>
      <w:r w:rsidR="00E61DA4" w:rsidRPr="00E8281A">
        <w:rPr>
          <w:color w:val="000000" w:themeColor="text1"/>
          <w:lang w:eastAsia="zh-HK"/>
        </w:rPr>
        <w:t>highlights</w:t>
      </w:r>
      <w:r w:rsidR="001B697E" w:rsidRPr="00E8281A">
        <w:rPr>
          <w:color w:val="000000" w:themeColor="text1"/>
          <w:lang w:eastAsia="zh-HK"/>
        </w:rPr>
        <w:t xml:space="preserve"> that overexcitabilities may predispose </w:t>
      </w:r>
      <w:r w:rsidR="00E61DA4" w:rsidRPr="00E8281A">
        <w:rPr>
          <w:color w:val="000000" w:themeColor="text1"/>
          <w:lang w:eastAsia="zh-HK"/>
        </w:rPr>
        <w:t xml:space="preserve">children </w:t>
      </w:r>
      <w:r w:rsidR="001B697E" w:rsidRPr="00E8281A">
        <w:rPr>
          <w:color w:val="000000" w:themeColor="text1"/>
          <w:lang w:eastAsia="zh-HK"/>
        </w:rPr>
        <w:t xml:space="preserve">to a </w:t>
      </w:r>
      <w:r w:rsidR="00934283" w:rsidRPr="00E8281A">
        <w:rPr>
          <w:color w:val="000000" w:themeColor="text1"/>
          <w:lang w:eastAsia="zh-HK"/>
        </w:rPr>
        <w:t>specific</w:t>
      </w:r>
      <w:r w:rsidR="001B697E" w:rsidRPr="00E8281A">
        <w:rPr>
          <w:color w:val="000000" w:themeColor="text1"/>
          <w:lang w:eastAsia="zh-HK"/>
        </w:rPr>
        <w:t xml:space="preserve"> daily experience and, in turn, shape their creative potential. </w:t>
      </w:r>
      <w:r w:rsidR="00934283" w:rsidRPr="00E8281A">
        <w:rPr>
          <w:color w:val="000000" w:themeColor="text1"/>
          <w:lang w:eastAsia="zh-HK"/>
        </w:rPr>
        <w:t>With</w:t>
      </w:r>
      <w:r w:rsidR="001B697E" w:rsidRPr="00E8281A">
        <w:rPr>
          <w:color w:val="000000" w:themeColor="text1"/>
          <w:lang w:eastAsia="zh-HK"/>
        </w:rPr>
        <w:t xml:space="preserve"> recent </w:t>
      </w:r>
      <w:r w:rsidR="001B697E" w:rsidRPr="00E8281A">
        <w:rPr>
          <w:color w:val="000000" w:themeColor="text1"/>
          <w:lang w:eastAsia="zh-HK"/>
        </w:rPr>
        <w:lastRenderedPageBreak/>
        <w:t xml:space="preserve">evidence </w:t>
      </w:r>
      <w:r w:rsidR="00360922" w:rsidRPr="00E8281A">
        <w:rPr>
          <w:color w:val="000000" w:themeColor="text1"/>
          <w:lang w:eastAsia="zh-HK"/>
        </w:rPr>
        <w:t xml:space="preserve">demonstrating the nonsignificant direct link between overexcitabilities and creative potential </w:t>
      </w:r>
      <w:r w:rsidR="001B697E" w:rsidRPr="00E8281A">
        <w:rPr>
          <w:color w:val="000000" w:themeColor="text1"/>
          <w:lang w:eastAsia="zh-HK"/>
        </w:rPr>
        <w:t>(Fung &amp; Chung, 2022</w:t>
      </w:r>
      <w:r w:rsidR="002533ED" w:rsidRPr="00E8281A">
        <w:rPr>
          <w:color w:val="000000" w:themeColor="text1"/>
          <w:lang w:eastAsia="zh-HK"/>
        </w:rPr>
        <w:t>a</w:t>
      </w:r>
      <w:r w:rsidR="001B697E" w:rsidRPr="00E8281A">
        <w:rPr>
          <w:color w:val="000000" w:themeColor="text1"/>
          <w:lang w:eastAsia="zh-HK"/>
        </w:rPr>
        <w:t>; Fung et al., 2021),</w:t>
      </w:r>
      <w:r w:rsidR="00B2207E" w:rsidRPr="00E8281A">
        <w:rPr>
          <w:color w:val="000000" w:themeColor="text1"/>
          <w:lang w:eastAsia="zh-HK"/>
        </w:rPr>
        <w:t xml:space="preserve"> playfulness may be the underlying process accounting for the</w:t>
      </w:r>
      <w:r w:rsidR="00360922" w:rsidRPr="00E8281A">
        <w:rPr>
          <w:color w:val="000000" w:themeColor="text1"/>
          <w:lang w:eastAsia="zh-HK"/>
        </w:rPr>
        <w:t xml:space="preserve">ir indirect </w:t>
      </w:r>
      <w:r w:rsidR="00B2207E" w:rsidRPr="00E8281A">
        <w:rPr>
          <w:color w:val="000000" w:themeColor="text1"/>
          <w:lang w:eastAsia="zh-HK"/>
        </w:rPr>
        <w:t xml:space="preserve">relationship. </w:t>
      </w:r>
      <w:r w:rsidR="00D37706" w:rsidRPr="00E8281A">
        <w:rPr>
          <w:color w:val="000000" w:themeColor="text1"/>
          <w:lang w:eastAsia="zh-HK"/>
        </w:rPr>
        <w:t xml:space="preserve">In the </w:t>
      </w:r>
      <w:r w:rsidR="006A2D22" w:rsidRPr="00E8281A">
        <w:rPr>
          <w:color w:val="000000" w:themeColor="text1"/>
          <w:lang w:eastAsia="zh-HK"/>
        </w:rPr>
        <w:t>cross-lagged</w:t>
      </w:r>
      <w:r w:rsidR="00D37706" w:rsidRPr="00E8281A">
        <w:rPr>
          <w:color w:val="000000" w:themeColor="text1"/>
          <w:lang w:eastAsia="zh-HK"/>
        </w:rPr>
        <w:t xml:space="preserve"> model, playfulness was </w:t>
      </w:r>
      <w:r w:rsidR="003B4149" w:rsidRPr="00E8281A">
        <w:rPr>
          <w:color w:val="000000" w:themeColor="text1"/>
          <w:lang w:eastAsia="zh-HK"/>
        </w:rPr>
        <w:t>represented</w:t>
      </w:r>
      <w:r w:rsidR="00D37706" w:rsidRPr="00E8281A">
        <w:rPr>
          <w:color w:val="000000" w:themeColor="text1"/>
          <w:lang w:eastAsia="zh-HK"/>
        </w:rPr>
        <w:t xml:space="preserve"> by children’s social and cognitive spontaneity. </w:t>
      </w:r>
      <w:bookmarkStart w:id="42" w:name="_Hlk136607224"/>
      <w:r w:rsidR="00D37706" w:rsidRPr="00E8281A">
        <w:rPr>
          <w:color w:val="000000" w:themeColor="text1"/>
          <w:lang w:eastAsia="zh-HK"/>
        </w:rPr>
        <w:t>Therefore</w:t>
      </w:r>
      <w:r w:rsidR="00B0663D" w:rsidRPr="00E8281A">
        <w:rPr>
          <w:color w:val="000000" w:themeColor="text1"/>
          <w:lang w:eastAsia="zh-HK"/>
        </w:rPr>
        <w:t xml:space="preserve">, it is possible that children </w:t>
      </w:r>
      <w:r w:rsidR="00C45DCD">
        <w:rPr>
          <w:color w:val="000000" w:themeColor="text1"/>
          <w:lang w:eastAsia="zh-HK"/>
        </w:rPr>
        <w:t xml:space="preserve">who were </w:t>
      </w:r>
      <w:r w:rsidR="003A3876" w:rsidRPr="00E8281A">
        <w:rPr>
          <w:color w:val="000000" w:themeColor="text1"/>
          <w:lang w:eastAsia="zh-HK"/>
        </w:rPr>
        <w:t>overexcited to</w:t>
      </w:r>
      <w:r w:rsidR="00B0663D" w:rsidRPr="00E8281A">
        <w:rPr>
          <w:color w:val="000000" w:themeColor="text1"/>
          <w:lang w:eastAsia="zh-HK"/>
        </w:rPr>
        <w:t xml:space="preserve"> </w:t>
      </w:r>
      <w:r w:rsidR="007C392E" w:rsidRPr="00E8281A">
        <w:rPr>
          <w:color w:val="000000" w:themeColor="text1"/>
          <w:lang w:eastAsia="zh-HK"/>
        </w:rPr>
        <w:t>mental manipulation of concepts and ideas</w:t>
      </w:r>
      <w:r w:rsidR="003A3876" w:rsidRPr="00E8281A">
        <w:rPr>
          <w:color w:val="000000" w:themeColor="text1"/>
          <w:lang w:eastAsia="zh-HK"/>
        </w:rPr>
        <w:t xml:space="preserve"> were </w:t>
      </w:r>
      <w:r w:rsidR="003B4149" w:rsidRPr="00E8281A">
        <w:rPr>
          <w:color w:val="000000" w:themeColor="text1"/>
          <w:lang w:eastAsia="zh-HK"/>
        </w:rPr>
        <w:t>participating</w:t>
      </w:r>
      <w:r w:rsidR="003A3876" w:rsidRPr="00E8281A">
        <w:rPr>
          <w:color w:val="000000" w:themeColor="text1"/>
          <w:lang w:eastAsia="zh-HK"/>
        </w:rPr>
        <w:t xml:space="preserve"> in higher levels of </w:t>
      </w:r>
      <w:r w:rsidR="003B4149" w:rsidRPr="00E8281A">
        <w:rPr>
          <w:color w:val="000000" w:themeColor="text1"/>
          <w:lang w:eastAsia="zh-HK"/>
        </w:rPr>
        <w:t>kindergarten sociodramatic play</w:t>
      </w:r>
      <w:r w:rsidR="009C112B" w:rsidRPr="00E8281A">
        <w:rPr>
          <w:color w:val="000000" w:themeColor="text1"/>
          <w:lang w:eastAsia="zh-HK"/>
        </w:rPr>
        <w:t xml:space="preserve"> (Fung &amp; Chung, 2022a)</w:t>
      </w:r>
      <w:r w:rsidR="003B4149" w:rsidRPr="00E8281A">
        <w:rPr>
          <w:color w:val="000000" w:themeColor="text1"/>
          <w:lang w:eastAsia="zh-HK"/>
        </w:rPr>
        <w:t xml:space="preserve">, which </w:t>
      </w:r>
      <w:r w:rsidR="003B4149" w:rsidRPr="00477D0C">
        <w:rPr>
          <w:color w:val="00B0F0"/>
          <w:lang w:eastAsia="zh-HK"/>
        </w:rPr>
        <w:t>involve</w:t>
      </w:r>
      <w:r w:rsidR="00477D0C" w:rsidRPr="00477D0C">
        <w:rPr>
          <w:color w:val="00B0F0"/>
          <w:lang w:eastAsia="zh-HK"/>
        </w:rPr>
        <w:t>d</w:t>
      </w:r>
      <w:r w:rsidR="003B4149" w:rsidRPr="00477D0C">
        <w:rPr>
          <w:color w:val="00B0F0"/>
          <w:lang w:eastAsia="zh-HK"/>
        </w:rPr>
        <w:t xml:space="preserve"> </w:t>
      </w:r>
      <w:r w:rsidR="003B4149" w:rsidRPr="00E8281A">
        <w:rPr>
          <w:color w:val="000000" w:themeColor="text1"/>
          <w:lang w:eastAsia="zh-HK"/>
        </w:rPr>
        <w:t xml:space="preserve">effective communication </w:t>
      </w:r>
      <w:r w:rsidR="001B697E" w:rsidRPr="00E8281A">
        <w:rPr>
          <w:color w:val="000000" w:themeColor="text1"/>
          <w:lang w:eastAsia="zh-HK"/>
        </w:rPr>
        <w:t xml:space="preserve">and collaboration with </w:t>
      </w:r>
      <w:r w:rsidR="003B4149" w:rsidRPr="00E8281A">
        <w:rPr>
          <w:color w:val="000000" w:themeColor="text1"/>
          <w:lang w:eastAsia="zh-HK"/>
        </w:rPr>
        <w:t>peers (</w:t>
      </w:r>
      <w:r w:rsidR="00E61DA4" w:rsidRPr="00E8281A">
        <w:rPr>
          <w:color w:val="000000" w:themeColor="text1"/>
          <w:lang w:eastAsia="zh-HK"/>
        </w:rPr>
        <w:t xml:space="preserve">as reflected by </w:t>
      </w:r>
      <w:r w:rsidR="003B4149" w:rsidRPr="00E8281A">
        <w:rPr>
          <w:color w:val="000000" w:themeColor="text1"/>
          <w:lang w:eastAsia="zh-HK"/>
        </w:rPr>
        <w:t xml:space="preserve">social spontaneity) as well as </w:t>
      </w:r>
      <w:r w:rsidR="00934283" w:rsidRPr="00E8281A">
        <w:rPr>
          <w:color w:val="000000" w:themeColor="text1"/>
          <w:lang w:eastAsia="zh-HK"/>
        </w:rPr>
        <w:t xml:space="preserve">the </w:t>
      </w:r>
      <w:r w:rsidR="00FB311D" w:rsidRPr="00E8281A">
        <w:rPr>
          <w:color w:val="000000" w:themeColor="text1"/>
          <w:lang w:eastAsia="zh-HK"/>
        </w:rPr>
        <w:t>contribution of imaginative and original play ideas (</w:t>
      </w:r>
      <w:r w:rsidR="00E61DA4" w:rsidRPr="00E8281A">
        <w:rPr>
          <w:color w:val="000000" w:themeColor="text1"/>
          <w:lang w:eastAsia="zh-HK"/>
        </w:rPr>
        <w:t xml:space="preserve">as reflected by </w:t>
      </w:r>
      <w:r w:rsidR="00FB311D" w:rsidRPr="00E8281A">
        <w:rPr>
          <w:color w:val="000000" w:themeColor="text1"/>
          <w:lang w:eastAsia="zh-HK"/>
        </w:rPr>
        <w:t>cognitive spontaneity).</w:t>
      </w:r>
      <w:bookmarkEnd w:id="42"/>
      <w:r w:rsidR="00FB311D" w:rsidRPr="00E8281A">
        <w:rPr>
          <w:color w:val="000000" w:themeColor="text1"/>
          <w:lang w:eastAsia="zh-HK"/>
        </w:rPr>
        <w:t xml:space="preserve"> Sociodramatic play is a mature play type (Bodrova &amp; Leong, 2018) that requires the activation of symbolic representation and broad association</w:t>
      </w:r>
      <w:r w:rsidR="00D331FE" w:rsidRPr="00E8281A">
        <w:rPr>
          <w:color w:val="000000" w:themeColor="text1"/>
          <w:lang w:eastAsia="zh-HK"/>
        </w:rPr>
        <w:t>, while these cognitive processes are conducive to kindergarten children’s creative potential (Fung et al., 2021</w:t>
      </w:r>
      <w:r w:rsidR="00360922" w:rsidRPr="00E8281A">
        <w:rPr>
          <w:color w:val="000000" w:themeColor="text1"/>
          <w:lang w:eastAsia="zh-HK"/>
        </w:rPr>
        <w:t>; Russ, 2003; Russ &amp; Wallace, 2013</w:t>
      </w:r>
      <w:r w:rsidR="00D331FE" w:rsidRPr="00E8281A">
        <w:rPr>
          <w:color w:val="000000" w:themeColor="text1"/>
          <w:lang w:eastAsia="zh-HK"/>
        </w:rPr>
        <w:t xml:space="preserve">). </w:t>
      </w:r>
      <w:r w:rsidR="00E61DA4" w:rsidRPr="00E8281A">
        <w:rPr>
          <w:color w:val="000000" w:themeColor="text1"/>
          <w:lang w:eastAsia="zh-HK"/>
        </w:rPr>
        <w:t>In contrast, children’s psychomotor overexcitability and the corresponding aspect of playfulness (</w:t>
      </w:r>
      <w:r w:rsidR="00A544C3" w:rsidRPr="00E8281A">
        <w:rPr>
          <w:color w:val="000000" w:themeColor="text1"/>
          <w:lang w:eastAsia="zh-HK"/>
        </w:rPr>
        <w:t>e.g.,</w:t>
      </w:r>
      <w:r w:rsidR="00E61DA4" w:rsidRPr="00E8281A">
        <w:rPr>
          <w:color w:val="000000" w:themeColor="text1"/>
          <w:lang w:eastAsia="zh-HK"/>
        </w:rPr>
        <w:t xml:space="preserve"> physical spontaneity) may be less important in determining children’s engagement in sociodramatic play. </w:t>
      </w:r>
      <w:r w:rsidR="00D331FE" w:rsidRPr="00E8281A">
        <w:rPr>
          <w:color w:val="000000" w:themeColor="text1"/>
          <w:lang w:eastAsia="zh-HK"/>
        </w:rPr>
        <w:t>The present results further support</w:t>
      </w:r>
      <w:r w:rsidR="006A2D22" w:rsidRPr="00E8281A">
        <w:rPr>
          <w:color w:val="000000" w:themeColor="text1"/>
          <w:lang w:eastAsia="zh-HK"/>
        </w:rPr>
        <w:t>ed</w:t>
      </w:r>
      <w:r w:rsidR="00D331FE" w:rsidRPr="00E8281A">
        <w:rPr>
          <w:color w:val="000000" w:themeColor="text1"/>
          <w:lang w:eastAsia="zh-HK"/>
        </w:rPr>
        <w:t xml:space="preserve"> the contention that </w:t>
      </w:r>
      <w:r w:rsidR="0094641C" w:rsidRPr="00E8281A">
        <w:rPr>
          <w:color w:val="000000" w:themeColor="text1"/>
          <w:lang w:eastAsia="zh-HK"/>
        </w:rPr>
        <w:t xml:space="preserve">children’s </w:t>
      </w:r>
      <w:r w:rsidR="00D331FE" w:rsidRPr="00E8281A">
        <w:rPr>
          <w:color w:val="000000" w:themeColor="text1"/>
          <w:lang w:eastAsia="zh-HK"/>
        </w:rPr>
        <w:t>playfulness</w:t>
      </w:r>
      <w:r w:rsidR="00E61DA4" w:rsidRPr="00E8281A">
        <w:rPr>
          <w:color w:val="000000" w:themeColor="text1"/>
          <w:lang w:eastAsia="zh-HK"/>
        </w:rPr>
        <w:t>, particularly their social and cognitive spontaneity,</w:t>
      </w:r>
      <w:r w:rsidR="00D331FE" w:rsidRPr="00E8281A">
        <w:rPr>
          <w:color w:val="000000" w:themeColor="text1"/>
          <w:lang w:eastAsia="zh-HK"/>
        </w:rPr>
        <w:t xml:space="preserve"> </w:t>
      </w:r>
      <w:r w:rsidR="00E61DA4" w:rsidRPr="00E8281A">
        <w:rPr>
          <w:color w:val="000000" w:themeColor="text1"/>
          <w:lang w:eastAsia="zh-HK"/>
        </w:rPr>
        <w:t xml:space="preserve">can </w:t>
      </w:r>
      <w:r w:rsidR="00934283" w:rsidRPr="00E8281A">
        <w:rPr>
          <w:color w:val="000000" w:themeColor="text1"/>
          <w:lang w:eastAsia="zh-HK"/>
        </w:rPr>
        <w:t>mediate</w:t>
      </w:r>
      <w:r w:rsidR="0094641C" w:rsidRPr="00E8281A">
        <w:rPr>
          <w:color w:val="000000" w:themeColor="text1"/>
          <w:lang w:eastAsia="zh-HK"/>
        </w:rPr>
        <w:t xml:space="preserve"> the </w:t>
      </w:r>
      <w:r w:rsidR="00A544C3" w:rsidRPr="00E8281A">
        <w:rPr>
          <w:color w:val="000000" w:themeColor="text1"/>
          <w:lang w:eastAsia="zh-HK"/>
        </w:rPr>
        <w:t>predictive link between</w:t>
      </w:r>
      <w:r w:rsidR="0094641C" w:rsidRPr="00E8281A">
        <w:rPr>
          <w:color w:val="000000" w:themeColor="text1"/>
          <w:lang w:eastAsia="zh-HK"/>
        </w:rPr>
        <w:t xml:space="preserve"> overexcitabilities </w:t>
      </w:r>
      <w:r w:rsidR="00A544C3" w:rsidRPr="00E8281A">
        <w:rPr>
          <w:color w:val="000000" w:themeColor="text1"/>
          <w:lang w:eastAsia="zh-HK"/>
        </w:rPr>
        <w:t>and</w:t>
      </w:r>
      <w:r w:rsidR="0094641C" w:rsidRPr="00E8281A">
        <w:rPr>
          <w:color w:val="000000" w:themeColor="text1"/>
          <w:lang w:eastAsia="zh-HK"/>
        </w:rPr>
        <w:t xml:space="preserve"> creative potential.</w:t>
      </w:r>
      <w:r w:rsidR="00D331FE" w:rsidRPr="00E8281A">
        <w:rPr>
          <w:color w:val="000000" w:themeColor="text1"/>
          <w:lang w:eastAsia="zh-HK"/>
        </w:rPr>
        <w:t xml:space="preserve">  </w:t>
      </w:r>
    </w:p>
    <w:p w14:paraId="40EF9D7A" w14:textId="196D33C3" w:rsidR="00B2073F" w:rsidRPr="00E8281A" w:rsidRDefault="00B0663D" w:rsidP="000D5B57">
      <w:pPr>
        <w:spacing w:line="480" w:lineRule="auto"/>
        <w:ind w:firstLine="480"/>
        <w:rPr>
          <w:color w:val="000000" w:themeColor="text1"/>
          <w:lang w:eastAsia="zh-HK"/>
        </w:rPr>
      </w:pPr>
      <w:r w:rsidRPr="00E8281A">
        <w:rPr>
          <w:color w:val="000000" w:themeColor="text1"/>
          <w:lang w:eastAsia="zh-HK"/>
        </w:rPr>
        <w:t xml:space="preserve"> </w:t>
      </w:r>
      <w:r w:rsidR="00AF056B" w:rsidRPr="00E8281A">
        <w:rPr>
          <w:color w:val="000000" w:themeColor="text1"/>
          <w:lang w:eastAsia="zh-HK"/>
        </w:rPr>
        <w:t xml:space="preserve">Unexpectedly, </w:t>
      </w:r>
      <w:r w:rsidR="00967CB3" w:rsidRPr="00E8281A">
        <w:rPr>
          <w:color w:val="000000" w:themeColor="text1"/>
          <w:lang w:eastAsia="zh-HK"/>
        </w:rPr>
        <w:t>imaginational overexcitabilit</w:t>
      </w:r>
      <w:r w:rsidR="00270B48" w:rsidRPr="00E8281A">
        <w:rPr>
          <w:color w:val="000000" w:themeColor="text1"/>
          <w:lang w:eastAsia="zh-HK"/>
        </w:rPr>
        <w:t>y</w:t>
      </w:r>
      <w:r w:rsidR="00967CB3" w:rsidRPr="00E8281A">
        <w:rPr>
          <w:color w:val="000000" w:themeColor="text1"/>
          <w:lang w:eastAsia="zh-HK"/>
        </w:rPr>
        <w:t xml:space="preserve"> </w:t>
      </w:r>
      <w:r w:rsidR="002A250E" w:rsidRPr="00E8281A">
        <w:rPr>
          <w:color w:val="000000" w:themeColor="text1"/>
          <w:lang w:eastAsia="zh-HK"/>
        </w:rPr>
        <w:t xml:space="preserve">was </w:t>
      </w:r>
      <w:r w:rsidR="00AF056B" w:rsidRPr="00E8281A">
        <w:rPr>
          <w:color w:val="000000" w:themeColor="text1"/>
          <w:lang w:eastAsia="zh-HK"/>
        </w:rPr>
        <w:t>unrelated to playfulness and creative potential</w:t>
      </w:r>
      <w:r w:rsidR="00370606" w:rsidRPr="00E8281A">
        <w:rPr>
          <w:color w:val="000000" w:themeColor="text1"/>
          <w:lang w:eastAsia="zh-HK"/>
        </w:rPr>
        <w:t xml:space="preserve"> in the present findings</w:t>
      </w:r>
      <w:r w:rsidR="00967CB3" w:rsidRPr="00E8281A">
        <w:rPr>
          <w:color w:val="000000" w:themeColor="text1"/>
          <w:lang w:eastAsia="zh-HK"/>
        </w:rPr>
        <w:t>.</w:t>
      </w:r>
      <w:r w:rsidR="00D0790F" w:rsidRPr="00E8281A">
        <w:rPr>
          <w:color w:val="000000" w:themeColor="text1"/>
          <w:lang w:eastAsia="zh-HK"/>
        </w:rPr>
        <w:t xml:space="preserve"> </w:t>
      </w:r>
      <w:r w:rsidR="00A96773">
        <w:rPr>
          <w:color w:val="000000" w:themeColor="text1"/>
          <w:lang w:eastAsia="zh-HK"/>
        </w:rPr>
        <w:t xml:space="preserve">Although it has been suggested that </w:t>
      </w:r>
      <w:r w:rsidR="00AF056B" w:rsidRPr="00E8281A">
        <w:rPr>
          <w:color w:val="000000" w:themeColor="text1"/>
          <w:lang w:eastAsia="zh-HK"/>
        </w:rPr>
        <w:t xml:space="preserve">imaginational overexcitability </w:t>
      </w:r>
      <w:r w:rsidR="00A96773">
        <w:rPr>
          <w:color w:val="000000" w:themeColor="text1"/>
          <w:lang w:eastAsia="zh-HK"/>
        </w:rPr>
        <w:t xml:space="preserve">may </w:t>
      </w:r>
      <w:r w:rsidR="00C12264" w:rsidRPr="00E8281A">
        <w:rPr>
          <w:color w:val="000000" w:themeColor="text1"/>
          <w:lang w:eastAsia="zh-HK"/>
        </w:rPr>
        <w:t xml:space="preserve">be linked with </w:t>
      </w:r>
      <w:r w:rsidR="00AF056B" w:rsidRPr="00E8281A">
        <w:rPr>
          <w:color w:val="000000" w:themeColor="text1"/>
          <w:lang w:eastAsia="zh-HK"/>
        </w:rPr>
        <w:t xml:space="preserve">children’s imaginative pretense (Fung et al., 2021), </w:t>
      </w:r>
      <w:r w:rsidR="00C12264" w:rsidRPr="00E8281A">
        <w:rPr>
          <w:color w:val="000000" w:themeColor="text1"/>
          <w:lang w:eastAsia="zh-HK"/>
        </w:rPr>
        <w:t>its</w:t>
      </w:r>
      <w:r w:rsidR="00AF056B" w:rsidRPr="00E8281A">
        <w:rPr>
          <w:color w:val="000000" w:themeColor="text1"/>
          <w:lang w:eastAsia="zh-HK"/>
        </w:rPr>
        <w:t xml:space="preserve"> relationship may be readily observed in </w:t>
      </w:r>
      <w:r w:rsidR="00C12264" w:rsidRPr="00E8281A">
        <w:rPr>
          <w:color w:val="000000" w:themeColor="text1"/>
          <w:lang w:eastAsia="zh-HK"/>
        </w:rPr>
        <w:t>a home environment</w:t>
      </w:r>
      <w:r w:rsidR="00AF056B" w:rsidRPr="00E8281A">
        <w:rPr>
          <w:color w:val="000000" w:themeColor="text1"/>
          <w:lang w:eastAsia="zh-HK"/>
        </w:rPr>
        <w:t xml:space="preserve"> through solitary pretend play (Fung &amp; Chung, 2022</w:t>
      </w:r>
      <w:r w:rsidR="002533ED" w:rsidRPr="00E8281A">
        <w:rPr>
          <w:color w:val="000000" w:themeColor="text1"/>
          <w:lang w:eastAsia="zh-HK"/>
        </w:rPr>
        <w:t>a</w:t>
      </w:r>
      <w:r w:rsidR="00AF056B" w:rsidRPr="00E8281A">
        <w:rPr>
          <w:color w:val="000000" w:themeColor="text1"/>
          <w:lang w:eastAsia="zh-HK"/>
        </w:rPr>
        <w:t>). In kindergarten,</w:t>
      </w:r>
      <w:r w:rsidR="00B37495" w:rsidRPr="00E8281A">
        <w:rPr>
          <w:color w:val="000000" w:themeColor="text1"/>
          <w:lang w:eastAsia="zh-HK"/>
        </w:rPr>
        <w:t xml:space="preserve"> playmates and group play opportunities are more available. </w:t>
      </w:r>
      <w:r w:rsidR="00370606" w:rsidRPr="00E8281A">
        <w:rPr>
          <w:color w:val="000000" w:themeColor="text1"/>
          <w:lang w:eastAsia="zh-HK"/>
        </w:rPr>
        <w:t>T</w:t>
      </w:r>
      <w:r w:rsidR="00B37495" w:rsidRPr="00E8281A">
        <w:rPr>
          <w:color w:val="000000" w:themeColor="text1"/>
          <w:lang w:eastAsia="zh-HK"/>
        </w:rPr>
        <w:t xml:space="preserve">eachers may </w:t>
      </w:r>
      <w:r w:rsidR="00370606" w:rsidRPr="00E8281A">
        <w:rPr>
          <w:color w:val="000000" w:themeColor="text1"/>
          <w:lang w:eastAsia="zh-HK"/>
        </w:rPr>
        <w:t xml:space="preserve">also </w:t>
      </w:r>
      <w:r w:rsidR="00B37495" w:rsidRPr="00E8281A">
        <w:rPr>
          <w:color w:val="000000" w:themeColor="text1"/>
          <w:lang w:eastAsia="zh-HK"/>
        </w:rPr>
        <w:t xml:space="preserve">encourage and support children </w:t>
      </w:r>
      <w:r w:rsidR="00C12264" w:rsidRPr="00E8281A">
        <w:rPr>
          <w:color w:val="000000" w:themeColor="text1"/>
          <w:lang w:eastAsia="zh-HK"/>
        </w:rPr>
        <w:t>in group</w:t>
      </w:r>
      <w:r w:rsidR="00B37495" w:rsidRPr="00E8281A">
        <w:rPr>
          <w:color w:val="000000" w:themeColor="text1"/>
          <w:lang w:eastAsia="zh-HK"/>
        </w:rPr>
        <w:t xml:space="preserve"> activities such as sociodramatic play. </w:t>
      </w:r>
      <w:r w:rsidR="00370606" w:rsidRPr="00E8281A">
        <w:rPr>
          <w:color w:val="000000" w:themeColor="text1"/>
          <w:lang w:eastAsia="zh-HK"/>
        </w:rPr>
        <w:t xml:space="preserve">As sociodramatic play activities </w:t>
      </w:r>
      <w:r w:rsidR="00C12264" w:rsidRPr="00E8281A">
        <w:rPr>
          <w:color w:val="000000" w:themeColor="text1"/>
          <w:lang w:eastAsia="zh-HK"/>
        </w:rPr>
        <w:t>often resemble</w:t>
      </w:r>
      <w:r w:rsidR="00370606" w:rsidRPr="00E8281A">
        <w:rPr>
          <w:color w:val="000000" w:themeColor="text1"/>
          <w:lang w:eastAsia="zh-HK"/>
        </w:rPr>
        <w:t xml:space="preserve"> real-life situations (e.g., restaurant</w:t>
      </w:r>
      <w:r w:rsidR="00A96773">
        <w:rPr>
          <w:color w:val="000000" w:themeColor="text1"/>
          <w:lang w:eastAsia="zh-HK"/>
        </w:rPr>
        <w:t>s</w:t>
      </w:r>
      <w:r w:rsidR="00370606" w:rsidRPr="00E8281A">
        <w:rPr>
          <w:color w:val="000000" w:themeColor="text1"/>
          <w:lang w:eastAsia="zh-HK"/>
        </w:rPr>
        <w:t>, train station</w:t>
      </w:r>
      <w:r w:rsidR="00A96773">
        <w:rPr>
          <w:color w:val="000000" w:themeColor="text1"/>
          <w:lang w:eastAsia="zh-HK"/>
        </w:rPr>
        <w:t>s</w:t>
      </w:r>
      <w:r w:rsidR="00370606" w:rsidRPr="00E8281A">
        <w:rPr>
          <w:color w:val="000000" w:themeColor="text1"/>
          <w:lang w:eastAsia="zh-HK"/>
        </w:rPr>
        <w:t xml:space="preserve">, </w:t>
      </w:r>
      <w:r w:rsidR="003F4578" w:rsidRPr="00E8281A">
        <w:rPr>
          <w:color w:val="000000" w:themeColor="text1"/>
          <w:lang w:eastAsia="zh-HK"/>
        </w:rPr>
        <w:t>clinic</w:t>
      </w:r>
      <w:r w:rsidR="00A96773">
        <w:rPr>
          <w:color w:val="000000" w:themeColor="text1"/>
          <w:lang w:eastAsia="zh-HK"/>
        </w:rPr>
        <w:t>s</w:t>
      </w:r>
      <w:r w:rsidR="003F4578" w:rsidRPr="00E8281A">
        <w:rPr>
          <w:color w:val="000000" w:themeColor="text1"/>
          <w:lang w:eastAsia="zh-HK"/>
        </w:rPr>
        <w:t xml:space="preserve">), the level of imagination may be lower </w:t>
      </w:r>
      <w:r w:rsidR="00C12264" w:rsidRPr="00E8281A">
        <w:rPr>
          <w:color w:val="000000" w:themeColor="text1"/>
          <w:lang w:eastAsia="zh-HK"/>
        </w:rPr>
        <w:t xml:space="preserve">than </w:t>
      </w:r>
      <w:r w:rsidR="003F4578" w:rsidRPr="00E8281A">
        <w:rPr>
          <w:color w:val="000000" w:themeColor="text1"/>
          <w:lang w:eastAsia="zh-HK"/>
        </w:rPr>
        <w:t xml:space="preserve">solitary </w:t>
      </w:r>
      <w:r w:rsidR="003F4578" w:rsidRPr="00E8281A">
        <w:rPr>
          <w:color w:val="000000" w:themeColor="text1"/>
          <w:lang w:eastAsia="zh-HK"/>
        </w:rPr>
        <w:lastRenderedPageBreak/>
        <w:t xml:space="preserve">pretense. Therefore, intellectual overexcitability </w:t>
      </w:r>
      <w:r w:rsidR="00A544C3" w:rsidRPr="00E8281A">
        <w:rPr>
          <w:color w:val="000000" w:themeColor="text1"/>
          <w:lang w:eastAsia="zh-HK"/>
        </w:rPr>
        <w:t xml:space="preserve">might </w:t>
      </w:r>
      <w:r w:rsidR="000D5B57" w:rsidRPr="00E8281A">
        <w:rPr>
          <w:color w:val="000000" w:themeColor="text1"/>
          <w:lang w:eastAsia="zh-HK"/>
        </w:rPr>
        <w:t>emerge as a stronger correlate of children’s social and cognitive spontaneity in kindergarten than imaginational overexcitability.</w:t>
      </w:r>
    </w:p>
    <w:p w14:paraId="20CD2DF0" w14:textId="1E82146D" w:rsidR="00C225D9" w:rsidRPr="00E8281A" w:rsidRDefault="000D5B57" w:rsidP="00C225D9">
      <w:pPr>
        <w:spacing w:line="480" w:lineRule="auto"/>
        <w:rPr>
          <w:b/>
          <w:color w:val="000000" w:themeColor="text1"/>
          <w:lang w:eastAsia="zh-HK"/>
        </w:rPr>
      </w:pPr>
      <w:r w:rsidRPr="00E8281A">
        <w:rPr>
          <w:b/>
          <w:color w:val="000000" w:themeColor="text1"/>
          <w:lang w:eastAsia="zh-HK"/>
        </w:rPr>
        <w:t xml:space="preserve">Bidirectionality </w:t>
      </w:r>
      <w:r w:rsidR="00DA7701" w:rsidRPr="00E8281A">
        <w:rPr>
          <w:b/>
          <w:color w:val="000000" w:themeColor="text1"/>
          <w:lang w:eastAsia="zh-HK"/>
        </w:rPr>
        <w:t>Between</w:t>
      </w:r>
      <w:r w:rsidRPr="00E8281A">
        <w:rPr>
          <w:b/>
          <w:color w:val="000000" w:themeColor="text1"/>
          <w:lang w:eastAsia="zh-HK"/>
        </w:rPr>
        <w:t xml:space="preserve"> Playfulness and Creative Potential</w:t>
      </w:r>
    </w:p>
    <w:p w14:paraId="4957038D" w14:textId="4CC434A2" w:rsidR="00CA5D47" w:rsidRPr="00E8281A" w:rsidRDefault="006924C8" w:rsidP="00F039F6">
      <w:pPr>
        <w:spacing w:line="480" w:lineRule="auto"/>
        <w:ind w:firstLine="480"/>
        <w:rPr>
          <w:color w:val="000000" w:themeColor="text1"/>
          <w:lang w:eastAsia="zh-HK"/>
        </w:rPr>
      </w:pPr>
      <w:bookmarkStart w:id="43" w:name="_Hlk119054854"/>
      <w:bookmarkStart w:id="44" w:name="_Hlk118806905"/>
      <w:r w:rsidRPr="00E8281A">
        <w:rPr>
          <w:color w:val="000000" w:themeColor="text1"/>
          <w:lang w:eastAsia="zh-HK"/>
        </w:rPr>
        <w:t xml:space="preserve">Notably, the </w:t>
      </w:r>
      <w:r w:rsidR="00BC749F" w:rsidRPr="00E8281A">
        <w:rPr>
          <w:color w:val="000000" w:themeColor="text1"/>
          <w:lang w:eastAsia="zh-HK"/>
        </w:rPr>
        <w:t>path</w:t>
      </w:r>
      <w:r w:rsidR="000F28A5" w:rsidRPr="00E8281A">
        <w:rPr>
          <w:color w:val="000000" w:themeColor="text1"/>
          <w:lang w:eastAsia="zh-HK"/>
        </w:rPr>
        <w:t xml:space="preserve"> </w:t>
      </w:r>
      <w:r w:rsidR="00794FBC" w:rsidRPr="00E8281A">
        <w:rPr>
          <w:color w:val="000000" w:themeColor="text1"/>
          <w:lang w:eastAsia="zh-HK"/>
        </w:rPr>
        <w:t>model</w:t>
      </w:r>
      <w:r w:rsidRPr="00E8281A">
        <w:rPr>
          <w:color w:val="000000" w:themeColor="text1"/>
          <w:lang w:eastAsia="zh-HK"/>
        </w:rPr>
        <w:t xml:space="preserve"> </w:t>
      </w:r>
      <w:r w:rsidR="001B749A" w:rsidRPr="00E8281A">
        <w:rPr>
          <w:color w:val="000000" w:themeColor="text1"/>
          <w:lang w:eastAsia="zh-HK"/>
        </w:rPr>
        <w:t xml:space="preserve">(Figure </w:t>
      </w:r>
      <w:r w:rsidR="00794FBC" w:rsidRPr="00E8281A">
        <w:rPr>
          <w:color w:val="000000" w:themeColor="text1"/>
          <w:lang w:eastAsia="zh-HK"/>
        </w:rPr>
        <w:t>1</w:t>
      </w:r>
      <w:r w:rsidR="001B749A" w:rsidRPr="00E8281A">
        <w:rPr>
          <w:color w:val="000000" w:themeColor="text1"/>
          <w:lang w:eastAsia="zh-HK"/>
        </w:rPr>
        <w:t xml:space="preserve">) </w:t>
      </w:r>
      <w:r w:rsidR="00794FBC" w:rsidRPr="00E8281A">
        <w:rPr>
          <w:color w:val="000000" w:themeColor="text1"/>
          <w:lang w:eastAsia="zh-HK"/>
        </w:rPr>
        <w:t xml:space="preserve">revealed that </w:t>
      </w:r>
      <w:r w:rsidR="00C63F23" w:rsidRPr="00E8281A">
        <w:rPr>
          <w:color w:val="000000" w:themeColor="text1"/>
          <w:lang w:eastAsia="zh-HK"/>
        </w:rPr>
        <w:t xml:space="preserve">both cross-lagged </w:t>
      </w:r>
      <w:r w:rsidR="00BC749F" w:rsidRPr="00E8281A">
        <w:rPr>
          <w:color w:val="000000" w:themeColor="text1"/>
          <w:lang w:eastAsia="zh-HK"/>
        </w:rPr>
        <w:t>relationships</w:t>
      </w:r>
      <w:r w:rsidR="00C63F23" w:rsidRPr="00E8281A">
        <w:rPr>
          <w:color w:val="000000" w:themeColor="text1"/>
          <w:lang w:eastAsia="zh-HK"/>
        </w:rPr>
        <w:t xml:space="preserve"> were statistically significant, with their autoregressive effects controlled. </w:t>
      </w:r>
      <w:r w:rsidR="00DD1AFE" w:rsidRPr="00E8281A">
        <w:rPr>
          <w:color w:val="000000" w:themeColor="text1"/>
          <w:lang w:eastAsia="zh-HK"/>
        </w:rPr>
        <w:t xml:space="preserve">Within the kindergarten context, more playful children tended to </w:t>
      </w:r>
      <w:r w:rsidR="00D8173A" w:rsidRPr="00E8281A">
        <w:rPr>
          <w:color w:val="000000" w:themeColor="text1"/>
          <w:lang w:eastAsia="zh-HK"/>
        </w:rPr>
        <w:t>develop</w:t>
      </w:r>
      <w:r w:rsidR="00DD1AFE" w:rsidRPr="00E8281A">
        <w:rPr>
          <w:color w:val="000000" w:themeColor="text1"/>
          <w:lang w:eastAsia="zh-HK"/>
        </w:rPr>
        <w:t xml:space="preserve"> higher levels of creative potential. Similarly, children </w:t>
      </w:r>
      <w:r w:rsidR="00D8173A" w:rsidRPr="00E8281A">
        <w:rPr>
          <w:color w:val="000000" w:themeColor="text1"/>
          <w:lang w:eastAsia="zh-HK"/>
        </w:rPr>
        <w:t xml:space="preserve">who displayed higher creative potential were more likely to exhibit increased levels of playfulness. Taken together, these findings highlighted that kindergarten children’s playfulness and creative potential </w:t>
      </w:r>
      <w:r w:rsidR="00C12264" w:rsidRPr="00E8281A">
        <w:rPr>
          <w:color w:val="000000" w:themeColor="text1"/>
          <w:lang w:eastAsia="zh-HK"/>
        </w:rPr>
        <w:t>might</w:t>
      </w:r>
      <w:r w:rsidR="00D8173A" w:rsidRPr="00E8281A">
        <w:rPr>
          <w:color w:val="000000" w:themeColor="text1"/>
          <w:lang w:eastAsia="zh-HK"/>
        </w:rPr>
        <w:t xml:space="preserve"> predict each other over time. </w:t>
      </w:r>
      <w:r w:rsidR="002973E4" w:rsidRPr="00E8281A">
        <w:rPr>
          <w:color w:val="000000" w:themeColor="text1"/>
          <w:lang w:eastAsia="zh-HK"/>
        </w:rPr>
        <w:t xml:space="preserve">To </w:t>
      </w:r>
      <w:r w:rsidR="00DB0D02">
        <w:rPr>
          <w:color w:val="000000" w:themeColor="text1"/>
          <w:lang w:eastAsia="zh-HK"/>
        </w:rPr>
        <w:t>the</w:t>
      </w:r>
      <w:r w:rsidR="002973E4" w:rsidRPr="00E8281A">
        <w:rPr>
          <w:color w:val="000000" w:themeColor="text1"/>
          <w:lang w:eastAsia="zh-HK"/>
        </w:rPr>
        <w:t xml:space="preserve"> best </w:t>
      </w:r>
      <w:r w:rsidR="00DB0D02">
        <w:rPr>
          <w:color w:val="000000" w:themeColor="text1"/>
          <w:lang w:eastAsia="zh-HK"/>
        </w:rPr>
        <w:t xml:space="preserve">of our </w:t>
      </w:r>
      <w:r w:rsidR="002973E4" w:rsidRPr="00E8281A">
        <w:rPr>
          <w:color w:val="000000" w:themeColor="text1"/>
          <w:lang w:eastAsia="zh-HK"/>
        </w:rPr>
        <w:t xml:space="preserve">knowledge, this is the first evidence demonstrating the reciprocal relationship between kindergarten children’s playfulness and creative potential. </w:t>
      </w:r>
      <w:r w:rsidR="00D8173A" w:rsidRPr="00E8281A">
        <w:rPr>
          <w:color w:val="000000" w:themeColor="text1"/>
          <w:lang w:eastAsia="zh-HK"/>
        </w:rPr>
        <w:t xml:space="preserve">This pattern of </w:t>
      </w:r>
      <w:r w:rsidR="00340715">
        <w:rPr>
          <w:color w:val="000000" w:themeColor="text1"/>
          <w:lang w:eastAsia="zh-HK"/>
        </w:rPr>
        <w:t>co-development</w:t>
      </w:r>
      <w:r w:rsidR="00D8173A" w:rsidRPr="00E8281A">
        <w:rPr>
          <w:color w:val="000000" w:themeColor="text1"/>
          <w:lang w:eastAsia="zh-HK"/>
        </w:rPr>
        <w:t xml:space="preserve"> align</w:t>
      </w:r>
      <w:r w:rsidR="00844348">
        <w:rPr>
          <w:color w:val="000000" w:themeColor="text1"/>
          <w:lang w:eastAsia="zh-HK"/>
        </w:rPr>
        <w:t>s</w:t>
      </w:r>
      <w:r w:rsidR="00D8173A" w:rsidRPr="00E8281A">
        <w:rPr>
          <w:color w:val="000000" w:themeColor="text1"/>
          <w:lang w:eastAsia="zh-HK"/>
        </w:rPr>
        <w:t xml:space="preserve"> with the propositions that playfulness contributes to one’s creative potential </w:t>
      </w:r>
      <w:r w:rsidR="00DD19B9" w:rsidRPr="00E8281A">
        <w:rPr>
          <w:color w:val="000000" w:themeColor="text1"/>
          <w:lang w:eastAsia="zh-HK"/>
        </w:rPr>
        <w:t xml:space="preserve">(e.g., Bateson &amp; Nettle, 2014; Fung et al., 2021; Luria et al., 2018) </w:t>
      </w:r>
      <w:r w:rsidR="00D8173A" w:rsidRPr="00E8281A">
        <w:rPr>
          <w:color w:val="000000" w:themeColor="text1"/>
          <w:lang w:eastAsia="zh-HK"/>
        </w:rPr>
        <w:t xml:space="preserve">and </w:t>
      </w:r>
      <w:r w:rsidR="00DD19B9" w:rsidRPr="00E8281A">
        <w:rPr>
          <w:color w:val="000000" w:themeColor="text1"/>
          <w:lang w:eastAsia="zh-HK"/>
        </w:rPr>
        <w:t xml:space="preserve">that </w:t>
      </w:r>
      <w:r w:rsidR="0020437B" w:rsidRPr="00E8281A">
        <w:rPr>
          <w:color w:val="000000" w:themeColor="text1"/>
          <w:lang w:eastAsia="zh-HK"/>
        </w:rPr>
        <w:t xml:space="preserve">more creative people tend to express increased playfulness </w:t>
      </w:r>
      <w:r w:rsidR="00C36366" w:rsidRPr="00E8281A">
        <w:rPr>
          <w:color w:val="000000" w:themeColor="text1"/>
          <w:lang w:eastAsia="zh-HK"/>
        </w:rPr>
        <w:t xml:space="preserve">(Bateson, 2015). </w:t>
      </w:r>
    </w:p>
    <w:p w14:paraId="79B5B702" w14:textId="1B8D9D12" w:rsidR="0020437B" w:rsidRPr="00E8281A" w:rsidRDefault="003C2569" w:rsidP="00F039F6">
      <w:pPr>
        <w:spacing w:line="480" w:lineRule="auto"/>
        <w:ind w:firstLine="480"/>
        <w:rPr>
          <w:color w:val="000000" w:themeColor="text1"/>
          <w:lang w:eastAsia="zh-HK"/>
        </w:rPr>
      </w:pPr>
      <w:r>
        <w:rPr>
          <w:color w:val="000000" w:themeColor="text1"/>
          <w:lang w:eastAsia="zh-HK"/>
        </w:rPr>
        <w:t>Children with elevated playfulness levels were possibly</w:t>
      </w:r>
      <w:r w:rsidR="0066611B" w:rsidRPr="00E8281A">
        <w:rPr>
          <w:color w:val="000000" w:themeColor="text1"/>
          <w:lang w:eastAsia="zh-HK"/>
        </w:rPr>
        <w:t xml:space="preserve"> engaging</w:t>
      </w:r>
      <w:r w:rsidR="00C36366" w:rsidRPr="00E8281A">
        <w:rPr>
          <w:color w:val="000000" w:themeColor="text1"/>
          <w:lang w:eastAsia="zh-HK"/>
        </w:rPr>
        <w:t xml:space="preserve"> in more kindergarten sociodramatic play</w:t>
      </w:r>
      <w:r w:rsidR="00C12264" w:rsidRPr="00E8281A">
        <w:rPr>
          <w:color w:val="000000" w:themeColor="text1"/>
          <w:lang w:eastAsia="zh-HK"/>
        </w:rPr>
        <w:t>,</w:t>
      </w:r>
      <w:r w:rsidR="00C36366" w:rsidRPr="00E8281A">
        <w:rPr>
          <w:color w:val="000000" w:themeColor="text1"/>
          <w:lang w:eastAsia="zh-HK"/>
        </w:rPr>
        <w:t xml:space="preserve"> and </w:t>
      </w:r>
      <w:r w:rsidR="001C33DE" w:rsidRPr="00E8281A">
        <w:rPr>
          <w:color w:val="000000" w:themeColor="text1"/>
          <w:lang w:eastAsia="zh-HK"/>
        </w:rPr>
        <w:t>the cognitive processes promote</w:t>
      </w:r>
      <w:r w:rsidR="0066611B" w:rsidRPr="00E8281A">
        <w:rPr>
          <w:color w:val="000000" w:themeColor="text1"/>
          <w:lang w:eastAsia="zh-HK"/>
        </w:rPr>
        <w:t>d</w:t>
      </w:r>
      <w:r w:rsidR="00C36366" w:rsidRPr="00E8281A">
        <w:rPr>
          <w:color w:val="000000" w:themeColor="text1"/>
          <w:lang w:eastAsia="zh-HK"/>
        </w:rPr>
        <w:t xml:space="preserve"> their creative potential.</w:t>
      </w:r>
      <w:r w:rsidR="001C33DE" w:rsidRPr="00E8281A">
        <w:rPr>
          <w:color w:val="000000" w:themeColor="text1"/>
          <w:lang w:eastAsia="zh-HK"/>
        </w:rPr>
        <w:t xml:space="preserve"> </w:t>
      </w:r>
      <w:r w:rsidR="002973E4" w:rsidRPr="00FC1ABF">
        <w:rPr>
          <w:color w:val="00B0F0"/>
          <w:lang w:eastAsia="zh-HK"/>
        </w:rPr>
        <w:t>C</w:t>
      </w:r>
      <w:r w:rsidR="00C36366" w:rsidRPr="00FC1ABF">
        <w:rPr>
          <w:color w:val="00B0F0"/>
          <w:lang w:eastAsia="zh-HK"/>
        </w:rPr>
        <w:t>hildren</w:t>
      </w:r>
      <w:r w:rsidR="001C33DE" w:rsidRPr="00FC1ABF">
        <w:rPr>
          <w:color w:val="00B0F0"/>
          <w:lang w:eastAsia="zh-HK"/>
        </w:rPr>
        <w:t xml:space="preserve"> </w:t>
      </w:r>
      <w:r w:rsidR="00F039F6" w:rsidRPr="00FC1ABF">
        <w:rPr>
          <w:color w:val="00B0F0"/>
          <w:lang w:eastAsia="zh-HK"/>
        </w:rPr>
        <w:t>with high</w:t>
      </w:r>
      <w:r w:rsidR="002973E4" w:rsidRPr="00FC1ABF">
        <w:rPr>
          <w:color w:val="00B0F0"/>
          <w:lang w:eastAsia="zh-HK"/>
        </w:rPr>
        <w:t>er</w:t>
      </w:r>
      <w:r w:rsidR="00F039F6" w:rsidRPr="00FC1ABF">
        <w:rPr>
          <w:color w:val="00B0F0"/>
          <w:lang w:eastAsia="zh-HK"/>
        </w:rPr>
        <w:t xml:space="preserve"> creative potential </w:t>
      </w:r>
      <w:r w:rsidR="001C33DE" w:rsidRPr="00FC1ABF">
        <w:rPr>
          <w:color w:val="00B0F0"/>
          <w:lang w:eastAsia="zh-HK"/>
        </w:rPr>
        <w:t xml:space="preserve">were also likely to view the day-to-day group play activities as </w:t>
      </w:r>
      <w:r w:rsidR="00E23E9B">
        <w:rPr>
          <w:color w:val="00B0F0"/>
          <w:lang w:eastAsia="zh-HK"/>
        </w:rPr>
        <w:t xml:space="preserve">favorable </w:t>
      </w:r>
      <w:r w:rsidR="001C33DE" w:rsidRPr="00FC1ABF">
        <w:rPr>
          <w:color w:val="00B0F0"/>
          <w:lang w:eastAsia="zh-HK"/>
        </w:rPr>
        <w:t>situations that allowed them to break the rules and generate novel ideas (Bateson, 2015)</w:t>
      </w:r>
      <w:r w:rsidR="001C33DE" w:rsidRPr="00E8281A">
        <w:rPr>
          <w:color w:val="000000" w:themeColor="text1"/>
          <w:lang w:eastAsia="zh-HK"/>
        </w:rPr>
        <w:t xml:space="preserve">. </w:t>
      </w:r>
      <w:r w:rsidR="002973E4" w:rsidRPr="00E8281A">
        <w:rPr>
          <w:color w:val="000000" w:themeColor="text1"/>
          <w:lang w:eastAsia="zh-HK"/>
        </w:rPr>
        <w:t>T</w:t>
      </w:r>
      <w:r w:rsidR="00F039F6" w:rsidRPr="00E8281A">
        <w:rPr>
          <w:color w:val="000000" w:themeColor="text1"/>
          <w:lang w:eastAsia="zh-HK"/>
        </w:rPr>
        <w:t>hese children</w:t>
      </w:r>
      <w:r w:rsidR="001C33DE" w:rsidRPr="00E8281A">
        <w:rPr>
          <w:color w:val="000000" w:themeColor="text1"/>
          <w:lang w:eastAsia="zh-HK"/>
        </w:rPr>
        <w:t xml:space="preserve"> </w:t>
      </w:r>
      <w:r w:rsidR="00F039F6" w:rsidRPr="00E8281A">
        <w:rPr>
          <w:color w:val="000000" w:themeColor="text1"/>
          <w:lang w:eastAsia="zh-HK"/>
        </w:rPr>
        <w:t>may be</w:t>
      </w:r>
      <w:r w:rsidR="001C33DE" w:rsidRPr="00E8281A">
        <w:rPr>
          <w:color w:val="000000" w:themeColor="text1"/>
          <w:lang w:eastAsia="zh-HK"/>
        </w:rPr>
        <w:t xml:space="preserve"> more eager to engage in </w:t>
      </w:r>
      <w:r w:rsidR="00F039F6" w:rsidRPr="00E8281A">
        <w:rPr>
          <w:color w:val="000000" w:themeColor="text1"/>
          <w:lang w:eastAsia="zh-HK"/>
        </w:rPr>
        <w:t>future group play activities</w:t>
      </w:r>
      <w:r w:rsidR="00C12264" w:rsidRPr="00E8281A">
        <w:rPr>
          <w:color w:val="000000" w:themeColor="text1"/>
          <w:lang w:eastAsia="zh-HK"/>
        </w:rPr>
        <w:t>,</w:t>
      </w:r>
      <w:r w:rsidR="00F039F6" w:rsidRPr="00E8281A">
        <w:rPr>
          <w:color w:val="000000" w:themeColor="text1"/>
          <w:lang w:eastAsia="zh-HK"/>
        </w:rPr>
        <w:t xml:space="preserve"> as reflected by their increased social and cognitive spontaneity</w:t>
      </w:r>
      <w:r w:rsidR="00CA41EB">
        <w:rPr>
          <w:color w:val="000000" w:themeColor="text1"/>
          <w:lang w:eastAsia="zh-HK"/>
        </w:rPr>
        <w:t xml:space="preserve"> that was</w:t>
      </w:r>
      <w:r w:rsidR="002973E4" w:rsidRPr="00E8281A">
        <w:rPr>
          <w:color w:val="000000" w:themeColor="text1"/>
          <w:lang w:eastAsia="zh-HK"/>
        </w:rPr>
        <w:t xml:space="preserve"> reported by</w:t>
      </w:r>
      <w:r w:rsidR="00CA41EB">
        <w:rPr>
          <w:color w:val="000000" w:themeColor="text1"/>
          <w:lang w:eastAsia="zh-HK"/>
        </w:rPr>
        <w:t xml:space="preserve"> their</w:t>
      </w:r>
      <w:r w:rsidR="002973E4" w:rsidRPr="00E8281A">
        <w:rPr>
          <w:color w:val="000000" w:themeColor="text1"/>
          <w:lang w:eastAsia="zh-HK"/>
        </w:rPr>
        <w:t xml:space="preserve"> teachers</w:t>
      </w:r>
      <w:r w:rsidR="00F039F6" w:rsidRPr="00E8281A">
        <w:rPr>
          <w:color w:val="000000" w:themeColor="text1"/>
          <w:lang w:eastAsia="zh-HK"/>
        </w:rPr>
        <w:t>. Together, the results point</w:t>
      </w:r>
      <w:r w:rsidR="00EC7A0D">
        <w:rPr>
          <w:color w:val="000000" w:themeColor="text1"/>
          <w:lang w:eastAsia="zh-HK"/>
        </w:rPr>
        <w:t xml:space="preserve"> </w:t>
      </w:r>
      <w:r w:rsidR="00F039F6" w:rsidRPr="00E8281A">
        <w:rPr>
          <w:color w:val="000000" w:themeColor="text1"/>
          <w:lang w:eastAsia="zh-HK"/>
        </w:rPr>
        <w:t xml:space="preserve">to the </w:t>
      </w:r>
      <w:r w:rsidR="002973E4" w:rsidRPr="00E8281A">
        <w:rPr>
          <w:color w:val="000000" w:themeColor="text1"/>
          <w:lang w:eastAsia="zh-HK"/>
        </w:rPr>
        <w:t>potential</w:t>
      </w:r>
      <w:r w:rsidR="00F039F6" w:rsidRPr="00E8281A">
        <w:rPr>
          <w:color w:val="000000" w:themeColor="text1"/>
          <w:lang w:eastAsia="zh-HK"/>
        </w:rPr>
        <w:t xml:space="preserve"> self-perpetuation of kindergarten children’s creative potential through the provision of group play opportunities</w:t>
      </w:r>
      <w:r w:rsidR="00EC7A0D">
        <w:rPr>
          <w:color w:val="000000" w:themeColor="text1"/>
          <w:lang w:eastAsia="zh-HK"/>
        </w:rPr>
        <w:t xml:space="preserve"> such as</w:t>
      </w:r>
      <w:r w:rsidR="00F039F6" w:rsidRPr="00E8281A">
        <w:rPr>
          <w:color w:val="000000" w:themeColor="text1"/>
          <w:lang w:eastAsia="zh-HK"/>
        </w:rPr>
        <w:t xml:space="preserve"> sociodramatic play, especially </w:t>
      </w:r>
      <w:r w:rsidR="00EC7A0D">
        <w:rPr>
          <w:color w:val="000000" w:themeColor="text1"/>
          <w:lang w:eastAsia="zh-HK"/>
        </w:rPr>
        <w:t xml:space="preserve">among </w:t>
      </w:r>
      <w:r w:rsidR="00F039F6" w:rsidRPr="00E8281A">
        <w:rPr>
          <w:color w:val="000000" w:themeColor="text1"/>
          <w:lang w:eastAsia="zh-HK"/>
        </w:rPr>
        <w:t xml:space="preserve">those with </w:t>
      </w:r>
      <w:r w:rsidR="001422A9" w:rsidRPr="00E8281A">
        <w:rPr>
          <w:color w:val="000000" w:themeColor="text1"/>
          <w:lang w:eastAsia="zh-HK"/>
        </w:rPr>
        <w:t xml:space="preserve">a </w:t>
      </w:r>
      <w:r w:rsidR="00F039F6" w:rsidRPr="00E8281A">
        <w:rPr>
          <w:color w:val="000000" w:themeColor="text1"/>
          <w:lang w:eastAsia="zh-HK"/>
        </w:rPr>
        <w:t>heightened level of intellectual overexcitability.</w:t>
      </w:r>
      <w:r w:rsidR="00D620C4" w:rsidRPr="00E8281A">
        <w:rPr>
          <w:color w:val="000000" w:themeColor="text1"/>
          <w:lang w:eastAsia="zh-HK"/>
        </w:rPr>
        <w:t xml:space="preserve"> </w:t>
      </w:r>
      <w:r w:rsidR="00CC2760">
        <w:rPr>
          <w:color w:val="000000" w:themeColor="text1"/>
          <w:lang w:eastAsia="zh-HK"/>
        </w:rPr>
        <w:t>K</w:t>
      </w:r>
      <w:r w:rsidR="00D620C4" w:rsidRPr="00E8281A">
        <w:rPr>
          <w:color w:val="000000" w:themeColor="text1"/>
          <w:lang w:eastAsia="zh-HK"/>
        </w:rPr>
        <w:t>indergarten group play</w:t>
      </w:r>
      <w:r w:rsidR="00CC2760">
        <w:rPr>
          <w:color w:val="000000" w:themeColor="text1"/>
          <w:lang w:eastAsia="zh-HK"/>
        </w:rPr>
        <w:t xml:space="preserve"> may</w:t>
      </w:r>
      <w:r w:rsidR="00D620C4" w:rsidRPr="00E8281A">
        <w:rPr>
          <w:color w:val="000000" w:themeColor="text1"/>
          <w:lang w:eastAsia="zh-HK"/>
        </w:rPr>
        <w:t xml:space="preserve"> enable children to manifest their social and </w:t>
      </w:r>
      <w:r w:rsidR="00D620C4" w:rsidRPr="00E8281A">
        <w:rPr>
          <w:color w:val="000000" w:themeColor="text1"/>
          <w:lang w:eastAsia="zh-HK"/>
        </w:rPr>
        <w:lastRenderedPageBreak/>
        <w:t>cognitive spontaneity and expand their creative potential</w:t>
      </w:r>
      <w:r w:rsidR="00C12264" w:rsidRPr="00E8281A">
        <w:rPr>
          <w:color w:val="000000" w:themeColor="text1"/>
          <w:lang w:eastAsia="zh-HK"/>
        </w:rPr>
        <w:t>,</w:t>
      </w:r>
      <w:r w:rsidR="00D620C4" w:rsidRPr="00E8281A">
        <w:rPr>
          <w:color w:val="000000" w:themeColor="text1"/>
          <w:lang w:eastAsia="zh-HK"/>
        </w:rPr>
        <w:t xml:space="preserve"> </w:t>
      </w:r>
      <w:r w:rsidR="00C12264" w:rsidRPr="00E8281A">
        <w:rPr>
          <w:color w:val="000000" w:themeColor="text1"/>
          <w:lang w:eastAsia="zh-HK"/>
        </w:rPr>
        <w:t>promoting</w:t>
      </w:r>
      <w:r w:rsidR="00D620C4" w:rsidRPr="00E8281A">
        <w:rPr>
          <w:color w:val="000000" w:themeColor="text1"/>
          <w:lang w:eastAsia="zh-HK"/>
        </w:rPr>
        <w:t xml:space="preserve"> their future engagement in these activities and exhibition of playfulness.</w:t>
      </w:r>
    </w:p>
    <w:bookmarkEnd w:id="43"/>
    <w:bookmarkEnd w:id="44"/>
    <w:p w14:paraId="68D587C4" w14:textId="0B792031" w:rsidR="009D4BC4" w:rsidRPr="00E8281A" w:rsidRDefault="009D4BC4" w:rsidP="0075577C">
      <w:pPr>
        <w:spacing w:line="480" w:lineRule="auto"/>
        <w:rPr>
          <w:b/>
          <w:color w:val="000000" w:themeColor="text1"/>
        </w:rPr>
      </w:pPr>
      <w:r w:rsidRPr="00E8281A">
        <w:rPr>
          <w:b/>
          <w:color w:val="000000" w:themeColor="text1"/>
        </w:rPr>
        <w:t>Limitations</w:t>
      </w:r>
    </w:p>
    <w:p w14:paraId="62C65B0B" w14:textId="322948AA" w:rsidR="00E814E5" w:rsidRPr="00E8281A" w:rsidRDefault="00C27375" w:rsidP="00583402">
      <w:pPr>
        <w:widowControl w:val="0"/>
        <w:spacing w:line="480" w:lineRule="auto"/>
        <w:ind w:firstLine="480"/>
        <w:rPr>
          <w:color w:val="000000" w:themeColor="text1"/>
          <w:highlight w:val="yellow"/>
        </w:rPr>
      </w:pPr>
      <w:r w:rsidRPr="00E8281A">
        <w:rPr>
          <w:color w:val="000000" w:themeColor="text1"/>
        </w:rPr>
        <w:t>The present</w:t>
      </w:r>
      <w:r w:rsidR="00A63C09" w:rsidRPr="00E8281A">
        <w:rPr>
          <w:color w:val="000000" w:themeColor="text1"/>
        </w:rPr>
        <w:t xml:space="preserve"> study has</w:t>
      </w:r>
      <w:r w:rsidR="009D4BC4" w:rsidRPr="00E8281A">
        <w:rPr>
          <w:color w:val="000000" w:themeColor="text1"/>
        </w:rPr>
        <w:t xml:space="preserve"> at least </w:t>
      </w:r>
      <w:r w:rsidR="003B0135" w:rsidRPr="00E8281A">
        <w:rPr>
          <w:color w:val="000000" w:themeColor="text1"/>
        </w:rPr>
        <w:t>three</w:t>
      </w:r>
      <w:r w:rsidR="00095AF8" w:rsidRPr="00E8281A">
        <w:rPr>
          <w:color w:val="000000" w:themeColor="text1"/>
        </w:rPr>
        <w:t xml:space="preserve"> </w:t>
      </w:r>
      <w:r w:rsidR="009D4BC4" w:rsidRPr="00E8281A">
        <w:rPr>
          <w:color w:val="000000" w:themeColor="text1"/>
        </w:rPr>
        <w:t xml:space="preserve">limitations. </w:t>
      </w:r>
      <w:bookmarkStart w:id="45" w:name="_Hlk27791822"/>
      <w:r w:rsidR="009D4BC4" w:rsidRPr="00E8281A">
        <w:rPr>
          <w:color w:val="000000" w:themeColor="text1"/>
        </w:rPr>
        <w:t xml:space="preserve">First, </w:t>
      </w:r>
      <w:r w:rsidR="00A2542A" w:rsidRPr="00E8281A">
        <w:rPr>
          <w:color w:val="000000" w:themeColor="text1"/>
        </w:rPr>
        <w:t xml:space="preserve">although </w:t>
      </w:r>
      <w:r w:rsidR="00656059" w:rsidRPr="00E8281A">
        <w:rPr>
          <w:color w:val="000000" w:themeColor="text1"/>
        </w:rPr>
        <w:t xml:space="preserve">data </w:t>
      </w:r>
      <w:r w:rsidR="00C12264" w:rsidRPr="00E8281A">
        <w:rPr>
          <w:color w:val="000000" w:themeColor="text1"/>
        </w:rPr>
        <w:t>were</w:t>
      </w:r>
      <w:r w:rsidR="00A2542A" w:rsidRPr="00E8281A">
        <w:rPr>
          <w:color w:val="000000" w:themeColor="text1"/>
        </w:rPr>
        <w:t xml:space="preserve"> obtained from multiple informants</w:t>
      </w:r>
      <w:r w:rsidR="00B403D9" w:rsidRPr="00E8281A">
        <w:rPr>
          <w:color w:val="000000" w:themeColor="text1"/>
        </w:rPr>
        <w:t xml:space="preserve">, </w:t>
      </w:r>
      <w:r w:rsidR="005907AA">
        <w:rPr>
          <w:color w:val="000000" w:themeColor="text1"/>
        </w:rPr>
        <w:t xml:space="preserve">the </w:t>
      </w:r>
      <w:r w:rsidR="00C5360C" w:rsidRPr="00E8281A">
        <w:rPr>
          <w:color w:val="000000" w:themeColor="text1"/>
        </w:rPr>
        <w:t xml:space="preserve">parents’ and teachers’ ratings </w:t>
      </w:r>
      <w:r w:rsidR="00F655FD" w:rsidRPr="00E8281A">
        <w:rPr>
          <w:color w:val="000000" w:themeColor="text1"/>
        </w:rPr>
        <w:t xml:space="preserve">may be </w:t>
      </w:r>
      <w:r w:rsidR="00C5360C" w:rsidRPr="00E8281A">
        <w:rPr>
          <w:color w:val="000000" w:themeColor="text1"/>
        </w:rPr>
        <w:t xml:space="preserve">biased </w:t>
      </w:r>
      <w:r w:rsidR="00656059" w:rsidRPr="00E8281A">
        <w:rPr>
          <w:color w:val="000000" w:themeColor="text1"/>
        </w:rPr>
        <w:t>due to</w:t>
      </w:r>
      <w:r w:rsidR="00C5360C" w:rsidRPr="00E8281A">
        <w:rPr>
          <w:color w:val="000000" w:themeColor="text1"/>
        </w:rPr>
        <w:t xml:space="preserve"> </w:t>
      </w:r>
      <w:r w:rsidR="004F5939" w:rsidRPr="00E8281A">
        <w:rPr>
          <w:color w:val="000000" w:themeColor="text1"/>
        </w:rPr>
        <w:t>social desirability</w:t>
      </w:r>
      <w:r w:rsidR="00656059" w:rsidRPr="00E8281A">
        <w:rPr>
          <w:color w:val="000000" w:themeColor="text1"/>
        </w:rPr>
        <w:t xml:space="preserve"> (</w:t>
      </w:r>
      <w:r w:rsidR="001E7D7F" w:rsidRPr="00E8281A">
        <w:rPr>
          <w:color w:val="000000" w:themeColor="text1"/>
        </w:rPr>
        <w:t>Krumpal, 2013)</w:t>
      </w:r>
      <w:r w:rsidR="00FD6AC9" w:rsidRPr="00E8281A">
        <w:rPr>
          <w:color w:val="000000" w:themeColor="text1"/>
        </w:rPr>
        <w:t xml:space="preserve">. </w:t>
      </w:r>
      <w:bookmarkStart w:id="46" w:name="_Hlk118806377"/>
      <w:bookmarkStart w:id="47" w:name="_Hlk119052662"/>
      <w:r w:rsidR="00AF7031" w:rsidRPr="00E8281A">
        <w:rPr>
          <w:color w:val="000000" w:themeColor="text1"/>
        </w:rPr>
        <w:t>B</w:t>
      </w:r>
      <w:r w:rsidR="00BC749F" w:rsidRPr="00E8281A">
        <w:rPr>
          <w:color w:val="000000" w:themeColor="text1"/>
        </w:rPr>
        <w:t>oth</w:t>
      </w:r>
      <w:r w:rsidR="00C5360C" w:rsidRPr="00E8281A">
        <w:rPr>
          <w:color w:val="000000" w:themeColor="text1"/>
        </w:rPr>
        <w:t xml:space="preserve"> outcome measures </w:t>
      </w:r>
      <w:r w:rsidR="00FD6AC9" w:rsidRPr="00E8281A">
        <w:rPr>
          <w:color w:val="000000" w:themeColor="text1"/>
        </w:rPr>
        <w:t>(</w:t>
      </w:r>
      <w:r w:rsidR="00C5360C" w:rsidRPr="00E8281A">
        <w:rPr>
          <w:color w:val="000000" w:themeColor="text1"/>
        </w:rPr>
        <w:t>i.e.</w:t>
      </w:r>
      <w:r w:rsidR="00FD6AC9" w:rsidRPr="00E8281A">
        <w:rPr>
          <w:color w:val="000000" w:themeColor="text1"/>
        </w:rPr>
        <w:t xml:space="preserve">, </w:t>
      </w:r>
      <w:r w:rsidR="00BC749F" w:rsidRPr="00E8281A">
        <w:rPr>
          <w:color w:val="000000" w:themeColor="text1"/>
        </w:rPr>
        <w:t>playfulness and</w:t>
      </w:r>
      <w:r w:rsidR="00FD6AC9" w:rsidRPr="00E8281A">
        <w:rPr>
          <w:color w:val="000000" w:themeColor="text1"/>
        </w:rPr>
        <w:t xml:space="preserve"> creative potential</w:t>
      </w:r>
      <w:r w:rsidR="002554F3" w:rsidRPr="00E8281A">
        <w:rPr>
          <w:color w:val="000000" w:themeColor="text1"/>
        </w:rPr>
        <w:t>)</w:t>
      </w:r>
      <w:r w:rsidR="005907AA">
        <w:rPr>
          <w:color w:val="000000" w:themeColor="text1"/>
        </w:rPr>
        <w:t xml:space="preserve"> were reported by teachers</w:t>
      </w:r>
      <w:r w:rsidR="00DA7701" w:rsidRPr="00E8281A">
        <w:rPr>
          <w:color w:val="000000" w:themeColor="text1"/>
        </w:rPr>
        <w:t>,</w:t>
      </w:r>
      <w:r w:rsidR="00AF7031" w:rsidRPr="00E8281A">
        <w:rPr>
          <w:color w:val="000000" w:themeColor="text1"/>
        </w:rPr>
        <w:t xml:space="preserve"> and, t</w:t>
      </w:r>
      <w:r w:rsidR="00C5360C" w:rsidRPr="00E8281A">
        <w:rPr>
          <w:color w:val="000000" w:themeColor="text1"/>
        </w:rPr>
        <w:t xml:space="preserve">herefore, </w:t>
      </w:r>
      <w:r w:rsidR="00AC3AF5" w:rsidRPr="00E8281A">
        <w:rPr>
          <w:color w:val="000000" w:themeColor="text1"/>
          <w:lang w:eastAsia="zh-HK"/>
        </w:rPr>
        <w:t xml:space="preserve">common method variance </w:t>
      </w:r>
      <w:r w:rsidR="00C5360C" w:rsidRPr="00E8281A">
        <w:rPr>
          <w:color w:val="000000" w:themeColor="text1"/>
          <w:lang w:eastAsia="zh-HK"/>
        </w:rPr>
        <w:t xml:space="preserve">may </w:t>
      </w:r>
      <w:r w:rsidR="00656059" w:rsidRPr="00E8281A">
        <w:rPr>
          <w:color w:val="000000" w:themeColor="text1"/>
          <w:lang w:eastAsia="zh-HK"/>
        </w:rPr>
        <w:t xml:space="preserve">also </w:t>
      </w:r>
      <w:r w:rsidR="00C5360C" w:rsidRPr="00E8281A">
        <w:rPr>
          <w:color w:val="000000" w:themeColor="text1"/>
          <w:lang w:eastAsia="zh-HK"/>
        </w:rPr>
        <w:t>bias the results</w:t>
      </w:r>
      <w:r w:rsidR="00AF7031" w:rsidRPr="00E8281A">
        <w:rPr>
          <w:color w:val="000000" w:themeColor="text1"/>
          <w:lang w:eastAsia="zh-HK"/>
        </w:rPr>
        <w:t xml:space="preserve"> (Podsakoff et al., 2003)</w:t>
      </w:r>
      <w:r w:rsidR="00F1184E" w:rsidRPr="00E8281A">
        <w:rPr>
          <w:color w:val="000000" w:themeColor="text1"/>
        </w:rPr>
        <w:t>.</w:t>
      </w:r>
      <w:bookmarkEnd w:id="46"/>
      <w:r w:rsidR="00F1184E" w:rsidRPr="00E8281A">
        <w:rPr>
          <w:color w:val="000000" w:themeColor="text1"/>
        </w:rPr>
        <w:t xml:space="preserve"> </w:t>
      </w:r>
      <w:bookmarkStart w:id="48" w:name="_Hlk136607393"/>
      <w:r w:rsidR="00AF7031" w:rsidRPr="00E8281A">
        <w:rPr>
          <w:color w:val="000000" w:themeColor="text1"/>
        </w:rPr>
        <w:t xml:space="preserve">Relatedly, </w:t>
      </w:r>
      <w:r w:rsidR="003B62B3" w:rsidRPr="00E8281A">
        <w:rPr>
          <w:color w:val="000000" w:themeColor="text1"/>
        </w:rPr>
        <w:t xml:space="preserve">this study operationalized children’s creative potential as their creative personality traits. </w:t>
      </w:r>
      <w:r w:rsidR="001C693A">
        <w:rPr>
          <w:color w:val="000000" w:themeColor="text1"/>
        </w:rPr>
        <w:t xml:space="preserve">Although </w:t>
      </w:r>
      <w:r w:rsidR="00AF7031" w:rsidRPr="00E8281A">
        <w:rPr>
          <w:color w:val="000000" w:themeColor="text1"/>
        </w:rPr>
        <w:t xml:space="preserve">prior research has revealed the positive relationships between children’s creative personality traits and divergent thinking skills </w:t>
      </w:r>
      <w:r w:rsidR="00AF7031" w:rsidRPr="00E8281A">
        <w:rPr>
          <w:color w:val="000000" w:themeColor="text1"/>
          <w:lang w:eastAsia="zh-HK"/>
        </w:rPr>
        <w:t xml:space="preserve">(e.g., </w:t>
      </w:r>
      <w:r w:rsidR="00AF7031" w:rsidRPr="00E8281A">
        <w:rPr>
          <w:color w:val="000000" w:themeColor="text1"/>
          <w:szCs w:val="20"/>
          <w:lang w:eastAsia="zh-HK"/>
        </w:rPr>
        <w:t xml:space="preserve">Butcher &amp; Niec, 2005; Runco, 1984), the lack of </w:t>
      </w:r>
      <w:r w:rsidR="003B62B3" w:rsidRPr="00E8281A">
        <w:rPr>
          <w:color w:val="000000" w:themeColor="text1"/>
          <w:szCs w:val="20"/>
          <w:lang w:eastAsia="zh-HK"/>
        </w:rPr>
        <w:t xml:space="preserve">a direct assessment of children’s creative potential limits the generalizability of the present results. </w:t>
      </w:r>
      <w:bookmarkEnd w:id="48"/>
      <w:r w:rsidR="00B06E4F" w:rsidRPr="00E8281A">
        <w:rPr>
          <w:color w:val="000000" w:themeColor="text1"/>
        </w:rPr>
        <w:t>Fu</w:t>
      </w:r>
      <w:r w:rsidR="00656059" w:rsidRPr="00E8281A">
        <w:rPr>
          <w:color w:val="000000" w:themeColor="text1"/>
        </w:rPr>
        <w:t>ture research</w:t>
      </w:r>
      <w:r w:rsidR="00B06E4F" w:rsidRPr="00E8281A">
        <w:rPr>
          <w:color w:val="000000" w:themeColor="text1"/>
        </w:rPr>
        <w:t xml:space="preserve"> may </w:t>
      </w:r>
      <w:r w:rsidR="00656059" w:rsidRPr="00E8281A">
        <w:rPr>
          <w:color w:val="000000" w:themeColor="text1"/>
        </w:rPr>
        <w:t>employ</w:t>
      </w:r>
      <w:r w:rsidR="00C618A8" w:rsidRPr="00E8281A">
        <w:rPr>
          <w:color w:val="000000" w:themeColor="text1"/>
        </w:rPr>
        <w:t xml:space="preserve"> </w:t>
      </w:r>
      <w:r w:rsidR="00656059" w:rsidRPr="00E8281A">
        <w:rPr>
          <w:color w:val="000000" w:themeColor="text1"/>
        </w:rPr>
        <w:t>independent</w:t>
      </w:r>
      <w:r w:rsidR="004F5939" w:rsidRPr="00E8281A">
        <w:rPr>
          <w:color w:val="000000" w:themeColor="text1"/>
        </w:rPr>
        <w:t xml:space="preserve"> </w:t>
      </w:r>
      <w:r w:rsidR="00F1184E" w:rsidRPr="00E8281A">
        <w:rPr>
          <w:color w:val="000000" w:themeColor="text1"/>
        </w:rPr>
        <w:t>measures</w:t>
      </w:r>
      <w:r w:rsidR="00656059" w:rsidRPr="00E8281A">
        <w:rPr>
          <w:color w:val="000000" w:themeColor="text1"/>
        </w:rPr>
        <w:t xml:space="preserve"> of playfulness</w:t>
      </w:r>
      <w:r w:rsidR="00676790" w:rsidRPr="00E8281A">
        <w:rPr>
          <w:color w:val="000000" w:themeColor="text1"/>
        </w:rPr>
        <w:t xml:space="preserve"> </w:t>
      </w:r>
      <w:r w:rsidR="004F5939" w:rsidRPr="00E8281A">
        <w:rPr>
          <w:color w:val="000000" w:themeColor="text1"/>
        </w:rPr>
        <w:t>(</w:t>
      </w:r>
      <w:r w:rsidR="00332D86" w:rsidRPr="00E8281A">
        <w:rPr>
          <w:color w:val="000000" w:themeColor="text1"/>
        </w:rPr>
        <w:t xml:space="preserve">e.g., </w:t>
      </w:r>
      <w:r w:rsidR="00E3104C">
        <w:rPr>
          <w:color w:val="000000" w:themeColor="text1"/>
        </w:rPr>
        <w:t xml:space="preserve">the </w:t>
      </w:r>
      <w:r w:rsidR="00E72CFA" w:rsidRPr="00E8281A">
        <w:rPr>
          <w:color w:val="000000" w:themeColor="text1"/>
        </w:rPr>
        <w:t>Test of Playfulness scale</w:t>
      </w:r>
      <w:r w:rsidR="00332D86" w:rsidRPr="00E8281A">
        <w:rPr>
          <w:color w:val="000000" w:themeColor="text1"/>
        </w:rPr>
        <w:t xml:space="preserve">; </w:t>
      </w:r>
      <w:r w:rsidR="00603D6A" w:rsidRPr="00E8281A">
        <w:rPr>
          <w:color w:val="000000" w:themeColor="text1"/>
        </w:rPr>
        <w:t>Bundy</w:t>
      </w:r>
      <w:r w:rsidR="00A14B34" w:rsidRPr="00E8281A">
        <w:rPr>
          <w:color w:val="000000" w:themeColor="text1"/>
        </w:rPr>
        <w:t xml:space="preserve"> et al.</w:t>
      </w:r>
      <w:r w:rsidR="00603D6A" w:rsidRPr="00E8281A">
        <w:rPr>
          <w:color w:val="000000" w:themeColor="text1"/>
        </w:rPr>
        <w:t>, 2001</w:t>
      </w:r>
      <w:r w:rsidR="008E1DEB" w:rsidRPr="00E8281A">
        <w:rPr>
          <w:color w:val="000000" w:themeColor="text1"/>
        </w:rPr>
        <w:t>)</w:t>
      </w:r>
      <w:r w:rsidR="006E3999" w:rsidRPr="00E8281A">
        <w:rPr>
          <w:color w:val="000000" w:themeColor="text1"/>
        </w:rPr>
        <w:t xml:space="preserve"> </w:t>
      </w:r>
      <w:r w:rsidR="00F1184E" w:rsidRPr="00E8281A">
        <w:rPr>
          <w:color w:val="000000" w:themeColor="text1"/>
        </w:rPr>
        <w:t xml:space="preserve">and alternative assessments </w:t>
      </w:r>
      <w:r w:rsidR="00903617" w:rsidRPr="00E8281A">
        <w:rPr>
          <w:color w:val="000000" w:themeColor="text1"/>
        </w:rPr>
        <w:t>of</w:t>
      </w:r>
      <w:r w:rsidR="00F1184E" w:rsidRPr="00E8281A">
        <w:rPr>
          <w:color w:val="000000" w:themeColor="text1"/>
        </w:rPr>
        <w:t xml:space="preserve"> </w:t>
      </w:r>
      <w:r w:rsidR="00656059" w:rsidRPr="00E8281A">
        <w:rPr>
          <w:color w:val="000000" w:themeColor="text1"/>
        </w:rPr>
        <w:t xml:space="preserve">kindergarten children’s </w:t>
      </w:r>
      <w:r w:rsidR="00F1184E" w:rsidRPr="00E8281A">
        <w:rPr>
          <w:color w:val="000000" w:themeColor="text1"/>
        </w:rPr>
        <w:t xml:space="preserve">creative potential (e.g., </w:t>
      </w:r>
      <w:bookmarkStart w:id="49" w:name="_Hlk118807176"/>
      <w:bookmarkStart w:id="50" w:name="_Hlk27791918"/>
      <w:bookmarkEnd w:id="45"/>
      <w:bookmarkEnd w:id="47"/>
      <w:r w:rsidR="00E3104C">
        <w:rPr>
          <w:color w:val="000000" w:themeColor="text1"/>
        </w:rPr>
        <w:t xml:space="preserve">the </w:t>
      </w:r>
      <w:r w:rsidR="00583402" w:rsidRPr="00E8281A">
        <w:rPr>
          <w:color w:val="000000" w:themeColor="text1"/>
        </w:rPr>
        <w:t>Test for Creative Thinking – Drawing Production</w:t>
      </w:r>
      <w:r w:rsidR="00C872C7" w:rsidRPr="00E8281A">
        <w:rPr>
          <w:color w:val="000000" w:themeColor="text1"/>
        </w:rPr>
        <w:t xml:space="preserve">; </w:t>
      </w:r>
      <w:r w:rsidR="00583402" w:rsidRPr="00E8281A">
        <w:rPr>
          <w:color w:val="000000" w:themeColor="text1"/>
        </w:rPr>
        <w:t>Urban &amp; Jellen, 1996</w:t>
      </w:r>
      <w:r w:rsidR="00BC749F" w:rsidRPr="00E8281A">
        <w:rPr>
          <w:color w:val="000000" w:themeColor="text1"/>
        </w:rPr>
        <w:t>)</w:t>
      </w:r>
      <w:r w:rsidR="00583402" w:rsidRPr="00E8281A">
        <w:rPr>
          <w:color w:val="000000" w:themeColor="text1"/>
        </w:rPr>
        <w:t xml:space="preserve"> to </w:t>
      </w:r>
      <w:r w:rsidR="00656059" w:rsidRPr="00E8281A">
        <w:rPr>
          <w:color w:val="000000" w:themeColor="text1"/>
        </w:rPr>
        <w:t>validate the present findings</w:t>
      </w:r>
      <w:r w:rsidR="00583402" w:rsidRPr="00E8281A">
        <w:rPr>
          <w:color w:val="000000" w:themeColor="text1"/>
        </w:rPr>
        <w:t xml:space="preserve">. </w:t>
      </w:r>
      <w:bookmarkEnd w:id="49"/>
      <w:r w:rsidR="00CD3FE5" w:rsidRPr="00E8281A">
        <w:rPr>
          <w:color w:val="000000" w:themeColor="text1"/>
        </w:rPr>
        <w:t xml:space="preserve">Second, </w:t>
      </w:r>
      <w:bookmarkEnd w:id="50"/>
      <w:r w:rsidR="003B0135" w:rsidRPr="00E8281A">
        <w:rPr>
          <w:color w:val="000000" w:themeColor="text1"/>
          <w:lang w:val="en-GB" w:eastAsia="en-US"/>
        </w:rPr>
        <w:t xml:space="preserve">the </w:t>
      </w:r>
      <w:r w:rsidR="003B5069" w:rsidRPr="00E8281A">
        <w:rPr>
          <w:color w:val="000000" w:themeColor="text1"/>
          <w:lang w:val="en-GB" w:eastAsia="en-US"/>
        </w:rPr>
        <w:t>number of participants</w:t>
      </w:r>
      <w:r w:rsidR="003B0135" w:rsidRPr="00E8281A">
        <w:rPr>
          <w:color w:val="000000" w:themeColor="text1"/>
          <w:lang w:val="en-GB" w:eastAsia="en-US"/>
        </w:rPr>
        <w:t xml:space="preserve"> </w:t>
      </w:r>
      <w:r w:rsidR="003B5069" w:rsidRPr="00E8281A">
        <w:rPr>
          <w:color w:val="000000" w:themeColor="text1"/>
          <w:lang w:val="en-GB" w:eastAsia="en-US"/>
        </w:rPr>
        <w:t>was</w:t>
      </w:r>
      <w:r w:rsidR="003B0135" w:rsidRPr="00E8281A">
        <w:rPr>
          <w:color w:val="000000" w:themeColor="text1"/>
          <w:lang w:val="en-GB" w:eastAsia="en-US"/>
        </w:rPr>
        <w:t xml:space="preserve"> </w:t>
      </w:r>
      <w:r w:rsidR="00980005" w:rsidRPr="00E8281A">
        <w:rPr>
          <w:color w:val="000000" w:themeColor="text1"/>
          <w:lang w:val="en-GB" w:eastAsia="en-US"/>
        </w:rPr>
        <w:t xml:space="preserve">adequate but </w:t>
      </w:r>
      <w:r w:rsidR="003B0135" w:rsidRPr="00E8281A">
        <w:rPr>
          <w:color w:val="000000" w:themeColor="text1"/>
          <w:lang w:val="en-GB" w:eastAsia="en-US"/>
        </w:rPr>
        <w:t>small</w:t>
      </w:r>
      <w:r w:rsidR="00980005" w:rsidRPr="00E8281A">
        <w:rPr>
          <w:color w:val="000000" w:themeColor="text1"/>
          <w:lang w:val="en-GB" w:eastAsia="en-US"/>
        </w:rPr>
        <w:t xml:space="preserve"> (post</w:t>
      </w:r>
      <w:r w:rsidR="006A1705">
        <w:rPr>
          <w:color w:val="000000" w:themeColor="text1"/>
          <w:lang w:val="en-GB" w:eastAsia="en-US"/>
        </w:rPr>
        <w:t xml:space="preserve"> </w:t>
      </w:r>
      <w:r w:rsidR="00980005" w:rsidRPr="00E8281A">
        <w:rPr>
          <w:color w:val="000000" w:themeColor="text1"/>
          <w:lang w:val="en-GB" w:eastAsia="en-US"/>
        </w:rPr>
        <w:t>hoc analysis of power = 0.79; Moshagen &amp; Erdfelder, 2016)</w:t>
      </w:r>
      <w:r w:rsidR="00A512DE" w:rsidRPr="00E8281A">
        <w:rPr>
          <w:color w:val="000000" w:themeColor="text1"/>
          <w:lang w:val="en-GB" w:eastAsia="en-US"/>
        </w:rPr>
        <w:t>,</w:t>
      </w:r>
      <w:r w:rsidR="003B5069" w:rsidRPr="00E8281A">
        <w:rPr>
          <w:color w:val="000000" w:themeColor="text1"/>
          <w:lang w:val="en-GB" w:eastAsia="en-US"/>
        </w:rPr>
        <w:t xml:space="preserve"> all of them </w:t>
      </w:r>
      <w:r w:rsidR="006A1705">
        <w:rPr>
          <w:color w:val="000000" w:themeColor="text1"/>
          <w:lang w:val="en-GB" w:eastAsia="en-US"/>
        </w:rPr>
        <w:t xml:space="preserve">were </w:t>
      </w:r>
      <w:r w:rsidR="003B5069" w:rsidRPr="00E8281A">
        <w:rPr>
          <w:color w:val="000000" w:themeColor="text1"/>
          <w:lang w:val="en-GB" w:eastAsia="en-US"/>
        </w:rPr>
        <w:t>recruited from a single kindergarten</w:t>
      </w:r>
      <w:r w:rsidR="006E3999" w:rsidRPr="00E8281A">
        <w:rPr>
          <w:color w:val="000000" w:themeColor="text1"/>
          <w:lang w:val="en-GB" w:eastAsia="en-US"/>
        </w:rPr>
        <w:t xml:space="preserve">. </w:t>
      </w:r>
      <w:bookmarkStart w:id="51" w:name="_Hlk118804683"/>
      <w:r w:rsidR="003B5069" w:rsidRPr="00E8281A">
        <w:rPr>
          <w:color w:val="000000" w:themeColor="text1"/>
          <w:lang w:val="en-GB" w:eastAsia="en-US"/>
        </w:rPr>
        <w:t xml:space="preserve">The sample size precluded the use of </w:t>
      </w:r>
      <w:r w:rsidR="00BC381C" w:rsidRPr="00E8281A">
        <w:rPr>
          <w:color w:val="000000" w:themeColor="text1"/>
          <w:lang w:val="en-GB" w:eastAsia="en-US"/>
        </w:rPr>
        <w:t xml:space="preserve">a </w:t>
      </w:r>
      <w:r w:rsidR="003B5069" w:rsidRPr="00E8281A">
        <w:rPr>
          <w:color w:val="000000" w:themeColor="text1"/>
          <w:lang w:val="en-GB" w:eastAsia="en-US"/>
        </w:rPr>
        <w:t xml:space="preserve">more sophisticated statistical approach (e.g., structural equation modeling) </w:t>
      </w:r>
      <w:r w:rsidR="009F4DE1">
        <w:rPr>
          <w:color w:val="000000" w:themeColor="text1"/>
          <w:lang w:val="en-GB" w:eastAsia="en-US"/>
        </w:rPr>
        <w:t xml:space="preserve">to analyse </w:t>
      </w:r>
      <w:r w:rsidR="003B5069" w:rsidRPr="00E8281A">
        <w:rPr>
          <w:color w:val="000000" w:themeColor="text1"/>
          <w:lang w:val="en-GB" w:eastAsia="en-US"/>
        </w:rPr>
        <w:t xml:space="preserve">the data. </w:t>
      </w:r>
      <w:r w:rsidR="009E722F" w:rsidRPr="00E8281A">
        <w:rPr>
          <w:color w:val="000000" w:themeColor="text1"/>
          <w:lang w:val="en-GB" w:eastAsia="en-US"/>
        </w:rPr>
        <w:t xml:space="preserve">Moreover, </w:t>
      </w:r>
      <w:r w:rsidR="003B5069" w:rsidRPr="00E8281A">
        <w:rPr>
          <w:color w:val="000000" w:themeColor="text1"/>
          <w:lang w:val="en-GB" w:eastAsia="en-US"/>
        </w:rPr>
        <w:t>the time lag between the two data collection points was short (i.e., six months)</w:t>
      </w:r>
      <w:r w:rsidR="009E722F" w:rsidRPr="00E8281A">
        <w:rPr>
          <w:color w:val="000000" w:themeColor="text1"/>
          <w:lang w:val="en-GB" w:eastAsia="en-US"/>
        </w:rPr>
        <w:t xml:space="preserve">. </w:t>
      </w:r>
      <w:r w:rsidR="003B5069" w:rsidRPr="00E8281A">
        <w:rPr>
          <w:color w:val="000000" w:themeColor="text1"/>
          <w:lang w:val="en-GB" w:eastAsia="en-US"/>
        </w:rPr>
        <w:t>Further studies</w:t>
      </w:r>
      <w:r w:rsidR="009E722F" w:rsidRPr="00E8281A">
        <w:rPr>
          <w:color w:val="000000" w:themeColor="text1"/>
          <w:lang w:val="en-GB" w:eastAsia="en-US"/>
        </w:rPr>
        <w:t xml:space="preserve"> with </w:t>
      </w:r>
      <w:r w:rsidR="003B5069" w:rsidRPr="00E8281A">
        <w:rPr>
          <w:color w:val="000000" w:themeColor="text1"/>
          <w:lang w:val="en-GB" w:eastAsia="en-US"/>
        </w:rPr>
        <w:t xml:space="preserve">a </w:t>
      </w:r>
      <w:r w:rsidR="00980005" w:rsidRPr="00E8281A">
        <w:rPr>
          <w:color w:val="000000" w:themeColor="text1"/>
          <w:lang w:val="en-GB" w:eastAsia="en-US"/>
        </w:rPr>
        <w:t>larger</w:t>
      </w:r>
      <w:r w:rsidR="003B5069" w:rsidRPr="00E8281A">
        <w:rPr>
          <w:color w:val="000000" w:themeColor="text1"/>
          <w:lang w:val="en-GB" w:eastAsia="en-US"/>
        </w:rPr>
        <w:t xml:space="preserve"> and more diverse sample</w:t>
      </w:r>
      <w:r w:rsidR="009E722F" w:rsidRPr="00E8281A">
        <w:rPr>
          <w:color w:val="000000" w:themeColor="text1"/>
          <w:lang w:val="en-GB" w:eastAsia="en-US"/>
        </w:rPr>
        <w:t xml:space="preserve"> </w:t>
      </w:r>
      <w:r w:rsidR="003B5069" w:rsidRPr="00E8281A">
        <w:rPr>
          <w:color w:val="000000" w:themeColor="text1"/>
          <w:lang w:val="en-GB" w:eastAsia="en-US"/>
        </w:rPr>
        <w:t>and data collected at multiple time points</w:t>
      </w:r>
      <w:r w:rsidR="009E722F" w:rsidRPr="00E8281A">
        <w:rPr>
          <w:color w:val="000000" w:themeColor="text1"/>
          <w:lang w:val="en-GB" w:eastAsia="en-US"/>
        </w:rPr>
        <w:t xml:space="preserve"> can </w:t>
      </w:r>
      <w:r w:rsidR="003B5069" w:rsidRPr="00E8281A">
        <w:rPr>
          <w:color w:val="000000" w:themeColor="text1"/>
          <w:lang w:val="en-GB" w:eastAsia="en-US"/>
        </w:rPr>
        <w:t xml:space="preserve">better inform the </w:t>
      </w:r>
      <w:r w:rsidR="00980005" w:rsidRPr="00E8281A">
        <w:rPr>
          <w:color w:val="000000" w:themeColor="text1"/>
          <w:lang w:val="en-GB" w:eastAsia="en-US"/>
        </w:rPr>
        <w:t>long-term</w:t>
      </w:r>
      <w:r w:rsidR="003B5069" w:rsidRPr="00E8281A">
        <w:rPr>
          <w:color w:val="000000" w:themeColor="text1"/>
          <w:lang w:val="en-GB" w:eastAsia="en-US"/>
        </w:rPr>
        <w:t xml:space="preserve"> directional relationships among the variables.</w:t>
      </w:r>
      <w:r w:rsidR="007560C8" w:rsidRPr="00E8281A">
        <w:rPr>
          <w:color w:val="000000" w:themeColor="text1"/>
          <w:lang w:val="en-GB" w:eastAsia="en-US"/>
        </w:rPr>
        <w:t xml:space="preserve"> </w:t>
      </w:r>
      <w:bookmarkEnd w:id="51"/>
      <w:r w:rsidR="007560C8" w:rsidRPr="00E8281A">
        <w:rPr>
          <w:color w:val="000000" w:themeColor="text1"/>
        </w:rPr>
        <w:t>Lastly</w:t>
      </w:r>
      <w:r w:rsidR="00E0583D" w:rsidRPr="00E8281A">
        <w:rPr>
          <w:color w:val="000000" w:themeColor="text1"/>
        </w:rPr>
        <w:t xml:space="preserve">, </w:t>
      </w:r>
      <w:r w:rsidR="00C12264" w:rsidRPr="00E8281A">
        <w:rPr>
          <w:color w:val="000000" w:themeColor="text1"/>
        </w:rPr>
        <w:t>although</w:t>
      </w:r>
      <w:r w:rsidR="00980005" w:rsidRPr="00E8281A">
        <w:rPr>
          <w:color w:val="000000" w:themeColor="text1"/>
        </w:rPr>
        <w:t xml:space="preserve"> </w:t>
      </w:r>
      <w:r w:rsidR="001548B7" w:rsidRPr="00E8281A">
        <w:rPr>
          <w:color w:val="000000" w:themeColor="text1"/>
        </w:rPr>
        <w:t xml:space="preserve">the present </w:t>
      </w:r>
      <w:r w:rsidR="00980005" w:rsidRPr="00E8281A">
        <w:rPr>
          <w:color w:val="000000" w:themeColor="text1"/>
        </w:rPr>
        <w:t>findings</w:t>
      </w:r>
      <w:r w:rsidR="001548B7" w:rsidRPr="00E8281A">
        <w:rPr>
          <w:color w:val="000000" w:themeColor="text1"/>
        </w:rPr>
        <w:t xml:space="preserve"> were based </w:t>
      </w:r>
      <w:r w:rsidR="008B1896" w:rsidRPr="00E8281A">
        <w:rPr>
          <w:color w:val="000000" w:themeColor="text1"/>
        </w:rPr>
        <w:t xml:space="preserve">on </w:t>
      </w:r>
      <w:r w:rsidR="00980005" w:rsidRPr="00E8281A">
        <w:rPr>
          <w:color w:val="000000" w:themeColor="text1"/>
        </w:rPr>
        <w:t xml:space="preserve">longitudinal </w:t>
      </w:r>
      <w:r w:rsidR="008B1896" w:rsidRPr="00E8281A">
        <w:rPr>
          <w:color w:val="000000" w:themeColor="text1"/>
        </w:rPr>
        <w:t>data</w:t>
      </w:r>
      <w:r w:rsidR="00517E5E" w:rsidRPr="00E8281A">
        <w:rPr>
          <w:color w:val="000000" w:themeColor="text1"/>
        </w:rPr>
        <w:t>,</w:t>
      </w:r>
      <w:r w:rsidR="008B1896" w:rsidRPr="00E8281A">
        <w:rPr>
          <w:color w:val="000000" w:themeColor="text1"/>
        </w:rPr>
        <w:t xml:space="preserve"> </w:t>
      </w:r>
      <w:r w:rsidR="00980005" w:rsidRPr="00E8281A">
        <w:rPr>
          <w:color w:val="000000" w:themeColor="text1"/>
        </w:rPr>
        <w:t>this study was correlational</w:t>
      </w:r>
      <w:r w:rsidR="00C12264" w:rsidRPr="00E8281A">
        <w:rPr>
          <w:color w:val="000000" w:themeColor="text1"/>
        </w:rPr>
        <w:t>,</w:t>
      </w:r>
      <w:r w:rsidR="00980005" w:rsidRPr="00E8281A">
        <w:rPr>
          <w:color w:val="000000" w:themeColor="text1"/>
        </w:rPr>
        <w:t xml:space="preserve"> and</w:t>
      </w:r>
      <w:r w:rsidR="001548B7" w:rsidRPr="00E8281A">
        <w:rPr>
          <w:color w:val="000000" w:themeColor="text1"/>
        </w:rPr>
        <w:t xml:space="preserve"> </w:t>
      </w:r>
      <w:r w:rsidR="00D51A4A" w:rsidRPr="00E8281A">
        <w:rPr>
          <w:color w:val="000000" w:themeColor="text1"/>
        </w:rPr>
        <w:t>no causal inference can be made</w:t>
      </w:r>
      <w:r w:rsidR="007560C8" w:rsidRPr="00E8281A">
        <w:rPr>
          <w:color w:val="000000" w:themeColor="text1"/>
        </w:rPr>
        <w:t xml:space="preserve">. </w:t>
      </w:r>
      <w:r w:rsidR="00980005" w:rsidRPr="00E8281A">
        <w:rPr>
          <w:color w:val="000000" w:themeColor="text1"/>
        </w:rPr>
        <w:t xml:space="preserve">Experimental studies </w:t>
      </w:r>
      <w:r w:rsidR="007560C8" w:rsidRPr="00E8281A">
        <w:rPr>
          <w:color w:val="000000" w:themeColor="text1"/>
        </w:rPr>
        <w:t>are</w:t>
      </w:r>
      <w:r w:rsidR="00CE2571">
        <w:rPr>
          <w:color w:val="000000" w:themeColor="text1"/>
        </w:rPr>
        <w:t xml:space="preserve"> need</w:t>
      </w:r>
      <w:r w:rsidR="000F0AFC">
        <w:rPr>
          <w:color w:val="000000" w:themeColor="text1"/>
        </w:rPr>
        <w:t>ed</w:t>
      </w:r>
      <w:r w:rsidR="00CE2571">
        <w:rPr>
          <w:color w:val="000000" w:themeColor="text1"/>
        </w:rPr>
        <w:t xml:space="preserve"> to promote a better understanding of </w:t>
      </w:r>
      <w:r w:rsidR="00980005" w:rsidRPr="00E8281A">
        <w:rPr>
          <w:color w:val="000000" w:themeColor="text1"/>
        </w:rPr>
        <w:t>the causal link</w:t>
      </w:r>
      <w:r w:rsidR="00A84AC0" w:rsidRPr="00E8281A">
        <w:rPr>
          <w:color w:val="000000" w:themeColor="text1"/>
        </w:rPr>
        <w:t>s</w:t>
      </w:r>
      <w:r w:rsidR="00980005" w:rsidRPr="00E8281A">
        <w:rPr>
          <w:color w:val="000000" w:themeColor="text1"/>
        </w:rPr>
        <w:t xml:space="preserve"> between children’s playfulness and creative potential</w:t>
      </w:r>
      <w:r w:rsidR="007560C8" w:rsidRPr="00E8281A">
        <w:rPr>
          <w:color w:val="000000" w:themeColor="text1"/>
        </w:rPr>
        <w:t>.</w:t>
      </w:r>
    </w:p>
    <w:p w14:paraId="6E9FA3F6" w14:textId="2DEB0B29" w:rsidR="00BA3035" w:rsidRPr="00E8281A" w:rsidRDefault="00BA3035" w:rsidP="00001A8C">
      <w:pPr>
        <w:spacing w:line="480" w:lineRule="auto"/>
        <w:rPr>
          <w:b/>
          <w:color w:val="000000" w:themeColor="text1"/>
          <w:lang w:eastAsia="zh-HK"/>
        </w:rPr>
      </w:pPr>
      <w:r w:rsidRPr="00E8281A">
        <w:rPr>
          <w:b/>
          <w:color w:val="000000" w:themeColor="text1"/>
          <w:lang w:eastAsia="zh-HK"/>
        </w:rPr>
        <w:lastRenderedPageBreak/>
        <w:t>Conclusions</w:t>
      </w:r>
      <w:r w:rsidR="00623EA8" w:rsidRPr="00E8281A">
        <w:rPr>
          <w:b/>
          <w:color w:val="000000" w:themeColor="text1"/>
          <w:lang w:eastAsia="zh-HK"/>
        </w:rPr>
        <w:t xml:space="preserve"> and Implications</w:t>
      </w:r>
    </w:p>
    <w:p w14:paraId="46002356" w14:textId="5FBD55C8" w:rsidR="0066346A" w:rsidRPr="00E8281A" w:rsidRDefault="00CD3FE5" w:rsidP="006435EC">
      <w:pPr>
        <w:spacing w:line="480" w:lineRule="auto"/>
        <w:ind w:firstLine="480"/>
        <w:rPr>
          <w:color w:val="000000" w:themeColor="text1"/>
          <w:szCs w:val="20"/>
          <w:lang w:eastAsia="zh-HK"/>
        </w:rPr>
      </w:pPr>
      <w:bookmarkStart w:id="52" w:name="_Hlk119054352"/>
      <w:bookmarkStart w:id="53" w:name="_Hlk118806988"/>
      <w:bookmarkStart w:id="54" w:name="_Hlk136762421"/>
      <w:bookmarkStart w:id="55" w:name="_Hlk136607438"/>
      <w:r w:rsidRPr="00E8281A">
        <w:rPr>
          <w:color w:val="000000" w:themeColor="text1"/>
          <w:lang w:eastAsia="zh-HK"/>
        </w:rPr>
        <w:t>Despite its limitations</w:t>
      </w:r>
      <w:r w:rsidR="000F2DDC" w:rsidRPr="00E8281A">
        <w:rPr>
          <w:color w:val="000000" w:themeColor="text1"/>
          <w:lang w:eastAsia="zh-HK"/>
        </w:rPr>
        <w:t xml:space="preserve">, </w:t>
      </w:r>
      <w:r w:rsidRPr="00E8281A">
        <w:rPr>
          <w:color w:val="000000" w:themeColor="text1"/>
          <w:lang w:eastAsia="zh-HK"/>
        </w:rPr>
        <w:t>the present study</w:t>
      </w:r>
      <w:r w:rsidR="000F2DDC" w:rsidRPr="00E8281A">
        <w:rPr>
          <w:color w:val="000000" w:themeColor="text1"/>
          <w:lang w:eastAsia="zh-HK"/>
        </w:rPr>
        <w:t xml:space="preserve"> contributed </w:t>
      </w:r>
      <w:r w:rsidR="00850ABE" w:rsidRPr="00E8281A">
        <w:rPr>
          <w:color w:val="000000" w:themeColor="text1"/>
          <w:lang w:eastAsia="zh-HK"/>
        </w:rPr>
        <w:t xml:space="preserve">to </w:t>
      </w:r>
      <w:r w:rsidR="00730525" w:rsidRPr="00E8281A">
        <w:rPr>
          <w:color w:val="000000" w:themeColor="text1"/>
          <w:lang w:eastAsia="zh-HK"/>
        </w:rPr>
        <w:t>the literature</w:t>
      </w:r>
      <w:r w:rsidR="00850ABE" w:rsidRPr="00E8281A">
        <w:rPr>
          <w:color w:val="000000" w:themeColor="text1"/>
          <w:lang w:eastAsia="zh-HK"/>
        </w:rPr>
        <w:t xml:space="preserve"> by </w:t>
      </w:r>
      <w:r w:rsidR="00DB6660" w:rsidRPr="00E8281A">
        <w:rPr>
          <w:color w:val="000000" w:themeColor="text1"/>
          <w:lang w:eastAsia="zh-HK"/>
        </w:rPr>
        <w:t>demonstrating</w:t>
      </w:r>
      <w:r w:rsidR="00C27375" w:rsidRPr="00E8281A">
        <w:rPr>
          <w:color w:val="000000" w:themeColor="text1"/>
          <w:lang w:eastAsia="zh-HK"/>
        </w:rPr>
        <w:t xml:space="preserve"> </w:t>
      </w:r>
      <w:bookmarkStart w:id="56" w:name="_Hlk118806843"/>
      <w:r w:rsidR="00A84AC0" w:rsidRPr="00E8281A">
        <w:rPr>
          <w:color w:val="000000" w:themeColor="text1"/>
          <w:lang w:eastAsia="zh-HK"/>
        </w:rPr>
        <w:t xml:space="preserve">the </w:t>
      </w:r>
      <w:r w:rsidR="000F0AFC" w:rsidRPr="00E8281A">
        <w:rPr>
          <w:color w:val="000000" w:themeColor="text1"/>
          <w:lang w:eastAsia="zh-HK"/>
        </w:rPr>
        <w:t>co-development</w:t>
      </w:r>
      <w:r w:rsidR="00A84AC0" w:rsidRPr="00E8281A">
        <w:rPr>
          <w:color w:val="000000" w:themeColor="text1"/>
          <w:lang w:eastAsia="zh-HK"/>
        </w:rPr>
        <w:t xml:space="preserve"> of </w:t>
      </w:r>
      <w:r w:rsidR="00730525" w:rsidRPr="00E8281A">
        <w:rPr>
          <w:color w:val="000000" w:themeColor="text1"/>
          <w:lang w:eastAsia="zh-HK"/>
        </w:rPr>
        <w:t xml:space="preserve">children’s </w:t>
      </w:r>
      <w:r w:rsidR="00631836" w:rsidRPr="00E8281A">
        <w:rPr>
          <w:color w:val="000000" w:themeColor="text1"/>
          <w:lang w:eastAsia="zh-HK"/>
        </w:rPr>
        <w:t>playfulness</w:t>
      </w:r>
      <w:r w:rsidR="00A84AC0" w:rsidRPr="00E8281A">
        <w:rPr>
          <w:color w:val="000000" w:themeColor="text1"/>
          <w:lang w:eastAsia="zh-HK"/>
        </w:rPr>
        <w:t xml:space="preserve"> and </w:t>
      </w:r>
      <w:r w:rsidR="00730525" w:rsidRPr="00E8281A">
        <w:rPr>
          <w:color w:val="000000" w:themeColor="text1"/>
          <w:lang w:eastAsia="zh-HK"/>
        </w:rPr>
        <w:t>creative potential</w:t>
      </w:r>
      <w:r w:rsidR="00812CB8" w:rsidRPr="00E8281A">
        <w:rPr>
          <w:color w:val="000000" w:themeColor="text1"/>
          <w:lang w:eastAsia="zh-HK"/>
        </w:rPr>
        <w:t xml:space="preserve"> </w:t>
      </w:r>
      <w:bookmarkEnd w:id="52"/>
      <w:bookmarkEnd w:id="56"/>
      <w:r w:rsidR="00A84AC0" w:rsidRPr="00E8281A">
        <w:rPr>
          <w:color w:val="000000" w:themeColor="text1"/>
          <w:lang w:eastAsia="zh-HK"/>
        </w:rPr>
        <w:t xml:space="preserve">and how these factors were </w:t>
      </w:r>
      <w:r w:rsidR="00E62635" w:rsidRPr="00E8281A">
        <w:rPr>
          <w:color w:val="000000" w:themeColor="text1"/>
          <w:lang w:eastAsia="zh-HK"/>
        </w:rPr>
        <w:t>longitudinally</w:t>
      </w:r>
      <w:r w:rsidR="00A84AC0" w:rsidRPr="00E8281A">
        <w:rPr>
          <w:color w:val="000000" w:themeColor="text1"/>
          <w:lang w:eastAsia="zh-HK"/>
        </w:rPr>
        <w:t xml:space="preserve"> related to children’s overexcitabilities</w:t>
      </w:r>
      <w:r w:rsidR="005452E8" w:rsidRPr="00E8281A">
        <w:rPr>
          <w:color w:val="000000" w:themeColor="text1"/>
          <w:lang w:eastAsia="zh-HK"/>
        </w:rPr>
        <w:t xml:space="preserve">. </w:t>
      </w:r>
      <w:bookmarkEnd w:id="53"/>
      <w:r w:rsidR="00FE4490">
        <w:rPr>
          <w:color w:val="000000" w:themeColor="text1"/>
          <w:lang w:eastAsia="zh-HK"/>
        </w:rPr>
        <w:t xml:space="preserve">It is possible that </w:t>
      </w:r>
      <w:r w:rsidR="001674D1" w:rsidRPr="00E8281A">
        <w:rPr>
          <w:color w:val="000000" w:themeColor="text1"/>
          <w:lang w:eastAsia="zh-HK"/>
        </w:rPr>
        <w:t>children who are fond of manipulating concepts and ideas tend to be more playful in the kindergarten context. These</w:t>
      </w:r>
      <w:r w:rsidR="002533ED" w:rsidRPr="00E8281A">
        <w:rPr>
          <w:color w:val="000000" w:themeColor="text1"/>
          <w:lang w:eastAsia="zh-HK"/>
        </w:rPr>
        <w:t xml:space="preserve"> playful children may develop their creative potential through increased participation in group play activities such as sociodramatic play</w:t>
      </w:r>
      <w:r w:rsidR="002B001C" w:rsidRPr="00E8281A">
        <w:rPr>
          <w:color w:val="000000" w:themeColor="text1"/>
          <w:lang w:eastAsia="zh-HK"/>
        </w:rPr>
        <w:t>. In contrast,</w:t>
      </w:r>
      <w:r w:rsidR="002533ED" w:rsidRPr="00E8281A">
        <w:rPr>
          <w:color w:val="000000" w:themeColor="text1"/>
          <w:lang w:eastAsia="zh-HK"/>
        </w:rPr>
        <w:t xml:space="preserve"> their creative potential </w:t>
      </w:r>
      <w:r w:rsidR="001674D1" w:rsidRPr="00E8281A">
        <w:rPr>
          <w:color w:val="000000" w:themeColor="text1"/>
          <w:lang w:eastAsia="zh-HK"/>
        </w:rPr>
        <w:t>might</w:t>
      </w:r>
      <w:r w:rsidR="002533ED" w:rsidRPr="00E8281A">
        <w:rPr>
          <w:color w:val="000000" w:themeColor="text1"/>
          <w:lang w:eastAsia="zh-HK"/>
        </w:rPr>
        <w:t xml:space="preserve"> further motivate them to display higher levels of playfulness</w:t>
      </w:r>
      <w:r w:rsidR="003B62B3" w:rsidRPr="00E8281A">
        <w:rPr>
          <w:color w:val="000000" w:themeColor="text1"/>
          <w:lang w:eastAsia="zh-HK"/>
        </w:rPr>
        <w:t xml:space="preserve">, </w:t>
      </w:r>
      <w:r w:rsidR="00DA7701" w:rsidRPr="00E8281A">
        <w:rPr>
          <w:color w:val="000000" w:themeColor="text1"/>
          <w:lang w:eastAsia="zh-HK"/>
        </w:rPr>
        <w:t>mainly</w:t>
      </w:r>
      <w:r w:rsidR="003B62B3" w:rsidRPr="00E8281A">
        <w:rPr>
          <w:color w:val="000000" w:themeColor="text1"/>
          <w:lang w:eastAsia="zh-HK"/>
        </w:rPr>
        <w:t xml:space="preserve"> social and cognitive spontaneity,</w:t>
      </w:r>
      <w:r w:rsidR="002533ED" w:rsidRPr="00E8281A">
        <w:rPr>
          <w:color w:val="000000" w:themeColor="text1"/>
          <w:lang w:eastAsia="zh-HK"/>
        </w:rPr>
        <w:t xml:space="preserve"> and engagement in future </w:t>
      </w:r>
      <w:r w:rsidR="003B62B3" w:rsidRPr="00E8281A">
        <w:rPr>
          <w:color w:val="000000" w:themeColor="text1"/>
          <w:lang w:eastAsia="zh-HK"/>
        </w:rPr>
        <w:t xml:space="preserve">kindergarten group </w:t>
      </w:r>
      <w:r w:rsidR="002533ED" w:rsidRPr="00E8281A">
        <w:rPr>
          <w:color w:val="000000" w:themeColor="text1"/>
          <w:lang w:eastAsia="zh-HK"/>
        </w:rPr>
        <w:t xml:space="preserve">play </w:t>
      </w:r>
      <w:r w:rsidR="007147DA" w:rsidRPr="00E8281A">
        <w:rPr>
          <w:color w:val="000000" w:themeColor="text1"/>
          <w:lang w:eastAsia="zh-HK"/>
        </w:rPr>
        <w:t>situations</w:t>
      </w:r>
      <w:r w:rsidR="002533ED" w:rsidRPr="00E8281A">
        <w:rPr>
          <w:color w:val="000000" w:themeColor="text1"/>
          <w:lang w:eastAsia="zh-HK"/>
        </w:rPr>
        <w:t xml:space="preserve">. </w:t>
      </w:r>
      <w:r w:rsidR="00DB6660" w:rsidRPr="00E8281A">
        <w:rPr>
          <w:color w:val="000000" w:themeColor="text1"/>
          <w:lang w:eastAsia="zh-HK"/>
        </w:rPr>
        <w:t xml:space="preserve">Practically, </w:t>
      </w:r>
      <w:r w:rsidR="00C334C2" w:rsidRPr="00E8281A">
        <w:rPr>
          <w:color w:val="000000" w:themeColor="text1"/>
          <w:lang w:eastAsia="zh-HK"/>
        </w:rPr>
        <w:t>the</w:t>
      </w:r>
      <w:r w:rsidR="005452E8" w:rsidRPr="00E8281A">
        <w:rPr>
          <w:color w:val="000000" w:themeColor="text1"/>
          <w:lang w:eastAsia="zh-HK"/>
        </w:rPr>
        <w:t xml:space="preserve"> results </w:t>
      </w:r>
      <w:r w:rsidR="00AC637F" w:rsidRPr="00E8281A">
        <w:rPr>
          <w:color w:val="000000" w:themeColor="text1"/>
          <w:lang w:eastAsia="zh-HK"/>
        </w:rPr>
        <w:t xml:space="preserve">underscore </w:t>
      </w:r>
      <w:r w:rsidR="00812CB8" w:rsidRPr="00E8281A">
        <w:rPr>
          <w:color w:val="000000" w:themeColor="text1"/>
          <w:lang w:eastAsia="zh-HK"/>
        </w:rPr>
        <w:t xml:space="preserve">the </w:t>
      </w:r>
      <w:r w:rsidR="00DB6660" w:rsidRPr="00E8281A">
        <w:rPr>
          <w:color w:val="000000" w:themeColor="text1"/>
          <w:lang w:eastAsia="zh-HK"/>
        </w:rPr>
        <w:t xml:space="preserve">utility of </w:t>
      </w:r>
      <w:r w:rsidR="00AC637F" w:rsidRPr="00E8281A">
        <w:rPr>
          <w:color w:val="000000" w:themeColor="text1"/>
          <w:lang w:eastAsia="zh-HK"/>
        </w:rPr>
        <w:t>promoting</w:t>
      </w:r>
      <w:r w:rsidR="00DB6660" w:rsidRPr="00E8281A">
        <w:rPr>
          <w:color w:val="000000" w:themeColor="text1"/>
          <w:lang w:eastAsia="zh-HK"/>
        </w:rPr>
        <w:t xml:space="preserve"> </w:t>
      </w:r>
      <w:r w:rsidR="001674D1" w:rsidRPr="00E8281A">
        <w:rPr>
          <w:color w:val="000000" w:themeColor="text1"/>
          <w:lang w:eastAsia="zh-HK"/>
        </w:rPr>
        <w:t xml:space="preserve">kindergarten </w:t>
      </w:r>
      <w:r w:rsidR="00DB6660" w:rsidRPr="00E8281A">
        <w:rPr>
          <w:color w:val="000000" w:themeColor="text1"/>
          <w:lang w:eastAsia="zh-HK"/>
        </w:rPr>
        <w:t xml:space="preserve">children’s </w:t>
      </w:r>
      <w:r w:rsidR="00AC637F" w:rsidRPr="00E8281A">
        <w:rPr>
          <w:color w:val="000000" w:themeColor="text1"/>
          <w:lang w:eastAsia="zh-HK"/>
        </w:rPr>
        <w:t>social and cognitive</w:t>
      </w:r>
      <w:r w:rsidR="00DB6660" w:rsidRPr="00E8281A">
        <w:rPr>
          <w:color w:val="000000" w:themeColor="text1"/>
          <w:lang w:eastAsia="zh-HK"/>
        </w:rPr>
        <w:t xml:space="preserve"> spontaneity</w:t>
      </w:r>
      <w:r w:rsidR="00AC637F" w:rsidRPr="00E8281A">
        <w:rPr>
          <w:color w:val="000000" w:themeColor="text1"/>
          <w:lang w:eastAsia="zh-HK"/>
        </w:rPr>
        <w:t xml:space="preserve">. </w:t>
      </w:r>
      <w:r w:rsidR="001674D1" w:rsidRPr="00E8281A">
        <w:rPr>
          <w:color w:val="000000" w:themeColor="text1"/>
          <w:lang w:eastAsia="zh-HK"/>
        </w:rPr>
        <w:t>T</w:t>
      </w:r>
      <w:r w:rsidR="001618B9" w:rsidRPr="00E8281A">
        <w:rPr>
          <w:color w:val="000000" w:themeColor="text1"/>
          <w:lang w:eastAsia="zh-HK"/>
        </w:rPr>
        <w:t xml:space="preserve">eachers </w:t>
      </w:r>
      <w:r w:rsidR="002533ED" w:rsidRPr="00E8281A">
        <w:rPr>
          <w:color w:val="000000" w:themeColor="text1"/>
          <w:lang w:eastAsia="zh-HK"/>
        </w:rPr>
        <w:t xml:space="preserve">may </w:t>
      </w:r>
      <w:r w:rsidR="001618B9" w:rsidRPr="00E8281A">
        <w:rPr>
          <w:color w:val="000000" w:themeColor="text1"/>
          <w:lang w:eastAsia="zh-HK"/>
        </w:rPr>
        <w:t xml:space="preserve">support daily play time </w:t>
      </w:r>
      <w:r w:rsidR="006F16F8" w:rsidRPr="00E8281A">
        <w:rPr>
          <w:color w:val="000000" w:themeColor="text1"/>
          <w:lang w:eastAsia="zh-HK"/>
        </w:rPr>
        <w:t>by</w:t>
      </w:r>
      <w:r w:rsidR="002533ED" w:rsidRPr="00E8281A">
        <w:rPr>
          <w:color w:val="000000" w:themeColor="text1"/>
          <w:lang w:eastAsia="zh-HK"/>
        </w:rPr>
        <w:t xml:space="preserve"> endorsing </w:t>
      </w:r>
      <w:r w:rsidR="001618B9" w:rsidRPr="00E8281A">
        <w:rPr>
          <w:color w:val="000000" w:themeColor="text1"/>
          <w:lang w:eastAsia="zh-HK"/>
        </w:rPr>
        <w:t>and extending children’s</w:t>
      </w:r>
      <w:r w:rsidR="002533ED" w:rsidRPr="00E8281A">
        <w:rPr>
          <w:color w:val="000000" w:themeColor="text1"/>
          <w:lang w:eastAsia="zh-HK"/>
        </w:rPr>
        <w:t xml:space="preserve"> play choices </w:t>
      </w:r>
      <w:r w:rsidR="001618B9" w:rsidRPr="00E8281A">
        <w:rPr>
          <w:color w:val="000000" w:themeColor="text1"/>
          <w:lang w:eastAsia="zh-HK"/>
        </w:rPr>
        <w:t>and</w:t>
      </w:r>
      <w:r w:rsidR="002533ED" w:rsidRPr="00E8281A">
        <w:rPr>
          <w:color w:val="000000" w:themeColor="text1"/>
          <w:lang w:eastAsia="zh-HK"/>
        </w:rPr>
        <w:t xml:space="preserve"> ideas to </w:t>
      </w:r>
      <w:r w:rsidR="002B001C" w:rsidRPr="00E8281A">
        <w:rPr>
          <w:color w:val="000000" w:themeColor="text1"/>
          <w:lang w:eastAsia="zh-HK"/>
        </w:rPr>
        <w:t>encourage</w:t>
      </w:r>
      <w:r w:rsidR="002533ED" w:rsidRPr="00E8281A">
        <w:rPr>
          <w:color w:val="000000" w:themeColor="text1"/>
          <w:lang w:eastAsia="zh-HK"/>
        </w:rPr>
        <w:t xml:space="preserve"> playfulness (Fung &amp; Chung, 2022b). </w:t>
      </w:r>
      <w:r w:rsidR="001618B9" w:rsidRPr="00E8281A">
        <w:rPr>
          <w:color w:val="000000" w:themeColor="text1"/>
          <w:lang w:eastAsia="zh-HK"/>
        </w:rPr>
        <w:t xml:space="preserve">Practitioners </w:t>
      </w:r>
      <w:r w:rsidR="00660D1F" w:rsidRPr="00E8281A">
        <w:rPr>
          <w:color w:val="000000" w:themeColor="text1"/>
          <w:lang w:eastAsia="zh-HK"/>
        </w:rPr>
        <w:t>may</w:t>
      </w:r>
      <w:r w:rsidR="001618B9" w:rsidRPr="00E8281A">
        <w:rPr>
          <w:color w:val="000000" w:themeColor="text1"/>
          <w:lang w:eastAsia="zh-HK"/>
        </w:rPr>
        <w:t xml:space="preserve"> also</w:t>
      </w:r>
      <w:r w:rsidR="00660D1F" w:rsidRPr="00E8281A">
        <w:rPr>
          <w:color w:val="000000" w:themeColor="text1"/>
          <w:lang w:eastAsia="zh-HK"/>
        </w:rPr>
        <w:t xml:space="preserve"> </w:t>
      </w:r>
      <w:r w:rsidR="00CA5D47" w:rsidRPr="00E8281A">
        <w:rPr>
          <w:color w:val="000000" w:themeColor="text1"/>
          <w:lang w:eastAsia="zh-HK"/>
        </w:rPr>
        <w:t>provide</w:t>
      </w:r>
      <w:r w:rsidR="00660D1F" w:rsidRPr="00E8281A">
        <w:rPr>
          <w:color w:val="000000" w:themeColor="text1"/>
          <w:lang w:eastAsia="zh-HK"/>
        </w:rPr>
        <w:t xml:space="preserve"> </w:t>
      </w:r>
      <w:r w:rsidR="00CA5D47" w:rsidRPr="00E8281A">
        <w:rPr>
          <w:color w:val="000000" w:themeColor="text1"/>
          <w:lang w:eastAsia="zh-HK"/>
        </w:rPr>
        <w:t xml:space="preserve">unstructured play materials (Canning, 2010) such that children </w:t>
      </w:r>
      <w:r w:rsidR="00E62635" w:rsidRPr="00E8281A">
        <w:rPr>
          <w:color w:val="000000" w:themeColor="text1"/>
          <w:lang w:eastAsia="zh-HK"/>
        </w:rPr>
        <w:t xml:space="preserve">can frequently </w:t>
      </w:r>
      <w:r w:rsidR="001674D1" w:rsidRPr="00E8281A">
        <w:rPr>
          <w:color w:val="000000" w:themeColor="text1"/>
          <w:lang w:eastAsia="zh-HK"/>
        </w:rPr>
        <w:t>use</w:t>
      </w:r>
      <w:r w:rsidR="00CA5D47" w:rsidRPr="00E8281A">
        <w:rPr>
          <w:color w:val="000000" w:themeColor="text1"/>
          <w:lang w:eastAsia="zh-HK"/>
        </w:rPr>
        <w:t xml:space="preserve"> board scanning and symbolic representation </w:t>
      </w:r>
      <w:r w:rsidR="00E62635" w:rsidRPr="00E8281A">
        <w:rPr>
          <w:color w:val="000000" w:themeColor="text1"/>
          <w:lang w:eastAsia="zh-HK"/>
        </w:rPr>
        <w:t>to advance their cognitive spontaneity</w:t>
      </w:r>
      <w:r w:rsidR="00660D1F" w:rsidRPr="00E8281A">
        <w:rPr>
          <w:color w:val="000000" w:themeColor="text1"/>
          <w:lang w:eastAsia="zh-HK"/>
        </w:rPr>
        <w:t xml:space="preserve">. </w:t>
      </w:r>
      <w:r w:rsidR="001618B9" w:rsidRPr="00E8281A">
        <w:rPr>
          <w:color w:val="000000" w:themeColor="text1"/>
          <w:lang w:eastAsia="zh-HK"/>
        </w:rPr>
        <w:t>Further</w:t>
      </w:r>
      <w:r w:rsidR="00FE4490">
        <w:rPr>
          <w:color w:val="000000" w:themeColor="text1"/>
          <w:lang w:eastAsia="zh-HK"/>
        </w:rPr>
        <w:t>more</w:t>
      </w:r>
      <w:r w:rsidR="001618B9" w:rsidRPr="00E8281A">
        <w:rPr>
          <w:color w:val="000000" w:themeColor="text1"/>
          <w:lang w:eastAsia="zh-HK"/>
        </w:rPr>
        <w:t xml:space="preserve">, more </w:t>
      </w:r>
      <w:r w:rsidR="0014406E" w:rsidRPr="00E8281A">
        <w:rPr>
          <w:color w:val="000000" w:themeColor="text1"/>
          <w:lang w:eastAsia="zh-HK"/>
        </w:rPr>
        <w:t>group play opportunities</w:t>
      </w:r>
      <w:r w:rsidR="002533ED" w:rsidRPr="00E8281A">
        <w:rPr>
          <w:color w:val="000000" w:themeColor="text1"/>
          <w:lang w:eastAsia="zh-HK"/>
        </w:rPr>
        <w:t xml:space="preserve"> </w:t>
      </w:r>
      <w:r w:rsidR="00FE4490">
        <w:rPr>
          <w:color w:val="000000" w:themeColor="text1"/>
          <w:lang w:eastAsia="zh-HK"/>
        </w:rPr>
        <w:t xml:space="preserve">may be incorporated into daily schedules </w:t>
      </w:r>
      <w:r w:rsidR="001618B9" w:rsidRPr="00E8281A">
        <w:rPr>
          <w:color w:val="000000" w:themeColor="text1"/>
          <w:lang w:eastAsia="zh-HK"/>
        </w:rPr>
        <w:t xml:space="preserve">to nurture children’s social spontaneity </w:t>
      </w:r>
      <w:r w:rsidR="002533ED" w:rsidRPr="00E8281A">
        <w:rPr>
          <w:color w:val="000000" w:themeColor="text1"/>
          <w:lang w:eastAsia="zh-HK"/>
        </w:rPr>
        <w:t>(Fung &amp; Chung, 2022a)</w:t>
      </w:r>
      <w:r w:rsidR="00517E5E" w:rsidRPr="00E8281A">
        <w:rPr>
          <w:color w:val="000000" w:themeColor="text1"/>
          <w:lang w:eastAsia="zh-HK"/>
        </w:rPr>
        <w:t xml:space="preserve">. </w:t>
      </w:r>
      <w:r w:rsidR="00CE04D7" w:rsidRPr="00E8281A">
        <w:rPr>
          <w:color w:val="000000" w:themeColor="text1"/>
          <w:lang w:eastAsia="zh-HK"/>
        </w:rPr>
        <w:t xml:space="preserve">Recent research has also suggested </w:t>
      </w:r>
      <w:r w:rsidR="00535668">
        <w:rPr>
          <w:color w:val="000000" w:themeColor="text1"/>
          <w:lang w:eastAsia="zh-HK"/>
        </w:rPr>
        <w:t xml:space="preserve">a </w:t>
      </w:r>
      <w:r w:rsidR="00CE04D7" w:rsidRPr="00E8281A">
        <w:rPr>
          <w:color w:val="000000" w:themeColor="text1"/>
          <w:lang w:eastAsia="zh-HK"/>
        </w:rPr>
        <w:t xml:space="preserve">positive link between children’s and practitioners’ playfulness (Pinchover, 2017) and </w:t>
      </w:r>
      <w:r w:rsidR="00EF48FA" w:rsidRPr="00E8281A">
        <w:rPr>
          <w:color w:val="000000" w:themeColor="text1"/>
          <w:lang w:eastAsia="zh-HK"/>
        </w:rPr>
        <w:t>how</w:t>
      </w:r>
      <w:r w:rsidR="00CE04D7" w:rsidRPr="00E8281A">
        <w:rPr>
          <w:color w:val="000000" w:themeColor="text1"/>
          <w:lang w:eastAsia="zh-HK"/>
        </w:rPr>
        <w:t xml:space="preserve"> online intervention</w:t>
      </w:r>
      <w:r w:rsidR="00EF48FA" w:rsidRPr="00E8281A">
        <w:rPr>
          <w:color w:val="000000" w:themeColor="text1"/>
          <w:lang w:eastAsia="zh-HK"/>
        </w:rPr>
        <w:t>s can promote</w:t>
      </w:r>
      <w:r w:rsidR="00CE04D7" w:rsidRPr="00E8281A">
        <w:rPr>
          <w:color w:val="000000" w:themeColor="text1"/>
          <w:lang w:eastAsia="zh-HK"/>
        </w:rPr>
        <w:t xml:space="preserve"> adults’ playfulness </w:t>
      </w:r>
      <w:r w:rsidR="00EF48FA" w:rsidRPr="00E8281A">
        <w:rPr>
          <w:color w:val="000000" w:themeColor="text1"/>
          <w:lang w:eastAsia="zh-HK"/>
        </w:rPr>
        <w:t>(Proyer et al., 2021).</w:t>
      </w:r>
      <w:r w:rsidR="00CE04D7" w:rsidRPr="00E8281A">
        <w:rPr>
          <w:color w:val="000000" w:themeColor="text1"/>
          <w:lang w:eastAsia="zh-HK"/>
        </w:rPr>
        <w:t xml:space="preserve"> </w:t>
      </w:r>
      <w:r w:rsidR="00145887" w:rsidRPr="00E8281A">
        <w:rPr>
          <w:color w:val="000000" w:themeColor="text1"/>
          <w:lang w:eastAsia="zh-HK"/>
        </w:rPr>
        <w:t xml:space="preserve">By shaping more playful practitioners and better-implementing kindergarten group play activities, these approaches may stimulate children’s playfulness and support </w:t>
      </w:r>
      <w:r w:rsidR="003C2569">
        <w:rPr>
          <w:color w:val="000000" w:themeColor="text1"/>
          <w:lang w:eastAsia="zh-HK"/>
        </w:rPr>
        <w:t>their</w:t>
      </w:r>
      <w:r w:rsidR="00145887" w:rsidRPr="00E8281A">
        <w:rPr>
          <w:color w:val="000000" w:themeColor="text1"/>
          <w:lang w:eastAsia="zh-HK"/>
        </w:rPr>
        <w:t xml:space="preserve"> </w:t>
      </w:r>
      <w:r w:rsidR="003C2569">
        <w:rPr>
          <w:color w:val="000000" w:themeColor="text1"/>
          <w:lang w:eastAsia="zh-HK"/>
        </w:rPr>
        <w:t>co</w:t>
      </w:r>
      <w:r w:rsidR="000F0AFC">
        <w:rPr>
          <w:color w:val="000000" w:themeColor="text1"/>
          <w:lang w:eastAsia="zh-HK"/>
        </w:rPr>
        <w:t>-</w:t>
      </w:r>
      <w:r w:rsidR="003C2569">
        <w:rPr>
          <w:color w:val="000000" w:themeColor="text1"/>
          <w:lang w:eastAsia="zh-HK"/>
        </w:rPr>
        <w:t>development</w:t>
      </w:r>
      <w:r w:rsidR="00145887" w:rsidRPr="00E8281A">
        <w:rPr>
          <w:color w:val="000000" w:themeColor="text1"/>
          <w:lang w:eastAsia="zh-HK"/>
        </w:rPr>
        <w:t xml:space="preserve"> </w:t>
      </w:r>
      <w:r w:rsidR="00145887" w:rsidRPr="00E8281A">
        <w:rPr>
          <w:color w:val="000000" w:themeColor="text1"/>
          <w:lang w:eastAsia="zh-HK"/>
        </w:rPr>
        <w:t>with creative potential</w:t>
      </w:r>
      <w:r w:rsidR="00613C9C">
        <w:rPr>
          <w:color w:val="000000" w:themeColor="text1"/>
          <w:lang w:eastAsia="zh-HK"/>
        </w:rPr>
        <w:t xml:space="preserve"> </w:t>
      </w:r>
      <w:r w:rsidR="00145887" w:rsidRPr="00400377">
        <w:rPr>
          <w:color w:val="00B0F0"/>
          <w:lang w:eastAsia="zh-HK"/>
        </w:rPr>
        <w:t>natural</w:t>
      </w:r>
      <w:r w:rsidR="006B117A" w:rsidRPr="00400377">
        <w:rPr>
          <w:color w:val="00B0F0"/>
          <w:lang w:eastAsia="zh-HK"/>
        </w:rPr>
        <w:t>ly</w:t>
      </w:r>
      <w:r w:rsidR="00145887" w:rsidRPr="00400377">
        <w:rPr>
          <w:color w:val="00B0F0"/>
          <w:lang w:eastAsia="zh-HK"/>
        </w:rPr>
        <w:t xml:space="preserve"> and joyfu</w:t>
      </w:r>
      <w:bookmarkEnd w:id="54"/>
      <w:r w:rsidR="00613C9C" w:rsidRPr="00400377">
        <w:rPr>
          <w:color w:val="00B0F0"/>
          <w:lang w:eastAsia="zh-HK"/>
        </w:rPr>
        <w:t>lly</w:t>
      </w:r>
      <w:r w:rsidR="003F02AC" w:rsidRPr="00E8281A">
        <w:rPr>
          <w:color w:val="000000" w:themeColor="text1"/>
          <w:lang w:eastAsia="zh-HK"/>
        </w:rPr>
        <w:t>.</w:t>
      </w:r>
      <w:bookmarkStart w:id="57" w:name="_Hlk516147625"/>
    </w:p>
    <w:bookmarkEnd w:id="55"/>
    <w:p w14:paraId="0E5876A2" w14:textId="77777777" w:rsidR="00720543" w:rsidRPr="00E8281A" w:rsidRDefault="00720543">
      <w:pPr>
        <w:rPr>
          <w:color w:val="000000" w:themeColor="text1"/>
          <w:szCs w:val="20"/>
          <w:lang w:eastAsia="zh-HK"/>
        </w:rPr>
      </w:pPr>
    </w:p>
    <w:p w14:paraId="72CBD6E7" w14:textId="77777777" w:rsidR="00FF3C22" w:rsidRPr="00E8281A" w:rsidRDefault="00FF3C22">
      <w:pPr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br w:type="page"/>
      </w:r>
    </w:p>
    <w:p w14:paraId="110042A6" w14:textId="77777777" w:rsidR="000A1A3D" w:rsidRPr="00E8281A" w:rsidRDefault="000A1A3D" w:rsidP="007F16FC">
      <w:pPr>
        <w:spacing w:line="480" w:lineRule="auto"/>
        <w:ind w:firstLine="480"/>
        <w:jc w:val="center"/>
        <w:rPr>
          <w:b/>
          <w:bCs/>
          <w:color w:val="000000" w:themeColor="text1"/>
          <w:szCs w:val="20"/>
          <w:lang w:eastAsia="zh-HK"/>
        </w:rPr>
      </w:pPr>
      <w:r w:rsidRPr="00E8281A">
        <w:rPr>
          <w:rFonts w:hint="eastAsia"/>
          <w:b/>
          <w:bCs/>
          <w:color w:val="000000" w:themeColor="text1"/>
          <w:szCs w:val="20"/>
          <w:lang w:eastAsia="zh-HK"/>
        </w:rPr>
        <w:lastRenderedPageBreak/>
        <w:t>R</w:t>
      </w:r>
      <w:r w:rsidR="009F3707" w:rsidRPr="00E8281A">
        <w:rPr>
          <w:b/>
          <w:bCs/>
          <w:color w:val="000000" w:themeColor="text1"/>
          <w:szCs w:val="20"/>
          <w:lang w:eastAsia="zh-HK"/>
        </w:rPr>
        <w:t>eferences</w:t>
      </w:r>
    </w:p>
    <w:p w14:paraId="760664B3" w14:textId="311222EC" w:rsidR="008E0004" w:rsidRPr="00E8281A" w:rsidRDefault="008E0004" w:rsidP="008E1DEB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bookmarkStart w:id="58" w:name="_Hlk56605919"/>
      <w:r w:rsidRPr="00E8281A">
        <w:rPr>
          <w:color w:val="000000" w:themeColor="text1"/>
          <w:szCs w:val="20"/>
          <w:lang w:eastAsia="zh-HK"/>
        </w:rPr>
        <w:t xml:space="preserve">Amabile, T. M. (1996). </w:t>
      </w:r>
      <w:r w:rsidRPr="00E8281A">
        <w:rPr>
          <w:i/>
          <w:iCs/>
          <w:color w:val="000000" w:themeColor="text1"/>
          <w:szCs w:val="20"/>
          <w:lang w:eastAsia="zh-HK"/>
        </w:rPr>
        <w:t>Creativity in Context: Update to The Social Psychology of Creativity</w:t>
      </w:r>
      <w:r w:rsidRPr="00E8281A">
        <w:rPr>
          <w:color w:val="000000" w:themeColor="text1"/>
          <w:szCs w:val="20"/>
          <w:lang w:eastAsia="zh-HK"/>
        </w:rPr>
        <w:t xml:space="preserve"> (1st ed.). Routledge. https://doi.org/10.4324/9780429501234</w:t>
      </w:r>
    </w:p>
    <w:p w14:paraId="7410AE0D" w14:textId="3464509B" w:rsidR="00AE4D66" w:rsidRPr="00E8281A" w:rsidRDefault="00AE4D66" w:rsidP="008E1DEB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Ayling, P., Armstrong, H., &amp; Gordon, C. L. (2019). </w:t>
      </w:r>
      <w:r w:rsidRPr="00E8281A">
        <w:rPr>
          <w:i/>
          <w:iCs/>
          <w:color w:val="000000" w:themeColor="text1"/>
          <w:szCs w:val="20"/>
          <w:lang w:eastAsia="zh-HK"/>
        </w:rPr>
        <w:t>Becoming and being a play therapist : Play therapy in practice</w:t>
      </w:r>
      <w:r w:rsidRPr="00E8281A">
        <w:rPr>
          <w:color w:val="000000" w:themeColor="text1"/>
          <w:szCs w:val="20"/>
          <w:lang w:eastAsia="zh-HK"/>
        </w:rPr>
        <w:t>. Taylor &amp; Francis Group. https://doi.org/10.4324/9780203711224</w:t>
      </w:r>
    </w:p>
    <w:p w14:paraId="52098EFA" w14:textId="03DDEE6E" w:rsidR="008E1DEB" w:rsidRPr="00E8281A" w:rsidRDefault="008E1DEB" w:rsidP="008E1DEB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Barnett, L. A. (1991). The playful child: Measurement of a disposition to play. </w:t>
      </w:r>
      <w:r w:rsidRPr="00E8281A">
        <w:rPr>
          <w:i/>
          <w:iCs/>
          <w:color w:val="000000" w:themeColor="text1"/>
          <w:szCs w:val="20"/>
          <w:lang w:eastAsia="zh-HK"/>
        </w:rPr>
        <w:t>Play &amp; Culture, 4</w:t>
      </w:r>
      <w:r w:rsidRPr="00E8281A">
        <w:rPr>
          <w:color w:val="000000" w:themeColor="text1"/>
          <w:szCs w:val="20"/>
          <w:lang w:eastAsia="zh-HK"/>
        </w:rPr>
        <w:t>(1), 51–74.</w:t>
      </w:r>
    </w:p>
    <w:p w14:paraId="304C681F" w14:textId="20113CF2" w:rsidR="00BA2B55" w:rsidRPr="00E8281A" w:rsidRDefault="00BA2B55" w:rsidP="008A19F1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Barnett, L. A. (2018). The education of playful boys: Class clowns in the classroom. </w:t>
      </w:r>
      <w:r w:rsidRPr="00E8281A">
        <w:rPr>
          <w:i/>
          <w:iCs/>
          <w:color w:val="000000" w:themeColor="text1"/>
          <w:szCs w:val="20"/>
          <w:lang w:eastAsia="zh-HK"/>
        </w:rPr>
        <w:t>Frontiers in Psychology, 9</w:t>
      </w:r>
      <w:r w:rsidRPr="00E8281A">
        <w:rPr>
          <w:color w:val="000000" w:themeColor="text1"/>
          <w:szCs w:val="20"/>
          <w:lang w:eastAsia="zh-HK"/>
        </w:rPr>
        <w:t>, 232–232. https://doi.org/10.3389/fpsyg.2018.00232</w:t>
      </w:r>
    </w:p>
    <w:p w14:paraId="5F25D71B" w14:textId="4F16E657" w:rsidR="0020437B" w:rsidRPr="00E8281A" w:rsidRDefault="00C36366" w:rsidP="008A19F1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Bateson, P. (2015). Playfulness and creativity. </w:t>
      </w:r>
      <w:r w:rsidRPr="00E8281A">
        <w:rPr>
          <w:i/>
          <w:iCs/>
          <w:color w:val="000000" w:themeColor="text1"/>
          <w:szCs w:val="20"/>
          <w:lang w:eastAsia="zh-HK"/>
        </w:rPr>
        <w:t>Current Biology, 25</w:t>
      </w:r>
      <w:r w:rsidRPr="00E8281A">
        <w:rPr>
          <w:color w:val="000000" w:themeColor="text1"/>
          <w:szCs w:val="20"/>
          <w:lang w:eastAsia="zh-HK"/>
        </w:rPr>
        <w:t>(1), R12–R16. https://doi.org/10.1016/j.cub.2014.09.009</w:t>
      </w:r>
    </w:p>
    <w:p w14:paraId="53BF0142" w14:textId="688F5E69" w:rsidR="00740A11" w:rsidRPr="00E8281A" w:rsidRDefault="00740A11" w:rsidP="008A19F1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Bateson, P., &amp; Nettle, D. (2014). Playfulness, ideas, and creativity: A survey. </w:t>
      </w:r>
      <w:r w:rsidRPr="00E8281A">
        <w:rPr>
          <w:i/>
          <w:iCs/>
          <w:color w:val="000000" w:themeColor="text1"/>
          <w:szCs w:val="20"/>
          <w:lang w:eastAsia="zh-HK"/>
        </w:rPr>
        <w:t>Creativity Research Journal, 26</w:t>
      </w:r>
      <w:r w:rsidRPr="00E8281A">
        <w:rPr>
          <w:color w:val="000000" w:themeColor="text1"/>
          <w:szCs w:val="20"/>
          <w:lang w:eastAsia="zh-HK"/>
        </w:rPr>
        <w:t>(2), 219-222. https://doi.org/10.1080/10400419.2014.901091</w:t>
      </w:r>
    </w:p>
    <w:p w14:paraId="54F47A54" w14:textId="3C351264" w:rsidR="00A60C11" w:rsidRPr="00E8281A" w:rsidRDefault="00A60C11" w:rsidP="008A19F1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bookmarkStart w:id="59" w:name="_Hlk97545835"/>
      <w:r w:rsidRPr="00E8281A">
        <w:rPr>
          <w:color w:val="000000" w:themeColor="text1"/>
          <w:szCs w:val="20"/>
          <w:lang w:eastAsia="zh-HK"/>
        </w:rPr>
        <w:t xml:space="preserve">Beaty, J. J. (2014). </w:t>
      </w:r>
      <w:r w:rsidRPr="00E8281A">
        <w:rPr>
          <w:i/>
          <w:iCs/>
          <w:color w:val="000000" w:themeColor="text1"/>
          <w:szCs w:val="20"/>
          <w:lang w:eastAsia="zh-HK"/>
        </w:rPr>
        <w:t>Observing development of the young child</w:t>
      </w:r>
      <w:r w:rsidRPr="00E8281A">
        <w:rPr>
          <w:color w:val="000000" w:themeColor="text1"/>
          <w:szCs w:val="20"/>
          <w:lang w:eastAsia="zh-HK"/>
        </w:rPr>
        <w:t xml:space="preserve"> (8th edition). Prentice Hall.</w:t>
      </w:r>
    </w:p>
    <w:p w14:paraId="3939FCE2" w14:textId="52E9231A" w:rsidR="00F53BE4" w:rsidRPr="00E8281A" w:rsidRDefault="00F53BE4" w:rsidP="008A19F1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>Bodrova, E., &amp; Leong, D. J. (2018</w:t>
      </w:r>
      <w:bookmarkEnd w:id="59"/>
      <w:r w:rsidRPr="00E8281A">
        <w:rPr>
          <w:color w:val="000000" w:themeColor="text1"/>
          <w:szCs w:val="20"/>
          <w:lang w:eastAsia="zh-HK"/>
        </w:rPr>
        <w:t xml:space="preserve">). Tools of the Mind: The Vygotskian-based early childhood program. </w:t>
      </w:r>
      <w:r w:rsidRPr="00E8281A">
        <w:rPr>
          <w:i/>
          <w:iCs/>
          <w:color w:val="000000" w:themeColor="text1"/>
          <w:szCs w:val="20"/>
          <w:lang w:eastAsia="zh-HK"/>
        </w:rPr>
        <w:t>Journal of Cognitive Education and Psychology, 17</w:t>
      </w:r>
      <w:r w:rsidRPr="00E8281A">
        <w:rPr>
          <w:color w:val="000000" w:themeColor="text1"/>
          <w:szCs w:val="20"/>
          <w:lang w:eastAsia="zh-HK"/>
        </w:rPr>
        <w:t xml:space="preserve">(3), 223-237. </w:t>
      </w:r>
      <w:r w:rsidR="005634AE" w:rsidRPr="00E8281A">
        <w:rPr>
          <w:color w:val="000000" w:themeColor="text1"/>
          <w:szCs w:val="20"/>
          <w:lang w:eastAsia="zh-HK"/>
        </w:rPr>
        <w:t>https://doi.org/</w:t>
      </w:r>
      <w:r w:rsidRPr="00E8281A">
        <w:rPr>
          <w:color w:val="000000" w:themeColor="text1"/>
          <w:szCs w:val="20"/>
          <w:lang w:eastAsia="zh-HK"/>
        </w:rPr>
        <w:t>10.1891/1945-8959.17.3.223</w:t>
      </w:r>
    </w:p>
    <w:p w14:paraId="11540F98" w14:textId="5B45A1EE" w:rsidR="00CC24A4" w:rsidRPr="00E8281A" w:rsidRDefault="00CC24A4" w:rsidP="00351C6B">
      <w:pPr>
        <w:keepLines/>
        <w:spacing w:after="120" w:line="480" w:lineRule="auto"/>
        <w:ind w:left="720" w:hanging="720"/>
        <w:rPr>
          <w:color w:val="000000" w:themeColor="text1"/>
          <w:szCs w:val="20"/>
          <w:lang w:val="en-US" w:eastAsia="zh-HK"/>
        </w:rPr>
      </w:pPr>
      <w:r w:rsidRPr="00E8281A">
        <w:rPr>
          <w:color w:val="000000" w:themeColor="text1"/>
          <w:szCs w:val="20"/>
          <w:lang w:val="en-US" w:eastAsia="zh-HK"/>
        </w:rPr>
        <w:t xml:space="preserve">Bundy, A. C., Luckett, T., Naughton, G. A., Tranter, P. J., Wyver, S. R., Ragen, J., Singleton, E., &amp; Spies, G. (2008). Playful interaction: occupational therapy for all children on the school playground. </w:t>
      </w:r>
      <w:r w:rsidRPr="00E8281A">
        <w:rPr>
          <w:i/>
          <w:iCs/>
          <w:color w:val="000000" w:themeColor="text1"/>
          <w:szCs w:val="20"/>
          <w:lang w:val="en-US" w:eastAsia="zh-HK"/>
        </w:rPr>
        <w:t>The American Journal of Occupational Therapy, 62</w:t>
      </w:r>
      <w:r w:rsidRPr="00E8281A">
        <w:rPr>
          <w:color w:val="000000" w:themeColor="text1"/>
          <w:szCs w:val="20"/>
          <w:lang w:val="en-US" w:eastAsia="zh-HK"/>
        </w:rPr>
        <w:t>(5), 522–527. https://doi.org/10.5014/ajot.62.5.522</w:t>
      </w:r>
    </w:p>
    <w:p w14:paraId="1236A788" w14:textId="77777777" w:rsidR="00AA27B3" w:rsidRPr="00E8281A" w:rsidRDefault="00AA27B3" w:rsidP="00AA27B3">
      <w:pPr>
        <w:keepLines/>
        <w:spacing w:after="120" w:line="480" w:lineRule="auto"/>
        <w:ind w:left="720" w:hanging="720"/>
        <w:rPr>
          <w:color w:val="000000" w:themeColor="text1"/>
          <w:szCs w:val="20"/>
          <w:lang w:val="en-US" w:eastAsia="zh-HK"/>
        </w:rPr>
      </w:pPr>
      <w:r w:rsidRPr="00E8281A">
        <w:rPr>
          <w:color w:val="000000" w:themeColor="text1"/>
          <w:szCs w:val="20"/>
          <w:lang w:val="en-US" w:eastAsia="zh-HK"/>
        </w:rPr>
        <w:lastRenderedPageBreak/>
        <w:t xml:space="preserve">Bundy, A. C., Nelson, L., Metzger, M., &amp; Bingaman, K. (2001). Validity and reliability of a test of playfulness. </w:t>
      </w:r>
      <w:r w:rsidRPr="00E8281A">
        <w:rPr>
          <w:i/>
          <w:iCs/>
          <w:color w:val="000000" w:themeColor="text1"/>
          <w:szCs w:val="20"/>
          <w:lang w:val="en-US" w:eastAsia="zh-HK"/>
        </w:rPr>
        <w:t>OTJR (Thorofare, N.J.), 21</w:t>
      </w:r>
      <w:r w:rsidRPr="00E8281A">
        <w:rPr>
          <w:color w:val="000000" w:themeColor="text1"/>
          <w:szCs w:val="20"/>
          <w:lang w:val="en-US" w:eastAsia="zh-HK"/>
        </w:rPr>
        <w:t>(4), 276–292. https://doi.org/10.1177/153944920102100405</w:t>
      </w:r>
    </w:p>
    <w:p w14:paraId="2C286340" w14:textId="77777777" w:rsidR="00AC52A2" w:rsidRPr="00E8281A" w:rsidRDefault="00AC52A2" w:rsidP="00351C6B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Butcher, J. L., &amp; Niec, L. N. (2005). Disruptive behaviors and creativity in childhood: The importance of affect regulation. </w:t>
      </w:r>
      <w:r w:rsidRPr="00E8281A">
        <w:rPr>
          <w:i/>
          <w:iCs/>
          <w:color w:val="000000" w:themeColor="text1"/>
          <w:szCs w:val="20"/>
          <w:lang w:eastAsia="zh-HK"/>
        </w:rPr>
        <w:t>Creativity Research Journal, 17</w:t>
      </w:r>
      <w:r w:rsidRPr="00E8281A">
        <w:rPr>
          <w:color w:val="000000" w:themeColor="text1"/>
          <w:szCs w:val="20"/>
          <w:lang w:eastAsia="zh-HK"/>
        </w:rPr>
        <w:t xml:space="preserve">(2), 181-193. </w:t>
      </w:r>
      <w:r w:rsidR="00542DE8" w:rsidRPr="00E8281A">
        <w:rPr>
          <w:color w:val="000000" w:themeColor="text1"/>
          <w:szCs w:val="20"/>
          <w:lang w:val="en-US" w:eastAsia="zh-HK"/>
        </w:rPr>
        <w:t>https://doi.org/</w:t>
      </w:r>
      <w:r w:rsidRPr="00E8281A">
        <w:rPr>
          <w:color w:val="000000" w:themeColor="text1"/>
          <w:szCs w:val="20"/>
          <w:lang w:eastAsia="zh-HK"/>
        </w:rPr>
        <w:t>10.1080/10400419.2005.9651478</w:t>
      </w:r>
    </w:p>
    <w:p w14:paraId="24745596" w14:textId="77777777" w:rsidR="00660D1F" w:rsidRPr="00E8281A" w:rsidRDefault="00660D1F" w:rsidP="00351C6B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Canning, N. (2010). The influence of the outdoor environment: den-making in three different contexts. </w:t>
      </w:r>
      <w:r w:rsidRPr="00E8281A">
        <w:rPr>
          <w:i/>
          <w:iCs/>
          <w:color w:val="000000" w:themeColor="text1"/>
          <w:szCs w:val="20"/>
          <w:lang w:eastAsia="zh-HK"/>
        </w:rPr>
        <w:t>European Early Childhood Education Research Journal, 18</w:t>
      </w:r>
      <w:r w:rsidRPr="00E8281A">
        <w:rPr>
          <w:color w:val="000000" w:themeColor="text1"/>
          <w:szCs w:val="20"/>
          <w:lang w:eastAsia="zh-HK"/>
        </w:rPr>
        <w:t>(4), 555–566. https://doi.org/10.1080/1350293X.2010.525961</w:t>
      </w:r>
    </w:p>
    <w:p w14:paraId="1E04177A" w14:textId="77777777" w:rsidR="00CB1BFB" w:rsidRPr="00E8281A" w:rsidRDefault="00CB1BFB" w:rsidP="00351C6B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Chan, D. W., &amp; Chan, L. K. (1999). Implicit theories of creativity: Teachers' perception of student characteristics in Hong Kong. </w:t>
      </w:r>
      <w:r w:rsidRPr="00E8281A">
        <w:rPr>
          <w:i/>
          <w:iCs/>
          <w:color w:val="000000" w:themeColor="text1"/>
          <w:szCs w:val="20"/>
          <w:lang w:eastAsia="zh-HK"/>
        </w:rPr>
        <w:t>Creativity Research Journal, 12</w:t>
      </w:r>
      <w:r w:rsidRPr="00E8281A">
        <w:rPr>
          <w:color w:val="000000" w:themeColor="text1"/>
          <w:szCs w:val="20"/>
          <w:lang w:eastAsia="zh-HK"/>
        </w:rPr>
        <w:t>(3), 185–195. https://doi.org/10.1207/s15326934crj1203_3</w:t>
      </w:r>
    </w:p>
    <w:p w14:paraId="1E055317" w14:textId="77777777" w:rsidR="00351C6B" w:rsidRPr="00E8281A" w:rsidRDefault="00351C6B" w:rsidP="00351C6B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Chang, H., &amp; Kuo, C. (2013). Overexcitabilities: Empirical studies and application. </w:t>
      </w:r>
      <w:r w:rsidRPr="00E8281A">
        <w:rPr>
          <w:i/>
          <w:iCs/>
          <w:color w:val="000000" w:themeColor="text1"/>
          <w:szCs w:val="20"/>
          <w:lang w:eastAsia="zh-HK"/>
        </w:rPr>
        <w:t>Learning and Individual Differences, 23</w:t>
      </w:r>
      <w:r w:rsidRPr="00E8281A">
        <w:rPr>
          <w:color w:val="000000" w:themeColor="text1"/>
          <w:szCs w:val="20"/>
          <w:lang w:eastAsia="zh-HK"/>
        </w:rPr>
        <w:t xml:space="preserve">, 53-63. </w:t>
      </w:r>
      <w:r w:rsidR="005634AE" w:rsidRPr="00E8281A">
        <w:rPr>
          <w:color w:val="000000" w:themeColor="text1"/>
          <w:szCs w:val="20"/>
          <w:lang w:eastAsia="zh-HK"/>
        </w:rPr>
        <w:t>https://doi.org/</w:t>
      </w:r>
      <w:r w:rsidRPr="00E8281A">
        <w:rPr>
          <w:color w:val="000000" w:themeColor="text1"/>
          <w:szCs w:val="20"/>
          <w:lang w:eastAsia="zh-HK"/>
        </w:rPr>
        <w:t>10.1016/j.lindif.2012.10.010</w:t>
      </w:r>
    </w:p>
    <w:p w14:paraId="4D51582F" w14:textId="77777777" w:rsidR="003E6308" w:rsidRPr="00E8281A" w:rsidRDefault="003E6308" w:rsidP="000909DA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Chávez-Eakle, R. A., Eakle, A. J., &amp; Cruz-Fuentes, C. (2012). The </w:t>
      </w:r>
      <w:r w:rsidR="00F929EA" w:rsidRPr="00E8281A">
        <w:rPr>
          <w:color w:val="000000" w:themeColor="text1"/>
          <w:szCs w:val="20"/>
          <w:lang w:eastAsia="zh-HK"/>
        </w:rPr>
        <w:t>m</w:t>
      </w:r>
      <w:r w:rsidRPr="00E8281A">
        <w:rPr>
          <w:color w:val="000000" w:themeColor="text1"/>
          <w:szCs w:val="20"/>
          <w:lang w:eastAsia="zh-HK"/>
        </w:rPr>
        <w:t xml:space="preserve">ultiple </w:t>
      </w:r>
      <w:r w:rsidR="00F929EA" w:rsidRPr="00E8281A">
        <w:rPr>
          <w:color w:val="000000" w:themeColor="text1"/>
          <w:szCs w:val="20"/>
          <w:lang w:eastAsia="zh-HK"/>
        </w:rPr>
        <w:t>r</w:t>
      </w:r>
      <w:r w:rsidRPr="00E8281A">
        <w:rPr>
          <w:color w:val="000000" w:themeColor="text1"/>
          <w:szCs w:val="20"/>
          <w:lang w:eastAsia="zh-HK"/>
        </w:rPr>
        <w:t xml:space="preserve">elations </w:t>
      </w:r>
      <w:r w:rsidR="00F929EA" w:rsidRPr="00E8281A">
        <w:rPr>
          <w:color w:val="000000" w:themeColor="text1"/>
          <w:szCs w:val="20"/>
          <w:lang w:eastAsia="zh-HK"/>
        </w:rPr>
        <w:t>b</w:t>
      </w:r>
      <w:r w:rsidRPr="00E8281A">
        <w:rPr>
          <w:color w:val="000000" w:themeColor="text1"/>
          <w:szCs w:val="20"/>
          <w:lang w:eastAsia="zh-HK"/>
        </w:rPr>
        <w:t xml:space="preserve">etween </w:t>
      </w:r>
      <w:r w:rsidR="00F929EA" w:rsidRPr="00E8281A">
        <w:rPr>
          <w:color w:val="000000" w:themeColor="text1"/>
          <w:szCs w:val="20"/>
          <w:lang w:eastAsia="zh-HK"/>
        </w:rPr>
        <w:t>c</w:t>
      </w:r>
      <w:r w:rsidRPr="00E8281A">
        <w:rPr>
          <w:color w:val="000000" w:themeColor="text1"/>
          <w:szCs w:val="20"/>
          <w:lang w:eastAsia="zh-HK"/>
        </w:rPr>
        <w:t xml:space="preserve">reativity and </w:t>
      </w:r>
      <w:r w:rsidR="00F929EA" w:rsidRPr="00E8281A">
        <w:rPr>
          <w:color w:val="000000" w:themeColor="text1"/>
          <w:szCs w:val="20"/>
          <w:lang w:eastAsia="zh-HK"/>
        </w:rPr>
        <w:t>p</w:t>
      </w:r>
      <w:r w:rsidRPr="00E8281A">
        <w:rPr>
          <w:color w:val="000000" w:themeColor="text1"/>
          <w:szCs w:val="20"/>
          <w:lang w:eastAsia="zh-HK"/>
        </w:rPr>
        <w:t xml:space="preserve">ersonality. </w:t>
      </w:r>
      <w:r w:rsidRPr="00E8281A">
        <w:rPr>
          <w:i/>
          <w:iCs/>
          <w:color w:val="000000" w:themeColor="text1"/>
          <w:szCs w:val="20"/>
          <w:lang w:eastAsia="zh-HK"/>
        </w:rPr>
        <w:t>Creativity Research Journal, 24</w:t>
      </w:r>
      <w:r w:rsidRPr="00E8281A">
        <w:rPr>
          <w:color w:val="000000" w:themeColor="text1"/>
          <w:szCs w:val="20"/>
          <w:lang w:eastAsia="zh-HK"/>
        </w:rPr>
        <w:t>(1), 76–82. https://doi.org/10.1080/10400419.2012.649233</w:t>
      </w:r>
    </w:p>
    <w:p w14:paraId="0EC5455C" w14:textId="4B2A46D2" w:rsidR="00696BA4" w:rsidRDefault="00696BA4" w:rsidP="00696BA4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696BA4">
        <w:rPr>
          <w:color w:val="00B0F0"/>
          <w:szCs w:val="20"/>
          <w:lang w:eastAsia="zh-HK"/>
        </w:rPr>
        <w:t>Curriculum Development Council of HKSARG (2017). Kindergarten Education Curriculum Guide. https://www.edb.gov.hk/attachment/en/curriculum-development/major-level-of-edu/preprimary/ENG_KGECG_2017.pdf</w:t>
      </w:r>
    </w:p>
    <w:p w14:paraId="44B0D575" w14:textId="124F7EEF" w:rsidR="000909DA" w:rsidRPr="00E8281A" w:rsidRDefault="000909DA" w:rsidP="000909DA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>Dabrowski, K.</w:t>
      </w:r>
      <w:r w:rsidR="00AA0111" w:rsidRPr="00E8281A">
        <w:rPr>
          <w:color w:val="000000" w:themeColor="text1"/>
          <w:szCs w:val="20"/>
          <w:lang w:eastAsia="zh-HK"/>
        </w:rPr>
        <w:t xml:space="preserve"> </w:t>
      </w:r>
      <w:r w:rsidRPr="00E8281A">
        <w:rPr>
          <w:color w:val="000000" w:themeColor="text1"/>
          <w:szCs w:val="20"/>
          <w:lang w:eastAsia="zh-HK"/>
        </w:rPr>
        <w:t xml:space="preserve">(1964). </w:t>
      </w:r>
      <w:r w:rsidRPr="00E8281A">
        <w:rPr>
          <w:i/>
          <w:iCs/>
          <w:color w:val="000000" w:themeColor="text1"/>
          <w:szCs w:val="20"/>
          <w:lang w:eastAsia="zh-HK"/>
        </w:rPr>
        <w:t>Positive disintegration</w:t>
      </w:r>
      <w:r w:rsidRPr="00E8281A">
        <w:rPr>
          <w:color w:val="000000" w:themeColor="text1"/>
          <w:szCs w:val="20"/>
          <w:lang w:eastAsia="zh-HK"/>
        </w:rPr>
        <w:t>. Little Brown.</w:t>
      </w:r>
    </w:p>
    <w:p w14:paraId="39448202" w14:textId="5172229E" w:rsidR="00267999" w:rsidRPr="00E8281A" w:rsidRDefault="00267999" w:rsidP="004A7C24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Dabrowski, K. (1972). </w:t>
      </w:r>
      <w:r w:rsidRPr="00E8281A">
        <w:rPr>
          <w:i/>
          <w:iCs/>
          <w:color w:val="000000" w:themeColor="text1"/>
          <w:szCs w:val="20"/>
          <w:lang w:eastAsia="zh-HK"/>
        </w:rPr>
        <w:t>Psychoneurosis is not an illness</w:t>
      </w:r>
      <w:r w:rsidRPr="00E8281A">
        <w:rPr>
          <w:color w:val="000000" w:themeColor="text1"/>
          <w:szCs w:val="20"/>
          <w:lang w:eastAsia="zh-HK"/>
        </w:rPr>
        <w:t>. Gryf.</w:t>
      </w:r>
    </w:p>
    <w:p w14:paraId="6858581D" w14:textId="3F3D3A9E" w:rsidR="004A7C24" w:rsidRPr="00E8281A" w:rsidRDefault="004A7C24" w:rsidP="004A7C24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lastRenderedPageBreak/>
        <w:t xml:space="preserve">Daniels, S., &amp; Piechowski, M. M. (2009). Embracing intensity: overexcitability, sensitivity, and the developmental potential of the gifted. In S. Daniels &amp; M. M. Piechowski (Eds.), </w:t>
      </w:r>
      <w:r w:rsidRPr="00E8281A">
        <w:rPr>
          <w:i/>
          <w:iCs/>
          <w:color w:val="000000" w:themeColor="text1"/>
          <w:szCs w:val="20"/>
          <w:lang w:eastAsia="zh-HK"/>
        </w:rPr>
        <w:t>Living with intensity: Understanding the sensitivity, excitability, and emotional development of gifted children, adolescents, and adults</w:t>
      </w:r>
      <w:r w:rsidRPr="00E8281A">
        <w:rPr>
          <w:color w:val="000000" w:themeColor="text1"/>
          <w:szCs w:val="20"/>
          <w:lang w:eastAsia="zh-HK"/>
        </w:rPr>
        <w:t xml:space="preserve"> (pp. 3–17).</w:t>
      </w:r>
      <w:r w:rsidR="00FF45F2" w:rsidRPr="00E8281A">
        <w:rPr>
          <w:color w:val="000000" w:themeColor="text1"/>
          <w:szCs w:val="20"/>
          <w:lang w:eastAsia="zh-HK"/>
        </w:rPr>
        <w:t xml:space="preserve"> </w:t>
      </w:r>
      <w:r w:rsidRPr="00E8281A">
        <w:rPr>
          <w:color w:val="000000" w:themeColor="text1"/>
          <w:szCs w:val="20"/>
          <w:lang w:eastAsia="zh-HK"/>
        </w:rPr>
        <w:t>Great Potential Press.</w:t>
      </w:r>
    </w:p>
    <w:p w14:paraId="4EF9CB82" w14:textId="531B6CFE" w:rsidR="000E45E7" w:rsidRPr="00E8281A" w:rsidRDefault="00A66CB7" w:rsidP="004E5C85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De Bondt, N., De Maeyer, S., Donche, V., &amp; Van Petegem, P. (2021). A rationale for including overexcitability in talent research beyond the FFM-personality dimensions. </w:t>
      </w:r>
      <w:r w:rsidRPr="00E8281A">
        <w:rPr>
          <w:i/>
          <w:iCs/>
          <w:color w:val="000000" w:themeColor="text1"/>
          <w:szCs w:val="20"/>
          <w:lang w:eastAsia="zh-HK"/>
        </w:rPr>
        <w:t>High Ability Studies, 32</w:t>
      </w:r>
      <w:r w:rsidRPr="00E8281A">
        <w:rPr>
          <w:color w:val="000000" w:themeColor="text1"/>
          <w:szCs w:val="20"/>
          <w:lang w:eastAsia="zh-HK"/>
        </w:rPr>
        <w:t>(1), 1–26. https://doi.org/10.1080/13598139.2019.1668753</w:t>
      </w:r>
    </w:p>
    <w:p w14:paraId="5F86AE0A" w14:textId="74F83CA8" w:rsidR="004044BF" w:rsidRPr="00E8281A" w:rsidRDefault="004044BF" w:rsidP="004E5C85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De Bondt, N., &amp; Van Petegem, P. (2015). Psychometric evaluation of the Overexcitability Questionnaire-Two applying Bayesian structural equation modeling (BSEM) and multiple-group BSEM-based alignment with approximate measurement invariance. </w:t>
      </w:r>
      <w:r w:rsidRPr="00E8281A">
        <w:rPr>
          <w:i/>
          <w:iCs/>
          <w:color w:val="000000" w:themeColor="text1"/>
          <w:szCs w:val="20"/>
          <w:lang w:eastAsia="zh-HK"/>
        </w:rPr>
        <w:t>Frontiers in Psychology, 6</w:t>
      </w:r>
      <w:r w:rsidRPr="00E8281A">
        <w:rPr>
          <w:color w:val="000000" w:themeColor="text1"/>
          <w:szCs w:val="20"/>
          <w:lang w:eastAsia="zh-HK"/>
        </w:rPr>
        <w:t>, 1963–1963. https://doi.org/10.3389/fpsyg.2015.01963</w:t>
      </w:r>
    </w:p>
    <w:p w14:paraId="789ACE72" w14:textId="2AFE8C80" w:rsidR="004A4337" w:rsidRPr="00E8281A" w:rsidRDefault="004A4337" w:rsidP="004E5C85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>Donnellan, M. B.</w:t>
      </w:r>
      <w:r w:rsidR="00703714" w:rsidRPr="00E8281A">
        <w:rPr>
          <w:color w:val="000000" w:themeColor="text1"/>
          <w:szCs w:val="20"/>
          <w:lang w:eastAsia="zh-HK"/>
        </w:rPr>
        <w:t xml:space="preserve">, &amp; Robins, R. W. (2009). The development of personality across the lifespan. In P. J. Corr &amp; G. Matthews (Eds.), </w:t>
      </w:r>
      <w:r w:rsidR="00703714" w:rsidRPr="00E8281A">
        <w:rPr>
          <w:i/>
          <w:iCs/>
          <w:color w:val="000000" w:themeColor="text1"/>
          <w:szCs w:val="20"/>
          <w:lang w:eastAsia="zh-HK"/>
        </w:rPr>
        <w:t>Cambridge handbook of personality psychology</w:t>
      </w:r>
      <w:r w:rsidR="00703714" w:rsidRPr="00E8281A">
        <w:rPr>
          <w:color w:val="000000" w:themeColor="text1"/>
          <w:szCs w:val="20"/>
          <w:lang w:eastAsia="zh-HK"/>
        </w:rPr>
        <w:t xml:space="preserve"> (pp. 191-204). Cambridge University Press. </w:t>
      </w:r>
    </w:p>
    <w:p w14:paraId="60012A8B" w14:textId="5A0478CA" w:rsidR="004E5C85" w:rsidRPr="00E8281A" w:rsidRDefault="004E5C85" w:rsidP="004E5C85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Falk, R. F., Lind, S., Miller, N. B., Piechowski, M. M., &amp; Silverman, L. K. (1999). </w:t>
      </w:r>
      <w:r w:rsidRPr="00E8281A">
        <w:rPr>
          <w:i/>
          <w:iCs/>
          <w:color w:val="000000" w:themeColor="text1"/>
          <w:szCs w:val="20"/>
          <w:lang w:eastAsia="zh-HK"/>
        </w:rPr>
        <w:t>The overexcitability Questionnaire–Two (OEQ II): Manual, scoring system, and questionnaire</w:t>
      </w:r>
      <w:r w:rsidRPr="00E8281A">
        <w:rPr>
          <w:color w:val="000000" w:themeColor="text1"/>
          <w:szCs w:val="20"/>
          <w:lang w:eastAsia="zh-HK"/>
        </w:rPr>
        <w:t>. Institute for the Study of Advanced Development.</w:t>
      </w:r>
    </w:p>
    <w:p w14:paraId="27C9FB0D" w14:textId="4AC4490C" w:rsidR="008B6C54" w:rsidRPr="00E8281A" w:rsidRDefault="00676998" w:rsidP="005B5B80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Fung, W. K., &amp; Chung, K. K. H. (2021). Associations between overexcitabilities and playfulness of kindergarten children. </w:t>
      </w:r>
      <w:r w:rsidRPr="00E8281A">
        <w:rPr>
          <w:i/>
          <w:iCs/>
          <w:color w:val="000000" w:themeColor="text1"/>
          <w:szCs w:val="20"/>
          <w:lang w:eastAsia="zh-HK"/>
        </w:rPr>
        <w:t>Thinking Skills and Creativity, 40</w:t>
      </w:r>
      <w:r w:rsidRPr="00E8281A">
        <w:rPr>
          <w:color w:val="000000" w:themeColor="text1"/>
          <w:szCs w:val="20"/>
          <w:lang w:eastAsia="zh-HK"/>
        </w:rPr>
        <w:t>, 100834. https://doi.org/10.1016/j.tsc.2021.100834</w:t>
      </w:r>
    </w:p>
    <w:p w14:paraId="224F6A27" w14:textId="3148AA2D" w:rsidR="00735670" w:rsidRPr="00E8281A" w:rsidRDefault="00735670" w:rsidP="0079628C">
      <w:pPr>
        <w:keepLines/>
        <w:spacing w:after="120" w:line="480" w:lineRule="auto"/>
        <w:ind w:left="720" w:hanging="720"/>
        <w:rPr>
          <w:color w:val="000000" w:themeColor="text1"/>
          <w:szCs w:val="20"/>
          <w:highlight w:val="yellow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>Fung, W. K., &amp; Chung, K. K. H. (2022</w:t>
      </w:r>
      <w:r w:rsidR="002533ED" w:rsidRPr="00E8281A">
        <w:rPr>
          <w:color w:val="000000" w:themeColor="text1"/>
          <w:szCs w:val="20"/>
          <w:lang w:eastAsia="zh-HK"/>
        </w:rPr>
        <w:t>a</w:t>
      </w:r>
      <w:r w:rsidRPr="00E8281A">
        <w:rPr>
          <w:color w:val="000000" w:themeColor="text1"/>
          <w:szCs w:val="20"/>
          <w:lang w:eastAsia="zh-HK"/>
        </w:rPr>
        <w:t xml:space="preserve">). Overexcitabilities and creative potential in the kindergarten context: The mediating role of children’s playfulness. </w:t>
      </w:r>
      <w:r w:rsidRPr="00E8281A">
        <w:rPr>
          <w:i/>
          <w:iCs/>
          <w:color w:val="000000" w:themeColor="text1"/>
          <w:szCs w:val="20"/>
          <w:lang w:eastAsia="zh-HK"/>
        </w:rPr>
        <w:t>Thinking Skills and Creativity, 46</w:t>
      </w:r>
      <w:r w:rsidRPr="00E8281A">
        <w:rPr>
          <w:color w:val="000000" w:themeColor="text1"/>
          <w:szCs w:val="20"/>
          <w:lang w:eastAsia="zh-HK"/>
        </w:rPr>
        <w:t>, 101197. https://doi.org/10.1016/j.tsc.2022.101197</w:t>
      </w:r>
    </w:p>
    <w:p w14:paraId="0AB0F26D" w14:textId="353E4779" w:rsidR="0079628C" w:rsidRPr="00E8281A" w:rsidRDefault="00935D68" w:rsidP="0079628C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lastRenderedPageBreak/>
        <w:t>Fung, W. K., &amp; Chung, K. K. H. (2022</w:t>
      </w:r>
      <w:r w:rsidR="002533ED" w:rsidRPr="00E8281A">
        <w:rPr>
          <w:color w:val="000000" w:themeColor="text1"/>
          <w:szCs w:val="20"/>
          <w:lang w:eastAsia="zh-HK"/>
        </w:rPr>
        <w:t>b</w:t>
      </w:r>
      <w:r w:rsidRPr="00E8281A">
        <w:rPr>
          <w:color w:val="000000" w:themeColor="text1"/>
          <w:szCs w:val="20"/>
          <w:lang w:eastAsia="zh-HK"/>
        </w:rPr>
        <w:t xml:space="preserve">). Parental play supportiveness and kindergartners’ peer problems: Children’s playfulness as a potential mediator. </w:t>
      </w:r>
      <w:r w:rsidRPr="00E8281A">
        <w:rPr>
          <w:i/>
          <w:iCs/>
          <w:color w:val="000000" w:themeColor="text1"/>
          <w:szCs w:val="20"/>
          <w:lang w:eastAsia="zh-HK"/>
        </w:rPr>
        <w:t>Social Development, 31</w:t>
      </w:r>
      <w:r w:rsidRPr="00E8281A">
        <w:rPr>
          <w:color w:val="000000" w:themeColor="text1"/>
          <w:szCs w:val="20"/>
          <w:lang w:eastAsia="zh-HK"/>
        </w:rPr>
        <w:t>(4), 1126–1137. https://doi.org/10.1111/sode.12603</w:t>
      </w:r>
    </w:p>
    <w:p w14:paraId="4150E4C3" w14:textId="77777777" w:rsidR="008B6C54" w:rsidRPr="00E8281A" w:rsidRDefault="008B6C54" w:rsidP="005B5B80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Fung, W. K., Chung, K. K. H., &amp; He, M. W. (2021). Association between children’s imaginational overexcitability and parent‐reported creative potential: Cognitive and affective play processes as potential mediators. </w:t>
      </w:r>
      <w:r w:rsidRPr="00E8281A">
        <w:rPr>
          <w:i/>
          <w:iCs/>
          <w:color w:val="000000" w:themeColor="text1"/>
          <w:szCs w:val="20"/>
          <w:lang w:eastAsia="zh-HK"/>
        </w:rPr>
        <w:t>The Journal of Creative Behavior, 55</w:t>
      </w:r>
      <w:r w:rsidRPr="00E8281A">
        <w:rPr>
          <w:color w:val="000000" w:themeColor="text1"/>
          <w:szCs w:val="20"/>
          <w:lang w:eastAsia="zh-HK"/>
        </w:rPr>
        <w:t>(4), 962–969. https://doi.org/10.1002/jocb.501</w:t>
      </w:r>
    </w:p>
    <w:p w14:paraId="42F6007C" w14:textId="1D84EFE4" w:rsidR="00114E28" w:rsidRPr="00E8281A" w:rsidRDefault="00114E28" w:rsidP="005B5B80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Grant, B. (2021). Overexcitabilities and openness to experience are not the same: A critique of a study and reflections on theory, ethics, and truth. </w:t>
      </w:r>
      <w:r w:rsidRPr="00E8281A">
        <w:rPr>
          <w:i/>
          <w:iCs/>
          <w:color w:val="000000" w:themeColor="text1"/>
          <w:szCs w:val="20"/>
          <w:lang w:eastAsia="zh-HK"/>
        </w:rPr>
        <w:t>Roeper Review, 43</w:t>
      </w:r>
      <w:r w:rsidRPr="00E8281A">
        <w:rPr>
          <w:color w:val="000000" w:themeColor="text1"/>
          <w:szCs w:val="20"/>
          <w:lang w:eastAsia="zh-HK"/>
        </w:rPr>
        <w:t>(2), 128–138. https://doi.org/10.1080/02783193.2021.1881852</w:t>
      </w:r>
    </w:p>
    <w:p w14:paraId="5764EA46" w14:textId="119602CC" w:rsidR="00C62BED" w:rsidRPr="00E8281A" w:rsidRDefault="00C62BED" w:rsidP="005B5B80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He, W. (2018). A 4-year longitudinal study of the sex-creativity relationship in childhood, adolescence, and emerging adulthood: Findings of mean and variability analyses. </w:t>
      </w:r>
      <w:r w:rsidRPr="00E8281A">
        <w:rPr>
          <w:i/>
          <w:iCs/>
          <w:color w:val="000000" w:themeColor="text1"/>
          <w:szCs w:val="20"/>
          <w:lang w:eastAsia="zh-HK"/>
        </w:rPr>
        <w:t>Frontiers in Psychology, 9</w:t>
      </w:r>
      <w:r w:rsidRPr="00E8281A">
        <w:rPr>
          <w:color w:val="000000" w:themeColor="text1"/>
          <w:szCs w:val="20"/>
          <w:lang w:eastAsia="zh-HK"/>
        </w:rPr>
        <w:t>, 2331–2331. https://doi.org/10.3389/fpsyg.2018.02331</w:t>
      </w:r>
    </w:p>
    <w:p w14:paraId="557C6CAD" w14:textId="77777777" w:rsidR="005B5B80" w:rsidRPr="00E8281A" w:rsidRDefault="005B5B80" w:rsidP="005B5B80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He, W., Wong, W., &amp; Chan, M. (2017). Overexcitabilities as important psychological attributes of creativity: A Dabrowskian perspective. </w:t>
      </w:r>
      <w:r w:rsidRPr="00E8281A">
        <w:rPr>
          <w:i/>
          <w:iCs/>
          <w:color w:val="000000" w:themeColor="text1"/>
          <w:szCs w:val="20"/>
          <w:lang w:eastAsia="zh-HK"/>
        </w:rPr>
        <w:t>Thinking Skills and Creativity, 25</w:t>
      </w:r>
      <w:r w:rsidRPr="00E8281A">
        <w:rPr>
          <w:color w:val="000000" w:themeColor="text1"/>
          <w:szCs w:val="20"/>
          <w:lang w:eastAsia="zh-HK"/>
        </w:rPr>
        <w:t xml:space="preserve">, 27-35. </w:t>
      </w:r>
      <w:r w:rsidR="005634AE" w:rsidRPr="00E8281A">
        <w:rPr>
          <w:color w:val="000000" w:themeColor="text1"/>
          <w:szCs w:val="20"/>
          <w:lang w:eastAsia="zh-HK"/>
        </w:rPr>
        <w:t>https://doi.org/</w:t>
      </w:r>
      <w:r w:rsidRPr="00E8281A">
        <w:rPr>
          <w:color w:val="000000" w:themeColor="text1"/>
          <w:szCs w:val="20"/>
          <w:lang w:eastAsia="zh-HK"/>
        </w:rPr>
        <w:t>10.1016/j.tsc.2017.06.006</w:t>
      </w:r>
    </w:p>
    <w:p w14:paraId="2161FC3F" w14:textId="13A0742F" w:rsidR="00FC2957" w:rsidRPr="00E8281A" w:rsidRDefault="00FC2957" w:rsidP="00FC2957">
      <w:pPr>
        <w:keepLines/>
        <w:spacing w:after="120" w:line="480" w:lineRule="auto"/>
        <w:ind w:left="720" w:hanging="720"/>
        <w:rPr>
          <w:color w:val="000000" w:themeColor="text1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Hu, L., &amp; Bentler, P. M. (1999). Cutoff criteria for fit indexes in covariance structure analysis: Conventional criteria versus new alternatives. </w:t>
      </w:r>
      <w:r w:rsidRPr="00E8281A">
        <w:rPr>
          <w:i/>
          <w:iCs/>
          <w:color w:val="000000" w:themeColor="text1"/>
          <w:szCs w:val="20"/>
          <w:lang w:eastAsia="zh-HK"/>
        </w:rPr>
        <w:t>Structural Equation Modeling: A Multidisciplinary Journal, 6</w:t>
      </w:r>
      <w:r w:rsidRPr="00E8281A">
        <w:rPr>
          <w:color w:val="000000" w:themeColor="text1"/>
          <w:szCs w:val="20"/>
          <w:lang w:eastAsia="zh-HK"/>
        </w:rPr>
        <w:t xml:space="preserve">(1), 1-55. </w:t>
      </w:r>
      <w:r w:rsidRPr="00E8281A">
        <w:rPr>
          <w:color w:val="000000" w:themeColor="text1"/>
          <w:lang w:eastAsia="zh-HK"/>
        </w:rPr>
        <w:t>https://doi.org/</w:t>
      </w:r>
      <w:r w:rsidRPr="00E8281A">
        <w:rPr>
          <w:color w:val="000000" w:themeColor="text1"/>
          <w:szCs w:val="20"/>
          <w:lang w:eastAsia="zh-HK"/>
        </w:rPr>
        <w:t>10.1080/10705519909540118</w:t>
      </w:r>
    </w:p>
    <w:p w14:paraId="720E9365" w14:textId="292F6094" w:rsidR="00840E18" w:rsidRPr="00E8281A" w:rsidRDefault="00840E18" w:rsidP="00A70BEA">
      <w:pPr>
        <w:keepLines/>
        <w:spacing w:after="120" w:line="480" w:lineRule="auto"/>
        <w:ind w:left="720" w:hanging="720"/>
        <w:rPr>
          <w:color w:val="000000" w:themeColor="text1"/>
        </w:rPr>
      </w:pPr>
      <w:r w:rsidRPr="00E8281A">
        <w:rPr>
          <w:color w:val="000000" w:themeColor="text1"/>
        </w:rPr>
        <w:t xml:space="preserve">Hui, A. N. N., Chow, B. W. Y., Chan, A. Y. T., Chui, B. H. T., &amp; Sam, C. T. (2015). Creativity in Hong Kong classrooms: transition from a seriously formal pedagogy to informally playful learning. </w:t>
      </w:r>
      <w:r w:rsidRPr="00E8281A">
        <w:rPr>
          <w:i/>
          <w:iCs/>
          <w:color w:val="000000" w:themeColor="text1"/>
        </w:rPr>
        <w:t>Education 3-13, 43</w:t>
      </w:r>
      <w:r w:rsidRPr="00E8281A">
        <w:rPr>
          <w:color w:val="000000" w:themeColor="text1"/>
        </w:rPr>
        <w:t>(4), 393–403. https://doi.org/10.1080/03004279.2015.1020652</w:t>
      </w:r>
    </w:p>
    <w:p w14:paraId="4716B6BB" w14:textId="7E788EE3" w:rsidR="00C71CF9" w:rsidRPr="00E8281A" w:rsidRDefault="00C71CF9" w:rsidP="00A70BEA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</w:rPr>
        <w:lastRenderedPageBreak/>
        <w:t xml:space="preserve">Jackson, S. L., &amp; Cunningham, S. A. (2017). The stability of children's weight status over time, and the role of television, physical activity, and diet in elementary school. </w:t>
      </w:r>
      <w:r w:rsidRPr="00E8281A">
        <w:rPr>
          <w:i/>
          <w:iCs/>
          <w:color w:val="000000" w:themeColor="text1"/>
        </w:rPr>
        <w:t>Preventive Medicine, 100</w:t>
      </w:r>
      <w:r w:rsidRPr="00E8281A">
        <w:rPr>
          <w:color w:val="000000" w:themeColor="text1"/>
        </w:rPr>
        <w:t>, 229-234. https://doi.org/10.1016/j.ypmed.2017.04.026</w:t>
      </w:r>
    </w:p>
    <w:p w14:paraId="16C5EBDA" w14:textId="6C491A2F" w:rsidR="00CC24A4" w:rsidRPr="00E8281A" w:rsidRDefault="00CC24A4" w:rsidP="00A70BEA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Keisari, S., Gesser-Edelsburg, A., Yaniv, D., &amp; Palgi, Y. (2020). Playback theatre in adult day centers: A creative group intervention for community-dwelling older adults. </w:t>
      </w:r>
      <w:r w:rsidRPr="00E8281A">
        <w:rPr>
          <w:i/>
          <w:iCs/>
          <w:color w:val="000000" w:themeColor="text1"/>
          <w:szCs w:val="20"/>
          <w:lang w:eastAsia="zh-HK"/>
        </w:rPr>
        <w:t>PloS One, 15</w:t>
      </w:r>
      <w:r w:rsidRPr="00E8281A">
        <w:rPr>
          <w:color w:val="000000" w:themeColor="text1"/>
          <w:szCs w:val="20"/>
          <w:lang w:eastAsia="zh-HK"/>
        </w:rPr>
        <w:t>(10), e0239812–e0239812. https://doi.org/10.1371/journal.pone.0239812</w:t>
      </w:r>
    </w:p>
    <w:p w14:paraId="4D6D0677" w14:textId="2E769885" w:rsidR="001E7D7F" w:rsidRPr="00E8281A" w:rsidRDefault="001E7D7F" w:rsidP="00A70BEA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Krumpal, I. (2013). Determinants of social desirability bias in sensitive surveys: a literature review. </w:t>
      </w:r>
      <w:r w:rsidRPr="00E8281A">
        <w:rPr>
          <w:i/>
          <w:iCs/>
          <w:color w:val="000000" w:themeColor="text1"/>
          <w:szCs w:val="20"/>
          <w:lang w:eastAsia="zh-HK"/>
        </w:rPr>
        <w:t>Quality &amp; Quantity, 47</w:t>
      </w:r>
      <w:r w:rsidRPr="00E8281A">
        <w:rPr>
          <w:color w:val="000000" w:themeColor="text1"/>
          <w:szCs w:val="20"/>
          <w:lang w:eastAsia="zh-HK"/>
        </w:rPr>
        <w:t>(4), 2025–2047. https://doi.org/10.1007/s11135-011-9640-9</w:t>
      </w:r>
    </w:p>
    <w:p w14:paraId="6A9DD799" w14:textId="77777777" w:rsidR="000373A8" w:rsidRPr="00E8281A" w:rsidRDefault="000373A8" w:rsidP="00A70BEA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Lieberman, J. N. (1977). </w:t>
      </w:r>
      <w:r w:rsidRPr="00E8281A">
        <w:rPr>
          <w:i/>
          <w:iCs/>
          <w:color w:val="000000" w:themeColor="text1"/>
          <w:szCs w:val="20"/>
          <w:lang w:eastAsia="zh-HK"/>
        </w:rPr>
        <w:t>Playfulness: Its relationship to imagination and creativity.</w:t>
      </w:r>
      <w:r w:rsidRPr="00E8281A">
        <w:rPr>
          <w:color w:val="000000" w:themeColor="text1"/>
          <w:szCs w:val="20"/>
          <w:lang w:eastAsia="zh-HK"/>
        </w:rPr>
        <w:t xml:space="preserve"> </w:t>
      </w:r>
      <w:r w:rsidR="00474F79" w:rsidRPr="00E8281A">
        <w:rPr>
          <w:color w:val="000000" w:themeColor="text1"/>
          <w:szCs w:val="20"/>
          <w:lang w:eastAsia="zh-HK"/>
        </w:rPr>
        <w:t>Academic Press.</w:t>
      </w:r>
    </w:p>
    <w:p w14:paraId="7D787464" w14:textId="1A815B7B" w:rsidR="00840E18" w:rsidRPr="00E8281A" w:rsidRDefault="00840E18" w:rsidP="00A70BEA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bookmarkStart w:id="60" w:name="_Hlk118468696"/>
      <w:r w:rsidRPr="00E8281A">
        <w:rPr>
          <w:color w:val="000000" w:themeColor="text1"/>
          <w:szCs w:val="20"/>
          <w:lang w:eastAsia="zh-HK"/>
        </w:rPr>
        <w:t>Lloyd, B., &amp; Howe, N. (2003</w:t>
      </w:r>
      <w:bookmarkEnd w:id="60"/>
      <w:r w:rsidRPr="00E8281A">
        <w:rPr>
          <w:color w:val="000000" w:themeColor="text1"/>
          <w:szCs w:val="20"/>
          <w:lang w:eastAsia="zh-HK"/>
        </w:rPr>
        <w:t xml:space="preserve">). Solitary play and convergent and divergent thinking skills in preschool children. </w:t>
      </w:r>
      <w:r w:rsidRPr="00E8281A">
        <w:rPr>
          <w:i/>
          <w:iCs/>
          <w:color w:val="000000" w:themeColor="text1"/>
          <w:szCs w:val="20"/>
          <w:lang w:eastAsia="zh-HK"/>
        </w:rPr>
        <w:t>Early Childhood Research Quarterly, 18</w:t>
      </w:r>
      <w:r w:rsidRPr="00E8281A">
        <w:rPr>
          <w:color w:val="000000" w:themeColor="text1"/>
          <w:szCs w:val="20"/>
          <w:lang w:eastAsia="zh-HK"/>
        </w:rPr>
        <w:t>(1), 22–41. https://doi.org/10.1016/S0885-2006(03)00004-8</w:t>
      </w:r>
    </w:p>
    <w:p w14:paraId="4464F6A7" w14:textId="2A2F8E72" w:rsidR="00474F79" w:rsidRPr="00E8281A" w:rsidRDefault="00474F79" w:rsidP="00A70BEA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Luria, S. R., Baer, J., &amp; Kaufman, J. C. (2018). </w:t>
      </w:r>
      <w:r w:rsidRPr="00E8281A">
        <w:rPr>
          <w:i/>
          <w:iCs/>
          <w:color w:val="000000" w:themeColor="text1"/>
          <w:szCs w:val="20"/>
          <w:lang w:eastAsia="zh-HK"/>
        </w:rPr>
        <w:t>Creativity and Humor</w:t>
      </w:r>
      <w:r w:rsidRPr="00E8281A">
        <w:rPr>
          <w:color w:val="000000" w:themeColor="text1"/>
          <w:szCs w:val="20"/>
          <w:lang w:eastAsia="zh-HK"/>
        </w:rPr>
        <w:t>. Elsevier Science &amp; Technology.</w:t>
      </w:r>
      <w:r w:rsidR="009C1879" w:rsidRPr="00E8281A">
        <w:rPr>
          <w:color w:val="000000" w:themeColor="text1"/>
          <w:szCs w:val="20"/>
          <w:lang w:eastAsia="zh-HK"/>
        </w:rPr>
        <w:t xml:space="preserve"> </w:t>
      </w:r>
    </w:p>
    <w:p w14:paraId="0152A4E6" w14:textId="05208D20" w:rsidR="007463D7" w:rsidRPr="00E8281A" w:rsidRDefault="007463D7" w:rsidP="00980005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Mendaglio, S., &amp; Tillier, W. (2006). Dabrowski’s theory of positive disintegration and giftedness: Overexcitability research findings. </w:t>
      </w:r>
      <w:r w:rsidRPr="00E8281A">
        <w:rPr>
          <w:i/>
          <w:iCs/>
          <w:color w:val="000000" w:themeColor="text1"/>
          <w:szCs w:val="20"/>
          <w:lang w:eastAsia="zh-HK"/>
        </w:rPr>
        <w:t>Journal for the Education of the Gifted, 30</w:t>
      </w:r>
      <w:r w:rsidRPr="00E8281A">
        <w:rPr>
          <w:color w:val="000000" w:themeColor="text1"/>
          <w:szCs w:val="20"/>
          <w:lang w:eastAsia="zh-HK"/>
        </w:rPr>
        <w:t>(1), 68–87. https://doi.org/10.1177/016235320603000104</w:t>
      </w:r>
    </w:p>
    <w:p w14:paraId="47EF2420" w14:textId="68E7025D" w:rsidR="00980005" w:rsidRPr="00E8281A" w:rsidRDefault="00980005" w:rsidP="00980005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Moshagen, M., &amp; Erdfelder, E. (2016). A new strategy for testing structural equation models. </w:t>
      </w:r>
      <w:r w:rsidRPr="00E8281A">
        <w:rPr>
          <w:i/>
          <w:iCs/>
          <w:color w:val="000000" w:themeColor="text1"/>
          <w:szCs w:val="20"/>
          <w:lang w:eastAsia="zh-HK"/>
        </w:rPr>
        <w:t>Structural Equation Modeling, 23</w:t>
      </w:r>
      <w:r w:rsidRPr="00E8281A">
        <w:rPr>
          <w:color w:val="000000" w:themeColor="text1"/>
          <w:szCs w:val="20"/>
          <w:lang w:eastAsia="zh-HK"/>
        </w:rPr>
        <w:t>, 54–60. https://doi.org/10.1080/10705511.2014.950896</w:t>
      </w:r>
    </w:p>
    <w:p w14:paraId="5D0BBE26" w14:textId="1C1C66ED" w:rsidR="00DF747F" w:rsidRPr="00E8281A" w:rsidRDefault="00DF747F" w:rsidP="00DF747F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lastRenderedPageBreak/>
        <w:t xml:space="preserve">Oberski, D. (2014). lavaan.survey: An R package for complex survey analysis of structural equation models. </w:t>
      </w:r>
      <w:r w:rsidRPr="00E8281A">
        <w:rPr>
          <w:i/>
          <w:color w:val="000000" w:themeColor="text1"/>
          <w:szCs w:val="20"/>
          <w:lang w:eastAsia="zh-HK"/>
        </w:rPr>
        <w:t>Journal of Statistical Software, 57</w:t>
      </w:r>
      <w:r w:rsidRPr="00E8281A">
        <w:rPr>
          <w:color w:val="000000" w:themeColor="text1"/>
          <w:szCs w:val="20"/>
          <w:lang w:eastAsia="zh-HK"/>
        </w:rPr>
        <w:t>, 1-27. https://doi.org/10.18637/jss.v057.i01</w:t>
      </w:r>
    </w:p>
    <w:p w14:paraId="263D89EF" w14:textId="24330B18" w:rsidR="00FD6ED6" w:rsidRPr="00FD6ED6" w:rsidRDefault="00FD6ED6" w:rsidP="00A70BEA">
      <w:pPr>
        <w:keepLines/>
        <w:spacing w:after="120" w:line="480" w:lineRule="auto"/>
        <w:ind w:left="720" w:hanging="720"/>
        <w:rPr>
          <w:color w:val="00B0F0"/>
          <w:szCs w:val="20"/>
          <w:lang w:eastAsia="zh-HK"/>
        </w:rPr>
      </w:pPr>
      <w:r w:rsidRPr="00FD6ED6">
        <w:rPr>
          <w:color w:val="00B0F0"/>
          <w:szCs w:val="20"/>
          <w:lang w:eastAsia="zh-HK"/>
        </w:rPr>
        <w:t xml:space="preserve">Piechowski, M. (1999). Overexcitabilities. </w:t>
      </w:r>
      <w:r w:rsidRPr="00FD6ED6">
        <w:rPr>
          <w:i/>
          <w:iCs/>
          <w:color w:val="00B0F0"/>
          <w:szCs w:val="20"/>
          <w:lang w:eastAsia="zh-HK"/>
        </w:rPr>
        <w:t>Encyclopedia of creativity</w:t>
      </w:r>
      <w:r w:rsidRPr="00FD6ED6">
        <w:rPr>
          <w:color w:val="00B0F0"/>
          <w:szCs w:val="20"/>
          <w:lang w:eastAsia="zh-HK"/>
        </w:rPr>
        <w:t xml:space="preserve"> (pp. 325–334). Academic Press.</w:t>
      </w:r>
    </w:p>
    <w:p w14:paraId="37605136" w14:textId="7DB1BA1B" w:rsidR="0001268C" w:rsidRPr="00E8281A" w:rsidRDefault="0001268C" w:rsidP="00A70BEA">
      <w:pPr>
        <w:keepLines/>
        <w:spacing w:after="120" w:line="480" w:lineRule="auto"/>
        <w:ind w:left="720" w:hanging="720"/>
        <w:rPr>
          <w:color w:val="000000" w:themeColor="text1"/>
          <w:szCs w:val="20"/>
          <w:highlight w:val="yellow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Piechowski, M. M., &amp; Cunningham, K. (1985). Patterns of overexcitability in a group of artists. </w:t>
      </w:r>
      <w:r w:rsidRPr="00E8281A">
        <w:rPr>
          <w:i/>
          <w:iCs/>
          <w:color w:val="000000" w:themeColor="text1"/>
          <w:szCs w:val="20"/>
          <w:lang w:eastAsia="zh-HK"/>
        </w:rPr>
        <w:t>The Journal of Creative Behavior, 19</w:t>
      </w:r>
      <w:r w:rsidRPr="00E8281A">
        <w:rPr>
          <w:color w:val="000000" w:themeColor="text1"/>
          <w:szCs w:val="20"/>
          <w:lang w:eastAsia="zh-HK"/>
        </w:rPr>
        <w:t xml:space="preserve">(3), 153–174. https://doi.org/10.1002/j.2162-6057.1985.tb00655.x </w:t>
      </w:r>
    </w:p>
    <w:p w14:paraId="59F743A0" w14:textId="77777777" w:rsidR="009D4064" w:rsidRPr="00E8281A" w:rsidRDefault="009D4064" w:rsidP="009D4064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Pinchover, S. (2017). The relation between teachers’ and children’s playfulness: A pilot study. </w:t>
      </w:r>
      <w:r w:rsidRPr="00E8281A">
        <w:rPr>
          <w:i/>
          <w:iCs/>
          <w:color w:val="000000" w:themeColor="text1"/>
          <w:szCs w:val="20"/>
          <w:lang w:eastAsia="zh-HK"/>
        </w:rPr>
        <w:t>Frontiers in Psychology, 8</w:t>
      </w:r>
      <w:r w:rsidRPr="00E8281A">
        <w:rPr>
          <w:color w:val="000000" w:themeColor="text1"/>
          <w:szCs w:val="20"/>
          <w:lang w:eastAsia="zh-HK"/>
        </w:rPr>
        <w:t>, 2214–2214. https://doi.org/10.3389/fpsyg.2017.02214</w:t>
      </w:r>
    </w:p>
    <w:p w14:paraId="2EF0A25F" w14:textId="0B2AA750" w:rsidR="009C089D" w:rsidRPr="00E8281A" w:rsidRDefault="009C089D" w:rsidP="00A70BEA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Podsakoff, P. M., MacKenzie, S. B., Lee, J., &amp; Podsakoff, N. P. (2003). Common method biases in behavioral research. </w:t>
      </w:r>
      <w:r w:rsidRPr="00E8281A">
        <w:rPr>
          <w:i/>
          <w:iCs/>
          <w:color w:val="000000" w:themeColor="text1"/>
          <w:szCs w:val="20"/>
          <w:lang w:eastAsia="zh-HK"/>
        </w:rPr>
        <w:t>Journal of Applied Psychology, 88</w:t>
      </w:r>
      <w:r w:rsidRPr="00E8281A">
        <w:rPr>
          <w:color w:val="000000" w:themeColor="text1"/>
          <w:szCs w:val="20"/>
          <w:lang w:eastAsia="zh-HK"/>
        </w:rPr>
        <w:t>(5), 879–903. https://doi.org/10.1037/0021-9010.88.5.879</w:t>
      </w:r>
    </w:p>
    <w:p w14:paraId="3776CB26" w14:textId="463BE9FE" w:rsidR="00EF48FA" w:rsidRPr="00E8281A" w:rsidRDefault="00EF48FA" w:rsidP="00FC52EB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Proyer, R. T., Gander, F., Brauer, K., &amp; Chick, G. (2021). Can playfulness be stimulated? A randomised placebo‐controlled online playfulness intervention study on effects on trait playfulness, well‐being, and depression. </w:t>
      </w:r>
      <w:r w:rsidRPr="00E8281A">
        <w:rPr>
          <w:i/>
          <w:iCs/>
          <w:color w:val="000000" w:themeColor="text1"/>
          <w:szCs w:val="20"/>
          <w:lang w:eastAsia="zh-HK"/>
        </w:rPr>
        <w:t>Applied Psychology : Health and Well-Being, 13</w:t>
      </w:r>
      <w:r w:rsidRPr="00E8281A">
        <w:rPr>
          <w:color w:val="000000" w:themeColor="text1"/>
          <w:szCs w:val="20"/>
          <w:lang w:eastAsia="zh-HK"/>
        </w:rPr>
        <w:t>(1), 129–151. https://doi.org/10.1111/aphw.12220</w:t>
      </w:r>
    </w:p>
    <w:p w14:paraId="6091DD9E" w14:textId="6B22F751" w:rsidR="00FC52EB" w:rsidRPr="00E8281A" w:rsidRDefault="00FC52EB" w:rsidP="00FC52EB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>R Core Team (202</w:t>
      </w:r>
      <w:r w:rsidR="007B521A" w:rsidRPr="00E8281A">
        <w:rPr>
          <w:color w:val="000000" w:themeColor="text1"/>
          <w:szCs w:val="20"/>
          <w:lang w:eastAsia="zh-HK"/>
        </w:rPr>
        <w:t>3</w:t>
      </w:r>
      <w:r w:rsidRPr="00E8281A">
        <w:rPr>
          <w:color w:val="000000" w:themeColor="text1"/>
          <w:szCs w:val="20"/>
          <w:lang w:eastAsia="zh-HK"/>
        </w:rPr>
        <w:t xml:space="preserve">). </w:t>
      </w:r>
      <w:r w:rsidRPr="00E8281A">
        <w:rPr>
          <w:i/>
          <w:iCs/>
          <w:color w:val="000000" w:themeColor="text1"/>
          <w:szCs w:val="20"/>
          <w:lang w:eastAsia="zh-HK"/>
        </w:rPr>
        <w:t>R: A language and environment for statistical computing</w:t>
      </w:r>
      <w:r w:rsidRPr="00E8281A">
        <w:rPr>
          <w:color w:val="000000" w:themeColor="text1"/>
          <w:szCs w:val="20"/>
          <w:lang w:eastAsia="zh-HK"/>
        </w:rPr>
        <w:t xml:space="preserve">. R Foundation for Statistical Computing, Vienna, Austria. 2022. </w:t>
      </w:r>
      <w:hyperlink r:id="rId8" w:history="1">
        <w:r w:rsidRPr="00E8281A">
          <w:rPr>
            <w:rStyle w:val="Hyperlink"/>
            <w:color w:val="000000" w:themeColor="text1"/>
            <w:lang w:eastAsia="zh-HK"/>
          </w:rPr>
          <w:t>https://www.R-project.org/</w:t>
        </w:r>
      </w:hyperlink>
      <w:r w:rsidRPr="00E8281A">
        <w:rPr>
          <w:color w:val="000000" w:themeColor="text1"/>
          <w:sz w:val="20"/>
          <w:szCs w:val="20"/>
          <w:lang w:eastAsia="zh-HK"/>
        </w:rPr>
        <w:t xml:space="preserve"> </w:t>
      </w:r>
      <w:r w:rsidRPr="00E8281A">
        <w:rPr>
          <w:color w:val="000000" w:themeColor="text1"/>
          <w:szCs w:val="20"/>
          <w:lang w:eastAsia="zh-HK"/>
        </w:rPr>
        <w:t>Assess</w:t>
      </w:r>
      <w:r w:rsidR="0071761B" w:rsidRPr="00E8281A">
        <w:rPr>
          <w:color w:val="000000" w:themeColor="text1"/>
          <w:szCs w:val="20"/>
          <w:lang w:eastAsia="zh-HK"/>
        </w:rPr>
        <w:t>ed</w:t>
      </w:r>
      <w:r w:rsidRPr="00E8281A">
        <w:rPr>
          <w:color w:val="000000" w:themeColor="text1"/>
          <w:szCs w:val="20"/>
          <w:lang w:eastAsia="zh-HK"/>
        </w:rPr>
        <w:t xml:space="preserve"> 2</w:t>
      </w:r>
      <w:r w:rsidR="00817735" w:rsidRPr="00E8281A">
        <w:rPr>
          <w:color w:val="000000" w:themeColor="text1"/>
          <w:szCs w:val="20"/>
          <w:lang w:eastAsia="zh-HK"/>
        </w:rPr>
        <w:t xml:space="preserve"> March</w:t>
      </w:r>
      <w:r w:rsidRPr="00E8281A">
        <w:rPr>
          <w:color w:val="000000" w:themeColor="text1"/>
          <w:szCs w:val="20"/>
          <w:lang w:eastAsia="zh-HK"/>
        </w:rPr>
        <w:t xml:space="preserve"> 202</w:t>
      </w:r>
      <w:r w:rsidR="00AA6627" w:rsidRPr="00E8281A">
        <w:rPr>
          <w:color w:val="000000" w:themeColor="text1"/>
          <w:szCs w:val="20"/>
          <w:lang w:eastAsia="zh-HK"/>
        </w:rPr>
        <w:t>3</w:t>
      </w:r>
      <w:r w:rsidRPr="00E8281A">
        <w:rPr>
          <w:color w:val="000000" w:themeColor="text1"/>
          <w:szCs w:val="20"/>
          <w:lang w:eastAsia="zh-HK"/>
        </w:rPr>
        <w:t>.</w:t>
      </w:r>
    </w:p>
    <w:p w14:paraId="56EFDEB3" w14:textId="77777777" w:rsidR="00F1184E" w:rsidRPr="00E8281A" w:rsidRDefault="00F1184E" w:rsidP="00A70BEA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Rhodes, M. (1961). An analysis of creativity. </w:t>
      </w:r>
      <w:r w:rsidRPr="00E8281A">
        <w:rPr>
          <w:i/>
          <w:iCs/>
          <w:color w:val="000000" w:themeColor="text1"/>
          <w:szCs w:val="20"/>
          <w:lang w:eastAsia="zh-HK"/>
        </w:rPr>
        <w:t>The Phi Delta Kappan, 42</w:t>
      </w:r>
      <w:r w:rsidRPr="00E8281A">
        <w:rPr>
          <w:color w:val="000000" w:themeColor="text1"/>
          <w:szCs w:val="20"/>
          <w:lang w:eastAsia="zh-HK"/>
        </w:rPr>
        <w:t>, 305–310.</w:t>
      </w:r>
    </w:p>
    <w:p w14:paraId="0F09601D" w14:textId="68015650" w:rsidR="005B3A2E" w:rsidRPr="00E8281A" w:rsidRDefault="005B3A2E" w:rsidP="005B3A2E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lastRenderedPageBreak/>
        <w:t xml:space="preserve">Richards, R. (2007). Everyday creativity: Our hidden potential. In R. Richards (Ed.), </w:t>
      </w:r>
      <w:r w:rsidRPr="00E8281A">
        <w:rPr>
          <w:i/>
          <w:iCs/>
          <w:color w:val="000000" w:themeColor="text1"/>
          <w:szCs w:val="20"/>
          <w:lang w:eastAsia="zh-HK"/>
        </w:rPr>
        <w:t xml:space="preserve">Everyday creativity and new views of human nature: Psychological, social, and spiritual perspectives </w:t>
      </w:r>
      <w:r w:rsidRPr="00E8281A">
        <w:rPr>
          <w:color w:val="000000" w:themeColor="text1"/>
          <w:szCs w:val="20"/>
          <w:lang w:eastAsia="zh-HK"/>
        </w:rPr>
        <w:t xml:space="preserve">(pp. 25–54). American Psychological Association. https://doi.org/10.1037/11595-000 </w:t>
      </w:r>
    </w:p>
    <w:p w14:paraId="4B3F4CDF" w14:textId="0260E0D2" w:rsidR="00225838" w:rsidRPr="00E8281A" w:rsidRDefault="00225838" w:rsidP="00225838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Richards, R. (2019). Everyday creativity: Process and way of life - Four key issues. In J. Kaufman &amp; R. Sternberg (Eds.), </w:t>
      </w:r>
      <w:r w:rsidRPr="00E8281A">
        <w:rPr>
          <w:i/>
          <w:iCs/>
          <w:color w:val="000000" w:themeColor="text1"/>
          <w:szCs w:val="20"/>
          <w:lang w:eastAsia="zh-HK"/>
        </w:rPr>
        <w:t>The Cambridge handbook of Creativity</w:t>
      </w:r>
      <w:r w:rsidRPr="00E8281A">
        <w:rPr>
          <w:color w:val="000000" w:themeColor="text1"/>
          <w:szCs w:val="20"/>
          <w:lang w:eastAsia="zh-HK"/>
        </w:rPr>
        <w:t xml:space="preserve"> (pp. 189-215). Cambridge University Press.</w:t>
      </w:r>
      <w:r w:rsidR="00AF7AAE" w:rsidRPr="00E8281A">
        <w:rPr>
          <w:color w:val="000000" w:themeColor="text1"/>
          <w:szCs w:val="20"/>
          <w:lang w:eastAsia="zh-HK"/>
        </w:rPr>
        <w:t xml:space="preserve"> https://doi.org/10.1017/9781316979839</w:t>
      </w:r>
    </w:p>
    <w:p w14:paraId="64C95C4A" w14:textId="5083E000" w:rsidR="009A71D1" w:rsidRPr="00E8281A" w:rsidRDefault="009A71D1" w:rsidP="00D866E1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Runco, M. A. (1984). Teacher's judgments of creativity and social validity of divergent thinking tests. </w:t>
      </w:r>
      <w:r w:rsidRPr="00E8281A">
        <w:rPr>
          <w:i/>
          <w:iCs/>
          <w:color w:val="000000" w:themeColor="text1"/>
          <w:szCs w:val="20"/>
          <w:lang w:eastAsia="zh-HK"/>
        </w:rPr>
        <w:t>Perceptual and Motor Skills, 59</w:t>
      </w:r>
      <w:r w:rsidRPr="00E8281A">
        <w:rPr>
          <w:color w:val="000000" w:themeColor="text1"/>
          <w:szCs w:val="20"/>
          <w:lang w:eastAsia="zh-HK"/>
        </w:rPr>
        <w:t>(3), 711-717. http://dx.doi.org/10.2466/pms.1984.59.3.711</w:t>
      </w:r>
    </w:p>
    <w:p w14:paraId="6CAF6E10" w14:textId="7B6174C3" w:rsidR="00F017E8" w:rsidRPr="00E8281A" w:rsidRDefault="00F017E8" w:rsidP="00D866E1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Runco, M. A. (2014). “Big C, Little c” Creativity as a false dichotomy: Reality is not categorical. </w:t>
      </w:r>
      <w:r w:rsidRPr="00E8281A">
        <w:rPr>
          <w:i/>
          <w:iCs/>
          <w:color w:val="000000" w:themeColor="text1"/>
          <w:szCs w:val="20"/>
          <w:lang w:eastAsia="zh-HK"/>
        </w:rPr>
        <w:t>Creativity Research Journal, 26</w:t>
      </w:r>
      <w:r w:rsidRPr="00E8281A">
        <w:rPr>
          <w:color w:val="000000" w:themeColor="text1"/>
          <w:szCs w:val="20"/>
          <w:lang w:eastAsia="zh-HK"/>
        </w:rPr>
        <w:t>(1), 131–132. https://doi.org/10.1080/10400419.2014.873676</w:t>
      </w:r>
    </w:p>
    <w:p w14:paraId="08154848" w14:textId="72100C29" w:rsidR="00F0501A" w:rsidRPr="00E8281A" w:rsidRDefault="00F0501A" w:rsidP="00D866E1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Runco, M. A., &amp; Jaeger, G. J. (2012). The standard definition of creativity. </w:t>
      </w:r>
      <w:r w:rsidRPr="00E8281A">
        <w:rPr>
          <w:i/>
          <w:iCs/>
          <w:color w:val="000000" w:themeColor="text1"/>
          <w:szCs w:val="20"/>
          <w:lang w:eastAsia="zh-HK"/>
        </w:rPr>
        <w:t>Creativity Research Journal, 24</w:t>
      </w:r>
      <w:r w:rsidRPr="00E8281A">
        <w:rPr>
          <w:color w:val="000000" w:themeColor="text1"/>
          <w:szCs w:val="20"/>
          <w:lang w:eastAsia="zh-HK"/>
        </w:rPr>
        <w:t>(1), 92–96. https://doi.org/10.1080/10400419.2012.650092</w:t>
      </w:r>
    </w:p>
    <w:p w14:paraId="61697D9A" w14:textId="00A9E2D6" w:rsidR="00622408" w:rsidRPr="00E8281A" w:rsidRDefault="00622408" w:rsidP="00D866E1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Runco, M. A., &amp; Johnson, D. J. (2002). Parents’ and teachers’ implicit theories of children’s creativity: A cross-cultural perspective. </w:t>
      </w:r>
      <w:r w:rsidRPr="00E8281A">
        <w:rPr>
          <w:i/>
          <w:iCs/>
          <w:color w:val="000000" w:themeColor="text1"/>
          <w:szCs w:val="20"/>
          <w:lang w:eastAsia="zh-HK"/>
        </w:rPr>
        <w:t>Creativity Research Journal, 14</w:t>
      </w:r>
      <w:r w:rsidRPr="00E8281A">
        <w:rPr>
          <w:color w:val="000000" w:themeColor="text1"/>
          <w:szCs w:val="20"/>
          <w:lang w:eastAsia="zh-HK"/>
        </w:rPr>
        <w:t>(3-4), 427–438. https://doi.org/10.1207/S15326934CRJ1434_12</w:t>
      </w:r>
    </w:p>
    <w:p w14:paraId="3982FC2E" w14:textId="7411940C" w:rsidR="00622408" w:rsidRPr="00E8281A" w:rsidRDefault="00622408" w:rsidP="00D866E1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Runco, M. A., Johnson, D. J., &amp; Bear, P. K. (1993). Parents’ and teachers’ implicit theories  of children’s creativity. </w:t>
      </w:r>
      <w:r w:rsidRPr="00E8281A">
        <w:rPr>
          <w:i/>
          <w:iCs/>
          <w:color w:val="000000" w:themeColor="text1"/>
          <w:szCs w:val="20"/>
          <w:lang w:eastAsia="zh-HK"/>
        </w:rPr>
        <w:t>Child Study Journal, 23</w:t>
      </w:r>
      <w:r w:rsidRPr="00E8281A">
        <w:rPr>
          <w:color w:val="000000" w:themeColor="text1"/>
          <w:szCs w:val="20"/>
          <w:lang w:eastAsia="zh-HK"/>
        </w:rPr>
        <w:t>, 91–113.</w:t>
      </w:r>
    </w:p>
    <w:p w14:paraId="5674EAAA" w14:textId="56133271" w:rsidR="00D866E1" w:rsidRPr="00E8281A" w:rsidRDefault="00D866E1" w:rsidP="00D866E1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Russ, S. W. (2003). Play and creativity: Developmental issues. </w:t>
      </w:r>
      <w:r w:rsidRPr="00E8281A">
        <w:rPr>
          <w:i/>
          <w:iCs/>
          <w:color w:val="000000" w:themeColor="text1"/>
          <w:szCs w:val="20"/>
          <w:lang w:eastAsia="zh-HK"/>
        </w:rPr>
        <w:t>Scandinavian Journal of Educational Research, 47</w:t>
      </w:r>
      <w:r w:rsidRPr="00E8281A">
        <w:rPr>
          <w:color w:val="000000" w:themeColor="text1"/>
          <w:szCs w:val="20"/>
          <w:lang w:eastAsia="zh-HK"/>
        </w:rPr>
        <w:t>(3), 291–303. https://doi.org/10.1080/00313830308594</w:t>
      </w:r>
    </w:p>
    <w:p w14:paraId="5E5B6BED" w14:textId="77777777" w:rsidR="00FA39F4" w:rsidRPr="00E8281A" w:rsidRDefault="00A70BEA" w:rsidP="00A70BEA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t xml:space="preserve">Russ, S. W., &amp; Wallace, C. E. (2013). Pretend play and creative processes. </w:t>
      </w:r>
      <w:r w:rsidRPr="00E8281A">
        <w:rPr>
          <w:i/>
          <w:iCs/>
          <w:color w:val="000000" w:themeColor="text1"/>
          <w:szCs w:val="20"/>
          <w:lang w:eastAsia="zh-HK"/>
        </w:rPr>
        <w:t>American Journal of Play, 6</w:t>
      </w:r>
      <w:r w:rsidRPr="00E8281A">
        <w:rPr>
          <w:color w:val="000000" w:themeColor="text1"/>
          <w:szCs w:val="20"/>
          <w:lang w:eastAsia="zh-HK"/>
        </w:rPr>
        <w:t>(1), 136</w:t>
      </w:r>
      <w:r w:rsidR="009418EB" w:rsidRPr="00E8281A">
        <w:rPr>
          <w:color w:val="000000" w:themeColor="text1"/>
          <w:szCs w:val="20"/>
          <w:lang w:eastAsia="zh-HK"/>
        </w:rPr>
        <w:t>-148</w:t>
      </w:r>
      <w:r w:rsidRPr="00E8281A">
        <w:rPr>
          <w:color w:val="000000" w:themeColor="text1"/>
          <w:szCs w:val="20"/>
          <w:lang w:eastAsia="zh-HK"/>
        </w:rPr>
        <w:t>.</w:t>
      </w:r>
    </w:p>
    <w:p w14:paraId="744839B6" w14:textId="77777777" w:rsidR="00A70BEA" w:rsidRPr="00E8281A" w:rsidRDefault="00FA39F4" w:rsidP="00A70BEA">
      <w:pPr>
        <w:keepLines/>
        <w:spacing w:after="120" w:line="480" w:lineRule="auto"/>
        <w:ind w:left="720" w:hanging="720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</w:rPr>
        <w:lastRenderedPageBreak/>
        <w:t xml:space="preserve">Stühmann, L. M., Paprott, R., Heidemann, C., Ziese, T., Hansen, S., Zahn, D., . . . Gellert, P. (2020). Psychometric properties of a nationwide survey for adults with and without diabetes: The "disease knowledge and information needs - diabetes mellitus (2017)" survey. </w:t>
      </w:r>
      <w:r w:rsidRPr="00E8281A">
        <w:rPr>
          <w:i/>
          <w:iCs/>
          <w:color w:val="000000" w:themeColor="text1"/>
        </w:rPr>
        <w:t>BMC Public Health, 20</w:t>
      </w:r>
      <w:r w:rsidRPr="00E8281A">
        <w:rPr>
          <w:color w:val="000000" w:themeColor="text1"/>
        </w:rPr>
        <w:t>(1), 192. https://doi.org/10.1186/s12889-020-8296-6</w:t>
      </w:r>
      <w:r w:rsidR="00A70BEA" w:rsidRPr="00E8281A">
        <w:rPr>
          <w:color w:val="000000" w:themeColor="text1"/>
          <w:szCs w:val="20"/>
          <w:lang w:eastAsia="zh-HK"/>
        </w:rPr>
        <w:t xml:space="preserve"> </w:t>
      </w:r>
    </w:p>
    <w:p w14:paraId="11DAFA6C" w14:textId="77777777" w:rsidR="009360C8" w:rsidRPr="00E8281A" w:rsidRDefault="0056293A" w:rsidP="009360C8">
      <w:pPr>
        <w:keepLines/>
        <w:spacing w:after="120" w:line="480" w:lineRule="auto"/>
        <w:ind w:left="720" w:hanging="720"/>
        <w:rPr>
          <w:color w:val="000000" w:themeColor="text1"/>
          <w:lang w:eastAsia="zh-HK"/>
        </w:rPr>
      </w:pPr>
      <w:r w:rsidRPr="00E8281A">
        <w:rPr>
          <w:color w:val="000000" w:themeColor="text1"/>
          <w:lang w:eastAsia="zh-HK"/>
        </w:rPr>
        <w:t xml:space="preserve">Trevlas, E., Matsouka, O., &amp; Zachopoulou, E. (2003). Relationship between playfulness and motor creativity in preschool children. </w:t>
      </w:r>
      <w:r w:rsidRPr="00E8281A">
        <w:rPr>
          <w:i/>
          <w:iCs/>
          <w:color w:val="000000" w:themeColor="text1"/>
          <w:lang w:eastAsia="zh-HK"/>
        </w:rPr>
        <w:t>Early Child Development and Care, 173</w:t>
      </w:r>
      <w:r w:rsidRPr="00E8281A">
        <w:rPr>
          <w:color w:val="000000" w:themeColor="text1"/>
          <w:lang w:eastAsia="zh-HK"/>
        </w:rPr>
        <w:t xml:space="preserve">(5), 535-543. </w:t>
      </w:r>
      <w:bookmarkEnd w:id="57"/>
      <w:bookmarkEnd w:id="58"/>
      <w:r w:rsidR="0055203A" w:rsidRPr="00E8281A">
        <w:rPr>
          <w:color w:val="000000" w:themeColor="text1"/>
          <w:lang w:eastAsia="zh-HK"/>
        </w:rPr>
        <w:t>https://doi.org/10.1080/0300443032000070482</w:t>
      </w:r>
    </w:p>
    <w:p w14:paraId="6891735A" w14:textId="760EA699" w:rsidR="00583402" w:rsidRPr="00E8281A" w:rsidRDefault="00583402" w:rsidP="00583402">
      <w:pPr>
        <w:keepLines/>
        <w:spacing w:after="120" w:line="480" w:lineRule="auto"/>
        <w:ind w:left="720" w:hanging="720"/>
        <w:rPr>
          <w:color w:val="000000" w:themeColor="text1"/>
          <w:lang w:eastAsia="zh-HK"/>
        </w:rPr>
      </w:pPr>
      <w:r w:rsidRPr="00E8281A">
        <w:rPr>
          <w:color w:val="000000" w:themeColor="text1"/>
          <w:lang w:eastAsia="zh-HK"/>
        </w:rPr>
        <w:t xml:space="preserve">Urban, K. K., &amp; Jellen, H. G. (1996). </w:t>
      </w:r>
      <w:r w:rsidRPr="00E8281A">
        <w:rPr>
          <w:i/>
          <w:iCs/>
          <w:color w:val="000000" w:themeColor="text1"/>
          <w:lang w:eastAsia="zh-HK"/>
        </w:rPr>
        <w:t>Test for Creative Thinking – Drawing Production (TCT-DP)</w:t>
      </w:r>
      <w:r w:rsidRPr="00E8281A">
        <w:rPr>
          <w:color w:val="000000" w:themeColor="text1"/>
          <w:lang w:eastAsia="zh-HK"/>
        </w:rPr>
        <w:t>. Swets &amp; Zeitlinger.</w:t>
      </w:r>
    </w:p>
    <w:p w14:paraId="232B32A8" w14:textId="2F0341E0" w:rsidR="00261CFC" w:rsidRPr="00E8281A" w:rsidRDefault="00261CFC" w:rsidP="009360C8">
      <w:pPr>
        <w:keepLines/>
        <w:spacing w:after="120" w:line="480" w:lineRule="auto"/>
        <w:ind w:left="720" w:hanging="720"/>
        <w:rPr>
          <w:color w:val="000000" w:themeColor="text1"/>
          <w:lang w:eastAsia="zh-HK"/>
        </w:rPr>
      </w:pPr>
      <w:r w:rsidRPr="00E8281A">
        <w:rPr>
          <w:color w:val="000000" w:themeColor="text1"/>
          <w:lang w:eastAsia="zh-HK"/>
        </w:rPr>
        <w:t xml:space="preserve">Van Laar, E., Van Deursen, J. A. M., &amp; Van Dijk, A.G.M. (2022) Developing policy aimed at 21st-century digital skills for the creative industries: an interview study with founders and managing directors, </w:t>
      </w:r>
      <w:r w:rsidRPr="00E8281A">
        <w:rPr>
          <w:i/>
          <w:iCs/>
          <w:color w:val="000000" w:themeColor="text1"/>
          <w:lang w:eastAsia="zh-HK"/>
        </w:rPr>
        <w:t>Journal of Education and Work, 35</w:t>
      </w:r>
      <w:r w:rsidRPr="00E8281A">
        <w:rPr>
          <w:color w:val="000000" w:themeColor="text1"/>
          <w:lang w:eastAsia="zh-HK"/>
        </w:rPr>
        <w:t>(2), 195-209. https://doi.org/10.1080/13639080.2022.2036710</w:t>
      </w:r>
    </w:p>
    <w:p w14:paraId="13616973" w14:textId="2B47D4E6" w:rsidR="00114E28" w:rsidRPr="00E8281A" w:rsidRDefault="00114E28" w:rsidP="009360C8">
      <w:pPr>
        <w:keepLines/>
        <w:spacing w:after="120" w:line="480" w:lineRule="auto"/>
        <w:ind w:left="720" w:hanging="720"/>
        <w:rPr>
          <w:color w:val="000000" w:themeColor="text1"/>
          <w:lang w:eastAsia="zh-HK"/>
        </w:rPr>
      </w:pPr>
      <w:r w:rsidRPr="00E8281A">
        <w:rPr>
          <w:color w:val="000000" w:themeColor="text1"/>
          <w:lang w:eastAsia="zh-HK"/>
        </w:rPr>
        <w:t xml:space="preserve">Vuyk, M. A., &amp; Kerr, B. (2021). Openness to experience and overexcitabilities, a jangle fallacy with ethical implications: A response to Barry Grant. </w:t>
      </w:r>
      <w:r w:rsidRPr="00E8281A">
        <w:rPr>
          <w:i/>
          <w:iCs/>
          <w:color w:val="000000" w:themeColor="text1"/>
          <w:lang w:eastAsia="zh-HK"/>
        </w:rPr>
        <w:t>Roeper Review, 43</w:t>
      </w:r>
      <w:r w:rsidRPr="00E8281A">
        <w:rPr>
          <w:color w:val="000000" w:themeColor="text1"/>
          <w:lang w:eastAsia="zh-HK"/>
        </w:rPr>
        <w:t>(2), 139–141. https://doi.org/10.1080/02783193.2021.1881749</w:t>
      </w:r>
    </w:p>
    <w:p w14:paraId="08757C58" w14:textId="0FF3B487" w:rsidR="001D41BB" w:rsidRPr="00E8281A" w:rsidRDefault="001D41BB" w:rsidP="009360C8">
      <w:pPr>
        <w:keepLines/>
        <w:spacing w:after="120" w:line="480" w:lineRule="auto"/>
        <w:ind w:left="720" w:hanging="720"/>
        <w:rPr>
          <w:color w:val="000000" w:themeColor="text1"/>
          <w:lang w:eastAsia="zh-HK"/>
        </w:rPr>
      </w:pPr>
      <w:r w:rsidRPr="00E8281A">
        <w:rPr>
          <w:color w:val="000000" w:themeColor="text1"/>
          <w:lang w:eastAsia="zh-HK"/>
        </w:rPr>
        <w:t xml:space="preserve">Vuyk, M. A., Kerr, B. A., &amp; Krieshok, T. S. (2016). From overexcitabilities to openness: Informing gifted education with psychological science. </w:t>
      </w:r>
      <w:r w:rsidRPr="00E8281A">
        <w:rPr>
          <w:i/>
          <w:iCs/>
          <w:color w:val="000000" w:themeColor="text1"/>
          <w:lang w:eastAsia="zh-HK"/>
        </w:rPr>
        <w:t>Gifted and Talented International, 31</w:t>
      </w:r>
      <w:r w:rsidRPr="00E8281A">
        <w:rPr>
          <w:color w:val="000000" w:themeColor="text1"/>
          <w:lang w:eastAsia="zh-HK"/>
        </w:rPr>
        <w:t>(1), 59–71. https://doi.org/10.1080/15332276.2016.1220796</w:t>
      </w:r>
    </w:p>
    <w:p w14:paraId="21BFED5D" w14:textId="24DE8A89" w:rsidR="001D41BB" w:rsidRPr="00E8281A" w:rsidRDefault="001D41BB" w:rsidP="009360C8">
      <w:pPr>
        <w:keepLines/>
        <w:spacing w:after="120" w:line="480" w:lineRule="auto"/>
        <w:ind w:left="720" w:hanging="720"/>
        <w:rPr>
          <w:color w:val="000000" w:themeColor="text1"/>
          <w:lang w:eastAsia="zh-HK"/>
        </w:rPr>
      </w:pPr>
      <w:r w:rsidRPr="00E8281A">
        <w:rPr>
          <w:color w:val="000000" w:themeColor="text1"/>
          <w:lang w:eastAsia="zh-HK"/>
        </w:rPr>
        <w:t xml:space="preserve">Vuyk, M. A., Krieshok, T. S., &amp; Kerr, B. A. (2016). Openness to experience rather than overexcitabilities: Call it like it ss. </w:t>
      </w:r>
      <w:r w:rsidRPr="00E8281A">
        <w:rPr>
          <w:i/>
          <w:iCs/>
          <w:color w:val="000000" w:themeColor="text1"/>
          <w:lang w:eastAsia="zh-HK"/>
        </w:rPr>
        <w:t>The Gifted Child Quarterly, 60</w:t>
      </w:r>
      <w:r w:rsidRPr="00E8281A">
        <w:rPr>
          <w:color w:val="000000" w:themeColor="text1"/>
          <w:lang w:eastAsia="zh-HK"/>
        </w:rPr>
        <w:t>(3), 192–211. https://doi.org/10.1177/0016986216645407</w:t>
      </w:r>
    </w:p>
    <w:p w14:paraId="18C5CC17" w14:textId="6E006F6F" w:rsidR="009360C8" w:rsidRPr="00E8281A" w:rsidRDefault="009360C8" w:rsidP="009360C8">
      <w:pPr>
        <w:keepLines/>
        <w:spacing w:after="120" w:line="480" w:lineRule="auto"/>
        <w:ind w:left="720" w:hanging="720"/>
        <w:rPr>
          <w:color w:val="000000" w:themeColor="text1"/>
          <w:lang w:eastAsia="zh-HK"/>
        </w:rPr>
        <w:sectPr w:rsidR="009360C8" w:rsidRPr="00E8281A" w:rsidSect="00E23EA1">
          <w:headerReference w:type="even" r:id="rId9"/>
          <w:headerReference w:type="default" r:id="rId10"/>
          <w:pgSz w:w="11906" w:h="16838" w:code="9"/>
          <w:pgMar w:top="1440" w:right="1440" w:bottom="1440" w:left="1440" w:header="851" w:footer="992" w:gutter="0"/>
          <w:cols w:space="425"/>
          <w:docGrid w:linePitch="360"/>
        </w:sectPr>
      </w:pPr>
      <w:r w:rsidRPr="00E8281A">
        <w:rPr>
          <w:color w:val="000000" w:themeColor="text1"/>
          <w:lang w:eastAsia="zh-HK"/>
        </w:rPr>
        <w:t xml:space="preserve">Vygotsky, L. (1967). Play and its role in the mental development of the child. </w:t>
      </w:r>
      <w:r w:rsidRPr="00E8281A">
        <w:rPr>
          <w:i/>
          <w:iCs/>
          <w:color w:val="000000" w:themeColor="text1"/>
          <w:lang w:eastAsia="zh-HK"/>
        </w:rPr>
        <w:t>Soviet Psychology, 5</w:t>
      </w:r>
      <w:r w:rsidRPr="00E8281A">
        <w:rPr>
          <w:color w:val="000000" w:themeColor="text1"/>
          <w:lang w:eastAsia="zh-HK"/>
        </w:rPr>
        <w:t>(3), 6–18.</w:t>
      </w:r>
    </w:p>
    <w:p w14:paraId="77335370" w14:textId="77777777" w:rsidR="00986471" w:rsidRPr="00E8281A" w:rsidRDefault="00986471" w:rsidP="00986471">
      <w:pPr>
        <w:spacing w:line="360" w:lineRule="auto"/>
        <w:rPr>
          <w:color w:val="000000" w:themeColor="text1"/>
          <w:sz w:val="18"/>
          <w:szCs w:val="18"/>
          <w:lang w:eastAsia="zh-HK"/>
        </w:rPr>
      </w:pPr>
      <w:r w:rsidRPr="00E8281A">
        <w:rPr>
          <w:color w:val="000000" w:themeColor="text1"/>
          <w:sz w:val="18"/>
          <w:szCs w:val="18"/>
          <w:lang w:eastAsia="zh-HK"/>
        </w:rPr>
        <w:lastRenderedPageBreak/>
        <w:t>Table 1</w:t>
      </w:r>
    </w:p>
    <w:p w14:paraId="0714DBAA" w14:textId="77777777" w:rsidR="00986471" w:rsidRPr="00E8281A" w:rsidRDefault="00986471" w:rsidP="00986471">
      <w:pPr>
        <w:spacing w:line="360" w:lineRule="auto"/>
        <w:rPr>
          <w:i/>
          <w:color w:val="000000" w:themeColor="text1"/>
          <w:sz w:val="18"/>
          <w:szCs w:val="18"/>
          <w:lang w:eastAsia="zh-HK"/>
        </w:rPr>
      </w:pPr>
      <w:r w:rsidRPr="00E8281A">
        <w:rPr>
          <w:i/>
          <w:color w:val="000000" w:themeColor="text1"/>
          <w:sz w:val="18"/>
          <w:szCs w:val="18"/>
          <w:lang w:eastAsia="zh-HK"/>
        </w:rPr>
        <w:t>Descriptive statistics, reliabilities, and bivariate correlations of study variables.</w:t>
      </w:r>
    </w:p>
    <w:tbl>
      <w:tblPr>
        <w:tblStyle w:val="TableGrid"/>
        <w:tblpPr w:leftFromText="180" w:rightFromText="180" w:vertAnchor="text" w:horzAnchor="margin" w:tblpY="108"/>
        <w:tblW w:w="14601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84"/>
        <w:gridCol w:w="709"/>
        <w:gridCol w:w="708"/>
        <w:gridCol w:w="709"/>
        <w:gridCol w:w="709"/>
        <w:gridCol w:w="709"/>
        <w:gridCol w:w="1417"/>
        <w:gridCol w:w="1418"/>
        <w:gridCol w:w="1417"/>
        <w:gridCol w:w="1418"/>
        <w:gridCol w:w="1417"/>
        <w:gridCol w:w="1418"/>
      </w:tblGrid>
      <w:tr w:rsidR="00F5365C" w:rsidRPr="00E8281A" w14:paraId="291A0E7D" w14:textId="77777777" w:rsidTr="006B5423">
        <w:trPr>
          <w:trHeight w:val="278"/>
        </w:trPr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BB27E" w14:textId="77777777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  <w:lang w:eastAsia="zh-H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1EF94" w14:textId="77777777" w:rsidR="006B5423" w:rsidRPr="00E8281A" w:rsidRDefault="006B5423" w:rsidP="008960BC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B6C47" w14:textId="6FC050A0" w:rsidR="006B5423" w:rsidRPr="00E8281A" w:rsidRDefault="006B5423" w:rsidP="008960BC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Correlations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5DE33" w14:textId="77777777" w:rsidR="006B5423" w:rsidRPr="00E8281A" w:rsidRDefault="006B5423" w:rsidP="008960BC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5365C" w:rsidRPr="00E8281A" w14:paraId="3F42C0F0" w14:textId="77777777" w:rsidTr="006B5423">
        <w:trPr>
          <w:trHeight w:val="328"/>
        </w:trPr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AAA195" w14:textId="77777777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  <w:lang w:eastAsia="zh-HK"/>
              </w:rPr>
            </w:pPr>
            <w:r w:rsidRPr="00E8281A">
              <w:rPr>
                <w:color w:val="000000" w:themeColor="text1"/>
                <w:sz w:val="18"/>
                <w:szCs w:val="18"/>
                <w:lang w:eastAsia="zh-HK"/>
              </w:rPr>
              <w:t>Variables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EC199" w14:textId="77777777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05B89C" w14:textId="59B0D881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(1)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87E63B" w14:textId="5FEC4D3D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(2)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9829B2" w14:textId="075BF820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(3)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84575A" w14:textId="6E4AAABB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(4)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17C853" w14:textId="4184B03C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(5)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6CED92" w14:textId="56E18B9A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(6)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E2D694" w14:textId="25B56990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(7)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4EABC2" w14:textId="3B9F9241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8281A">
              <w:rPr>
                <w:color w:val="000000" w:themeColor="text1"/>
                <w:sz w:val="18"/>
                <w:szCs w:val="18"/>
                <w:lang w:eastAsia="zh-HK"/>
              </w:rPr>
              <w:t xml:space="preserve">(8)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1FE99A" w14:textId="73BA9264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(9)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516E4C" w14:textId="578EEACE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(10)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119AC" w14:textId="20D2D101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(11)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</w:tr>
      <w:tr w:rsidR="00F5365C" w:rsidRPr="00E8281A" w14:paraId="1A363285" w14:textId="77777777" w:rsidTr="006B5423"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F08EC6" w14:textId="5EAEEE37" w:rsidR="006B5423" w:rsidRPr="00E8281A" w:rsidRDefault="006B5423" w:rsidP="00D276D5">
            <w:pPr>
              <w:spacing w:line="360" w:lineRule="auto"/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</w:pPr>
            <w:r w:rsidRPr="00E8281A">
              <w:rPr>
                <w:color w:val="000000" w:themeColor="text1"/>
                <w:sz w:val="18"/>
                <w:szCs w:val="18"/>
                <w:lang w:eastAsia="zh-HK"/>
              </w:rPr>
              <w:t xml:space="preserve">1. Imaginational OE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a</w:t>
            </w:r>
            <w:r w:rsidRPr="00E8281A">
              <w:rPr>
                <w:color w:val="000000" w:themeColor="text1"/>
                <w:sz w:val="18"/>
                <w:szCs w:val="18"/>
                <w:lang w:eastAsia="zh-HK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D2D306" w14:textId="77777777" w:rsidR="006B5423" w:rsidRPr="00E8281A" w:rsidRDefault="006B5423" w:rsidP="00D276D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A24F18" w14:textId="64060AA2" w:rsidR="006B5423" w:rsidRPr="00E8281A" w:rsidRDefault="006B5423" w:rsidP="00D276D5">
            <w:pPr>
              <w:spacing w:line="360" w:lineRule="auto"/>
              <w:rPr>
                <w:color w:val="000000" w:themeColor="text1"/>
                <w:sz w:val="18"/>
                <w:szCs w:val="18"/>
                <w:lang w:eastAsia="zh-HK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12DA7" w14:textId="7C9CEF58" w:rsidR="006B5423" w:rsidRPr="00E8281A" w:rsidRDefault="006B5423" w:rsidP="00D276D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.35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122BB" w14:textId="6E292D02" w:rsidR="006B5423" w:rsidRPr="00E8281A" w:rsidRDefault="006B5423" w:rsidP="00D276D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.44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E2937" w14:textId="42B2447E" w:rsidR="006B5423" w:rsidRPr="00E8281A" w:rsidRDefault="006B5423" w:rsidP="00D276D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.42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FEF2E" w14:textId="6A5A1A82" w:rsidR="006B5423" w:rsidRPr="00E8281A" w:rsidRDefault="006B5423" w:rsidP="00D276D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.40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7AD80" w14:textId="66F1A82D" w:rsidR="006B5423" w:rsidRPr="00E8281A" w:rsidRDefault="006B5423" w:rsidP="00D276D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-.06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B7CFA8" w14:textId="58A34E5E" w:rsidR="006B5423" w:rsidRPr="00E8281A" w:rsidRDefault="006B5423" w:rsidP="00D276D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-.04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A636CC" w14:textId="32B7C615" w:rsidR="006B5423" w:rsidRPr="00E8281A" w:rsidRDefault="006B5423" w:rsidP="00D276D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116FC" w14:textId="1D003751" w:rsidR="006B5423" w:rsidRPr="00E8281A" w:rsidRDefault="006B5423" w:rsidP="00D276D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2BAA86" w14:textId="3940A48A" w:rsidR="006B5423" w:rsidRPr="00E8281A" w:rsidRDefault="006B5423" w:rsidP="00D276D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99C84" w14:textId="3B2CAD84" w:rsidR="006B5423" w:rsidRPr="00E8281A" w:rsidRDefault="006B5423" w:rsidP="00D276D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.10</w:t>
            </w:r>
          </w:p>
        </w:tc>
      </w:tr>
      <w:tr w:rsidR="00F5365C" w:rsidRPr="00E8281A" w14:paraId="5066B208" w14:textId="77777777" w:rsidTr="006B5423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CE57F" w14:textId="54D1DF75" w:rsidR="006B5423" w:rsidRPr="00E8281A" w:rsidRDefault="006B5423" w:rsidP="00D276D5">
            <w:pPr>
              <w:spacing w:line="360" w:lineRule="auto"/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</w:pPr>
            <w:r w:rsidRPr="00E8281A">
              <w:rPr>
                <w:color w:val="000000" w:themeColor="text1"/>
                <w:sz w:val="18"/>
                <w:szCs w:val="18"/>
                <w:lang w:eastAsia="zh-HK"/>
              </w:rPr>
              <w:t xml:space="preserve">2. Psychomotor OE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114303" w14:textId="77777777" w:rsidR="006B5423" w:rsidRPr="00E8281A" w:rsidRDefault="006B5423" w:rsidP="00D276D5">
            <w:pPr>
              <w:spacing w:line="360" w:lineRule="auto"/>
              <w:rPr>
                <w:color w:val="000000" w:themeColor="text1"/>
                <w:sz w:val="18"/>
                <w:szCs w:val="18"/>
                <w:lang w:eastAsia="zh-H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CFB90" w14:textId="70F675C7" w:rsidR="006B5423" w:rsidRPr="00E8281A" w:rsidRDefault="006B5423" w:rsidP="00D276D5">
            <w:pPr>
              <w:spacing w:line="360" w:lineRule="auto"/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</w:pPr>
            <w:r w:rsidRPr="00E8281A">
              <w:rPr>
                <w:color w:val="000000" w:themeColor="text1"/>
                <w:sz w:val="18"/>
                <w:szCs w:val="18"/>
                <w:lang w:eastAsia="zh-HK"/>
              </w:rPr>
              <w:t>.35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B8AE8" w14:textId="77777777" w:rsidR="006B5423" w:rsidRPr="00E8281A" w:rsidRDefault="006B5423" w:rsidP="00D276D5">
            <w:pPr>
              <w:spacing w:line="360" w:lineRule="auto"/>
              <w:rPr>
                <w:color w:val="000000" w:themeColor="text1"/>
                <w:sz w:val="18"/>
                <w:szCs w:val="18"/>
                <w:lang w:eastAsia="zh-HK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95CC24B" w14:textId="36897596" w:rsidR="006B5423" w:rsidRPr="00E8281A" w:rsidRDefault="006B5423" w:rsidP="00D276D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696932F" w14:textId="568262A0" w:rsidR="006B5423" w:rsidRPr="00E8281A" w:rsidRDefault="006B5423" w:rsidP="00D276D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.41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999470B" w14:textId="531104FF" w:rsidR="006B5423" w:rsidRPr="00E8281A" w:rsidRDefault="006B5423" w:rsidP="00D276D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.47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474A17" w14:textId="158D3B85" w:rsidR="006B5423" w:rsidRPr="00E8281A" w:rsidRDefault="006B5423" w:rsidP="00D276D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.24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1F206B6" w14:textId="771EE043" w:rsidR="006B5423" w:rsidRPr="00E8281A" w:rsidRDefault="006B5423" w:rsidP="00D276D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.23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F829FE" w14:textId="7890F28F" w:rsidR="006B5423" w:rsidRPr="00E8281A" w:rsidRDefault="006B5423" w:rsidP="00D276D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.25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6FBFC2" w14:textId="1D6C037C" w:rsidR="006B5423" w:rsidRPr="00E8281A" w:rsidRDefault="006B5423" w:rsidP="00D276D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.24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1C2EB9" w14:textId="1BC95965" w:rsidR="006B5423" w:rsidRPr="00E8281A" w:rsidRDefault="006B5423" w:rsidP="00D276D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.25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39405B" w14:textId="360AC644" w:rsidR="006B5423" w:rsidRPr="00E8281A" w:rsidRDefault="006B5423" w:rsidP="00D276D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.26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</w:t>
            </w:r>
          </w:p>
        </w:tc>
      </w:tr>
      <w:tr w:rsidR="00F5365C" w:rsidRPr="00E8281A" w14:paraId="1A93DEC3" w14:textId="77777777" w:rsidTr="006B5423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8C7FB" w14:textId="3B2DB52A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</w:pPr>
            <w:r w:rsidRPr="00E8281A">
              <w:rPr>
                <w:color w:val="000000" w:themeColor="text1"/>
                <w:sz w:val="18"/>
                <w:szCs w:val="18"/>
                <w:lang w:eastAsia="zh-HK"/>
              </w:rPr>
              <w:t xml:space="preserve">3. 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Sensual </w:t>
            </w:r>
            <w:r w:rsidRPr="00E8281A">
              <w:rPr>
                <w:color w:val="000000" w:themeColor="text1"/>
                <w:sz w:val="18"/>
                <w:szCs w:val="18"/>
                <w:lang w:eastAsia="zh-HK"/>
              </w:rPr>
              <w:t xml:space="preserve">OE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54BE84" w14:textId="77777777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  <w:lang w:eastAsia="zh-H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7ACB150" w14:textId="43449D56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  <w:lang w:eastAsia="zh-HK"/>
              </w:rPr>
            </w:pPr>
            <w:r w:rsidRPr="00E8281A">
              <w:rPr>
                <w:color w:val="000000" w:themeColor="text1"/>
                <w:sz w:val="18"/>
                <w:szCs w:val="18"/>
                <w:lang w:eastAsia="zh-HK"/>
              </w:rPr>
              <w:t>.44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71B2EB1" w14:textId="7239982F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  <w:lang w:eastAsia="zh-HK"/>
              </w:rPr>
            </w:pPr>
            <w:r w:rsidRPr="00E8281A">
              <w:rPr>
                <w:color w:val="000000" w:themeColor="text1"/>
                <w:sz w:val="18"/>
                <w:szCs w:val="18"/>
                <w:lang w:eastAsia="zh-HK"/>
              </w:rPr>
              <w:t>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B13F7" w14:textId="77777777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  <w:lang w:eastAsia="zh-HK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99D881" w14:textId="4B381220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.52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4138463" w14:textId="2484D032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.36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CA944B" w14:textId="5B524CD6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-.05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5A7E247" w14:textId="6C565DD6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-.02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A0A053" w14:textId="1B404829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-.02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336486" w14:textId="2CD36170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A43062" w14:textId="4D326F7A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4E1194A" w14:textId="55B3C0C1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.07</w:t>
            </w:r>
          </w:p>
        </w:tc>
      </w:tr>
      <w:tr w:rsidR="00F5365C" w:rsidRPr="00E8281A" w14:paraId="57BAB04E" w14:textId="77777777" w:rsidTr="006B5423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59F21" w14:textId="5F7A1564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</w:pPr>
            <w:r w:rsidRPr="00E8281A">
              <w:rPr>
                <w:color w:val="000000" w:themeColor="text1"/>
                <w:sz w:val="18"/>
                <w:szCs w:val="18"/>
                <w:lang w:eastAsia="zh-HK"/>
              </w:rPr>
              <w:t xml:space="preserve">4. 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Intellectual </w:t>
            </w:r>
            <w:r w:rsidRPr="00E8281A">
              <w:rPr>
                <w:color w:val="000000" w:themeColor="text1"/>
                <w:sz w:val="18"/>
                <w:szCs w:val="18"/>
                <w:lang w:eastAsia="zh-HK"/>
              </w:rPr>
              <w:t xml:space="preserve">OE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84CD67" w14:textId="77777777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  <w:lang w:eastAsia="zh-H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F4688FB" w14:textId="601D925C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  <w:lang w:eastAsia="zh-HK"/>
              </w:rPr>
            </w:pPr>
            <w:r w:rsidRPr="00E8281A">
              <w:rPr>
                <w:color w:val="000000" w:themeColor="text1"/>
                <w:sz w:val="18"/>
                <w:szCs w:val="18"/>
                <w:lang w:eastAsia="zh-HK"/>
              </w:rPr>
              <w:t>.42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001F6C7" w14:textId="12CDA821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  <w:lang w:eastAsia="zh-HK"/>
              </w:rPr>
            </w:pPr>
            <w:r w:rsidRPr="00E8281A">
              <w:rPr>
                <w:color w:val="000000" w:themeColor="text1"/>
                <w:sz w:val="18"/>
                <w:szCs w:val="18"/>
                <w:lang w:eastAsia="zh-HK"/>
              </w:rPr>
              <w:t>.41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664F1DB" w14:textId="1B2F95DD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.52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9F35EC" w14:textId="77777777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  <w:lang w:eastAsia="zh-HK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BE496FE" w14:textId="4EB5A729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.57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817CA5" w14:textId="5E61F404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978ED8" w14:textId="4640E2ED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4FEA8E" w14:textId="0D7B2194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.18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E62D9E" w14:textId="0AE0838B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.20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70CCAF" w14:textId="5792444D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.23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691797" w14:textId="3501A5A0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.20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</w:t>
            </w:r>
          </w:p>
        </w:tc>
      </w:tr>
      <w:tr w:rsidR="00F5365C" w:rsidRPr="00E8281A" w14:paraId="62100374" w14:textId="77777777" w:rsidTr="006B5423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A7FDF" w14:textId="493E990E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</w:pPr>
            <w:r w:rsidRPr="00E8281A">
              <w:rPr>
                <w:color w:val="000000" w:themeColor="text1"/>
                <w:sz w:val="18"/>
                <w:szCs w:val="18"/>
                <w:lang w:eastAsia="zh-HK"/>
              </w:rPr>
              <w:t xml:space="preserve">5. 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Emotional </w:t>
            </w:r>
            <w:r w:rsidRPr="00E8281A">
              <w:rPr>
                <w:color w:val="000000" w:themeColor="text1"/>
                <w:sz w:val="18"/>
                <w:szCs w:val="18"/>
                <w:lang w:eastAsia="zh-HK"/>
              </w:rPr>
              <w:t xml:space="preserve">OE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E78094" w14:textId="77777777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  <w:lang w:eastAsia="zh-H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DD85831" w14:textId="26C8DD88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  <w:lang w:eastAsia="zh-HK"/>
              </w:rPr>
            </w:pPr>
            <w:r w:rsidRPr="00E8281A">
              <w:rPr>
                <w:color w:val="000000" w:themeColor="text1"/>
                <w:sz w:val="18"/>
                <w:szCs w:val="18"/>
                <w:lang w:eastAsia="zh-HK"/>
              </w:rPr>
              <w:t>.40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FBC22E6" w14:textId="290FDDB6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  <w:lang w:eastAsia="zh-HK"/>
              </w:rPr>
            </w:pPr>
            <w:r w:rsidRPr="00E8281A">
              <w:rPr>
                <w:color w:val="000000" w:themeColor="text1"/>
                <w:sz w:val="18"/>
                <w:szCs w:val="18"/>
                <w:lang w:eastAsia="zh-HK"/>
              </w:rPr>
              <w:t>.47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F9395E4" w14:textId="07F12EA1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.36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BEA187B" w14:textId="16E6C223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.57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EB9F98D" w14:textId="77777777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  <w:lang w:eastAsia="zh-HK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A79261" w14:textId="75BCFA73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A76C55" w14:textId="19FDA037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F3AB3C" w14:textId="089104B1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5FCD2AB" w14:textId="30986FE8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2ADAF6" w14:textId="5FDE733C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A1EFE57" w14:textId="64F1769B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.11</w:t>
            </w:r>
          </w:p>
        </w:tc>
      </w:tr>
      <w:tr w:rsidR="00F5365C" w:rsidRPr="00E8281A" w14:paraId="0F494C57" w14:textId="77777777" w:rsidTr="006B5423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16DA8" w14:textId="287C1D0E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6. Physical spontaneity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C4A0B3" w14:textId="77777777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3B88AD2" w14:textId="063C5CE6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9B24406" w14:textId="349B5F93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.30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E87AB0" w14:textId="0CFF8FBC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FB789FB" w14:textId="6FD3A575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.34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F352611" w14:textId="7B0D5619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0249BF" w14:textId="77777777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3D3E9B2" w14:textId="75DF2292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.78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B92C2D" w14:textId="1E224514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.66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1E0A45F" w14:textId="50C222B7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.73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0EAB2D" w14:textId="4FBF695B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.70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7C9AEF1" w14:textId="50B3C607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.61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</w:tr>
      <w:tr w:rsidR="00F5365C" w:rsidRPr="00E8281A" w14:paraId="1589E1F4" w14:textId="77777777" w:rsidTr="006B5423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25198" w14:textId="3C7367EB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7. Social spontaneity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958255" w14:textId="77777777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00D93C" w14:textId="1655C5E4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99AA24C" w14:textId="1537CB0E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C510CBB" w14:textId="6E14C3E8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C625AF1" w14:textId="17EAD6A7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.24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447B6E0" w14:textId="3CE90F8D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3F9BB8" w14:textId="32050C26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.63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945D4DB" w14:textId="77777777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03CEDE" w14:textId="6BB215E3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.79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823F769" w14:textId="2FB3E869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.82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D74C0B" w14:textId="36CDA77D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.72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C8CEDC2" w14:textId="57993B4D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.69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</w:tr>
      <w:tr w:rsidR="00F5365C" w:rsidRPr="00E8281A" w14:paraId="32F6808E" w14:textId="77777777" w:rsidTr="006B5423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E0323" w14:textId="22616227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8. Cognitive spontaneity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649758" w14:textId="77777777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FBB4A14" w14:textId="49B5F429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F15BE7A" w14:textId="1EC7ED66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3926A8" w14:textId="211D71FC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8D0127" w14:textId="7A1997DC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.29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B721467" w14:textId="60B79FE6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858816" w14:textId="2D4F5C09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.63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7C29793" w14:textId="7B8E1B63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.80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3DA550" w14:textId="77777777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AFBCFC6" w14:textId="120ADC1E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.75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5E8D02" w14:textId="3C0F1A03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.71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B547AC4" w14:textId="15BF5A89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.73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</w:tr>
      <w:tr w:rsidR="00F5365C" w:rsidRPr="00E8281A" w14:paraId="35637244" w14:textId="77777777" w:rsidTr="006B5423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E88C6" w14:textId="0CFF2918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9. Manifest joy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723F1B" w14:textId="77777777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3C1EED2" w14:textId="020EEBA1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1F3AE6E" w14:textId="1018E7E3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.29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777805" w14:textId="7E6EC662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E442B49" w14:textId="4EC0A16E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.32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83D76B3" w14:textId="0179CE90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FF6913" w14:textId="7E302A2B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.73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96ED2A5" w14:textId="3D96FC20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.75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93EE7E" w14:textId="1EE3B9C4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.74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1167D" w14:textId="77777777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389487" w14:textId="22F8BDBC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.71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0A6ADBA" w14:textId="5B751DB1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.59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</w:tr>
      <w:tr w:rsidR="00F5365C" w:rsidRPr="00E8281A" w14:paraId="77920DB5" w14:textId="77777777" w:rsidTr="006B5423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36F4C" w14:textId="588555C0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10. Sense of </w:t>
            </w:r>
            <w:r w:rsidR="0024543F" w:rsidRPr="00E8281A">
              <w:rPr>
                <w:color w:val="000000" w:themeColor="text1"/>
                <w:sz w:val="18"/>
                <w:szCs w:val="18"/>
              </w:rPr>
              <w:t>humor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F70518" w14:textId="77777777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719339" w14:textId="66EBAA74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D29B8AA" w14:textId="709ECE91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.20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49E2C20" w14:textId="57AC2DA6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30F7D59" w14:textId="35153CDF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.39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448A23D" w14:textId="10718334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84CF02" w14:textId="18C40D84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.66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F065931" w14:textId="7E2A818A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.63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9881FF" w14:textId="545902A5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.67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BFDB45" w14:textId="41B9B7DB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.65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BB26B" w14:textId="77777777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08903C" w14:textId="622C27B3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.63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</w:tr>
      <w:tr w:rsidR="00F5365C" w:rsidRPr="00E8281A" w14:paraId="16387F64" w14:textId="77777777" w:rsidTr="006B5423"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24D6A2" w14:textId="47474926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11. Creative potential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A91A3" w14:textId="77777777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AE4AF" w14:textId="148B6B93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3F3A1" w14:textId="50C63C8C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.18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62A1A" w14:textId="5E1517F1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9ED47" w14:textId="253A6010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.22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0A1B9" w14:textId="37D8E4C0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90362" w14:textId="7889923E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.54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3A3E4" w14:textId="1132CBEF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.70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31AC7" w14:textId="5C55613E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.72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6F991" w14:textId="279188BD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.60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10F22" w14:textId="10B1EAF3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.48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  <w:lang w:eastAsia="zh-HK"/>
              </w:rPr>
              <w:t>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E74EC" w14:textId="77777777" w:rsidR="006B5423" w:rsidRPr="00E8281A" w:rsidRDefault="006B5423" w:rsidP="002E6C95">
            <w:pPr>
              <w:spacing w:line="360" w:lineRule="auto"/>
              <w:rPr>
                <w:color w:val="000000" w:themeColor="text1"/>
                <w:sz w:val="18"/>
                <w:szCs w:val="18"/>
                <w:lang w:eastAsia="zh-HK"/>
              </w:rPr>
            </w:pPr>
            <w:r w:rsidRPr="00E8281A">
              <w:rPr>
                <w:color w:val="000000" w:themeColor="text1"/>
                <w:sz w:val="18"/>
                <w:szCs w:val="18"/>
                <w:lang w:eastAsia="zh-HK"/>
              </w:rPr>
              <w:t>--</w:t>
            </w:r>
          </w:p>
        </w:tc>
      </w:tr>
      <w:tr w:rsidR="00F5365C" w:rsidRPr="00E8281A" w14:paraId="0DFCAFDC" w14:textId="77777777" w:rsidTr="006B5423">
        <w:trPr>
          <w:trHeight w:val="160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7BEA42" w14:textId="77777777" w:rsidR="006B5423" w:rsidRPr="00E8281A" w:rsidRDefault="006B5423" w:rsidP="008960BC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Descriptive statistics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D6B207" w14:textId="77777777" w:rsidR="006B5423" w:rsidRPr="00E8281A" w:rsidRDefault="006B5423" w:rsidP="00273709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Mean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FFB90" w14:textId="77777777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789E65" w14:textId="01A1ECA4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3.17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61593D" w14:textId="346D4FAF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3.53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95D1E" w14:textId="0AA029CE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3.39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60737" w14:textId="7151D6CE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3.27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F8F1E" w14:textId="250C3304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3.32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225FA" w14:textId="3DC4483D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3.51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3.70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C7A483" w14:textId="61CF47FF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3.48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3.67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FF1461" w14:textId="67933843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3.19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3.24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D781A" w14:textId="6EBC5DE4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3.79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3.77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B52D07" w14:textId="2BE9F4BC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2.81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3.01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D2622" w14:textId="73F80BE6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4.41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4.63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</w:tr>
      <w:tr w:rsidR="00F5365C" w:rsidRPr="00E8281A" w14:paraId="27DFACC3" w14:textId="77777777" w:rsidTr="006B5423">
        <w:trPr>
          <w:trHeight w:val="16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F699E" w14:textId="77777777" w:rsidR="006B5423" w:rsidRPr="00E8281A" w:rsidRDefault="006B5423" w:rsidP="008960BC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3CD0F" w14:textId="7FB934B9" w:rsidR="006B5423" w:rsidRPr="00E8281A" w:rsidRDefault="006B5423" w:rsidP="00273709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i/>
                <w:iCs/>
                <w:color w:val="000000" w:themeColor="text1"/>
                <w:sz w:val="18"/>
                <w:szCs w:val="18"/>
                <w:lang w:eastAsia="zh-HK"/>
              </w:rPr>
              <w:t>SD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08F743" w14:textId="77777777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3DE7931" w14:textId="66628EB1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0.68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8DBFDE1" w14:textId="556D8868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0.63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A7799B" w14:textId="6616DD03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0.50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F0F31E" w14:textId="1629B720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0.59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ABAE80" w14:textId="596303D7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0.51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522DDB" w14:textId="114EC305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0.89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0.84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BB5FDBA" w14:textId="497808DB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0.86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0.80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D3BA3C" w14:textId="1CF8A396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0.80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0.80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89C7EB1" w14:textId="09A865CC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0.87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0.78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B51F8D" w14:textId="1C55EE58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0.87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0.89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881022" w14:textId="27A57864" w:rsidR="006B5423" w:rsidRPr="00E8281A" w:rsidRDefault="006B5423" w:rsidP="008960BC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1.08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1.00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</w:tr>
      <w:tr w:rsidR="00F5365C" w:rsidRPr="00E8281A" w14:paraId="5B72A848" w14:textId="77777777" w:rsidTr="006B5423"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345AB" w14:textId="77777777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  <w:lang w:eastAsia="zh-H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4742E" w14:textId="45C0686B" w:rsidR="006B5423" w:rsidRPr="00E8281A" w:rsidRDefault="006B5423" w:rsidP="00EA08B5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18"/>
                <w:szCs w:val="18"/>
                <w:lang w:eastAsia="zh-HK"/>
              </w:rPr>
            </w:pPr>
            <w:r w:rsidRPr="00E8281A">
              <w:rPr>
                <w:color w:val="000000" w:themeColor="text1"/>
                <w:sz w:val="18"/>
                <w:szCs w:val="18"/>
                <w:lang w:eastAsia="zh-HK"/>
              </w:rPr>
              <w:t>Skewness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929793" w14:textId="77777777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7A9F85A" w14:textId="6902B2CF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0.05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EA98743" w14:textId="24CA13C9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-0.35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8B6E4D6" w14:textId="7765CFBF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0.07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B75DB3A" w14:textId="17DFD3E7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-0.11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3683914" w14:textId="00D10A61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0.06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629B99" w14:textId="3F671F4F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-0.19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-0.54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1F7DC46" w14:textId="477CBF78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-0.44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-0.72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CA6343" w14:textId="6159B8B4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-0.28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-0.41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B4EF6E6" w14:textId="64898264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-0.66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-0.80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62D59C" w14:textId="0F5410F4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0.05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-0.34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DA9857C" w14:textId="0A10296D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-0.60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-0.56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</w:tr>
      <w:tr w:rsidR="00F5365C" w:rsidRPr="00E8281A" w14:paraId="6FE22656" w14:textId="77777777" w:rsidTr="006B5423"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DAE61" w14:textId="77777777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  <w:lang w:eastAsia="zh-H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792DC" w14:textId="1953B100" w:rsidR="006B5423" w:rsidRPr="00E8281A" w:rsidRDefault="006B5423" w:rsidP="00EA08B5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18"/>
                <w:szCs w:val="18"/>
                <w:lang w:eastAsia="zh-HK"/>
              </w:rPr>
            </w:pPr>
            <w:r w:rsidRPr="00E8281A">
              <w:rPr>
                <w:color w:val="000000" w:themeColor="text1"/>
                <w:sz w:val="18"/>
                <w:szCs w:val="18"/>
                <w:lang w:eastAsia="zh-HK"/>
              </w:rPr>
              <w:t>Kurtosis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E0C684" w14:textId="77777777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329D0AC" w14:textId="3DCDBD37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0.01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6372CA7" w14:textId="0EF00021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0.82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DB8D828" w14:textId="2841B8CC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0.07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7498066" w14:textId="7C5B3688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-0.02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CFAB4A" w14:textId="52480A19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-0.37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EAEE61" w14:textId="73DC7D67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-0.82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-0.02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5C7D76E" w14:textId="152BEBE5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0.03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0.73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A068C7" w14:textId="030AB3F2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-0.25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-0.04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E0A7FB" w14:textId="44A83E2C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-0.13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0.85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99349B" w14:textId="2730F647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-0.37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-0.50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B83F1DA" w14:textId="792162F1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-0.05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0.23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</w:tr>
      <w:tr w:rsidR="00F5365C" w:rsidRPr="00E8281A" w14:paraId="421950CA" w14:textId="77777777" w:rsidTr="006B5423"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D263C" w14:textId="77777777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  <w:lang w:eastAsia="zh-H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09215" w14:textId="4F113FC4" w:rsidR="006B5423" w:rsidRPr="00E8281A" w:rsidRDefault="006B5423" w:rsidP="00EA08B5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zh-HK"/>
              </w:rPr>
            </w:pPr>
            <w:r w:rsidRPr="00E8281A">
              <w:rPr>
                <w:color w:val="000000" w:themeColor="text1"/>
                <w:sz w:val="18"/>
                <w:szCs w:val="18"/>
                <w:lang w:eastAsia="zh-HK"/>
              </w:rPr>
              <w:t>Minimum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3C6B74" w14:textId="77777777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00F1A5" w14:textId="022C8023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1.40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742FB65" w14:textId="78967E86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1.50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FB30ADC" w14:textId="4080D7BC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2.00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B48A77" w14:textId="29E12748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1.50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330CA54" w14:textId="3DACC2C8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2.00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CEBCDB" w14:textId="02DA6D89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1.50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1.00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2FC3D9" w14:textId="10A8C4BD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1.20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1.20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7945B4" w14:textId="35904155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1.00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1.00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973CF8C" w14:textId="7A272CF9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1.40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1.00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EE20CD" w14:textId="4BF53728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1.00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1.00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C6D2460" w14:textId="1951C630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1.27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1.36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</w:tr>
      <w:tr w:rsidR="00F5365C" w:rsidRPr="00E8281A" w14:paraId="0C072C76" w14:textId="77777777" w:rsidTr="006B5423"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148C1" w14:textId="77777777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  <w:lang w:eastAsia="zh-H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0CF9C" w14:textId="4858BD8E" w:rsidR="006B5423" w:rsidRPr="00E8281A" w:rsidRDefault="006B5423" w:rsidP="00EA08B5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zh-HK"/>
              </w:rPr>
            </w:pPr>
            <w:r w:rsidRPr="00E8281A">
              <w:rPr>
                <w:color w:val="000000" w:themeColor="text1"/>
                <w:sz w:val="18"/>
                <w:szCs w:val="18"/>
                <w:lang w:eastAsia="zh-HK"/>
              </w:rPr>
              <w:t>Maximum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663F30" w14:textId="77777777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894FB0" w14:textId="28F2DF1E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4.80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BC2FFBB" w14:textId="2EB4EA7F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5.00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2D99F3F" w14:textId="6D94CAF2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4.80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BF0688" w14:textId="003AAAB1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4.80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86A76A8" w14:textId="65B2F6AE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4.60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56F069" w14:textId="224737DF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5.00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5.00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D51BCD8" w14:textId="21372315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5.00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5.00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C675FF" w14:textId="5B499187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4.75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5.00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FA99512" w14:textId="3060CB06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5.00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5.00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C8C0C9" w14:textId="0C597D00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5.00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5.00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B98B290" w14:textId="601D17FA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6.36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6.55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</w:tr>
      <w:tr w:rsidR="00F5365C" w:rsidRPr="00E8281A" w14:paraId="55FECDA3" w14:textId="77777777" w:rsidTr="006B5423"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AEC1E0" w14:textId="77777777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  <w:lang w:eastAsia="zh-H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50818C" w14:textId="310F98C1" w:rsidR="006B5423" w:rsidRPr="00E8281A" w:rsidRDefault="006B5423" w:rsidP="00EA08B5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eastAsia="zh-HK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>Reliability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50333" w14:textId="77777777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6A32B" w14:textId="5592CDFB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0.84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E4ACB" w14:textId="58A1C0B0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0.81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7FAA1" w14:textId="506A1859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0.74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6DBC1" w14:textId="1134E434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0.84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97B8B" w14:textId="35235883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0.71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543DC" w14:textId="7F999079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0.84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0.82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929E4" w14:textId="3D27C2A9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0.84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0.86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8B093" w14:textId="0F75CC2A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0.75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0.81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AB958" w14:textId="45EF79E9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0.90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0.87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52973" w14:textId="4959F48C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0.82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0.87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421BA" w14:textId="3A878ABC" w:rsidR="006B5423" w:rsidRPr="00E8281A" w:rsidRDefault="006B5423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0.92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/ 0.92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</w:tr>
      <w:tr w:rsidR="00F5365C" w:rsidRPr="00E8281A" w14:paraId="3B7EADC1" w14:textId="77777777" w:rsidTr="006B5423">
        <w:tc>
          <w:tcPr>
            <w:tcW w:w="1460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15F165" w14:textId="74290960" w:rsidR="00E938BB" w:rsidRPr="00E8281A" w:rsidRDefault="006B5423" w:rsidP="00E938B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i/>
                <w:color w:val="000000" w:themeColor="text1"/>
                <w:sz w:val="18"/>
                <w:szCs w:val="18"/>
                <w:lang w:eastAsia="zh-HK"/>
              </w:rPr>
              <w:t>Note:</w:t>
            </w:r>
            <w:r w:rsidRPr="00E8281A">
              <w:rPr>
                <w:color w:val="000000" w:themeColor="text1"/>
                <w:sz w:val="18"/>
                <w:szCs w:val="18"/>
                <w:lang w:eastAsia="zh-HK"/>
              </w:rPr>
              <w:t xml:space="preserve">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*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E8281A">
              <w:rPr>
                <w:i/>
                <w:color w:val="000000" w:themeColor="text1"/>
                <w:sz w:val="18"/>
                <w:szCs w:val="18"/>
              </w:rPr>
              <w:t>p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&lt; .05;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>**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E8281A">
              <w:rPr>
                <w:i/>
                <w:color w:val="000000" w:themeColor="text1"/>
                <w:sz w:val="18"/>
                <w:szCs w:val="18"/>
              </w:rPr>
              <w:t>p</w:t>
            </w:r>
            <w:r w:rsidRPr="00E8281A">
              <w:rPr>
                <w:color w:val="000000" w:themeColor="text1"/>
                <w:sz w:val="18"/>
                <w:szCs w:val="18"/>
              </w:rPr>
              <w:t xml:space="preserve"> &lt; .01; </w:t>
            </w:r>
            <w:r w:rsidRPr="00E8281A">
              <w:rPr>
                <w:color w:val="000000" w:themeColor="text1"/>
                <w:sz w:val="18"/>
                <w:szCs w:val="18"/>
                <w:vertAlign w:val="superscript"/>
              </w:rPr>
              <w:t xml:space="preserve">*** </w:t>
            </w:r>
            <w:r w:rsidRPr="00E8281A">
              <w:rPr>
                <w:color w:val="000000" w:themeColor="text1"/>
                <w:sz w:val="18"/>
                <w:szCs w:val="18"/>
              </w:rPr>
              <w:t>p &lt; .001; OE – overexcitability; SD – standard deviation; Reliability – Cronbach’s alpha</w:t>
            </w:r>
            <w:r w:rsidR="00E938BB" w:rsidRPr="00E8281A">
              <w:rPr>
                <w:color w:val="000000" w:themeColor="text1"/>
                <w:sz w:val="18"/>
                <w:szCs w:val="18"/>
              </w:rPr>
              <w:t xml:space="preserve">. Correlations under the diagonal are </w:t>
            </w:r>
            <w:r w:rsidR="000151D4" w:rsidRPr="00E8281A">
              <w:rPr>
                <w:color w:val="000000" w:themeColor="text1"/>
                <w:sz w:val="18"/>
                <w:szCs w:val="18"/>
              </w:rPr>
              <w:t>between</w:t>
            </w:r>
            <w:r w:rsidR="00E938BB" w:rsidRPr="00E8281A">
              <w:rPr>
                <w:color w:val="000000" w:themeColor="text1"/>
                <w:sz w:val="18"/>
                <w:szCs w:val="18"/>
              </w:rPr>
              <w:t xml:space="preserve"> overexcitabilities, playfulness, and </w:t>
            </w:r>
          </w:p>
          <w:p w14:paraId="53920D7C" w14:textId="0494FC45" w:rsidR="00E938BB" w:rsidRPr="00E8281A" w:rsidRDefault="00E938BB" w:rsidP="00E938B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       creative potential at Time 1, whereas those above the diagonal are between overexcitabilities at Time 1 and playfulness and creative potential at Time 2.</w:t>
            </w:r>
          </w:p>
          <w:p w14:paraId="718B2551" w14:textId="77777777" w:rsidR="00E938BB" w:rsidRPr="00E8281A" w:rsidRDefault="00E938BB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     </w:t>
            </w:r>
            <w:r w:rsidR="006B5423" w:rsidRPr="00E8281A">
              <w:rPr>
                <w:color w:val="000000" w:themeColor="text1"/>
                <w:sz w:val="18"/>
                <w:szCs w:val="18"/>
              </w:rPr>
              <w:t xml:space="preserve"> </w:t>
            </w:r>
            <w:r w:rsidR="006B5423" w:rsidRPr="00E8281A">
              <w:rPr>
                <w:color w:val="000000" w:themeColor="text1"/>
                <w:sz w:val="18"/>
                <w:szCs w:val="18"/>
                <w:vertAlign w:val="superscript"/>
              </w:rPr>
              <w:t xml:space="preserve">a </w:t>
            </w:r>
            <w:r w:rsidR="006B5423" w:rsidRPr="00E8281A">
              <w:rPr>
                <w:color w:val="000000" w:themeColor="text1"/>
                <w:sz w:val="18"/>
                <w:szCs w:val="18"/>
              </w:rPr>
              <w:t>Reported by parents at Time 1</w:t>
            </w:r>
            <w:r w:rsidRPr="00E8281A">
              <w:rPr>
                <w:color w:val="000000" w:themeColor="text1"/>
                <w:sz w:val="18"/>
                <w:szCs w:val="18"/>
              </w:rPr>
              <w:t>.</w:t>
            </w:r>
          </w:p>
          <w:p w14:paraId="43E88B50" w14:textId="77777777" w:rsidR="00E938BB" w:rsidRPr="00E8281A" w:rsidRDefault="00E938BB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6B5423" w:rsidRPr="00E8281A">
              <w:rPr>
                <w:color w:val="000000" w:themeColor="text1"/>
                <w:sz w:val="18"/>
                <w:szCs w:val="18"/>
                <w:vertAlign w:val="superscript"/>
              </w:rPr>
              <w:t xml:space="preserve">b </w:t>
            </w:r>
            <w:r w:rsidR="006B5423" w:rsidRPr="00E8281A">
              <w:rPr>
                <w:color w:val="000000" w:themeColor="text1"/>
                <w:sz w:val="18"/>
                <w:szCs w:val="18"/>
              </w:rPr>
              <w:t>Reported by teachers at Time 1</w:t>
            </w:r>
            <w:r w:rsidRPr="00E8281A">
              <w:rPr>
                <w:color w:val="000000" w:themeColor="text1"/>
                <w:sz w:val="18"/>
                <w:szCs w:val="18"/>
              </w:rPr>
              <w:t>.</w:t>
            </w:r>
          </w:p>
          <w:p w14:paraId="6CA61BA0" w14:textId="79979D71" w:rsidR="006B5423" w:rsidRPr="00E8281A" w:rsidRDefault="00E938BB" w:rsidP="00EA08B5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8281A">
              <w:rPr>
                <w:color w:val="000000" w:themeColor="text1"/>
                <w:sz w:val="18"/>
                <w:szCs w:val="18"/>
              </w:rPr>
              <w:t xml:space="preserve">     </w:t>
            </w:r>
            <w:r w:rsidR="006B5423" w:rsidRPr="00E8281A">
              <w:rPr>
                <w:color w:val="000000" w:themeColor="text1"/>
                <w:sz w:val="18"/>
                <w:szCs w:val="18"/>
              </w:rPr>
              <w:t xml:space="preserve"> </w:t>
            </w:r>
            <w:r w:rsidR="006B5423" w:rsidRPr="00E8281A">
              <w:rPr>
                <w:color w:val="000000" w:themeColor="text1"/>
                <w:sz w:val="18"/>
                <w:szCs w:val="18"/>
                <w:vertAlign w:val="superscript"/>
              </w:rPr>
              <w:t xml:space="preserve">c </w:t>
            </w:r>
            <w:r w:rsidR="006B5423" w:rsidRPr="00E8281A">
              <w:rPr>
                <w:color w:val="000000" w:themeColor="text1"/>
                <w:sz w:val="18"/>
                <w:szCs w:val="18"/>
              </w:rPr>
              <w:t>Reported by teachers at Time 2.</w:t>
            </w:r>
          </w:p>
        </w:tc>
      </w:tr>
    </w:tbl>
    <w:p w14:paraId="78CC30B7" w14:textId="77777777" w:rsidR="00B54DDF" w:rsidRPr="00E8281A" w:rsidRDefault="00B54DDF" w:rsidP="00986471">
      <w:pPr>
        <w:spacing w:line="360" w:lineRule="auto"/>
        <w:rPr>
          <w:color w:val="000000" w:themeColor="text1"/>
          <w:szCs w:val="20"/>
          <w:lang w:eastAsia="zh-HK"/>
        </w:rPr>
      </w:pPr>
    </w:p>
    <w:p w14:paraId="649F7BB1" w14:textId="1A63915C" w:rsidR="00EA08B5" w:rsidRPr="00E8281A" w:rsidRDefault="00EA08B5" w:rsidP="00986471">
      <w:pPr>
        <w:spacing w:line="360" w:lineRule="auto"/>
        <w:rPr>
          <w:color w:val="000000" w:themeColor="text1"/>
          <w:szCs w:val="20"/>
          <w:lang w:eastAsia="zh-HK"/>
        </w:rPr>
        <w:sectPr w:rsidR="00EA08B5" w:rsidRPr="00E8281A" w:rsidSect="00AB452D">
          <w:pgSz w:w="16838" w:h="11906" w:orient="landscape" w:code="9"/>
          <w:pgMar w:top="1440" w:right="1440" w:bottom="1440" w:left="1440" w:header="851" w:footer="992" w:gutter="0"/>
          <w:cols w:space="425"/>
          <w:docGrid w:linePitch="360"/>
        </w:sectPr>
      </w:pPr>
    </w:p>
    <w:p w14:paraId="5559131C" w14:textId="77777777" w:rsidR="00986471" w:rsidRPr="00E8281A" w:rsidRDefault="00C2555F" w:rsidP="00986471">
      <w:pPr>
        <w:spacing w:line="360" w:lineRule="auto"/>
        <w:rPr>
          <w:color w:val="000000" w:themeColor="text1"/>
          <w:szCs w:val="20"/>
          <w:lang w:eastAsia="zh-HK"/>
        </w:rPr>
      </w:pPr>
      <w:r w:rsidRPr="00E8281A">
        <w:rPr>
          <w:color w:val="000000" w:themeColor="text1"/>
          <w:szCs w:val="20"/>
          <w:lang w:eastAsia="zh-HK"/>
        </w:rPr>
        <w:lastRenderedPageBreak/>
        <w:t>T</w:t>
      </w:r>
      <w:r w:rsidR="00784F29" w:rsidRPr="00E8281A">
        <w:rPr>
          <w:color w:val="000000" w:themeColor="text1"/>
          <w:szCs w:val="20"/>
          <w:lang w:eastAsia="zh-HK"/>
        </w:rPr>
        <w:t>a</w:t>
      </w:r>
      <w:r w:rsidR="00986471" w:rsidRPr="00E8281A">
        <w:rPr>
          <w:color w:val="000000" w:themeColor="text1"/>
          <w:szCs w:val="20"/>
          <w:lang w:eastAsia="zh-HK"/>
        </w:rPr>
        <w:t>ble 2</w:t>
      </w:r>
    </w:p>
    <w:p w14:paraId="553F02E5" w14:textId="4C81FEFC" w:rsidR="00DE6577" w:rsidRPr="00E8281A" w:rsidRDefault="00986471" w:rsidP="00986471">
      <w:pPr>
        <w:spacing w:line="360" w:lineRule="auto"/>
        <w:rPr>
          <w:i/>
          <w:color w:val="000000" w:themeColor="text1"/>
          <w:szCs w:val="20"/>
          <w:lang w:eastAsia="zh-HK"/>
        </w:rPr>
      </w:pPr>
      <w:r w:rsidRPr="00E8281A">
        <w:rPr>
          <w:i/>
          <w:color w:val="000000" w:themeColor="text1"/>
          <w:szCs w:val="20"/>
          <w:lang w:eastAsia="zh-HK"/>
        </w:rPr>
        <w:t>Hierarchical regression</w:t>
      </w:r>
      <w:r w:rsidR="002F3776" w:rsidRPr="00E8281A">
        <w:rPr>
          <w:i/>
          <w:color w:val="000000" w:themeColor="text1"/>
          <w:szCs w:val="20"/>
          <w:lang w:eastAsia="zh-HK"/>
        </w:rPr>
        <w:t>s</w:t>
      </w:r>
      <w:r w:rsidRPr="00E8281A">
        <w:rPr>
          <w:i/>
          <w:color w:val="000000" w:themeColor="text1"/>
          <w:szCs w:val="20"/>
          <w:lang w:eastAsia="zh-HK"/>
        </w:rPr>
        <w:t xml:space="preserve"> predicting </w:t>
      </w:r>
      <w:r w:rsidR="000F0F5B" w:rsidRPr="00E8281A">
        <w:rPr>
          <w:i/>
          <w:color w:val="000000" w:themeColor="text1"/>
          <w:szCs w:val="20"/>
          <w:lang w:eastAsia="zh-HK"/>
        </w:rPr>
        <w:t>creative potential</w:t>
      </w:r>
      <w:r w:rsidRPr="00E8281A">
        <w:rPr>
          <w:i/>
          <w:color w:val="000000" w:themeColor="text1"/>
          <w:szCs w:val="20"/>
          <w:lang w:eastAsia="zh-HK"/>
        </w:rPr>
        <w:t xml:space="preserve"> from child age and gender, </w:t>
      </w:r>
      <w:r w:rsidR="000F0F5B" w:rsidRPr="00E8281A">
        <w:rPr>
          <w:i/>
          <w:color w:val="000000" w:themeColor="text1"/>
          <w:szCs w:val="20"/>
          <w:lang w:eastAsia="zh-HK"/>
        </w:rPr>
        <w:t>parental education</w:t>
      </w:r>
      <w:r w:rsidRPr="00E8281A">
        <w:rPr>
          <w:i/>
          <w:color w:val="000000" w:themeColor="text1"/>
          <w:szCs w:val="20"/>
          <w:lang w:eastAsia="zh-HK"/>
        </w:rPr>
        <w:t>, overexcitabilities</w:t>
      </w:r>
      <w:r w:rsidR="000F0F5B" w:rsidRPr="00E8281A">
        <w:rPr>
          <w:i/>
          <w:color w:val="000000" w:themeColor="text1"/>
          <w:szCs w:val="20"/>
          <w:lang w:eastAsia="zh-HK"/>
        </w:rPr>
        <w:t>, and playfulnes</w:t>
      </w:r>
      <w:r w:rsidR="002F3776" w:rsidRPr="00E8281A">
        <w:rPr>
          <w:i/>
          <w:color w:val="000000" w:themeColor="text1"/>
          <w:szCs w:val="20"/>
          <w:lang w:eastAsia="zh-HK"/>
        </w:rPr>
        <w:t>s</w:t>
      </w:r>
      <w:r w:rsidR="002D345A" w:rsidRPr="00E8281A">
        <w:rPr>
          <w:i/>
          <w:color w:val="000000" w:themeColor="text1"/>
          <w:szCs w:val="20"/>
          <w:lang w:eastAsia="zh-HK"/>
        </w:rPr>
        <w:t>.</w:t>
      </w:r>
    </w:p>
    <w:tbl>
      <w:tblPr>
        <w:tblStyle w:val="TableGrid"/>
        <w:tblpPr w:leftFromText="180" w:rightFromText="180" w:vertAnchor="text" w:horzAnchor="margin" w:tblpY="108"/>
        <w:tblW w:w="14175" w:type="dxa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850"/>
        <w:gridCol w:w="567"/>
        <w:gridCol w:w="992"/>
        <w:gridCol w:w="709"/>
        <w:gridCol w:w="851"/>
        <w:gridCol w:w="992"/>
        <w:gridCol w:w="283"/>
        <w:gridCol w:w="993"/>
        <w:gridCol w:w="567"/>
        <w:gridCol w:w="1134"/>
        <w:gridCol w:w="708"/>
        <w:gridCol w:w="849"/>
        <w:gridCol w:w="852"/>
      </w:tblGrid>
      <w:tr w:rsidR="00F5365C" w:rsidRPr="00E8281A" w14:paraId="33942352" w14:textId="77777777" w:rsidTr="000B3453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5EF058" w14:textId="77777777" w:rsidR="002F3776" w:rsidRPr="00E8281A" w:rsidRDefault="002F3776" w:rsidP="008960BC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37420C" w14:textId="77777777" w:rsidR="002F3776" w:rsidRPr="00E8281A" w:rsidRDefault="002F3776" w:rsidP="008960BC">
            <w:pPr>
              <w:spacing w:line="360" w:lineRule="auto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18DD6" w14:textId="7A9C5D50" w:rsidR="002F3776" w:rsidRPr="00E8281A" w:rsidRDefault="002F3776" w:rsidP="00B54DDF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(</w:t>
            </w:r>
            <w:r w:rsidR="0076223A" w:rsidRPr="00E8281A">
              <w:rPr>
                <w:color w:val="000000" w:themeColor="text1"/>
                <w:sz w:val="22"/>
                <w:szCs w:val="22"/>
              </w:rPr>
              <w:t xml:space="preserve">Model </w:t>
            </w:r>
            <w:r w:rsidR="00E938BB" w:rsidRPr="00E8281A">
              <w:rPr>
                <w:color w:val="000000" w:themeColor="text1"/>
                <w:sz w:val="22"/>
                <w:szCs w:val="22"/>
              </w:rPr>
              <w:t>1</w:t>
            </w:r>
            <w:r w:rsidRPr="00E8281A">
              <w:rPr>
                <w:color w:val="000000" w:themeColor="text1"/>
                <w:sz w:val="22"/>
                <w:szCs w:val="22"/>
              </w:rPr>
              <w:t>) Creative potential</w:t>
            </w:r>
            <w:r w:rsidR="00D42C47" w:rsidRPr="00E8281A">
              <w:rPr>
                <w:color w:val="000000" w:themeColor="text1"/>
                <w:sz w:val="22"/>
                <w:szCs w:val="22"/>
              </w:rPr>
              <w:t xml:space="preserve"> at Time 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4605E" w14:textId="256469F4" w:rsidR="002F3776" w:rsidRPr="00E8281A" w:rsidRDefault="002F3776" w:rsidP="000B3453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DBDB8" w14:textId="5443C98F" w:rsidR="002F3776" w:rsidRPr="00E8281A" w:rsidRDefault="002F3776" w:rsidP="00B54DDF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(</w:t>
            </w:r>
            <w:r w:rsidR="0076223A" w:rsidRPr="00E8281A">
              <w:rPr>
                <w:color w:val="000000" w:themeColor="text1"/>
                <w:sz w:val="22"/>
                <w:szCs w:val="22"/>
              </w:rPr>
              <w:t xml:space="preserve">Model </w:t>
            </w:r>
            <w:r w:rsidR="00E938BB" w:rsidRPr="00E8281A">
              <w:rPr>
                <w:color w:val="000000" w:themeColor="text1"/>
                <w:sz w:val="22"/>
                <w:szCs w:val="22"/>
              </w:rPr>
              <w:t>2</w:t>
            </w:r>
            <w:r w:rsidRPr="00E8281A">
              <w:rPr>
                <w:color w:val="000000" w:themeColor="text1"/>
                <w:sz w:val="22"/>
                <w:szCs w:val="22"/>
              </w:rPr>
              <w:t>) Creative potential</w:t>
            </w:r>
            <w:r w:rsidR="00D42C47" w:rsidRPr="00E8281A">
              <w:rPr>
                <w:color w:val="000000" w:themeColor="text1"/>
                <w:sz w:val="22"/>
                <w:szCs w:val="22"/>
              </w:rPr>
              <w:t xml:space="preserve"> at Time 2</w:t>
            </w:r>
          </w:p>
        </w:tc>
      </w:tr>
      <w:tr w:rsidR="00F5365C" w:rsidRPr="00E8281A" w14:paraId="7EB4D1AA" w14:textId="77777777" w:rsidTr="000B3453">
        <w:trPr>
          <w:trHeight w:val="328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1BD4B5" w14:textId="77777777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Steps/independent variables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BC0E61" w14:textId="77777777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70F8F3" w14:textId="2B36880E" w:rsidR="002F3776" w:rsidRPr="00E8281A" w:rsidRDefault="002F3776" w:rsidP="002F3776">
            <w:pPr>
              <w:spacing w:line="360" w:lineRule="auto"/>
              <w:rPr>
                <w:rFonts w:eastAsia="PMingLiU"/>
                <w:color w:val="000000" w:themeColor="text1"/>
                <w:sz w:val="22"/>
                <w:szCs w:val="22"/>
                <w:lang w:eastAsia="en-US"/>
              </w:rPr>
            </w:pPr>
            <w:r w:rsidRPr="00E8281A">
              <w:rPr>
                <w:rFonts w:eastAsia="PMingLiU"/>
                <w:color w:val="000000" w:themeColor="text1"/>
                <w:sz w:val="22"/>
                <w:szCs w:val="22"/>
                <w:lang w:eastAsia="en-US"/>
              </w:rPr>
              <w:t xml:space="preserve">Final </w:t>
            </w:r>
            <w:r w:rsidRPr="00E8281A">
              <w:rPr>
                <w:rFonts w:eastAsia="PMingLiU"/>
                <w:i/>
                <w:iCs/>
                <w:color w:val="000000" w:themeColor="text1"/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39FCF" w14:textId="660E51A2" w:rsidR="002F3776" w:rsidRPr="00E8281A" w:rsidRDefault="002F3776" w:rsidP="002F3776">
            <w:pPr>
              <w:spacing w:line="360" w:lineRule="auto"/>
              <w:rPr>
                <w:rFonts w:eastAsia="PMingLiU"/>
                <w:color w:val="000000" w:themeColor="text1"/>
                <w:sz w:val="22"/>
                <w:szCs w:val="22"/>
                <w:lang w:eastAsia="en-US"/>
              </w:rPr>
            </w:pPr>
            <w:r w:rsidRPr="00E8281A">
              <w:rPr>
                <w:rFonts w:eastAsia="PMingLiU"/>
                <w:i/>
                <w:iCs/>
                <w:color w:val="000000" w:themeColor="text1"/>
                <w:sz w:val="22"/>
                <w:szCs w:val="22"/>
                <w:lang w:eastAsia="en-US"/>
              </w:rPr>
              <w:t>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98B681" w14:textId="4E5E97CE" w:rsidR="002F3776" w:rsidRPr="00E8281A" w:rsidRDefault="002F3776" w:rsidP="002F3776">
            <w:pPr>
              <w:spacing w:line="360" w:lineRule="auto"/>
              <w:rPr>
                <w:rFonts w:eastAsia="PMingLiU"/>
                <w:color w:val="000000" w:themeColor="text1"/>
                <w:sz w:val="22"/>
                <w:szCs w:val="22"/>
                <w:lang w:eastAsia="en-US"/>
              </w:rPr>
            </w:pPr>
            <w:r w:rsidRPr="00E8281A">
              <w:rPr>
                <w:rFonts w:eastAsia="PMingLiU"/>
                <w:color w:val="000000" w:themeColor="text1"/>
                <w:sz w:val="22"/>
                <w:szCs w:val="22"/>
                <w:lang w:eastAsia="en-US"/>
              </w:rPr>
              <w:t xml:space="preserve">Total </w:t>
            </w:r>
            <w:r w:rsidRPr="00E8281A">
              <w:rPr>
                <w:rFonts w:eastAsia="PMingLiU"/>
                <w:i/>
                <w:iCs/>
                <w:color w:val="000000" w:themeColor="text1"/>
                <w:sz w:val="22"/>
                <w:szCs w:val="22"/>
                <w:lang w:eastAsia="en-US"/>
              </w:rPr>
              <w:t>R</w:t>
            </w:r>
            <w:r w:rsidRPr="00E8281A">
              <w:rPr>
                <w:rFonts w:eastAsia="PMingLiU"/>
                <w:color w:val="000000" w:themeColor="text1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8DA5EA" w14:textId="1DF29F84" w:rsidR="002F3776" w:rsidRPr="00E8281A" w:rsidRDefault="002F3776" w:rsidP="002F3776">
            <w:pPr>
              <w:spacing w:line="360" w:lineRule="auto"/>
              <w:rPr>
                <w:rFonts w:eastAsia="PMingLiU"/>
                <w:color w:val="000000" w:themeColor="text1"/>
                <w:sz w:val="22"/>
                <w:szCs w:val="22"/>
                <w:lang w:eastAsia="en-US"/>
              </w:rPr>
            </w:pPr>
            <w:r w:rsidRPr="00E8281A">
              <w:rPr>
                <w:rFonts w:eastAsia="PMingLiU"/>
                <w:color w:val="000000" w:themeColor="text1"/>
                <w:sz w:val="22"/>
                <w:szCs w:val="22"/>
                <w:lang w:eastAsia="en-US"/>
              </w:rPr>
              <w:t>Δ</w:t>
            </w:r>
            <w:r w:rsidRPr="00E8281A">
              <w:rPr>
                <w:rFonts w:eastAsia="PMingLiU"/>
                <w:i/>
                <w:iCs/>
                <w:color w:val="000000" w:themeColor="text1"/>
                <w:sz w:val="22"/>
                <w:szCs w:val="22"/>
                <w:lang w:eastAsia="en-US"/>
              </w:rPr>
              <w:t>R</w:t>
            </w:r>
            <w:r w:rsidRPr="00E8281A">
              <w:rPr>
                <w:rFonts w:eastAsia="PMingLiU"/>
                <w:color w:val="000000" w:themeColor="text1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EEAF1B" w14:textId="7FDE5115" w:rsidR="002F3776" w:rsidRPr="00E8281A" w:rsidRDefault="002F3776" w:rsidP="002F3776">
            <w:pPr>
              <w:spacing w:line="360" w:lineRule="auto"/>
              <w:rPr>
                <w:rFonts w:eastAsia="PMingLiU"/>
                <w:color w:val="000000" w:themeColor="text1"/>
                <w:sz w:val="22"/>
                <w:szCs w:val="22"/>
                <w:lang w:eastAsia="en-US"/>
              </w:rPr>
            </w:pPr>
            <w:r w:rsidRPr="00E8281A">
              <w:rPr>
                <w:rFonts w:eastAsia="PMingLiU"/>
                <w:color w:val="000000" w:themeColor="text1"/>
                <w:sz w:val="22"/>
                <w:szCs w:val="22"/>
                <w:lang w:eastAsia="en-US"/>
              </w:rPr>
              <w:t>Δ</w:t>
            </w:r>
            <w:r w:rsidRPr="00E8281A">
              <w:rPr>
                <w:rFonts w:eastAsia="PMingLiU"/>
                <w:i/>
                <w:iCs/>
                <w:color w:val="000000" w:themeColor="text1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AD2601" w14:textId="0ED9936F" w:rsidR="002F3776" w:rsidRPr="00E8281A" w:rsidRDefault="002F3776" w:rsidP="002F3776">
            <w:pPr>
              <w:spacing w:line="360" w:lineRule="auto"/>
              <w:rPr>
                <w:rFonts w:eastAsia="PMingLiU"/>
                <w:color w:val="000000" w:themeColor="text1"/>
                <w:sz w:val="22"/>
                <w:szCs w:val="22"/>
                <w:lang w:eastAsia="en-US"/>
              </w:rPr>
            </w:pPr>
            <w:r w:rsidRPr="00E8281A">
              <w:rPr>
                <w:i/>
                <w:iCs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0D7DA5" w14:textId="25EB01B4" w:rsidR="002F3776" w:rsidRPr="00E8281A" w:rsidRDefault="002F3776" w:rsidP="002F3776">
            <w:pPr>
              <w:spacing w:line="360" w:lineRule="auto"/>
              <w:rPr>
                <w:rFonts w:eastAsia="PMingLiU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8064EB" w14:textId="0A01D9CF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rFonts w:eastAsia="PMingLiU"/>
                <w:color w:val="000000" w:themeColor="text1"/>
                <w:sz w:val="22"/>
                <w:szCs w:val="22"/>
                <w:lang w:eastAsia="en-US"/>
              </w:rPr>
              <w:t xml:space="preserve">Final </w:t>
            </w:r>
            <w:r w:rsidRPr="00E8281A">
              <w:rPr>
                <w:rFonts w:eastAsia="PMingLiU"/>
                <w:i/>
                <w:iCs/>
                <w:color w:val="000000" w:themeColor="text1"/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C88B9" w14:textId="77777777" w:rsidR="002F3776" w:rsidRPr="00E8281A" w:rsidRDefault="002F3776" w:rsidP="002F3776">
            <w:pPr>
              <w:spacing w:line="360" w:lineRule="auto"/>
              <w:rPr>
                <w:rFonts w:eastAsia="PMingLiU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E8281A">
              <w:rPr>
                <w:rFonts w:eastAsia="PMingLiU"/>
                <w:i/>
                <w:iCs/>
                <w:color w:val="000000" w:themeColor="text1"/>
                <w:sz w:val="22"/>
                <w:szCs w:val="22"/>
                <w:lang w:eastAsia="en-US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061D11" w14:textId="77777777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rFonts w:eastAsia="PMingLiU"/>
                <w:color w:val="000000" w:themeColor="text1"/>
                <w:sz w:val="22"/>
                <w:szCs w:val="22"/>
                <w:lang w:eastAsia="en-US"/>
              </w:rPr>
              <w:t xml:space="preserve">Total </w:t>
            </w:r>
            <w:r w:rsidRPr="00E8281A">
              <w:rPr>
                <w:rFonts w:eastAsia="PMingLiU"/>
                <w:i/>
                <w:iCs/>
                <w:color w:val="000000" w:themeColor="text1"/>
                <w:sz w:val="22"/>
                <w:szCs w:val="22"/>
                <w:lang w:eastAsia="en-US"/>
              </w:rPr>
              <w:t>R</w:t>
            </w:r>
            <w:r w:rsidRPr="00E8281A">
              <w:rPr>
                <w:rFonts w:eastAsia="PMingLiU"/>
                <w:color w:val="000000" w:themeColor="text1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95D264" w14:textId="77777777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rFonts w:eastAsia="PMingLiU"/>
                <w:color w:val="000000" w:themeColor="text1"/>
                <w:sz w:val="22"/>
                <w:szCs w:val="22"/>
                <w:lang w:eastAsia="en-US"/>
              </w:rPr>
              <w:t>Δ</w:t>
            </w:r>
            <w:r w:rsidRPr="00E8281A">
              <w:rPr>
                <w:rFonts w:eastAsia="PMingLiU"/>
                <w:i/>
                <w:iCs/>
                <w:color w:val="000000" w:themeColor="text1"/>
                <w:sz w:val="22"/>
                <w:szCs w:val="22"/>
                <w:lang w:eastAsia="en-US"/>
              </w:rPr>
              <w:t>R</w:t>
            </w:r>
            <w:r w:rsidRPr="00E8281A">
              <w:rPr>
                <w:rFonts w:eastAsia="PMingLiU"/>
                <w:color w:val="000000" w:themeColor="text1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B52F87" w14:textId="77777777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rFonts w:eastAsia="PMingLiU"/>
                <w:color w:val="000000" w:themeColor="text1"/>
                <w:sz w:val="22"/>
                <w:szCs w:val="22"/>
                <w:lang w:eastAsia="en-US"/>
              </w:rPr>
              <w:t>Δ</w:t>
            </w:r>
            <w:r w:rsidRPr="00E8281A">
              <w:rPr>
                <w:rFonts w:eastAsia="PMingLiU"/>
                <w:i/>
                <w:iCs/>
                <w:color w:val="000000" w:themeColor="text1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ED3FC9" w14:textId="77777777" w:rsidR="002F3776" w:rsidRPr="00E8281A" w:rsidRDefault="002F3776" w:rsidP="002F3776">
            <w:pPr>
              <w:spacing w:line="360" w:lineRule="auto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E8281A">
              <w:rPr>
                <w:i/>
                <w:iCs/>
                <w:color w:val="000000" w:themeColor="text1"/>
                <w:sz w:val="22"/>
                <w:szCs w:val="22"/>
              </w:rPr>
              <w:t>p</w:t>
            </w:r>
          </w:p>
        </w:tc>
      </w:tr>
      <w:tr w:rsidR="00F5365C" w:rsidRPr="00E8281A" w14:paraId="46DBC898" w14:textId="77777777" w:rsidTr="000B3453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DC6A2E" w14:textId="77777777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Step 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E257A1" w14:textId="77777777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7E17BB" w14:textId="516BE456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E0833F" w14:textId="33238CF6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650FEF" w14:textId="75E38B69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EDDC3F" w14:textId="35683760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F848F1" w14:textId="7A213E01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2.93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E48416" w14:textId="6854AE49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7FE1A" w14:textId="6497BAC2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488B23" w14:textId="1499D333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E9AC7" w14:textId="77777777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548EB2" w14:textId="608CB37E" w:rsidR="002F3776" w:rsidRPr="00E8281A" w:rsidRDefault="00D90923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F32AAA" w14:textId="247D176D" w:rsidR="002F3776" w:rsidRPr="00E8281A" w:rsidRDefault="00D90923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.07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B89A17" w14:textId="701620D6" w:rsidR="002F3776" w:rsidRPr="00E8281A" w:rsidRDefault="00087B4C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2.61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FC587F" w14:textId="38752AE0" w:rsidR="002F3776" w:rsidRPr="00E8281A" w:rsidRDefault="00087B4C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.04</w:t>
            </w:r>
          </w:p>
        </w:tc>
      </w:tr>
      <w:tr w:rsidR="00F5365C" w:rsidRPr="00E8281A" w14:paraId="5005A59B" w14:textId="77777777" w:rsidTr="000B345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B3B7E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vertAlign w:val="superscript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 xml:space="preserve">  Child gender (boy = 0, girl = 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64D87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7DAD9A" w14:textId="13AF258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6F2BEA" w14:textId="413F5AF3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A5B0B" w14:textId="6917E313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FFF85" w14:textId="5620F4C0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5C878" w14:textId="6427525F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C1A610D" w14:textId="3690EAE1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.05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118B20" w14:textId="78AC1123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EA91E84" w14:textId="41F612E9" w:rsidR="002F3776" w:rsidRPr="00E8281A" w:rsidRDefault="006E7271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048C11" w14:textId="14319D86" w:rsidR="002F3776" w:rsidRPr="00E8281A" w:rsidRDefault="006E7271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E210B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69E08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95620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059CC76" w14:textId="21BA02BB" w:rsidR="002F3776" w:rsidRPr="00E8281A" w:rsidRDefault="006E7271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.01</w:t>
            </w:r>
          </w:p>
        </w:tc>
      </w:tr>
      <w:tr w:rsidR="00F5365C" w:rsidRPr="00E8281A" w14:paraId="38186F2A" w14:textId="77777777" w:rsidTr="000B345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F03E1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 xml:space="preserve">  Child age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476AC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A07626D" w14:textId="708F81F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A997E3" w14:textId="4C79E4D4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A9136" w14:textId="47F48BF2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0380F" w14:textId="2A63810D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BA5EF" w14:textId="564A7891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B88D0E" w14:textId="7B4C7BD8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.03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57A0DF" w14:textId="1B0A1AF3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3B99D92" w14:textId="66CBF75C" w:rsidR="002F3776" w:rsidRPr="00E8281A" w:rsidRDefault="006E7271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DEB1E4" w14:textId="3FF5F99A" w:rsidR="002F3776" w:rsidRPr="00E8281A" w:rsidRDefault="006E7271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B7F72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52FED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047C6613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364AB9D" w14:textId="4E87F4A6" w:rsidR="002F3776" w:rsidRPr="00E8281A" w:rsidRDefault="006E7271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.02</w:t>
            </w:r>
          </w:p>
        </w:tc>
      </w:tr>
      <w:tr w:rsidR="00F5365C" w:rsidRPr="00E8281A" w14:paraId="2EE96F89" w14:textId="77777777" w:rsidTr="000B345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D82E4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 xml:space="preserve">  Maternal education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31622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A702403" w14:textId="4037FDB6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D93A83" w14:textId="3F0D0CDA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E9078" w14:textId="04349232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CA7AE" w14:textId="1B819505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2B47B" w14:textId="5D7341B5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F7047F" w14:textId="72B2E9F3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.12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D96C3A" w14:textId="5C083571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8B4DDC3" w14:textId="0E320B3B" w:rsidR="002F3776" w:rsidRPr="00E8281A" w:rsidRDefault="006E7271" w:rsidP="002F3776">
            <w:pPr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AC3949" w14:textId="4667403F" w:rsidR="002F3776" w:rsidRPr="00E8281A" w:rsidRDefault="006E7271" w:rsidP="002F3776">
            <w:pPr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E8F3F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A22C0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70C408CD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B928447" w14:textId="320DA7F5" w:rsidR="002F3776" w:rsidRPr="00E8281A" w:rsidRDefault="006E7271" w:rsidP="002F3776">
            <w:pPr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.42</w:t>
            </w:r>
          </w:p>
        </w:tc>
      </w:tr>
      <w:tr w:rsidR="00F5365C" w:rsidRPr="00E8281A" w14:paraId="72FEA377" w14:textId="77777777" w:rsidTr="000B345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8A925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 xml:space="preserve">  Paternal education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DCA21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5D86390" w14:textId="54C5F88D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-.12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A8405B" w14:textId="49DD1B01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04257" w14:textId="7BA6B630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5C997" w14:textId="5C393983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29B6C" w14:textId="5FA99068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66DCC3" w14:textId="4261D0C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.07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A2B6C9" w14:textId="3C744AD0" w:rsidR="002F3776" w:rsidRPr="00E8281A" w:rsidRDefault="002F3776" w:rsidP="002F377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5B03E17" w14:textId="447C363E" w:rsidR="002F3776" w:rsidRPr="00E8281A" w:rsidRDefault="006E7271" w:rsidP="002F3776">
            <w:pPr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-.02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4AB39F" w14:textId="0167B2AD" w:rsidR="002F3776" w:rsidRPr="00E8281A" w:rsidRDefault="006E7271" w:rsidP="002F3776">
            <w:pPr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9CE9A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7BCBE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4A7093D9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BE4C8F7" w14:textId="7DB8B847" w:rsidR="002F3776" w:rsidRPr="00E8281A" w:rsidRDefault="006E7271" w:rsidP="002F3776">
            <w:pPr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.70</w:t>
            </w:r>
          </w:p>
        </w:tc>
      </w:tr>
      <w:tr w:rsidR="00F5365C" w:rsidRPr="00E8281A" w14:paraId="64465E61" w14:textId="77777777" w:rsidTr="000B3453">
        <w:trPr>
          <w:trHeight w:val="22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1F01C" w14:textId="77777777" w:rsidR="002F3776" w:rsidRPr="00E8281A" w:rsidRDefault="002F3776" w:rsidP="002F3776">
            <w:pPr>
              <w:spacing w:line="1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540F4" w14:textId="77777777" w:rsidR="002F3776" w:rsidRPr="00E8281A" w:rsidRDefault="002F3776" w:rsidP="002F3776">
            <w:pPr>
              <w:spacing w:line="10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94B2F3" w14:textId="77777777" w:rsidR="002F3776" w:rsidRPr="00E8281A" w:rsidRDefault="002F3776" w:rsidP="002F3776">
            <w:pPr>
              <w:spacing w:line="10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09A6D2" w14:textId="497069B9" w:rsidR="002F3776" w:rsidRPr="00E8281A" w:rsidRDefault="002F3776" w:rsidP="002F3776">
            <w:pPr>
              <w:spacing w:line="10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AA51C" w14:textId="62B9B2B5" w:rsidR="002F3776" w:rsidRPr="00E8281A" w:rsidRDefault="002F3776" w:rsidP="002F3776">
            <w:pPr>
              <w:spacing w:line="10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6672C" w14:textId="79DDBEB8" w:rsidR="002F3776" w:rsidRPr="00E8281A" w:rsidRDefault="002F3776" w:rsidP="002F3776">
            <w:pPr>
              <w:spacing w:line="10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F9740" w14:textId="69E3573B" w:rsidR="002F3776" w:rsidRPr="00E8281A" w:rsidRDefault="002F3776" w:rsidP="002F3776">
            <w:pPr>
              <w:spacing w:line="10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418B46" w14:textId="3B91712D" w:rsidR="002F3776" w:rsidRPr="00E8281A" w:rsidRDefault="002F3776" w:rsidP="002F3776">
            <w:pPr>
              <w:spacing w:line="10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2274C5" w14:textId="092FFE75" w:rsidR="002F3776" w:rsidRPr="00E8281A" w:rsidRDefault="002F3776" w:rsidP="002F3776">
            <w:pPr>
              <w:spacing w:line="10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0C9C83B" w14:textId="234B344F" w:rsidR="002F3776" w:rsidRPr="00E8281A" w:rsidRDefault="002F3776" w:rsidP="002F3776">
            <w:pPr>
              <w:spacing w:line="10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132F03" w14:textId="77777777" w:rsidR="002F3776" w:rsidRPr="00E8281A" w:rsidRDefault="002F3776" w:rsidP="002F3776">
            <w:pPr>
              <w:spacing w:line="10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F6D0A" w14:textId="77777777" w:rsidR="002F3776" w:rsidRPr="00E8281A" w:rsidRDefault="002F3776" w:rsidP="002F3776">
            <w:pPr>
              <w:spacing w:line="1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713F7" w14:textId="77777777" w:rsidR="002F3776" w:rsidRPr="00E8281A" w:rsidRDefault="002F3776" w:rsidP="002F3776">
            <w:pPr>
              <w:spacing w:line="1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4695C3F8" w14:textId="77777777" w:rsidR="002F3776" w:rsidRPr="00E8281A" w:rsidRDefault="002F3776" w:rsidP="002F3776">
            <w:pPr>
              <w:spacing w:line="1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A8BE7BE" w14:textId="77777777" w:rsidR="002F3776" w:rsidRPr="00E8281A" w:rsidRDefault="002F3776" w:rsidP="002F3776">
            <w:pPr>
              <w:spacing w:line="10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F5365C" w:rsidRPr="00E8281A" w14:paraId="7F624DB5" w14:textId="77777777" w:rsidTr="000B345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FA0E7" w14:textId="77777777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Step 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CACD0" w14:textId="77777777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9C9E2" w14:textId="3D932CD9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--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690085" w14:textId="522C5068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12BB2" w14:textId="09157BE1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9C95" w14:textId="183E0EE7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BFE6" w14:textId="1FCE752F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2.30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9A3465" w14:textId="4E724791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FBAD95" w14:textId="1A88BBD2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E7AD0" w14:textId="1FE67AA4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--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AA2978" w14:textId="77777777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5CB5E" w14:textId="32925DDB" w:rsidR="002F3776" w:rsidRPr="00E8281A" w:rsidRDefault="00D90923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7A8C5" w14:textId="6527D42C" w:rsidR="002F3776" w:rsidRPr="00E8281A" w:rsidRDefault="00D90923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4FF25C51" w14:textId="38E5503F" w:rsidR="002F3776" w:rsidRPr="00E8281A" w:rsidRDefault="00087B4C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2.73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FCC6598" w14:textId="1036311B" w:rsidR="002F3776" w:rsidRPr="00E8281A" w:rsidRDefault="00087B4C" w:rsidP="002F3776">
            <w:pPr>
              <w:spacing w:line="360" w:lineRule="auto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.02</w:t>
            </w:r>
          </w:p>
        </w:tc>
      </w:tr>
      <w:tr w:rsidR="00F5365C" w:rsidRPr="00E8281A" w14:paraId="4E6CFD7D" w14:textId="77777777" w:rsidTr="000B345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C229E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vertAlign w:val="superscript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 xml:space="preserve">  Imaginational overexcitability</w:t>
            </w:r>
            <w:r w:rsidRPr="00E8281A">
              <w:rPr>
                <w:color w:val="000000" w:themeColor="text1"/>
                <w:sz w:val="22"/>
                <w:szCs w:val="22"/>
                <w:vertAlign w:val="superscript"/>
                <w:lang w:eastAsia="zh-HK"/>
              </w:rPr>
              <w:t xml:space="preserve"> a</w:t>
            </w: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90FFD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21E30F" w14:textId="1130680F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-.01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0932A8" w14:textId="0914CDE3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687E8" w14:textId="0F45A64B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6C351" w14:textId="5C36097A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40041" w14:textId="1F69E1C3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E3BB60" w14:textId="7E2B270C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.93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2E64E9" w14:textId="58D8B6A5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A476235" w14:textId="56340BCA" w:rsidR="002F3776" w:rsidRPr="00E8281A" w:rsidRDefault="006E7271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8F6A7C" w14:textId="6B54A019" w:rsidR="002F3776" w:rsidRPr="00E8281A" w:rsidRDefault="006E7271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51215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36CD9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1B3383AC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24F11DD" w14:textId="5B26EE37" w:rsidR="002F3776" w:rsidRPr="00E8281A" w:rsidRDefault="006E7271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.96</w:t>
            </w:r>
          </w:p>
        </w:tc>
      </w:tr>
      <w:tr w:rsidR="00F5365C" w:rsidRPr="00E8281A" w14:paraId="0DAA0816" w14:textId="77777777" w:rsidTr="000B345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572B6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vertAlign w:val="superscript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 xml:space="preserve">  Psychomotor overexcitability</w:t>
            </w:r>
            <w:r w:rsidRPr="00E8281A">
              <w:rPr>
                <w:color w:val="000000" w:themeColor="text1"/>
                <w:sz w:val="22"/>
                <w:szCs w:val="22"/>
                <w:vertAlign w:val="superscript"/>
                <w:lang w:eastAsia="zh-HK"/>
              </w:rPr>
              <w:t xml:space="preserve"> 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E82D6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29B5DB" w14:textId="5885F04B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23C8CF" w14:textId="25604DAE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E934A" w14:textId="41E945B3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0D288" w14:textId="1B68890E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D8D34" w14:textId="6A7FCD38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E48BCE9" w14:textId="7A90DD48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.19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37683B" w14:textId="179806C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BFE39F6" w14:textId="58D3913D" w:rsidR="002F3776" w:rsidRPr="00E8281A" w:rsidRDefault="006E7271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0273B4" w14:textId="1B8CE713" w:rsidR="002F3776" w:rsidRPr="00E8281A" w:rsidRDefault="006E7271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D7211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DE06C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7D877ECD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2186A12" w14:textId="7A8FABEF" w:rsidR="002F3776" w:rsidRPr="00E8281A" w:rsidRDefault="006E7271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.31</w:t>
            </w:r>
          </w:p>
        </w:tc>
      </w:tr>
      <w:tr w:rsidR="00F5365C" w:rsidRPr="00E8281A" w14:paraId="0E7CDA1C" w14:textId="77777777" w:rsidTr="000B345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4FBC6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vertAlign w:val="superscript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 xml:space="preserve">  Sensual overexcitability</w:t>
            </w:r>
            <w:r w:rsidRPr="00E8281A">
              <w:rPr>
                <w:color w:val="000000" w:themeColor="text1"/>
                <w:sz w:val="22"/>
                <w:szCs w:val="22"/>
                <w:vertAlign w:val="superscript"/>
                <w:lang w:eastAsia="zh-HK"/>
              </w:rPr>
              <w:t xml:space="preserve"> 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BB539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4EB5CEE" w14:textId="2286018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-.04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DBEA38" w14:textId="09F560F4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FAA6B" w14:textId="50DB6C70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80DDE" w14:textId="0B453003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33138" w14:textId="08C9888C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2B9A35" w14:textId="25951A01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.55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3C04F0" w14:textId="07840E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6A3FA76" w14:textId="58757AB8" w:rsidR="002F3776" w:rsidRPr="00E8281A" w:rsidRDefault="006E7271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CC67E5" w14:textId="7E5AFD19" w:rsidR="002F3776" w:rsidRPr="00E8281A" w:rsidRDefault="006E7271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A8CAB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332BF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0BAE8CD3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25D4069" w14:textId="122BBB2A" w:rsidR="002F3776" w:rsidRPr="00E8281A" w:rsidRDefault="006E7271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.55</w:t>
            </w:r>
          </w:p>
        </w:tc>
      </w:tr>
      <w:tr w:rsidR="00F5365C" w:rsidRPr="00E8281A" w14:paraId="50C2F8D5" w14:textId="77777777" w:rsidTr="000B345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80F1B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vertAlign w:val="superscript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 xml:space="preserve">  Intellectual overexcitability</w:t>
            </w:r>
            <w:r w:rsidRPr="00E8281A">
              <w:rPr>
                <w:color w:val="000000" w:themeColor="text1"/>
                <w:sz w:val="22"/>
                <w:szCs w:val="22"/>
                <w:vertAlign w:val="superscript"/>
                <w:lang w:eastAsia="zh-HK"/>
              </w:rPr>
              <w:t xml:space="preserve"> a</w:t>
            </w: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85BB9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99BFFEF" w14:textId="6413560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6176D1" w14:textId="54D83730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D6ED2" w14:textId="6BB51E8A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0D6C1" w14:textId="2349C814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ABF062" w14:textId="1C88E188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5C9F8B3" w14:textId="05CA14D1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.97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B8AAB5" w14:textId="53C7DF2F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9E384AE" w14:textId="79BBC4ED" w:rsidR="002F3776" w:rsidRPr="00E8281A" w:rsidRDefault="006E7271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65AAB9" w14:textId="611A3E76" w:rsidR="002F3776" w:rsidRPr="00E8281A" w:rsidRDefault="006E7271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37F27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1F66C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0A9785CC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1F4A09F" w14:textId="52E2A9A6" w:rsidR="002F3776" w:rsidRPr="00E8281A" w:rsidRDefault="006E7271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.93</w:t>
            </w:r>
          </w:p>
        </w:tc>
      </w:tr>
      <w:tr w:rsidR="00F5365C" w:rsidRPr="00E8281A" w14:paraId="6CD6072E" w14:textId="77777777" w:rsidTr="000B345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0F3FF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vertAlign w:val="superscript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 xml:space="preserve">  Emotional overexcitability</w:t>
            </w:r>
            <w:r w:rsidRPr="00E8281A">
              <w:rPr>
                <w:color w:val="000000" w:themeColor="text1"/>
                <w:sz w:val="22"/>
                <w:szCs w:val="22"/>
                <w:vertAlign w:val="superscript"/>
                <w:lang w:eastAsia="zh-HK"/>
              </w:rPr>
              <w:t xml:space="preserve"> a</w:t>
            </w: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D57B4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E1315D2" w14:textId="348D4A60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C36958" w14:textId="2B6B2469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7ECC0" w14:textId="1C17EBF2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C1435" w14:textId="2CE15A0A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FA88DD" w14:textId="347B745E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8C60D1C" w14:textId="48609A53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.89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AEEF77" w14:textId="2056B0B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78A549B" w14:textId="604724A6" w:rsidR="002F3776" w:rsidRPr="00E8281A" w:rsidRDefault="006E7271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-.01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DC8B56" w14:textId="5C098B7B" w:rsidR="002F3776" w:rsidRPr="00E8281A" w:rsidRDefault="006E7271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A3198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D5568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3CB251AB" w14:textId="77777777" w:rsidR="002F3776" w:rsidRPr="00E8281A" w:rsidRDefault="002F3776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FF3F3A0" w14:textId="029892EE" w:rsidR="002F3776" w:rsidRPr="00E8281A" w:rsidRDefault="006E7271" w:rsidP="002F3776">
            <w:pPr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.91</w:t>
            </w:r>
          </w:p>
        </w:tc>
      </w:tr>
      <w:tr w:rsidR="00F5365C" w:rsidRPr="00E8281A" w14:paraId="6EFDA39E" w14:textId="77777777" w:rsidTr="000B345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E698B" w14:textId="77777777" w:rsidR="002F3776" w:rsidRPr="00E8281A" w:rsidRDefault="002F3776" w:rsidP="002F3776">
            <w:pPr>
              <w:spacing w:line="160" w:lineRule="exact"/>
              <w:jc w:val="distribute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3E0D3" w14:textId="77777777" w:rsidR="002F3776" w:rsidRPr="00E8281A" w:rsidRDefault="002F3776" w:rsidP="002F3776">
            <w:pPr>
              <w:spacing w:line="160" w:lineRule="exact"/>
              <w:jc w:val="distribute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636F6D5" w14:textId="77777777" w:rsidR="002F3776" w:rsidRPr="00E8281A" w:rsidRDefault="002F3776" w:rsidP="002F3776">
            <w:pPr>
              <w:spacing w:line="160" w:lineRule="exact"/>
              <w:jc w:val="distribute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2DDBBA" w14:textId="0D38C700" w:rsidR="002F3776" w:rsidRPr="00E8281A" w:rsidRDefault="002F3776" w:rsidP="002F3776">
            <w:pPr>
              <w:spacing w:line="160" w:lineRule="exact"/>
              <w:jc w:val="distribute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F4CB5" w14:textId="4FAD4B48" w:rsidR="002F3776" w:rsidRPr="00E8281A" w:rsidRDefault="002F3776" w:rsidP="002F3776">
            <w:pPr>
              <w:spacing w:line="160" w:lineRule="exact"/>
              <w:jc w:val="distribute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84543" w14:textId="4E5267A7" w:rsidR="002F3776" w:rsidRPr="00E8281A" w:rsidRDefault="002F3776" w:rsidP="002F3776">
            <w:pPr>
              <w:spacing w:line="160" w:lineRule="exact"/>
              <w:jc w:val="distribute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0848A" w14:textId="59104231" w:rsidR="002F3776" w:rsidRPr="00E8281A" w:rsidRDefault="002F3776" w:rsidP="002F3776">
            <w:pPr>
              <w:spacing w:line="160" w:lineRule="exact"/>
              <w:jc w:val="distribute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763D64" w14:textId="4D615BED" w:rsidR="002F3776" w:rsidRPr="00E8281A" w:rsidRDefault="002F3776" w:rsidP="002F3776">
            <w:pPr>
              <w:spacing w:line="160" w:lineRule="exact"/>
              <w:jc w:val="distribute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2CC785" w14:textId="20F1C098" w:rsidR="002F3776" w:rsidRPr="00E8281A" w:rsidRDefault="002F3776" w:rsidP="002F3776">
            <w:pPr>
              <w:spacing w:line="160" w:lineRule="exact"/>
              <w:jc w:val="distribute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254C4A3" w14:textId="65257CAC" w:rsidR="002F3776" w:rsidRPr="00E8281A" w:rsidRDefault="002F3776" w:rsidP="002F3776">
            <w:pPr>
              <w:spacing w:line="160" w:lineRule="exact"/>
              <w:jc w:val="distribute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086DB8" w14:textId="77777777" w:rsidR="002F3776" w:rsidRPr="00E8281A" w:rsidRDefault="002F3776" w:rsidP="002F3776">
            <w:pPr>
              <w:spacing w:line="160" w:lineRule="exact"/>
              <w:jc w:val="distribute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5F0C7" w14:textId="77777777" w:rsidR="002F3776" w:rsidRPr="00E8281A" w:rsidRDefault="002F3776" w:rsidP="002F3776">
            <w:pPr>
              <w:spacing w:line="160" w:lineRule="exact"/>
              <w:jc w:val="distribute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2E054" w14:textId="77777777" w:rsidR="002F3776" w:rsidRPr="00E8281A" w:rsidRDefault="002F3776" w:rsidP="002F3776">
            <w:pPr>
              <w:spacing w:line="160" w:lineRule="exact"/>
              <w:jc w:val="distribute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0CF4CEC9" w14:textId="77777777" w:rsidR="002F3776" w:rsidRPr="00E8281A" w:rsidRDefault="002F3776" w:rsidP="002F3776">
            <w:pPr>
              <w:spacing w:line="160" w:lineRule="exact"/>
              <w:jc w:val="distribute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6ADA773" w14:textId="77777777" w:rsidR="002F3776" w:rsidRPr="00E8281A" w:rsidRDefault="002F3776" w:rsidP="002F3776">
            <w:pPr>
              <w:spacing w:line="160" w:lineRule="exact"/>
              <w:jc w:val="distribute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</w:tr>
      <w:tr w:rsidR="00F5365C" w:rsidRPr="00E8281A" w14:paraId="1563EA57" w14:textId="77777777" w:rsidTr="000B345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AD11F" w14:textId="77777777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Step 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55B51" w14:textId="77777777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A3BD0" w14:textId="3D0D3540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--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04EAB1" w14:textId="3EC09C96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A6E32" w14:textId="7E43F324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45B3F" w14:textId="0FD3A551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.45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B90DE" w14:textId="4579C401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29.26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2F0D9" w14:textId="6B614150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&lt;.001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E6475A" w14:textId="541E0BAE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D1015" w14:textId="52EF2EE1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--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DEF7C7" w14:textId="77777777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47AC4" w14:textId="35097DEB" w:rsidR="002F3776" w:rsidRPr="00E8281A" w:rsidRDefault="00087B4C" w:rsidP="002F377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.63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67338" w14:textId="263FFB3D" w:rsidR="002F3776" w:rsidRPr="00E8281A" w:rsidRDefault="00087B4C" w:rsidP="002F377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.47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1E2EDFCC" w14:textId="21466F1E" w:rsidR="002F3776" w:rsidRPr="00E8281A" w:rsidRDefault="00087B4C" w:rsidP="002F377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31.73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C4E49" w14:textId="0369AED2" w:rsidR="002F3776" w:rsidRPr="00E8281A" w:rsidRDefault="00087B4C" w:rsidP="002F377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&lt;.001</w:t>
            </w:r>
          </w:p>
        </w:tc>
      </w:tr>
      <w:tr w:rsidR="00F5365C" w:rsidRPr="00E8281A" w14:paraId="3A21DED4" w14:textId="77777777" w:rsidTr="000B345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1B857" w14:textId="77777777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 xml:space="preserve">  Physical spontaneity</w:t>
            </w:r>
            <w:r w:rsidRPr="00E8281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8281A">
              <w:rPr>
                <w:color w:val="000000" w:themeColor="text1"/>
                <w:sz w:val="22"/>
                <w:szCs w:val="22"/>
                <w:vertAlign w:val="superscript"/>
              </w:rPr>
              <w:t>b</w:t>
            </w: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9A5F0" w14:textId="77777777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C756CF" w14:textId="0D1389EF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8D9F17" w14:textId="419F50A5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FB7BB" w14:textId="5AAC7EE9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EA3C9" w14:textId="45F24862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ACFF2" w14:textId="274D5B27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E2F515" w14:textId="17E593F9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.24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13C668" w14:textId="2ECE781E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C4FDB34" w14:textId="3D7BA85C" w:rsidR="002F3776" w:rsidRPr="00E8281A" w:rsidRDefault="006E7271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992CC4" w14:textId="4CF136E4" w:rsidR="002F3776" w:rsidRPr="00E8281A" w:rsidRDefault="006E7271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70AA2" w14:textId="77777777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FC1DF" w14:textId="77777777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03FD3366" w14:textId="77777777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3A98A0D" w14:textId="2D936833" w:rsidR="002F3776" w:rsidRPr="00E8281A" w:rsidRDefault="006E7271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.10</w:t>
            </w:r>
          </w:p>
        </w:tc>
      </w:tr>
      <w:tr w:rsidR="00F5365C" w:rsidRPr="00E8281A" w14:paraId="767DFF0A" w14:textId="77777777" w:rsidTr="000B345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E3725" w14:textId="77777777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 xml:space="preserve">  Social spontaneity</w:t>
            </w:r>
            <w:r w:rsidRPr="00E8281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8281A">
              <w:rPr>
                <w:color w:val="000000" w:themeColor="text1"/>
                <w:sz w:val="22"/>
                <w:szCs w:val="22"/>
                <w:vertAlign w:val="superscript"/>
              </w:rPr>
              <w:t>b</w:t>
            </w: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64EE5" w14:textId="77777777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59F4657" w14:textId="5D6A7C9D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5B942A" w14:textId="593B85F9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10A8F" w14:textId="221D0528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14015" w14:textId="0DC882DD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F863A" w14:textId="0FCE2DD7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B617ED" w14:textId="5B8F93B9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.01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BEC46C" w14:textId="3AE10CD5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74D99D5" w14:textId="625A89F1" w:rsidR="002F3776" w:rsidRPr="00E8281A" w:rsidRDefault="006E7271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1356C5" w14:textId="0FE7AAB1" w:rsidR="002F3776" w:rsidRPr="00E8281A" w:rsidRDefault="006E7271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4ADF6" w14:textId="77777777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2B3E0" w14:textId="77777777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5C7B5571" w14:textId="77777777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289AB51" w14:textId="3107C67D" w:rsidR="002F3776" w:rsidRPr="00E8281A" w:rsidRDefault="006E7271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.06</w:t>
            </w:r>
          </w:p>
        </w:tc>
      </w:tr>
      <w:tr w:rsidR="00F5365C" w:rsidRPr="00E8281A" w14:paraId="26690CC9" w14:textId="77777777" w:rsidTr="000B345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E20D0" w14:textId="77777777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 xml:space="preserve">  Cognitive spontaneity</w:t>
            </w:r>
            <w:r w:rsidRPr="00E8281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8281A">
              <w:rPr>
                <w:color w:val="000000" w:themeColor="text1"/>
                <w:sz w:val="22"/>
                <w:szCs w:val="22"/>
                <w:vertAlign w:val="superscript"/>
              </w:rPr>
              <w:t>b</w:t>
            </w: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DB7FB" w14:textId="77777777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08CB24C" w14:textId="2E22FA1F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E19C68" w14:textId="0EE24FE8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C21BA" w14:textId="2A4FF7C9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F9593" w14:textId="200F0B95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A9610C" w14:textId="57C4618F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807AF66" w14:textId="1B202630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&lt;.001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1E053C" w14:textId="72C0C30D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5F81205" w14:textId="3FCC49DE" w:rsidR="002F3776" w:rsidRPr="00E8281A" w:rsidRDefault="006E7271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D80AA1" w14:textId="1BD0D4BB" w:rsidR="002F3776" w:rsidRPr="00E8281A" w:rsidRDefault="006E7271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CA0E6" w14:textId="77777777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56C4D" w14:textId="77777777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44288A28" w14:textId="77777777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249059C" w14:textId="21D2CF34" w:rsidR="002F3776" w:rsidRPr="00E8281A" w:rsidRDefault="006E7271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&lt;.001</w:t>
            </w:r>
          </w:p>
        </w:tc>
      </w:tr>
      <w:tr w:rsidR="00F5365C" w:rsidRPr="00E8281A" w14:paraId="51814A6F" w14:textId="77777777" w:rsidTr="000B345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C5011" w14:textId="77777777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 xml:space="preserve">  Manifest joy</w:t>
            </w:r>
            <w:r w:rsidRPr="00E8281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8281A">
              <w:rPr>
                <w:color w:val="000000" w:themeColor="text1"/>
                <w:sz w:val="22"/>
                <w:szCs w:val="22"/>
                <w:vertAlign w:val="superscript"/>
              </w:rPr>
              <w:t>b</w:t>
            </w: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855E0" w14:textId="77777777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25314D" w14:textId="3B65CE0A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-.04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E0B8D4" w14:textId="4B9E1DDD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CE7FF" w14:textId="623A1912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F98FD" w14:textId="29E6CB2B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B0E5E" w14:textId="5379EE16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F7D8389" w14:textId="0BEC8506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.74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9FF71D" w14:textId="09E0C8A1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043209C" w14:textId="26BE7FB1" w:rsidR="002F3776" w:rsidRPr="00E8281A" w:rsidRDefault="006E7271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-.12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46B6EC" w14:textId="76AA1F29" w:rsidR="002F3776" w:rsidRPr="00E8281A" w:rsidRDefault="006E7271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442B1" w14:textId="77777777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F690D" w14:textId="77777777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25CDEF2A" w14:textId="77777777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85CF71F" w14:textId="3D31136E" w:rsidR="002F3776" w:rsidRPr="00E8281A" w:rsidRDefault="006E7271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.26</w:t>
            </w:r>
          </w:p>
        </w:tc>
      </w:tr>
      <w:tr w:rsidR="00F5365C" w:rsidRPr="00E8281A" w14:paraId="199432B8" w14:textId="77777777" w:rsidTr="000B3453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116CEC" w14:textId="65418392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 xml:space="preserve">  Sense of </w:t>
            </w:r>
            <w:r w:rsidR="0024543F" w:rsidRPr="00E8281A">
              <w:rPr>
                <w:color w:val="000000" w:themeColor="text1"/>
                <w:sz w:val="22"/>
                <w:szCs w:val="22"/>
                <w:lang w:eastAsia="zh-HK"/>
              </w:rPr>
              <w:t>humor</w:t>
            </w:r>
            <w:r w:rsidRPr="00E8281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8281A">
              <w:rPr>
                <w:color w:val="000000" w:themeColor="text1"/>
                <w:sz w:val="22"/>
                <w:szCs w:val="22"/>
                <w:vertAlign w:val="superscript"/>
              </w:rPr>
              <w:t>b</w:t>
            </w: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C8973" w14:textId="77777777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A99B2" w14:textId="0BB7F393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-.09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E56CF" w14:textId="2B081151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4E9BD1" w14:textId="6D1F8F6E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397045" w14:textId="082CDE08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7B1C5" w14:textId="768CD0F6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103C3" w14:textId="6F8D0BC4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>.29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E1785" w14:textId="5D2BD757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1FA4F" w14:textId="40466C2F" w:rsidR="002F3776" w:rsidRPr="00E8281A" w:rsidRDefault="006E7271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C9A85" w14:textId="0A63885A" w:rsidR="002F3776" w:rsidRPr="00E8281A" w:rsidRDefault="006E7271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0906B" w14:textId="77777777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614A3D" w14:textId="77777777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9D942" w14:textId="77777777" w:rsidR="002F3776" w:rsidRPr="00E8281A" w:rsidRDefault="002F3776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C07D4F" w14:textId="0E718107" w:rsidR="002F3776" w:rsidRPr="00E8281A" w:rsidRDefault="006E7271" w:rsidP="002F3776">
            <w:pPr>
              <w:spacing w:line="300" w:lineRule="exact"/>
              <w:rPr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  <w:lang w:eastAsia="zh-HK"/>
              </w:rPr>
              <w:t>.21</w:t>
            </w:r>
          </w:p>
        </w:tc>
      </w:tr>
      <w:tr w:rsidR="00F5365C" w:rsidRPr="00E8281A" w14:paraId="62ECCF6C" w14:textId="77777777" w:rsidTr="000B3453">
        <w:tc>
          <w:tcPr>
            <w:tcW w:w="1417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3BCC5" w14:textId="2A3730F8" w:rsidR="002F3776" w:rsidRPr="00E8281A" w:rsidRDefault="002F3776" w:rsidP="002F377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i/>
                <w:color w:val="000000" w:themeColor="text1"/>
                <w:sz w:val="22"/>
                <w:szCs w:val="22"/>
                <w:lang w:eastAsia="zh-HK"/>
              </w:rPr>
              <w:t>Note:</w:t>
            </w:r>
            <w:r w:rsidRPr="00E8281A">
              <w:rPr>
                <w:color w:val="000000" w:themeColor="text1"/>
                <w:sz w:val="22"/>
                <w:szCs w:val="22"/>
                <w:vertAlign w:val="superscript"/>
                <w:lang w:eastAsia="zh-HK"/>
              </w:rPr>
              <w:t xml:space="preserve"> </w:t>
            </w:r>
            <w:r w:rsidRPr="00E8281A">
              <w:rPr>
                <w:color w:val="000000" w:themeColor="text1"/>
                <w:sz w:val="22"/>
                <w:szCs w:val="22"/>
                <w:vertAlign w:val="superscript"/>
              </w:rPr>
              <w:t>a</w:t>
            </w:r>
            <w:r w:rsidRPr="00E8281A">
              <w:rPr>
                <w:color w:val="000000" w:themeColor="text1"/>
                <w:sz w:val="22"/>
                <w:szCs w:val="22"/>
              </w:rPr>
              <w:t xml:space="preserve"> Children’s overexcitabilities were reported by parents at Time 1.</w:t>
            </w:r>
          </w:p>
          <w:p w14:paraId="1A55C0D7" w14:textId="77777777" w:rsidR="00E938BB" w:rsidRPr="00E8281A" w:rsidRDefault="002F3776" w:rsidP="00B54DDF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8281A">
              <w:rPr>
                <w:color w:val="000000" w:themeColor="text1"/>
                <w:sz w:val="22"/>
                <w:szCs w:val="22"/>
                <w:vertAlign w:val="superscript"/>
              </w:rPr>
              <w:t xml:space="preserve">       </w:t>
            </w:r>
            <w:r w:rsidR="00E938BB" w:rsidRPr="00E8281A">
              <w:rPr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Pr="00E8281A">
              <w:rPr>
                <w:color w:val="000000" w:themeColor="text1"/>
                <w:sz w:val="22"/>
                <w:szCs w:val="22"/>
                <w:vertAlign w:val="superscript"/>
              </w:rPr>
              <w:t xml:space="preserve">b </w:t>
            </w:r>
            <w:r w:rsidRPr="00E8281A">
              <w:rPr>
                <w:color w:val="000000" w:themeColor="text1"/>
                <w:sz w:val="22"/>
                <w:szCs w:val="22"/>
              </w:rPr>
              <w:t xml:space="preserve">Children’s playfulness was reported by teachers at both </w:t>
            </w:r>
            <w:r w:rsidR="00E938BB" w:rsidRPr="00E8281A">
              <w:rPr>
                <w:color w:val="000000" w:themeColor="text1"/>
                <w:sz w:val="22"/>
                <w:szCs w:val="22"/>
              </w:rPr>
              <w:t>time points.</w:t>
            </w:r>
            <w:r w:rsidRPr="00E8281A">
              <w:rPr>
                <w:color w:val="000000" w:themeColor="text1"/>
                <w:sz w:val="22"/>
                <w:szCs w:val="22"/>
              </w:rPr>
              <w:t xml:space="preserve"> </w:t>
            </w:r>
            <w:r w:rsidR="00E938BB" w:rsidRPr="00E8281A">
              <w:rPr>
                <w:color w:val="000000" w:themeColor="text1"/>
                <w:sz w:val="22"/>
                <w:szCs w:val="22"/>
              </w:rPr>
              <w:t>T</w:t>
            </w:r>
            <w:r w:rsidRPr="00E8281A">
              <w:rPr>
                <w:color w:val="000000" w:themeColor="text1"/>
                <w:sz w:val="22"/>
                <w:szCs w:val="22"/>
              </w:rPr>
              <w:t xml:space="preserve">he </w:t>
            </w:r>
            <w:r w:rsidR="00E938BB" w:rsidRPr="00E8281A">
              <w:rPr>
                <w:color w:val="000000" w:themeColor="text1"/>
                <w:sz w:val="22"/>
                <w:szCs w:val="22"/>
              </w:rPr>
              <w:t xml:space="preserve">playfulness </w:t>
            </w:r>
            <w:r w:rsidRPr="00E8281A">
              <w:rPr>
                <w:color w:val="000000" w:themeColor="text1"/>
                <w:sz w:val="22"/>
                <w:szCs w:val="22"/>
              </w:rPr>
              <w:t xml:space="preserve">scores </w:t>
            </w:r>
            <w:r w:rsidR="00E938BB" w:rsidRPr="00E8281A">
              <w:rPr>
                <w:color w:val="000000" w:themeColor="text1"/>
                <w:sz w:val="22"/>
                <w:szCs w:val="22"/>
              </w:rPr>
              <w:t xml:space="preserve">at Time 1 and Time 2 </w:t>
            </w:r>
            <w:r w:rsidRPr="00E8281A">
              <w:rPr>
                <w:color w:val="000000" w:themeColor="text1"/>
                <w:sz w:val="22"/>
                <w:szCs w:val="22"/>
              </w:rPr>
              <w:t>were</w:t>
            </w:r>
            <w:r w:rsidR="00E938BB" w:rsidRPr="00E8281A">
              <w:rPr>
                <w:color w:val="000000" w:themeColor="text1"/>
                <w:sz w:val="22"/>
                <w:szCs w:val="22"/>
              </w:rPr>
              <w:t xml:space="preserve"> used to predict creative </w:t>
            </w:r>
          </w:p>
          <w:p w14:paraId="2032640F" w14:textId="7C396893" w:rsidR="002F3776" w:rsidRPr="00E8281A" w:rsidRDefault="00E938BB" w:rsidP="00E938BB">
            <w:pPr>
              <w:spacing w:line="360" w:lineRule="auto"/>
              <w:rPr>
                <w:i/>
                <w:color w:val="000000" w:themeColor="text1"/>
                <w:sz w:val="22"/>
                <w:szCs w:val="22"/>
                <w:lang w:eastAsia="zh-HK"/>
              </w:rPr>
            </w:pPr>
            <w:r w:rsidRPr="00E8281A">
              <w:rPr>
                <w:color w:val="000000" w:themeColor="text1"/>
                <w:sz w:val="22"/>
                <w:szCs w:val="22"/>
              </w:rPr>
              <w:t xml:space="preserve">       potential in regression models 1 and 2, respectively.</w:t>
            </w:r>
          </w:p>
        </w:tc>
      </w:tr>
    </w:tbl>
    <w:p w14:paraId="185B2FF2" w14:textId="77777777" w:rsidR="002D345A" w:rsidRPr="00E8281A" w:rsidRDefault="002D345A" w:rsidP="009A3B48">
      <w:pPr>
        <w:spacing w:line="480" w:lineRule="auto"/>
        <w:rPr>
          <w:color w:val="000000" w:themeColor="text1"/>
          <w:lang w:eastAsia="zh-HK"/>
        </w:rPr>
        <w:sectPr w:rsidR="002D345A" w:rsidRPr="00E8281A" w:rsidSect="002D345A">
          <w:pgSz w:w="16838" w:h="11906" w:orient="landscape" w:code="9"/>
          <w:pgMar w:top="1440" w:right="1440" w:bottom="1440" w:left="1440" w:header="851" w:footer="992" w:gutter="0"/>
          <w:cols w:space="425"/>
          <w:docGrid w:linePitch="360"/>
        </w:sectPr>
      </w:pPr>
    </w:p>
    <w:p w14:paraId="4A72992C" w14:textId="2D6FEA2D" w:rsidR="009A3B48" w:rsidRPr="00E8281A" w:rsidRDefault="009A3B48" w:rsidP="009A3B48">
      <w:pPr>
        <w:spacing w:line="480" w:lineRule="auto"/>
        <w:rPr>
          <w:color w:val="000000" w:themeColor="text1"/>
          <w:lang w:eastAsia="zh-HK"/>
        </w:rPr>
      </w:pPr>
      <w:r w:rsidRPr="00E8281A">
        <w:rPr>
          <w:color w:val="000000" w:themeColor="text1"/>
          <w:lang w:eastAsia="zh-HK"/>
        </w:rPr>
        <w:lastRenderedPageBreak/>
        <w:t>Figure Legend</w:t>
      </w:r>
    </w:p>
    <w:p w14:paraId="296B107E" w14:textId="77777777" w:rsidR="009A3B48" w:rsidRPr="00E8281A" w:rsidRDefault="009A3B48" w:rsidP="009A3B48">
      <w:pPr>
        <w:spacing w:line="480" w:lineRule="auto"/>
        <w:rPr>
          <w:color w:val="000000" w:themeColor="text1"/>
          <w:lang w:eastAsia="zh-HK"/>
        </w:rPr>
      </w:pPr>
    </w:p>
    <w:p w14:paraId="0B646DA5" w14:textId="144BA97B" w:rsidR="00F21FC5" w:rsidRPr="00E8281A" w:rsidRDefault="009A3B48" w:rsidP="00F26614">
      <w:pPr>
        <w:spacing w:line="480" w:lineRule="auto"/>
        <w:rPr>
          <w:color w:val="000000" w:themeColor="text1"/>
          <w:lang w:eastAsia="zh-HK"/>
        </w:rPr>
      </w:pPr>
      <w:r w:rsidRPr="00E8281A">
        <w:rPr>
          <w:b/>
          <w:color w:val="000000" w:themeColor="text1"/>
          <w:lang w:eastAsia="zh-HK"/>
        </w:rPr>
        <w:t>Figure 1.</w:t>
      </w:r>
      <w:r w:rsidRPr="00E8281A">
        <w:rPr>
          <w:color w:val="000000" w:themeColor="text1"/>
          <w:lang w:eastAsia="zh-HK"/>
        </w:rPr>
        <w:t xml:space="preserve"> </w:t>
      </w:r>
      <w:r w:rsidR="0024543F" w:rsidRPr="00E8281A">
        <w:rPr>
          <w:color w:val="000000" w:themeColor="text1"/>
          <w:lang w:eastAsia="zh-HK"/>
        </w:rPr>
        <w:t>A cross-lagged</w:t>
      </w:r>
      <w:r w:rsidR="00F26614" w:rsidRPr="00E8281A">
        <w:rPr>
          <w:color w:val="000000" w:themeColor="text1"/>
          <w:lang w:eastAsia="zh-HK"/>
        </w:rPr>
        <w:t xml:space="preserve"> model of </w:t>
      </w:r>
      <w:bookmarkStart w:id="61" w:name="_Hlk127451118"/>
      <w:r w:rsidR="00B858FC" w:rsidRPr="00E8281A">
        <w:rPr>
          <w:color w:val="000000" w:themeColor="text1"/>
          <w:lang w:eastAsia="zh-HK"/>
        </w:rPr>
        <w:t xml:space="preserve">teacher-reported </w:t>
      </w:r>
      <w:r w:rsidR="00F26614" w:rsidRPr="00E8281A">
        <w:rPr>
          <w:color w:val="000000" w:themeColor="text1"/>
          <w:lang w:eastAsia="zh-HK"/>
        </w:rPr>
        <w:t xml:space="preserve">playfulness (social </w:t>
      </w:r>
      <w:r w:rsidR="000151D4" w:rsidRPr="00E8281A">
        <w:rPr>
          <w:color w:val="000000" w:themeColor="text1"/>
          <w:lang w:eastAsia="zh-HK"/>
        </w:rPr>
        <w:t xml:space="preserve">spontaneity </w:t>
      </w:r>
      <w:r w:rsidR="00F26614" w:rsidRPr="00E8281A">
        <w:rPr>
          <w:color w:val="000000" w:themeColor="text1"/>
          <w:lang w:eastAsia="zh-HK"/>
        </w:rPr>
        <w:t>and cognitive spontaneity) and creative potential across Time 1 and Time 2 with child</w:t>
      </w:r>
      <w:r w:rsidR="000151D4" w:rsidRPr="00E8281A">
        <w:rPr>
          <w:color w:val="000000" w:themeColor="text1"/>
          <w:lang w:eastAsia="zh-HK"/>
        </w:rPr>
        <w:t>ren’s</w:t>
      </w:r>
      <w:r w:rsidR="00F26614" w:rsidRPr="00E8281A">
        <w:rPr>
          <w:color w:val="000000" w:themeColor="text1"/>
          <w:lang w:eastAsia="zh-HK"/>
        </w:rPr>
        <w:t xml:space="preserve"> </w:t>
      </w:r>
      <w:r w:rsidR="00B858FC" w:rsidRPr="00E8281A">
        <w:rPr>
          <w:color w:val="000000" w:themeColor="text1"/>
          <w:lang w:eastAsia="zh-HK"/>
        </w:rPr>
        <w:t xml:space="preserve">parent-reported </w:t>
      </w:r>
      <w:r w:rsidR="00F26614" w:rsidRPr="00E8281A">
        <w:rPr>
          <w:color w:val="000000" w:themeColor="text1"/>
          <w:lang w:eastAsia="zh-HK"/>
        </w:rPr>
        <w:t xml:space="preserve">intellectual and psychomotor overexcitabilities at </w:t>
      </w:r>
      <w:r w:rsidR="000151D4" w:rsidRPr="00E8281A">
        <w:rPr>
          <w:color w:val="000000" w:themeColor="text1"/>
          <w:lang w:eastAsia="zh-HK"/>
        </w:rPr>
        <w:t>T</w:t>
      </w:r>
      <w:r w:rsidR="00F26614" w:rsidRPr="00E8281A">
        <w:rPr>
          <w:color w:val="000000" w:themeColor="text1"/>
          <w:lang w:eastAsia="zh-HK"/>
        </w:rPr>
        <w:t xml:space="preserve">ime 1 as antecedents. </w:t>
      </w:r>
      <w:bookmarkEnd w:id="61"/>
      <w:r w:rsidR="00F26614" w:rsidRPr="00E8281A">
        <w:rPr>
          <w:color w:val="000000" w:themeColor="text1"/>
          <w:lang w:eastAsia="zh-HK"/>
        </w:rPr>
        <w:t xml:space="preserve">Control variables include children’s age, gender, and </w:t>
      </w:r>
      <w:r w:rsidR="004A6C78" w:rsidRPr="00E8281A">
        <w:rPr>
          <w:color w:val="000000" w:themeColor="text1"/>
          <w:lang w:eastAsia="zh-HK"/>
        </w:rPr>
        <w:t>parental</w:t>
      </w:r>
      <w:r w:rsidR="00F26614" w:rsidRPr="00E8281A">
        <w:rPr>
          <w:color w:val="000000" w:themeColor="text1"/>
          <w:lang w:eastAsia="zh-HK"/>
        </w:rPr>
        <w:t xml:space="preserve"> education level. Standardized coefficients are reported. Solid paths are statistically significant. Dashed paths are non-significant. T1 = time 1 and T2 = time 2. </w:t>
      </w:r>
      <w:r w:rsidRPr="00E8281A">
        <w:rPr>
          <w:color w:val="000000" w:themeColor="text1"/>
          <w:vertAlign w:val="superscript"/>
        </w:rPr>
        <w:t>*</w:t>
      </w:r>
      <w:r w:rsidRPr="00E8281A">
        <w:rPr>
          <w:color w:val="000000" w:themeColor="text1"/>
        </w:rPr>
        <w:t xml:space="preserve"> </w:t>
      </w:r>
      <w:r w:rsidRPr="00E8281A">
        <w:rPr>
          <w:i/>
          <w:color w:val="000000" w:themeColor="text1"/>
        </w:rPr>
        <w:t>p</w:t>
      </w:r>
      <w:r w:rsidRPr="00E8281A">
        <w:rPr>
          <w:color w:val="000000" w:themeColor="text1"/>
        </w:rPr>
        <w:t xml:space="preserve"> &lt; .05; </w:t>
      </w:r>
      <w:r w:rsidRPr="00E8281A">
        <w:rPr>
          <w:color w:val="000000" w:themeColor="text1"/>
          <w:vertAlign w:val="superscript"/>
        </w:rPr>
        <w:t xml:space="preserve">** </w:t>
      </w:r>
      <w:r w:rsidRPr="00E8281A">
        <w:rPr>
          <w:i/>
          <w:color w:val="000000" w:themeColor="text1"/>
        </w:rPr>
        <w:t>p</w:t>
      </w:r>
      <w:r w:rsidRPr="00E8281A">
        <w:rPr>
          <w:color w:val="000000" w:themeColor="text1"/>
        </w:rPr>
        <w:t xml:space="preserve"> &lt; .01; </w:t>
      </w:r>
      <w:r w:rsidRPr="00E8281A">
        <w:rPr>
          <w:color w:val="000000" w:themeColor="text1"/>
          <w:vertAlign w:val="superscript"/>
        </w:rPr>
        <w:t xml:space="preserve">*** </w:t>
      </w:r>
      <w:r w:rsidRPr="00E8281A">
        <w:rPr>
          <w:i/>
          <w:color w:val="000000" w:themeColor="text1"/>
        </w:rPr>
        <w:t>p</w:t>
      </w:r>
      <w:r w:rsidRPr="00E8281A">
        <w:rPr>
          <w:color w:val="000000" w:themeColor="text1"/>
        </w:rPr>
        <w:t xml:space="preserve"> &lt; .001. Fit indices: </w:t>
      </w:r>
      <w:r w:rsidRPr="00E8281A">
        <w:rPr>
          <w:i/>
          <w:iCs/>
          <w:color w:val="000000" w:themeColor="text1"/>
        </w:rPr>
        <w:t>χ</w:t>
      </w:r>
      <w:r w:rsidRPr="00E8281A">
        <w:rPr>
          <w:i/>
          <w:iCs/>
          <w:color w:val="000000" w:themeColor="text1"/>
          <w:vertAlign w:val="superscript"/>
        </w:rPr>
        <w:t>2</w:t>
      </w:r>
      <w:r w:rsidRPr="00E8281A">
        <w:rPr>
          <w:color w:val="000000" w:themeColor="text1"/>
        </w:rPr>
        <w:t xml:space="preserve"> (</w:t>
      </w:r>
      <w:r w:rsidRPr="00E8281A">
        <w:rPr>
          <w:i/>
          <w:iCs/>
          <w:color w:val="000000" w:themeColor="text1"/>
        </w:rPr>
        <w:t>df</w:t>
      </w:r>
      <w:r w:rsidRPr="00E8281A">
        <w:rPr>
          <w:color w:val="000000" w:themeColor="text1"/>
        </w:rPr>
        <w:t xml:space="preserve"> = </w:t>
      </w:r>
      <w:r w:rsidR="001058FB" w:rsidRPr="00E8281A">
        <w:rPr>
          <w:color w:val="000000" w:themeColor="text1"/>
        </w:rPr>
        <w:t>21</w:t>
      </w:r>
      <w:r w:rsidRPr="00E8281A">
        <w:rPr>
          <w:color w:val="000000" w:themeColor="text1"/>
        </w:rPr>
        <w:t xml:space="preserve">, </w:t>
      </w:r>
      <w:r w:rsidRPr="00E8281A">
        <w:rPr>
          <w:i/>
          <w:color w:val="000000" w:themeColor="text1"/>
        </w:rPr>
        <w:t>N</w:t>
      </w:r>
      <w:r w:rsidRPr="00E8281A">
        <w:rPr>
          <w:color w:val="000000" w:themeColor="text1"/>
        </w:rPr>
        <w:t xml:space="preserve"> = 1</w:t>
      </w:r>
      <w:r w:rsidR="001058FB" w:rsidRPr="00E8281A">
        <w:rPr>
          <w:color w:val="000000" w:themeColor="text1"/>
        </w:rPr>
        <w:t>39</w:t>
      </w:r>
      <w:r w:rsidRPr="00E8281A">
        <w:rPr>
          <w:color w:val="000000" w:themeColor="text1"/>
        </w:rPr>
        <w:t xml:space="preserve">) = </w:t>
      </w:r>
      <w:r w:rsidR="001058FB" w:rsidRPr="00E8281A">
        <w:rPr>
          <w:color w:val="000000" w:themeColor="text1"/>
        </w:rPr>
        <w:t>31.19</w:t>
      </w:r>
      <w:r w:rsidRPr="00E8281A">
        <w:rPr>
          <w:color w:val="000000" w:themeColor="text1"/>
        </w:rPr>
        <w:t xml:space="preserve">, </w:t>
      </w:r>
      <w:r w:rsidRPr="00E8281A">
        <w:rPr>
          <w:i/>
          <w:color w:val="000000" w:themeColor="text1"/>
        </w:rPr>
        <w:t xml:space="preserve">p </w:t>
      </w:r>
      <w:r w:rsidRPr="00E8281A">
        <w:rPr>
          <w:color w:val="000000" w:themeColor="text1"/>
        </w:rPr>
        <w:t>= .</w:t>
      </w:r>
      <w:r w:rsidR="001058FB" w:rsidRPr="00E8281A">
        <w:rPr>
          <w:color w:val="000000" w:themeColor="text1"/>
        </w:rPr>
        <w:t>07</w:t>
      </w:r>
      <w:r w:rsidRPr="00E8281A">
        <w:rPr>
          <w:color w:val="000000" w:themeColor="text1"/>
        </w:rPr>
        <w:t>, CFI = .9</w:t>
      </w:r>
      <w:r w:rsidR="001058FB" w:rsidRPr="00E8281A">
        <w:rPr>
          <w:color w:val="000000" w:themeColor="text1"/>
        </w:rPr>
        <w:t>6</w:t>
      </w:r>
      <w:r w:rsidRPr="00E8281A">
        <w:rPr>
          <w:color w:val="000000" w:themeColor="text1"/>
        </w:rPr>
        <w:t>, RMSEA = .0</w:t>
      </w:r>
      <w:r w:rsidR="001058FB" w:rsidRPr="00E8281A">
        <w:rPr>
          <w:color w:val="000000" w:themeColor="text1"/>
        </w:rPr>
        <w:t>6</w:t>
      </w:r>
      <w:r w:rsidRPr="00E8281A">
        <w:rPr>
          <w:color w:val="000000" w:themeColor="text1"/>
        </w:rPr>
        <w:t xml:space="preserve"> (90% CI: .00, .1</w:t>
      </w:r>
      <w:r w:rsidR="001058FB" w:rsidRPr="00E8281A">
        <w:rPr>
          <w:color w:val="000000" w:themeColor="text1"/>
        </w:rPr>
        <w:t>0</w:t>
      </w:r>
      <w:r w:rsidRPr="00E8281A">
        <w:rPr>
          <w:color w:val="000000" w:themeColor="text1"/>
        </w:rPr>
        <w:t>), SRMR = .0</w:t>
      </w:r>
      <w:r w:rsidR="001058FB" w:rsidRPr="00E8281A">
        <w:rPr>
          <w:color w:val="000000" w:themeColor="text1"/>
        </w:rPr>
        <w:t>7</w:t>
      </w:r>
      <w:r w:rsidRPr="00E8281A">
        <w:rPr>
          <w:color w:val="000000" w:themeColor="text1"/>
          <w:lang w:eastAsia="zh-HK"/>
        </w:rPr>
        <w:t xml:space="preserve">, </w:t>
      </w:r>
      <w:r w:rsidR="00F21FC5" w:rsidRPr="00E8281A">
        <w:rPr>
          <w:i/>
          <w:color w:val="000000" w:themeColor="text1"/>
          <w:lang w:eastAsia="zh-HK"/>
        </w:rPr>
        <w:t>R</w:t>
      </w:r>
      <w:r w:rsidR="00F21FC5" w:rsidRPr="00E8281A">
        <w:rPr>
          <w:i/>
          <w:color w:val="000000" w:themeColor="text1"/>
          <w:vertAlign w:val="superscript"/>
          <w:lang w:eastAsia="zh-HK"/>
        </w:rPr>
        <w:t>2</w:t>
      </w:r>
      <w:r w:rsidR="00F21FC5" w:rsidRPr="00E8281A">
        <w:rPr>
          <w:i/>
          <w:color w:val="000000" w:themeColor="text1"/>
          <w:vertAlign w:val="subscript"/>
          <w:lang w:eastAsia="zh-HK"/>
        </w:rPr>
        <w:t xml:space="preserve"> </w:t>
      </w:r>
      <w:r w:rsidR="001058FB" w:rsidRPr="00E8281A">
        <w:rPr>
          <w:i/>
          <w:color w:val="000000" w:themeColor="text1"/>
          <w:vertAlign w:val="subscript"/>
          <w:lang w:eastAsia="zh-HK"/>
        </w:rPr>
        <w:t xml:space="preserve">Time 2 </w:t>
      </w:r>
      <w:r w:rsidR="006049B6" w:rsidRPr="00E8281A">
        <w:rPr>
          <w:i/>
          <w:color w:val="000000" w:themeColor="text1"/>
          <w:vertAlign w:val="subscript"/>
          <w:lang w:eastAsia="zh-HK"/>
        </w:rPr>
        <w:t>T</w:t>
      </w:r>
      <w:r w:rsidR="00F21FC5" w:rsidRPr="00E8281A">
        <w:rPr>
          <w:i/>
          <w:color w:val="000000" w:themeColor="text1"/>
          <w:vertAlign w:val="subscript"/>
          <w:lang w:eastAsia="zh-HK"/>
        </w:rPr>
        <w:t>eacher-reported</w:t>
      </w:r>
      <w:r w:rsidR="001058FB" w:rsidRPr="00E8281A">
        <w:rPr>
          <w:i/>
          <w:color w:val="000000" w:themeColor="text1"/>
          <w:vertAlign w:val="subscript"/>
          <w:lang w:eastAsia="zh-HK"/>
        </w:rPr>
        <w:t xml:space="preserve"> </w:t>
      </w:r>
      <w:r w:rsidR="006049B6" w:rsidRPr="00E8281A">
        <w:rPr>
          <w:i/>
          <w:color w:val="000000" w:themeColor="text1"/>
          <w:vertAlign w:val="subscript"/>
          <w:lang w:eastAsia="zh-HK"/>
        </w:rPr>
        <w:t>C</w:t>
      </w:r>
      <w:r w:rsidR="001058FB" w:rsidRPr="00E8281A">
        <w:rPr>
          <w:i/>
          <w:color w:val="000000" w:themeColor="text1"/>
          <w:vertAlign w:val="subscript"/>
          <w:lang w:eastAsia="zh-HK"/>
        </w:rPr>
        <w:t xml:space="preserve">reative </w:t>
      </w:r>
      <w:r w:rsidR="006049B6" w:rsidRPr="00E8281A">
        <w:rPr>
          <w:i/>
          <w:color w:val="000000" w:themeColor="text1"/>
          <w:vertAlign w:val="subscript"/>
          <w:lang w:eastAsia="zh-HK"/>
        </w:rPr>
        <w:t>P</w:t>
      </w:r>
      <w:r w:rsidR="001058FB" w:rsidRPr="00E8281A">
        <w:rPr>
          <w:i/>
          <w:color w:val="000000" w:themeColor="text1"/>
          <w:vertAlign w:val="subscript"/>
          <w:lang w:eastAsia="zh-HK"/>
        </w:rPr>
        <w:t>otential</w:t>
      </w:r>
      <w:r w:rsidR="00F21FC5" w:rsidRPr="00E8281A">
        <w:rPr>
          <w:i/>
          <w:color w:val="000000" w:themeColor="text1"/>
          <w:vertAlign w:val="subscript"/>
          <w:lang w:eastAsia="zh-HK"/>
        </w:rPr>
        <w:t xml:space="preserve">  </w:t>
      </w:r>
      <w:r w:rsidR="00F21FC5" w:rsidRPr="00E8281A">
        <w:rPr>
          <w:color w:val="000000" w:themeColor="text1"/>
          <w:lang w:eastAsia="zh-HK"/>
        </w:rPr>
        <w:t>= .</w:t>
      </w:r>
      <w:r w:rsidR="001058FB" w:rsidRPr="00E8281A">
        <w:rPr>
          <w:color w:val="000000" w:themeColor="text1"/>
          <w:lang w:eastAsia="zh-HK"/>
        </w:rPr>
        <w:t>52</w:t>
      </w:r>
      <w:r w:rsidR="00F21FC5" w:rsidRPr="00E8281A">
        <w:rPr>
          <w:color w:val="000000" w:themeColor="text1"/>
          <w:lang w:eastAsia="zh-HK"/>
        </w:rPr>
        <w:t xml:space="preserve">, </w:t>
      </w:r>
      <w:r w:rsidR="00F21FC5" w:rsidRPr="00E8281A">
        <w:rPr>
          <w:i/>
          <w:color w:val="000000" w:themeColor="text1"/>
          <w:lang w:eastAsia="zh-HK"/>
        </w:rPr>
        <w:t>R</w:t>
      </w:r>
      <w:r w:rsidR="00F21FC5" w:rsidRPr="00E8281A">
        <w:rPr>
          <w:i/>
          <w:color w:val="000000" w:themeColor="text1"/>
          <w:vertAlign w:val="superscript"/>
          <w:lang w:eastAsia="zh-HK"/>
        </w:rPr>
        <w:t>2</w:t>
      </w:r>
      <w:r w:rsidR="00F21FC5" w:rsidRPr="00E8281A">
        <w:rPr>
          <w:i/>
          <w:color w:val="000000" w:themeColor="text1"/>
          <w:vertAlign w:val="subscript"/>
          <w:lang w:eastAsia="zh-HK"/>
        </w:rPr>
        <w:t xml:space="preserve"> </w:t>
      </w:r>
      <w:r w:rsidR="001058FB" w:rsidRPr="00E8281A">
        <w:rPr>
          <w:i/>
          <w:color w:val="000000" w:themeColor="text1"/>
          <w:vertAlign w:val="subscript"/>
          <w:lang w:eastAsia="zh-HK"/>
        </w:rPr>
        <w:t xml:space="preserve">Time 2 </w:t>
      </w:r>
      <w:r w:rsidR="006049B6" w:rsidRPr="00E8281A">
        <w:rPr>
          <w:i/>
          <w:color w:val="000000" w:themeColor="text1"/>
          <w:vertAlign w:val="subscript"/>
          <w:lang w:eastAsia="zh-HK"/>
        </w:rPr>
        <w:t>T</w:t>
      </w:r>
      <w:r w:rsidR="00F21FC5" w:rsidRPr="00E8281A">
        <w:rPr>
          <w:i/>
          <w:color w:val="000000" w:themeColor="text1"/>
          <w:vertAlign w:val="subscript"/>
          <w:lang w:eastAsia="zh-HK"/>
        </w:rPr>
        <w:t xml:space="preserve">eacher-reported </w:t>
      </w:r>
      <w:r w:rsidR="006049B6" w:rsidRPr="00E8281A">
        <w:rPr>
          <w:i/>
          <w:color w:val="000000" w:themeColor="text1"/>
          <w:vertAlign w:val="subscript"/>
          <w:lang w:eastAsia="zh-HK"/>
        </w:rPr>
        <w:t>P</w:t>
      </w:r>
      <w:r w:rsidR="001058FB" w:rsidRPr="00E8281A">
        <w:rPr>
          <w:i/>
          <w:color w:val="000000" w:themeColor="text1"/>
          <w:vertAlign w:val="subscript"/>
          <w:lang w:eastAsia="zh-HK"/>
        </w:rPr>
        <w:t>layfulness</w:t>
      </w:r>
      <w:r w:rsidR="00F21FC5" w:rsidRPr="00E8281A">
        <w:rPr>
          <w:color w:val="000000" w:themeColor="text1"/>
          <w:lang w:eastAsia="zh-HK"/>
        </w:rPr>
        <w:t xml:space="preserve"> = .</w:t>
      </w:r>
      <w:r w:rsidR="001058FB" w:rsidRPr="00E8281A">
        <w:rPr>
          <w:color w:val="000000" w:themeColor="text1"/>
          <w:lang w:eastAsia="zh-HK"/>
        </w:rPr>
        <w:t>51</w:t>
      </w:r>
      <w:r w:rsidR="00F21FC5" w:rsidRPr="00E8281A">
        <w:rPr>
          <w:color w:val="000000" w:themeColor="text1"/>
          <w:lang w:eastAsia="zh-HK"/>
        </w:rPr>
        <w:t>.</w:t>
      </w:r>
    </w:p>
    <w:p w14:paraId="26CF0B70" w14:textId="77777777" w:rsidR="009A3B48" w:rsidRPr="00E8281A" w:rsidRDefault="009A3B48" w:rsidP="00F21FC5">
      <w:pPr>
        <w:spacing w:line="480" w:lineRule="auto"/>
        <w:rPr>
          <w:color w:val="000000" w:themeColor="text1"/>
          <w:szCs w:val="20"/>
          <w:lang w:eastAsia="zh-HK"/>
        </w:rPr>
      </w:pPr>
    </w:p>
    <w:p w14:paraId="63604C8F" w14:textId="77777777" w:rsidR="00F21FC5" w:rsidRPr="00E8281A" w:rsidRDefault="00F21FC5" w:rsidP="00986471">
      <w:pPr>
        <w:spacing w:line="360" w:lineRule="auto"/>
        <w:rPr>
          <w:color w:val="000000" w:themeColor="text1"/>
          <w:szCs w:val="20"/>
          <w:lang w:eastAsia="zh-HK"/>
        </w:rPr>
      </w:pPr>
    </w:p>
    <w:p w14:paraId="0065F148" w14:textId="77777777" w:rsidR="00C60B3E" w:rsidRPr="00C01FCB" w:rsidRDefault="00C60B3E" w:rsidP="00986471">
      <w:pPr>
        <w:spacing w:line="360" w:lineRule="auto"/>
        <w:rPr>
          <w:szCs w:val="20"/>
          <w:lang w:eastAsia="zh-HK"/>
        </w:rPr>
      </w:pPr>
    </w:p>
    <w:p w14:paraId="61E5F6C6" w14:textId="77777777" w:rsidR="00C60B3E" w:rsidRPr="00C01FCB" w:rsidRDefault="00C60B3E" w:rsidP="00986471">
      <w:pPr>
        <w:spacing w:line="360" w:lineRule="auto"/>
        <w:rPr>
          <w:szCs w:val="20"/>
          <w:lang w:eastAsia="zh-HK"/>
        </w:rPr>
      </w:pPr>
    </w:p>
    <w:p w14:paraId="4E38FCCC" w14:textId="77777777" w:rsidR="00C60B3E" w:rsidRPr="00C01FCB" w:rsidRDefault="00C60B3E" w:rsidP="00986471">
      <w:pPr>
        <w:spacing w:line="360" w:lineRule="auto"/>
        <w:rPr>
          <w:szCs w:val="20"/>
          <w:lang w:eastAsia="zh-HK"/>
        </w:rPr>
      </w:pPr>
    </w:p>
    <w:p w14:paraId="7B46F16D" w14:textId="77777777" w:rsidR="00C60B3E" w:rsidRPr="00C01FCB" w:rsidRDefault="00C60B3E" w:rsidP="00986471">
      <w:pPr>
        <w:spacing w:line="360" w:lineRule="auto"/>
        <w:rPr>
          <w:szCs w:val="20"/>
          <w:lang w:eastAsia="zh-HK"/>
        </w:rPr>
      </w:pPr>
    </w:p>
    <w:p w14:paraId="6BA8E233" w14:textId="77777777" w:rsidR="00C60B3E" w:rsidRPr="00C01FCB" w:rsidRDefault="00C60B3E" w:rsidP="00986471">
      <w:pPr>
        <w:spacing w:line="360" w:lineRule="auto"/>
        <w:rPr>
          <w:szCs w:val="20"/>
          <w:lang w:eastAsia="zh-HK"/>
        </w:rPr>
      </w:pPr>
    </w:p>
    <w:p w14:paraId="48FAA541" w14:textId="77777777" w:rsidR="00C60B3E" w:rsidRPr="00C01FCB" w:rsidRDefault="00C60B3E" w:rsidP="00986471">
      <w:pPr>
        <w:spacing w:line="360" w:lineRule="auto"/>
        <w:rPr>
          <w:szCs w:val="20"/>
          <w:lang w:eastAsia="zh-HK"/>
        </w:rPr>
      </w:pPr>
    </w:p>
    <w:p w14:paraId="52A289A6" w14:textId="77777777" w:rsidR="00C80740" w:rsidRPr="00C01FCB" w:rsidRDefault="00C80740">
      <w:pPr>
        <w:rPr>
          <w:szCs w:val="20"/>
          <w:lang w:eastAsia="zh-HK"/>
        </w:rPr>
      </w:pPr>
      <w:r w:rsidRPr="00C01FCB">
        <w:rPr>
          <w:szCs w:val="20"/>
          <w:lang w:eastAsia="zh-HK"/>
        </w:rPr>
        <w:br w:type="page"/>
      </w:r>
    </w:p>
    <w:p w14:paraId="30233F6F" w14:textId="77777777" w:rsidR="00390D59" w:rsidRPr="00C01FCB" w:rsidRDefault="00390D59" w:rsidP="00986471">
      <w:pPr>
        <w:spacing w:line="360" w:lineRule="auto"/>
        <w:rPr>
          <w:b/>
          <w:bCs/>
          <w:szCs w:val="20"/>
          <w:lang w:eastAsia="zh-HK"/>
        </w:rPr>
        <w:sectPr w:rsidR="00390D59" w:rsidRPr="00C01FCB" w:rsidSect="002D345A">
          <w:pgSz w:w="11906" w:h="16838" w:code="9"/>
          <w:pgMar w:top="1440" w:right="1440" w:bottom="1440" w:left="1440" w:header="851" w:footer="992" w:gutter="0"/>
          <w:cols w:space="425"/>
          <w:docGrid w:linePitch="360"/>
        </w:sectPr>
      </w:pPr>
    </w:p>
    <w:p w14:paraId="408799BE" w14:textId="77777777" w:rsidR="00C60B3E" w:rsidRPr="00C01FCB" w:rsidRDefault="00C60B3E" w:rsidP="00986471">
      <w:pPr>
        <w:spacing w:line="360" w:lineRule="auto"/>
        <w:rPr>
          <w:b/>
          <w:bCs/>
          <w:szCs w:val="20"/>
          <w:lang w:eastAsia="zh-HK"/>
        </w:rPr>
      </w:pPr>
      <w:r w:rsidRPr="00C01FCB">
        <w:rPr>
          <w:b/>
          <w:bCs/>
          <w:szCs w:val="20"/>
          <w:lang w:eastAsia="zh-HK"/>
        </w:rPr>
        <w:lastRenderedPageBreak/>
        <w:t>Figure 1</w:t>
      </w:r>
    </w:p>
    <w:p w14:paraId="2D21F234" w14:textId="1620660D" w:rsidR="00C60B3E" w:rsidRPr="00384750" w:rsidRDefault="00132866" w:rsidP="00986471">
      <w:pPr>
        <w:spacing w:line="360" w:lineRule="auto"/>
        <w:rPr>
          <w:b/>
          <w:bCs/>
          <w:szCs w:val="20"/>
          <w:lang w:eastAsia="zh-HK"/>
        </w:rPr>
      </w:pPr>
      <w:r>
        <w:rPr>
          <w:b/>
          <w:bCs/>
          <w:noProof/>
          <w:szCs w:val="20"/>
          <w:lang w:eastAsia="zh-HK"/>
        </w:rPr>
        <w:drawing>
          <wp:inline distT="0" distB="0" distL="0" distR="0" wp14:anchorId="02145547" wp14:editId="526C0C4A">
            <wp:extent cx="8858250" cy="2381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0B3E" w:rsidRPr="00384750" w:rsidSect="00390D59">
      <w:pgSz w:w="16838" w:h="11906" w:orient="landscape" w:code="9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DD254" w14:textId="77777777" w:rsidR="00132901" w:rsidRDefault="00132901"/>
  </w:endnote>
  <w:endnote w:type="continuationSeparator" w:id="0">
    <w:p w14:paraId="0787F20B" w14:textId="77777777" w:rsidR="00132901" w:rsidRDefault="0013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9876" w14:textId="77777777" w:rsidR="00132901" w:rsidRDefault="00132901">
      <w:pPr>
        <w:spacing w:line="360" w:lineRule="auto"/>
      </w:pPr>
      <w:r>
        <w:rPr>
          <w:noProof/>
          <w:lang w:val="en-US" w:eastAsia="en-US"/>
        </w:rPr>
        <w:drawing>
          <wp:inline distT="0" distB="0" distL="0" distR="0" wp14:anchorId="3205BDB6" wp14:editId="214BB69A">
            <wp:extent cx="2792095" cy="3959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  <w:footnote w:type="continuationSeparator" w:id="0">
    <w:p w14:paraId="1C19DF07" w14:textId="77777777" w:rsidR="00132901" w:rsidRDefault="00132901"/>
  </w:footnote>
  <w:footnote w:type="continuationNotice" w:id="1">
    <w:p w14:paraId="063FD451" w14:textId="77777777" w:rsidR="00132901" w:rsidRDefault="001329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751B" w14:textId="77777777" w:rsidR="00256C6A" w:rsidRDefault="00B559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6C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5A672C" w14:textId="77777777" w:rsidR="00256C6A" w:rsidRDefault="00256C6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9872" w14:textId="77777777" w:rsidR="00256C6A" w:rsidRPr="00FD6EF2" w:rsidRDefault="00B559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6C6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166F">
      <w:rPr>
        <w:rStyle w:val="PageNumber"/>
        <w:noProof/>
      </w:rPr>
      <w:t>16</w:t>
    </w:r>
    <w:r>
      <w:rPr>
        <w:rStyle w:val="PageNumber"/>
      </w:rPr>
      <w:fldChar w:fldCharType="end"/>
    </w:r>
  </w:p>
  <w:p w14:paraId="070B1E44" w14:textId="7F0EDD78" w:rsidR="00256C6A" w:rsidRPr="00811E64" w:rsidRDefault="00256C6A" w:rsidP="003C2A34">
    <w:pPr>
      <w:pStyle w:val="Header"/>
      <w:wordWrap w:val="0"/>
      <w:ind w:right="760"/>
      <w:rPr>
        <w:lang w:eastAsia="zh-HK"/>
      </w:rPr>
    </w:pPr>
    <w:r>
      <w:rPr>
        <w:lang w:eastAsia="zh-HK"/>
      </w:rPr>
      <w:t>OVEREXCITABILIT</w:t>
    </w:r>
    <w:r w:rsidR="00287D58">
      <w:rPr>
        <w:lang w:eastAsia="zh-HK"/>
      </w:rPr>
      <w:t>IES</w:t>
    </w:r>
    <w:r>
      <w:rPr>
        <w:lang w:eastAsia="zh-HK"/>
      </w:rPr>
      <w:t>, PLAYFULNESS &amp; CREATIVE POTENTIAL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A4C"/>
    <w:multiLevelType w:val="multilevel"/>
    <w:tmpl w:val="6C80D18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2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2260CC0"/>
    <w:multiLevelType w:val="hybridMultilevel"/>
    <w:tmpl w:val="9B80E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D4CE1"/>
    <w:multiLevelType w:val="hybridMultilevel"/>
    <w:tmpl w:val="E81E83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1F411F"/>
    <w:multiLevelType w:val="multilevel"/>
    <w:tmpl w:val="209C4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B86AD8"/>
    <w:multiLevelType w:val="hybridMultilevel"/>
    <w:tmpl w:val="834C704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22D870B4"/>
    <w:multiLevelType w:val="hybridMultilevel"/>
    <w:tmpl w:val="111CE2EE"/>
    <w:lvl w:ilvl="0" w:tplc="3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4354E04"/>
    <w:multiLevelType w:val="hybridMultilevel"/>
    <w:tmpl w:val="97726D04"/>
    <w:lvl w:ilvl="0" w:tplc="AD3ED41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7" w15:restartNumberingAfterBreak="0">
    <w:nsid w:val="25961DBB"/>
    <w:multiLevelType w:val="hybridMultilevel"/>
    <w:tmpl w:val="9F9245D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C3CB0"/>
    <w:multiLevelType w:val="hybridMultilevel"/>
    <w:tmpl w:val="F93404DC"/>
    <w:lvl w:ilvl="0" w:tplc="3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29BD65E3"/>
    <w:multiLevelType w:val="hybridMultilevel"/>
    <w:tmpl w:val="16B6C18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A8F5A27"/>
    <w:multiLevelType w:val="hybridMultilevel"/>
    <w:tmpl w:val="6A223B4A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31BE5"/>
    <w:multiLevelType w:val="hybridMultilevel"/>
    <w:tmpl w:val="AEAA536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2D276F61"/>
    <w:multiLevelType w:val="hybridMultilevel"/>
    <w:tmpl w:val="ECEE2514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23E79"/>
    <w:multiLevelType w:val="multilevel"/>
    <w:tmpl w:val="B5C622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037236"/>
    <w:multiLevelType w:val="hybridMultilevel"/>
    <w:tmpl w:val="98301082"/>
    <w:lvl w:ilvl="0" w:tplc="4D16D3D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920" w:hanging="360"/>
      </w:pPr>
    </w:lvl>
    <w:lvl w:ilvl="2" w:tplc="3C09001B" w:tentative="1">
      <w:start w:val="1"/>
      <w:numFmt w:val="lowerRoman"/>
      <w:lvlText w:val="%3."/>
      <w:lvlJc w:val="right"/>
      <w:pPr>
        <w:ind w:left="2640" w:hanging="180"/>
      </w:pPr>
    </w:lvl>
    <w:lvl w:ilvl="3" w:tplc="3C09000F" w:tentative="1">
      <w:start w:val="1"/>
      <w:numFmt w:val="decimal"/>
      <w:lvlText w:val="%4."/>
      <w:lvlJc w:val="left"/>
      <w:pPr>
        <w:ind w:left="3360" w:hanging="360"/>
      </w:pPr>
    </w:lvl>
    <w:lvl w:ilvl="4" w:tplc="3C090019" w:tentative="1">
      <w:start w:val="1"/>
      <w:numFmt w:val="lowerLetter"/>
      <w:lvlText w:val="%5."/>
      <w:lvlJc w:val="left"/>
      <w:pPr>
        <w:ind w:left="4080" w:hanging="360"/>
      </w:pPr>
    </w:lvl>
    <w:lvl w:ilvl="5" w:tplc="3C09001B" w:tentative="1">
      <w:start w:val="1"/>
      <w:numFmt w:val="lowerRoman"/>
      <w:lvlText w:val="%6."/>
      <w:lvlJc w:val="right"/>
      <w:pPr>
        <w:ind w:left="4800" w:hanging="180"/>
      </w:pPr>
    </w:lvl>
    <w:lvl w:ilvl="6" w:tplc="3C09000F" w:tentative="1">
      <w:start w:val="1"/>
      <w:numFmt w:val="decimal"/>
      <w:lvlText w:val="%7."/>
      <w:lvlJc w:val="left"/>
      <w:pPr>
        <w:ind w:left="5520" w:hanging="360"/>
      </w:pPr>
    </w:lvl>
    <w:lvl w:ilvl="7" w:tplc="3C090019" w:tentative="1">
      <w:start w:val="1"/>
      <w:numFmt w:val="lowerLetter"/>
      <w:lvlText w:val="%8."/>
      <w:lvlJc w:val="left"/>
      <w:pPr>
        <w:ind w:left="6240" w:hanging="360"/>
      </w:pPr>
    </w:lvl>
    <w:lvl w:ilvl="8" w:tplc="3C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38304746"/>
    <w:multiLevelType w:val="hybridMultilevel"/>
    <w:tmpl w:val="F1CA6B2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891439F"/>
    <w:multiLevelType w:val="multilevel"/>
    <w:tmpl w:val="CF06BA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ind w:left="720" w:hanging="480"/>
      </w:pPr>
      <w:rPr>
        <w:rFonts w:hint="default"/>
        <w:i/>
      </w:rPr>
    </w:lvl>
    <w:lvl w:ilvl="2">
      <w:start w:val="3"/>
      <w:numFmt w:val="decimal"/>
      <w:lvlText w:val="%1.%2.%3"/>
      <w:lvlJc w:val="left"/>
      <w:pPr>
        <w:ind w:left="120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i/>
      </w:rPr>
    </w:lvl>
  </w:abstractNum>
  <w:abstractNum w:abstractNumId="17" w15:restartNumberingAfterBreak="0">
    <w:nsid w:val="38ED235E"/>
    <w:multiLevelType w:val="hybridMultilevel"/>
    <w:tmpl w:val="8184279C"/>
    <w:lvl w:ilvl="0" w:tplc="B25E50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C94946"/>
    <w:multiLevelType w:val="hybridMultilevel"/>
    <w:tmpl w:val="4BAA2AF0"/>
    <w:lvl w:ilvl="0" w:tplc="200244E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33500"/>
    <w:multiLevelType w:val="hybridMultilevel"/>
    <w:tmpl w:val="16D8B2AA"/>
    <w:lvl w:ilvl="0" w:tplc="AD3ED41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20" w15:restartNumberingAfterBreak="0">
    <w:nsid w:val="3EBD18CB"/>
    <w:multiLevelType w:val="hybridMultilevel"/>
    <w:tmpl w:val="8C948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758EA"/>
    <w:multiLevelType w:val="hybridMultilevel"/>
    <w:tmpl w:val="4D80837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42C250DB"/>
    <w:multiLevelType w:val="hybridMultilevel"/>
    <w:tmpl w:val="758E4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72768"/>
    <w:multiLevelType w:val="hybridMultilevel"/>
    <w:tmpl w:val="96B40068"/>
    <w:lvl w:ilvl="0" w:tplc="AD3ED41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24" w15:restartNumberingAfterBreak="0">
    <w:nsid w:val="51236AC2"/>
    <w:multiLevelType w:val="hybridMultilevel"/>
    <w:tmpl w:val="00BA41B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515E5490"/>
    <w:multiLevelType w:val="multilevel"/>
    <w:tmpl w:val="DE0CF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16A24BD"/>
    <w:multiLevelType w:val="hybridMultilevel"/>
    <w:tmpl w:val="C38C7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919A4"/>
    <w:multiLevelType w:val="hybridMultilevel"/>
    <w:tmpl w:val="B46C449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A56702A"/>
    <w:multiLevelType w:val="hybridMultilevel"/>
    <w:tmpl w:val="7D70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B12B1"/>
    <w:multiLevelType w:val="multilevel"/>
    <w:tmpl w:val="7BAE69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1C62DF3"/>
    <w:multiLevelType w:val="hybridMultilevel"/>
    <w:tmpl w:val="258A7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B5864"/>
    <w:multiLevelType w:val="hybridMultilevel"/>
    <w:tmpl w:val="ED149C60"/>
    <w:lvl w:ilvl="0" w:tplc="178CBE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6451344C"/>
    <w:multiLevelType w:val="hybridMultilevel"/>
    <w:tmpl w:val="EFF2AAD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 w15:restartNumberingAfterBreak="0">
    <w:nsid w:val="6CCD4C4C"/>
    <w:multiLevelType w:val="hybridMultilevel"/>
    <w:tmpl w:val="9B5EEA72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4" w15:restartNumberingAfterBreak="0">
    <w:nsid w:val="6E9E67C1"/>
    <w:multiLevelType w:val="hybridMultilevel"/>
    <w:tmpl w:val="1362FB18"/>
    <w:lvl w:ilvl="0" w:tplc="0D9692D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76EE6B34"/>
    <w:multiLevelType w:val="hybridMultilevel"/>
    <w:tmpl w:val="637C11EA"/>
    <w:lvl w:ilvl="0" w:tplc="AD3ED41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36" w15:restartNumberingAfterBreak="0">
    <w:nsid w:val="77025038"/>
    <w:multiLevelType w:val="hybridMultilevel"/>
    <w:tmpl w:val="637C11EA"/>
    <w:lvl w:ilvl="0" w:tplc="AD3ED41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37" w15:restartNumberingAfterBreak="0">
    <w:nsid w:val="77147FA7"/>
    <w:multiLevelType w:val="hybridMultilevel"/>
    <w:tmpl w:val="7396A4E8"/>
    <w:lvl w:ilvl="0" w:tplc="BCAED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0E75BC"/>
    <w:multiLevelType w:val="hybridMultilevel"/>
    <w:tmpl w:val="1D48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212C6"/>
    <w:multiLevelType w:val="hybridMultilevel"/>
    <w:tmpl w:val="4DEA928A"/>
    <w:lvl w:ilvl="0" w:tplc="79F063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0" w15:restartNumberingAfterBreak="0">
    <w:nsid w:val="7E4C76BB"/>
    <w:multiLevelType w:val="hybridMultilevel"/>
    <w:tmpl w:val="67687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884443">
    <w:abstractNumId w:val="17"/>
  </w:num>
  <w:num w:numId="2" w16cid:durableId="2145734683">
    <w:abstractNumId w:val="2"/>
  </w:num>
  <w:num w:numId="3" w16cid:durableId="1987660837">
    <w:abstractNumId w:val="31"/>
  </w:num>
  <w:num w:numId="4" w16cid:durableId="1829978813">
    <w:abstractNumId w:val="36"/>
  </w:num>
  <w:num w:numId="5" w16cid:durableId="1618484523">
    <w:abstractNumId w:val="35"/>
  </w:num>
  <w:num w:numId="6" w16cid:durableId="1116218895">
    <w:abstractNumId w:val="19"/>
  </w:num>
  <w:num w:numId="7" w16cid:durableId="724253936">
    <w:abstractNumId w:val="6"/>
  </w:num>
  <w:num w:numId="8" w16cid:durableId="1182165629">
    <w:abstractNumId w:val="23"/>
  </w:num>
  <w:num w:numId="9" w16cid:durableId="1547137444">
    <w:abstractNumId w:val="39"/>
  </w:num>
  <w:num w:numId="10" w16cid:durableId="650789853">
    <w:abstractNumId w:val="37"/>
  </w:num>
  <w:num w:numId="11" w16cid:durableId="418992130">
    <w:abstractNumId w:val="24"/>
  </w:num>
  <w:num w:numId="12" w16cid:durableId="1060521842">
    <w:abstractNumId w:val="32"/>
  </w:num>
  <w:num w:numId="13" w16cid:durableId="1001346806">
    <w:abstractNumId w:val="27"/>
  </w:num>
  <w:num w:numId="14" w16cid:durableId="2096970645">
    <w:abstractNumId w:val="1"/>
  </w:num>
  <w:num w:numId="15" w16cid:durableId="2005090671">
    <w:abstractNumId w:val="4"/>
  </w:num>
  <w:num w:numId="16" w16cid:durableId="668025291">
    <w:abstractNumId w:val="11"/>
  </w:num>
  <w:num w:numId="17" w16cid:durableId="1779132188">
    <w:abstractNumId w:val="33"/>
  </w:num>
  <w:num w:numId="18" w16cid:durableId="1860581917">
    <w:abstractNumId w:val="12"/>
  </w:num>
  <w:num w:numId="19" w16cid:durableId="1470391656">
    <w:abstractNumId w:val="10"/>
  </w:num>
  <w:num w:numId="20" w16cid:durableId="1083795410">
    <w:abstractNumId w:val="26"/>
  </w:num>
  <w:num w:numId="21" w16cid:durableId="334724878">
    <w:abstractNumId w:val="30"/>
  </w:num>
  <w:num w:numId="22" w16cid:durableId="367612060">
    <w:abstractNumId w:val="34"/>
  </w:num>
  <w:num w:numId="23" w16cid:durableId="901255698">
    <w:abstractNumId w:val="9"/>
  </w:num>
  <w:num w:numId="24" w16cid:durableId="1061365170">
    <w:abstractNumId w:val="21"/>
  </w:num>
  <w:num w:numId="25" w16cid:durableId="75637281">
    <w:abstractNumId w:val="15"/>
  </w:num>
  <w:num w:numId="26" w16cid:durableId="1871452224">
    <w:abstractNumId w:val="20"/>
  </w:num>
  <w:num w:numId="27" w16cid:durableId="1761099047">
    <w:abstractNumId w:val="38"/>
  </w:num>
  <w:num w:numId="28" w16cid:durableId="423305320">
    <w:abstractNumId w:val="40"/>
  </w:num>
  <w:num w:numId="29" w16cid:durableId="534387393">
    <w:abstractNumId w:val="28"/>
  </w:num>
  <w:num w:numId="30" w16cid:durableId="1083186925">
    <w:abstractNumId w:val="22"/>
  </w:num>
  <w:num w:numId="31" w16cid:durableId="1875539990">
    <w:abstractNumId w:val="18"/>
  </w:num>
  <w:num w:numId="32" w16cid:durableId="336424976">
    <w:abstractNumId w:val="7"/>
  </w:num>
  <w:num w:numId="33" w16cid:durableId="852453635">
    <w:abstractNumId w:val="0"/>
  </w:num>
  <w:num w:numId="34" w16cid:durableId="2069915570">
    <w:abstractNumId w:val="25"/>
  </w:num>
  <w:num w:numId="35" w16cid:durableId="1146775931">
    <w:abstractNumId w:val="3"/>
  </w:num>
  <w:num w:numId="36" w16cid:durableId="397827370">
    <w:abstractNumId w:val="29"/>
  </w:num>
  <w:num w:numId="37" w16cid:durableId="93481236">
    <w:abstractNumId w:val="16"/>
  </w:num>
  <w:num w:numId="38" w16cid:durableId="1832913929">
    <w:abstractNumId w:val="13"/>
  </w:num>
  <w:num w:numId="39" w16cid:durableId="456414725">
    <w:abstractNumId w:val="14"/>
  </w:num>
  <w:num w:numId="40" w16cid:durableId="273251176">
    <w:abstractNumId w:val="8"/>
  </w:num>
  <w:num w:numId="41" w16cid:durableId="1825970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HK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HK" w:vendorID="64" w:dllVersion="6" w:nlCheck="1" w:checkStyle="1"/>
  <w:activeWritingStyle w:appName="MSWord" w:lang="en-HK" w:vendorID="64" w:dllVersion="0" w:nlCheck="1" w:checkStyle="0"/>
  <w:activeWritingStyle w:appName="MSWord" w:lang="en-GB" w:vendorID="64" w:dllVersion="0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D8"/>
    <w:rsid w:val="0000088C"/>
    <w:rsid w:val="00000984"/>
    <w:rsid w:val="00001A8C"/>
    <w:rsid w:val="00001BB3"/>
    <w:rsid w:val="00001D7D"/>
    <w:rsid w:val="00001FD7"/>
    <w:rsid w:val="0000230F"/>
    <w:rsid w:val="00002ABB"/>
    <w:rsid w:val="00002D47"/>
    <w:rsid w:val="00003290"/>
    <w:rsid w:val="000036A6"/>
    <w:rsid w:val="00004A80"/>
    <w:rsid w:val="00004B90"/>
    <w:rsid w:val="00004CCE"/>
    <w:rsid w:val="00005235"/>
    <w:rsid w:val="00005482"/>
    <w:rsid w:val="000060EB"/>
    <w:rsid w:val="0000618C"/>
    <w:rsid w:val="0000639C"/>
    <w:rsid w:val="00006560"/>
    <w:rsid w:val="000067B3"/>
    <w:rsid w:val="000067D5"/>
    <w:rsid w:val="000075C0"/>
    <w:rsid w:val="00007FE4"/>
    <w:rsid w:val="000105A1"/>
    <w:rsid w:val="000111B8"/>
    <w:rsid w:val="00011463"/>
    <w:rsid w:val="00011B8C"/>
    <w:rsid w:val="00011BCA"/>
    <w:rsid w:val="00011D0E"/>
    <w:rsid w:val="000120A0"/>
    <w:rsid w:val="0001230A"/>
    <w:rsid w:val="00012316"/>
    <w:rsid w:val="0001268C"/>
    <w:rsid w:val="00012E0C"/>
    <w:rsid w:val="00012FBD"/>
    <w:rsid w:val="0001332C"/>
    <w:rsid w:val="000136DF"/>
    <w:rsid w:val="000138BF"/>
    <w:rsid w:val="00014414"/>
    <w:rsid w:val="00014937"/>
    <w:rsid w:val="00014A4D"/>
    <w:rsid w:val="00014DC9"/>
    <w:rsid w:val="000151D4"/>
    <w:rsid w:val="00015A15"/>
    <w:rsid w:val="00015E55"/>
    <w:rsid w:val="000161CA"/>
    <w:rsid w:val="00016A73"/>
    <w:rsid w:val="00016B54"/>
    <w:rsid w:val="00020075"/>
    <w:rsid w:val="0002036E"/>
    <w:rsid w:val="00020F1D"/>
    <w:rsid w:val="00021D23"/>
    <w:rsid w:val="00022616"/>
    <w:rsid w:val="00022AEF"/>
    <w:rsid w:val="00022C1B"/>
    <w:rsid w:val="00023859"/>
    <w:rsid w:val="000241A2"/>
    <w:rsid w:val="000244A8"/>
    <w:rsid w:val="0002454D"/>
    <w:rsid w:val="00024CB1"/>
    <w:rsid w:val="00024F4D"/>
    <w:rsid w:val="00025110"/>
    <w:rsid w:val="00025150"/>
    <w:rsid w:val="000252AD"/>
    <w:rsid w:val="000255E3"/>
    <w:rsid w:val="00025851"/>
    <w:rsid w:val="00025AE9"/>
    <w:rsid w:val="00025F2F"/>
    <w:rsid w:val="00026151"/>
    <w:rsid w:val="00026C2C"/>
    <w:rsid w:val="00026E0B"/>
    <w:rsid w:val="00026E3D"/>
    <w:rsid w:val="000275E8"/>
    <w:rsid w:val="0002799A"/>
    <w:rsid w:val="00027DE9"/>
    <w:rsid w:val="00027FA5"/>
    <w:rsid w:val="000302A6"/>
    <w:rsid w:val="00030FD2"/>
    <w:rsid w:val="0003111C"/>
    <w:rsid w:val="00031DD5"/>
    <w:rsid w:val="00031F1F"/>
    <w:rsid w:val="000320F5"/>
    <w:rsid w:val="000325C5"/>
    <w:rsid w:val="00032C11"/>
    <w:rsid w:val="00033F4A"/>
    <w:rsid w:val="000340F1"/>
    <w:rsid w:val="00034429"/>
    <w:rsid w:val="000346D3"/>
    <w:rsid w:val="000348A5"/>
    <w:rsid w:val="00034D35"/>
    <w:rsid w:val="000351CB"/>
    <w:rsid w:val="00035F73"/>
    <w:rsid w:val="0003607B"/>
    <w:rsid w:val="00036190"/>
    <w:rsid w:val="00036C5F"/>
    <w:rsid w:val="000373A8"/>
    <w:rsid w:val="000379C6"/>
    <w:rsid w:val="00037D78"/>
    <w:rsid w:val="000404A0"/>
    <w:rsid w:val="000404C7"/>
    <w:rsid w:val="000404F2"/>
    <w:rsid w:val="00040569"/>
    <w:rsid w:val="00040897"/>
    <w:rsid w:val="00040D9D"/>
    <w:rsid w:val="00041505"/>
    <w:rsid w:val="000415F6"/>
    <w:rsid w:val="00042699"/>
    <w:rsid w:val="00042AD3"/>
    <w:rsid w:val="00042DBC"/>
    <w:rsid w:val="000430B4"/>
    <w:rsid w:val="00043D43"/>
    <w:rsid w:val="00043EBC"/>
    <w:rsid w:val="00043F0F"/>
    <w:rsid w:val="00044A02"/>
    <w:rsid w:val="000454EF"/>
    <w:rsid w:val="00045688"/>
    <w:rsid w:val="00046283"/>
    <w:rsid w:val="000466A3"/>
    <w:rsid w:val="000466C7"/>
    <w:rsid w:val="00046A88"/>
    <w:rsid w:val="00046B74"/>
    <w:rsid w:val="00046C08"/>
    <w:rsid w:val="00046FA3"/>
    <w:rsid w:val="00047668"/>
    <w:rsid w:val="000477B3"/>
    <w:rsid w:val="000477F3"/>
    <w:rsid w:val="00047ACA"/>
    <w:rsid w:val="00047B1D"/>
    <w:rsid w:val="00047EE8"/>
    <w:rsid w:val="0005013A"/>
    <w:rsid w:val="000506C7"/>
    <w:rsid w:val="000507C9"/>
    <w:rsid w:val="000508FE"/>
    <w:rsid w:val="0005177D"/>
    <w:rsid w:val="000517CD"/>
    <w:rsid w:val="00051BCF"/>
    <w:rsid w:val="0005279E"/>
    <w:rsid w:val="00052B3E"/>
    <w:rsid w:val="000535C0"/>
    <w:rsid w:val="00053DBE"/>
    <w:rsid w:val="0005450D"/>
    <w:rsid w:val="00054DEE"/>
    <w:rsid w:val="000550FF"/>
    <w:rsid w:val="0005517E"/>
    <w:rsid w:val="0005533D"/>
    <w:rsid w:val="000556D5"/>
    <w:rsid w:val="00055D44"/>
    <w:rsid w:val="00056042"/>
    <w:rsid w:val="000561F4"/>
    <w:rsid w:val="0005623D"/>
    <w:rsid w:val="0005643A"/>
    <w:rsid w:val="0005645A"/>
    <w:rsid w:val="00056A80"/>
    <w:rsid w:val="00056EC0"/>
    <w:rsid w:val="00060656"/>
    <w:rsid w:val="00060887"/>
    <w:rsid w:val="0006111B"/>
    <w:rsid w:val="000613D2"/>
    <w:rsid w:val="000617C3"/>
    <w:rsid w:val="000617D9"/>
    <w:rsid w:val="000626D1"/>
    <w:rsid w:val="00062778"/>
    <w:rsid w:val="00062C6A"/>
    <w:rsid w:val="00062C75"/>
    <w:rsid w:val="00062DB8"/>
    <w:rsid w:val="00063736"/>
    <w:rsid w:val="00063AB3"/>
    <w:rsid w:val="00064031"/>
    <w:rsid w:val="00064A02"/>
    <w:rsid w:val="00065186"/>
    <w:rsid w:val="000654F8"/>
    <w:rsid w:val="00065F00"/>
    <w:rsid w:val="00066458"/>
    <w:rsid w:val="00066A33"/>
    <w:rsid w:val="00066EFE"/>
    <w:rsid w:val="0006752D"/>
    <w:rsid w:val="000706B3"/>
    <w:rsid w:val="000707C2"/>
    <w:rsid w:val="00070BDD"/>
    <w:rsid w:val="000713BD"/>
    <w:rsid w:val="0007165B"/>
    <w:rsid w:val="00071D93"/>
    <w:rsid w:val="00071DF1"/>
    <w:rsid w:val="00072079"/>
    <w:rsid w:val="000727D0"/>
    <w:rsid w:val="00072948"/>
    <w:rsid w:val="00072A4F"/>
    <w:rsid w:val="00072B29"/>
    <w:rsid w:val="00072E21"/>
    <w:rsid w:val="0007323E"/>
    <w:rsid w:val="00073DF3"/>
    <w:rsid w:val="00073FDF"/>
    <w:rsid w:val="00074146"/>
    <w:rsid w:val="00075011"/>
    <w:rsid w:val="00075151"/>
    <w:rsid w:val="00075FDA"/>
    <w:rsid w:val="00076102"/>
    <w:rsid w:val="00077342"/>
    <w:rsid w:val="00077627"/>
    <w:rsid w:val="00077762"/>
    <w:rsid w:val="00080521"/>
    <w:rsid w:val="00080A02"/>
    <w:rsid w:val="000811F9"/>
    <w:rsid w:val="0008166A"/>
    <w:rsid w:val="00081A33"/>
    <w:rsid w:val="000824F8"/>
    <w:rsid w:val="00082503"/>
    <w:rsid w:val="000825DC"/>
    <w:rsid w:val="00082869"/>
    <w:rsid w:val="00082F72"/>
    <w:rsid w:val="00082FE5"/>
    <w:rsid w:val="00083386"/>
    <w:rsid w:val="000844D4"/>
    <w:rsid w:val="00085222"/>
    <w:rsid w:val="00085729"/>
    <w:rsid w:val="00085998"/>
    <w:rsid w:val="00085A17"/>
    <w:rsid w:val="00085B31"/>
    <w:rsid w:val="000877AB"/>
    <w:rsid w:val="0008795C"/>
    <w:rsid w:val="00087B4C"/>
    <w:rsid w:val="00087E2F"/>
    <w:rsid w:val="000903A4"/>
    <w:rsid w:val="000903DF"/>
    <w:rsid w:val="00090548"/>
    <w:rsid w:val="000909DA"/>
    <w:rsid w:val="00090D76"/>
    <w:rsid w:val="000916B1"/>
    <w:rsid w:val="00091982"/>
    <w:rsid w:val="00091AB7"/>
    <w:rsid w:val="00091E7C"/>
    <w:rsid w:val="0009248F"/>
    <w:rsid w:val="00092E21"/>
    <w:rsid w:val="0009303B"/>
    <w:rsid w:val="00093297"/>
    <w:rsid w:val="000936CD"/>
    <w:rsid w:val="00093939"/>
    <w:rsid w:val="00094D46"/>
    <w:rsid w:val="00094FC7"/>
    <w:rsid w:val="0009594F"/>
    <w:rsid w:val="00095A17"/>
    <w:rsid w:val="00095AF8"/>
    <w:rsid w:val="00095D05"/>
    <w:rsid w:val="0009668B"/>
    <w:rsid w:val="000966E7"/>
    <w:rsid w:val="00096711"/>
    <w:rsid w:val="0009696D"/>
    <w:rsid w:val="00096DF7"/>
    <w:rsid w:val="00097371"/>
    <w:rsid w:val="000975DD"/>
    <w:rsid w:val="000A0415"/>
    <w:rsid w:val="000A04DC"/>
    <w:rsid w:val="000A0595"/>
    <w:rsid w:val="000A0D4E"/>
    <w:rsid w:val="000A1347"/>
    <w:rsid w:val="000A1A3D"/>
    <w:rsid w:val="000A1C4C"/>
    <w:rsid w:val="000A1E80"/>
    <w:rsid w:val="000A2559"/>
    <w:rsid w:val="000A266A"/>
    <w:rsid w:val="000A27D9"/>
    <w:rsid w:val="000A2EA6"/>
    <w:rsid w:val="000A3091"/>
    <w:rsid w:val="000A3126"/>
    <w:rsid w:val="000A3510"/>
    <w:rsid w:val="000A3C7D"/>
    <w:rsid w:val="000A4073"/>
    <w:rsid w:val="000A4382"/>
    <w:rsid w:val="000A49E4"/>
    <w:rsid w:val="000A515B"/>
    <w:rsid w:val="000A592A"/>
    <w:rsid w:val="000A650B"/>
    <w:rsid w:val="000A67CA"/>
    <w:rsid w:val="000A68ED"/>
    <w:rsid w:val="000A692C"/>
    <w:rsid w:val="000A696F"/>
    <w:rsid w:val="000A720C"/>
    <w:rsid w:val="000A7DDD"/>
    <w:rsid w:val="000B062A"/>
    <w:rsid w:val="000B09E4"/>
    <w:rsid w:val="000B1BA1"/>
    <w:rsid w:val="000B2538"/>
    <w:rsid w:val="000B29C5"/>
    <w:rsid w:val="000B2E36"/>
    <w:rsid w:val="000B2F8C"/>
    <w:rsid w:val="000B3150"/>
    <w:rsid w:val="000B3453"/>
    <w:rsid w:val="000B36FB"/>
    <w:rsid w:val="000B3874"/>
    <w:rsid w:val="000B46E9"/>
    <w:rsid w:val="000B4E96"/>
    <w:rsid w:val="000B4F7E"/>
    <w:rsid w:val="000B57BD"/>
    <w:rsid w:val="000B5BF0"/>
    <w:rsid w:val="000B6298"/>
    <w:rsid w:val="000B66FE"/>
    <w:rsid w:val="000B7039"/>
    <w:rsid w:val="000B77AD"/>
    <w:rsid w:val="000B7CED"/>
    <w:rsid w:val="000B7E3B"/>
    <w:rsid w:val="000C04B8"/>
    <w:rsid w:val="000C1960"/>
    <w:rsid w:val="000C208F"/>
    <w:rsid w:val="000C3152"/>
    <w:rsid w:val="000C344A"/>
    <w:rsid w:val="000C357E"/>
    <w:rsid w:val="000C3946"/>
    <w:rsid w:val="000C4416"/>
    <w:rsid w:val="000C4563"/>
    <w:rsid w:val="000C4CB4"/>
    <w:rsid w:val="000C544C"/>
    <w:rsid w:val="000C5A9C"/>
    <w:rsid w:val="000C5FD5"/>
    <w:rsid w:val="000C60C6"/>
    <w:rsid w:val="000C62A7"/>
    <w:rsid w:val="000C6E1F"/>
    <w:rsid w:val="000C70B0"/>
    <w:rsid w:val="000C72B6"/>
    <w:rsid w:val="000C7840"/>
    <w:rsid w:val="000C7B9B"/>
    <w:rsid w:val="000C7D17"/>
    <w:rsid w:val="000C7FCD"/>
    <w:rsid w:val="000D0195"/>
    <w:rsid w:val="000D053A"/>
    <w:rsid w:val="000D0668"/>
    <w:rsid w:val="000D07AF"/>
    <w:rsid w:val="000D09F8"/>
    <w:rsid w:val="000D0B9F"/>
    <w:rsid w:val="000D0CD7"/>
    <w:rsid w:val="000D0E2C"/>
    <w:rsid w:val="000D0E44"/>
    <w:rsid w:val="000D1849"/>
    <w:rsid w:val="000D1AEF"/>
    <w:rsid w:val="000D1AFC"/>
    <w:rsid w:val="000D24D9"/>
    <w:rsid w:val="000D28D6"/>
    <w:rsid w:val="000D2CFF"/>
    <w:rsid w:val="000D31BD"/>
    <w:rsid w:val="000D358E"/>
    <w:rsid w:val="000D3658"/>
    <w:rsid w:val="000D397B"/>
    <w:rsid w:val="000D3F3F"/>
    <w:rsid w:val="000D4296"/>
    <w:rsid w:val="000D466A"/>
    <w:rsid w:val="000D5A17"/>
    <w:rsid w:val="000D5B57"/>
    <w:rsid w:val="000D6455"/>
    <w:rsid w:val="000D6AB6"/>
    <w:rsid w:val="000D6C09"/>
    <w:rsid w:val="000D73E1"/>
    <w:rsid w:val="000D7CD3"/>
    <w:rsid w:val="000E021E"/>
    <w:rsid w:val="000E06AB"/>
    <w:rsid w:val="000E07E2"/>
    <w:rsid w:val="000E08CF"/>
    <w:rsid w:val="000E08F6"/>
    <w:rsid w:val="000E118F"/>
    <w:rsid w:val="000E11CC"/>
    <w:rsid w:val="000E12B0"/>
    <w:rsid w:val="000E13C6"/>
    <w:rsid w:val="000E13F5"/>
    <w:rsid w:val="000E1631"/>
    <w:rsid w:val="000E1981"/>
    <w:rsid w:val="000E28FF"/>
    <w:rsid w:val="000E31CD"/>
    <w:rsid w:val="000E3A5F"/>
    <w:rsid w:val="000E4168"/>
    <w:rsid w:val="000E45E7"/>
    <w:rsid w:val="000E48D2"/>
    <w:rsid w:val="000E4C90"/>
    <w:rsid w:val="000E55AC"/>
    <w:rsid w:val="000E56A0"/>
    <w:rsid w:val="000E56FB"/>
    <w:rsid w:val="000E66DE"/>
    <w:rsid w:val="000E6873"/>
    <w:rsid w:val="000E6B70"/>
    <w:rsid w:val="000E6C00"/>
    <w:rsid w:val="000E6C41"/>
    <w:rsid w:val="000E6C78"/>
    <w:rsid w:val="000E6E05"/>
    <w:rsid w:val="000E71FC"/>
    <w:rsid w:val="000E726A"/>
    <w:rsid w:val="000E759E"/>
    <w:rsid w:val="000E782D"/>
    <w:rsid w:val="000E7A8B"/>
    <w:rsid w:val="000E7C4C"/>
    <w:rsid w:val="000F0AFC"/>
    <w:rsid w:val="000F0F5B"/>
    <w:rsid w:val="000F10FD"/>
    <w:rsid w:val="000F190B"/>
    <w:rsid w:val="000F1E55"/>
    <w:rsid w:val="000F28A5"/>
    <w:rsid w:val="000F2DDC"/>
    <w:rsid w:val="000F3222"/>
    <w:rsid w:val="000F3322"/>
    <w:rsid w:val="000F36CC"/>
    <w:rsid w:val="000F3717"/>
    <w:rsid w:val="000F3808"/>
    <w:rsid w:val="000F3862"/>
    <w:rsid w:val="000F401A"/>
    <w:rsid w:val="000F40F1"/>
    <w:rsid w:val="000F43FF"/>
    <w:rsid w:val="000F4D48"/>
    <w:rsid w:val="000F7056"/>
    <w:rsid w:val="000F723D"/>
    <w:rsid w:val="000F7269"/>
    <w:rsid w:val="000F73A9"/>
    <w:rsid w:val="000F76D2"/>
    <w:rsid w:val="001001AB"/>
    <w:rsid w:val="001009D7"/>
    <w:rsid w:val="00100D4B"/>
    <w:rsid w:val="001010ED"/>
    <w:rsid w:val="0010131B"/>
    <w:rsid w:val="0010183C"/>
    <w:rsid w:val="00101CD3"/>
    <w:rsid w:val="00103378"/>
    <w:rsid w:val="00103C19"/>
    <w:rsid w:val="00104523"/>
    <w:rsid w:val="001045F0"/>
    <w:rsid w:val="00104618"/>
    <w:rsid w:val="001056BC"/>
    <w:rsid w:val="001058FB"/>
    <w:rsid w:val="001061EB"/>
    <w:rsid w:val="001070ED"/>
    <w:rsid w:val="0010754B"/>
    <w:rsid w:val="00107880"/>
    <w:rsid w:val="00107C77"/>
    <w:rsid w:val="00107FB2"/>
    <w:rsid w:val="001107A2"/>
    <w:rsid w:val="0011146B"/>
    <w:rsid w:val="00111947"/>
    <w:rsid w:val="00111A0A"/>
    <w:rsid w:val="00111EEB"/>
    <w:rsid w:val="0011203A"/>
    <w:rsid w:val="00112103"/>
    <w:rsid w:val="00112A25"/>
    <w:rsid w:val="00112F48"/>
    <w:rsid w:val="00113B54"/>
    <w:rsid w:val="00114482"/>
    <w:rsid w:val="00114772"/>
    <w:rsid w:val="00114AB7"/>
    <w:rsid w:val="00114E28"/>
    <w:rsid w:val="00115279"/>
    <w:rsid w:val="001153C1"/>
    <w:rsid w:val="00115553"/>
    <w:rsid w:val="00115755"/>
    <w:rsid w:val="001157EF"/>
    <w:rsid w:val="00115D14"/>
    <w:rsid w:val="00115E74"/>
    <w:rsid w:val="00115FE0"/>
    <w:rsid w:val="001162FA"/>
    <w:rsid w:val="0011652F"/>
    <w:rsid w:val="00116EFB"/>
    <w:rsid w:val="0011700C"/>
    <w:rsid w:val="0011721E"/>
    <w:rsid w:val="001178B0"/>
    <w:rsid w:val="00117A67"/>
    <w:rsid w:val="00117B6D"/>
    <w:rsid w:val="001201A2"/>
    <w:rsid w:val="001201EC"/>
    <w:rsid w:val="0012078B"/>
    <w:rsid w:val="001207FA"/>
    <w:rsid w:val="00120C2A"/>
    <w:rsid w:val="00120CBD"/>
    <w:rsid w:val="00120DD0"/>
    <w:rsid w:val="00121299"/>
    <w:rsid w:val="001212DC"/>
    <w:rsid w:val="00121318"/>
    <w:rsid w:val="00121888"/>
    <w:rsid w:val="00121E6B"/>
    <w:rsid w:val="001223D7"/>
    <w:rsid w:val="00122CE3"/>
    <w:rsid w:val="001233EF"/>
    <w:rsid w:val="00123712"/>
    <w:rsid w:val="001237BE"/>
    <w:rsid w:val="00124209"/>
    <w:rsid w:val="001243FB"/>
    <w:rsid w:val="00124430"/>
    <w:rsid w:val="00124BCE"/>
    <w:rsid w:val="00124EA5"/>
    <w:rsid w:val="00124FDB"/>
    <w:rsid w:val="00125061"/>
    <w:rsid w:val="00125EF3"/>
    <w:rsid w:val="00126671"/>
    <w:rsid w:val="001267BE"/>
    <w:rsid w:val="00126B0A"/>
    <w:rsid w:val="00126B2D"/>
    <w:rsid w:val="00127184"/>
    <w:rsid w:val="0012764A"/>
    <w:rsid w:val="00127D7E"/>
    <w:rsid w:val="00130BB9"/>
    <w:rsid w:val="00131447"/>
    <w:rsid w:val="001317B7"/>
    <w:rsid w:val="00131F1D"/>
    <w:rsid w:val="001320A1"/>
    <w:rsid w:val="001325FB"/>
    <w:rsid w:val="00132866"/>
    <w:rsid w:val="00132901"/>
    <w:rsid w:val="001332F2"/>
    <w:rsid w:val="00133EEC"/>
    <w:rsid w:val="00134284"/>
    <w:rsid w:val="0013457E"/>
    <w:rsid w:val="00134690"/>
    <w:rsid w:val="001349E7"/>
    <w:rsid w:val="001356A5"/>
    <w:rsid w:val="001357C2"/>
    <w:rsid w:val="00135FBB"/>
    <w:rsid w:val="00136789"/>
    <w:rsid w:val="00136A6D"/>
    <w:rsid w:val="00137241"/>
    <w:rsid w:val="00137964"/>
    <w:rsid w:val="00137B0E"/>
    <w:rsid w:val="00137F58"/>
    <w:rsid w:val="001411E4"/>
    <w:rsid w:val="00141979"/>
    <w:rsid w:val="00141B8C"/>
    <w:rsid w:val="00141EC2"/>
    <w:rsid w:val="00141EC5"/>
    <w:rsid w:val="00142224"/>
    <w:rsid w:val="001422A9"/>
    <w:rsid w:val="00142CA2"/>
    <w:rsid w:val="0014379D"/>
    <w:rsid w:val="001439CB"/>
    <w:rsid w:val="00143B31"/>
    <w:rsid w:val="00143FF5"/>
    <w:rsid w:val="0014406E"/>
    <w:rsid w:val="00144666"/>
    <w:rsid w:val="00144A6E"/>
    <w:rsid w:val="00144AA9"/>
    <w:rsid w:val="00144B85"/>
    <w:rsid w:val="00144DC3"/>
    <w:rsid w:val="0014581B"/>
    <w:rsid w:val="00145887"/>
    <w:rsid w:val="0014594B"/>
    <w:rsid w:val="00146A18"/>
    <w:rsid w:val="00146B2A"/>
    <w:rsid w:val="001477B5"/>
    <w:rsid w:val="00147912"/>
    <w:rsid w:val="00147937"/>
    <w:rsid w:val="001479E1"/>
    <w:rsid w:val="00147B34"/>
    <w:rsid w:val="00147D83"/>
    <w:rsid w:val="00150886"/>
    <w:rsid w:val="00150AD0"/>
    <w:rsid w:val="001516BD"/>
    <w:rsid w:val="00151799"/>
    <w:rsid w:val="00151841"/>
    <w:rsid w:val="001531F9"/>
    <w:rsid w:val="00153B41"/>
    <w:rsid w:val="0015413F"/>
    <w:rsid w:val="001548B7"/>
    <w:rsid w:val="001552F0"/>
    <w:rsid w:val="00155347"/>
    <w:rsid w:val="00155F21"/>
    <w:rsid w:val="00156380"/>
    <w:rsid w:val="00156693"/>
    <w:rsid w:val="00156726"/>
    <w:rsid w:val="00156BA7"/>
    <w:rsid w:val="00156C83"/>
    <w:rsid w:val="00156E20"/>
    <w:rsid w:val="0015719F"/>
    <w:rsid w:val="00157281"/>
    <w:rsid w:val="001572DF"/>
    <w:rsid w:val="00157434"/>
    <w:rsid w:val="00157D0C"/>
    <w:rsid w:val="00157FC9"/>
    <w:rsid w:val="00160516"/>
    <w:rsid w:val="00160595"/>
    <w:rsid w:val="00160F8E"/>
    <w:rsid w:val="00160FCC"/>
    <w:rsid w:val="001612FC"/>
    <w:rsid w:val="001618B9"/>
    <w:rsid w:val="00161EA2"/>
    <w:rsid w:val="00162433"/>
    <w:rsid w:val="001626E9"/>
    <w:rsid w:val="00162773"/>
    <w:rsid w:val="00162804"/>
    <w:rsid w:val="001630C2"/>
    <w:rsid w:val="00163579"/>
    <w:rsid w:val="001637F8"/>
    <w:rsid w:val="001639DD"/>
    <w:rsid w:val="00163D6A"/>
    <w:rsid w:val="00163E72"/>
    <w:rsid w:val="0016401D"/>
    <w:rsid w:val="00164097"/>
    <w:rsid w:val="00164154"/>
    <w:rsid w:val="001641E6"/>
    <w:rsid w:val="001641F6"/>
    <w:rsid w:val="001643B3"/>
    <w:rsid w:val="0016489E"/>
    <w:rsid w:val="00164F31"/>
    <w:rsid w:val="00164F78"/>
    <w:rsid w:val="0016557A"/>
    <w:rsid w:val="00165BFF"/>
    <w:rsid w:val="00165FF7"/>
    <w:rsid w:val="00166778"/>
    <w:rsid w:val="0016689A"/>
    <w:rsid w:val="001668DD"/>
    <w:rsid w:val="00166A62"/>
    <w:rsid w:val="0016704B"/>
    <w:rsid w:val="001674D1"/>
    <w:rsid w:val="0016754A"/>
    <w:rsid w:val="00167AA1"/>
    <w:rsid w:val="001704D0"/>
    <w:rsid w:val="001705D9"/>
    <w:rsid w:val="001717EF"/>
    <w:rsid w:val="00171848"/>
    <w:rsid w:val="00171C4D"/>
    <w:rsid w:val="001722AD"/>
    <w:rsid w:val="0017291D"/>
    <w:rsid w:val="00172EBB"/>
    <w:rsid w:val="001731DC"/>
    <w:rsid w:val="00173297"/>
    <w:rsid w:val="001733DC"/>
    <w:rsid w:val="00173541"/>
    <w:rsid w:val="001735D8"/>
    <w:rsid w:val="001741BC"/>
    <w:rsid w:val="001744AA"/>
    <w:rsid w:val="0017471F"/>
    <w:rsid w:val="001751B6"/>
    <w:rsid w:val="0017521E"/>
    <w:rsid w:val="00175CA2"/>
    <w:rsid w:val="00175D27"/>
    <w:rsid w:val="00176351"/>
    <w:rsid w:val="00176968"/>
    <w:rsid w:val="00176B37"/>
    <w:rsid w:val="00176BE1"/>
    <w:rsid w:val="00176D76"/>
    <w:rsid w:val="001800E8"/>
    <w:rsid w:val="00180447"/>
    <w:rsid w:val="00180AA8"/>
    <w:rsid w:val="001813F7"/>
    <w:rsid w:val="001815ED"/>
    <w:rsid w:val="00181D41"/>
    <w:rsid w:val="00182B5F"/>
    <w:rsid w:val="0018374B"/>
    <w:rsid w:val="0018386E"/>
    <w:rsid w:val="00184148"/>
    <w:rsid w:val="0018425A"/>
    <w:rsid w:val="0018436C"/>
    <w:rsid w:val="00184D51"/>
    <w:rsid w:val="00186C9B"/>
    <w:rsid w:val="001870B5"/>
    <w:rsid w:val="001872E9"/>
    <w:rsid w:val="00187773"/>
    <w:rsid w:val="001878AC"/>
    <w:rsid w:val="00187935"/>
    <w:rsid w:val="00187A37"/>
    <w:rsid w:val="001904AC"/>
    <w:rsid w:val="00190FE6"/>
    <w:rsid w:val="00191B4F"/>
    <w:rsid w:val="00191D90"/>
    <w:rsid w:val="0019244F"/>
    <w:rsid w:val="0019257D"/>
    <w:rsid w:val="001928B8"/>
    <w:rsid w:val="00192B44"/>
    <w:rsid w:val="00192BC0"/>
    <w:rsid w:val="00192C25"/>
    <w:rsid w:val="00193270"/>
    <w:rsid w:val="001932DF"/>
    <w:rsid w:val="0019334C"/>
    <w:rsid w:val="00193433"/>
    <w:rsid w:val="001936CA"/>
    <w:rsid w:val="001944E7"/>
    <w:rsid w:val="00194B0B"/>
    <w:rsid w:val="00194B20"/>
    <w:rsid w:val="00194CA0"/>
    <w:rsid w:val="001956C2"/>
    <w:rsid w:val="00195FB7"/>
    <w:rsid w:val="0019604E"/>
    <w:rsid w:val="0019622B"/>
    <w:rsid w:val="001966CD"/>
    <w:rsid w:val="00196708"/>
    <w:rsid w:val="00196C27"/>
    <w:rsid w:val="00196C40"/>
    <w:rsid w:val="00197236"/>
    <w:rsid w:val="00197507"/>
    <w:rsid w:val="001977B1"/>
    <w:rsid w:val="00197BFE"/>
    <w:rsid w:val="001A09BB"/>
    <w:rsid w:val="001A0AA1"/>
    <w:rsid w:val="001A0AB9"/>
    <w:rsid w:val="001A18C7"/>
    <w:rsid w:val="001A1B12"/>
    <w:rsid w:val="001A1C83"/>
    <w:rsid w:val="001A1E9B"/>
    <w:rsid w:val="001A1FB0"/>
    <w:rsid w:val="001A2141"/>
    <w:rsid w:val="001A237D"/>
    <w:rsid w:val="001A2394"/>
    <w:rsid w:val="001A28C9"/>
    <w:rsid w:val="001A2CBC"/>
    <w:rsid w:val="001A37A0"/>
    <w:rsid w:val="001A38A5"/>
    <w:rsid w:val="001A3FC0"/>
    <w:rsid w:val="001A4567"/>
    <w:rsid w:val="001A4CCF"/>
    <w:rsid w:val="001A518E"/>
    <w:rsid w:val="001A5779"/>
    <w:rsid w:val="001A5BAE"/>
    <w:rsid w:val="001A65CA"/>
    <w:rsid w:val="001A6904"/>
    <w:rsid w:val="001A690E"/>
    <w:rsid w:val="001A6CE9"/>
    <w:rsid w:val="001A6F29"/>
    <w:rsid w:val="001A6FBB"/>
    <w:rsid w:val="001A7029"/>
    <w:rsid w:val="001A7248"/>
    <w:rsid w:val="001A78B3"/>
    <w:rsid w:val="001A7A3D"/>
    <w:rsid w:val="001B02C7"/>
    <w:rsid w:val="001B0C10"/>
    <w:rsid w:val="001B15FF"/>
    <w:rsid w:val="001B1797"/>
    <w:rsid w:val="001B23BC"/>
    <w:rsid w:val="001B32EF"/>
    <w:rsid w:val="001B356B"/>
    <w:rsid w:val="001B394D"/>
    <w:rsid w:val="001B3E0E"/>
    <w:rsid w:val="001B3F0E"/>
    <w:rsid w:val="001B43EE"/>
    <w:rsid w:val="001B441B"/>
    <w:rsid w:val="001B44E0"/>
    <w:rsid w:val="001B4632"/>
    <w:rsid w:val="001B50E2"/>
    <w:rsid w:val="001B5F6D"/>
    <w:rsid w:val="001B6043"/>
    <w:rsid w:val="001B63ED"/>
    <w:rsid w:val="001B697E"/>
    <w:rsid w:val="001B749A"/>
    <w:rsid w:val="001B78C5"/>
    <w:rsid w:val="001B797E"/>
    <w:rsid w:val="001B7AED"/>
    <w:rsid w:val="001B7C99"/>
    <w:rsid w:val="001C00F3"/>
    <w:rsid w:val="001C028F"/>
    <w:rsid w:val="001C0440"/>
    <w:rsid w:val="001C08A0"/>
    <w:rsid w:val="001C09BD"/>
    <w:rsid w:val="001C1928"/>
    <w:rsid w:val="001C19D1"/>
    <w:rsid w:val="001C1A34"/>
    <w:rsid w:val="001C2C4B"/>
    <w:rsid w:val="001C3237"/>
    <w:rsid w:val="001C33DE"/>
    <w:rsid w:val="001C3AE3"/>
    <w:rsid w:val="001C3C5E"/>
    <w:rsid w:val="001C3F3B"/>
    <w:rsid w:val="001C43FA"/>
    <w:rsid w:val="001C441C"/>
    <w:rsid w:val="001C45EC"/>
    <w:rsid w:val="001C4657"/>
    <w:rsid w:val="001C4EA4"/>
    <w:rsid w:val="001C53B9"/>
    <w:rsid w:val="001C588F"/>
    <w:rsid w:val="001C5A79"/>
    <w:rsid w:val="001C5C77"/>
    <w:rsid w:val="001C5EE1"/>
    <w:rsid w:val="001C5F27"/>
    <w:rsid w:val="001C5F8A"/>
    <w:rsid w:val="001C65FC"/>
    <w:rsid w:val="001C693A"/>
    <w:rsid w:val="001C6A4B"/>
    <w:rsid w:val="001C6EBD"/>
    <w:rsid w:val="001C7BA9"/>
    <w:rsid w:val="001D00E1"/>
    <w:rsid w:val="001D02D0"/>
    <w:rsid w:val="001D0408"/>
    <w:rsid w:val="001D0E74"/>
    <w:rsid w:val="001D10E9"/>
    <w:rsid w:val="001D13D9"/>
    <w:rsid w:val="001D1CF2"/>
    <w:rsid w:val="001D21E7"/>
    <w:rsid w:val="001D2572"/>
    <w:rsid w:val="001D2910"/>
    <w:rsid w:val="001D332D"/>
    <w:rsid w:val="001D363F"/>
    <w:rsid w:val="001D3A41"/>
    <w:rsid w:val="001D41BB"/>
    <w:rsid w:val="001D4A75"/>
    <w:rsid w:val="001D4A8E"/>
    <w:rsid w:val="001D4C1B"/>
    <w:rsid w:val="001D5619"/>
    <w:rsid w:val="001D62C5"/>
    <w:rsid w:val="001D6946"/>
    <w:rsid w:val="001D72EB"/>
    <w:rsid w:val="001D7544"/>
    <w:rsid w:val="001D7853"/>
    <w:rsid w:val="001D79D5"/>
    <w:rsid w:val="001E000F"/>
    <w:rsid w:val="001E0722"/>
    <w:rsid w:val="001E0F86"/>
    <w:rsid w:val="001E1161"/>
    <w:rsid w:val="001E12AE"/>
    <w:rsid w:val="001E1EB0"/>
    <w:rsid w:val="001E2D7D"/>
    <w:rsid w:val="001E33CF"/>
    <w:rsid w:val="001E3AF8"/>
    <w:rsid w:val="001E40E2"/>
    <w:rsid w:val="001E47C9"/>
    <w:rsid w:val="001E520D"/>
    <w:rsid w:val="001E5F40"/>
    <w:rsid w:val="001E684D"/>
    <w:rsid w:val="001E6907"/>
    <w:rsid w:val="001E7487"/>
    <w:rsid w:val="001E7852"/>
    <w:rsid w:val="001E7CAC"/>
    <w:rsid w:val="001E7D7F"/>
    <w:rsid w:val="001F04A0"/>
    <w:rsid w:val="001F0F36"/>
    <w:rsid w:val="001F0FCB"/>
    <w:rsid w:val="001F11EA"/>
    <w:rsid w:val="001F13B4"/>
    <w:rsid w:val="001F15C4"/>
    <w:rsid w:val="001F15E8"/>
    <w:rsid w:val="001F190E"/>
    <w:rsid w:val="001F27FC"/>
    <w:rsid w:val="001F2DBA"/>
    <w:rsid w:val="001F3BFD"/>
    <w:rsid w:val="001F3C3D"/>
    <w:rsid w:val="001F485E"/>
    <w:rsid w:val="001F48D0"/>
    <w:rsid w:val="001F4D5D"/>
    <w:rsid w:val="001F4F05"/>
    <w:rsid w:val="001F5165"/>
    <w:rsid w:val="001F564F"/>
    <w:rsid w:val="001F5A96"/>
    <w:rsid w:val="001F5B52"/>
    <w:rsid w:val="001F61CB"/>
    <w:rsid w:val="001F6A5C"/>
    <w:rsid w:val="001F75BF"/>
    <w:rsid w:val="001F76D2"/>
    <w:rsid w:val="00200009"/>
    <w:rsid w:val="002012C0"/>
    <w:rsid w:val="00201796"/>
    <w:rsid w:val="00201A7B"/>
    <w:rsid w:val="00201B41"/>
    <w:rsid w:val="0020229B"/>
    <w:rsid w:val="002024E4"/>
    <w:rsid w:val="00202CC5"/>
    <w:rsid w:val="0020370A"/>
    <w:rsid w:val="00203BC7"/>
    <w:rsid w:val="00203D26"/>
    <w:rsid w:val="00204127"/>
    <w:rsid w:val="0020437B"/>
    <w:rsid w:val="0020482A"/>
    <w:rsid w:val="00204904"/>
    <w:rsid w:val="0020496C"/>
    <w:rsid w:val="0020544B"/>
    <w:rsid w:val="00205695"/>
    <w:rsid w:val="00205DB3"/>
    <w:rsid w:val="00206320"/>
    <w:rsid w:val="0020709A"/>
    <w:rsid w:val="002073FD"/>
    <w:rsid w:val="00207E92"/>
    <w:rsid w:val="00210232"/>
    <w:rsid w:val="0021051A"/>
    <w:rsid w:val="002105CB"/>
    <w:rsid w:val="00210DDF"/>
    <w:rsid w:val="00211254"/>
    <w:rsid w:val="0021135B"/>
    <w:rsid w:val="0021143C"/>
    <w:rsid w:val="0021176B"/>
    <w:rsid w:val="00212581"/>
    <w:rsid w:val="00212ED1"/>
    <w:rsid w:val="00213726"/>
    <w:rsid w:val="0021421F"/>
    <w:rsid w:val="002142D4"/>
    <w:rsid w:val="00214342"/>
    <w:rsid w:val="002144B4"/>
    <w:rsid w:val="00214AD0"/>
    <w:rsid w:val="00214BFE"/>
    <w:rsid w:val="00214C1A"/>
    <w:rsid w:val="00215141"/>
    <w:rsid w:val="0021524C"/>
    <w:rsid w:val="00216171"/>
    <w:rsid w:val="00216763"/>
    <w:rsid w:val="00216F46"/>
    <w:rsid w:val="00217B2B"/>
    <w:rsid w:val="002201CD"/>
    <w:rsid w:val="00220661"/>
    <w:rsid w:val="00220A7A"/>
    <w:rsid w:val="00220C5A"/>
    <w:rsid w:val="00221D79"/>
    <w:rsid w:val="00221D98"/>
    <w:rsid w:val="00221E16"/>
    <w:rsid w:val="00221ECE"/>
    <w:rsid w:val="002220D5"/>
    <w:rsid w:val="00222422"/>
    <w:rsid w:val="002228FD"/>
    <w:rsid w:val="00223163"/>
    <w:rsid w:val="0022328D"/>
    <w:rsid w:val="00223AD2"/>
    <w:rsid w:val="00224087"/>
    <w:rsid w:val="002240D8"/>
    <w:rsid w:val="002241E1"/>
    <w:rsid w:val="002242C2"/>
    <w:rsid w:val="00224415"/>
    <w:rsid w:val="00224535"/>
    <w:rsid w:val="00224614"/>
    <w:rsid w:val="00224868"/>
    <w:rsid w:val="00224C91"/>
    <w:rsid w:val="00224D6F"/>
    <w:rsid w:val="00225838"/>
    <w:rsid w:val="00226D31"/>
    <w:rsid w:val="00226ED6"/>
    <w:rsid w:val="00227F8C"/>
    <w:rsid w:val="0023092A"/>
    <w:rsid w:val="00230982"/>
    <w:rsid w:val="00230AC8"/>
    <w:rsid w:val="00230DE3"/>
    <w:rsid w:val="0023117C"/>
    <w:rsid w:val="0023120C"/>
    <w:rsid w:val="00231713"/>
    <w:rsid w:val="00231AB8"/>
    <w:rsid w:val="00231AC1"/>
    <w:rsid w:val="002322F7"/>
    <w:rsid w:val="002327B4"/>
    <w:rsid w:val="00232A56"/>
    <w:rsid w:val="00232CE1"/>
    <w:rsid w:val="00232DD6"/>
    <w:rsid w:val="00233900"/>
    <w:rsid w:val="00233AC6"/>
    <w:rsid w:val="00233B03"/>
    <w:rsid w:val="00233B98"/>
    <w:rsid w:val="00233EEF"/>
    <w:rsid w:val="00234000"/>
    <w:rsid w:val="00234094"/>
    <w:rsid w:val="00234B87"/>
    <w:rsid w:val="00234C98"/>
    <w:rsid w:val="002353D4"/>
    <w:rsid w:val="00235E1F"/>
    <w:rsid w:val="0023634B"/>
    <w:rsid w:val="00236463"/>
    <w:rsid w:val="002367C7"/>
    <w:rsid w:val="00236E6B"/>
    <w:rsid w:val="00237488"/>
    <w:rsid w:val="00237F4E"/>
    <w:rsid w:val="0024017E"/>
    <w:rsid w:val="00240826"/>
    <w:rsid w:val="0024141E"/>
    <w:rsid w:val="00241555"/>
    <w:rsid w:val="00241578"/>
    <w:rsid w:val="002417BB"/>
    <w:rsid w:val="00241DCB"/>
    <w:rsid w:val="00242002"/>
    <w:rsid w:val="0024232F"/>
    <w:rsid w:val="00242D55"/>
    <w:rsid w:val="0024339C"/>
    <w:rsid w:val="00243950"/>
    <w:rsid w:val="00243AEE"/>
    <w:rsid w:val="00243F04"/>
    <w:rsid w:val="002443F7"/>
    <w:rsid w:val="0024452E"/>
    <w:rsid w:val="00245419"/>
    <w:rsid w:val="0024543F"/>
    <w:rsid w:val="002455ED"/>
    <w:rsid w:val="002458D5"/>
    <w:rsid w:val="00246EB9"/>
    <w:rsid w:val="00246F50"/>
    <w:rsid w:val="00246F51"/>
    <w:rsid w:val="00246FCA"/>
    <w:rsid w:val="0024704B"/>
    <w:rsid w:val="00247697"/>
    <w:rsid w:val="0024775D"/>
    <w:rsid w:val="0024780D"/>
    <w:rsid w:val="0024790A"/>
    <w:rsid w:val="00247BAB"/>
    <w:rsid w:val="00247EF8"/>
    <w:rsid w:val="002509AB"/>
    <w:rsid w:val="00250ADA"/>
    <w:rsid w:val="00250EA3"/>
    <w:rsid w:val="00250F95"/>
    <w:rsid w:val="002511AB"/>
    <w:rsid w:val="0025172A"/>
    <w:rsid w:val="002517B2"/>
    <w:rsid w:val="002517CC"/>
    <w:rsid w:val="002518E7"/>
    <w:rsid w:val="00251BA0"/>
    <w:rsid w:val="00251FC7"/>
    <w:rsid w:val="002523DA"/>
    <w:rsid w:val="00252652"/>
    <w:rsid w:val="0025301A"/>
    <w:rsid w:val="002530F8"/>
    <w:rsid w:val="002533ED"/>
    <w:rsid w:val="00253728"/>
    <w:rsid w:val="00253EF5"/>
    <w:rsid w:val="00254211"/>
    <w:rsid w:val="00254953"/>
    <w:rsid w:val="00254F7B"/>
    <w:rsid w:val="0025524D"/>
    <w:rsid w:val="0025541D"/>
    <w:rsid w:val="002554F3"/>
    <w:rsid w:val="00255588"/>
    <w:rsid w:val="00255589"/>
    <w:rsid w:val="00255989"/>
    <w:rsid w:val="0025611C"/>
    <w:rsid w:val="00256676"/>
    <w:rsid w:val="00256C6A"/>
    <w:rsid w:val="00257356"/>
    <w:rsid w:val="0025788D"/>
    <w:rsid w:val="0026015C"/>
    <w:rsid w:val="002610FA"/>
    <w:rsid w:val="002613EA"/>
    <w:rsid w:val="002614DD"/>
    <w:rsid w:val="00261A55"/>
    <w:rsid w:val="00261CFC"/>
    <w:rsid w:val="0026367A"/>
    <w:rsid w:val="00263830"/>
    <w:rsid w:val="002638B6"/>
    <w:rsid w:val="00263F9D"/>
    <w:rsid w:val="00264766"/>
    <w:rsid w:val="00264935"/>
    <w:rsid w:val="00264D95"/>
    <w:rsid w:val="00264F92"/>
    <w:rsid w:val="002657BB"/>
    <w:rsid w:val="00265FAB"/>
    <w:rsid w:val="00265FE3"/>
    <w:rsid w:val="00266210"/>
    <w:rsid w:val="00266506"/>
    <w:rsid w:val="00266873"/>
    <w:rsid w:val="00266C9D"/>
    <w:rsid w:val="00266DE3"/>
    <w:rsid w:val="002671D9"/>
    <w:rsid w:val="002675C2"/>
    <w:rsid w:val="00267825"/>
    <w:rsid w:val="00267999"/>
    <w:rsid w:val="00267EEF"/>
    <w:rsid w:val="0027021C"/>
    <w:rsid w:val="002705E5"/>
    <w:rsid w:val="002707C4"/>
    <w:rsid w:val="00270B48"/>
    <w:rsid w:val="00270D6F"/>
    <w:rsid w:val="0027102D"/>
    <w:rsid w:val="002710DC"/>
    <w:rsid w:val="00271287"/>
    <w:rsid w:val="00271468"/>
    <w:rsid w:val="0027272F"/>
    <w:rsid w:val="00272C60"/>
    <w:rsid w:val="00273709"/>
    <w:rsid w:val="00274102"/>
    <w:rsid w:val="0027415F"/>
    <w:rsid w:val="00274B2F"/>
    <w:rsid w:val="00274D0A"/>
    <w:rsid w:val="00274D91"/>
    <w:rsid w:val="00275403"/>
    <w:rsid w:val="0027628D"/>
    <w:rsid w:val="00276BED"/>
    <w:rsid w:val="0027769B"/>
    <w:rsid w:val="00277B59"/>
    <w:rsid w:val="00277DC0"/>
    <w:rsid w:val="00280A8A"/>
    <w:rsid w:val="00280E31"/>
    <w:rsid w:val="0028114A"/>
    <w:rsid w:val="00281157"/>
    <w:rsid w:val="00281380"/>
    <w:rsid w:val="0028148A"/>
    <w:rsid w:val="00281557"/>
    <w:rsid w:val="002816CD"/>
    <w:rsid w:val="00281BE9"/>
    <w:rsid w:val="0028286B"/>
    <w:rsid w:val="00282B9D"/>
    <w:rsid w:val="00283788"/>
    <w:rsid w:val="00283850"/>
    <w:rsid w:val="0028412F"/>
    <w:rsid w:val="00284A34"/>
    <w:rsid w:val="002852AF"/>
    <w:rsid w:val="002859EF"/>
    <w:rsid w:val="00285F67"/>
    <w:rsid w:val="0028676B"/>
    <w:rsid w:val="002867F3"/>
    <w:rsid w:val="00286AEC"/>
    <w:rsid w:val="00286E8E"/>
    <w:rsid w:val="002871DC"/>
    <w:rsid w:val="0028749C"/>
    <w:rsid w:val="002877C6"/>
    <w:rsid w:val="0028797E"/>
    <w:rsid w:val="00287D58"/>
    <w:rsid w:val="00287E84"/>
    <w:rsid w:val="00290201"/>
    <w:rsid w:val="002907F6"/>
    <w:rsid w:val="00290E43"/>
    <w:rsid w:val="00291078"/>
    <w:rsid w:val="00291207"/>
    <w:rsid w:val="00291A66"/>
    <w:rsid w:val="00291CCF"/>
    <w:rsid w:val="00291EA6"/>
    <w:rsid w:val="00292153"/>
    <w:rsid w:val="00292A00"/>
    <w:rsid w:val="00293306"/>
    <w:rsid w:val="00293D3C"/>
    <w:rsid w:val="00293D98"/>
    <w:rsid w:val="002940CF"/>
    <w:rsid w:val="00294293"/>
    <w:rsid w:val="00294523"/>
    <w:rsid w:val="00294B5D"/>
    <w:rsid w:val="00294D3C"/>
    <w:rsid w:val="00294E3F"/>
    <w:rsid w:val="00294F4D"/>
    <w:rsid w:val="00295434"/>
    <w:rsid w:val="002955FA"/>
    <w:rsid w:val="00295753"/>
    <w:rsid w:val="00295BFD"/>
    <w:rsid w:val="002960B1"/>
    <w:rsid w:val="0029644B"/>
    <w:rsid w:val="00296A8A"/>
    <w:rsid w:val="00296C23"/>
    <w:rsid w:val="00296CE7"/>
    <w:rsid w:val="00296D90"/>
    <w:rsid w:val="00296E1F"/>
    <w:rsid w:val="00296FF4"/>
    <w:rsid w:val="002973E4"/>
    <w:rsid w:val="00297770"/>
    <w:rsid w:val="002A03CE"/>
    <w:rsid w:val="002A06D5"/>
    <w:rsid w:val="002A07FC"/>
    <w:rsid w:val="002A0E1A"/>
    <w:rsid w:val="002A1101"/>
    <w:rsid w:val="002A1BFB"/>
    <w:rsid w:val="002A250E"/>
    <w:rsid w:val="002A256D"/>
    <w:rsid w:val="002A27A3"/>
    <w:rsid w:val="002A28B2"/>
    <w:rsid w:val="002A2B2F"/>
    <w:rsid w:val="002A367C"/>
    <w:rsid w:val="002A3BE0"/>
    <w:rsid w:val="002A3C92"/>
    <w:rsid w:val="002A403C"/>
    <w:rsid w:val="002A579A"/>
    <w:rsid w:val="002A622F"/>
    <w:rsid w:val="002A6D76"/>
    <w:rsid w:val="002A7910"/>
    <w:rsid w:val="002A7F5C"/>
    <w:rsid w:val="002B001C"/>
    <w:rsid w:val="002B0348"/>
    <w:rsid w:val="002B05A3"/>
    <w:rsid w:val="002B1633"/>
    <w:rsid w:val="002B1E6E"/>
    <w:rsid w:val="002B268E"/>
    <w:rsid w:val="002B2A02"/>
    <w:rsid w:val="002B2A92"/>
    <w:rsid w:val="002B3CA4"/>
    <w:rsid w:val="002B3EBB"/>
    <w:rsid w:val="002B40DB"/>
    <w:rsid w:val="002B40FF"/>
    <w:rsid w:val="002B43DA"/>
    <w:rsid w:val="002B4A64"/>
    <w:rsid w:val="002B65D2"/>
    <w:rsid w:val="002B66D9"/>
    <w:rsid w:val="002B6979"/>
    <w:rsid w:val="002B6B44"/>
    <w:rsid w:val="002B71C7"/>
    <w:rsid w:val="002B77B2"/>
    <w:rsid w:val="002B7A51"/>
    <w:rsid w:val="002B7C79"/>
    <w:rsid w:val="002C0771"/>
    <w:rsid w:val="002C1466"/>
    <w:rsid w:val="002C162F"/>
    <w:rsid w:val="002C1764"/>
    <w:rsid w:val="002C1D35"/>
    <w:rsid w:val="002C238C"/>
    <w:rsid w:val="002C265A"/>
    <w:rsid w:val="002C2765"/>
    <w:rsid w:val="002C2C26"/>
    <w:rsid w:val="002C3342"/>
    <w:rsid w:val="002C38F7"/>
    <w:rsid w:val="002C3DDF"/>
    <w:rsid w:val="002C500A"/>
    <w:rsid w:val="002C546C"/>
    <w:rsid w:val="002C563A"/>
    <w:rsid w:val="002C5AD9"/>
    <w:rsid w:val="002C5CEB"/>
    <w:rsid w:val="002C6025"/>
    <w:rsid w:val="002C6BC7"/>
    <w:rsid w:val="002C79C8"/>
    <w:rsid w:val="002D0114"/>
    <w:rsid w:val="002D074B"/>
    <w:rsid w:val="002D1353"/>
    <w:rsid w:val="002D1A27"/>
    <w:rsid w:val="002D1C3A"/>
    <w:rsid w:val="002D1FDC"/>
    <w:rsid w:val="002D2E4A"/>
    <w:rsid w:val="002D3449"/>
    <w:rsid w:val="002D345A"/>
    <w:rsid w:val="002D372F"/>
    <w:rsid w:val="002D40D8"/>
    <w:rsid w:val="002D44D5"/>
    <w:rsid w:val="002D5372"/>
    <w:rsid w:val="002D560D"/>
    <w:rsid w:val="002D5C94"/>
    <w:rsid w:val="002D63EE"/>
    <w:rsid w:val="002D6757"/>
    <w:rsid w:val="002D6AC5"/>
    <w:rsid w:val="002D6AE4"/>
    <w:rsid w:val="002D6CBD"/>
    <w:rsid w:val="002D6D58"/>
    <w:rsid w:val="002D713B"/>
    <w:rsid w:val="002D7280"/>
    <w:rsid w:val="002D745A"/>
    <w:rsid w:val="002D7884"/>
    <w:rsid w:val="002D7A26"/>
    <w:rsid w:val="002E07E3"/>
    <w:rsid w:val="002E0A6A"/>
    <w:rsid w:val="002E0CFD"/>
    <w:rsid w:val="002E0EAA"/>
    <w:rsid w:val="002E13B8"/>
    <w:rsid w:val="002E1669"/>
    <w:rsid w:val="002E1A8E"/>
    <w:rsid w:val="002E1FB6"/>
    <w:rsid w:val="002E2131"/>
    <w:rsid w:val="002E23E6"/>
    <w:rsid w:val="002E35C2"/>
    <w:rsid w:val="002E35EA"/>
    <w:rsid w:val="002E3B06"/>
    <w:rsid w:val="002E3E9A"/>
    <w:rsid w:val="002E3EDC"/>
    <w:rsid w:val="002E4106"/>
    <w:rsid w:val="002E4977"/>
    <w:rsid w:val="002E4AE3"/>
    <w:rsid w:val="002E5230"/>
    <w:rsid w:val="002E679D"/>
    <w:rsid w:val="002E69E6"/>
    <w:rsid w:val="002E6C95"/>
    <w:rsid w:val="002E73DB"/>
    <w:rsid w:val="002E7744"/>
    <w:rsid w:val="002E7ADD"/>
    <w:rsid w:val="002E7BB3"/>
    <w:rsid w:val="002F0133"/>
    <w:rsid w:val="002F1050"/>
    <w:rsid w:val="002F151B"/>
    <w:rsid w:val="002F1ACA"/>
    <w:rsid w:val="002F1D2D"/>
    <w:rsid w:val="002F22F4"/>
    <w:rsid w:val="002F2ADE"/>
    <w:rsid w:val="002F2B3B"/>
    <w:rsid w:val="002F2F9B"/>
    <w:rsid w:val="002F32D7"/>
    <w:rsid w:val="002F32F1"/>
    <w:rsid w:val="002F3776"/>
    <w:rsid w:val="002F39F0"/>
    <w:rsid w:val="002F3B7B"/>
    <w:rsid w:val="002F40E0"/>
    <w:rsid w:val="002F435B"/>
    <w:rsid w:val="002F45E3"/>
    <w:rsid w:val="002F45FA"/>
    <w:rsid w:val="002F4C09"/>
    <w:rsid w:val="002F4CD0"/>
    <w:rsid w:val="002F5398"/>
    <w:rsid w:val="002F56DB"/>
    <w:rsid w:val="002F5768"/>
    <w:rsid w:val="002F5CA7"/>
    <w:rsid w:val="002F5F10"/>
    <w:rsid w:val="002F6447"/>
    <w:rsid w:val="002F6B1A"/>
    <w:rsid w:val="002F6D1F"/>
    <w:rsid w:val="002F7218"/>
    <w:rsid w:val="002F7E13"/>
    <w:rsid w:val="002F7F0C"/>
    <w:rsid w:val="003004A2"/>
    <w:rsid w:val="00300668"/>
    <w:rsid w:val="003009E9"/>
    <w:rsid w:val="00300B0D"/>
    <w:rsid w:val="00300E1E"/>
    <w:rsid w:val="0030145F"/>
    <w:rsid w:val="00301731"/>
    <w:rsid w:val="0030186A"/>
    <w:rsid w:val="003020BB"/>
    <w:rsid w:val="003023DA"/>
    <w:rsid w:val="00302E64"/>
    <w:rsid w:val="003039BF"/>
    <w:rsid w:val="00303B73"/>
    <w:rsid w:val="00304004"/>
    <w:rsid w:val="003041D8"/>
    <w:rsid w:val="00304420"/>
    <w:rsid w:val="003049CF"/>
    <w:rsid w:val="00304A62"/>
    <w:rsid w:val="00304ACD"/>
    <w:rsid w:val="00304B54"/>
    <w:rsid w:val="0030509A"/>
    <w:rsid w:val="00305E2A"/>
    <w:rsid w:val="00305E8A"/>
    <w:rsid w:val="00306035"/>
    <w:rsid w:val="0030662D"/>
    <w:rsid w:val="00306A1A"/>
    <w:rsid w:val="00306A34"/>
    <w:rsid w:val="0030756C"/>
    <w:rsid w:val="00307B77"/>
    <w:rsid w:val="00307CA7"/>
    <w:rsid w:val="003103FD"/>
    <w:rsid w:val="00310402"/>
    <w:rsid w:val="00310606"/>
    <w:rsid w:val="0031076C"/>
    <w:rsid w:val="00310A09"/>
    <w:rsid w:val="00310FD8"/>
    <w:rsid w:val="00311402"/>
    <w:rsid w:val="003114E6"/>
    <w:rsid w:val="003118E5"/>
    <w:rsid w:val="00313139"/>
    <w:rsid w:val="00313237"/>
    <w:rsid w:val="003138A9"/>
    <w:rsid w:val="003141A2"/>
    <w:rsid w:val="00314325"/>
    <w:rsid w:val="003148B8"/>
    <w:rsid w:val="00314919"/>
    <w:rsid w:val="00314F77"/>
    <w:rsid w:val="003159A3"/>
    <w:rsid w:val="00315B54"/>
    <w:rsid w:val="003164D5"/>
    <w:rsid w:val="00316563"/>
    <w:rsid w:val="00316705"/>
    <w:rsid w:val="00316A49"/>
    <w:rsid w:val="003174E3"/>
    <w:rsid w:val="00317DAF"/>
    <w:rsid w:val="00321E06"/>
    <w:rsid w:val="00322356"/>
    <w:rsid w:val="00322630"/>
    <w:rsid w:val="00322B69"/>
    <w:rsid w:val="00323328"/>
    <w:rsid w:val="00323455"/>
    <w:rsid w:val="00323A1F"/>
    <w:rsid w:val="00323D3A"/>
    <w:rsid w:val="00323E1B"/>
    <w:rsid w:val="003240D5"/>
    <w:rsid w:val="00324BAF"/>
    <w:rsid w:val="00324E70"/>
    <w:rsid w:val="003251A3"/>
    <w:rsid w:val="00325CC9"/>
    <w:rsid w:val="00325D6F"/>
    <w:rsid w:val="003260BA"/>
    <w:rsid w:val="00326547"/>
    <w:rsid w:val="00326D7B"/>
    <w:rsid w:val="00327184"/>
    <w:rsid w:val="0032780B"/>
    <w:rsid w:val="00327844"/>
    <w:rsid w:val="00327BCF"/>
    <w:rsid w:val="00330B76"/>
    <w:rsid w:val="00330BFB"/>
    <w:rsid w:val="00330C49"/>
    <w:rsid w:val="00331A8F"/>
    <w:rsid w:val="00332D86"/>
    <w:rsid w:val="00332F0D"/>
    <w:rsid w:val="00333066"/>
    <w:rsid w:val="00333204"/>
    <w:rsid w:val="00333255"/>
    <w:rsid w:val="003333AC"/>
    <w:rsid w:val="00333524"/>
    <w:rsid w:val="00333723"/>
    <w:rsid w:val="00333B49"/>
    <w:rsid w:val="00334088"/>
    <w:rsid w:val="00334296"/>
    <w:rsid w:val="003342A2"/>
    <w:rsid w:val="003357FF"/>
    <w:rsid w:val="0033585B"/>
    <w:rsid w:val="00335B54"/>
    <w:rsid w:val="0033623A"/>
    <w:rsid w:val="003362EB"/>
    <w:rsid w:val="0033664B"/>
    <w:rsid w:val="00336658"/>
    <w:rsid w:val="00336838"/>
    <w:rsid w:val="0033689D"/>
    <w:rsid w:val="0033728B"/>
    <w:rsid w:val="003372E8"/>
    <w:rsid w:val="00337320"/>
    <w:rsid w:val="00337E05"/>
    <w:rsid w:val="00337E1F"/>
    <w:rsid w:val="00340715"/>
    <w:rsid w:val="003407B4"/>
    <w:rsid w:val="00340915"/>
    <w:rsid w:val="003412E1"/>
    <w:rsid w:val="00341426"/>
    <w:rsid w:val="003417E1"/>
    <w:rsid w:val="00341CD5"/>
    <w:rsid w:val="00342081"/>
    <w:rsid w:val="0034258D"/>
    <w:rsid w:val="00342D25"/>
    <w:rsid w:val="00343F95"/>
    <w:rsid w:val="00344121"/>
    <w:rsid w:val="00344862"/>
    <w:rsid w:val="00344B90"/>
    <w:rsid w:val="00344E42"/>
    <w:rsid w:val="003458B6"/>
    <w:rsid w:val="003461EF"/>
    <w:rsid w:val="00346E3F"/>
    <w:rsid w:val="003476BD"/>
    <w:rsid w:val="003478BD"/>
    <w:rsid w:val="00347A9C"/>
    <w:rsid w:val="00347C43"/>
    <w:rsid w:val="00350403"/>
    <w:rsid w:val="003508FF"/>
    <w:rsid w:val="00350F97"/>
    <w:rsid w:val="00351239"/>
    <w:rsid w:val="00351525"/>
    <w:rsid w:val="00351C6B"/>
    <w:rsid w:val="00352380"/>
    <w:rsid w:val="003523C6"/>
    <w:rsid w:val="00352E73"/>
    <w:rsid w:val="00353CD6"/>
    <w:rsid w:val="00353D64"/>
    <w:rsid w:val="00353E91"/>
    <w:rsid w:val="00353FDB"/>
    <w:rsid w:val="00354303"/>
    <w:rsid w:val="00354C43"/>
    <w:rsid w:val="00355299"/>
    <w:rsid w:val="003557AE"/>
    <w:rsid w:val="00355A20"/>
    <w:rsid w:val="00356011"/>
    <w:rsid w:val="00356209"/>
    <w:rsid w:val="0035659F"/>
    <w:rsid w:val="00356CCD"/>
    <w:rsid w:val="0035764C"/>
    <w:rsid w:val="00357C44"/>
    <w:rsid w:val="0036012E"/>
    <w:rsid w:val="003601E3"/>
    <w:rsid w:val="003602BB"/>
    <w:rsid w:val="0036091B"/>
    <w:rsid w:val="00360922"/>
    <w:rsid w:val="00360D4E"/>
    <w:rsid w:val="00360DA9"/>
    <w:rsid w:val="00361848"/>
    <w:rsid w:val="00361AA5"/>
    <w:rsid w:val="00361C8D"/>
    <w:rsid w:val="00361FED"/>
    <w:rsid w:val="003623B3"/>
    <w:rsid w:val="003627A0"/>
    <w:rsid w:val="003627DE"/>
    <w:rsid w:val="00362C4B"/>
    <w:rsid w:val="00362DF7"/>
    <w:rsid w:val="003631F1"/>
    <w:rsid w:val="003634DA"/>
    <w:rsid w:val="00363FF8"/>
    <w:rsid w:val="00364289"/>
    <w:rsid w:val="00364D38"/>
    <w:rsid w:val="00364FFD"/>
    <w:rsid w:val="003655FC"/>
    <w:rsid w:val="00366117"/>
    <w:rsid w:val="00366282"/>
    <w:rsid w:val="00366B9A"/>
    <w:rsid w:val="0036719B"/>
    <w:rsid w:val="003673C1"/>
    <w:rsid w:val="003700FC"/>
    <w:rsid w:val="00370606"/>
    <w:rsid w:val="00370D4D"/>
    <w:rsid w:val="00371389"/>
    <w:rsid w:val="0037178C"/>
    <w:rsid w:val="003719D3"/>
    <w:rsid w:val="003723BC"/>
    <w:rsid w:val="0037277E"/>
    <w:rsid w:val="00372785"/>
    <w:rsid w:val="0037340E"/>
    <w:rsid w:val="003741A9"/>
    <w:rsid w:val="00374509"/>
    <w:rsid w:val="00374D34"/>
    <w:rsid w:val="00374DC5"/>
    <w:rsid w:val="003755E3"/>
    <w:rsid w:val="00375722"/>
    <w:rsid w:val="00375E84"/>
    <w:rsid w:val="003761FC"/>
    <w:rsid w:val="0037704A"/>
    <w:rsid w:val="003770BD"/>
    <w:rsid w:val="003771F9"/>
    <w:rsid w:val="003773ED"/>
    <w:rsid w:val="003777CE"/>
    <w:rsid w:val="00380818"/>
    <w:rsid w:val="00380964"/>
    <w:rsid w:val="003813F7"/>
    <w:rsid w:val="00381618"/>
    <w:rsid w:val="00381859"/>
    <w:rsid w:val="00381FFB"/>
    <w:rsid w:val="003830FE"/>
    <w:rsid w:val="003832CE"/>
    <w:rsid w:val="003834BD"/>
    <w:rsid w:val="003835F0"/>
    <w:rsid w:val="003838BD"/>
    <w:rsid w:val="00383CAD"/>
    <w:rsid w:val="00383E48"/>
    <w:rsid w:val="0038401D"/>
    <w:rsid w:val="00384611"/>
    <w:rsid w:val="00384719"/>
    <w:rsid w:val="00384750"/>
    <w:rsid w:val="00384994"/>
    <w:rsid w:val="003849BA"/>
    <w:rsid w:val="00384A4C"/>
    <w:rsid w:val="00384E05"/>
    <w:rsid w:val="00385A41"/>
    <w:rsid w:val="00385AF7"/>
    <w:rsid w:val="00386021"/>
    <w:rsid w:val="00386389"/>
    <w:rsid w:val="00386433"/>
    <w:rsid w:val="00386B20"/>
    <w:rsid w:val="00386BEE"/>
    <w:rsid w:val="00386C37"/>
    <w:rsid w:val="00387363"/>
    <w:rsid w:val="00387ADD"/>
    <w:rsid w:val="003900D2"/>
    <w:rsid w:val="00390388"/>
    <w:rsid w:val="0039060C"/>
    <w:rsid w:val="003906DF"/>
    <w:rsid w:val="00390D59"/>
    <w:rsid w:val="00390DA2"/>
    <w:rsid w:val="00390E95"/>
    <w:rsid w:val="00390EF7"/>
    <w:rsid w:val="003912AF"/>
    <w:rsid w:val="00391674"/>
    <w:rsid w:val="003919B1"/>
    <w:rsid w:val="00391EDF"/>
    <w:rsid w:val="00392301"/>
    <w:rsid w:val="0039277A"/>
    <w:rsid w:val="00392B29"/>
    <w:rsid w:val="0039348A"/>
    <w:rsid w:val="003934C0"/>
    <w:rsid w:val="0039406B"/>
    <w:rsid w:val="00394B19"/>
    <w:rsid w:val="00394E8B"/>
    <w:rsid w:val="00394F9F"/>
    <w:rsid w:val="003956FC"/>
    <w:rsid w:val="00395842"/>
    <w:rsid w:val="00395C52"/>
    <w:rsid w:val="00395E3F"/>
    <w:rsid w:val="003960A8"/>
    <w:rsid w:val="00396EA5"/>
    <w:rsid w:val="003971D2"/>
    <w:rsid w:val="00397D57"/>
    <w:rsid w:val="00397F75"/>
    <w:rsid w:val="003A0369"/>
    <w:rsid w:val="003A045F"/>
    <w:rsid w:val="003A050A"/>
    <w:rsid w:val="003A088B"/>
    <w:rsid w:val="003A161A"/>
    <w:rsid w:val="003A17E8"/>
    <w:rsid w:val="003A1815"/>
    <w:rsid w:val="003A19F6"/>
    <w:rsid w:val="003A1C4A"/>
    <w:rsid w:val="003A1F49"/>
    <w:rsid w:val="003A2386"/>
    <w:rsid w:val="003A3376"/>
    <w:rsid w:val="003A3515"/>
    <w:rsid w:val="003A356F"/>
    <w:rsid w:val="003A3876"/>
    <w:rsid w:val="003A3B3F"/>
    <w:rsid w:val="003A3C87"/>
    <w:rsid w:val="003A3D13"/>
    <w:rsid w:val="003A4382"/>
    <w:rsid w:val="003A4686"/>
    <w:rsid w:val="003A5773"/>
    <w:rsid w:val="003A59E5"/>
    <w:rsid w:val="003A5F83"/>
    <w:rsid w:val="003A615A"/>
    <w:rsid w:val="003A6482"/>
    <w:rsid w:val="003A64FB"/>
    <w:rsid w:val="003A6658"/>
    <w:rsid w:val="003A6748"/>
    <w:rsid w:val="003A67AA"/>
    <w:rsid w:val="003A6B47"/>
    <w:rsid w:val="003A6BC7"/>
    <w:rsid w:val="003A6C23"/>
    <w:rsid w:val="003A6EB6"/>
    <w:rsid w:val="003A70EE"/>
    <w:rsid w:val="003A73D6"/>
    <w:rsid w:val="003A761B"/>
    <w:rsid w:val="003A7B03"/>
    <w:rsid w:val="003A7BCB"/>
    <w:rsid w:val="003B0135"/>
    <w:rsid w:val="003B0477"/>
    <w:rsid w:val="003B06D7"/>
    <w:rsid w:val="003B0B67"/>
    <w:rsid w:val="003B100A"/>
    <w:rsid w:val="003B12AD"/>
    <w:rsid w:val="003B162E"/>
    <w:rsid w:val="003B16CE"/>
    <w:rsid w:val="003B1CE4"/>
    <w:rsid w:val="003B1D1E"/>
    <w:rsid w:val="003B1E84"/>
    <w:rsid w:val="003B2627"/>
    <w:rsid w:val="003B267D"/>
    <w:rsid w:val="003B3783"/>
    <w:rsid w:val="003B4149"/>
    <w:rsid w:val="003B4734"/>
    <w:rsid w:val="003B4E8A"/>
    <w:rsid w:val="003B5069"/>
    <w:rsid w:val="003B51B7"/>
    <w:rsid w:val="003B5BDE"/>
    <w:rsid w:val="003B62B3"/>
    <w:rsid w:val="003B63AD"/>
    <w:rsid w:val="003B645C"/>
    <w:rsid w:val="003B6601"/>
    <w:rsid w:val="003B66D9"/>
    <w:rsid w:val="003B706F"/>
    <w:rsid w:val="003B7C6B"/>
    <w:rsid w:val="003C0743"/>
    <w:rsid w:val="003C0AA6"/>
    <w:rsid w:val="003C11CD"/>
    <w:rsid w:val="003C15DD"/>
    <w:rsid w:val="003C1CF4"/>
    <w:rsid w:val="003C209B"/>
    <w:rsid w:val="003C2569"/>
    <w:rsid w:val="003C256F"/>
    <w:rsid w:val="003C2663"/>
    <w:rsid w:val="003C2791"/>
    <w:rsid w:val="003C2A34"/>
    <w:rsid w:val="003C30B6"/>
    <w:rsid w:val="003C30F5"/>
    <w:rsid w:val="003C3801"/>
    <w:rsid w:val="003C4840"/>
    <w:rsid w:val="003C4E4D"/>
    <w:rsid w:val="003C5341"/>
    <w:rsid w:val="003C5766"/>
    <w:rsid w:val="003C58E3"/>
    <w:rsid w:val="003C5E16"/>
    <w:rsid w:val="003C6492"/>
    <w:rsid w:val="003C65D8"/>
    <w:rsid w:val="003C66EA"/>
    <w:rsid w:val="003C6800"/>
    <w:rsid w:val="003C72BB"/>
    <w:rsid w:val="003C73FC"/>
    <w:rsid w:val="003C7D69"/>
    <w:rsid w:val="003D0CFB"/>
    <w:rsid w:val="003D1358"/>
    <w:rsid w:val="003D15BC"/>
    <w:rsid w:val="003D1785"/>
    <w:rsid w:val="003D20A3"/>
    <w:rsid w:val="003D319F"/>
    <w:rsid w:val="003D3E5A"/>
    <w:rsid w:val="003D4001"/>
    <w:rsid w:val="003D4568"/>
    <w:rsid w:val="003D4C2F"/>
    <w:rsid w:val="003D4D05"/>
    <w:rsid w:val="003D4DED"/>
    <w:rsid w:val="003D4DF0"/>
    <w:rsid w:val="003D5338"/>
    <w:rsid w:val="003D537D"/>
    <w:rsid w:val="003D546A"/>
    <w:rsid w:val="003D579E"/>
    <w:rsid w:val="003D5AB3"/>
    <w:rsid w:val="003D6C3B"/>
    <w:rsid w:val="003D6CD3"/>
    <w:rsid w:val="003D6D61"/>
    <w:rsid w:val="003D70A3"/>
    <w:rsid w:val="003D7181"/>
    <w:rsid w:val="003D7784"/>
    <w:rsid w:val="003D7D17"/>
    <w:rsid w:val="003E0600"/>
    <w:rsid w:val="003E09FE"/>
    <w:rsid w:val="003E14FC"/>
    <w:rsid w:val="003E18D9"/>
    <w:rsid w:val="003E1998"/>
    <w:rsid w:val="003E1CF5"/>
    <w:rsid w:val="003E20F3"/>
    <w:rsid w:val="003E240F"/>
    <w:rsid w:val="003E274E"/>
    <w:rsid w:val="003E2F0D"/>
    <w:rsid w:val="003E3201"/>
    <w:rsid w:val="003E3B73"/>
    <w:rsid w:val="003E44C1"/>
    <w:rsid w:val="003E4AF2"/>
    <w:rsid w:val="003E4BBF"/>
    <w:rsid w:val="003E516D"/>
    <w:rsid w:val="003E5478"/>
    <w:rsid w:val="003E5AC1"/>
    <w:rsid w:val="003E5C1D"/>
    <w:rsid w:val="003E5C23"/>
    <w:rsid w:val="003E601E"/>
    <w:rsid w:val="003E6308"/>
    <w:rsid w:val="003E6352"/>
    <w:rsid w:val="003E63C6"/>
    <w:rsid w:val="003E6A77"/>
    <w:rsid w:val="003E76E2"/>
    <w:rsid w:val="003E7D5C"/>
    <w:rsid w:val="003E7D99"/>
    <w:rsid w:val="003F02AC"/>
    <w:rsid w:val="003F02F9"/>
    <w:rsid w:val="003F08D7"/>
    <w:rsid w:val="003F08F4"/>
    <w:rsid w:val="003F09EE"/>
    <w:rsid w:val="003F0CA5"/>
    <w:rsid w:val="003F0DF6"/>
    <w:rsid w:val="003F1314"/>
    <w:rsid w:val="003F1344"/>
    <w:rsid w:val="003F135E"/>
    <w:rsid w:val="003F1BB9"/>
    <w:rsid w:val="003F20D1"/>
    <w:rsid w:val="003F246F"/>
    <w:rsid w:val="003F29EB"/>
    <w:rsid w:val="003F2D70"/>
    <w:rsid w:val="003F2D9F"/>
    <w:rsid w:val="003F34FE"/>
    <w:rsid w:val="003F42EC"/>
    <w:rsid w:val="003F4578"/>
    <w:rsid w:val="003F45CB"/>
    <w:rsid w:val="003F4E0A"/>
    <w:rsid w:val="003F50B6"/>
    <w:rsid w:val="003F643B"/>
    <w:rsid w:val="003F6BEE"/>
    <w:rsid w:val="003F73E3"/>
    <w:rsid w:val="003F7918"/>
    <w:rsid w:val="003F79AD"/>
    <w:rsid w:val="003F7A2B"/>
    <w:rsid w:val="003F7D23"/>
    <w:rsid w:val="00400175"/>
    <w:rsid w:val="00400377"/>
    <w:rsid w:val="00400463"/>
    <w:rsid w:val="00400595"/>
    <w:rsid w:val="0040144A"/>
    <w:rsid w:val="00401D95"/>
    <w:rsid w:val="00402072"/>
    <w:rsid w:val="00402895"/>
    <w:rsid w:val="00402B0C"/>
    <w:rsid w:val="00402E5B"/>
    <w:rsid w:val="0040331D"/>
    <w:rsid w:val="00403839"/>
    <w:rsid w:val="00403983"/>
    <w:rsid w:val="00403C4A"/>
    <w:rsid w:val="00403DA2"/>
    <w:rsid w:val="00403E1C"/>
    <w:rsid w:val="00404472"/>
    <w:rsid w:val="004044BF"/>
    <w:rsid w:val="00405018"/>
    <w:rsid w:val="00405710"/>
    <w:rsid w:val="0040575F"/>
    <w:rsid w:val="00405A4E"/>
    <w:rsid w:val="00405B1E"/>
    <w:rsid w:val="0040642A"/>
    <w:rsid w:val="00406514"/>
    <w:rsid w:val="00406857"/>
    <w:rsid w:val="00406C1D"/>
    <w:rsid w:val="00406ED5"/>
    <w:rsid w:val="004079B8"/>
    <w:rsid w:val="00407AB1"/>
    <w:rsid w:val="00407BC4"/>
    <w:rsid w:val="00407DFF"/>
    <w:rsid w:val="00410016"/>
    <w:rsid w:val="00410CDB"/>
    <w:rsid w:val="004114E7"/>
    <w:rsid w:val="00411A43"/>
    <w:rsid w:val="00412152"/>
    <w:rsid w:val="004130D4"/>
    <w:rsid w:val="004143D4"/>
    <w:rsid w:val="004149E5"/>
    <w:rsid w:val="00414FD2"/>
    <w:rsid w:val="00415CAA"/>
    <w:rsid w:val="00416161"/>
    <w:rsid w:val="00416324"/>
    <w:rsid w:val="004163E9"/>
    <w:rsid w:val="004164D1"/>
    <w:rsid w:val="00416A25"/>
    <w:rsid w:val="00416B5B"/>
    <w:rsid w:val="0041767A"/>
    <w:rsid w:val="004205A0"/>
    <w:rsid w:val="004207BF"/>
    <w:rsid w:val="00421279"/>
    <w:rsid w:val="004217C3"/>
    <w:rsid w:val="004218D1"/>
    <w:rsid w:val="00421C73"/>
    <w:rsid w:val="004223F0"/>
    <w:rsid w:val="00422A46"/>
    <w:rsid w:val="004235AA"/>
    <w:rsid w:val="004238F9"/>
    <w:rsid w:val="00423978"/>
    <w:rsid w:val="00423C95"/>
    <w:rsid w:val="00424478"/>
    <w:rsid w:val="0042527F"/>
    <w:rsid w:val="004252F1"/>
    <w:rsid w:val="00425625"/>
    <w:rsid w:val="00425709"/>
    <w:rsid w:val="00425876"/>
    <w:rsid w:val="004258CB"/>
    <w:rsid w:val="0042616F"/>
    <w:rsid w:val="00426850"/>
    <w:rsid w:val="00426E88"/>
    <w:rsid w:val="00426F50"/>
    <w:rsid w:val="004274A3"/>
    <w:rsid w:val="00427703"/>
    <w:rsid w:val="004277DA"/>
    <w:rsid w:val="0043088C"/>
    <w:rsid w:val="00430C53"/>
    <w:rsid w:val="00430E03"/>
    <w:rsid w:val="00430EA5"/>
    <w:rsid w:val="00431454"/>
    <w:rsid w:val="004318A3"/>
    <w:rsid w:val="004318B8"/>
    <w:rsid w:val="0043190A"/>
    <w:rsid w:val="00431D55"/>
    <w:rsid w:val="004322B5"/>
    <w:rsid w:val="00433105"/>
    <w:rsid w:val="00433A07"/>
    <w:rsid w:val="004340F0"/>
    <w:rsid w:val="004342D1"/>
    <w:rsid w:val="00434878"/>
    <w:rsid w:val="00434A6F"/>
    <w:rsid w:val="00434B9E"/>
    <w:rsid w:val="00434EA1"/>
    <w:rsid w:val="00434F0C"/>
    <w:rsid w:val="004354F7"/>
    <w:rsid w:val="00436302"/>
    <w:rsid w:val="00436368"/>
    <w:rsid w:val="00436496"/>
    <w:rsid w:val="00436505"/>
    <w:rsid w:val="00436A3A"/>
    <w:rsid w:val="00436C92"/>
    <w:rsid w:val="004372A1"/>
    <w:rsid w:val="00437352"/>
    <w:rsid w:val="004374E2"/>
    <w:rsid w:val="00437B1E"/>
    <w:rsid w:val="00437EC0"/>
    <w:rsid w:val="00440919"/>
    <w:rsid w:val="0044096A"/>
    <w:rsid w:val="00440AF6"/>
    <w:rsid w:val="004412B2"/>
    <w:rsid w:val="00441676"/>
    <w:rsid w:val="00442241"/>
    <w:rsid w:val="004432C5"/>
    <w:rsid w:val="00443628"/>
    <w:rsid w:val="00443ACB"/>
    <w:rsid w:val="00443C34"/>
    <w:rsid w:val="0044401D"/>
    <w:rsid w:val="00444165"/>
    <w:rsid w:val="00444332"/>
    <w:rsid w:val="004448FC"/>
    <w:rsid w:val="00444A9B"/>
    <w:rsid w:val="004452B1"/>
    <w:rsid w:val="004466F2"/>
    <w:rsid w:val="00446756"/>
    <w:rsid w:val="00447147"/>
    <w:rsid w:val="004479BA"/>
    <w:rsid w:val="00450387"/>
    <w:rsid w:val="00450506"/>
    <w:rsid w:val="00450655"/>
    <w:rsid w:val="00450869"/>
    <w:rsid w:val="0045089B"/>
    <w:rsid w:val="0045126B"/>
    <w:rsid w:val="004515A6"/>
    <w:rsid w:val="00451D62"/>
    <w:rsid w:val="00451D74"/>
    <w:rsid w:val="004527F2"/>
    <w:rsid w:val="004537FE"/>
    <w:rsid w:val="00453EC3"/>
    <w:rsid w:val="0045401C"/>
    <w:rsid w:val="004544E6"/>
    <w:rsid w:val="004546BD"/>
    <w:rsid w:val="0045477B"/>
    <w:rsid w:val="0045488A"/>
    <w:rsid w:val="00454B0E"/>
    <w:rsid w:val="004553CC"/>
    <w:rsid w:val="004558D2"/>
    <w:rsid w:val="00455A5E"/>
    <w:rsid w:val="004566BC"/>
    <w:rsid w:val="004569E9"/>
    <w:rsid w:val="004570C9"/>
    <w:rsid w:val="0045732A"/>
    <w:rsid w:val="0045790E"/>
    <w:rsid w:val="00457EF9"/>
    <w:rsid w:val="004604E8"/>
    <w:rsid w:val="0046081C"/>
    <w:rsid w:val="0046098E"/>
    <w:rsid w:val="00461390"/>
    <w:rsid w:val="00461C89"/>
    <w:rsid w:val="00462280"/>
    <w:rsid w:val="00462312"/>
    <w:rsid w:val="004631D6"/>
    <w:rsid w:val="00463A99"/>
    <w:rsid w:val="00463F34"/>
    <w:rsid w:val="004645BA"/>
    <w:rsid w:val="00464609"/>
    <w:rsid w:val="00464C71"/>
    <w:rsid w:val="00464C74"/>
    <w:rsid w:val="00464CD2"/>
    <w:rsid w:val="004652BE"/>
    <w:rsid w:val="004657DD"/>
    <w:rsid w:val="004658CE"/>
    <w:rsid w:val="004663F6"/>
    <w:rsid w:val="00466B9B"/>
    <w:rsid w:val="00466BC9"/>
    <w:rsid w:val="004704F2"/>
    <w:rsid w:val="00471AC1"/>
    <w:rsid w:val="00471CB6"/>
    <w:rsid w:val="00471E27"/>
    <w:rsid w:val="0047345A"/>
    <w:rsid w:val="004735DA"/>
    <w:rsid w:val="004736AE"/>
    <w:rsid w:val="00473757"/>
    <w:rsid w:val="00474078"/>
    <w:rsid w:val="004740F7"/>
    <w:rsid w:val="004742AE"/>
    <w:rsid w:val="00474CD3"/>
    <w:rsid w:val="00474F79"/>
    <w:rsid w:val="004753E2"/>
    <w:rsid w:val="00476352"/>
    <w:rsid w:val="0047638D"/>
    <w:rsid w:val="00476EEE"/>
    <w:rsid w:val="00477097"/>
    <w:rsid w:val="00477170"/>
    <w:rsid w:val="0047778F"/>
    <w:rsid w:val="00477D0C"/>
    <w:rsid w:val="00477DC0"/>
    <w:rsid w:val="00480E39"/>
    <w:rsid w:val="00481549"/>
    <w:rsid w:val="004817EF"/>
    <w:rsid w:val="004818DC"/>
    <w:rsid w:val="00481912"/>
    <w:rsid w:val="00482459"/>
    <w:rsid w:val="00482B03"/>
    <w:rsid w:val="00482C56"/>
    <w:rsid w:val="00482E4A"/>
    <w:rsid w:val="00482FA0"/>
    <w:rsid w:val="0048315C"/>
    <w:rsid w:val="00483B39"/>
    <w:rsid w:val="0048417C"/>
    <w:rsid w:val="004845FB"/>
    <w:rsid w:val="004848CC"/>
    <w:rsid w:val="00484D41"/>
    <w:rsid w:val="00484D42"/>
    <w:rsid w:val="00484E18"/>
    <w:rsid w:val="00484FB9"/>
    <w:rsid w:val="00485087"/>
    <w:rsid w:val="0048521E"/>
    <w:rsid w:val="00485620"/>
    <w:rsid w:val="0048567B"/>
    <w:rsid w:val="004857DE"/>
    <w:rsid w:val="00485BC7"/>
    <w:rsid w:val="004863CD"/>
    <w:rsid w:val="0048667D"/>
    <w:rsid w:val="004869D0"/>
    <w:rsid w:val="00486F4E"/>
    <w:rsid w:val="004870CE"/>
    <w:rsid w:val="0048736E"/>
    <w:rsid w:val="004873FA"/>
    <w:rsid w:val="0048775B"/>
    <w:rsid w:val="00487941"/>
    <w:rsid w:val="00487A79"/>
    <w:rsid w:val="00487BD6"/>
    <w:rsid w:val="004900E8"/>
    <w:rsid w:val="0049182C"/>
    <w:rsid w:val="00491957"/>
    <w:rsid w:val="00491CD9"/>
    <w:rsid w:val="004924D9"/>
    <w:rsid w:val="00492885"/>
    <w:rsid w:val="00492CD8"/>
    <w:rsid w:val="004939B2"/>
    <w:rsid w:val="00493DAB"/>
    <w:rsid w:val="00493DC1"/>
    <w:rsid w:val="00493EA3"/>
    <w:rsid w:val="004944AA"/>
    <w:rsid w:val="00494548"/>
    <w:rsid w:val="00494C91"/>
    <w:rsid w:val="004950F1"/>
    <w:rsid w:val="004960BE"/>
    <w:rsid w:val="004962EC"/>
    <w:rsid w:val="00496F23"/>
    <w:rsid w:val="00497A3C"/>
    <w:rsid w:val="00497EA3"/>
    <w:rsid w:val="004A00BD"/>
    <w:rsid w:val="004A0365"/>
    <w:rsid w:val="004A054D"/>
    <w:rsid w:val="004A2961"/>
    <w:rsid w:val="004A2A0B"/>
    <w:rsid w:val="004A2CE3"/>
    <w:rsid w:val="004A2D4E"/>
    <w:rsid w:val="004A2F7E"/>
    <w:rsid w:val="004A3265"/>
    <w:rsid w:val="004A396F"/>
    <w:rsid w:val="004A3FDB"/>
    <w:rsid w:val="004A4337"/>
    <w:rsid w:val="004A483F"/>
    <w:rsid w:val="004A4B71"/>
    <w:rsid w:val="004A4DFF"/>
    <w:rsid w:val="004A6C78"/>
    <w:rsid w:val="004A6D4B"/>
    <w:rsid w:val="004A6F5D"/>
    <w:rsid w:val="004A70B4"/>
    <w:rsid w:val="004A72F2"/>
    <w:rsid w:val="004A736B"/>
    <w:rsid w:val="004A7854"/>
    <w:rsid w:val="004A7C24"/>
    <w:rsid w:val="004B0518"/>
    <w:rsid w:val="004B19B8"/>
    <w:rsid w:val="004B2617"/>
    <w:rsid w:val="004B2CA4"/>
    <w:rsid w:val="004B2FE4"/>
    <w:rsid w:val="004B32D5"/>
    <w:rsid w:val="004B3ADE"/>
    <w:rsid w:val="004B4D2B"/>
    <w:rsid w:val="004B4EDE"/>
    <w:rsid w:val="004B53D6"/>
    <w:rsid w:val="004B59EE"/>
    <w:rsid w:val="004B5A68"/>
    <w:rsid w:val="004B6067"/>
    <w:rsid w:val="004B783F"/>
    <w:rsid w:val="004B7A03"/>
    <w:rsid w:val="004B7A75"/>
    <w:rsid w:val="004B7D1A"/>
    <w:rsid w:val="004C11AC"/>
    <w:rsid w:val="004C1411"/>
    <w:rsid w:val="004C1F7A"/>
    <w:rsid w:val="004C2B49"/>
    <w:rsid w:val="004C2B68"/>
    <w:rsid w:val="004C2BF2"/>
    <w:rsid w:val="004C2CEB"/>
    <w:rsid w:val="004C2D88"/>
    <w:rsid w:val="004C2F61"/>
    <w:rsid w:val="004C37C8"/>
    <w:rsid w:val="004C3D24"/>
    <w:rsid w:val="004C3D90"/>
    <w:rsid w:val="004C43E4"/>
    <w:rsid w:val="004C4AAB"/>
    <w:rsid w:val="004C4BA7"/>
    <w:rsid w:val="004C4EDC"/>
    <w:rsid w:val="004C58A3"/>
    <w:rsid w:val="004C5A39"/>
    <w:rsid w:val="004C5BCB"/>
    <w:rsid w:val="004C6B19"/>
    <w:rsid w:val="004C6C43"/>
    <w:rsid w:val="004C75AE"/>
    <w:rsid w:val="004C7944"/>
    <w:rsid w:val="004C7ABD"/>
    <w:rsid w:val="004D0440"/>
    <w:rsid w:val="004D0B0B"/>
    <w:rsid w:val="004D0CA5"/>
    <w:rsid w:val="004D0F7C"/>
    <w:rsid w:val="004D1691"/>
    <w:rsid w:val="004D1A09"/>
    <w:rsid w:val="004D2401"/>
    <w:rsid w:val="004D278A"/>
    <w:rsid w:val="004D2BBF"/>
    <w:rsid w:val="004D2D41"/>
    <w:rsid w:val="004D2E8A"/>
    <w:rsid w:val="004D3614"/>
    <w:rsid w:val="004D3945"/>
    <w:rsid w:val="004D3FA6"/>
    <w:rsid w:val="004D418C"/>
    <w:rsid w:val="004D4541"/>
    <w:rsid w:val="004D4B82"/>
    <w:rsid w:val="004D5312"/>
    <w:rsid w:val="004D56E0"/>
    <w:rsid w:val="004D5CA8"/>
    <w:rsid w:val="004D5DC0"/>
    <w:rsid w:val="004D627A"/>
    <w:rsid w:val="004D7826"/>
    <w:rsid w:val="004D7CF6"/>
    <w:rsid w:val="004E01DC"/>
    <w:rsid w:val="004E0366"/>
    <w:rsid w:val="004E04CF"/>
    <w:rsid w:val="004E0B9C"/>
    <w:rsid w:val="004E1079"/>
    <w:rsid w:val="004E11DF"/>
    <w:rsid w:val="004E142C"/>
    <w:rsid w:val="004E2177"/>
    <w:rsid w:val="004E2E4D"/>
    <w:rsid w:val="004E34E6"/>
    <w:rsid w:val="004E3601"/>
    <w:rsid w:val="004E3677"/>
    <w:rsid w:val="004E37D9"/>
    <w:rsid w:val="004E3C96"/>
    <w:rsid w:val="004E3EE1"/>
    <w:rsid w:val="004E42EF"/>
    <w:rsid w:val="004E4776"/>
    <w:rsid w:val="004E4B3A"/>
    <w:rsid w:val="004E4B44"/>
    <w:rsid w:val="004E5802"/>
    <w:rsid w:val="004E58D3"/>
    <w:rsid w:val="004E5C85"/>
    <w:rsid w:val="004E5DED"/>
    <w:rsid w:val="004E6D13"/>
    <w:rsid w:val="004E6D5B"/>
    <w:rsid w:val="004E7DA7"/>
    <w:rsid w:val="004E7ED5"/>
    <w:rsid w:val="004F051B"/>
    <w:rsid w:val="004F066C"/>
    <w:rsid w:val="004F0A86"/>
    <w:rsid w:val="004F0D88"/>
    <w:rsid w:val="004F10A0"/>
    <w:rsid w:val="004F1229"/>
    <w:rsid w:val="004F1776"/>
    <w:rsid w:val="004F1BA4"/>
    <w:rsid w:val="004F3280"/>
    <w:rsid w:val="004F3530"/>
    <w:rsid w:val="004F39BA"/>
    <w:rsid w:val="004F3E1E"/>
    <w:rsid w:val="004F4161"/>
    <w:rsid w:val="004F446C"/>
    <w:rsid w:val="004F476D"/>
    <w:rsid w:val="004F4F95"/>
    <w:rsid w:val="004F52CE"/>
    <w:rsid w:val="004F5939"/>
    <w:rsid w:val="004F5DC6"/>
    <w:rsid w:val="004F5F19"/>
    <w:rsid w:val="004F610A"/>
    <w:rsid w:val="004F66D0"/>
    <w:rsid w:val="004F6BE3"/>
    <w:rsid w:val="004F71CB"/>
    <w:rsid w:val="004F7B01"/>
    <w:rsid w:val="004F7B9F"/>
    <w:rsid w:val="0050089D"/>
    <w:rsid w:val="00500B55"/>
    <w:rsid w:val="005015F0"/>
    <w:rsid w:val="00501C28"/>
    <w:rsid w:val="00502AC9"/>
    <w:rsid w:val="0050337E"/>
    <w:rsid w:val="00503B95"/>
    <w:rsid w:val="00503C20"/>
    <w:rsid w:val="005049E7"/>
    <w:rsid w:val="00505276"/>
    <w:rsid w:val="00505320"/>
    <w:rsid w:val="00505745"/>
    <w:rsid w:val="00505858"/>
    <w:rsid w:val="00506037"/>
    <w:rsid w:val="005060D4"/>
    <w:rsid w:val="00506356"/>
    <w:rsid w:val="005070DC"/>
    <w:rsid w:val="00507255"/>
    <w:rsid w:val="0050785D"/>
    <w:rsid w:val="00507882"/>
    <w:rsid w:val="00507BAB"/>
    <w:rsid w:val="0051009F"/>
    <w:rsid w:val="00510143"/>
    <w:rsid w:val="005101DB"/>
    <w:rsid w:val="00510201"/>
    <w:rsid w:val="0051039E"/>
    <w:rsid w:val="0051058D"/>
    <w:rsid w:val="00510622"/>
    <w:rsid w:val="00510B26"/>
    <w:rsid w:val="00510CD9"/>
    <w:rsid w:val="00510F9D"/>
    <w:rsid w:val="005110A1"/>
    <w:rsid w:val="005119AE"/>
    <w:rsid w:val="00511CF9"/>
    <w:rsid w:val="0051225A"/>
    <w:rsid w:val="0051301A"/>
    <w:rsid w:val="005138E8"/>
    <w:rsid w:val="0051392E"/>
    <w:rsid w:val="005146DA"/>
    <w:rsid w:val="00514D82"/>
    <w:rsid w:val="00514DF7"/>
    <w:rsid w:val="00515472"/>
    <w:rsid w:val="00515AD6"/>
    <w:rsid w:val="00515F36"/>
    <w:rsid w:val="00515FA3"/>
    <w:rsid w:val="0051638E"/>
    <w:rsid w:val="005163C6"/>
    <w:rsid w:val="00517090"/>
    <w:rsid w:val="005170A2"/>
    <w:rsid w:val="005178FF"/>
    <w:rsid w:val="005179D1"/>
    <w:rsid w:val="00517BC9"/>
    <w:rsid w:val="00517E5E"/>
    <w:rsid w:val="00520223"/>
    <w:rsid w:val="005207F1"/>
    <w:rsid w:val="00520BFF"/>
    <w:rsid w:val="00521F63"/>
    <w:rsid w:val="00522093"/>
    <w:rsid w:val="0052275D"/>
    <w:rsid w:val="005236D3"/>
    <w:rsid w:val="005237B7"/>
    <w:rsid w:val="0052395B"/>
    <w:rsid w:val="00523D4F"/>
    <w:rsid w:val="00524551"/>
    <w:rsid w:val="005249AE"/>
    <w:rsid w:val="00524CD6"/>
    <w:rsid w:val="005262AD"/>
    <w:rsid w:val="00526AB0"/>
    <w:rsid w:val="00526B0E"/>
    <w:rsid w:val="00527426"/>
    <w:rsid w:val="0052769D"/>
    <w:rsid w:val="00527851"/>
    <w:rsid w:val="00527C54"/>
    <w:rsid w:val="00527D89"/>
    <w:rsid w:val="00527DE2"/>
    <w:rsid w:val="00530469"/>
    <w:rsid w:val="00530CE2"/>
    <w:rsid w:val="005317A7"/>
    <w:rsid w:val="00531FA0"/>
    <w:rsid w:val="005321C4"/>
    <w:rsid w:val="00532EDE"/>
    <w:rsid w:val="0053393F"/>
    <w:rsid w:val="00533F15"/>
    <w:rsid w:val="00534462"/>
    <w:rsid w:val="00534586"/>
    <w:rsid w:val="00534ABE"/>
    <w:rsid w:val="00535668"/>
    <w:rsid w:val="00535DCC"/>
    <w:rsid w:val="0053610E"/>
    <w:rsid w:val="00536376"/>
    <w:rsid w:val="00536FB3"/>
    <w:rsid w:val="0053703A"/>
    <w:rsid w:val="00537405"/>
    <w:rsid w:val="00537580"/>
    <w:rsid w:val="0053760D"/>
    <w:rsid w:val="00537927"/>
    <w:rsid w:val="00537D1B"/>
    <w:rsid w:val="00537F05"/>
    <w:rsid w:val="0054062D"/>
    <w:rsid w:val="00542307"/>
    <w:rsid w:val="005429CB"/>
    <w:rsid w:val="00542D1B"/>
    <w:rsid w:val="00542D2B"/>
    <w:rsid w:val="00542DC5"/>
    <w:rsid w:val="00542DE8"/>
    <w:rsid w:val="00542EE2"/>
    <w:rsid w:val="005439F6"/>
    <w:rsid w:val="00543BDA"/>
    <w:rsid w:val="00543F00"/>
    <w:rsid w:val="00544405"/>
    <w:rsid w:val="00544FED"/>
    <w:rsid w:val="00545021"/>
    <w:rsid w:val="0054524D"/>
    <w:rsid w:val="005452E8"/>
    <w:rsid w:val="005458EC"/>
    <w:rsid w:val="00545B26"/>
    <w:rsid w:val="005461A9"/>
    <w:rsid w:val="00550309"/>
    <w:rsid w:val="005503E5"/>
    <w:rsid w:val="00551063"/>
    <w:rsid w:val="00551147"/>
    <w:rsid w:val="0055118B"/>
    <w:rsid w:val="00551A02"/>
    <w:rsid w:val="00551F58"/>
    <w:rsid w:val="0055203A"/>
    <w:rsid w:val="0055231C"/>
    <w:rsid w:val="00552496"/>
    <w:rsid w:val="00552989"/>
    <w:rsid w:val="00552A4E"/>
    <w:rsid w:val="00552E04"/>
    <w:rsid w:val="00554133"/>
    <w:rsid w:val="005543F1"/>
    <w:rsid w:val="00554CDF"/>
    <w:rsid w:val="00555343"/>
    <w:rsid w:val="005553BE"/>
    <w:rsid w:val="00555882"/>
    <w:rsid w:val="00555A60"/>
    <w:rsid w:val="00555AD8"/>
    <w:rsid w:val="00555E9E"/>
    <w:rsid w:val="00556320"/>
    <w:rsid w:val="00556A07"/>
    <w:rsid w:val="005579B9"/>
    <w:rsid w:val="00557A2A"/>
    <w:rsid w:val="00557F7A"/>
    <w:rsid w:val="005604AF"/>
    <w:rsid w:val="0056082D"/>
    <w:rsid w:val="00560E0A"/>
    <w:rsid w:val="00560F13"/>
    <w:rsid w:val="00561297"/>
    <w:rsid w:val="00561FD3"/>
    <w:rsid w:val="00562102"/>
    <w:rsid w:val="005622D9"/>
    <w:rsid w:val="005623C8"/>
    <w:rsid w:val="00562835"/>
    <w:rsid w:val="0056293A"/>
    <w:rsid w:val="00562A98"/>
    <w:rsid w:val="00562BB3"/>
    <w:rsid w:val="00563369"/>
    <w:rsid w:val="0056342D"/>
    <w:rsid w:val="005634AE"/>
    <w:rsid w:val="00563644"/>
    <w:rsid w:val="005639B6"/>
    <w:rsid w:val="00563F0D"/>
    <w:rsid w:val="00564404"/>
    <w:rsid w:val="0056452C"/>
    <w:rsid w:val="00565E40"/>
    <w:rsid w:val="00565F29"/>
    <w:rsid w:val="005660A0"/>
    <w:rsid w:val="00566108"/>
    <w:rsid w:val="005661E4"/>
    <w:rsid w:val="0056664D"/>
    <w:rsid w:val="00566744"/>
    <w:rsid w:val="00566C3B"/>
    <w:rsid w:val="00566E11"/>
    <w:rsid w:val="00567251"/>
    <w:rsid w:val="005679C3"/>
    <w:rsid w:val="00567DEE"/>
    <w:rsid w:val="00570665"/>
    <w:rsid w:val="0057088D"/>
    <w:rsid w:val="00570F75"/>
    <w:rsid w:val="005714A6"/>
    <w:rsid w:val="005715E1"/>
    <w:rsid w:val="00571D12"/>
    <w:rsid w:val="00571E5A"/>
    <w:rsid w:val="005720EC"/>
    <w:rsid w:val="005721E6"/>
    <w:rsid w:val="00572718"/>
    <w:rsid w:val="00572C37"/>
    <w:rsid w:val="0057300B"/>
    <w:rsid w:val="005732D2"/>
    <w:rsid w:val="0057336A"/>
    <w:rsid w:val="00573962"/>
    <w:rsid w:val="00574622"/>
    <w:rsid w:val="005746D4"/>
    <w:rsid w:val="00574B9C"/>
    <w:rsid w:val="00574FB6"/>
    <w:rsid w:val="00575110"/>
    <w:rsid w:val="005752DE"/>
    <w:rsid w:val="00575611"/>
    <w:rsid w:val="0057571F"/>
    <w:rsid w:val="00575959"/>
    <w:rsid w:val="00575E10"/>
    <w:rsid w:val="00575E49"/>
    <w:rsid w:val="00576E45"/>
    <w:rsid w:val="00576FA5"/>
    <w:rsid w:val="00576FBA"/>
    <w:rsid w:val="00577390"/>
    <w:rsid w:val="00577B8A"/>
    <w:rsid w:val="00580D94"/>
    <w:rsid w:val="005818AE"/>
    <w:rsid w:val="00581918"/>
    <w:rsid w:val="00581930"/>
    <w:rsid w:val="00581B13"/>
    <w:rsid w:val="00581FC3"/>
    <w:rsid w:val="00582371"/>
    <w:rsid w:val="00582802"/>
    <w:rsid w:val="0058318F"/>
    <w:rsid w:val="00583402"/>
    <w:rsid w:val="005836AE"/>
    <w:rsid w:val="00583D42"/>
    <w:rsid w:val="00584270"/>
    <w:rsid w:val="005845D4"/>
    <w:rsid w:val="00584697"/>
    <w:rsid w:val="005849D2"/>
    <w:rsid w:val="00584B7E"/>
    <w:rsid w:val="00584E3F"/>
    <w:rsid w:val="0058599C"/>
    <w:rsid w:val="00585D0D"/>
    <w:rsid w:val="0058606E"/>
    <w:rsid w:val="0058618E"/>
    <w:rsid w:val="005863AF"/>
    <w:rsid w:val="005867A1"/>
    <w:rsid w:val="00587493"/>
    <w:rsid w:val="0058761F"/>
    <w:rsid w:val="00587E16"/>
    <w:rsid w:val="00587F24"/>
    <w:rsid w:val="005907AA"/>
    <w:rsid w:val="00590856"/>
    <w:rsid w:val="005912D9"/>
    <w:rsid w:val="00591BF2"/>
    <w:rsid w:val="00591E32"/>
    <w:rsid w:val="00591EC6"/>
    <w:rsid w:val="005920FB"/>
    <w:rsid w:val="00592329"/>
    <w:rsid w:val="005925D4"/>
    <w:rsid w:val="00592F4C"/>
    <w:rsid w:val="00593068"/>
    <w:rsid w:val="0059334C"/>
    <w:rsid w:val="00593506"/>
    <w:rsid w:val="00593553"/>
    <w:rsid w:val="00593C43"/>
    <w:rsid w:val="00593F79"/>
    <w:rsid w:val="00594395"/>
    <w:rsid w:val="00594713"/>
    <w:rsid w:val="00594773"/>
    <w:rsid w:val="00594DEC"/>
    <w:rsid w:val="0059508A"/>
    <w:rsid w:val="005951BE"/>
    <w:rsid w:val="005956D9"/>
    <w:rsid w:val="00595832"/>
    <w:rsid w:val="0059597B"/>
    <w:rsid w:val="00595C19"/>
    <w:rsid w:val="005960B5"/>
    <w:rsid w:val="005963DC"/>
    <w:rsid w:val="00596705"/>
    <w:rsid w:val="00597C64"/>
    <w:rsid w:val="005A0BB2"/>
    <w:rsid w:val="005A0EF8"/>
    <w:rsid w:val="005A0FA5"/>
    <w:rsid w:val="005A1450"/>
    <w:rsid w:val="005A17F6"/>
    <w:rsid w:val="005A1894"/>
    <w:rsid w:val="005A1EA7"/>
    <w:rsid w:val="005A248A"/>
    <w:rsid w:val="005A2671"/>
    <w:rsid w:val="005A2AD3"/>
    <w:rsid w:val="005A33D4"/>
    <w:rsid w:val="005A3C30"/>
    <w:rsid w:val="005A4976"/>
    <w:rsid w:val="005A4B59"/>
    <w:rsid w:val="005A4FA6"/>
    <w:rsid w:val="005A5247"/>
    <w:rsid w:val="005A586A"/>
    <w:rsid w:val="005A5897"/>
    <w:rsid w:val="005A5A27"/>
    <w:rsid w:val="005A5BAD"/>
    <w:rsid w:val="005A6259"/>
    <w:rsid w:val="005A7971"/>
    <w:rsid w:val="005B0A81"/>
    <w:rsid w:val="005B0B45"/>
    <w:rsid w:val="005B130D"/>
    <w:rsid w:val="005B1B98"/>
    <w:rsid w:val="005B1D6D"/>
    <w:rsid w:val="005B1ED3"/>
    <w:rsid w:val="005B1FBA"/>
    <w:rsid w:val="005B3010"/>
    <w:rsid w:val="005B3092"/>
    <w:rsid w:val="005B3757"/>
    <w:rsid w:val="005B3856"/>
    <w:rsid w:val="005B3A2E"/>
    <w:rsid w:val="005B3CE4"/>
    <w:rsid w:val="005B436B"/>
    <w:rsid w:val="005B44FC"/>
    <w:rsid w:val="005B4501"/>
    <w:rsid w:val="005B5488"/>
    <w:rsid w:val="005B5505"/>
    <w:rsid w:val="005B5B80"/>
    <w:rsid w:val="005B5DEA"/>
    <w:rsid w:val="005B6787"/>
    <w:rsid w:val="005B6893"/>
    <w:rsid w:val="005B6F04"/>
    <w:rsid w:val="005B70D3"/>
    <w:rsid w:val="005B734C"/>
    <w:rsid w:val="005B7864"/>
    <w:rsid w:val="005C0018"/>
    <w:rsid w:val="005C0031"/>
    <w:rsid w:val="005C0524"/>
    <w:rsid w:val="005C1111"/>
    <w:rsid w:val="005C130E"/>
    <w:rsid w:val="005C13D9"/>
    <w:rsid w:val="005C1EB8"/>
    <w:rsid w:val="005C2552"/>
    <w:rsid w:val="005C2FDE"/>
    <w:rsid w:val="005C3236"/>
    <w:rsid w:val="005C32D5"/>
    <w:rsid w:val="005C3B6A"/>
    <w:rsid w:val="005C3CC6"/>
    <w:rsid w:val="005C3F54"/>
    <w:rsid w:val="005C43DD"/>
    <w:rsid w:val="005C4BC5"/>
    <w:rsid w:val="005C5128"/>
    <w:rsid w:val="005C5153"/>
    <w:rsid w:val="005C5A7C"/>
    <w:rsid w:val="005C5DFB"/>
    <w:rsid w:val="005C64EF"/>
    <w:rsid w:val="005C6959"/>
    <w:rsid w:val="005C7093"/>
    <w:rsid w:val="005C7467"/>
    <w:rsid w:val="005C7691"/>
    <w:rsid w:val="005C76D8"/>
    <w:rsid w:val="005C7AA2"/>
    <w:rsid w:val="005C7DAD"/>
    <w:rsid w:val="005D02EA"/>
    <w:rsid w:val="005D0459"/>
    <w:rsid w:val="005D082B"/>
    <w:rsid w:val="005D0A2E"/>
    <w:rsid w:val="005D0DA2"/>
    <w:rsid w:val="005D1C27"/>
    <w:rsid w:val="005D1EC6"/>
    <w:rsid w:val="005D2353"/>
    <w:rsid w:val="005D27D3"/>
    <w:rsid w:val="005D28F2"/>
    <w:rsid w:val="005D2F24"/>
    <w:rsid w:val="005D2F4C"/>
    <w:rsid w:val="005D3036"/>
    <w:rsid w:val="005D31D3"/>
    <w:rsid w:val="005D3846"/>
    <w:rsid w:val="005D427F"/>
    <w:rsid w:val="005D42F9"/>
    <w:rsid w:val="005D4421"/>
    <w:rsid w:val="005D45A1"/>
    <w:rsid w:val="005D4700"/>
    <w:rsid w:val="005D524E"/>
    <w:rsid w:val="005D5ED4"/>
    <w:rsid w:val="005D6338"/>
    <w:rsid w:val="005D6FDC"/>
    <w:rsid w:val="005D705D"/>
    <w:rsid w:val="005D7376"/>
    <w:rsid w:val="005D7D13"/>
    <w:rsid w:val="005D7EE6"/>
    <w:rsid w:val="005D7FB5"/>
    <w:rsid w:val="005E0216"/>
    <w:rsid w:val="005E076E"/>
    <w:rsid w:val="005E089F"/>
    <w:rsid w:val="005E0F88"/>
    <w:rsid w:val="005E188A"/>
    <w:rsid w:val="005E1F90"/>
    <w:rsid w:val="005E2A6D"/>
    <w:rsid w:val="005E2AC6"/>
    <w:rsid w:val="005E2C05"/>
    <w:rsid w:val="005E3453"/>
    <w:rsid w:val="005E3722"/>
    <w:rsid w:val="005E3DEB"/>
    <w:rsid w:val="005E4277"/>
    <w:rsid w:val="005E4480"/>
    <w:rsid w:val="005E548B"/>
    <w:rsid w:val="005E58C2"/>
    <w:rsid w:val="005E58D0"/>
    <w:rsid w:val="005E5E7E"/>
    <w:rsid w:val="005E6265"/>
    <w:rsid w:val="005E66D4"/>
    <w:rsid w:val="005E6A64"/>
    <w:rsid w:val="005E6C3C"/>
    <w:rsid w:val="005F0DA7"/>
    <w:rsid w:val="005F0F2F"/>
    <w:rsid w:val="005F13FD"/>
    <w:rsid w:val="005F1ADD"/>
    <w:rsid w:val="005F1D5D"/>
    <w:rsid w:val="005F2018"/>
    <w:rsid w:val="005F2841"/>
    <w:rsid w:val="005F2A75"/>
    <w:rsid w:val="005F2F23"/>
    <w:rsid w:val="005F34B6"/>
    <w:rsid w:val="005F39C9"/>
    <w:rsid w:val="005F3A15"/>
    <w:rsid w:val="005F3E15"/>
    <w:rsid w:val="005F4754"/>
    <w:rsid w:val="005F4877"/>
    <w:rsid w:val="005F4C03"/>
    <w:rsid w:val="005F5027"/>
    <w:rsid w:val="005F5342"/>
    <w:rsid w:val="005F55E7"/>
    <w:rsid w:val="005F5A8E"/>
    <w:rsid w:val="005F6823"/>
    <w:rsid w:val="005F68BD"/>
    <w:rsid w:val="005F6C55"/>
    <w:rsid w:val="005F6F91"/>
    <w:rsid w:val="005F710A"/>
    <w:rsid w:val="005F79C9"/>
    <w:rsid w:val="005F7FA5"/>
    <w:rsid w:val="005F7FDA"/>
    <w:rsid w:val="006005D8"/>
    <w:rsid w:val="006005FB"/>
    <w:rsid w:val="006008AA"/>
    <w:rsid w:val="00600CB4"/>
    <w:rsid w:val="00601009"/>
    <w:rsid w:val="00601451"/>
    <w:rsid w:val="00601571"/>
    <w:rsid w:val="00601938"/>
    <w:rsid w:val="00601C1D"/>
    <w:rsid w:val="00601FB5"/>
    <w:rsid w:val="00602403"/>
    <w:rsid w:val="0060250A"/>
    <w:rsid w:val="006028EB"/>
    <w:rsid w:val="00602986"/>
    <w:rsid w:val="006030A2"/>
    <w:rsid w:val="00603263"/>
    <w:rsid w:val="0060396B"/>
    <w:rsid w:val="00603D6A"/>
    <w:rsid w:val="006049B6"/>
    <w:rsid w:val="00605072"/>
    <w:rsid w:val="006051DF"/>
    <w:rsid w:val="0060556C"/>
    <w:rsid w:val="00605C88"/>
    <w:rsid w:val="00605D4C"/>
    <w:rsid w:val="00606309"/>
    <w:rsid w:val="00606B34"/>
    <w:rsid w:val="006070A3"/>
    <w:rsid w:val="00607286"/>
    <w:rsid w:val="006078A5"/>
    <w:rsid w:val="00610169"/>
    <w:rsid w:val="00610311"/>
    <w:rsid w:val="006105EF"/>
    <w:rsid w:val="00610C3D"/>
    <w:rsid w:val="00610E23"/>
    <w:rsid w:val="00610EE3"/>
    <w:rsid w:val="00611438"/>
    <w:rsid w:val="0061158C"/>
    <w:rsid w:val="006115E4"/>
    <w:rsid w:val="00611BC2"/>
    <w:rsid w:val="006121A9"/>
    <w:rsid w:val="00613380"/>
    <w:rsid w:val="006134CA"/>
    <w:rsid w:val="006135C6"/>
    <w:rsid w:val="006137AB"/>
    <w:rsid w:val="00613C9C"/>
    <w:rsid w:val="00614083"/>
    <w:rsid w:val="00614182"/>
    <w:rsid w:val="006142C0"/>
    <w:rsid w:val="00614307"/>
    <w:rsid w:val="00614580"/>
    <w:rsid w:val="0061514D"/>
    <w:rsid w:val="0061664E"/>
    <w:rsid w:val="006167B0"/>
    <w:rsid w:val="00616920"/>
    <w:rsid w:val="00616A3E"/>
    <w:rsid w:val="00617559"/>
    <w:rsid w:val="006201BB"/>
    <w:rsid w:val="00620399"/>
    <w:rsid w:val="00620E19"/>
    <w:rsid w:val="00620E7C"/>
    <w:rsid w:val="006215FE"/>
    <w:rsid w:val="00621682"/>
    <w:rsid w:val="00621872"/>
    <w:rsid w:val="006218D9"/>
    <w:rsid w:val="006220A3"/>
    <w:rsid w:val="00622408"/>
    <w:rsid w:val="006224E2"/>
    <w:rsid w:val="0062264B"/>
    <w:rsid w:val="00622845"/>
    <w:rsid w:val="0062331F"/>
    <w:rsid w:val="006235F9"/>
    <w:rsid w:val="00623814"/>
    <w:rsid w:val="00623D1F"/>
    <w:rsid w:val="00623E6A"/>
    <w:rsid w:val="00623EA8"/>
    <w:rsid w:val="00623ED9"/>
    <w:rsid w:val="0062413E"/>
    <w:rsid w:val="00624208"/>
    <w:rsid w:val="006242DE"/>
    <w:rsid w:val="00624442"/>
    <w:rsid w:val="006248F8"/>
    <w:rsid w:val="00624EE2"/>
    <w:rsid w:val="0062522E"/>
    <w:rsid w:val="00625499"/>
    <w:rsid w:val="00625859"/>
    <w:rsid w:val="006258CB"/>
    <w:rsid w:val="00625BFA"/>
    <w:rsid w:val="0062612C"/>
    <w:rsid w:val="006265C7"/>
    <w:rsid w:val="006266F0"/>
    <w:rsid w:val="0062695D"/>
    <w:rsid w:val="00626AC9"/>
    <w:rsid w:val="00626CF9"/>
    <w:rsid w:val="00626F84"/>
    <w:rsid w:val="00627279"/>
    <w:rsid w:val="006310B8"/>
    <w:rsid w:val="0063110A"/>
    <w:rsid w:val="006316A7"/>
    <w:rsid w:val="00631836"/>
    <w:rsid w:val="0063195F"/>
    <w:rsid w:val="00631983"/>
    <w:rsid w:val="00631CB7"/>
    <w:rsid w:val="00631D23"/>
    <w:rsid w:val="0063207E"/>
    <w:rsid w:val="0063225B"/>
    <w:rsid w:val="00632354"/>
    <w:rsid w:val="006324D0"/>
    <w:rsid w:val="006334E0"/>
    <w:rsid w:val="00634104"/>
    <w:rsid w:val="00634A42"/>
    <w:rsid w:val="00634D24"/>
    <w:rsid w:val="00635B70"/>
    <w:rsid w:val="00635CF7"/>
    <w:rsid w:val="006366C9"/>
    <w:rsid w:val="00636A19"/>
    <w:rsid w:val="00636BC2"/>
    <w:rsid w:val="006373CA"/>
    <w:rsid w:val="006377F5"/>
    <w:rsid w:val="00637B90"/>
    <w:rsid w:val="00637DAC"/>
    <w:rsid w:val="00640454"/>
    <w:rsid w:val="00640B18"/>
    <w:rsid w:val="00641117"/>
    <w:rsid w:val="006413E4"/>
    <w:rsid w:val="00641D96"/>
    <w:rsid w:val="00641ECE"/>
    <w:rsid w:val="00642500"/>
    <w:rsid w:val="00642C29"/>
    <w:rsid w:val="00642C89"/>
    <w:rsid w:val="006435EC"/>
    <w:rsid w:val="00644440"/>
    <w:rsid w:val="00644516"/>
    <w:rsid w:val="00645295"/>
    <w:rsid w:val="006457F3"/>
    <w:rsid w:val="00645955"/>
    <w:rsid w:val="00645A8E"/>
    <w:rsid w:val="00646B80"/>
    <w:rsid w:val="00646C1E"/>
    <w:rsid w:val="006470E6"/>
    <w:rsid w:val="006478C5"/>
    <w:rsid w:val="00647952"/>
    <w:rsid w:val="00647ED0"/>
    <w:rsid w:val="00650053"/>
    <w:rsid w:val="006502EC"/>
    <w:rsid w:val="00650924"/>
    <w:rsid w:val="0065103A"/>
    <w:rsid w:val="00651357"/>
    <w:rsid w:val="006513B9"/>
    <w:rsid w:val="00651923"/>
    <w:rsid w:val="00651E02"/>
    <w:rsid w:val="00652E4B"/>
    <w:rsid w:val="00652EE2"/>
    <w:rsid w:val="00653664"/>
    <w:rsid w:val="00653D3B"/>
    <w:rsid w:val="00653F5B"/>
    <w:rsid w:val="0065526D"/>
    <w:rsid w:val="006555C3"/>
    <w:rsid w:val="00656059"/>
    <w:rsid w:val="006561A1"/>
    <w:rsid w:val="00656610"/>
    <w:rsid w:val="006572FB"/>
    <w:rsid w:val="006603DC"/>
    <w:rsid w:val="006608F7"/>
    <w:rsid w:val="006609B5"/>
    <w:rsid w:val="00660AC6"/>
    <w:rsid w:val="00660BB9"/>
    <w:rsid w:val="00660D1F"/>
    <w:rsid w:val="00660FA4"/>
    <w:rsid w:val="0066160B"/>
    <w:rsid w:val="00662140"/>
    <w:rsid w:val="0066294C"/>
    <w:rsid w:val="00662EF3"/>
    <w:rsid w:val="00663028"/>
    <w:rsid w:val="006631F7"/>
    <w:rsid w:val="00663244"/>
    <w:rsid w:val="00663270"/>
    <w:rsid w:val="00663296"/>
    <w:rsid w:val="0066346A"/>
    <w:rsid w:val="006635D7"/>
    <w:rsid w:val="00663A50"/>
    <w:rsid w:val="00663EFC"/>
    <w:rsid w:val="00664724"/>
    <w:rsid w:val="006649D4"/>
    <w:rsid w:val="00665081"/>
    <w:rsid w:val="00665B3A"/>
    <w:rsid w:val="0066611B"/>
    <w:rsid w:val="00666915"/>
    <w:rsid w:val="00667545"/>
    <w:rsid w:val="006676B0"/>
    <w:rsid w:val="00667BAC"/>
    <w:rsid w:val="00670360"/>
    <w:rsid w:val="006704D1"/>
    <w:rsid w:val="00670998"/>
    <w:rsid w:val="00670DF7"/>
    <w:rsid w:val="00670FBA"/>
    <w:rsid w:val="006711D3"/>
    <w:rsid w:val="006711EB"/>
    <w:rsid w:val="00671D17"/>
    <w:rsid w:val="00671D38"/>
    <w:rsid w:val="00671DEA"/>
    <w:rsid w:val="00672111"/>
    <w:rsid w:val="00672A1B"/>
    <w:rsid w:val="00672B51"/>
    <w:rsid w:val="00672D1C"/>
    <w:rsid w:val="00672F9D"/>
    <w:rsid w:val="00673313"/>
    <w:rsid w:val="0067341F"/>
    <w:rsid w:val="0067344B"/>
    <w:rsid w:val="006737C4"/>
    <w:rsid w:val="00673C51"/>
    <w:rsid w:val="00673CF9"/>
    <w:rsid w:val="0067401C"/>
    <w:rsid w:val="006740D7"/>
    <w:rsid w:val="00674601"/>
    <w:rsid w:val="00674D7C"/>
    <w:rsid w:val="006753E7"/>
    <w:rsid w:val="006755A4"/>
    <w:rsid w:val="00675BFC"/>
    <w:rsid w:val="00676233"/>
    <w:rsid w:val="0067636B"/>
    <w:rsid w:val="00676437"/>
    <w:rsid w:val="00676790"/>
    <w:rsid w:val="006768D8"/>
    <w:rsid w:val="00676998"/>
    <w:rsid w:val="00676B95"/>
    <w:rsid w:val="00676CF3"/>
    <w:rsid w:val="00676E40"/>
    <w:rsid w:val="0067700B"/>
    <w:rsid w:val="006770E0"/>
    <w:rsid w:val="0067776B"/>
    <w:rsid w:val="00677BD0"/>
    <w:rsid w:val="00677EA6"/>
    <w:rsid w:val="006801D3"/>
    <w:rsid w:val="00680329"/>
    <w:rsid w:val="00681106"/>
    <w:rsid w:val="006816D8"/>
    <w:rsid w:val="006816FC"/>
    <w:rsid w:val="006818F0"/>
    <w:rsid w:val="00681C1E"/>
    <w:rsid w:val="00681FAE"/>
    <w:rsid w:val="00682482"/>
    <w:rsid w:val="006827B5"/>
    <w:rsid w:val="006828B7"/>
    <w:rsid w:val="00682E69"/>
    <w:rsid w:val="00682FD0"/>
    <w:rsid w:val="00683491"/>
    <w:rsid w:val="006835C4"/>
    <w:rsid w:val="006838BA"/>
    <w:rsid w:val="00683CE0"/>
    <w:rsid w:val="00684191"/>
    <w:rsid w:val="00684FAD"/>
    <w:rsid w:val="006851F4"/>
    <w:rsid w:val="006858AE"/>
    <w:rsid w:val="00685F0C"/>
    <w:rsid w:val="00686400"/>
    <w:rsid w:val="00686C7B"/>
    <w:rsid w:val="006875CE"/>
    <w:rsid w:val="00687ECF"/>
    <w:rsid w:val="00690231"/>
    <w:rsid w:val="00691642"/>
    <w:rsid w:val="00691665"/>
    <w:rsid w:val="00691BF1"/>
    <w:rsid w:val="006924C8"/>
    <w:rsid w:val="00692A05"/>
    <w:rsid w:val="00692FCC"/>
    <w:rsid w:val="0069364B"/>
    <w:rsid w:val="006936FF"/>
    <w:rsid w:val="00693A2A"/>
    <w:rsid w:val="00694405"/>
    <w:rsid w:val="00694D83"/>
    <w:rsid w:val="0069538E"/>
    <w:rsid w:val="00695774"/>
    <w:rsid w:val="0069579E"/>
    <w:rsid w:val="00695CA0"/>
    <w:rsid w:val="00695F5B"/>
    <w:rsid w:val="0069663E"/>
    <w:rsid w:val="0069674D"/>
    <w:rsid w:val="006967CF"/>
    <w:rsid w:val="00696B28"/>
    <w:rsid w:val="00696BA4"/>
    <w:rsid w:val="00696D5A"/>
    <w:rsid w:val="00696FCC"/>
    <w:rsid w:val="006971F2"/>
    <w:rsid w:val="00697BE0"/>
    <w:rsid w:val="006A0AF7"/>
    <w:rsid w:val="006A0BCE"/>
    <w:rsid w:val="006A0C51"/>
    <w:rsid w:val="006A0E64"/>
    <w:rsid w:val="006A0F10"/>
    <w:rsid w:val="006A0F37"/>
    <w:rsid w:val="006A1705"/>
    <w:rsid w:val="006A19F1"/>
    <w:rsid w:val="006A21B2"/>
    <w:rsid w:val="006A2825"/>
    <w:rsid w:val="006A2D22"/>
    <w:rsid w:val="006A37B5"/>
    <w:rsid w:val="006A3A14"/>
    <w:rsid w:val="006A3C0E"/>
    <w:rsid w:val="006A3E4B"/>
    <w:rsid w:val="006A41A1"/>
    <w:rsid w:val="006A469E"/>
    <w:rsid w:val="006A4746"/>
    <w:rsid w:val="006A47A9"/>
    <w:rsid w:val="006A4885"/>
    <w:rsid w:val="006A4DEC"/>
    <w:rsid w:val="006A562B"/>
    <w:rsid w:val="006A5650"/>
    <w:rsid w:val="006A5D82"/>
    <w:rsid w:val="006A6927"/>
    <w:rsid w:val="006A6ED5"/>
    <w:rsid w:val="006A76B6"/>
    <w:rsid w:val="006A77E3"/>
    <w:rsid w:val="006A7A1B"/>
    <w:rsid w:val="006A7BDA"/>
    <w:rsid w:val="006B0044"/>
    <w:rsid w:val="006B03C3"/>
    <w:rsid w:val="006B03C4"/>
    <w:rsid w:val="006B0456"/>
    <w:rsid w:val="006B0C3B"/>
    <w:rsid w:val="006B101D"/>
    <w:rsid w:val="006B101E"/>
    <w:rsid w:val="006B117A"/>
    <w:rsid w:val="006B1361"/>
    <w:rsid w:val="006B1CB2"/>
    <w:rsid w:val="006B1E7F"/>
    <w:rsid w:val="006B2671"/>
    <w:rsid w:val="006B26B5"/>
    <w:rsid w:val="006B2764"/>
    <w:rsid w:val="006B330A"/>
    <w:rsid w:val="006B3626"/>
    <w:rsid w:val="006B3B12"/>
    <w:rsid w:val="006B3C5E"/>
    <w:rsid w:val="006B462F"/>
    <w:rsid w:val="006B470A"/>
    <w:rsid w:val="006B47F5"/>
    <w:rsid w:val="006B4822"/>
    <w:rsid w:val="006B4B89"/>
    <w:rsid w:val="006B50E4"/>
    <w:rsid w:val="006B5209"/>
    <w:rsid w:val="006B5423"/>
    <w:rsid w:val="006B5741"/>
    <w:rsid w:val="006B586D"/>
    <w:rsid w:val="006B592A"/>
    <w:rsid w:val="006B5CCF"/>
    <w:rsid w:val="006B5CEF"/>
    <w:rsid w:val="006B5E9A"/>
    <w:rsid w:val="006B6319"/>
    <w:rsid w:val="006B6B40"/>
    <w:rsid w:val="006B718C"/>
    <w:rsid w:val="006B7813"/>
    <w:rsid w:val="006B7A94"/>
    <w:rsid w:val="006C06B6"/>
    <w:rsid w:val="006C1C46"/>
    <w:rsid w:val="006C204B"/>
    <w:rsid w:val="006C2269"/>
    <w:rsid w:val="006C2A9A"/>
    <w:rsid w:val="006C3400"/>
    <w:rsid w:val="006C37D5"/>
    <w:rsid w:val="006C3880"/>
    <w:rsid w:val="006C3ED3"/>
    <w:rsid w:val="006C425F"/>
    <w:rsid w:val="006C43DB"/>
    <w:rsid w:val="006C4DCA"/>
    <w:rsid w:val="006C5281"/>
    <w:rsid w:val="006C5663"/>
    <w:rsid w:val="006C573D"/>
    <w:rsid w:val="006C5AC7"/>
    <w:rsid w:val="006C5CE3"/>
    <w:rsid w:val="006C5F57"/>
    <w:rsid w:val="006C6006"/>
    <w:rsid w:val="006C606B"/>
    <w:rsid w:val="006C68D3"/>
    <w:rsid w:val="006C68DC"/>
    <w:rsid w:val="006C6BD8"/>
    <w:rsid w:val="006C7091"/>
    <w:rsid w:val="006C71C8"/>
    <w:rsid w:val="006C7EAC"/>
    <w:rsid w:val="006D02EC"/>
    <w:rsid w:val="006D0895"/>
    <w:rsid w:val="006D0C62"/>
    <w:rsid w:val="006D0F59"/>
    <w:rsid w:val="006D12DE"/>
    <w:rsid w:val="006D1498"/>
    <w:rsid w:val="006D1545"/>
    <w:rsid w:val="006D1E2D"/>
    <w:rsid w:val="006D25D0"/>
    <w:rsid w:val="006D27D1"/>
    <w:rsid w:val="006D3CA8"/>
    <w:rsid w:val="006D4097"/>
    <w:rsid w:val="006D41AD"/>
    <w:rsid w:val="006D45AB"/>
    <w:rsid w:val="006D49BD"/>
    <w:rsid w:val="006D4A51"/>
    <w:rsid w:val="006D4EDC"/>
    <w:rsid w:val="006D4F44"/>
    <w:rsid w:val="006D53AB"/>
    <w:rsid w:val="006D53C1"/>
    <w:rsid w:val="006D53ED"/>
    <w:rsid w:val="006D595C"/>
    <w:rsid w:val="006D5F2D"/>
    <w:rsid w:val="006D5FC6"/>
    <w:rsid w:val="006D7251"/>
    <w:rsid w:val="006D74C3"/>
    <w:rsid w:val="006D7BAE"/>
    <w:rsid w:val="006E0E86"/>
    <w:rsid w:val="006E1169"/>
    <w:rsid w:val="006E1709"/>
    <w:rsid w:val="006E172D"/>
    <w:rsid w:val="006E19DF"/>
    <w:rsid w:val="006E2182"/>
    <w:rsid w:val="006E25B5"/>
    <w:rsid w:val="006E2882"/>
    <w:rsid w:val="006E28FA"/>
    <w:rsid w:val="006E2CD7"/>
    <w:rsid w:val="006E2CE3"/>
    <w:rsid w:val="006E2D71"/>
    <w:rsid w:val="006E324B"/>
    <w:rsid w:val="006E350F"/>
    <w:rsid w:val="006E3803"/>
    <w:rsid w:val="006E3999"/>
    <w:rsid w:val="006E3F1B"/>
    <w:rsid w:val="006E43DD"/>
    <w:rsid w:val="006E51EB"/>
    <w:rsid w:val="006E5FE0"/>
    <w:rsid w:val="006E62A2"/>
    <w:rsid w:val="006E65CC"/>
    <w:rsid w:val="006E6AC6"/>
    <w:rsid w:val="006E71EB"/>
    <w:rsid w:val="006E7271"/>
    <w:rsid w:val="006E7B1A"/>
    <w:rsid w:val="006F0679"/>
    <w:rsid w:val="006F06C4"/>
    <w:rsid w:val="006F088B"/>
    <w:rsid w:val="006F0E4E"/>
    <w:rsid w:val="006F0F0A"/>
    <w:rsid w:val="006F1015"/>
    <w:rsid w:val="006F104C"/>
    <w:rsid w:val="006F10C4"/>
    <w:rsid w:val="006F1617"/>
    <w:rsid w:val="006F16F8"/>
    <w:rsid w:val="006F1A19"/>
    <w:rsid w:val="006F1CD1"/>
    <w:rsid w:val="006F1DCD"/>
    <w:rsid w:val="006F2894"/>
    <w:rsid w:val="006F2C8B"/>
    <w:rsid w:val="006F32CA"/>
    <w:rsid w:val="006F36A6"/>
    <w:rsid w:val="006F394C"/>
    <w:rsid w:val="006F3B70"/>
    <w:rsid w:val="006F3CFC"/>
    <w:rsid w:val="006F43CC"/>
    <w:rsid w:val="006F44D2"/>
    <w:rsid w:val="006F52A9"/>
    <w:rsid w:val="006F5538"/>
    <w:rsid w:val="006F5614"/>
    <w:rsid w:val="006F5CA2"/>
    <w:rsid w:val="006F6DD1"/>
    <w:rsid w:val="006F703B"/>
    <w:rsid w:val="006F737A"/>
    <w:rsid w:val="006F7C5F"/>
    <w:rsid w:val="0070014A"/>
    <w:rsid w:val="00700795"/>
    <w:rsid w:val="00700B4B"/>
    <w:rsid w:val="00701343"/>
    <w:rsid w:val="00701921"/>
    <w:rsid w:val="00702014"/>
    <w:rsid w:val="00702873"/>
    <w:rsid w:val="00702947"/>
    <w:rsid w:val="007029BB"/>
    <w:rsid w:val="007032D5"/>
    <w:rsid w:val="00703342"/>
    <w:rsid w:val="00703395"/>
    <w:rsid w:val="00703627"/>
    <w:rsid w:val="00703714"/>
    <w:rsid w:val="00703BFB"/>
    <w:rsid w:val="00704056"/>
    <w:rsid w:val="00704307"/>
    <w:rsid w:val="00704E88"/>
    <w:rsid w:val="007064D6"/>
    <w:rsid w:val="00706894"/>
    <w:rsid w:val="00707029"/>
    <w:rsid w:val="00707700"/>
    <w:rsid w:val="007100DD"/>
    <w:rsid w:val="007101AB"/>
    <w:rsid w:val="007103FC"/>
    <w:rsid w:val="00710501"/>
    <w:rsid w:val="00710A65"/>
    <w:rsid w:val="00710B05"/>
    <w:rsid w:val="0071116E"/>
    <w:rsid w:val="0071171C"/>
    <w:rsid w:val="00711BAA"/>
    <w:rsid w:val="00712F54"/>
    <w:rsid w:val="007147DA"/>
    <w:rsid w:val="00714E32"/>
    <w:rsid w:val="0071541F"/>
    <w:rsid w:val="00715C54"/>
    <w:rsid w:val="007160EF"/>
    <w:rsid w:val="00716432"/>
    <w:rsid w:val="007166F2"/>
    <w:rsid w:val="007174FE"/>
    <w:rsid w:val="0071761B"/>
    <w:rsid w:val="007176A7"/>
    <w:rsid w:val="007178F2"/>
    <w:rsid w:val="00717B50"/>
    <w:rsid w:val="0072017E"/>
    <w:rsid w:val="00720543"/>
    <w:rsid w:val="00721061"/>
    <w:rsid w:val="00721343"/>
    <w:rsid w:val="007214D5"/>
    <w:rsid w:val="007221E7"/>
    <w:rsid w:val="00723B64"/>
    <w:rsid w:val="0072435E"/>
    <w:rsid w:val="00724786"/>
    <w:rsid w:val="007251F0"/>
    <w:rsid w:val="00725A37"/>
    <w:rsid w:val="00725E81"/>
    <w:rsid w:val="00726213"/>
    <w:rsid w:val="007262A5"/>
    <w:rsid w:val="00726921"/>
    <w:rsid w:val="00726A3D"/>
    <w:rsid w:val="00726A8A"/>
    <w:rsid w:val="00727928"/>
    <w:rsid w:val="00730115"/>
    <w:rsid w:val="00730324"/>
    <w:rsid w:val="007304CC"/>
    <w:rsid w:val="00730525"/>
    <w:rsid w:val="00731183"/>
    <w:rsid w:val="00731201"/>
    <w:rsid w:val="0073139A"/>
    <w:rsid w:val="00731741"/>
    <w:rsid w:val="00731DF8"/>
    <w:rsid w:val="00732527"/>
    <w:rsid w:val="0073271B"/>
    <w:rsid w:val="00732864"/>
    <w:rsid w:val="007337B6"/>
    <w:rsid w:val="00733825"/>
    <w:rsid w:val="007339E9"/>
    <w:rsid w:val="00734012"/>
    <w:rsid w:val="00734995"/>
    <w:rsid w:val="00734E3D"/>
    <w:rsid w:val="0073504E"/>
    <w:rsid w:val="00735670"/>
    <w:rsid w:val="007357BC"/>
    <w:rsid w:val="007357EB"/>
    <w:rsid w:val="00735E54"/>
    <w:rsid w:val="00736450"/>
    <w:rsid w:val="00737C4F"/>
    <w:rsid w:val="007406D7"/>
    <w:rsid w:val="0074098C"/>
    <w:rsid w:val="00740A11"/>
    <w:rsid w:val="00740FB1"/>
    <w:rsid w:val="0074106A"/>
    <w:rsid w:val="00741445"/>
    <w:rsid w:val="00741706"/>
    <w:rsid w:val="00741BD0"/>
    <w:rsid w:val="00742190"/>
    <w:rsid w:val="00742A7B"/>
    <w:rsid w:val="00743315"/>
    <w:rsid w:val="007439BD"/>
    <w:rsid w:val="007440D2"/>
    <w:rsid w:val="00744502"/>
    <w:rsid w:val="00744826"/>
    <w:rsid w:val="00744B10"/>
    <w:rsid w:val="00744E08"/>
    <w:rsid w:val="00744E7C"/>
    <w:rsid w:val="007452E5"/>
    <w:rsid w:val="00745B1C"/>
    <w:rsid w:val="00745B4B"/>
    <w:rsid w:val="00746244"/>
    <w:rsid w:val="007462E7"/>
    <w:rsid w:val="007463D7"/>
    <w:rsid w:val="007469A9"/>
    <w:rsid w:val="007472EC"/>
    <w:rsid w:val="0074796C"/>
    <w:rsid w:val="00747AE6"/>
    <w:rsid w:val="007502DE"/>
    <w:rsid w:val="00750601"/>
    <w:rsid w:val="00750613"/>
    <w:rsid w:val="007512B8"/>
    <w:rsid w:val="007516C6"/>
    <w:rsid w:val="007517F7"/>
    <w:rsid w:val="00751B16"/>
    <w:rsid w:val="00751F36"/>
    <w:rsid w:val="0075217C"/>
    <w:rsid w:val="007527F3"/>
    <w:rsid w:val="0075284D"/>
    <w:rsid w:val="007531DA"/>
    <w:rsid w:val="00754050"/>
    <w:rsid w:val="007546C8"/>
    <w:rsid w:val="007549EA"/>
    <w:rsid w:val="00754A96"/>
    <w:rsid w:val="00754C0D"/>
    <w:rsid w:val="00755371"/>
    <w:rsid w:val="0075577C"/>
    <w:rsid w:val="00755A6B"/>
    <w:rsid w:val="007560C8"/>
    <w:rsid w:val="00756D34"/>
    <w:rsid w:val="00756D78"/>
    <w:rsid w:val="00756F15"/>
    <w:rsid w:val="0075793C"/>
    <w:rsid w:val="00757CB3"/>
    <w:rsid w:val="00757CD0"/>
    <w:rsid w:val="00757D67"/>
    <w:rsid w:val="00757F08"/>
    <w:rsid w:val="00760A6A"/>
    <w:rsid w:val="0076223A"/>
    <w:rsid w:val="00762AD4"/>
    <w:rsid w:val="00762E19"/>
    <w:rsid w:val="00762F20"/>
    <w:rsid w:val="0076324F"/>
    <w:rsid w:val="00763730"/>
    <w:rsid w:val="007641CA"/>
    <w:rsid w:val="007643EA"/>
    <w:rsid w:val="00764CF9"/>
    <w:rsid w:val="0076534C"/>
    <w:rsid w:val="00765F4F"/>
    <w:rsid w:val="00766673"/>
    <w:rsid w:val="007667A1"/>
    <w:rsid w:val="00766B28"/>
    <w:rsid w:val="007674E3"/>
    <w:rsid w:val="007677F9"/>
    <w:rsid w:val="00770672"/>
    <w:rsid w:val="00771006"/>
    <w:rsid w:val="00771262"/>
    <w:rsid w:val="00771578"/>
    <w:rsid w:val="007721F5"/>
    <w:rsid w:val="00772AF4"/>
    <w:rsid w:val="00772F23"/>
    <w:rsid w:val="00773687"/>
    <w:rsid w:val="00773AB3"/>
    <w:rsid w:val="00773BE8"/>
    <w:rsid w:val="00773E85"/>
    <w:rsid w:val="00774022"/>
    <w:rsid w:val="00774335"/>
    <w:rsid w:val="0077487B"/>
    <w:rsid w:val="0077541F"/>
    <w:rsid w:val="00775435"/>
    <w:rsid w:val="00775EF3"/>
    <w:rsid w:val="007764DB"/>
    <w:rsid w:val="00776671"/>
    <w:rsid w:val="00776E94"/>
    <w:rsid w:val="00776F30"/>
    <w:rsid w:val="00777165"/>
    <w:rsid w:val="00777593"/>
    <w:rsid w:val="00777EDA"/>
    <w:rsid w:val="007801B7"/>
    <w:rsid w:val="00780394"/>
    <w:rsid w:val="0078041E"/>
    <w:rsid w:val="00781701"/>
    <w:rsid w:val="00781C2B"/>
    <w:rsid w:val="00781C8C"/>
    <w:rsid w:val="0078242C"/>
    <w:rsid w:val="007827C0"/>
    <w:rsid w:val="00782DFB"/>
    <w:rsid w:val="0078312D"/>
    <w:rsid w:val="007836C2"/>
    <w:rsid w:val="007836E5"/>
    <w:rsid w:val="00784661"/>
    <w:rsid w:val="00784F29"/>
    <w:rsid w:val="00785405"/>
    <w:rsid w:val="007855A7"/>
    <w:rsid w:val="0078577F"/>
    <w:rsid w:val="00785FBC"/>
    <w:rsid w:val="00786AD5"/>
    <w:rsid w:val="007871D7"/>
    <w:rsid w:val="00787748"/>
    <w:rsid w:val="00787981"/>
    <w:rsid w:val="007905BC"/>
    <w:rsid w:val="0079064B"/>
    <w:rsid w:val="007906D1"/>
    <w:rsid w:val="007909A0"/>
    <w:rsid w:val="00790EBA"/>
    <w:rsid w:val="00791158"/>
    <w:rsid w:val="00791340"/>
    <w:rsid w:val="00791509"/>
    <w:rsid w:val="0079181F"/>
    <w:rsid w:val="007923AD"/>
    <w:rsid w:val="00792A97"/>
    <w:rsid w:val="00792D9E"/>
    <w:rsid w:val="00792DC4"/>
    <w:rsid w:val="00793B66"/>
    <w:rsid w:val="00793C0C"/>
    <w:rsid w:val="00793EB5"/>
    <w:rsid w:val="007942E8"/>
    <w:rsid w:val="00794982"/>
    <w:rsid w:val="00794D10"/>
    <w:rsid w:val="00794D32"/>
    <w:rsid w:val="00794E50"/>
    <w:rsid w:val="00794FBC"/>
    <w:rsid w:val="00795879"/>
    <w:rsid w:val="00795F53"/>
    <w:rsid w:val="007960F5"/>
    <w:rsid w:val="0079628C"/>
    <w:rsid w:val="0079694D"/>
    <w:rsid w:val="00797910"/>
    <w:rsid w:val="00797A20"/>
    <w:rsid w:val="007A0134"/>
    <w:rsid w:val="007A01EE"/>
    <w:rsid w:val="007A0C70"/>
    <w:rsid w:val="007A1A22"/>
    <w:rsid w:val="007A1B66"/>
    <w:rsid w:val="007A1B77"/>
    <w:rsid w:val="007A2022"/>
    <w:rsid w:val="007A2764"/>
    <w:rsid w:val="007A2DD5"/>
    <w:rsid w:val="007A318C"/>
    <w:rsid w:val="007A333A"/>
    <w:rsid w:val="007A3365"/>
    <w:rsid w:val="007A3409"/>
    <w:rsid w:val="007A3D0F"/>
    <w:rsid w:val="007A3E58"/>
    <w:rsid w:val="007A56F0"/>
    <w:rsid w:val="007A5A81"/>
    <w:rsid w:val="007A61EA"/>
    <w:rsid w:val="007A6364"/>
    <w:rsid w:val="007A6474"/>
    <w:rsid w:val="007B05FE"/>
    <w:rsid w:val="007B07F9"/>
    <w:rsid w:val="007B0A1A"/>
    <w:rsid w:val="007B0B1B"/>
    <w:rsid w:val="007B0E95"/>
    <w:rsid w:val="007B128F"/>
    <w:rsid w:val="007B1C8E"/>
    <w:rsid w:val="007B1F71"/>
    <w:rsid w:val="007B212D"/>
    <w:rsid w:val="007B2695"/>
    <w:rsid w:val="007B2715"/>
    <w:rsid w:val="007B2A88"/>
    <w:rsid w:val="007B310C"/>
    <w:rsid w:val="007B32AB"/>
    <w:rsid w:val="007B33EE"/>
    <w:rsid w:val="007B3443"/>
    <w:rsid w:val="007B3A5B"/>
    <w:rsid w:val="007B3A6B"/>
    <w:rsid w:val="007B3B40"/>
    <w:rsid w:val="007B3C1B"/>
    <w:rsid w:val="007B4118"/>
    <w:rsid w:val="007B4813"/>
    <w:rsid w:val="007B50F6"/>
    <w:rsid w:val="007B5173"/>
    <w:rsid w:val="007B521A"/>
    <w:rsid w:val="007B64BC"/>
    <w:rsid w:val="007B6AAF"/>
    <w:rsid w:val="007B6EC8"/>
    <w:rsid w:val="007B7116"/>
    <w:rsid w:val="007B71C1"/>
    <w:rsid w:val="007B78A8"/>
    <w:rsid w:val="007B78C9"/>
    <w:rsid w:val="007B7FB8"/>
    <w:rsid w:val="007C0894"/>
    <w:rsid w:val="007C0BFE"/>
    <w:rsid w:val="007C11CF"/>
    <w:rsid w:val="007C1432"/>
    <w:rsid w:val="007C1D82"/>
    <w:rsid w:val="007C21B4"/>
    <w:rsid w:val="007C24C7"/>
    <w:rsid w:val="007C273C"/>
    <w:rsid w:val="007C2CAC"/>
    <w:rsid w:val="007C2FF2"/>
    <w:rsid w:val="007C3220"/>
    <w:rsid w:val="007C3552"/>
    <w:rsid w:val="007C35FB"/>
    <w:rsid w:val="007C38ED"/>
    <w:rsid w:val="007C392E"/>
    <w:rsid w:val="007C3930"/>
    <w:rsid w:val="007C3FE9"/>
    <w:rsid w:val="007C4918"/>
    <w:rsid w:val="007C5FEE"/>
    <w:rsid w:val="007C6187"/>
    <w:rsid w:val="007C719D"/>
    <w:rsid w:val="007C77B8"/>
    <w:rsid w:val="007C7D86"/>
    <w:rsid w:val="007D0189"/>
    <w:rsid w:val="007D0462"/>
    <w:rsid w:val="007D0F85"/>
    <w:rsid w:val="007D181A"/>
    <w:rsid w:val="007D1FD6"/>
    <w:rsid w:val="007D220C"/>
    <w:rsid w:val="007D2CFC"/>
    <w:rsid w:val="007D2F8A"/>
    <w:rsid w:val="007D2FE5"/>
    <w:rsid w:val="007D30A9"/>
    <w:rsid w:val="007D3549"/>
    <w:rsid w:val="007D3BE9"/>
    <w:rsid w:val="007D3D69"/>
    <w:rsid w:val="007D3EEC"/>
    <w:rsid w:val="007D3F72"/>
    <w:rsid w:val="007D444C"/>
    <w:rsid w:val="007D4B94"/>
    <w:rsid w:val="007D4C7F"/>
    <w:rsid w:val="007D4CAD"/>
    <w:rsid w:val="007D590E"/>
    <w:rsid w:val="007D5DC0"/>
    <w:rsid w:val="007D704F"/>
    <w:rsid w:val="007D7BE0"/>
    <w:rsid w:val="007E0F05"/>
    <w:rsid w:val="007E1438"/>
    <w:rsid w:val="007E193D"/>
    <w:rsid w:val="007E1C4B"/>
    <w:rsid w:val="007E1D63"/>
    <w:rsid w:val="007E2267"/>
    <w:rsid w:val="007E231A"/>
    <w:rsid w:val="007E2463"/>
    <w:rsid w:val="007E2494"/>
    <w:rsid w:val="007E283F"/>
    <w:rsid w:val="007E313B"/>
    <w:rsid w:val="007E38E1"/>
    <w:rsid w:val="007E3D3C"/>
    <w:rsid w:val="007E3D58"/>
    <w:rsid w:val="007E433F"/>
    <w:rsid w:val="007E4C39"/>
    <w:rsid w:val="007E59C4"/>
    <w:rsid w:val="007E59D7"/>
    <w:rsid w:val="007E643B"/>
    <w:rsid w:val="007E6448"/>
    <w:rsid w:val="007E660A"/>
    <w:rsid w:val="007E6759"/>
    <w:rsid w:val="007E6982"/>
    <w:rsid w:val="007E69C4"/>
    <w:rsid w:val="007E6C72"/>
    <w:rsid w:val="007E731B"/>
    <w:rsid w:val="007E77D0"/>
    <w:rsid w:val="007E7BB2"/>
    <w:rsid w:val="007E7CA0"/>
    <w:rsid w:val="007E7DB5"/>
    <w:rsid w:val="007F0506"/>
    <w:rsid w:val="007F097C"/>
    <w:rsid w:val="007F16FC"/>
    <w:rsid w:val="007F2C17"/>
    <w:rsid w:val="007F2FC6"/>
    <w:rsid w:val="007F304C"/>
    <w:rsid w:val="007F31E1"/>
    <w:rsid w:val="007F31E5"/>
    <w:rsid w:val="007F37B9"/>
    <w:rsid w:val="007F38A6"/>
    <w:rsid w:val="007F45FC"/>
    <w:rsid w:val="007F46F5"/>
    <w:rsid w:val="007F4801"/>
    <w:rsid w:val="007F4974"/>
    <w:rsid w:val="007F533A"/>
    <w:rsid w:val="007F5943"/>
    <w:rsid w:val="007F5E06"/>
    <w:rsid w:val="007F5F7F"/>
    <w:rsid w:val="007F6AEC"/>
    <w:rsid w:val="007F75BE"/>
    <w:rsid w:val="008006D6"/>
    <w:rsid w:val="00800AFF"/>
    <w:rsid w:val="00800BFF"/>
    <w:rsid w:val="0080116D"/>
    <w:rsid w:val="00801366"/>
    <w:rsid w:val="00802B7C"/>
    <w:rsid w:val="0080356F"/>
    <w:rsid w:val="00803C52"/>
    <w:rsid w:val="00803DBF"/>
    <w:rsid w:val="00803FC4"/>
    <w:rsid w:val="008042A9"/>
    <w:rsid w:val="00804661"/>
    <w:rsid w:val="008049A5"/>
    <w:rsid w:val="00804BD9"/>
    <w:rsid w:val="0080510C"/>
    <w:rsid w:val="00805B8F"/>
    <w:rsid w:val="00805E6B"/>
    <w:rsid w:val="00805FA5"/>
    <w:rsid w:val="0080601A"/>
    <w:rsid w:val="00806210"/>
    <w:rsid w:val="008063EC"/>
    <w:rsid w:val="00806994"/>
    <w:rsid w:val="00806EA9"/>
    <w:rsid w:val="008074E4"/>
    <w:rsid w:val="0080761E"/>
    <w:rsid w:val="00807921"/>
    <w:rsid w:val="00807A00"/>
    <w:rsid w:val="00807C2C"/>
    <w:rsid w:val="0081024E"/>
    <w:rsid w:val="00810C2E"/>
    <w:rsid w:val="008111A3"/>
    <w:rsid w:val="00811659"/>
    <w:rsid w:val="008117C5"/>
    <w:rsid w:val="0081191E"/>
    <w:rsid w:val="00811E64"/>
    <w:rsid w:val="008124EC"/>
    <w:rsid w:val="00812872"/>
    <w:rsid w:val="00812CB8"/>
    <w:rsid w:val="00812D0E"/>
    <w:rsid w:val="00812E4D"/>
    <w:rsid w:val="008130BC"/>
    <w:rsid w:val="00813452"/>
    <w:rsid w:val="008139B2"/>
    <w:rsid w:val="00813FAF"/>
    <w:rsid w:val="0081418F"/>
    <w:rsid w:val="0081446E"/>
    <w:rsid w:val="0081451C"/>
    <w:rsid w:val="00814990"/>
    <w:rsid w:val="00814A95"/>
    <w:rsid w:val="00815F39"/>
    <w:rsid w:val="00816280"/>
    <w:rsid w:val="00816ACD"/>
    <w:rsid w:val="00816E47"/>
    <w:rsid w:val="00817735"/>
    <w:rsid w:val="00817A5F"/>
    <w:rsid w:val="00817CDF"/>
    <w:rsid w:val="00820C29"/>
    <w:rsid w:val="00821070"/>
    <w:rsid w:val="008212D3"/>
    <w:rsid w:val="00822116"/>
    <w:rsid w:val="0082252F"/>
    <w:rsid w:val="00822B4B"/>
    <w:rsid w:val="00822FA7"/>
    <w:rsid w:val="00823E8A"/>
    <w:rsid w:val="00823E8D"/>
    <w:rsid w:val="0082473B"/>
    <w:rsid w:val="0082552A"/>
    <w:rsid w:val="00825866"/>
    <w:rsid w:val="00825A25"/>
    <w:rsid w:val="00825E92"/>
    <w:rsid w:val="00826030"/>
    <w:rsid w:val="0082659B"/>
    <w:rsid w:val="00826AB8"/>
    <w:rsid w:val="00826EF1"/>
    <w:rsid w:val="00827421"/>
    <w:rsid w:val="008274A3"/>
    <w:rsid w:val="00827947"/>
    <w:rsid w:val="00827AD3"/>
    <w:rsid w:val="008301D9"/>
    <w:rsid w:val="00831800"/>
    <w:rsid w:val="00831A07"/>
    <w:rsid w:val="00832270"/>
    <w:rsid w:val="00832438"/>
    <w:rsid w:val="00832DD3"/>
    <w:rsid w:val="00833352"/>
    <w:rsid w:val="008335E0"/>
    <w:rsid w:val="008347EA"/>
    <w:rsid w:val="0083493B"/>
    <w:rsid w:val="00834B3D"/>
    <w:rsid w:val="00834F24"/>
    <w:rsid w:val="008353A4"/>
    <w:rsid w:val="00835A1F"/>
    <w:rsid w:val="00835A6F"/>
    <w:rsid w:val="00835FD2"/>
    <w:rsid w:val="008366CA"/>
    <w:rsid w:val="008369C2"/>
    <w:rsid w:val="00836D3A"/>
    <w:rsid w:val="00836F73"/>
    <w:rsid w:val="008370C0"/>
    <w:rsid w:val="008378CC"/>
    <w:rsid w:val="00837BE9"/>
    <w:rsid w:val="008400B1"/>
    <w:rsid w:val="00840145"/>
    <w:rsid w:val="0084023B"/>
    <w:rsid w:val="008409F5"/>
    <w:rsid w:val="00840CBC"/>
    <w:rsid w:val="00840E18"/>
    <w:rsid w:val="00840E95"/>
    <w:rsid w:val="0084108A"/>
    <w:rsid w:val="00841255"/>
    <w:rsid w:val="008412C8"/>
    <w:rsid w:val="008417E9"/>
    <w:rsid w:val="00842360"/>
    <w:rsid w:val="008430F3"/>
    <w:rsid w:val="0084355B"/>
    <w:rsid w:val="0084358C"/>
    <w:rsid w:val="00843663"/>
    <w:rsid w:val="008439DE"/>
    <w:rsid w:val="00843AAF"/>
    <w:rsid w:val="0084430A"/>
    <w:rsid w:val="00844348"/>
    <w:rsid w:val="00844AC5"/>
    <w:rsid w:val="008458B1"/>
    <w:rsid w:val="00845B43"/>
    <w:rsid w:val="00845EB3"/>
    <w:rsid w:val="00846A7A"/>
    <w:rsid w:val="00846B08"/>
    <w:rsid w:val="00846EED"/>
    <w:rsid w:val="008476B7"/>
    <w:rsid w:val="008478B8"/>
    <w:rsid w:val="00847BF2"/>
    <w:rsid w:val="00847C12"/>
    <w:rsid w:val="00850196"/>
    <w:rsid w:val="008501C4"/>
    <w:rsid w:val="00850A86"/>
    <w:rsid w:val="00850ABE"/>
    <w:rsid w:val="00850E2E"/>
    <w:rsid w:val="00851215"/>
    <w:rsid w:val="00851796"/>
    <w:rsid w:val="0085199B"/>
    <w:rsid w:val="00851AE2"/>
    <w:rsid w:val="00851D9D"/>
    <w:rsid w:val="00851EAC"/>
    <w:rsid w:val="00851F27"/>
    <w:rsid w:val="008528B8"/>
    <w:rsid w:val="00853219"/>
    <w:rsid w:val="00853B6A"/>
    <w:rsid w:val="00854A2B"/>
    <w:rsid w:val="00854ABA"/>
    <w:rsid w:val="008557BD"/>
    <w:rsid w:val="00855E05"/>
    <w:rsid w:val="008563B0"/>
    <w:rsid w:val="00856418"/>
    <w:rsid w:val="0085648E"/>
    <w:rsid w:val="008564A2"/>
    <w:rsid w:val="00856FB9"/>
    <w:rsid w:val="0085771C"/>
    <w:rsid w:val="008609FC"/>
    <w:rsid w:val="008615A0"/>
    <w:rsid w:val="00862B2E"/>
    <w:rsid w:val="00862CEE"/>
    <w:rsid w:val="00862E44"/>
    <w:rsid w:val="0086348F"/>
    <w:rsid w:val="008636AD"/>
    <w:rsid w:val="00863C3E"/>
    <w:rsid w:val="00865050"/>
    <w:rsid w:val="00866935"/>
    <w:rsid w:val="008671FC"/>
    <w:rsid w:val="008700CF"/>
    <w:rsid w:val="008705DC"/>
    <w:rsid w:val="0087087F"/>
    <w:rsid w:val="00870E24"/>
    <w:rsid w:val="00870EAA"/>
    <w:rsid w:val="00871184"/>
    <w:rsid w:val="008712DD"/>
    <w:rsid w:val="008714D2"/>
    <w:rsid w:val="0087174B"/>
    <w:rsid w:val="00871B6A"/>
    <w:rsid w:val="008732B0"/>
    <w:rsid w:val="0087344D"/>
    <w:rsid w:val="00873506"/>
    <w:rsid w:val="00873533"/>
    <w:rsid w:val="0087426F"/>
    <w:rsid w:val="00874AD0"/>
    <w:rsid w:val="00874E6F"/>
    <w:rsid w:val="008751CF"/>
    <w:rsid w:val="008753B2"/>
    <w:rsid w:val="00875908"/>
    <w:rsid w:val="008759D7"/>
    <w:rsid w:val="008767EB"/>
    <w:rsid w:val="0087739B"/>
    <w:rsid w:val="00877EDE"/>
    <w:rsid w:val="0088021B"/>
    <w:rsid w:val="00880A1F"/>
    <w:rsid w:val="0088171E"/>
    <w:rsid w:val="00881800"/>
    <w:rsid w:val="00881FD2"/>
    <w:rsid w:val="00882500"/>
    <w:rsid w:val="00882706"/>
    <w:rsid w:val="0088270A"/>
    <w:rsid w:val="00882CFE"/>
    <w:rsid w:val="008844D6"/>
    <w:rsid w:val="00884AEA"/>
    <w:rsid w:val="0088544A"/>
    <w:rsid w:val="008855C3"/>
    <w:rsid w:val="0088573C"/>
    <w:rsid w:val="008857BE"/>
    <w:rsid w:val="00885884"/>
    <w:rsid w:val="00885C91"/>
    <w:rsid w:val="008860C2"/>
    <w:rsid w:val="00886B8A"/>
    <w:rsid w:val="00886E6B"/>
    <w:rsid w:val="00887709"/>
    <w:rsid w:val="00887AC6"/>
    <w:rsid w:val="00887C65"/>
    <w:rsid w:val="008900C5"/>
    <w:rsid w:val="008900F3"/>
    <w:rsid w:val="008909F0"/>
    <w:rsid w:val="00890AA3"/>
    <w:rsid w:val="00890D9D"/>
    <w:rsid w:val="00890DD8"/>
    <w:rsid w:val="00891337"/>
    <w:rsid w:val="0089176F"/>
    <w:rsid w:val="00891924"/>
    <w:rsid w:val="00892039"/>
    <w:rsid w:val="008920F5"/>
    <w:rsid w:val="00892325"/>
    <w:rsid w:val="00892C93"/>
    <w:rsid w:val="00892F76"/>
    <w:rsid w:val="0089329D"/>
    <w:rsid w:val="00893354"/>
    <w:rsid w:val="0089389B"/>
    <w:rsid w:val="008938E8"/>
    <w:rsid w:val="00894359"/>
    <w:rsid w:val="00894448"/>
    <w:rsid w:val="008944BD"/>
    <w:rsid w:val="008947D6"/>
    <w:rsid w:val="00894950"/>
    <w:rsid w:val="00894C84"/>
    <w:rsid w:val="00895225"/>
    <w:rsid w:val="00895690"/>
    <w:rsid w:val="008957C6"/>
    <w:rsid w:val="00895B22"/>
    <w:rsid w:val="00895BA6"/>
    <w:rsid w:val="00895CBF"/>
    <w:rsid w:val="00896065"/>
    <w:rsid w:val="00896073"/>
    <w:rsid w:val="008960BC"/>
    <w:rsid w:val="008961F5"/>
    <w:rsid w:val="008965BD"/>
    <w:rsid w:val="00896627"/>
    <w:rsid w:val="00897430"/>
    <w:rsid w:val="00897FE1"/>
    <w:rsid w:val="008A04D9"/>
    <w:rsid w:val="008A081F"/>
    <w:rsid w:val="008A1376"/>
    <w:rsid w:val="008A1412"/>
    <w:rsid w:val="008A15FF"/>
    <w:rsid w:val="008A18FA"/>
    <w:rsid w:val="008A19F1"/>
    <w:rsid w:val="008A1E66"/>
    <w:rsid w:val="008A21C6"/>
    <w:rsid w:val="008A29D1"/>
    <w:rsid w:val="008A2E4A"/>
    <w:rsid w:val="008A338A"/>
    <w:rsid w:val="008A34AE"/>
    <w:rsid w:val="008A3B36"/>
    <w:rsid w:val="008A3C72"/>
    <w:rsid w:val="008A44D3"/>
    <w:rsid w:val="008A4638"/>
    <w:rsid w:val="008A47DD"/>
    <w:rsid w:val="008A48CF"/>
    <w:rsid w:val="008A4D16"/>
    <w:rsid w:val="008A5A8C"/>
    <w:rsid w:val="008A6607"/>
    <w:rsid w:val="008A7047"/>
    <w:rsid w:val="008A726A"/>
    <w:rsid w:val="008A76E2"/>
    <w:rsid w:val="008A7718"/>
    <w:rsid w:val="008A778E"/>
    <w:rsid w:val="008A77C6"/>
    <w:rsid w:val="008A7E8E"/>
    <w:rsid w:val="008B020A"/>
    <w:rsid w:val="008B1896"/>
    <w:rsid w:val="008B1A28"/>
    <w:rsid w:val="008B1E12"/>
    <w:rsid w:val="008B1F9A"/>
    <w:rsid w:val="008B2297"/>
    <w:rsid w:val="008B2998"/>
    <w:rsid w:val="008B2B64"/>
    <w:rsid w:val="008B2CC7"/>
    <w:rsid w:val="008B2D0B"/>
    <w:rsid w:val="008B333A"/>
    <w:rsid w:val="008B3BE3"/>
    <w:rsid w:val="008B3BFD"/>
    <w:rsid w:val="008B3E11"/>
    <w:rsid w:val="008B3E6F"/>
    <w:rsid w:val="008B4178"/>
    <w:rsid w:val="008B452E"/>
    <w:rsid w:val="008B53C8"/>
    <w:rsid w:val="008B568C"/>
    <w:rsid w:val="008B5B5D"/>
    <w:rsid w:val="008B5D0F"/>
    <w:rsid w:val="008B62EB"/>
    <w:rsid w:val="008B6C54"/>
    <w:rsid w:val="008B7AA8"/>
    <w:rsid w:val="008C03BA"/>
    <w:rsid w:val="008C0601"/>
    <w:rsid w:val="008C0C9F"/>
    <w:rsid w:val="008C0D13"/>
    <w:rsid w:val="008C20B0"/>
    <w:rsid w:val="008C2544"/>
    <w:rsid w:val="008C27DE"/>
    <w:rsid w:val="008C357A"/>
    <w:rsid w:val="008C3C3D"/>
    <w:rsid w:val="008C402B"/>
    <w:rsid w:val="008C4454"/>
    <w:rsid w:val="008C4F0E"/>
    <w:rsid w:val="008C5437"/>
    <w:rsid w:val="008C56A9"/>
    <w:rsid w:val="008C5C0F"/>
    <w:rsid w:val="008C5C6C"/>
    <w:rsid w:val="008C63F9"/>
    <w:rsid w:val="008C694C"/>
    <w:rsid w:val="008C6A5B"/>
    <w:rsid w:val="008C6DFA"/>
    <w:rsid w:val="008C7542"/>
    <w:rsid w:val="008C755A"/>
    <w:rsid w:val="008C7AB1"/>
    <w:rsid w:val="008D0321"/>
    <w:rsid w:val="008D0654"/>
    <w:rsid w:val="008D0711"/>
    <w:rsid w:val="008D07B6"/>
    <w:rsid w:val="008D0C50"/>
    <w:rsid w:val="008D1567"/>
    <w:rsid w:val="008D17C7"/>
    <w:rsid w:val="008D1D6F"/>
    <w:rsid w:val="008D20E5"/>
    <w:rsid w:val="008D23C2"/>
    <w:rsid w:val="008D256A"/>
    <w:rsid w:val="008D2926"/>
    <w:rsid w:val="008D29EE"/>
    <w:rsid w:val="008D2A36"/>
    <w:rsid w:val="008D2BDF"/>
    <w:rsid w:val="008D2F53"/>
    <w:rsid w:val="008D3384"/>
    <w:rsid w:val="008D36D5"/>
    <w:rsid w:val="008D39F4"/>
    <w:rsid w:val="008D3DC1"/>
    <w:rsid w:val="008D467F"/>
    <w:rsid w:val="008D4DA8"/>
    <w:rsid w:val="008D544D"/>
    <w:rsid w:val="008D5537"/>
    <w:rsid w:val="008D6C91"/>
    <w:rsid w:val="008D6F74"/>
    <w:rsid w:val="008D7097"/>
    <w:rsid w:val="008E0004"/>
    <w:rsid w:val="008E0DAC"/>
    <w:rsid w:val="008E1617"/>
    <w:rsid w:val="008E1DA3"/>
    <w:rsid w:val="008E1DEB"/>
    <w:rsid w:val="008E1E54"/>
    <w:rsid w:val="008E2151"/>
    <w:rsid w:val="008E21D7"/>
    <w:rsid w:val="008E28C9"/>
    <w:rsid w:val="008E3345"/>
    <w:rsid w:val="008E3DA0"/>
    <w:rsid w:val="008E49CA"/>
    <w:rsid w:val="008E4AFC"/>
    <w:rsid w:val="008E4E73"/>
    <w:rsid w:val="008E4E7D"/>
    <w:rsid w:val="008E50C7"/>
    <w:rsid w:val="008E5E5B"/>
    <w:rsid w:val="008E5EE3"/>
    <w:rsid w:val="008E5F11"/>
    <w:rsid w:val="008E70B2"/>
    <w:rsid w:val="008E7385"/>
    <w:rsid w:val="008E749D"/>
    <w:rsid w:val="008E79D6"/>
    <w:rsid w:val="008F1245"/>
    <w:rsid w:val="008F142F"/>
    <w:rsid w:val="008F166D"/>
    <w:rsid w:val="008F202D"/>
    <w:rsid w:val="008F2111"/>
    <w:rsid w:val="008F24A9"/>
    <w:rsid w:val="008F27B8"/>
    <w:rsid w:val="008F39A9"/>
    <w:rsid w:val="008F4106"/>
    <w:rsid w:val="008F46D4"/>
    <w:rsid w:val="008F4B86"/>
    <w:rsid w:val="008F4B88"/>
    <w:rsid w:val="008F5102"/>
    <w:rsid w:val="008F5416"/>
    <w:rsid w:val="008F552F"/>
    <w:rsid w:val="008F5A41"/>
    <w:rsid w:val="008F5D95"/>
    <w:rsid w:val="008F639B"/>
    <w:rsid w:val="008F66A0"/>
    <w:rsid w:val="008F6707"/>
    <w:rsid w:val="008F67DB"/>
    <w:rsid w:val="008F69EE"/>
    <w:rsid w:val="008F7035"/>
    <w:rsid w:val="008F737B"/>
    <w:rsid w:val="008F746A"/>
    <w:rsid w:val="008F7F42"/>
    <w:rsid w:val="009006C7"/>
    <w:rsid w:val="00900E33"/>
    <w:rsid w:val="009010B4"/>
    <w:rsid w:val="009011A0"/>
    <w:rsid w:val="009012DA"/>
    <w:rsid w:val="009013DC"/>
    <w:rsid w:val="00902193"/>
    <w:rsid w:val="009021BD"/>
    <w:rsid w:val="00902228"/>
    <w:rsid w:val="009025A3"/>
    <w:rsid w:val="00902CFE"/>
    <w:rsid w:val="00903617"/>
    <w:rsid w:val="00903641"/>
    <w:rsid w:val="00903FD6"/>
    <w:rsid w:val="009040EA"/>
    <w:rsid w:val="00904266"/>
    <w:rsid w:val="00904F00"/>
    <w:rsid w:val="00905095"/>
    <w:rsid w:val="00905884"/>
    <w:rsid w:val="00905C53"/>
    <w:rsid w:val="00905C65"/>
    <w:rsid w:val="0090622C"/>
    <w:rsid w:val="009067F8"/>
    <w:rsid w:val="0090695D"/>
    <w:rsid w:val="009069D5"/>
    <w:rsid w:val="009078D9"/>
    <w:rsid w:val="00907988"/>
    <w:rsid w:val="00910979"/>
    <w:rsid w:val="00910A1D"/>
    <w:rsid w:val="0091155C"/>
    <w:rsid w:val="00911B65"/>
    <w:rsid w:val="00912C90"/>
    <w:rsid w:val="009133DB"/>
    <w:rsid w:val="009134E0"/>
    <w:rsid w:val="00914006"/>
    <w:rsid w:val="009143B5"/>
    <w:rsid w:val="00915E14"/>
    <w:rsid w:val="00917744"/>
    <w:rsid w:val="00917B49"/>
    <w:rsid w:val="00920C14"/>
    <w:rsid w:val="00920CB2"/>
    <w:rsid w:val="009215C5"/>
    <w:rsid w:val="009218FB"/>
    <w:rsid w:val="009219E9"/>
    <w:rsid w:val="00922C03"/>
    <w:rsid w:val="0092362B"/>
    <w:rsid w:val="00923633"/>
    <w:rsid w:val="00923A6C"/>
    <w:rsid w:val="00923A7F"/>
    <w:rsid w:val="009244BA"/>
    <w:rsid w:val="00924674"/>
    <w:rsid w:val="009246E3"/>
    <w:rsid w:val="00924FA4"/>
    <w:rsid w:val="0092609F"/>
    <w:rsid w:val="0092618A"/>
    <w:rsid w:val="009263B0"/>
    <w:rsid w:val="0092640F"/>
    <w:rsid w:val="009266F3"/>
    <w:rsid w:val="009267A7"/>
    <w:rsid w:val="009267BE"/>
    <w:rsid w:val="009268D9"/>
    <w:rsid w:val="00926AD3"/>
    <w:rsid w:val="009273DA"/>
    <w:rsid w:val="0092743F"/>
    <w:rsid w:val="00927603"/>
    <w:rsid w:val="00927709"/>
    <w:rsid w:val="00927E73"/>
    <w:rsid w:val="009300B9"/>
    <w:rsid w:val="009301D8"/>
    <w:rsid w:val="009305B7"/>
    <w:rsid w:val="00930A88"/>
    <w:rsid w:val="00931290"/>
    <w:rsid w:val="00931330"/>
    <w:rsid w:val="00931E4F"/>
    <w:rsid w:val="009333B1"/>
    <w:rsid w:val="00933C2D"/>
    <w:rsid w:val="00933E61"/>
    <w:rsid w:val="00934283"/>
    <w:rsid w:val="009343B9"/>
    <w:rsid w:val="00935836"/>
    <w:rsid w:val="00935ADA"/>
    <w:rsid w:val="00935B08"/>
    <w:rsid w:val="00935D68"/>
    <w:rsid w:val="00935FBB"/>
    <w:rsid w:val="009360C8"/>
    <w:rsid w:val="00936723"/>
    <w:rsid w:val="00936912"/>
    <w:rsid w:val="0093790B"/>
    <w:rsid w:val="00940B29"/>
    <w:rsid w:val="00940DAD"/>
    <w:rsid w:val="0094108B"/>
    <w:rsid w:val="0094142B"/>
    <w:rsid w:val="009414CE"/>
    <w:rsid w:val="00941868"/>
    <w:rsid w:val="0094186D"/>
    <w:rsid w:val="009418EB"/>
    <w:rsid w:val="00942AC7"/>
    <w:rsid w:val="009431E4"/>
    <w:rsid w:val="009432D5"/>
    <w:rsid w:val="009437E6"/>
    <w:rsid w:val="009439EE"/>
    <w:rsid w:val="00943F94"/>
    <w:rsid w:val="00944106"/>
    <w:rsid w:val="0094449B"/>
    <w:rsid w:val="00945182"/>
    <w:rsid w:val="00945507"/>
    <w:rsid w:val="0094570A"/>
    <w:rsid w:val="0094584B"/>
    <w:rsid w:val="009458B4"/>
    <w:rsid w:val="00945D4C"/>
    <w:rsid w:val="009461FE"/>
    <w:rsid w:val="00946295"/>
    <w:rsid w:val="0094641C"/>
    <w:rsid w:val="009464F5"/>
    <w:rsid w:val="009466F7"/>
    <w:rsid w:val="009467FE"/>
    <w:rsid w:val="009469F6"/>
    <w:rsid w:val="00946E04"/>
    <w:rsid w:val="00946F2C"/>
    <w:rsid w:val="00950167"/>
    <w:rsid w:val="009517B3"/>
    <w:rsid w:val="00951AF2"/>
    <w:rsid w:val="0095208C"/>
    <w:rsid w:val="0095270C"/>
    <w:rsid w:val="00952E81"/>
    <w:rsid w:val="009535B4"/>
    <w:rsid w:val="00953782"/>
    <w:rsid w:val="0095385D"/>
    <w:rsid w:val="009538A8"/>
    <w:rsid w:val="00953A29"/>
    <w:rsid w:val="00953E5E"/>
    <w:rsid w:val="00954310"/>
    <w:rsid w:val="00954A43"/>
    <w:rsid w:val="00954CE7"/>
    <w:rsid w:val="0095518A"/>
    <w:rsid w:val="00955463"/>
    <w:rsid w:val="00955E42"/>
    <w:rsid w:val="0095633E"/>
    <w:rsid w:val="00956B85"/>
    <w:rsid w:val="0096017B"/>
    <w:rsid w:val="009606DD"/>
    <w:rsid w:val="00960DBA"/>
    <w:rsid w:val="00961290"/>
    <w:rsid w:val="0096138A"/>
    <w:rsid w:val="00961504"/>
    <w:rsid w:val="009617B6"/>
    <w:rsid w:val="00961A3E"/>
    <w:rsid w:val="00961D59"/>
    <w:rsid w:val="00961E38"/>
    <w:rsid w:val="00962A44"/>
    <w:rsid w:val="00962D8F"/>
    <w:rsid w:val="00963C9E"/>
    <w:rsid w:val="009641D1"/>
    <w:rsid w:val="009642E7"/>
    <w:rsid w:val="0096432F"/>
    <w:rsid w:val="009654B3"/>
    <w:rsid w:val="009659AD"/>
    <w:rsid w:val="00965E40"/>
    <w:rsid w:val="00966521"/>
    <w:rsid w:val="00966CE7"/>
    <w:rsid w:val="00966FF6"/>
    <w:rsid w:val="0096733D"/>
    <w:rsid w:val="00967CB3"/>
    <w:rsid w:val="0097098A"/>
    <w:rsid w:val="00970D91"/>
    <w:rsid w:val="00971138"/>
    <w:rsid w:val="00971B4B"/>
    <w:rsid w:val="00972074"/>
    <w:rsid w:val="00972297"/>
    <w:rsid w:val="00972706"/>
    <w:rsid w:val="009728F1"/>
    <w:rsid w:val="0097306B"/>
    <w:rsid w:val="00973679"/>
    <w:rsid w:val="00973AB2"/>
    <w:rsid w:val="00973B71"/>
    <w:rsid w:val="00973C17"/>
    <w:rsid w:val="00974B0F"/>
    <w:rsid w:val="00974EA1"/>
    <w:rsid w:val="00974FBF"/>
    <w:rsid w:val="0097511A"/>
    <w:rsid w:val="0097516B"/>
    <w:rsid w:val="009751FC"/>
    <w:rsid w:val="0097550C"/>
    <w:rsid w:val="009755C1"/>
    <w:rsid w:val="00975A3A"/>
    <w:rsid w:val="0097622E"/>
    <w:rsid w:val="009763E9"/>
    <w:rsid w:val="0097650A"/>
    <w:rsid w:val="00976618"/>
    <w:rsid w:val="00976EBE"/>
    <w:rsid w:val="00976F43"/>
    <w:rsid w:val="009774E2"/>
    <w:rsid w:val="00980005"/>
    <w:rsid w:val="00980034"/>
    <w:rsid w:val="009800C6"/>
    <w:rsid w:val="0098017C"/>
    <w:rsid w:val="00980D25"/>
    <w:rsid w:val="009812CA"/>
    <w:rsid w:val="00981B41"/>
    <w:rsid w:val="00982098"/>
    <w:rsid w:val="009825D8"/>
    <w:rsid w:val="00982D87"/>
    <w:rsid w:val="009837A4"/>
    <w:rsid w:val="00983D95"/>
    <w:rsid w:val="00983F1C"/>
    <w:rsid w:val="00983F6B"/>
    <w:rsid w:val="009840E2"/>
    <w:rsid w:val="0098502E"/>
    <w:rsid w:val="009853F5"/>
    <w:rsid w:val="00985DCA"/>
    <w:rsid w:val="00985ED1"/>
    <w:rsid w:val="00986471"/>
    <w:rsid w:val="00987AA3"/>
    <w:rsid w:val="009900D7"/>
    <w:rsid w:val="0099058F"/>
    <w:rsid w:val="009909CA"/>
    <w:rsid w:val="009909EF"/>
    <w:rsid w:val="00990A8F"/>
    <w:rsid w:val="00990BDA"/>
    <w:rsid w:val="00990EE2"/>
    <w:rsid w:val="009915D1"/>
    <w:rsid w:val="009916F1"/>
    <w:rsid w:val="00991B74"/>
    <w:rsid w:val="00991C07"/>
    <w:rsid w:val="0099223B"/>
    <w:rsid w:val="0099245D"/>
    <w:rsid w:val="00992515"/>
    <w:rsid w:val="009927D6"/>
    <w:rsid w:val="009931EB"/>
    <w:rsid w:val="009932AB"/>
    <w:rsid w:val="0099332E"/>
    <w:rsid w:val="00993D5A"/>
    <w:rsid w:val="009943BC"/>
    <w:rsid w:val="009945A9"/>
    <w:rsid w:val="0099469D"/>
    <w:rsid w:val="009946B0"/>
    <w:rsid w:val="00994BEB"/>
    <w:rsid w:val="00994FB5"/>
    <w:rsid w:val="0099512F"/>
    <w:rsid w:val="00995C71"/>
    <w:rsid w:val="009966E8"/>
    <w:rsid w:val="009968F7"/>
    <w:rsid w:val="00996C68"/>
    <w:rsid w:val="00996C74"/>
    <w:rsid w:val="00997367"/>
    <w:rsid w:val="00997992"/>
    <w:rsid w:val="00997B7B"/>
    <w:rsid w:val="009A01B3"/>
    <w:rsid w:val="009A169D"/>
    <w:rsid w:val="009A17C6"/>
    <w:rsid w:val="009A1E13"/>
    <w:rsid w:val="009A2CD8"/>
    <w:rsid w:val="009A341F"/>
    <w:rsid w:val="009A3B48"/>
    <w:rsid w:val="009A3DF2"/>
    <w:rsid w:val="009A3E90"/>
    <w:rsid w:val="009A3EEB"/>
    <w:rsid w:val="009A4643"/>
    <w:rsid w:val="009A4BC4"/>
    <w:rsid w:val="009A4D37"/>
    <w:rsid w:val="009A4E30"/>
    <w:rsid w:val="009A5079"/>
    <w:rsid w:val="009A565A"/>
    <w:rsid w:val="009A5992"/>
    <w:rsid w:val="009A5A62"/>
    <w:rsid w:val="009A60A1"/>
    <w:rsid w:val="009A6388"/>
    <w:rsid w:val="009A6A5F"/>
    <w:rsid w:val="009A6DE8"/>
    <w:rsid w:val="009A6F19"/>
    <w:rsid w:val="009A71D1"/>
    <w:rsid w:val="009A7935"/>
    <w:rsid w:val="009A7CD0"/>
    <w:rsid w:val="009B03AF"/>
    <w:rsid w:val="009B0448"/>
    <w:rsid w:val="009B14F3"/>
    <w:rsid w:val="009B1C47"/>
    <w:rsid w:val="009B2A7B"/>
    <w:rsid w:val="009B2D33"/>
    <w:rsid w:val="009B33FD"/>
    <w:rsid w:val="009B3B39"/>
    <w:rsid w:val="009B4130"/>
    <w:rsid w:val="009B45A9"/>
    <w:rsid w:val="009B4643"/>
    <w:rsid w:val="009B4647"/>
    <w:rsid w:val="009B46BE"/>
    <w:rsid w:val="009B4BDA"/>
    <w:rsid w:val="009B60B1"/>
    <w:rsid w:val="009B6550"/>
    <w:rsid w:val="009B6B1B"/>
    <w:rsid w:val="009B6F99"/>
    <w:rsid w:val="009B7023"/>
    <w:rsid w:val="009B7110"/>
    <w:rsid w:val="009B76AF"/>
    <w:rsid w:val="009B7879"/>
    <w:rsid w:val="009B7E24"/>
    <w:rsid w:val="009C02BA"/>
    <w:rsid w:val="009C089D"/>
    <w:rsid w:val="009C0BE1"/>
    <w:rsid w:val="009C112B"/>
    <w:rsid w:val="009C1658"/>
    <w:rsid w:val="009C1879"/>
    <w:rsid w:val="009C189C"/>
    <w:rsid w:val="009C1957"/>
    <w:rsid w:val="009C1A1B"/>
    <w:rsid w:val="009C1E27"/>
    <w:rsid w:val="009C263F"/>
    <w:rsid w:val="009C31D7"/>
    <w:rsid w:val="009C3678"/>
    <w:rsid w:val="009C3F09"/>
    <w:rsid w:val="009C3FAA"/>
    <w:rsid w:val="009C4EB6"/>
    <w:rsid w:val="009C501A"/>
    <w:rsid w:val="009C5325"/>
    <w:rsid w:val="009C5651"/>
    <w:rsid w:val="009C5B1A"/>
    <w:rsid w:val="009C6326"/>
    <w:rsid w:val="009C6819"/>
    <w:rsid w:val="009C6A9E"/>
    <w:rsid w:val="009C6B8D"/>
    <w:rsid w:val="009C6EAA"/>
    <w:rsid w:val="009C7504"/>
    <w:rsid w:val="009C7758"/>
    <w:rsid w:val="009C7BD5"/>
    <w:rsid w:val="009D018D"/>
    <w:rsid w:val="009D033A"/>
    <w:rsid w:val="009D1193"/>
    <w:rsid w:val="009D13B9"/>
    <w:rsid w:val="009D13E2"/>
    <w:rsid w:val="009D1DA6"/>
    <w:rsid w:val="009D2237"/>
    <w:rsid w:val="009D2F69"/>
    <w:rsid w:val="009D302A"/>
    <w:rsid w:val="009D304A"/>
    <w:rsid w:val="009D39E6"/>
    <w:rsid w:val="009D4064"/>
    <w:rsid w:val="009D42E0"/>
    <w:rsid w:val="009D46C8"/>
    <w:rsid w:val="009D4851"/>
    <w:rsid w:val="009D4BC4"/>
    <w:rsid w:val="009D530F"/>
    <w:rsid w:val="009D5654"/>
    <w:rsid w:val="009D5794"/>
    <w:rsid w:val="009D59D8"/>
    <w:rsid w:val="009D61AB"/>
    <w:rsid w:val="009D6421"/>
    <w:rsid w:val="009D648B"/>
    <w:rsid w:val="009D667F"/>
    <w:rsid w:val="009D6A1F"/>
    <w:rsid w:val="009D6EF4"/>
    <w:rsid w:val="009D7204"/>
    <w:rsid w:val="009D7D87"/>
    <w:rsid w:val="009D7ECE"/>
    <w:rsid w:val="009E021A"/>
    <w:rsid w:val="009E02B4"/>
    <w:rsid w:val="009E0306"/>
    <w:rsid w:val="009E030E"/>
    <w:rsid w:val="009E0844"/>
    <w:rsid w:val="009E0B3A"/>
    <w:rsid w:val="009E1049"/>
    <w:rsid w:val="009E112A"/>
    <w:rsid w:val="009E1A4B"/>
    <w:rsid w:val="009E1D2F"/>
    <w:rsid w:val="009E261E"/>
    <w:rsid w:val="009E3124"/>
    <w:rsid w:val="009E3359"/>
    <w:rsid w:val="009E33C8"/>
    <w:rsid w:val="009E3439"/>
    <w:rsid w:val="009E3520"/>
    <w:rsid w:val="009E368C"/>
    <w:rsid w:val="009E46BA"/>
    <w:rsid w:val="009E4DBF"/>
    <w:rsid w:val="009E4EE7"/>
    <w:rsid w:val="009E533B"/>
    <w:rsid w:val="009E53F3"/>
    <w:rsid w:val="009E5FAD"/>
    <w:rsid w:val="009E6026"/>
    <w:rsid w:val="009E679E"/>
    <w:rsid w:val="009E67F1"/>
    <w:rsid w:val="009E6CA5"/>
    <w:rsid w:val="009E6F87"/>
    <w:rsid w:val="009E722F"/>
    <w:rsid w:val="009E74AB"/>
    <w:rsid w:val="009E7AA2"/>
    <w:rsid w:val="009F00EB"/>
    <w:rsid w:val="009F046C"/>
    <w:rsid w:val="009F06DE"/>
    <w:rsid w:val="009F1427"/>
    <w:rsid w:val="009F16BC"/>
    <w:rsid w:val="009F2234"/>
    <w:rsid w:val="009F2CC3"/>
    <w:rsid w:val="009F2FB5"/>
    <w:rsid w:val="009F3707"/>
    <w:rsid w:val="009F3A1A"/>
    <w:rsid w:val="009F3C8D"/>
    <w:rsid w:val="009F3E4E"/>
    <w:rsid w:val="009F42F0"/>
    <w:rsid w:val="009F4441"/>
    <w:rsid w:val="009F4444"/>
    <w:rsid w:val="009F44F6"/>
    <w:rsid w:val="009F455E"/>
    <w:rsid w:val="009F4DE1"/>
    <w:rsid w:val="009F4E28"/>
    <w:rsid w:val="009F5258"/>
    <w:rsid w:val="009F5494"/>
    <w:rsid w:val="009F5DDE"/>
    <w:rsid w:val="009F6339"/>
    <w:rsid w:val="009F6589"/>
    <w:rsid w:val="009F6DEE"/>
    <w:rsid w:val="009F791D"/>
    <w:rsid w:val="009F7A25"/>
    <w:rsid w:val="009F7A75"/>
    <w:rsid w:val="009F7DA6"/>
    <w:rsid w:val="009F7DE8"/>
    <w:rsid w:val="009F7F29"/>
    <w:rsid w:val="00A00346"/>
    <w:rsid w:val="00A00E87"/>
    <w:rsid w:val="00A00EED"/>
    <w:rsid w:val="00A0168E"/>
    <w:rsid w:val="00A01E7E"/>
    <w:rsid w:val="00A02380"/>
    <w:rsid w:val="00A02A47"/>
    <w:rsid w:val="00A02A7F"/>
    <w:rsid w:val="00A02F58"/>
    <w:rsid w:val="00A030F3"/>
    <w:rsid w:val="00A03736"/>
    <w:rsid w:val="00A040F6"/>
    <w:rsid w:val="00A041F4"/>
    <w:rsid w:val="00A04646"/>
    <w:rsid w:val="00A05EE3"/>
    <w:rsid w:val="00A060EE"/>
    <w:rsid w:val="00A06740"/>
    <w:rsid w:val="00A0686B"/>
    <w:rsid w:val="00A070DA"/>
    <w:rsid w:val="00A072C8"/>
    <w:rsid w:val="00A07C25"/>
    <w:rsid w:val="00A10717"/>
    <w:rsid w:val="00A10B00"/>
    <w:rsid w:val="00A117AE"/>
    <w:rsid w:val="00A118B0"/>
    <w:rsid w:val="00A11A5B"/>
    <w:rsid w:val="00A11DAD"/>
    <w:rsid w:val="00A11DED"/>
    <w:rsid w:val="00A11FE3"/>
    <w:rsid w:val="00A13262"/>
    <w:rsid w:val="00A13708"/>
    <w:rsid w:val="00A143E6"/>
    <w:rsid w:val="00A14B34"/>
    <w:rsid w:val="00A150BF"/>
    <w:rsid w:val="00A150DD"/>
    <w:rsid w:val="00A15159"/>
    <w:rsid w:val="00A152C4"/>
    <w:rsid w:val="00A153F9"/>
    <w:rsid w:val="00A155D3"/>
    <w:rsid w:val="00A15A47"/>
    <w:rsid w:val="00A168D7"/>
    <w:rsid w:val="00A16C48"/>
    <w:rsid w:val="00A17417"/>
    <w:rsid w:val="00A1783E"/>
    <w:rsid w:val="00A17FA2"/>
    <w:rsid w:val="00A208C5"/>
    <w:rsid w:val="00A20D98"/>
    <w:rsid w:val="00A211E4"/>
    <w:rsid w:val="00A2129C"/>
    <w:rsid w:val="00A221D7"/>
    <w:rsid w:val="00A232F8"/>
    <w:rsid w:val="00A240D8"/>
    <w:rsid w:val="00A2516C"/>
    <w:rsid w:val="00A2542A"/>
    <w:rsid w:val="00A2545D"/>
    <w:rsid w:val="00A25741"/>
    <w:rsid w:val="00A258E6"/>
    <w:rsid w:val="00A259DC"/>
    <w:rsid w:val="00A25CD2"/>
    <w:rsid w:val="00A26159"/>
    <w:rsid w:val="00A26964"/>
    <w:rsid w:val="00A26D0D"/>
    <w:rsid w:val="00A26DB1"/>
    <w:rsid w:val="00A27020"/>
    <w:rsid w:val="00A271F7"/>
    <w:rsid w:val="00A274B8"/>
    <w:rsid w:val="00A27840"/>
    <w:rsid w:val="00A27876"/>
    <w:rsid w:val="00A279DF"/>
    <w:rsid w:val="00A27E94"/>
    <w:rsid w:val="00A30999"/>
    <w:rsid w:val="00A31903"/>
    <w:rsid w:val="00A31A36"/>
    <w:rsid w:val="00A31C63"/>
    <w:rsid w:val="00A31EF5"/>
    <w:rsid w:val="00A3275D"/>
    <w:rsid w:val="00A32B9B"/>
    <w:rsid w:val="00A3327D"/>
    <w:rsid w:val="00A341A5"/>
    <w:rsid w:val="00A34211"/>
    <w:rsid w:val="00A34A66"/>
    <w:rsid w:val="00A34BC0"/>
    <w:rsid w:val="00A34E79"/>
    <w:rsid w:val="00A35868"/>
    <w:rsid w:val="00A35B31"/>
    <w:rsid w:val="00A36F9D"/>
    <w:rsid w:val="00A36FE0"/>
    <w:rsid w:val="00A373D4"/>
    <w:rsid w:val="00A37897"/>
    <w:rsid w:val="00A40248"/>
    <w:rsid w:val="00A40264"/>
    <w:rsid w:val="00A4045C"/>
    <w:rsid w:val="00A4054C"/>
    <w:rsid w:val="00A409AF"/>
    <w:rsid w:val="00A40BB0"/>
    <w:rsid w:val="00A4123C"/>
    <w:rsid w:val="00A4192C"/>
    <w:rsid w:val="00A4209A"/>
    <w:rsid w:val="00A4307E"/>
    <w:rsid w:val="00A43527"/>
    <w:rsid w:val="00A43F05"/>
    <w:rsid w:val="00A451A0"/>
    <w:rsid w:val="00A45262"/>
    <w:rsid w:val="00A45681"/>
    <w:rsid w:val="00A459CA"/>
    <w:rsid w:val="00A45D51"/>
    <w:rsid w:val="00A46C70"/>
    <w:rsid w:val="00A47293"/>
    <w:rsid w:val="00A47601"/>
    <w:rsid w:val="00A4788C"/>
    <w:rsid w:val="00A47BC9"/>
    <w:rsid w:val="00A5112B"/>
    <w:rsid w:val="00A512DE"/>
    <w:rsid w:val="00A52044"/>
    <w:rsid w:val="00A525A3"/>
    <w:rsid w:val="00A525BD"/>
    <w:rsid w:val="00A52641"/>
    <w:rsid w:val="00A52896"/>
    <w:rsid w:val="00A52E2B"/>
    <w:rsid w:val="00A533A3"/>
    <w:rsid w:val="00A5342A"/>
    <w:rsid w:val="00A5369C"/>
    <w:rsid w:val="00A53AEE"/>
    <w:rsid w:val="00A53B53"/>
    <w:rsid w:val="00A54006"/>
    <w:rsid w:val="00A54187"/>
    <w:rsid w:val="00A544C3"/>
    <w:rsid w:val="00A5459F"/>
    <w:rsid w:val="00A549C5"/>
    <w:rsid w:val="00A54C18"/>
    <w:rsid w:val="00A54E60"/>
    <w:rsid w:val="00A54FBA"/>
    <w:rsid w:val="00A551D6"/>
    <w:rsid w:val="00A55464"/>
    <w:rsid w:val="00A55666"/>
    <w:rsid w:val="00A55BE1"/>
    <w:rsid w:val="00A55C14"/>
    <w:rsid w:val="00A55FAC"/>
    <w:rsid w:val="00A560FB"/>
    <w:rsid w:val="00A56146"/>
    <w:rsid w:val="00A5640F"/>
    <w:rsid w:val="00A565BE"/>
    <w:rsid w:val="00A567A5"/>
    <w:rsid w:val="00A56A0C"/>
    <w:rsid w:val="00A56EB0"/>
    <w:rsid w:val="00A56FE8"/>
    <w:rsid w:val="00A57210"/>
    <w:rsid w:val="00A572EF"/>
    <w:rsid w:val="00A573D8"/>
    <w:rsid w:val="00A6010E"/>
    <w:rsid w:val="00A60620"/>
    <w:rsid w:val="00A60760"/>
    <w:rsid w:val="00A60C11"/>
    <w:rsid w:val="00A60DF0"/>
    <w:rsid w:val="00A61852"/>
    <w:rsid w:val="00A61A5B"/>
    <w:rsid w:val="00A61BA5"/>
    <w:rsid w:val="00A61F0C"/>
    <w:rsid w:val="00A62070"/>
    <w:rsid w:val="00A62103"/>
    <w:rsid w:val="00A622F4"/>
    <w:rsid w:val="00A6231D"/>
    <w:rsid w:val="00A624EE"/>
    <w:rsid w:val="00A62DD5"/>
    <w:rsid w:val="00A63107"/>
    <w:rsid w:val="00A63370"/>
    <w:rsid w:val="00A63C09"/>
    <w:rsid w:val="00A63E57"/>
    <w:rsid w:val="00A63FA5"/>
    <w:rsid w:val="00A64237"/>
    <w:rsid w:val="00A64428"/>
    <w:rsid w:val="00A646AD"/>
    <w:rsid w:val="00A646CE"/>
    <w:rsid w:val="00A64726"/>
    <w:rsid w:val="00A64DFB"/>
    <w:rsid w:val="00A65502"/>
    <w:rsid w:val="00A6677B"/>
    <w:rsid w:val="00A66C79"/>
    <w:rsid w:val="00A66CB7"/>
    <w:rsid w:val="00A67215"/>
    <w:rsid w:val="00A6746B"/>
    <w:rsid w:val="00A67B10"/>
    <w:rsid w:val="00A702BD"/>
    <w:rsid w:val="00A70668"/>
    <w:rsid w:val="00A70BEA"/>
    <w:rsid w:val="00A712E1"/>
    <w:rsid w:val="00A71A8E"/>
    <w:rsid w:val="00A71BC2"/>
    <w:rsid w:val="00A7264F"/>
    <w:rsid w:val="00A7265E"/>
    <w:rsid w:val="00A72708"/>
    <w:rsid w:val="00A729DD"/>
    <w:rsid w:val="00A7306A"/>
    <w:rsid w:val="00A73D3E"/>
    <w:rsid w:val="00A74E7B"/>
    <w:rsid w:val="00A75771"/>
    <w:rsid w:val="00A75C69"/>
    <w:rsid w:val="00A75D32"/>
    <w:rsid w:val="00A75D5A"/>
    <w:rsid w:val="00A763EE"/>
    <w:rsid w:val="00A76D8B"/>
    <w:rsid w:val="00A76E61"/>
    <w:rsid w:val="00A775CE"/>
    <w:rsid w:val="00A77646"/>
    <w:rsid w:val="00A77FF1"/>
    <w:rsid w:val="00A81B76"/>
    <w:rsid w:val="00A81DCA"/>
    <w:rsid w:val="00A824BF"/>
    <w:rsid w:val="00A82B83"/>
    <w:rsid w:val="00A834F2"/>
    <w:rsid w:val="00A83570"/>
    <w:rsid w:val="00A83618"/>
    <w:rsid w:val="00A83793"/>
    <w:rsid w:val="00A83903"/>
    <w:rsid w:val="00A83C04"/>
    <w:rsid w:val="00A83E26"/>
    <w:rsid w:val="00A841CA"/>
    <w:rsid w:val="00A84438"/>
    <w:rsid w:val="00A84A7B"/>
    <w:rsid w:val="00A84AC0"/>
    <w:rsid w:val="00A84B27"/>
    <w:rsid w:val="00A855E1"/>
    <w:rsid w:val="00A8578B"/>
    <w:rsid w:val="00A86693"/>
    <w:rsid w:val="00A86B15"/>
    <w:rsid w:val="00A86BC1"/>
    <w:rsid w:val="00A86D73"/>
    <w:rsid w:val="00A87178"/>
    <w:rsid w:val="00A87216"/>
    <w:rsid w:val="00A8728D"/>
    <w:rsid w:val="00A872D1"/>
    <w:rsid w:val="00A87F99"/>
    <w:rsid w:val="00A902C7"/>
    <w:rsid w:val="00A90303"/>
    <w:rsid w:val="00A903A4"/>
    <w:rsid w:val="00A904AB"/>
    <w:rsid w:val="00A912A6"/>
    <w:rsid w:val="00A91354"/>
    <w:rsid w:val="00A9166F"/>
    <w:rsid w:val="00A919B3"/>
    <w:rsid w:val="00A91AB6"/>
    <w:rsid w:val="00A91CA0"/>
    <w:rsid w:val="00A922D1"/>
    <w:rsid w:val="00A9277A"/>
    <w:rsid w:val="00A92F73"/>
    <w:rsid w:val="00A93959"/>
    <w:rsid w:val="00A93CB0"/>
    <w:rsid w:val="00A93EC4"/>
    <w:rsid w:val="00A93ED0"/>
    <w:rsid w:val="00A93F0B"/>
    <w:rsid w:val="00A948AE"/>
    <w:rsid w:val="00A94A35"/>
    <w:rsid w:val="00A95816"/>
    <w:rsid w:val="00A9581F"/>
    <w:rsid w:val="00A95837"/>
    <w:rsid w:val="00A95983"/>
    <w:rsid w:val="00A95F3C"/>
    <w:rsid w:val="00A96127"/>
    <w:rsid w:val="00A96225"/>
    <w:rsid w:val="00A966DB"/>
    <w:rsid w:val="00A96773"/>
    <w:rsid w:val="00A97699"/>
    <w:rsid w:val="00A9792A"/>
    <w:rsid w:val="00AA00F5"/>
    <w:rsid w:val="00AA0111"/>
    <w:rsid w:val="00AA021D"/>
    <w:rsid w:val="00AA07E4"/>
    <w:rsid w:val="00AA0D8D"/>
    <w:rsid w:val="00AA119D"/>
    <w:rsid w:val="00AA1534"/>
    <w:rsid w:val="00AA157E"/>
    <w:rsid w:val="00AA1CB3"/>
    <w:rsid w:val="00AA1DF2"/>
    <w:rsid w:val="00AA261E"/>
    <w:rsid w:val="00AA27B3"/>
    <w:rsid w:val="00AA285E"/>
    <w:rsid w:val="00AA2A9C"/>
    <w:rsid w:val="00AA2AC0"/>
    <w:rsid w:val="00AA3D4F"/>
    <w:rsid w:val="00AA4D25"/>
    <w:rsid w:val="00AA5399"/>
    <w:rsid w:val="00AA5C56"/>
    <w:rsid w:val="00AA635B"/>
    <w:rsid w:val="00AA6627"/>
    <w:rsid w:val="00AA6874"/>
    <w:rsid w:val="00AA7852"/>
    <w:rsid w:val="00AA7CE9"/>
    <w:rsid w:val="00AA7D36"/>
    <w:rsid w:val="00AA7E9F"/>
    <w:rsid w:val="00AA7FE5"/>
    <w:rsid w:val="00AB0060"/>
    <w:rsid w:val="00AB010E"/>
    <w:rsid w:val="00AB06D1"/>
    <w:rsid w:val="00AB17AA"/>
    <w:rsid w:val="00AB23FF"/>
    <w:rsid w:val="00AB2513"/>
    <w:rsid w:val="00AB2521"/>
    <w:rsid w:val="00AB2AD9"/>
    <w:rsid w:val="00AB2BEF"/>
    <w:rsid w:val="00AB2CBC"/>
    <w:rsid w:val="00AB322D"/>
    <w:rsid w:val="00AB37F6"/>
    <w:rsid w:val="00AB3947"/>
    <w:rsid w:val="00AB3CE2"/>
    <w:rsid w:val="00AB452D"/>
    <w:rsid w:val="00AB45DB"/>
    <w:rsid w:val="00AB6942"/>
    <w:rsid w:val="00AB7285"/>
    <w:rsid w:val="00AB7700"/>
    <w:rsid w:val="00AB7EA5"/>
    <w:rsid w:val="00AB7FD2"/>
    <w:rsid w:val="00AC0CE4"/>
    <w:rsid w:val="00AC1142"/>
    <w:rsid w:val="00AC13B2"/>
    <w:rsid w:val="00AC1E70"/>
    <w:rsid w:val="00AC233B"/>
    <w:rsid w:val="00AC24AA"/>
    <w:rsid w:val="00AC2F7D"/>
    <w:rsid w:val="00AC34DF"/>
    <w:rsid w:val="00AC37B8"/>
    <w:rsid w:val="00AC3AF5"/>
    <w:rsid w:val="00AC3FD7"/>
    <w:rsid w:val="00AC40C0"/>
    <w:rsid w:val="00AC467C"/>
    <w:rsid w:val="00AC493D"/>
    <w:rsid w:val="00AC52A2"/>
    <w:rsid w:val="00AC55B1"/>
    <w:rsid w:val="00AC5C00"/>
    <w:rsid w:val="00AC637F"/>
    <w:rsid w:val="00AC7032"/>
    <w:rsid w:val="00AC7D66"/>
    <w:rsid w:val="00AC7DD7"/>
    <w:rsid w:val="00AD09B1"/>
    <w:rsid w:val="00AD0AA0"/>
    <w:rsid w:val="00AD0BAF"/>
    <w:rsid w:val="00AD0DB3"/>
    <w:rsid w:val="00AD1018"/>
    <w:rsid w:val="00AD1730"/>
    <w:rsid w:val="00AD1C4D"/>
    <w:rsid w:val="00AD1F16"/>
    <w:rsid w:val="00AD2D9D"/>
    <w:rsid w:val="00AD2E07"/>
    <w:rsid w:val="00AD3029"/>
    <w:rsid w:val="00AD30D9"/>
    <w:rsid w:val="00AD3400"/>
    <w:rsid w:val="00AD35C8"/>
    <w:rsid w:val="00AD37B8"/>
    <w:rsid w:val="00AD396F"/>
    <w:rsid w:val="00AD39CF"/>
    <w:rsid w:val="00AD46CA"/>
    <w:rsid w:val="00AD49BC"/>
    <w:rsid w:val="00AD4C49"/>
    <w:rsid w:val="00AD51C9"/>
    <w:rsid w:val="00AD51DE"/>
    <w:rsid w:val="00AD5280"/>
    <w:rsid w:val="00AD52F7"/>
    <w:rsid w:val="00AD55A4"/>
    <w:rsid w:val="00AD57D1"/>
    <w:rsid w:val="00AD5DE9"/>
    <w:rsid w:val="00AD61D4"/>
    <w:rsid w:val="00AD65DE"/>
    <w:rsid w:val="00AD6B92"/>
    <w:rsid w:val="00AD743A"/>
    <w:rsid w:val="00AD748B"/>
    <w:rsid w:val="00AE0492"/>
    <w:rsid w:val="00AE0728"/>
    <w:rsid w:val="00AE07A4"/>
    <w:rsid w:val="00AE08D8"/>
    <w:rsid w:val="00AE0B98"/>
    <w:rsid w:val="00AE143F"/>
    <w:rsid w:val="00AE1F26"/>
    <w:rsid w:val="00AE1F63"/>
    <w:rsid w:val="00AE2D54"/>
    <w:rsid w:val="00AE2E42"/>
    <w:rsid w:val="00AE30C1"/>
    <w:rsid w:val="00AE3381"/>
    <w:rsid w:val="00AE357B"/>
    <w:rsid w:val="00AE3902"/>
    <w:rsid w:val="00AE3D46"/>
    <w:rsid w:val="00AE40B1"/>
    <w:rsid w:val="00AE42B6"/>
    <w:rsid w:val="00AE4764"/>
    <w:rsid w:val="00AE495D"/>
    <w:rsid w:val="00AE4BE3"/>
    <w:rsid w:val="00AE4D66"/>
    <w:rsid w:val="00AE4ED1"/>
    <w:rsid w:val="00AE5436"/>
    <w:rsid w:val="00AE5B77"/>
    <w:rsid w:val="00AE5C99"/>
    <w:rsid w:val="00AE67EE"/>
    <w:rsid w:val="00AE6C02"/>
    <w:rsid w:val="00AE78AB"/>
    <w:rsid w:val="00AE7B23"/>
    <w:rsid w:val="00AF04A3"/>
    <w:rsid w:val="00AF04D6"/>
    <w:rsid w:val="00AF056B"/>
    <w:rsid w:val="00AF082F"/>
    <w:rsid w:val="00AF0B2F"/>
    <w:rsid w:val="00AF1057"/>
    <w:rsid w:val="00AF1277"/>
    <w:rsid w:val="00AF161E"/>
    <w:rsid w:val="00AF18C7"/>
    <w:rsid w:val="00AF1E2E"/>
    <w:rsid w:val="00AF226B"/>
    <w:rsid w:val="00AF2A4F"/>
    <w:rsid w:val="00AF3A74"/>
    <w:rsid w:val="00AF3D8C"/>
    <w:rsid w:val="00AF4336"/>
    <w:rsid w:val="00AF46CA"/>
    <w:rsid w:val="00AF46CE"/>
    <w:rsid w:val="00AF4B68"/>
    <w:rsid w:val="00AF55A9"/>
    <w:rsid w:val="00AF5B7C"/>
    <w:rsid w:val="00AF63D5"/>
    <w:rsid w:val="00AF66EB"/>
    <w:rsid w:val="00AF69CE"/>
    <w:rsid w:val="00AF6DBA"/>
    <w:rsid w:val="00AF7031"/>
    <w:rsid w:val="00AF770C"/>
    <w:rsid w:val="00AF78B2"/>
    <w:rsid w:val="00AF7AAE"/>
    <w:rsid w:val="00AF7D8D"/>
    <w:rsid w:val="00B0034E"/>
    <w:rsid w:val="00B003DF"/>
    <w:rsid w:val="00B00B92"/>
    <w:rsid w:val="00B00FFB"/>
    <w:rsid w:val="00B01225"/>
    <w:rsid w:val="00B0135D"/>
    <w:rsid w:val="00B02311"/>
    <w:rsid w:val="00B024C8"/>
    <w:rsid w:val="00B032D2"/>
    <w:rsid w:val="00B03693"/>
    <w:rsid w:val="00B03CBD"/>
    <w:rsid w:val="00B043C1"/>
    <w:rsid w:val="00B05684"/>
    <w:rsid w:val="00B05EB3"/>
    <w:rsid w:val="00B05F9E"/>
    <w:rsid w:val="00B062EA"/>
    <w:rsid w:val="00B0663D"/>
    <w:rsid w:val="00B06E32"/>
    <w:rsid w:val="00B06E4F"/>
    <w:rsid w:val="00B0723F"/>
    <w:rsid w:val="00B07D51"/>
    <w:rsid w:val="00B07F70"/>
    <w:rsid w:val="00B10031"/>
    <w:rsid w:val="00B10A8D"/>
    <w:rsid w:val="00B10B48"/>
    <w:rsid w:val="00B10F98"/>
    <w:rsid w:val="00B12049"/>
    <w:rsid w:val="00B125E1"/>
    <w:rsid w:val="00B129E4"/>
    <w:rsid w:val="00B12C81"/>
    <w:rsid w:val="00B13154"/>
    <w:rsid w:val="00B13217"/>
    <w:rsid w:val="00B140D4"/>
    <w:rsid w:val="00B141AB"/>
    <w:rsid w:val="00B15940"/>
    <w:rsid w:val="00B15C67"/>
    <w:rsid w:val="00B15D50"/>
    <w:rsid w:val="00B160DC"/>
    <w:rsid w:val="00B16785"/>
    <w:rsid w:val="00B16E33"/>
    <w:rsid w:val="00B1703C"/>
    <w:rsid w:val="00B171B8"/>
    <w:rsid w:val="00B1735F"/>
    <w:rsid w:val="00B17491"/>
    <w:rsid w:val="00B17585"/>
    <w:rsid w:val="00B17879"/>
    <w:rsid w:val="00B17B12"/>
    <w:rsid w:val="00B17D05"/>
    <w:rsid w:val="00B17D1C"/>
    <w:rsid w:val="00B17F08"/>
    <w:rsid w:val="00B2008C"/>
    <w:rsid w:val="00B20650"/>
    <w:rsid w:val="00B2073F"/>
    <w:rsid w:val="00B208D0"/>
    <w:rsid w:val="00B20E28"/>
    <w:rsid w:val="00B2108B"/>
    <w:rsid w:val="00B21287"/>
    <w:rsid w:val="00B21871"/>
    <w:rsid w:val="00B21A23"/>
    <w:rsid w:val="00B21D89"/>
    <w:rsid w:val="00B22023"/>
    <w:rsid w:val="00B2207E"/>
    <w:rsid w:val="00B22352"/>
    <w:rsid w:val="00B22806"/>
    <w:rsid w:val="00B22B60"/>
    <w:rsid w:val="00B23477"/>
    <w:rsid w:val="00B245A6"/>
    <w:rsid w:val="00B24640"/>
    <w:rsid w:val="00B24ECC"/>
    <w:rsid w:val="00B2517A"/>
    <w:rsid w:val="00B258CD"/>
    <w:rsid w:val="00B25AB2"/>
    <w:rsid w:val="00B25AC3"/>
    <w:rsid w:val="00B264C0"/>
    <w:rsid w:val="00B26C9F"/>
    <w:rsid w:val="00B27087"/>
    <w:rsid w:val="00B271D2"/>
    <w:rsid w:val="00B311BD"/>
    <w:rsid w:val="00B314A6"/>
    <w:rsid w:val="00B316A1"/>
    <w:rsid w:val="00B31AAA"/>
    <w:rsid w:val="00B3223A"/>
    <w:rsid w:val="00B3252C"/>
    <w:rsid w:val="00B326EC"/>
    <w:rsid w:val="00B330AD"/>
    <w:rsid w:val="00B330CF"/>
    <w:rsid w:val="00B33864"/>
    <w:rsid w:val="00B34763"/>
    <w:rsid w:val="00B348D0"/>
    <w:rsid w:val="00B34A3E"/>
    <w:rsid w:val="00B34A95"/>
    <w:rsid w:val="00B34C4A"/>
    <w:rsid w:val="00B34C9A"/>
    <w:rsid w:val="00B34E08"/>
    <w:rsid w:val="00B358CE"/>
    <w:rsid w:val="00B35F04"/>
    <w:rsid w:val="00B36083"/>
    <w:rsid w:val="00B36423"/>
    <w:rsid w:val="00B365AE"/>
    <w:rsid w:val="00B36767"/>
    <w:rsid w:val="00B368D5"/>
    <w:rsid w:val="00B37117"/>
    <w:rsid w:val="00B371F8"/>
    <w:rsid w:val="00B3729A"/>
    <w:rsid w:val="00B37411"/>
    <w:rsid w:val="00B37495"/>
    <w:rsid w:val="00B374E6"/>
    <w:rsid w:val="00B377EE"/>
    <w:rsid w:val="00B3786E"/>
    <w:rsid w:val="00B40054"/>
    <w:rsid w:val="00B403D9"/>
    <w:rsid w:val="00B40400"/>
    <w:rsid w:val="00B40838"/>
    <w:rsid w:val="00B40FCB"/>
    <w:rsid w:val="00B41054"/>
    <w:rsid w:val="00B41401"/>
    <w:rsid w:val="00B41EA2"/>
    <w:rsid w:val="00B432D0"/>
    <w:rsid w:val="00B438DC"/>
    <w:rsid w:val="00B43992"/>
    <w:rsid w:val="00B43D72"/>
    <w:rsid w:val="00B43FD9"/>
    <w:rsid w:val="00B44C2D"/>
    <w:rsid w:val="00B44DEC"/>
    <w:rsid w:val="00B451C5"/>
    <w:rsid w:val="00B454F2"/>
    <w:rsid w:val="00B45BC0"/>
    <w:rsid w:val="00B46355"/>
    <w:rsid w:val="00B4654E"/>
    <w:rsid w:val="00B46B8A"/>
    <w:rsid w:val="00B475C7"/>
    <w:rsid w:val="00B478A3"/>
    <w:rsid w:val="00B47A67"/>
    <w:rsid w:val="00B47FCF"/>
    <w:rsid w:val="00B5036E"/>
    <w:rsid w:val="00B513D9"/>
    <w:rsid w:val="00B51775"/>
    <w:rsid w:val="00B518D2"/>
    <w:rsid w:val="00B51ED7"/>
    <w:rsid w:val="00B52299"/>
    <w:rsid w:val="00B522F1"/>
    <w:rsid w:val="00B52DC0"/>
    <w:rsid w:val="00B53256"/>
    <w:rsid w:val="00B5349B"/>
    <w:rsid w:val="00B537C4"/>
    <w:rsid w:val="00B53AFF"/>
    <w:rsid w:val="00B54A24"/>
    <w:rsid w:val="00B54CA7"/>
    <w:rsid w:val="00B54DDF"/>
    <w:rsid w:val="00B54EA6"/>
    <w:rsid w:val="00B550BA"/>
    <w:rsid w:val="00B5546A"/>
    <w:rsid w:val="00B55858"/>
    <w:rsid w:val="00B558A4"/>
    <w:rsid w:val="00B559D4"/>
    <w:rsid w:val="00B56940"/>
    <w:rsid w:val="00B56A6F"/>
    <w:rsid w:val="00B56EF5"/>
    <w:rsid w:val="00B57D49"/>
    <w:rsid w:val="00B57EFA"/>
    <w:rsid w:val="00B6013E"/>
    <w:rsid w:val="00B60C5F"/>
    <w:rsid w:val="00B61186"/>
    <w:rsid w:val="00B611E5"/>
    <w:rsid w:val="00B6136D"/>
    <w:rsid w:val="00B6154C"/>
    <w:rsid w:val="00B619F9"/>
    <w:rsid w:val="00B61EFC"/>
    <w:rsid w:val="00B61FD9"/>
    <w:rsid w:val="00B623EE"/>
    <w:rsid w:val="00B629CD"/>
    <w:rsid w:val="00B62BAD"/>
    <w:rsid w:val="00B62C61"/>
    <w:rsid w:val="00B63C1C"/>
    <w:rsid w:val="00B63C35"/>
    <w:rsid w:val="00B63F11"/>
    <w:rsid w:val="00B644D5"/>
    <w:rsid w:val="00B644EB"/>
    <w:rsid w:val="00B647A8"/>
    <w:rsid w:val="00B652AE"/>
    <w:rsid w:val="00B6538B"/>
    <w:rsid w:val="00B65639"/>
    <w:rsid w:val="00B65952"/>
    <w:rsid w:val="00B65DC9"/>
    <w:rsid w:val="00B65E6A"/>
    <w:rsid w:val="00B665AF"/>
    <w:rsid w:val="00B66FB6"/>
    <w:rsid w:val="00B67966"/>
    <w:rsid w:val="00B70107"/>
    <w:rsid w:val="00B70B4F"/>
    <w:rsid w:val="00B70BFD"/>
    <w:rsid w:val="00B70D92"/>
    <w:rsid w:val="00B710AC"/>
    <w:rsid w:val="00B710BD"/>
    <w:rsid w:val="00B7150F"/>
    <w:rsid w:val="00B71A87"/>
    <w:rsid w:val="00B71B17"/>
    <w:rsid w:val="00B71D8B"/>
    <w:rsid w:val="00B72477"/>
    <w:rsid w:val="00B72649"/>
    <w:rsid w:val="00B728ED"/>
    <w:rsid w:val="00B7291A"/>
    <w:rsid w:val="00B72D05"/>
    <w:rsid w:val="00B72DA7"/>
    <w:rsid w:val="00B730CE"/>
    <w:rsid w:val="00B73D94"/>
    <w:rsid w:val="00B7403F"/>
    <w:rsid w:val="00B740D5"/>
    <w:rsid w:val="00B740F4"/>
    <w:rsid w:val="00B740FF"/>
    <w:rsid w:val="00B74DEC"/>
    <w:rsid w:val="00B7539A"/>
    <w:rsid w:val="00B75AE0"/>
    <w:rsid w:val="00B75BD2"/>
    <w:rsid w:val="00B76142"/>
    <w:rsid w:val="00B761ED"/>
    <w:rsid w:val="00B76BF0"/>
    <w:rsid w:val="00B76C7D"/>
    <w:rsid w:val="00B77325"/>
    <w:rsid w:val="00B774F2"/>
    <w:rsid w:val="00B7779B"/>
    <w:rsid w:val="00B77F92"/>
    <w:rsid w:val="00B802A6"/>
    <w:rsid w:val="00B8056F"/>
    <w:rsid w:val="00B806A2"/>
    <w:rsid w:val="00B80D71"/>
    <w:rsid w:val="00B80D93"/>
    <w:rsid w:val="00B81C97"/>
    <w:rsid w:val="00B81D7F"/>
    <w:rsid w:val="00B82015"/>
    <w:rsid w:val="00B82149"/>
    <w:rsid w:val="00B82164"/>
    <w:rsid w:val="00B8224B"/>
    <w:rsid w:val="00B82467"/>
    <w:rsid w:val="00B824CB"/>
    <w:rsid w:val="00B82B8C"/>
    <w:rsid w:val="00B83487"/>
    <w:rsid w:val="00B83801"/>
    <w:rsid w:val="00B838BF"/>
    <w:rsid w:val="00B83FA4"/>
    <w:rsid w:val="00B84046"/>
    <w:rsid w:val="00B844FB"/>
    <w:rsid w:val="00B84790"/>
    <w:rsid w:val="00B848B1"/>
    <w:rsid w:val="00B849EC"/>
    <w:rsid w:val="00B84E45"/>
    <w:rsid w:val="00B850B6"/>
    <w:rsid w:val="00B8550B"/>
    <w:rsid w:val="00B858FC"/>
    <w:rsid w:val="00B85958"/>
    <w:rsid w:val="00B85C09"/>
    <w:rsid w:val="00B86066"/>
    <w:rsid w:val="00B87094"/>
    <w:rsid w:val="00B87AFE"/>
    <w:rsid w:val="00B905A5"/>
    <w:rsid w:val="00B91031"/>
    <w:rsid w:val="00B92680"/>
    <w:rsid w:val="00B93220"/>
    <w:rsid w:val="00B9332A"/>
    <w:rsid w:val="00B93425"/>
    <w:rsid w:val="00B93ADC"/>
    <w:rsid w:val="00B940AD"/>
    <w:rsid w:val="00B94230"/>
    <w:rsid w:val="00B94B1C"/>
    <w:rsid w:val="00B9509E"/>
    <w:rsid w:val="00B953A9"/>
    <w:rsid w:val="00B9540D"/>
    <w:rsid w:val="00B9597C"/>
    <w:rsid w:val="00B95A1B"/>
    <w:rsid w:val="00B95F92"/>
    <w:rsid w:val="00B96311"/>
    <w:rsid w:val="00B9645E"/>
    <w:rsid w:val="00B964E0"/>
    <w:rsid w:val="00B9688A"/>
    <w:rsid w:val="00B976F0"/>
    <w:rsid w:val="00B97E29"/>
    <w:rsid w:val="00B97E5D"/>
    <w:rsid w:val="00B97EA4"/>
    <w:rsid w:val="00BA0438"/>
    <w:rsid w:val="00BA0451"/>
    <w:rsid w:val="00BA07CE"/>
    <w:rsid w:val="00BA1504"/>
    <w:rsid w:val="00BA1542"/>
    <w:rsid w:val="00BA1825"/>
    <w:rsid w:val="00BA2257"/>
    <w:rsid w:val="00BA2311"/>
    <w:rsid w:val="00BA2452"/>
    <w:rsid w:val="00BA2551"/>
    <w:rsid w:val="00BA2B55"/>
    <w:rsid w:val="00BA2C6E"/>
    <w:rsid w:val="00BA3035"/>
    <w:rsid w:val="00BA44AE"/>
    <w:rsid w:val="00BA4B63"/>
    <w:rsid w:val="00BA5234"/>
    <w:rsid w:val="00BA52EE"/>
    <w:rsid w:val="00BA58A2"/>
    <w:rsid w:val="00BA60BA"/>
    <w:rsid w:val="00BA6BB5"/>
    <w:rsid w:val="00BA6C2F"/>
    <w:rsid w:val="00BA6D52"/>
    <w:rsid w:val="00BA7321"/>
    <w:rsid w:val="00BA7686"/>
    <w:rsid w:val="00BA79BB"/>
    <w:rsid w:val="00BA79F9"/>
    <w:rsid w:val="00BA7D23"/>
    <w:rsid w:val="00BA7E18"/>
    <w:rsid w:val="00BB15D9"/>
    <w:rsid w:val="00BB1B57"/>
    <w:rsid w:val="00BB1D23"/>
    <w:rsid w:val="00BB206C"/>
    <w:rsid w:val="00BB226D"/>
    <w:rsid w:val="00BB24CD"/>
    <w:rsid w:val="00BB277F"/>
    <w:rsid w:val="00BB32DB"/>
    <w:rsid w:val="00BB3CAD"/>
    <w:rsid w:val="00BB4644"/>
    <w:rsid w:val="00BB48AE"/>
    <w:rsid w:val="00BB48C2"/>
    <w:rsid w:val="00BB4A4F"/>
    <w:rsid w:val="00BB4F12"/>
    <w:rsid w:val="00BB5181"/>
    <w:rsid w:val="00BB5312"/>
    <w:rsid w:val="00BB6073"/>
    <w:rsid w:val="00BB668E"/>
    <w:rsid w:val="00BB75BF"/>
    <w:rsid w:val="00BB77A6"/>
    <w:rsid w:val="00BB77C7"/>
    <w:rsid w:val="00BB7ED1"/>
    <w:rsid w:val="00BC043D"/>
    <w:rsid w:val="00BC079C"/>
    <w:rsid w:val="00BC0A05"/>
    <w:rsid w:val="00BC15EB"/>
    <w:rsid w:val="00BC1A04"/>
    <w:rsid w:val="00BC210F"/>
    <w:rsid w:val="00BC27F3"/>
    <w:rsid w:val="00BC2895"/>
    <w:rsid w:val="00BC29DE"/>
    <w:rsid w:val="00BC3033"/>
    <w:rsid w:val="00BC3196"/>
    <w:rsid w:val="00BC31D4"/>
    <w:rsid w:val="00BC33FD"/>
    <w:rsid w:val="00BC36C3"/>
    <w:rsid w:val="00BC3771"/>
    <w:rsid w:val="00BC381C"/>
    <w:rsid w:val="00BC3B17"/>
    <w:rsid w:val="00BC3F12"/>
    <w:rsid w:val="00BC4A63"/>
    <w:rsid w:val="00BC50E5"/>
    <w:rsid w:val="00BC5E98"/>
    <w:rsid w:val="00BC6053"/>
    <w:rsid w:val="00BC66BA"/>
    <w:rsid w:val="00BC6D21"/>
    <w:rsid w:val="00BC749F"/>
    <w:rsid w:val="00BC7764"/>
    <w:rsid w:val="00BC777E"/>
    <w:rsid w:val="00BC7B73"/>
    <w:rsid w:val="00BC7D45"/>
    <w:rsid w:val="00BD000A"/>
    <w:rsid w:val="00BD005D"/>
    <w:rsid w:val="00BD011C"/>
    <w:rsid w:val="00BD044B"/>
    <w:rsid w:val="00BD0CF5"/>
    <w:rsid w:val="00BD2D41"/>
    <w:rsid w:val="00BD37A0"/>
    <w:rsid w:val="00BD3919"/>
    <w:rsid w:val="00BD3C63"/>
    <w:rsid w:val="00BD3DC1"/>
    <w:rsid w:val="00BD3FC9"/>
    <w:rsid w:val="00BD44BB"/>
    <w:rsid w:val="00BD4943"/>
    <w:rsid w:val="00BD4FEF"/>
    <w:rsid w:val="00BD5312"/>
    <w:rsid w:val="00BD61D6"/>
    <w:rsid w:val="00BD6839"/>
    <w:rsid w:val="00BD6AF9"/>
    <w:rsid w:val="00BD7116"/>
    <w:rsid w:val="00BD7B8C"/>
    <w:rsid w:val="00BE077B"/>
    <w:rsid w:val="00BE0942"/>
    <w:rsid w:val="00BE096A"/>
    <w:rsid w:val="00BE0973"/>
    <w:rsid w:val="00BE130D"/>
    <w:rsid w:val="00BE2B57"/>
    <w:rsid w:val="00BE2D11"/>
    <w:rsid w:val="00BE2EC1"/>
    <w:rsid w:val="00BE37B4"/>
    <w:rsid w:val="00BE3A48"/>
    <w:rsid w:val="00BE3AA7"/>
    <w:rsid w:val="00BE3CF8"/>
    <w:rsid w:val="00BE54BA"/>
    <w:rsid w:val="00BE585B"/>
    <w:rsid w:val="00BE6254"/>
    <w:rsid w:val="00BE6265"/>
    <w:rsid w:val="00BE6780"/>
    <w:rsid w:val="00BE6E88"/>
    <w:rsid w:val="00BE6F48"/>
    <w:rsid w:val="00BE6FB6"/>
    <w:rsid w:val="00BE6FE7"/>
    <w:rsid w:val="00BE7BA9"/>
    <w:rsid w:val="00BE7BFA"/>
    <w:rsid w:val="00BE7D40"/>
    <w:rsid w:val="00BE7E12"/>
    <w:rsid w:val="00BF096E"/>
    <w:rsid w:val="00BF14F2"/>
    <w:rsid w:val="00BF1665"/>
    <w:rsid w:val="00BF1A18"/>
    <w:rsid w:val="00BF1B04"/>
    <w:rsid w:val="00BF2773"/>
    <w:rsid w:val="00BF2B72"/>
    <w:rsid w:val="00BF3264"/>
    <w:rsid w:val="00BF36C3"/>
    <w:rsid w:val="00BF3822"/>
    <w:rsid w:val="00BF38D5"/>
    <w:rsid w:val="00BF43E2"/>
    <w:rsid w:val="00BF46AB"/>
    <w:rsid w:val="00BF4BB7"/>
    <w:rsid w:val="00BF4F61"/>
    <w:rsid w:val="00BF4F71"/>
    <w:rsid w:val="00BF54FD"/>
    <w:rsid w:val="00BF5849"/>
    <w:rsid w:val="00BF590E"/>
    <w:rsid w:val="00BF59B3"/>
    <w:rsid w:val="00BF5BEC"/>
    <w:rsid w:val="00BF5D6A"/>
    <w:rsid w:val="00BF5EE3"/>
    <w:rsid w:val="00BF629C"/>
    <w:rsid w:val="00BF65FE"/>
    <w:rsid w:val="00BF6858"/>
    <w:rsid w:val="00BF6B54"/>
    <w:rsid w:val="00BF7C1B"/>
    <w:rsid w:val="00BF7DE1"/>
    <w:rsid w:val="00C00747"/>
    <w:rsid w:val="00C00C1D"/>
    <w:rsid w:val="00C00C61"/>
    <w:rsid w:val="00C017DA"/>
    <w:rsid w:val="00C01806"/>
    <w:rsid w:val="00C0184A"/>
    <w:rsid w:val="00C018C3"/>
    <w:rsid w:val="00C01FCB"/>
    <w:rsid w:val="00C0254A"/>
    <w:rsid w:val="00C02D72"/>
    <w:rsid w:val="00C03792"/>
    <w:rsid w:val="00C03F09"/>
    <w:rsid w:val="00C03F7C"/>
    <w:rsid w:val="00C03FED"/>
    <w:rsid w:val="00C04390"/>
    <w:rsid w:val="00C0498B"/>
    <w:rsid w:val="00C04CCF"/>
    <w:rsid w:val="00C04E29"/>
    <w:rsid w:val="00C04F7D"/>
    <w:rsid w:val="00C05412"/>
    <w:rsid w:val="00C068F3"/>
    <w:rsid w:val="00C06AB9"/>
    <w:rsid w:val="00C0789B"/>
    <w:rsid w:val="00C07923"/>
    <w:rsid w:val="00C07CA5"/>
    <w:rsid w:val="00C07FA3"/>
    <w:rsid w:val="00C10A58"/>
    <w:rsid w:val="00C10D17"/>
    <w:rsid w:val="00C10DBC"/>
    <w:rsid w:val="00C1166D"/>
    <w:rsid w:val="00C11B6E"/>
    <w:rsid w:val="00C11D42"/>
    <w:rsid w:val="00C11F48"/>
    <w:rsid w:val="00C12029"/>
    <w:rsid w:val="00C12264"/>
    <w:rsid w:val="00C12A2B"/>
    <w:rsid w:val="00C13747"/>
    <w:rsid w:val="00C13F36"/>
    <w:rsid w:val="00C14273"/>
    <w:rsid w:val="00C1449A"/>
    <w:rsid w:val="00C148AF"/>
    <w:rsid w:val="00C157E9"/>
    <w:rsid w:val="00C15976"/>
    <w:rsid w:val="00C15AB9"/>
    <w:rsid w:val="00C15D14"/>
    <w:rsid w:val="00C15D20"/>
    <w:rsid w:val="00C16C5F"/>
    <w:rsid w:val="00C171BC"/>
    <w:rsid w:val="00C175A7"/>
    <w:rsid w:val="00C17972"/>
    <w:rsid w:val="00C17EC6"/>
    <w:rsid w:val="00C205B6"/>
    <w:rsid w:val="00C20ECE"/>
    <w:rsid w:val="00C20EEF"/>
    <w:rsid w:val="00C2135F"/>
    <w:rsid w:val="00C21902"/>
    <w:rsid w:val="00C221E5"/>
    <w:rsid w:val="00C22587"/>
    <w:rsid w:val="00C225D9"/>
    <w:rsid w:val="00C239DB"/>
    <w:rsid w:val="00C23B1F"/>
    <w:rsid w:val="00C24688"/>
    <w:rsid w:val="00C24956"/>
    <w:rsid w:val="00C24A49"/>
    <w:rsid w:val="00C24E90"/>
    <w:rsid w:val="00C25269"/>
    <w:rsid w:val="00C2539C"/>
    <w:rsid w:val="00C2555F"/>
    <w:rsid w:val="00C256C9"/>
    <w:rsid w:val="00C25998"/>
    <w:rsid w:val="00C26483"/>
    <w:rsid w:val="00C26670"/>
    <w:rsid w:val="00C27375"/>
    <w:rsid w:val="00C277C7"/>
    <w:rsid w:val="00C27FBF"/>
    <w:rsid w:val="00C305A1"/>
    <w:rsid w:val="00C30934"/>
    <w:rsid w:val="00C30950"/>
    <w:rsid w:val="00C30AB7"/>
    <w:rsid w:val="00C30E7A"/>
    <w:rsid w:val="00C327BD"/>
    <w:rsid w:val="00C329BE"/>
    <w:rsid w:val="00C32C2F"/>
    <w:rsid w:val="00C32E9D"/>
    <w:rsid w:val="00C334C2"/>
    <w:rsid w:val="00C338A4"/>
    <w:rsid w:val="00C33A39"/>
    <w:rsid w:val="00C340AF"/>
    <w:rsid w:val="00C3461F"/>
    <w:rsid w:val="00C34BC8"/>
    <w:rsid w:val="00C34DE9"/>
    <w:rsid w:val="00C34F08"/>
    <w:rsid w:val="00C3535A"/>
    <w:rsid w:val="00C36366"/>
    <w:rsid w:val="00C36477"/>
    <w:rsid w:val="00C36FC1"/>
    <w:rsid w:val="00C371C2"/>
    <w:rsid w:val="00C3792D"/>
    <w:rsid w:val="00C401ED"/>
    <w:rsid w:val="00C40525"/>
    <w:rsid w:val="00C41D3C"/>
    <w:rsid w:val="00C41E1A"/>
    <w:rsid w:val="00C4269C"/>
    <w:rsid w:val="00C42BA6"/>
    <w:rsid w:val="00C43533"/>
    <w:rsid w:val="00C43800"/>
    <w:rsid w:val="00C43A9A"/>
    <w:rsid w:val="00C43AC8"/>
    <w:rsid w:val="00C43ED4"/>
    <w:rsid w:val="00C43F01"/>
    <w:rsid w:val="00C44A63"/>
    <w:rsid w:val="00C4540E"/>
    <w:rsid w:val="00C45619"/>
    <w:rsid w:val="00C4589D"/>
    <w:rsid w:val="00C45DCD"/>
    <w:rsid w:val="00C461CF"/>
    <w:rsid w:val="00C46425"/>
    <w:rsid w:val="00C465FA"/>
    <w:rsid w:val="00C466A9"/>
    <w:rsid w:val="00C46714"/>
    <w:rsid w:val="00C4691B"/>
    <w:rsid w:val="00C46A6B"/>
    <w:rsid w:val="00C46B68"/>
    <w:rsid w:val="00C46BB1"/>
    <w:rsid w:val="00C4729F"/>
    <w:rsid w:val="00C478E3"/>
    <w:rsid w:val="00C47F03"/>
    <w:rsid w:val="00C5012A"/>
    <w:rsid w:val="00C5015D"/>
    <w:rsid w:val="00C5023E"/>
    <w:rsid w:val="00C50F57"/>
    <w:rsid w:val="00C511DD"/>
    <w:rsid w:val="00C5149B"/>
    <w:rsid w:val="00C51BE5"/>
    <w:rsid w:val="00C527B6"/>
    <w:rsid w:val="00C53353"/>
    <w:rsid w:val="00C5360C"/>
    <w:rsid w:val="00C53BF5"/>
    <w:rsid w:val="00C5428D"/>
    <w:rsid w:val="00C54772"/>
    <w:rsid w:val="00C54791"/>
    <w:rsid w:val="00C548EE"/>
    <w:rsid w:val="00C54D16"/>
    <w:rsid w:val="00C554E7"/>
    <w:rsid w:val="00C5566D"/>
    <w:rsid w:val="00C5612A"/>
    <w:rsid w:val="00C5629B"/>
    <w:rsid w:val="00C56974"/>
    <w:rsid w:val="00C56C5B"/>
    <w:rsid w:val="00C5778E"/>
    <w:rsid w:val="00C60634"/>
    <w:rsid w:val="00C60B3E"/>
    <w:rsid w:val="00C60D2B"/>
    <w:rsid w:val="00C61219"/>
    <w:rsid w:val="00C618A8"/>
    <w:rsid w:val="00C629D0"/>
    <w:rsid w:val="00C62BED"/>
    <w:rsid w:val="00C62E87"/>
    <w:rsid w:val="00C631CC"/>
    <w:rsid w:val="00C632DF"/>
    <w:rsid w:val="00C63F23"/>
    <w:rsid w:val="00C649DE"/>
    <w:rsid w:val="00C6507E"/>
    <w:rsid w:val="00C651AE"/>
    <w:rsid w:val="00C65E3E"/>
    <w:rsid w:val="00C664EE"/>
    <w:rsid w:val="00C673D5"/>
    <w:rsid w:val="00C6753A"/>
    <w:rsid w:val="00C677AD"/>
    <w:rsid w:val="00C7018A"/>
    <w:rsid w:val="00C70485"/>
    <w:rsid w:val="00C708DB"/>
    <w:rsid w:val="00C710EA"/>
    <w:rsid w:val="00C712BA"/>
    <w:rsid w:val="00C71364"/>
    <w:rsid w:val="00C718B5"/>
    <w:rsid w:val="00C71A58"/>
    <w:rsid w:val="00C71CDA"/>
    <w:rsid w:val="00C71CF9"/>
    <w:rsid w:val="00C725FA"/>
    <w:rsid w:val="00C72A73"/>
    <w:rsid w:val="00C73253"/>
    <w:rsid w:val="00C73655"/>
    <w:rsid w:val="00C7398D"/>
    <w:rsid w:val="00C73B78"/>
    <w:rsid w:val="00C74BFB"/>
    <w:rsid w:val="00C74C5C"/>
    <w:rsid w:val="00C74D0C"/>
    <w:rsid w:val="00C75526"/>
    <w:rsid w:val="00C756DD"/>
    <w:rsid w:val="00C75C62"/>
    <w:rsid w:val="00C75E75"/>
    <w:rsid w:val="00C76447"/>
    <w:rsid w:val="00C7688F"/>
    <w:rsid w:val="00C776CB"/>
    <w:rsid w:val="00C80631"/>
    <w:rsid w:val="00C80740"/>
    <w:rsid w:val="00C80769"/>
    <w:rsid w:val="00C80CB0"/>
    <w:rsid w:val="00C80E9B"/>
    <w:rsid w:val="00C81FE2"/>
    <w:rsid w:val="00C8201A"/>
    <w:rsid w:val="00C82667"/>
    <w:rsid w:val="00C83548"/>
    <w:rsid w:val="00C83764"/>
    <w:rsid w:val="00C83943"/>
    <w:rsid w:val="00C839E6"/>
    <w:rsid w:val="00C83B41"/>
    <w:rsid w:val="00C83B60"/>
    <w:rsid w:val="00C83F71"/>
    <w:rsid w:val="00C8475A"/>
    <w:rsid w:val="00C8509C"/>
    <w:rsid w:val="00C859FC"/>
    <w:rsid w:val="00C85C69"/>
    <w:rsid w:val="00C85DEE"/>
    <w:rsid w:val="00C86041"/>
    <w:rsid w:val="00C86405"/>
    <w:rsid w:val="00C864E0"/>
    <w:rsid w:val="00C867E4"/>
    <w:rsid w:val="00C86CF3"/>
    <w:rsid w:val="00C86FF7"/>
    <w:rsid w:val="00C871E1"/>
    <w:rsid w:val="00C872C7"/>
    <w:rsid w:val="00C8755B"/>
    <w:rsid w:val="00C87A45"/>
    <w:rsid w:val="00C87D7F"/>
    <w:rsid w:val="00C90354"/>
    <w:rsid w:val="00C9090F"/>
    <w:rsid w:val="00C90931"/>
    <w:rsid w:val="00C9145D"/>
    <w:rsid w:val="00C917D3"/>
    <w:rsid w:val="00C92319"/>
    <w:rsid w:val="00C9294B"/>
    <w:rsid w:val="00C92C93"/>
    <w:rsid w:val="00C931BF"/>
    <w:rsid w:val="00C93253"/>
    <w:rsid w:val="00C93A83"/>
    <w:rsid w:val="00C93BFD"/>
    <w:rsid w:val="00C94355"/>
    <w:rsid w:val="00C947CB"/>
    <w:rsid w:val="00C94934"/>
    <w:rsid w:val="00C94970"/>
    <w:rsid w:val="00C94C72"/>
    <w:rsid w:val="00C94D4D"/>
    <w:rsid w:val="00C94EA1"/>
    <w:rsid w:val="00C9555C"/>
    <w:rsid w:val="00C95649"/>
    <w:rsid w:val="00C9574B"/>
    <w:rsid w:val="00C95AF4"/>
    <w:rsid w:val="00C95CCA"/>
    <w:rsid w:val="00C9602F"/>
    <w:rsid w:val="00C96032"/>
    <w:rsid w:val="00C96479"/>
    <w:rsid w:val="00C9647A"/>
    <w:rsid w:val="00C9670C"/>
    <w:rsid w:val="00C96BDE"/>
    <w:rsid w:val="00C96C54"/>
    <w:rsid w:val="00C96D0B"/>
    <w:rsid w:val="00C97090"/>
    <w:rsid w:val="00C971FC"/>
    <w:rsid w:val="00C97CB8"/>
    <w:rsid w:val="00CA0149"/>
    <w:rsid w:val="00CA0243"/>
    <w:rsid w:val="00CA0443"/>
    <w:rsid w:val="00CA0AD2"/>
    <w:rsid w:val="00CA0DC1"/>
    <w:rsid w:val="00CA0E2D"/>
    <w:rsid w:val="00CA0E3E"/>
    <w:rsid w:val="00CA15CE"/>
    <w:rsid w:val="00CA1990"/>
    <w:rsid w:val="00CA1D4B"/>
    <w:rsid w:val="00CA1F97"/>
    <w:rsid w:val="00CA2054"/>
    <w:rsid w:val="00CA277F"/>
    <w:rsid w:val="00CA2814"/>
    <w:rsid w:val="00CA3B5C"/>
    <w:rsid w:val="00CA41EB"/>
    <w:rsid w:val="00CA42EB"/>
    <w:rsid w:val="00CA4334"/>
    <w:rsid w:val="00CA4388"/>
    <w:rsid w:val="00CA45C4"/>
    <w:rsid w:val="00CA4CB9"/>
    <w:rsid w:val="00CA571A"/>
    <w:rsid w:val="00CA5C9F"/>
    <w:rsid w:val="00CA5D47"/>
    <w:rsid w:val="00CA5DAA"/>
    <w:rsid w:val="00CA5F2A"/>
    <w:rsid w:val="00CA6BA6"/>
    <w:rsid w:val="00CA6E49"/>
    <w:rsid w:val="00CA6F0F"/>
    <w:rsid w:val="00CA7126"/>
    <w:rsid w:val="00CA74F6"/>
    <w:rsid w:val="00CA7653"/>
    <w:rsid w:val="00CA776E"/>
    <w:rsid w:val="00CA7B26"/>
    <w:rsid w:val="00CB02B4"/>
    <w:rsid w:val="00CB17B1"/>
    <w:rsid w:val="00CB1BFB"/>
    <w:rsid w:val="00CB1D52"/>
    <w:rsid w:val="00CB25B6"/>
    <w:rsid w:val="00CB2644"/>
    <w:rsid w:val="00CB3162"/>
    <w:rsid w:val="00CB32EF"/>
    <w:rsid w:val="00CB339E"/>
    <w:rsid w:val="00CB3589"/>
    <w:rsid w:val="00CB3DD3"/>
    <w:rsid w:val="00CB3E50"/>
    <w:rsid w:val="00CB3F46"/>
    <w:rsid w:val="00CB4057"/>
    <w:rsid w:val="00CB444B"/>
    <w:rsid w:val="00CB4D82"/>
    <w:rsid w:val="00CB4F19"/>
    <w:rsid w:val="00CB5494"/>
    <w:rsid w:val="00CB5DFA"/>
    <w:rsid w:val="00CB667F"/>
    <w:rsid w:val="00CB671A"/>
    <w:rsid w:val="00CB76A5"/>
    <w:rsid w:val="00CB7F70"/>
    <w:rsid w:val="00CC006A"/>
    <w:rsid w:val="00CC01A9"/>
    <w:rsid w:val="00CC0467"/>
    <w:rsid w:val="00CC0A60"/>
    <w:rsid w:val="00CC10E6"/>
    <w:rsid w:val="00CC1469"/>
    <w:rsid w:val="00CC17E4"/>
    <w:rsid w:val="00CC1E7C"/>
    <w:rsid w:val="00CC24A4"/>
    <w:rsid w:val="00CC253F"/>
    <w:rsid w:val="00CC2760"/>
    <w:rsid w:val="00CC3020"/>
    <w:rsid w:val="00CC3A01"/>
    <w:rsid w:val="00CC3D8E"/>
    <w:rsid w:val="00CC493B"/>
    <w:rsid w:val="00CC4CAA"/>
    <w:rsid w:val="00CC4F04"/>
    <w:rsid w:val="00CC4FF5"/>
    <w:rsid w:val="00CC52CC"/>
    <w:rsid w:val="00CC5ACA"/>
    <w:rsid w:val="00CC5F46"/>
    <w:rsid w:val="00CC623C"/>
    <w:rsid w:val="00CC6313"/>
    <w:rsid w:val="00CC6C31"/>
    <w:rsid w:val="00CC7330"/>
    <w:rsid w:val="00CD0274"/>
    <w:rsid w:val="00CD02F7"/>
    <w:rsid w:val="00CD0A31"/>
    <w:rsid w:val="00CD0B7A"/>
    <w:rsid w:val="00CD1107"/>
    <w:rsid w:val="00CD1312"/>
    <w:rsid w:val="00CD1604"/>
    <w:rsid w:val="00CD24E4"/>
    <w:rsid w:val="00CD25BE"/>
    <w:rsid w:val="00CD2F87"/>
    <w:rsid w:val="00CD3F1D"/>
    <w:rsid w:val="00CD3FE5"/>
    <w:rsid w:val="00CD4683"/>
    <w:rsid w:val="00CD4E46"/>
    <w:rsid w:val="00CD541D"/>
    <w:rsid w:val="00CD5E18"/>
    <w:rsid w:val="00CD5F50"/>
    <w:rsid w:val="00CD616F"/>
    <w:rsid w:val="00CD6568"/>
    <w:rsid w:val="00CD66F1"/>
    <w:rsid w:val="00CD73D5"/>
    <w:rsid w:val="00CD7B0F"/>
    <w:rsid w:val="00CD7B62"/>
    <w:rsid w:val="00CD7F81"/>
    <w:rsid w:val="00CE0320"/>
    <w:rsid w:val="00CE04D7"/>
    <w:rsid w:val="00CE108A"/>
    <w:rsid w:val="00CE1529"/>
    <w:rsid w:val="00CE2415"/>
    <w:rsid w:val="00CE2571"/>
    <w:rsid w:val="00CE2863"/>
    <w:rsid w:val="00CE2996"/>
    <w:rsid w:val="00CE2C5C"/>
    <w:rsid w:val="00CE306B"/>
    <w:rsid w:val="00CE3405"/>
    <w:rsid w:val="00CE35A2"/>
    <w:rsid w:val="00CE3D20"/>
    <w:rsid w:val="00CE4078"/>
    <w:rsid w:val="00CE4308"/>
    <w:rsid w:val="00CE4D37"/>
    <w:rsid w:val="00CE5347"/>
    <w:rsid w:val="00CE5379"/>
    <w:rsid w:val="00CE57DB"/>
    <w:rsid w:val="00CE5DB8"/>
    <w:rsid w:val="00CE60FF"/>
    <w:rsid w:val="00CE620C"/>
    <w:rsid w:val="00CE6310"/>
    <w:rsid w:val="00CE649E"/>
    <w:rsid w:val="00CE66DE"/>
    <w:rsid w:val="00CE67D5"/>
    <w:rsid w:val="00CE67F3"/>
    <w:rsid w:val="00CE6BA1"/>
    <w:rsid w:val="00CE6FDA"/>
    <w:rsid w:val="00CE7176"/>
    <w:rsid w:val="00CE774F"/>
    <w:rsid w:val="00CE7982"/>
    <w:rsid w:val="00CF0309"/>
    <w:rsid w:val="00CF0634"/>
    <w:rsid w:val="00CF0A86"/>
    <w:rsid w:val="00CF15C3"/>
    <w:rsid w:val="00CF1B8C"/>
    <w:rsid w:val="00CF1F20"/>
    <w:rsid w:val="00CF1FFF"/>
    <w:rsid w:val="00CF22B5"/>
    <w:rsid w:val="00CF2600"/>
    <w:rsid w:val="00CF2856"/>
    <w:rsid w:val="00CF311B"/>
    <w:rsid w:val="00CF3A94"/>
    <w:rsid w:val="00CF3CA9"/>
    <w:rsid w:val="00CF436E"/>
    <w:rsid w:val="00CF45EB"/>
    <w:rsid w:val="00CF4713"/>
    <w:rsid w:val="00CF5178"/>
    <w:rsid w:val="00CF550F"/>
    <w:rsid w:val="00CF5554"/>
    <w:rsid w:val="00CF55FE"/>
    <w:rsid w:val="00CF5887"/>
    <w:rsid w:val="00CF5926"/>
    <w:rsid w:val="00CF615A"/>
    <w:rsid w:val="00CF6E2E"/>
    <w:rsid w:val="00CF6FF9"/>
    <w:rsid w:val="00CF7126"/>
    <w:rsid w:val="00CF7625"/>
    <w:rsid w:val="00D007CE"/>
    <w:rsid w:val="00D00932"/>
    <w:rsid w:val="00D00FC2"/>
    <w:rsid w:val="00D011DB"/>
    <w:rsid w:val="00D01B54"/>
    <w:rsid w:val="00D01E18"/>
    <w:rsid w:val="00D02544"/>
    <w:rsid w:val="00D0267D"/>
    <w:rsid w:val="00D027B6"/>
    <w:rsid w:val="00D02F0D"/>
    <w:rsid w:val="00D03BEE"/>
    <w:rsid w:val="00D04178"/>
    <w:rsid w:val="00D043F9"/>
    <w:rsid w:val="00D044DB"/>
    <w:rsid w:val="00D04923"/>
    <w:rsid w:val="00D0514E"/>
    <w:rsid w:val="00D058B4"/>
    <w:rsid w:val="00D059E1"/>
    <w:rsid w:val="00D05AD6"/>
    <w:rsid w:val="00D05DEA"/>
    <w:rsid w:val="00D06063"/>
    <w:rsid w:val="00D071A3"/>
    <w:rsid w:val="00D07468"/>
    <w:rsid w:val="00D0790F"/>
    <w:rsid w:val="00D07948"/>
    <w:rsid w:val="00D10A57"/>
    <w:rsid w:val="00D10AB8"/>
    <w:rsid w:val="00D10ADD"/>
    <w:rsid w:val="00D10F9E"/>
    <w:rsid w:val="00D119F8"/>
    <w:rsid w:val="00D11EBF"/>
    <w:rsid w:val="00D124C0"/>
    <w:rsid w:val="00D1284C"/>
    <w:rsid w:val="00D1287F"/>
    <w:rsid w:val="00D12AB2"/>
    <w:rsid w:val="00D13251"/>
    <w:rsid w:val="00D1337F"/>
    <w:rsid w:val="00D139C4"/>
    <w:rsid w:val="00D13C16"/>
    <w:rsid w:val="00D13C1C"/>
    <w:rsid w:val="00D13D46"/>
    <w:rsid w:val="00D1536D"/>
    <w:rsid w:val="00D15552"/>
    <w:rsid w:val="00D155A3"/>
    <w:rsid w:val="00D15890"/>
    <w:rsid w:val="00D15F11"/>
    <w:rsid w:val="00D16106"/>
    <w:rsid w:val="00D1618D"/>
    <w:rsid w:val="00D16199"/>
    <w:rsid w:val="00D161D1"/>
    <w:rsid w:val="00D16E2F"/>
    <w:rsid w:val="00D17095"/>
    <w:rsid w:val="00D171D2"/>
    <w:rsid w:val="00D17614"/>
    <w:rsid w:val="00D202F2"/>
    <w:rsid w:val="00D2096D"/>
    <w:rsid w:val="00D211F3"/>
    <w:rsid w:val="00D21F74"/>
    <w:rsid w:val="00D22175"/>
    <w:rsid w:val="00D22185"/>
    <w:rsid w:val="00D2259E"/>
    <w:rsid w:val="00D22BD3"/>
    <w:rsid w:val="00D23126"/>
    <w:rsid w:val="00D23888"/>
    <w:rsid w:val="00D2396F"/>
    <w:rsid w:val="00D23D47"/>
    <w:rsid w:val="00D2474A"/>
    <w:rsid w:val="00D24898"/>
    <w:rsid w:val="00D24DCE"/>
    <w:rsid w:val="00D255AA"/>
    <w:rsid w:val="00D26427"/>
    <w:rsid w:val="00D26522"/>
    <w:rsid w:val="00D26B21"/>
    <w:rsid w:val="00D26C4A"/>
    <w:rsid w:val="00D26E2E"/>
    <w:rsid w:val="00D275C1"/>
    <w:rsid w:val="00D276D5"/>
    <w:rsid w:val="00D27D85"/>
    <w:rsid w:val="00D30284"/>
    <w:rsid w:val="00D30DD4"/>
    <w:rsid w:val="00D316CB"/>
    <w:rsid w:val="00D31F10"/>
    <w:rsid w:val="00D31F56"/>
    <w:rsid w:val="00D321C3"/>
    <w:rsid w:val="00D32405"/>
    <w:rsid w:val="00D3261B"/>
    <w:rsid w:val="00D32849"/>
    <w:rsid w:val="00D328EA"/>
    <w:rsid w:val="00D32A53"/>
    <w:rsid w:val="00D33168"/>
    <w:rsid w:val="00D331FE"/>
    <w:rsid w:val="00D332F7"/>
    <w:rsid w:val="00D333B1"/>
    <w:rsid w:val="00D335AC"/>
    <w:rsid w:val="00D336C3"/>
    <w:rsid w:val="00D3381C"/>
    <w:rsid w:val="00D339C1"/>
    <w:rsid w:val="00D33CB6"/>
    <w:rsid w:val="00D34FBC"/>
    <w:rsid w:val="00D35013"/>
    <w:rsid w:val="00D35038"/>
    <w:rsid w:val="00D3556C"/>
    <w:rsid w:val="00D36C5B"/>
    <w:rsid w:val="00D36D35"/>
    <w:rsid w:val="00D37706"/>
    <w:rsid w:val="00D378C8"/>
    <w:rsid w:val="00D378D4"/>
    <w:rsid w:val="00D401A2"/>
    <w:rsid w:val="00D413D7"/>
    <w:rsid w:val="00D41C0E"/>
    <w:rsid w:val="00D41D3E"/>
    <w:rsid w:val="00D428E7"/>
    <w:rsid w:val="00D42B51"/>
    <w:rsid w:val="00D42C47"/>
    <w:rsid w:val="00D43047"/>
    <w:rsid w:val="00D432B8"/>
    <w:rsid w:val="00D43744"/>
    <w:rsid w:val="00D43750"/>
    <w:rsid w:val="00D43E57"/>
    <w:rsid w:val="00D447AF"/>
    <w:rsid w:val="00D455BB"/>
    <w:rsid w:val="00D45AC2"/>
    <w:rsid w:val="00D467F7"/>
    <w:rsid w:val="00D4686B"/>
    <w:rsid w:val="00D46BFA"/>
    <w:rsid w:val="00D47B60"/>
    <w:rsid w:val="00D47EFB"/>
    <w:rsid w:val="00D5054E"/>
    <w:rsid w:val="00D50B39"/>
    <w:rsid w:val="00D50B75"/>
    <w:rsid w:val="00D51186"/>
    <w:rsid w:val="00D513D5"/>
    <w:rsid w:val="00D51519"/>
    <w:rsid w:val="00D518E3"/>
    <w:rsid w:val="00D51A4A"/>
    <w:rsid w:val="00D51ED4"/>
    <w:rsid w:val="00D525E5"/>
    <w:rsid w:val="00D52ADC"/>
    <w:rsid w:val="00D52E97"/>
    <w:rsid w:val="00D537A9"/>
    <w:rsid w:val="00D537FC"/>
    <w:rsid w:val="00D53DC4"/>
    <w:rsid w:val="00D54384"/>
    <w:rsid w:val="00D5487A"/>
    <w:rsid w:val="00D5510C"/>
    <w:rsid w:val="00D55868"/>
    <w:rsid w:val="00D5587B"/>
    <w:rsid w:val="00D56316"/>
    <w:rsid w:val="00D567C3"/>
    <w:rsid w:val="00D56E5E"/>
    <w:rsid w:val="00D578FB"/>
    <w:rsid w:val="00D57D0A"/>
    <w:rsid w:val="00D607D4"/>
    <w:rsid w:val="00D612A9"/>
    <w:rsid w:val="00D61989"/>
    <w:rsid w:val="00D61E5E"/>
    <w:rsid w:val="00D61FA0"/>
    <w:rsid w:val="00D620C4"/>
    <w:rsid w:val="00D62167"/>
    <w:rsid w:val="00D634D6"/>
    <w:rsid w:val="00D64560"/>
    <w:rsid w:val="00D64830"/>
    <w:rsid w:val="00D64889"/>
    <w:rsid w:val="00D64BC0"/>
    <w:rsid w:val="00D650C7"/>
    <w:rsid w:val="00D658D6"/>
    <w:rsid w:val="00D65A2F"/>
    <w:rsid w:val="00D6604B"/>
    <w:rsid w:val="00D66377"/>
    <w:rsid w:val="00D66B87"/>
    <w:rsid w:val="00D66B9C"/>
    <w:rsid w:val="00D670C7"/>
    <w:rsid w:val="00D675B9"/>
    <w:rsid w:val="00D6764C"/>
    <w:rsid w:val="00D67DB1"/>
    <w:rsid w:val="00D67E90"/>
    <w:rsid w:val="00D67FD3"/>
    <w:rsid w:val="00D70523"/>
    <w:rsid w:val="00D70E57"/>
    <w:rsid w:val="00D70F8F"/>
    <w:rsid w:val="00D71295"/>
    <w:rsid w:val="00D72257"/>
    <w:rsid w:val="00D72390"/>
    <w:rsid w:val="00D727B1"/>
    <w:rsid w:val="00D727C1"/>
    <w:rsid w:val="00D72968"/>
    <w:rsid w:val="00D72A2C"/>
    <w:rsid w:val="00D72BD0"/>
    <w:rsid w:val="00D73179"/>
    <w:rsid w:val="00D73329"/>
    <w:rsid w:val="00D74852"/>
    <w:rsid w:val="00D75B17"/>
    <w:rsid w:val="00D7606C"/>
    <w:rsid w:val="00D763A4"/>
    <w:rsid w:val="00D76FF0"/>
    <w:rsid w:val="00D778F0"/>
    <w:rsid w:val="00D77E0F"/>
    <w:rsid w:val="00D8054D"/>
    <w:rsid w:val="00D80583"/>
    <w:rsid w:val="00D80A8D"/>
    <w:rsid w:val="00D80BFE"/>
    <w:rsid w:val="00D812D7"/>
    <w:rsid w:val="00D8173A"/>
    <w:rsid w:val="00D81924"/>
    <w:rsid w:val="00D81AFA"/>
    <w:rsid w:val="00D824DF"/>
    <w:rsid w:val="00D82B31"/>
    <w:rsid w:val="00D83303"/>
    <w:rsid w:val="00D83619"/>
    <w:rsid w:val="00D83E66"/>
    <w:rsid w:val="00D84557"/>
    <w:rsid w:val="00D84570"/>
    <w:rsid w:val="00D8480D"/>
    <w:rsid w:val="00D85D71"/>
    <w:rsid w:val="00D862D9"/>
    <w:rsid w:val="00D866E1"/>
    <w:rsid w:val="00D86BD3"/>
    <w:rsid w:val="00D87649"/>
    <w:rsid w:val="00D87AC1"/>
    <w:rsid w:val="00D87CD4"/>
    <w:rsid w:val="00D87D1B"/>
    <w:rsid w:val="00D87DEA"/>
    <w:rsid w:val="00D9039D"/>
    <w:rsid w:val="00D90869"/>
    <w:rsid w:val="00D90923"/>
    <w:rsid w:val="00D9096F"/>
    <w:rsid w:val="00D90E29"/>
    <w:rsid w:val="00D90EC5"/>
    <w:rsid w:val="00D90F2A"/>
    <w:rsid w:val="00D91E00"/>
    <w:rsid w:val="00D91F9C"/>
    <w:rsid w:val="00D9210F"/>
    <w:rsid w:val="00D9264C"/>
    <w:rsid w:val="00D92AAD"/>
    <w:rsid w:val="00D92B24"/>
    <w:rsid w:val="00D93158"/>
    <w:rsid w:val="00D936BB"/>
    <w:rsid w:val="00D937BE"/>
    <w:rsid w:val="00D937DF"/>
    <w:rsid w:val="00D937E8"/>
    <w:rsid w:val="00D942B0"/>
    <w:rsid w:val="00D94AA8"/>
    <w:rsid w:val="00D94AD2"/>
    <w:rsid w:val="00D94BA3"/>
    <w:rsid w:val="00D958EB"/>
    <w:rsid w:val="00D958F7"/>
    <w:rsid w:val="00D95D97"/>
    <w:rsid w:val="00D95F00"/>
    <w:rsid w:val="00D95FD0"/>
    <w:rsid w:val="00D96A79"/>
    <w:rsid w:val="00D97726"/>
    <w:rsid w:val="00D97A9B"/>
    <w:rsid w:val="00DA0047"/>
    <w:rsid w:val="00DA0CB6"/>
    <w:rsid w:val="00DA0E98"/>
    <w:rsid w:val="00DA0F2A"/>
    <w:rsid w:val="00DA1089"/>
    <w:rsid w:val="00DA209D"/>
    <w:rsid w:val="00DA271B"/>
    <w:rsid w:val="00DA289D"/>
    <w:rsid w:val="00DA2927"/>
    <w:rsid w:val="00DA324F"/>
    <w:rsid w:val="00DA36B9"/>
    <w:rsid w:val="00DA37BB"/>
    <w:rsid w:val="00DA416E"/>
    <w:rsid w:val="00DA428C"/>
    <w:rsid w:val="00DA44B4"/>
    <w:rsid w:val="00DA47EA"/>
    <w:rsid w:val="00DA4965"/>
    <w:rsid w:val="00DA4FB3"/>
    <w:rsid w:val="00DA508E"/>
    <w:rsid w:val="00DA567C"/>
    <w:rsid w:val="00DA57CF"/>
    <w:rsid w:val="00DA58B3"/>
    <w:rsid w:val="00DA58F9"/>
    <w:rsid w:val="00DA5C9C"/>
    <w:rsid w:val="00DA60A3"/>
    <w:rsid w:val="00DA6415"/>
    <w:rsid w:val="00DA6D5B"/>
    <w:rsid w:val="00DA6F24"/>
    <w:rsid w:val="00DA6F4C"/>
    <w:rsid w:val="00DA73EB"/>
    <w:rsid w:val="00DA7701"/>
    <w:rsid w:val="00DA7976"/>
    <w:rsid w:val="00DB0C8C"/>
    <w:rsid w:val="00DB0D02"/>
    <w:rsid w:val="00DB1167"/>
    <w:rsid w:val="00DB1657"/>
    <w:rsid w:val="00DB170D"/>
    <w:rsid w:val="00DB17FA"/>
    <w:rsid w:val="00DB1EB3"/>
    <w:rsid w:val="00DB1EBC"/>
    <w:rsid w:val="00DB1F8E"/>
    <w:rsid w:val="00DB2154"/>
    <w:rsid w:val="00DB2283"/>
    <w:rsid w:val="00DB22F3"/>
    <w:rsid w:val="00DB236F"/>
    <w:rsid w:val="00DB288D"/>
    <w:rsid w:val="00DB2F5F"/>
    <w:rsid w:val="00DB3F3D"/>
    <w:rsid w:val="00DB45E2"/>
    <w:rsid w:val="00DB4D16"/>
    <w:rsid w:val="00DB4DA1"/>
    <w:rsid w:val="00DB4F42"/>
    <w:rsid w:val="00DB508B"/>
    <w:rsid w:val="00DB5216"/>
    <w:rsid w:val="00DB543D"/>
    <w:rsid w:val="00DB5794"/>
    <w:rsid w:val="00DB58D8"/>
    <w:rsid w:val="00DB618E"/>
    <w:rsid w:val="00DB6660"/>
    <w:rsid w:val="00DB68B6"/>
    <w:rsid w:val="00DB7438"/>
    <w:rsid w:val="00DB7AAA"/>
    <w:rsid w:val="00DC0A80"/>
    <w:rsid w:val="00DC107F"/>
    <w:rsid w:val="00DC10B0"/>
    <w:rsid w:val="00DC155E"/>
    <w:rsid w:val="00DC1D54"/>
    <w:rsid w:val="00DC222A"/>
    <w:rsid w:val="00DC2347"/>
    <w:rsid w:val="00DC259A"/>
    <w:rsid w:val="00DC26D2"/>
    <w:rsid w:val="00DC27A3"/>
    <w:rsid w:val="00DC2810"/>
    <w:rsid w:val="00DC3256"/>
    <w:rsid w:val="00DC32AB"/>
    <w:rsid w:val="00DC3617"/>
    <w:rsid w:val="00DC3B97"/>
    <w:rsid w:val="00DC3EAB"/>
    <w:rsid w:val="00DC439F"/>
    <w:rsid w:val="00DC4448"/>
    <w:rsid w:val="00DC4DF5"/>
    <w:rsid w:val="00DC523F"/>
    <w:rsid w:val="00DC5B58"/>
    <w:rsid w:val="00DC631A"/>
    <w:rsid w:val="00DC637E"/>
    <w:rsid w:val="00DC6DDA"/>
    <w:rsid w:val="00DC7104"/>
    <w:rsid w:val="00DC7270"/>
    <w:rsid w:val="00DC788B"/>
    <w:rsid w:val="00DC7978"/>
    <w:rsid w:val="00DD074E"/>
    <w:rsid w:val="00DD0C8D"/>
    <w:rsid w:val="00DD12E8"/>
    <w:rsid w:val="00DD1526"/>
    <w:rsid w:val="00DD18D7"/>
    <w:rsid w:val="00DD19B9"/>
    <w:rsid w:val="00DD1ABB"/>
    <w:rsid w:val="00DD1AFE"/>
    <w:rsid w:val="00DD21F7"/>
    <w:rsid w:val="00DD2254"/>
    <w:rsid w:val="00DD2F04"/>
    <w:rsid w:val="00DD3603"/>
    <w:rsid w:val="00DD41A9"/>
    <w:rsid w:val="00DD458E"/>
    <w:rsid w:val="00DD4DBD"/>
    <w:rsid w:val="00DD543A"/>
    <w:rsid w:val="00DD55D4"/>
    <w:rsid w:val="00DD567B"/>
    <w:rsid w:val="00DD56FA"/>
    <w:rsid w:val="00DD6113"/>
    <w:rsid w:val="00DD6541"/>
    <w:rsid w:val="00DD6E37"/>
    <w:rsid w:val="00DD701E"/>
    <w:rsid w:val="00DD71DD"/>
    <w:rsid w:val="00DD7482"/>
    <w:rsid w:val="00DD74CD"/>
    <w:rsid w:val="00DD785B"/>
    <w:rsid w:val="00DE0544"/>
    <w:rsid w:val="00DE0AA0"/>
    <w:rsid w:val="00DE0C4A"/>
    <w:rsid w:val="00DE0FBA"/>
    <w:rsid w:val="00DE125A"/>
    <w:rsid w:val="00DE1593"/>
    <w:rsid w:val="00DE17DE"/>
    <w:rsid w:val="00DE1973"/>
    <w:rsid w:val="00DE1A04"/>
    <w:rsid w:val="00DE1B24"/>
    <w:rsid w:val="00DE1BB4"/>
    <w:rsid w:val="00DE1D4F"/>
    <w:rsid w:val="00DE1E03"/>
    <w:rsid w:val="00DE207E"/>
    <w:rsid w:val="00DE2179"/>
    <w:rsid w:val="00DE224D"/>
    <w:rsid w:val="00DE22B0"/>
    <w:rsid w:val="00DE2C1D"/>
    <w:rsid w:val="00DE2DD7"/>
    <w:rsid w:val="00DE3130"/>
    <w:rsid w:val="00DE34EE"/>
    <w:rsid w:val="00DE3B57"/>
    <w:rsid w:val="00DE3EA1"/>
    <w:rsid w:val="00DE4006"/>
    <w:rsid w:val="00DE46C1"/>
    <w:rsid w:val="00DE499A"/>
    <w:rsid w:val="00DE4D4E"/>
    <w:rsid w:val="00DE5181"/>
    <w:rsid w:val="00DE534B"/>
    <w:rsid w:val="00DE55C6"/>
    <w:rsid w:val="00DE6577"/>
    <w:rsid w:val="00DE6719"/>
    <w:rsid w:val="00DE6A10"/>
    <w:rsid w:val="00DE6ABA"/>
    <w:rsid w:val="00DE7C16"/>
    <w:rsid w:val="00DE7E18"/>
    <w:rsid w:val="00DF01A5"/>
    <w:rsid w:val="00DF01CA"/>
    <w:rsid w:val="00DF03C4"/>
    <w:rsid w:val="00DF071F"/>
    <w:rsid w:val="00DF0B8F"/>
    <w:rsid w:val="00DF0C32"/>
    <w:rsid w:val="00DF0D01"/>
    <w:rsid w:val="00DF1195"/>
    <w:rsid w:val="00DF15BB"/>
    <w:rsid w:val="00DF17D0"/>
    <w:rsid w:val="00DF1DA7"/>
    <w:rsid w:val="00DF321E"/>
    <w:rsid w:val="00DF3335"/>
    <w:rsid w:val="00DF341C"/>
    <w:rsid w:val="00DF463E"/>
    <w:rsid w:val="00DF4804"/>
    <w:rsid w:val="00DF5007"/>
    <w:rsid w:val="00DF54FC"/>
    <w:rsid w:val="00DF576F"/>
    <w:rsid w:val="00DF5D25"/>
    <w:rsid w:val="00DF5D87"/>
    <w:rsid w:val="00DF605A"/>
    <w:rsid w:val="00DF6422"/>
    <w:rsid w:val="00DF658B"/>
    <w:rsid w:val="00DF68DE"/>
    <w:rsid w:val="00DF72E5"/>
    <w:rsid w:val="00DF747F"/>
    <w:rsid w:val="00DF75E4"/>
    <w:rsid w:val="00DF7A89"/>
    <w:rsid w:val="00DF7C53"/>
    <w:rsid w:val="00DF7C93"/>
    <w:rsid w:val="00E0009D"/>
    <w:rsid w:val="00E002A5"/>
    <w:rsid w:val="00E002AD"/>
    <w:rsid w:val="00E002D0"/>
    <w:rsid w:val="00E0053B"/>
    <w:rsid w:val="00E01192"/>
    <w:rsid w:val="00E01907"/>
    <w:rsid w:val="00E0191D"/>
    <w:rsid w:val="00E01DE8"/>
    <w:rsid w:val="00E01EEB"/>
    <w:rsid w:val="00E01F70"/>
    <w:rsid w:val="00E0227F"/>
    <w:rsid w:val="00E02866"/>
    <w:rsid w:val="00E02C63"/>
    <w:rsid w:val="00E034DE"/>
    <w:rsid w:val="00E0397B"/>
    <w:rsid w:val="00E04379"/>
    <w:rsid w:val="00E044EC"/>
    <w:rsid w:val="00E0583D"/>
    <w:rsid w:val="00E058BD"/>
    <w:rsid w:val="00E06345"/>
    <w:rsid w:val="00E06813"/>
    <w:rsid w:val="00E06E1C"/>
    <w:rsid w:val="00E07331"/>
    <w:rsid w:val="00E0748B"/>
    <w:rsid w:val="00E07D08"/>
    <w:rsid w:val="00E07EAC"/>
    <w:rsid w:val="00E11084"/>
    <w:rsid w:val="00E116E1"/>
    <w:rsid w:val="00E11DB4"/>
    <w:rsid w:val="00E12231"/>
    <w:rsid w:val="00E12478"/>
    <w:rsid w:val="00E135D8"/>
    <w:rsid w:val="00E13A48"/>
    <w:rsid w:val="00E13A53"/>
    <w:rsid w:val="00E143FF"/>
    <w:rsid w:val="00E147B4"/>
    <w:rsid w:val="00E14C81"/>
    <w:rsid w:val="00E14CC1"/>
    <w:rsid w:val="00E1513D"/>
    <w:rsid w:val="00E15772"/>
    <w:rsid w:val="00E1599C"/>
    <w:rsid w:val="00E15AF1"/>
    <w:rsid w:val="00E16A19"/>
    <w:rsid w:val="00E16E70"/>
    <w:rsid w:val="00E17060"/>
    <w:rsid w:val="00E1730B"/>
    <w:rsid w:val="00E1786A"/>
    <w:rsid w:val="00E20021"/>
    <w:rsid w:val="00E20083"/>
    <w:rsid w:val="00E20333"/>
    <w:rsid w:val="00E20402"/>
    <w:rsid w:val="00E204B5"/>
    <w:rsid w:val="00E206CB"/>
    <w:rsid w:val="00E2188C"/>
    <w:rsid w:val="00E21A3C"/>
    <w:rsid w:val="00E23092"/>
    <w:rsid w:val="00E23401"/>
    <w:rsid w:val="00E23463"/>
    <w:rsid w:val="00E2358F"/>
    <w:rsid w:val="00E23E9B"/>
    <w:rsid w:val="00E23EA1"/>
    <w:rsid w:val="00E23FBB"/>
    <w:rsid w:val="00E245F7"/>
    <w:rsid w:val="00E255A8"/>
    <w:rsid w:val="00E25F23"/>
    <w:rsid w:val="00E26473"/>
    <w:rsid w:val="00E2684D"/>
    <w:rsid w:val="00E2788F"/>
    <w:rsid w:val="00E27B69"/>
    <w:rsid w:val="00E27C1F"/>
    <w:rsid w:val="00E300DA"/>
    <w:rsid w:val="00E3036A"/>
    <w:rsid w:val="00E30AF6"/>
    <w:rsid w:val="00E3104C"/>
    <w:rsid w:val="00E3109F"/>
    <w:rsid w:val="00E3117C"/>
    <w:rsid w:val="00E31B7C"/>
    <w:rsid w:val="00E321BE"/>
    <w:rsid w:val="00E32D2B"/>
    <w:rsid w:val="00E32F20"/>
    <w:rsid w:val="00E33311"/>
    <w:rsid w:val="00E33410"/>
    <w:rsid w:val="00E335C6"/>
    <w:rsid w:val="00E3379E"/>
    <w:rsid w:val="00E339AD"/>
    <w:rsid w:val="00E34051"/>
    <w:rsid w:val="00E34CE5"/>
    <w:rsid w:val="00E34D1B"/>
    <w:rsid w:val="00E34D22"/>
    <w:rsid w:val="00E34FBD"/>
    <w:rsid w:val="00E35083"/>
    <w:rsid w:val="00E35FA1"/>
    <w:rsid w:val="00E361F2"/>
    <w:rsid w:val="00E36D06"/>
    <w:rsid w:val="00E373D0"/>
    <w:rsid w:val="00E374D0"/>
    <w:rsid w:val="00E376FC"/>
    <w:rsid w:val="00E37CCD"/>
    <w:rsid w:val="00E37CD0"/>
    <w:rsid w:val="00E40132"/>
    <w:rsid w:val="00E403A2"/>
    <w:rsid w:val="00E404D5"/>
    <w:rsid w:val="00E41F69"/>
    <w:rsid w:val="00E42157"/>
    <w:rsid w:val="00E4236C"/>
    <w:rsid w:val="00E424DA"/>
    <w:rsid w:val="00E42582"/>
    <w:rsid w:val="00E42753"/>
    <w:rsid w:val="00E42871"/>
    <w:rsid w:val="00E429E1"/>
    <w:rsid w:val="00E445AE"/>
    <w:rsid w:val="00E44AED"/>
    <w:rsid w:val="00E44D8C"/>
    <w:rsid w:val="00E454B1"/>
    <w:rsid w:val="00E454C7"/>
    <w:rsid w:val="00E45586"/>
    <w:rsid w:val="00E4587C"/>
    <w:rsid w:val="00E45FF0"/>
    <w:rsid w:val="00E4606A"/>
    <w:rsid w:val="00E462CA"/>
    <w:rsid w:val="00E46881"/>
    <w:rsid w:val="00E46A27"/>
    <w:rsid w:val="00E46BCE"/>
    <w:rsid w:val="00E4723E"/>
    <w:rsid w:val="00E47D32"/>
    <w:rsid w:val="00E50020"/>
    <w:rsid w:val="00E50503"/>
    <w:rsid w:val="00E518EB"/>
    <w:rsid w:val="00E52D04"/>
    <w:rsid w:val="00E530FB"/>
    <w:rsid w:val="00E540B3"/>
    <w:rsid w:val="00E54859"/>
    <w:rsid w:val="00E54BAB"/>
    <w:rsid w:val="00E556E3"/>
    <w:rsid w:val="00E55ADD"/>
    <w:rsid w:val="00E55B30"/>
    <w:rsid w:val="00E56513"/>
    <w:rsid w:val="00E565CC"/>
    <w:rsid w:val="00E5694F"/>
    <w:rsid w:val="00E56973"/>
    <w:rsid w:val="00E574AB"/>
    <w:rsid w:val="00E57764"/>
    <w:rsid w:val="00E602AA"/>
    <w:rsid w:val="00E60362"/>
    <w:rsid w:val="00E60633"/>
    <w:rsid w:val="00E60E35"/>
    <w:rsid w:val="00E61217"/>
    <w:rsid w:val="00E61DA4"/>
    <w:rsid w:val="00E6245D"/>
    <w:rsid w:val="00E625CD"/>
    <w:rsid w:val="00E62635"/>
    <w:rsid w:val="00E628F6"/>
    <w:rsid w:val="00E62FD5"/>
    <w:rsid w:val="00E62FD9"/>
    <w:rsid w:val="00E63794"/>
    <w:rsid w:val="00E63EC8"/>
    <w:rsid w:val="00E6464A"/>
    <w:rsid w:val="00E6480E"/>
    <w:rsid w:val="00E6497B"/>
    <w:rsid w:val="00E6497F"/>
    <w:rsid w:val="00E64AF0"/>
    <w:rsid w:val="00E6576C"/>
    <w:rsid w:val="00E65B5A"/>
    <w:rsid w:val="00E65D2F"/>
    <w:rsid w:val="00E65D5B"/>
    <w:rsid w:val="00E67087"/>
    <w:rsid w:val="00E678E5"/>
    <w:rsid w:val="00E6794E"/>
    <w:rsid w:val="00E67B6E"/>
    <w:rsid w:val="00E67DAD"/>
    <w:rsid w:val="00E7028A"/>
    <w:rsid w:val="00E70AE8"/>
    <w:rsid w:val="00E70C5D"/>
    <w:rsid w:val="00E71331"/>
    <w:rsid w:val="00E71929"/>
    <w:rsid w:val="00E71996"/>
    <w:rsid w:val="00E723A6"/>
    <w:rsid w:val="00E724F1"/>
    <w:rsid w:val="00E725ED"/>
    <w:rsid w:val="00E72723"/>
    <w:rsid w:val="00E72C25"/>
    <w:rsid w:val="00E72CFA"/>
    <w:rsid w:val="00E73775"/>
    <w:rsid w:val="00E73B7D"/>
    <w:rsid w:val="00E73EB0"/>
    <w:rsid w:val="00E74A6B"/>
    <w:rsid w:val="00E74A90"/>
    <w:rsid w:val="00E74B2E"/>
    <w:rsid w:val="00E74C5B"/>
    <w:rsid w:val="00E75059"/>
    <w:rsid w:val="00E751A3"/>
    <w:rsid w:val="00E75637"/>
    <w:rsid w:val="00E75DEA"/>
    <w:rsid w:val="00E769CF"/>
    <w:rsid w:val="00E77445"/>
    <w:rsid w:val="00E800AF"/>
    <w:rsid w:val="00E801D0"/>
    <w:rsid w:val="00E812CD"/>
    <w:rsid w:val="00E814E5"/>
    <w:rsid w:val="00E81659"/>
    <w:rsid w:val="00E81938"/>
    <w:rsid w:val="00E8199E"/>
    <w:rsid w:val="00E81B1B"/>
    <w:rsid w:val="00E81D9B"/>
    <w:rsid w:val="00E8211F"/>
    <w:rsid w:val="00E8281A"/>
    <w:rsid w:val="00E82A7A"/>
    <w:rsid w:val="00E82DDA"/>
    <w:rsid w:val="00E82DE8"/>
    <w:rsid w:val="00E838FF"/>
    <w:rsid w:val="00E84075"/>
    <w:rsid w:val="00E8421A"/>
    <w:rsid w:val="00E8439E"/>
    <w:rsid w:val="00E852A1"/>
    <w:rsid w:val="00E85855"/>
    <w:rsid w:val="00E85BB5"/>
    <w:rsid w:val="00E868C8"/>
    <w:rsid w:val="00E87B1E"/>
    <w:rsid w:val="00E87DB0"/>
    <w:rsid w:val="00E90D63"/>
    <w:rsid w:val="00E910AF"/>
    <w:rsid w:val="00E91495"/>
    <w:rsid w:val="00E91921"/>
    <w:rsid w:val="00E91A1E"/>
    <w:rsid w:val="00E91F44"/>
    <w:rsid w:val="00E928DE"/>
    <w:rsid w:val="00E929A8"/>
    <w:rsid w:val="00E929D9"/>
    <w:rsid w:val="00E92E0D"/>
    <w:rsid w:val="00E93254"/>
    <w:rsid w:val="00E932FF"/>
    <w:rsid w:val="00E937B9"/>
    <w:rsid w:val="00E938AB"/>
    <w:rsid w:val="00E938BB"/>
    <w:rsid w:val="00E93B0C"/>
    <w:rsid w:val="00E93DD9"/>
    <w:rsid w:val="00E94839"/>
    <w:rsid w:val="00E94DBB"/>
    <w:rsid w:val="00E94DE1"/>
    <w:rsid w:val="00E95DF6"/>
    <w:rsid w:val="00E967B2"/>
    <w:rsid w:val="00E968E4"/>
    <w:rsid w:val="00E96923"/>
    <w:rsid w:val="00E96A04"/>
    <w:rsid w:val="00E96EE0"/>
    <w:rsid w:val="00E9703B"/>
    <w:rsid w:val="00E973D4"/>
    <w:rsid w:val="00E976AC"/>
    <w:rsid w:val="00E97BF8"/>
    <w:rsid w:val="00E97C58"/>
    <w:rsid w:val="00EA0235"/>
    <w:rsid w:val="00EA02AB"/>
    <w:rsid w:val="00EA08B5"/>
    <w:rsid w:val="00EA0AAC"/>
    <w:rsid w:val="00EA0AD2"/>
    <w:rsid w:val="00EA0BA7"/>
    <w:rsid w:val="00EA0C5F"/>
    <w:rsid w:val="00EA0D09"/>
    <w:rsid w:val="00EA0F51"/>
    <w:rsid w:val="00EA122E"/>
    <w:rsid w:val="00EA141B"/>
    <w:rsid w:val="00EA1769"/>
    <w:rsid w:val="00EA17CE"/>
    <w:rsid w:val="00EA1BE0"/>
    <w:rsid w:val="00EA1E96"/>
    <w:rsid w:val="00EA242B"/>
    <w:rsid w:val="00EA2715"/>
    <w:rsid w:val="00EA3689"/>
    <w:rsid w:val="00EA38E8"/>
    <w:rsid w:val="00EA505B"/>
    <w:rsid w:val="00EA5237"/>
    <w:rsid w:val="00EA5421"/>
    <w:rsid w:val="00EA5654"/>
    <w:rsid w:val="00EA56D5"/>
    <w:rsid w:val="00EA5D9E"/>
    <w:rsid w:val="00EA6473"/>
    <w:rsid w:val="00EA64B2"/>
    <w:rsid w:val="00EA6B3F"/>
    <w:rsid w:val="00EA6B4A"/>
    <w:rsid w:val="00EA762D"/>
    <w:rsid w:val="00EA7958"/>
    <w:rsid w:val="00EA7B70"/>
    <w:rsid w:val="00EA7EA3"/>
    <w:rsid w:val="00EA7F69"/>
    <w:rsid w:val="00EB037E"/>
    <w:rsid w:val="00EB06A0"/>
    <w:rsid w:val="00EB11B3"/>
    <w:rsid w:val="00EB1CE7"/>
    <w:rsid w:val="00EB2D16"/>
    <w:rsid w:val="00EB2E14"/>
    <w:rsid w:val="00EB31E3"/>
    <w:rsid w:val="00EB32D5"/>
    <w:rsid w:val="00EB3473"/>
    <w:rsid w:val="00EB366E"/>
    <w:rsid w:val="00EB385A"/>
    <w:rsid w:val="00EB41E3"/>
    <w:rsid w:val="00EB4614"/>
    <w:rsid w:val="00EB4BCD"/>
    <w:rsid w:val="00EB5D81"/>
    <w:rsid w:val="00EB6187"/>
    <w:rsid w:val="00EB6E87"/>
    <w:rsid w:val="00EB6F5E"/>
    <w:rsid w:val="00EB72D1"/>
    <w:rsid w:val="00EB7351"/>
    <w:rsid w:val="00EB7444"/>
    <w:rsid w:val="00EB7561"/>
    <w:rsid w:val="00EB7667"/>
    <w:rsid w:val="00EB77CD"/>
    <w:rsid w:val="00EC0569"/>
    <w:rsid w:val="00EC05D6"/>
    <w:rsid w:val="00EC0F95"/>
    <w:rsid w:val="00EC10ED"/>
    <w:rsid w:val="00EC171B"/>
    <w:rsid w:val="00EC1A76"/>
    <w:rsid w:val="00EC1B63"/>
    <w:rsid w:val="00EC1B69"/>
    <w:rsid w:val="00EC1E24"/>
    <w:rsid w:val="00EC2697"/>
    <w:rsid w:val="00EC2789"/>
    <w:rsid w:val="00EC2C20"/>
    <w:rsid w:val="00EC31D6"/>
    <w:rsid w:val="00EC3316"/>
    <w:rsid w:val="00EC3CCC"/>
    <w:rsid w:val="00EC445D"/>
    <w:rsid w:val="00EC4727"/>
    <w:rsid w:val="00EC48FC"/>
    <w:rsid w:val="00EC50E6"/>
    <w:rsid w:val="00EC5398"/>
    <w:rsid w:val="00EC5ABE"/>
    <w:rsid w:val="00EC5D6C"/>
    <w:rsid w:val="00EC6141"/>
    <w:rsid w:val="00EC662E"/>
    <w:rsid w:val="00EC6787"/>
    <w:rsid w:val="00EC6E04"/>
    <w:rsid w:val="00EC798C"/>
    <w:rsid w:val="00EC7A0D"/>
    <w:rsid w:val="00EC7D0A"/>
    <w:rsid w:val="00ED0657"/>
    <w:rsid w:val="00ED092B"/>
    <w:rsid w:val="00ED09E1"/>
    <w:rsid w:val="00ED0BE3"/>
    <w:rsid w:val="00ED2A02"/>
    <w:rsid w:val="00ED2A60"/>
    <w:rsid w:val="00ED312B"/>
    <w:rsid w:val="00ED37E0"/>
    <w:rsid w:val="00ED3A9B"/>
    <w:rsid w:val="00ED4728"/>
    <w:rsid w:val="00ED4A65"/>
    <w:rsid w:val="00ED6519"/>
    <w:rsid w:val="00ED6A28"/>
    <w:rsid w:val="00ED6CB7"/>
    <w:rsid w:val="00ED7F0D"/>
    <w:rsid w:val="00ED7F9E"/>
    <w:rsid w:val="00EE0101"/>
    <w:rsid w:val="00EE0973"/>
    <w:rsid w:val="00EE0FB2"/>
    <w:rsid w:val="00EE13BF"/>
    <w:rsid w:val="00EE1B3D"/>
    <w:rsid w:val="00EE1BA2"/>
    <w:rsid w:val="00EE1D09"/>
    <w:rsid w:val="00EE2103"/>
    <w:rsid w:val="00EE2429"/>
    <w:rsid w:val="00EE2683"/>
    <w:rsid w:val="00EE26FA"/>
    <w:rsid w:val="00EE274A"/>
    <w:rsid w:val="00EE2842"/>
    <w:rsid w:val="00EE310D"/>
    <w:rsid w:val="00EE3192"/>
    <w:rsid w:val="00EE31CB"/>
    <w:rsid w:val="00EE3247"/>
    <w:rsid w:val="00EE3E11"/>
    <w:rsid w:val="00EE49DA"/>
    <w:rsid w:val="00EE52E5"/>
    <w:rsid w:val="00EE5813"/>
    <w:rsid w:val="00EE5A21"/>
    <w:rsid w:val="00EE5E79"/>
    <w:rsid w:val="00EE5FE8"/>
    <w:rsid w:val="00EE60A2"/>
    <w:rsid w:val="00EE6405"/>
    <w:rsid w:val="00EE6634"/>
    <w:rsid w:val="00EE66AB"/>
    <w:rsid w:val="00EE694D"/>
    <w:rsid w:val="00EE6F72"/>
    <w:rsid w:val="00EE7166"/>
    <w:rsid w:val="00EE79D2"/>
    <w:rsid w:val="00EE7A81"/>
    <w:rsid w:val="00EF022D"/>
    <w:rsid w:val="00EF02D5"/>
    <w:rsid w:val="00EF0900"/>
    <w:rsid w:val="00EF1641"/>
    <w:rsid w:val="00EF17FF"/>
    <w:rsid w:val="00EF1A4C"/>
    <w:rsid w:val="00EF1A8D"/>
    <w:rsid w:val="00EF1D6E"/>
    <w:rsid w:val="00EF1E61"/>
    <w:rsid w:val="00EF1FCB"/>
    <w:rsid w:val="00EF2837"/>
    <w:rsid w:val="00EF3DDA"/>
    <w:rsid w:val="00EF42EC"/>
    <w:rsid w:val="00EF449C"/>
    <w:rsid w:val="00EF450C"/>
    <w:rsid w:val="00EF4740"/>
    <w:rsid w:val="00EF4754"/>
    <w:rsid w:val="00EF47C3"/>
    <w:rsid w:val="00EF48FA"/>
    <w:rsid w:val="00EF4A57"/>
    <w:rsid w:val="00EF4B16"/>
    <w:rsid w:val="00EF4B41"/>
    <w:rsid w:val="00EF55E1"/>
    <w:rsid w:val="00EF56B0"/>
    <w:rsid w:val="00EF5832"/>
    <w:rsid w:val="00EF5BF7"/>
    <w:rsid w:val="00EF5EE7"/>
    <w:rsid w:val="00EF61CD"/>
    <w:rsid w:val="00EF659F"/>
    <w:rsid w:val="00EF6704"/>
    <w:rsid w:val="00EF6932"/>
    <w:rsid w:val="00EF69DB"/>
    <w:rsid w:val="00EF6FA9"/>
    <w:rsid w:val="00EF74F3"/>
    <w:rsid w:val="00EF75DA"/>
    <w:rsid w:val="00EF785C"/>
    <w:rsid w:val="00EF7A30"/>
    <w:rsid w:val="00F007B7"/>
    <w:rsid w:val="00F00D08"/>
    <w:rsid w:val="00F010BE"/>
    <w:rsid w:val="00F017E8"/>
    <w:rsid w:val="00F0204C"/>
    <w:rsid w:val="00F02566"/>
    <w:rsid w:val="00F026BB"/>
    <w:rsid w:val="00F02F1F"/>
    <w:rsid w:val="00F03099"/>
    <w:rsid w:val="00F031A3"/>
    <w:rsid w:val="00F034FF"/>
    <w:rsid w:val="00F039F6"/>
    <w:rsid w:val="00F03A06"/>
    <w:rsid w:val="00F03A4D"/>
    <w:rsid w:val="00F04395"/>
    <w:rsid w:val="00F0455A"/>
    <w:rsid w:val="00F04749"/>
    <w:rsid w:val="00F04815"/>
    <w:rsid w:val="00F04D13"/>
    <w:rsid w:val="00F0501A"/>
    <w:rsid w:val="00F054F2"/>
    <w:rsid w:val="00F06324"/>
    <w:rsid w:val="00F063F9"/>
    <w:rsid w:val="00F066BF"/>
    <w:rsid w:val="00F06906"/>
    <w:rsid w:val="00F06929"/>
    <w:rsid w:val="00F06E37"/>
    <w:rsid w:val="00F07068"/>
    <w:rsid w:val="00F079BA"/>
    <w:rsid w:val="00F07A68"/>
    <w:rsid w:val="00F105DF"/>
    <w:rsid w:val="00F10768"/>
    <w:rsid w:val="00F10C5D"/>
    <w:rsid w:val="00F11118"/>
    <w:rsid w:val="00F1136F"/>
    <w:rsid w:val="00F1184E"/>
    <w:rsid w:val="00F12151"/>
    <w:rsid w:val="00F12500"/>
    <w:rsid w:val="00F12B18"/>
    <w:rsid w:val="00F12BF9"/>
    <w:rsid w:val="00F12FF7"/>
    <w:rsid w:val="00F13160"/>
    <w:rsid w:val="00F1316E"/>
    <w:rsid w:val="00F133B0"/>
    <w:rsid w:val="00F13695"/>
    <w:rsid w:val="00F13941"/>
    <w:rsid w:val="00F139FF"/>
    <w:rsid w:val="00F13EC4"/>
    <w:rsid w:val="00F140E7"/>
    <w:rsid w:val="00F14102"/>
    <w:rsid w:val="00F15B18"/>
    <w:rsid w:val="00F1616A"/>
    <w:rsid w:val="00F1655C"/>
    <w:rsid w:val="00F16562"/>
    <w:rsid w:val="00F167C4"/>
    <w:rsid w:val="00F16A85"/>
    <w:rsid w:val="00F20338"/>
    <w:rsid w:val="00F20420"/>
    <w:rsid w:val="00F20DC8"/>
    <w:rsid w:val="00F20E44"/>
    <w:rsid w:val="00F21878"/>
    <w:rsid w:val="00F21887"/>
    <w:rsid w:val="00F218D5"/>
    <w:rsid w:val="00F21FC5"/>
    <w:rsid w:val="00F22ACD"/>
    <w:rsid w:val="00F23D80"/>
    <w:rsid w:val="00F23E54"/>
    <w:rsid w:val="00F246E9"/>
    <w:rsid w:val="00F252E9"/>
    <w:rsid w:val="00F261B8"/>
    <w:rsid w:val="00F265C3"/>
    <w:rsid w:val="00F26603"/>
    <w:rsid w:val="00F26614"/>
    <w:rsid w:val="00F26EDD"/>
    <w:rsid w:val="00F279CE"/>
    <w:rsid w:val="00F27AE8"/>
    <w:rsid w:val="00F30802"/>
    <w:rsid w:val="00F30B3B"/>
    <w:rsid w:val="00F31170"/>
    <w:rsid w:val="00F31761"/>
    <w:rsid w:val="00F31B1A"/>
    <w:rsid w:val="00F32024"/>
    <w:rsid w:val="00F328C7"/>
    <w:rsid w:val="00F32AA3"/>
    <w:rsid w:val="00F330B2"/>
    <w:rsid w:val="00F335B9"/>
    <w:rsid w:val="00F33D30"/>
    <w:rsid w:val="00F3403C"/>
    <w:rsid w:val="00F3422A"/>
    <w:rsid w:val="00F34434"/>
    <w:rsid w:val="00F3485B"/>
    <w:rsid w:val="00F34ACF"/>
    <w:rsid w:val="00F34DA8"/>
    <w:rsid w:val="00F351EE"/>
    <w:rsid w:val="00F35BF6"/>
    <w:rsid w:val="00F35CE6"/>
    <w:rsid w:val="00F35D08"/>
    <w:rsid w:val="00F36185"/>
    <w:rsid w:val="00F36F5D"/>
    <w:rsid w:val="00F370EF"/>
    <w:rsid w:val="00F37D1E"/>
    <w:rsid w:val="00F37F7F"/>
    <w:rsid w:val="00F37F8F"/>
    <w:rsid w:val="00F404AF"/>
    <w:rsid w:val="00F40964"/>
    <w:rsid w:val="00F409F6"/>
    <w:rsid w:val="00F40E52"/>
    <w:rsid w:val="00F4188A"/>
    <w:rsid w:val="00F41AFA"/>
    <w:rsid w:val="00F42552"/>
    <w:rsid w:val="00F4259B"/>
    <w:rsid w:val="00F425D2"/>
    <w:rsid w:val="00F42815"/>
    <w:rsid w:val="00F42972"/>
    <w:rsid w:val="00F42EC9"/>
    <w:rsid w:val="00F4353C"/>
    <w:rsid w:val="00F43A09"/>
    <w:rsid w:val="00F43B49"/>
    <w:rsid w:val="00F43C9D"/>
    <w:rsid w:val="00F442F3"/>
    <w:rsid w:val="00F447AD"/>
    <w:rsid w:val="00F44DD0"/>
    <w:rsid w:val="00F45085"/>
    <w:rsid w:val="00F45943"/>
    <w:rsid w:val="00F46215"/>
    <w:rsid w:val="00F46557"/>
    <w:rsid w:val="00F469B5"/>
    <w:rsid w:val="00F46F1B"/>
    <w:rsid w:val="00F46FF5"/>
    <w:rsid w:val="00F470B3"/>
    <w:rsid w:val="00F504F5"/>
    <w:rsid w:val="00F508DD"/>
    <w:rsid w:val="00F50A29"/>
    <w:rsid w:val="00F50E18"/>
    <w:rsid w:val="00F50F47"/>
    <w:rsid w:val="00F5227D"/>
    <w:rsid w:val="00F52535"/>
    <w:rsid w:val="00F5365C"/>
    <w:rsid w:val="00F538E0"/>
    <w:rsid w:val="00F53BE4"/>
    <w:rsid w:val="00F53CC0"/>
    <w:rsid w:val="00F55018"/>
    <w:rsid w:val="00F5509D"/>
    <w:rsid w:val="00F554D7"/>
    <w:rsid w:val="00F555B5"/>
    <w:rsid w:val="00F5614B"/>
    <w:rsid w:val="00F56EAE"/>
    <w:rsid w:val="00F56F27"/>
    <w:rsid w:val="00F56FC6"/>
    <w:rsid w:val="00F577AC"/>
    <w:rsid w:val="00F6057A"/>
    <w:rsid w:val="00F6133C"/>
    <w:rsid w:val="00F61631"/>
    <w:rsid w:val="00F61806"/>
    <w:rsid w:val="00F61CB5"/>
    <w:rsid w:val="00F61CE4"/>
    <w:rsid w:val="00F62239"/>
    <w:rsid w:val="00F6229C"/>
    <w:rsid w:val="00F62CA3"/>
    <w:rsid w:val="00F631B9"/>
    <w:rsid w:val="00F6380D"/>
    <w:rsid w:val="00F63966"/>
    <w:rsid w:val="00F63D14"/>
    <w:rsid w:val="00F655FD"/>
    <w:rsid w:val="00F659FA"/>
    <w:rsid w:val="00F65D8B"/>
    <w:rsid w:val="00F65E5E"/>
    <w:rsid w:val="00F66B81"/>
    <w:rsid w:val="00F67404"/>
    <w:rsid w:val="00F674C2"/>
    <w:rsid w:val="00F67969"/>
    <w:rsid w:val="00F67DE7"/>
    <w:rsid w:val="00F7065C"/>
    <w:rsid w:val="00F70682"/>
    <w:rsid w:val="00F70710"/>
    <w:rsid w:val="00F70BB3"/>
    <w:rsid w:val="00F70D10"/>
    <w:rsid w:val="00F7114D"/>
    <w:rsid w:val="00F71648"/>
    <w:rsid w:val="00F71AE8"/>
    <w:rsid w:val="00F71C54"/>
    <w:rsid w:val="00F71F9C"/>
    <w:rsid w:val="00F7218F"/>
    <w:rsid w:val="00F72723"/>
    <w:rsid w:val="00F7367E"/>
    <w:rsid w:val="00F73D15"/>
    <w:rsid w:val="00F7409A"/>
    <w:rsid w:val="00F74339"/>
    <w:rsid w:val="00F745F1"/>
    <w:rsid w:val="00F74691"/>
    <w:rsid w:val="00F75131"/>
    <w:rsid w:val="00F752DA"/>
    <w:rsid w:val="00F7550A"/>
    <w:rsid w:val="00F75606"/>
    <w:rsid w:val="00F75BD8"/>
    <w:rsid w:val="00F76366"/>
    <w:rsid w:val="00F76776"/>
    <w:rsid w:val="00F76794"/>
    <w:rsid w:val="00F76DD6"/>
    <w:rsid w:val="00F77BFE"/>
    <w:rsid w:val="00F77ED0"/>
    <w:rsid w:val="00F80584"/>
    <w:rsid w:val="00F80D62"/>
    <w:rsid w:val="00F80DF5"/>
    <w:rsid w:val="00F81709"/>
    <w:rsid w:val="00F82167"/>
    <w:rsid w:val="00F825B3"/>
    <w:rsid w:val="00F82DC4"/>
    <w:rsid w:val="00F83103"/>
    <w:rsid w:val="00F836D4"/>
    <w:rsid w:val="00F83EE0"/>
    <w:rsid w:val="00F84E29"/>
    <w:rsid w:val="00F84EAA"/>
    <w:rsid w:val="00F85139"/>
    <w:rsid w:val="00F85466"/>
    <w:rsid w:val="00F856DE"/>
    <w:rsid w:val="00F857C1"/>
    <w:rsid w:val="00F85CC3"/>
    <w:rsid w:val="00F8613C"/>
    <w:rsid w:val="00F863D1"/>
    <w:rsid w:val="00F8679F"/>
    <w:rsid w:val="00F8691E"/>
    <w:rsid w:val="00F86A83"/>
    <w:rsid w:val="00F86E2B"/>
    <w:rsid w:val="00F86E9B"/>
    <w:rsid w:val="00F87131"/>
    <w:rsid w:val="00F87566"/>
    <w:rsid w:val="00F8758C"/>
    <w:rsid w:val="00F87AFD"/>
    <w:rsid w:val="00F902A5"/>
    <w:rsid w:val="00F9126D"/>
    <w:rsid w:val="00F91610"/>
    <w:rsid w:val="00F916FF"/>
    <w:rsid w:val="00F91EC6"/>
    <w:rsid w:val="00F922EB"/>
    <w:rsid w:val="00F92429"/>
    <w:rsid w:val="00F929EA"/>
    <w:rsid w:val="00F92B93"/>
    <w:rsid w:val="00F93D3D"/>
    <w:rsid w:val="00F94932"/>
    <w:rsid w:val="00F949AF"/>
    <w:rsid w:val="00F94A0E"/>
    <w:rsid w:val="00F94C58"/>
    <w:rsid w:val="00F95045"/>
    <w:rsid w:val="00F95304"/>
    <w:rsid w:val="00F95385"/>
    <w:rsid w:val="00F955C6"/>
    <w:rsid w:val="00F95D27"/>
    <w:rsid w:val="00F95DE0"/>
    <w:rsid w:val="00F9641A"/>
    <w:rsid w:val="00F9707F"/>
    <w:rsid w:val="00F97D0E"/>
    <w:rsid w:val="00FA029F"/>
    <w:rsid w:val="00FA0A5F"/>
    <w:rsid w:val="00FA0B23"/>
    <w:rsid w:val="00FA151A"/>
    <w:rsid w:val="00FA1928"/>
    <w:rsid w:val="00FA1A05"/>
    <w:rsid w:val="00FA26A1"/>
    <w:rsid w:val="00FA3101"/>
    <w:rsid w:val="00FA315F"/>
    <w:rsid w:val="00FA33D5"/>
    <w:rsid w:val="00FA37E8"/>
    <w:rsid w:val="00FA39F4"/>
    <w:rsid w:val="00FA3BE4"/>
    <w:rsid w:val="00FA420F"/>
    <w:rsid w:val="00FA5018"/>
    <w:rsid w:val="00FA5021"/>
    <w:rsid w:val="00FA50A9"/>
    <w:rsid w:val="00FA51B7"/>
    <w:rsid w:val="00FA522D"/>
    <w:rsid w:val="00FA53CF"/>
    <w:rsid w:val="00FA5445"/>
    <w:rsid w:val="00FA5D5C"/>
    <w:rsid w:val="00FA5FB8"/>
    <w:rsid w:val="00FA6795"/>
    <w:rsid w:val="00FA777D"/>
    <w:rsid w:val="00FA7B29"/>
    <w:rsid w:val="00FA7DC9"/>
    <w:rsid w:val="00FA7E6A"/>
    <w:rsid w:val="00FB0091"/>
    <w:rsid w:val="00FB09DD"/>
    <w:rsid w:val="00FB0AD5"/>
    <w:rsid w:val="00FB0C67"/>
    <w:rsid w:val="00FB174F"/>
    <w:rsid w:val="00FB1A3E"/>
    <w:rsid w:val="00FB1CA5"/>
    <w:rsid w:val="00FB22D2"/>
    <w:rsid w:val="00FB29E5"/>
    <w:rsid w:val="00FB2F04"/>
    <w:rsid w:val="00FB2F8C"/>
    <w:rsid w:val="00FB311D"/>
    <w:rsid w:val="00FB35E9"/>
    <w:rsid w:val="00FB4B60"/>
    <w:rsid w:val="00FB55E8"/>
    <w:rsid w:val="00FB5924"/>
    <w:rsid w:val="00FB5C00"/>
    <w:rsid w:val="00FB6AA9"/>
    <w:rsid w:val="00FB6E93"/>
    <w:rsid w:val="00FB6F74"/>
    <w:rsid w:val="00FB7380"/>
    <w:rsid w:val="00FB7487"/>
    <w:rsid w:val="00FB776B"/>
    <w:rsid w:val="00FB7873"/>
    <w:rsid w:val="00FB7BAC"/>
    <w:rsid w:val="00FB7D44"/>
    <w:rsid w:val="00FC00C9"/>
    <w:rsid w:val="00FC0241"/>
    <w:rsid w:val="00FC0CD4"/>
    <w:rsid w:val="00FC0D12"/>
    <w:rsid w:val="00FC0F1C"/>
    <w:rsid w:val="00FC19DC"/>
    <w:rsid w:val="00FC1ABF"/>
    <w:rsid w:val="00FC21AA"/>
    <w:rsid w:val="00FC2626"/>
    <w:rsid w:val="00FC2957"/>
    <w:rsid w:val="00FC2AAE"/>
    <w:rsid w:val="00FC2CD3"/>
    <w:rsid w:val="00FC36DF"/>
    <w:rsid w:val="00FC3806"/>
    <w:rsid w:val="00FC3A2E"/>
    <w:rsid w:val="00FC3A87"/>
    <w:rsid w:val="00FC4156"/>
    <w:rsid w:val="00FC4950"/>
    <w:rsid w:val="00FC4C08"/>
    <w:rsid w:val="00FC4F2D"/>
    <w:rsid w:val="00FC52EB"/>
    <w:rsid w:val="00FC5617"/>
    <w:rsid w:val="00FC5AD3"/>
    <w:rsid w:val="00FC5C43"/>
    <w:rsid w:val="00FC5FED"/>
    <w:rsid w:val="00FC60D0"/>
    <w:rsid w:val="00FC61A1"/>
    <w:rsid w:val="00FC62E2"/>
    <w:rsid w:val="00FC6D5F"/>
    <w:rsid w:val="00FC7D1A"/>
    <w:rsid w:val="00FD0830"/>
    <w:rsid w:val="00FD1224"/>
    <w:rsid w:val="00FD2149"/>
    <w:rsid w:val="00FD2242"/>
    <w:rsid w:val="00FD2857"/>
    <w:rsid w:val="00FD3112"/>
    <w:rsid w:val="00FD3283"/>
    <w:rsid w:val="00FD3846"/>
    <w:rsid w:val="00FD3925"/>
    <w:rsid w:val="00FD3DA7"/>
    <w:rsid w:val="00FD4346"/>
    <w:rsid w:val="00FD4652"/>
    <w:rsid w:val="00FD4717"/>
    <w:rsid w:val="00FD4ABB"/>
    <w:rsid w:val="00FD4B79"/>
    <w:rsid w:val="00FD4E43"/>
    <w:rsid w:val="00FD4FCB"/>
    <w:rsid w:val="00FD586D"/>
    <w:rsid w:val="00FD6292"/>
    <w:rsid w:val="00FD64CC"/>
    <w:rsid w:val="00FD6719"/>
    <w:rsid w:val="00FD6AC9"/>
    <w:rsid w:val="00FD6EBB"/>
    <w:rsid w:val="00FD6ED6"/>
    <w:rsid w:val="00FD6EF2"/>
    <w:rsid w:val="00FD6EFB"/>
    <w:rsid w:val="00FD717A"/>
    <w:rsid w:val="00FD71F0"/>
    <w:rsid w:val="00FD7949"/>
    <w:rsid w:val="00FD7BCA"/>
    <w:rsid w:val="00FD7C5B"/>
    <w:rsid w:val="00FD7E74"/>
    <w:rsid w:val="00FD7EAB"/>
    <w:rsid w:val="00FE0200"/>
    <w:rsid w:val="00FE1813"/>
    <w:rsid w:val="00FE1C37"/>
    <w:rsid w:val="00FE1EFB"/>
    <w:rsid w:val="00FE1EFF"/>
    <w:rsid w:val="00FE241F"/>
    <w:rsid w:val="00FE257A"/>
    <w:rsid w:val="00FE2C8D"/>
    <w:rsid w:val="00FE382E"/>
    <w:rsid w:val="00FE38CF"/>
    <w:rsid w:val="00FE4183"/>
    <w:rsid w:val="00FE4455"/>
    <w:rsid w:val="00FE4490"/>
    <w:rsid w:val="00FE49F8"/>
    <w:rsid w:val="00FE4B73"/>
    <w:rsid w:val="00FE50FC"/>
    <w:rsid w:val="00FE565D"/>
    <w:rsid w:val="00FE58E7"/>
    <w:rsid w:val="00FE6643"/>
    <w:rsid w:val="00FE6E81"/>
    <w:rsid w:val="00FE75E8"/>
    <w:rsid w:val="00FE7818"/>
    <w:rsid w:val="00FE7AEA"/>
    <w:rsid w:val="00FF0078"/>
    <w:rsid w:val="00FF0B77"/>
    <w:rsid w:val="00FF117B"/>
    <w:rsid w:val="00FF11E4"/>
    <w:rsid w:val="00FF1D49"/>
    <w:rsid w:val="00FF2B63"/>
    <w:rsid w:val="00FF2DB9"/>
    <w:rsid w:val="00FF3084"/>
    <w:rsid w:val="00FF39F2"/>
    <w:rsid w:val="00FF3B2F"/>
    <w:rsid w:val="00FF3C22"/>
    <w:rsid w:val="00FF3E53"/>
    <w:rsid w:val="00FF45F2"/>
    <w:rsid w:val="00FF4E86"/>
    <w:rsid w:val="00FF5156"/>
    <w:rsid w:val="00FF549B"/>
    <w:rsid w:val="00FF5AE2"/>
    <w:rsid w:val="00FF612A"/>
    <w:rsid w:val="00FF641D"/>
    <w:rsid w:val="00FF6D2D"/>
    <w:rsid w:val="00FF6E06"/>
    <w:rsid w:val="00FF6E98"/>
    <w:rsid w:val="00FF7161"/>
    <w:rsid w:val="00FF745E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D99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46E"/>
    <w:rPr>
      <w:rFonts w:eastAsia="Times New Roman"/>
      <w:sz w:val="24"/>
      <w:szCs w:val="24"/>
      <w:lang w:val="en-HK" w:eastAsia="en-GB" w:bidi="ar-SA"/>
    </w:rPr>
  </w:style>
  <w:style w:type="paragraph" w:styleId="Heading1">
    <w:name w:val="heading 1"/>
    <w:basedOn w:val="Normal"/>
    <w:next w:val="Normal"/>
    <w:qFormat/>
    <w:rsid w:val="0001332C"/>
    <w:pPr>
      <w:keepNext/>
      <w:widowControl w:val="0"/>
      <w:spacing w:line="360" w:lineRule="auto"/>
      <w:outlineLvl w:val="0"/>
    </w:pPr>
    <w:rPr>
      <w:rFonts w:eastAsia="PMingLiU"/>
      <w:i/>
      <w:iCs/>
      <w:kern w:val="2"/>
      <w:lang w:val="en-US" w:eastAsia="zh-TW"/>
    </w:rPr>
  </w:style>
  <w:style w:type="paragraph" w:styleId="Heading2">
    <w:name w:val="heading 2"/>
    <w:basedOn w:val="Normal"/>
    <w:next w:val="Normal"/>
    <w:qFormat/>
    <w:rsid w:val="0001332C"/>
    <w:pPr>
      <w:keepNext/>
      <w:widowControl w:val="0"/>
      <w:outlineLvl w:val="1"/>
    </w:pPr>
    <w:rPr>
      <w:rFonts w:eastAsia="PMingLiU"/>
      <w:kern w:val="2"/>
      <w:u w:val="single"/>
      <w:lang w:val="en-US" w:eastAsia="zh-TW"/>
    </w:rPr>
  </w:style>
  <w:style w:type="paragraph" w:styleId="Heading3">
    <w:name w:val="heading 3"/>
    <w:basedOn w:val="Normal"/>
    <w:next w:val="Normal"/>
    <w:qFormat/>
    <w:rsid w:val="0001332C"/>
    <w:pPr>
      <w:keepNext/>
      <w:widowControl w:val="0"/>
      <w:jc w:val="both"/>
      <w:outlineLvl w:val="2"/>
    </w:pPr>
    <w:rPr>
      <w:rFonts w:eastAsia="PMingLiU"/>
      <w:kern w:val="2"/>
      <w:u w:val="single"/>
      <w:lang w:val="en-US" w:eastAsia="zh-TW"/>
    </w:rPr>
  </w:style>
  <w:style w:type="paragraph" w:styleId="Heading4">
    <w:name w:val="heading 4"/>
    <w:basedOn w:val="Normal"/>
    <w:next w:val="Normal"/>
    <w:qFormat/>
    <w:rsid w:val="0001332C"/>
    <w:pPr>
      <w:keepNext/>
      <w:widowControl w:val="0"/>
      <w:jc w:val="both"/>
      <w:outlineLvl w:val="3"/>
    </w:pPr>
    <w:rPr>
      <w:rFonts w:eastAsia="PMingLiU"/>
      <w:i/>
      <w:iCs/>
      <w:kern w:val="2"/>
      <w:lang w:val="en-US" w:eastAsia="zh-TW"/>
    </w:rPr>
  </w:style>
  <w:style w:type="paragraph" w:styleId="Heading5">
    <w:name w:val="heading 5"/>
    <w:basedOn w:val="Normal"/>
    <w:next w:val="Normal"/>
    <w:qFormat/>
    <w:rsid w:val="0001332C"/>
    <w:pPr>
      <w:keepNext/>
      <w:widowControl w:val="0"/>
      <w:jc w:val="both"/>
      <w:outlineLvl w:val="4"/>
    </w:pPr>
    <w:rPr>
      <w:rFonts w:eastAsia="PMingLiU"/>
      <w:b/>
      <w:kern w:val="2"/>
      <w:u w:val="single"/>
      <w:lang w:val="en-US" w:eastAsia="zh-TW"/>
    </w:rPr>
  </w:style>
  <w:style w:type="paragraph" w:styleId="Heading6">
    <w:name w:val="heading 6"/>
    <w:basedOn w:val="Normal"/>
    <w:next w:val="Normal"/>
    <w:qFormat/>
    <w:rsid w:val="0001332C"/>
    <w:pPr>
      <w:keepNext/>
      <w:widowControl w:val="0"/>
      <w:jc w:val="both"/>
      <w:outlineLvl w:val="5"/>
    </w:pPr>
    <w:rPr>
      <w:rFonts w:eastAsia="PMingLiU"/>
      <w:b/>
      <w:bCs/>
      <w:kern w:val="2"/>
      <w:lang w:val="en-US" w:eastAsia="zh-TW"/>
    </w:rPr>
  </w:style>
  <w:style w:type="paragraph" w:styleId="Heading7">
    <w:name w:val="heading 7"/>
    <w:basedOn w:val="Normal"/>
    <w:next w:val="Normal"/>
    <w:qFormat/>
    <w:rsid w:val="0001332C"/>
    <w:pPr>
      <w:keepNext/>
      <w:widowControl w:val="0"/>
      <w:ind w:left="240" w:hangingChars="100" w:hanging="240"/>
      <w:outlineLvl w:val="6"/>
    </w:pPr>
    <w:rPr>
      <w:rFonts w:eastAsia="PMingLiU"/>
      <w:i/>
      <w:iCs/>
      <w:kern w:val="2"/>
      <w:lang w:val="en-US" w:eastAsia="zh-TW"/>
    </w:rPr>
  </w:style>
  <w:style w:type="paragraph" w:styleId="Heading8">
    <w:name w:val="heading 8"/>
    <w:basedOn w:val="Normal"/>
    <w:next w:val="Normal"/>
    <w:qFormat/>
    <w:rsid w:val="0001332C"/>
    <w:pPr>
      <w:keepNext/>
      <w:widowControl w:val="0"/>
      <w:spacing w:line="360" w:lineRule="auto"/>
      <w:jc w:val="center"/>
      <w:outlineLvl w:val="7"/>
    </w:pPr>
    <w:rPr>
      <w:rFonts w:eastAsia="PMingLiU"/>
      <w:b/>
      <w:kern w:val="2"/>
      <w:sz w:val="28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01332C"/>
    <w:pPr>
      <w:widowControl w:val="0"/>
      <w:spacing w:line="360" w:lineRule="auto"/>
      <w:ind w:firstLine="480"/>
      <w:jc w:val="both"/>
    </w:pPr>
    <w:rPr>
      <w:rFonts w:eastAsia="PMingLiU"/>
      <w:kern w:val="2"/>
      <w:lang w:val="en-US" w:eastAsia="zh-TW"/>
    </w:rPr>
  </w:style>
  <w:style w:type="character" w:styleId="PageNumber">
    <w:name w:val="page number"/>
    <w:basedOn w:val="DefaultParagraphFont"/>
    <w:semiHidden/>
    <w:rsid w:val="0001332C"/>
  </w:style>
  <w:style w:type="paragraph" w:styleId="Header">
    <w:name w:val="header"/>
    <w:basedOn w:val="Normal"/>
    <w:rsid w:val="0001332C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val="en-US" w:eastAsia="zh-TW"/>
    </w:rPr>
  </w:style>
  <w:style w:type="paragraph" w:styleId="Footer">
    <w:name w:val="footer"/>
    <w:basedOn w:val="Normal"/>
    <w:semiHidden/>
    <w:rsid w:val="0001332C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val="en-US" w:eastAsia="zh-TW"/>
    </w:rPr>
  </w:style>
  <w:style w:type="paragraph" w:styleId="BodyText">
    <w:name w:val="Body Text"/>
    <w:basedOn w:val="Normal"/>
    <w:link w:val="BodyTextChar1"/>
    <w:rsid w:val="0001332C"/>
    <w:pPr>
      <w:widowControl w:val="0"/>
    </w:pPr>
    <w:rPr>
      <w:rFonts w:eastAsia="PMingLiU"/>
      <w:i/>
      <w:iCs/>
      <w:kern w:val="2"/>
      <w:lang w:val="en-US" w:eastAsia="zh-TW"/>
    </w:rPr>
  </w:style>
  <w:style w:type="character" w:customStyle="1" w:styleId="BodyTextChar1">
    <w:name w:val="Body Text Char1"/>
    <w:link w:val="BodyText"/>
    <w:rsid w:val="00B05F9E"/>
    <w:rPr>
      <w:i/>
      <w:iCs/>
      <w:kern w:val="2"/>
      <w:sz w:val="24"/>
      <w:szCs w:val="24"/>
    </w:rPr>
  </w:style>
  <w:style w:type="paragraph" w:styleId="BodyText2">
    <w:name w:val="Body Text 2"/>
    <w:basedOn w:val="Normal"/>
    <w:semiHidden/>
    <w:rsid w:val="0001332C"/>
    <w:pPr>
      <w:widowControl w:val="0"/>
    </w:pPr>
    <w:rPr>
      <w:rFonts w:eastAsia="PMingLiU"/>
      <w:b/>
      <w:kern w:val="2"/>
      <w:lang w:val="en-US" w:eastAsia="zh-TW"/>
    </w:rPr>
  </w:style>
  <w:style w:type="paragraph" w:styleId="BodyTextIndent2">
    <w:name w:val="Body Text Indent 2"/>
    <w:basedOn w:val="Normal"/>
    <w:semiHidden/>
    <w:rsid w:val="0001332C"/>
    <w:pPr>
      <w:widowControl w:val="0"/>
      <w:ind w:leftChars="150" w:left="360"/>
    </w:pPr>
    <w:rPr>
      <w:rFonts w:eastAsia="PMingLiU"/>
      <w:kern w:val="2"/>
      <w:lang w:val="en-US" w:eastAsia="zh-TW"/>
    </w:rPr>
  </w:style>
  <w:style w:type="paragraph" w:styleId="Date">
    <w:name w:val="Date"/>
    <w:basedOn w:val="Normal"/>
    <w:next w:val="Normal"/>
    <w:semiHidden/>
    <w:rsid w:val="0001332C"/>
    <w:pPr>
      <w:widowControl w:val="0"/>
      <w:jc w:val="right"/>
    </w:pPr>
    <w:rPr>
      <w:rFonts w:eastAsia="PMingLiU"/>
      <w:kern w:val="2"/>
      <w:lang w:val="en-US" w:eastAsia="zh-TW"/>
    </w:rPr>
  </w:style>
  <w:style w:type="paragraph" w:styleId="BodyText3">
    <w:name w:val="Body Text 3"/>
    <w:basedOn w:val="Normal"/>
    <w:semiHidden/>
    <w:rsid w:val="0001332C"/>
    <w:pPr>
      <w:widowControl w:val="0"/>
      <w:spacing w:line="360" w:lineRule="auto"/>
      <w:jc w:val="both"/>
    </w:pPr>
    <w:rPr>
      <w:rFonts w:eastAsia="PMingLiU"/>
      <w:kern w:val="2"/>
      <w:lang w:val="en-US" w:eastAsia="zh-TW"/>
    </w:rPr>
  </w:style>
  <w:style w:type="paragraph" w:customStyle="1" w:styleId="BalloonText1">
    <w:name w:val="Balloon Text1"/>
    <w:basedOn w:val="Normal"/>
    <w:semiHidden/>
    <w:rsid w:val="0001332C"/>
    <w:pPr>
      <w:widowControl w:val="0"/>
    </w:pPr>
    <w:rPr>
      <w:rFonts w:ascii="Arial" w:eastAsia="PMingLiU" w:hAnsi="Arial"/>
      <w:kern w:val="2"/>
      <w:sz w:val="18"/>
      <w:szCs w:val="18"/>
      <w:lang w:val="en-US" w:eastAsia="zh-TW"/>
    </w:rPr>
  </w:style>
  <w:style w:type="character" w:styleId="CommentReference">
    <w:name w:val="annotation reference"/>
    <w:uiPriority w:val="99"/>
    <w:semiHidden/>
    <w:rsid w:val="0001332C"/>
    <w:rPr>
      <w:sz w:val="18"/>
      <w:szCs w:val="18"/>
    </w:rPr>
  </w:style>
  <w:style w:type="paragraph" w:styleId="CommentText">
    <w:name w:val="annotation text"/>
    <w:basedOn w:val="Normal"/>
    <w:link w:val="CommentTextChar1"/>
    <w:uiPriority w:val="99"/>
    <w:semiHidden/>
    <w:rsid w:val="0001332C"/>
    <w:pPr>
      <w:widowControl w:val="0"/>
    </w:pPr>
    <w:rPr>
      <w:rFonts w:eastAsia="PMingLiU"/>
      <w:kern w:val="2"/>
      <w:lang w:val="en-US" w:eastAsia="zh-TW"/>
    </w:rPr>
  </w:style>
  <w:style w:type="character" w:customStyle="1" w:styleId="CommentTextChar1">
    <w:name w:val="Comment Text Char1"/>
    <w:link w:val="CommentText"/>
    <w:semiHidden/>
    <w:rsid w:val="00496F23"/>
    <w:rPr>
      <w:kern w:val="2"/>
      <w:sz w:val="24"/>
      <w:szCs w:val="24"/>
    </w:rPr>
  </w:style>
  <w:style w:type="paragraph" w:customStyle="1" w:styleId="CommentSubject1">
    <w:name w:val="Comment Subject1"/>
    <w:basedOn w:val="CommentText"/>
    <w:next w:val="CommentText"/>
    <w:semiHidden/>
    <w:rsid w:val="0001332C"/>
    <w:rPr>
      <w:b/>
      <w:bCs/>
    </w:rPr>
  </w:style>
  <w:style w:type="character" w:styleId="Hyperlink">
    <w:name w:val="Hyperlink"/>
    <w:semiHidden/>
    <w:rsid w:val="0001332C"/>
    <w:rPr>
      <w:color w:val="0000FF"/>
      <w:u w:val="single"/>
    </w:rPr>
  </w:style>
  <w:style w:type="paragraph" w:customStyle="1" w:styleId="BalloonText2">
    <w:name w:val="Balloon Text2"/>
    <w:basedOn w:val="Normal"/>
    <w:rsid w:val="0001332C"/>
    <w:pPr>
      <w:widowControl w:val="0"/>
    </w:pPr>
    <w:rPr>
      <w:rFonts w:ascii="Arial" w:eastAsia="PMingLiU" w:hAnsi="Arial"/>
      <w:kern w:val="2"/>
      <w:sz w:val="18"/>
      <w:szCs w:val="18"/>
      <w:lang w:val="en-US" w:eastAsia="zh-TW"/>
    </w:rPr>
  </w:style>
  <w:style w:type="character" w:styleId="Emphasis">
    <w:name w:val="Emphasis"/>
    <w:qFormat/>
    <w:rsid w:val="0001332C"/>
    <w:rPr>
      <w:i/>
      <w:iCs/>
    </w:rPr>
  </w:style>
  <w:style w:type="paragraph" w:customStyle="1" w:styleId="CommentSubject2">
    <w:name w:val="Comment Subject2"/>
    <w:basedOn w:val="CommentText"/>
    <w:next w:val="CommentText"/>
    <w:semiHidden/>
    <w:rsid w:val="0001332C"/>
    <w:rPr>
      <w:b/>
      <w:bCs/>
    </w:rPr>
  </w:style>
  <w:style w:type="character" w:styleId="Strong">
    <w:name w:val="Strong"/>
    <w:qFormat/>
    <w:rsid w:val="0001332C"/>
    <w:rPr>
      <w:b/>
      <w:bCs/>
    </w:rPr>
  </w:style>
  <w:style w:type="character" w:styleId="FollowedHyperlink">
    <w:name w:val="FollowedHyperlink"/>
    <w:semiHidden/>
    <w:rsid w:val="0001332C"/>
    <w:rPr>
      <w:color w:val="800080"/>
      <w:u w:val="single"/>
    </w:rPr>
  </w:style>
  <w:style w:type="character" w:customStyle="1" w:styleId="BodyTextChar">
    <w:name w:val="Body Text Char"/>
    <w:rsid w:val="0001332C"/>
    <w:rPr>
      <w:i/>
      <w:iCs/>
      <w:kern w:val="2"/>
      <w:sz w:val="24"/>
      <w:szCs w:val="24"/>
    </w:rPr>
  </w:style>
  <w:style w:type="character" w:customStyle="1" w:styleId="BodyText3Char">
    <w:name w:val="Body Text 3 Char"/>
    <w:rsid w:val="0001332C"/>
    <w:rPr>
      <w:kern w:val="2"/>
      <w:sz w:val="24"/>
      <w:szCs w:val="24"/>
    </w:rPr>
  </w:style>
  <w:style w:type="character" w:customStyle="1" w:styleId="HeaderChar">
    <w:name w:val="Header Char"/>
    <w:rsid w:val="0001332C"/>
    <w:rPr>
      <w:kern w:val="2"/>
    </w:rPr>
  </w:style>
  <w:style w:type="paragraph" w:customStyle="1" w:styleId="body-paragraph">
    <w:name w:val="body-paragraph"/>
    <w:basedOn w:val="Normal"/>
    <w:rsid w:val="0001332C"/>
    <w:pPr>
      <w:spacing w:before="100" w:beforeAutospacing="1" w:after="100" w:afterAutospacing="1"/>
    </w:pPr>
    <w:rPr>
      <w:rFonts w:ascii="PMingLiU" w:eastAsia="PMingLiU" w:hAnsi="PMingLiU" w:cs="PMingLiU"/>
      <w:lang w:val="en-US" w:eastAsia="zh-TW"/>
    </w:rPr>
  </w:style>
  <w:style w:type="character" w:customStyle="1" w:styleId="Heading2Char">
    <w:name w:val="Heading 2 Char"/>
    <w:rsid w:val="0001332C"/>
    <w:rPr>
      <w:kern w:val="2"/>
      <w:sz w:val="24"/>
      <w:szCs w:val="24"/>
      <w:u w:val="single"/>
    </w:rPr>
  </w:style>
  <w:style w:type="character" w:customStyle="1" w:styleId="st">
    <w:name w:val="st"/>
    <w:rsid w:val="0001332C"/>
  </w:style>
  <w:style w:type="paragraph" w:styleId="BalloonText">
    <w:name w:val="Balloon Text"/>
    <w:basedOn w:val="Normal"/>
    <w:link w:val="BalloonTextChar"/>
    <w:uiPriority w:val="99"/>
    <w:semiHidden/>
    <w:unhideWhenUsed/>
    <w:rsid w:val="006768D8"/>
    <w:pPr>
      <w:widowControl w:val="0"/>
    </w:pPr>
    <w:rPr>
      <w:rFonts w:ascii="Cambria" w:eastAsia="PMingLiU" w:hAnsi="Cambria"/>
      <w:kern w:val="2"/>
      <w:sz w:val="18"/>
      <w:szCs w:val="18"/>
      <w:lang w:val="en-US" w:eastAsia="zh-TW"/>
    </w:rPr>
  </w:style>
  <w:style w:type="character" w:customStyle="1" w:styleId="BalloonTextChar">
    <w:name w:val="Balloon Text Char"/>
    <w:link w:val="BalloonText"/>
    <w:uiPriority w:val="99"/>
    <w:semiHidden/>
    <w:rsid w:val="006768D8"/>
    <w:rPr>
      <w:rFonts w:ascii="Cambria" w:eastAsia="PMingLiU" w:hAnsi="Cambria" w:cs="Times New Roman"/>
      <w:kern w:val="2"/>
      <w:sz w:val="18"/>
      <w:szCs w:val="18"/>
    </w:rPr>
  </w:style>
  <w:style w:type="character" w:customStyle="1" w:styleId="CommentTextChar">
    <w:name w:val="Comment Text Char"/>
    <w:uiPriority w:val="99"/>
    <w:rsid w:val="0001332C"/>
    <w:rPr>
      <w:kern w:val="2"/>
      <w:sz w:val="24"/>
      <w:szCs w:val="24"/>
    </w:rPr>
  </w:style>
  <w:style w:type="character" w:customStyle="1" w:styleId="CommentSubjectChar">
    <w:name w:val="Comment Subject Char"/>
    <w:semiHidden/>
    <w:rsid w:val="0001332C"/>
    <w:rPr>
      <w:b/>
      <w:bCs/>
      <w:kern w:val="2"/>
      <w:sz w:val="24"/>
      <w:szCs w:val="24"/>
    </w:rPr>
  </w:style>
  <w:style w:type="paragraph" w:styleId="Caption">
    <w:name w:val="caption"/>
    <w:basedOn w:val="Normal"/>
    <w:next w:val="Normal"/>
    <w:qFormat/>
    <w:rsid w:val="0001332C"/>
    <w:pPr>
      <w:widowControl w:val="0"/>
    </w:pPr>
    <w:rPr>
      <w:rFonts w:eastAsia="PMingLiU"/>
      <w:kern w:val="2"/>
      <w:sz w:val="20"/>
      <w:szCs w:val="20"/>
      <w:lang w:val="en-US" w:eastAsia="zh-TW"/>
    </w:rPr>
  </w:style>
  <w:style w:type="paragraph" w:styleId="NormalWeb">
    <w:name w:val="Normal (Web)"/>
    <w:basedOn w:val="Normal"/>
    <w:uiPriority w:val="99"/>
    <w:unhideWhenUsed/>
    <w:rsid w:val="00AD61D4"/>
    <w:pPr>
      <w:spacing w:before="100" w:beforeAutospacing="1" w:after="100" w:afterAutospacing="1"/>
    </w:pPr>
    <w:rPr>
      <w:rFonts w:eastAsia="PMingLiU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496F2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496F23"/>
    <w:rPr>
      <w:b/>
      <w:bCs/>
      <w:kern w:val="2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185"/>
    <w:pPr>
      <w:widowControl w:val="0"/>
      <w:snapToGrid w:val="0"/>
    </w:pPr>
    <w:rPr>
      <w:rFonts w:eastAsia="PMingLiU"/>
      <w:kern w:val="2"/>
      <w:sz w:val="20"/>
      <w:szCs w:val="20"/>
      <w:lang w:val="en-US" w:eastAsia="zh-TW"/>
    </w:rPr>
  </w:style>
  <w:style w:type="character" w:customStyle="1" w:styleId="FootnoteTextChar">
    <w:name w:val="Footnote Text Char"/>
    <w:link w:val="FootnoteText"/>
    <w:uiPriority w:val="99"/>
    <w:semiHidden/>
    <w:rsid w:val="00D22185"/>
    <w:rPr>
      <w:kern w:val="2"/>
    </w:rPr>
  </w:style>
  <w:style w:type="character" w:styleId="FootnoteReference">
    <w:name w:val="footnote reference"/>
    <w:uiPriority w:val="99"/>
    <w:semiHidden/>
    <w:unhideWhenUsed/>
    <w:rsid w:val="00D22185"/>
    <w:rPr>
      <w:vertAlign w:val="superscript"/>
    </w:rPr>
  </w:style>
  <w:style w:type="character" w:customStyle="1" w:styleId="im">
    <w:name w:val="im"/>
    <w:rsid w:val="0078312D"/>
  </w:style>
  <w:style w:type="paragraph" w:styleId="ListParagraph">
    <w:name w:val="List Paragraph"/>
    <w:basedOn w:val="Normal"/>
    <w:uiPriority w:val="34"/>
    <w:qFormat/>
    <w:rsid w:val="00EA6B3F"/>
    <w:pPr>
      <w:widowControl w:val="0"/>
      <w:ind w:left="720"/>
      <w:contextualSpacing/>
    </w:pPr>
    <w:rPr>
      <w:rFonts w:eastAsia="PMingLiU"/>
      <w:kern w:val="2"/>
      <w:lang w:val="en-US" w:eastAsia="zh-TW"/>
    </w:rPr>
  </w:style>
  <w:style w:type="table" w:styleId="TableGrid">
    <w:name w:val="Table Grid"/>
    <w:basedOn w:val="TableNormal"/>
    <w:uiPriority w:val="59"/>
    <w:rsid w:val="00AF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E7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52D04"/>
    <w:rPr>
      <w:color w:val="605E5C"/>
      <w:shd w:val="clear" w:color="auto" w:fill="E1DFDD"/>
    </w:rPr>
  </w:style>
  <w:style w:type="paragraph" w:customStyle="1" w:styleId="Default">
    <w:name w:val="Default"/>
    <w:rsid w:val="00A53B53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zh-CN" w:bidi="ar-SA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C45E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3634B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15FE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53CC0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FA39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1996"/>
    <w:rPr>
      <w:rFonts w:eastAsia="Times New Roman"/>
      <w:sz w:val="24"/>
      <w:szCs w:val="24"/>
      <w:lang w:val="en-HK"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F2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1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4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-project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5CC30B-BCE0-BD42-B5E9-3DCDDCA2DE80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F21E85-E844-4EC0-A885-13EEA717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8928</Words>
  <Characters>50891</Characters>
  <Application>Microsoft Office Word</Application>
  <DocSecurity>0</DocSecurity>
  <Lines>424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Effects of Social Goals on Student Achievement Motivation:</vt:lpstr>
    </vt:vector>
  </TitlesOfParts>
  <LinksUpToDate>false</LinksUpToDate>
  <CharactersWithSpaces>59700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Effects of Social Goals on Student Achievement Motivation:</dc:title>
  <dc:subject/>
  <dc:creator/>
  <cp:keywords/>
  <dc:description/>
  <cp:lastModifiedBy/>
  <cp:revision>1</cp:revision>
  <cp:lastPrinted>2005-06-21T00:41:00Z</cp:lastPrinted>
  <dcterms:created xsi:type="dcterms:W3CDTF">2023-07-24T08:06:00Z</dcterms:created>
  <dcterms:modified xsi:type="dcterms:W3CDTF">2023-07-24T09:52:00Z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documentId_2822</vt:lpwstr>
  </property>
  <property fmtid="{D5CDD505-2E9C-101B-9397-08002B2CF9AE}" pid="3" name="grammarly_documentContext">
    <vt:lpwstr>{"goals":[],"domain":"general","emotions":[],"dialect":"american"}</vt:lpwstr>
  </property>
</Properties>
</file>