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40C8D" w:rsidRDefault="007D1D15">
      <w:pPr>
        <w:spacing w:after="160" w:line="259" w:lineRule="auto"/>
        <w:jc w:val="both"/>
        <w:rPr>
          <w:b/>
        </w:rPr>
      </w:pPr>
      <w:bookmarkStart w:id="0" w:name="bookmark=id.30j0zll" w:colFirst="0" w:colLast="0"/>
      <w:bookmarkStart w:id="1" w:name="_heading=h.gjdgxs" w:colFirst="0" w:colLast="0"/>
      <w:bookmarkEnd w:id="0"/>
      <w:bookmarkEnd w:id="1"/>
      <w:r>
        <w:rPr>
          <w:b/>
        </w:rPr>
        <w:t>The death of the 2015 SENDCOP. Should government have learnt lessons from listening to the voices of history, research and politicians? (Part II)</w:t>
      </w:r>
    </w:p>
    <w:p w14:paraId="00000002" w14:textId="77777777" w:rsidR="00540C8D" w:rsidRDefault="00540C8D">
      <w:pPr>
        <w:spacing w:after="160" w:line="259" w:lineRule="auto"/>
        <w:jc w:val="both"/>
        <w:rPr>
          <w:b/>
        </w:rPr>
      </w:pPr>
      <w:bookmarkStart w:id="2" w:name="_heading=h.3p8vn9ij69od" w:colFirst="0" w:colLast="0"/>
      <w:bookmarkEnd w:id="2"/>
    </w:p>
    <w:p w14:paraId="00000003" w14:textId="77777777" w:rsidR="00540C8D" w:rsidRDefault="007D1D15">
      <w:pPr>
        <w:spacing w:after="160" w:line="259" w:lineRule="auto"/>
        <w:jc w:val="both"/>
        <w:rPr>
          <w:b/>
        </w:rPr>
      </w:pPr>
      <w:bookmarkStart w:id="3" w:name="_heading=h.pa89aysrllxg" w:colFirst="0" w:colLast="0"/>
      <w:bookmarkEnd w:id="3"/>
      <w:r>
        <w:rPr>
          <w:b/>
        </w:rPr>
        <w:t>Professor Alan Hodkinson</w:t>
      </w:r>
    </w:p>
    <w:p w14:paraId="00000004" w14:textId="77777777" w:rsidR="00540C8D" w:rsidRDefault="007D1D15">
      <w:pPr>
        <w:spacing w:after="160" w:line="259" w:lineRule="auto"/>
        <w:jc w:val="both"/>
        <w:rPr>
          <w:b/>
        </w:rPr>
      </w:pPr>
      <w:bookmarkStart w:id="4" w:name="_heading=h.atbdq8dautyq" w:colFirst="0" w:colLast="0"/>
      <w:bookmarkEnd w:id="4"/>
      <w:r>
        <w:rPr>
          <w:b/>
        </w:rPr>
        <w:t>School of Social Sciences</w:t>
      </w:r>
    </w:p>
    <w:p w14:paraId="00000005" w14:textId="77777777" w:rsidR="00540C8D" w:rsidRDefault="007D1D15">
      <w:pPr>
        <w:spacing w:after="160" w:line="259" w:lineRule="auto"/>
        <w:jc w:val="both"/>
        <w:rPr>
          <w:b/>
        </w:rPr>
      </w:pPr>
      <w:bookmarkStart w:id="5" w:name="_heading=h.bt90m1rrvr9k" w:colFirst="0" w:colLast="0"/>
      <w:bookmarkEnd w:id="5"/>
      <w:r>
        <w:rPr>
          <w:b/>
        </w:rPr>
        <w:t>Liverpool Hope University</w:t>
      </w:r>
    </w:p>
    <w:p w14:paraId="00000006" w14:textId="77777777" w:rsidR="00540C8D" w:rsidRDefault="007D1D15">
      <w:pPr>
        <w:spacing w:after="160" w:line="259" w:lineRule="auto"/>
        <w:jc w:val="both"/>
        <w:rPr>
          <w:b/>
        </w:rPr>
      </w:pPr>
      <w:bookmarkStart w:id="6" w:name="_heading=h.ch04pml2higt" w:colFirst="0" w:colLast="0"/>
      <w:bookmarkEnd w:id="6"/>
      <w:r>
        <w:rPr>
          <w:b/>
        </w:rPr>
        <w:t>England.</w:t>
      </w:r>
    </w:p>
    <w:p w14:paraId="00000007" w14:textId="77777777" w:rsidR="00540C8D" w:rsidRDefault="007D1D15">
      <w:pPr>
        <w:spacing w:after="160" w:line="259" w:lineRule="auto"/>
        <w:jc w:val="both"/>
        <w:rPr>
          <w:b/>
        </w:rPr>
      </w:pPr>
      <w:bookmarkStart w:id="7" w:name="_heading=h.9favavosu94g" w:colFirst="0" w:colLast="0"/>
      <w:bookmarkEnd w:id="7"/>
      <w:r>
        <w:rPr>
          <w:b/>
        </w:rPr>
        <w:t>hodkina@hope.ac.uk</w:t>
      </w:r>
    </w:p>
    <w:p w14:paraId="00000008" w14:textId="77777777" w:rsidR="00540C8D" w:rsidRDefault="00540C8D">
      <w:pPr>
        <w:spacing w:after="160" w:line="259" w:lineRule="auto"/>
        <w:jc w:val="both"/>
      </w:pPr>
      <w:bookmarkStart w:id="8" w:name="_heading=h.1fob9te" w:colFirst="0" w:colLast="0"/>
      <w:bookmarkEnd w:id="8"/>
    </w:p>
    <w:p w14:paraId="00000009" w14:textId="77777777" w:rsidR="00540C8D" w:rsidRDefault="007D1D15">
      <w:pPr>
        <w:spacing w:after="160" w:line="259" w:lineRule="auto"/>
        <w:jc w:val="both"/>
        <w:rPr>
          <w:b/>
        </w:rPr>
      </w:pPr>
      <w:r>
        <w:rPr>
          <w:b/>
        </w:rPr>
        <w:t>Abstract</w:t>
      </w:r>
    </w:p>
    <w:p w14:paraId="0000000A" w14:textId="77777777" w:rsidR="00540C8D" w:rsidRDefault="007D1D15">
      <w:pPr>
        <w:jc w:val="both"/>
      </w:pPr>
      <w:r>
        <w:t>This research builds on a previous study which found that ‘fault lines of failure’ existed in the Special Educational Needs and Disability Code of Practice 2015 (SENDCOP). The fault lines that were revealed, through a historical analysis of policy</w:t>
      </w:r>
      <w:r>
        <w:t xml:space="preserve"> and practice, were those of multi-agency working, the training of professionals, pupil/ parent voice and the funding of the systems of SEND. This current research, through the application of a thematic analysis, sought to examine whether the ‘fault lines’</w:t>
      </w:r>
      <w:r>
        <w:t xml:space="preserve"> evidenced in this previous research were observable in politician’s speeches detailed in Hansard from December 2014- May 2022. The research found that similar to extant research the fault lines of failure were indeed observable and that there was also a s</w:t>
      </w:r>
      <w:r>
        <w:t>ignificant disjunct between government rhetoric and that of parliamentarians as to the success of the operation of the SENDCOP. The research concludes that moving into a new legislative era, the government must not only listen to, but must hear and heed th</w:t>
      </w:r>
      <w:r>
        <w:t xml:space="preserve">e voices of parliamentarians as these voices offer a source of wisdom and provide early warning to the opening of the ‘fault lines of failure’ which have doomed previous SEND policies to failure. </w:t>
      </w:r>
    </w:p>
    <w:p w14:paraId="0000000B" w14:textId="77777777" w:rsidR="00540C8D" w:rsidRDefault="00540C8D">
      <w:pPr>
        <w:spacing w:after="160" w:line="259" w:lineRule="auto"/>
        <w:jc w:val="both"/>
      </w:pPr>
    </w:p>
    <w:p w14:paraId="0000000C" w14:textId="77777777" w:rsidR="00540C8D" w:rsidRDefault="00540C8D">
      <w:pPr>
        <w:spacing w:after="160" w:line="259" w:lineRule="auto"/>
        <w:jc w:val="both"/>
      </w:pPr>
    </w:p>
    <w:p w14:paraId="0000000D" w14:textId="77777777" w:rsidR="00540C8D" w:rsidRDefault="007D1D15">
      <w:pPr>
        <w:spacing w:after="160" w:line="259" w:lineRule="auto"/>
        <w:jc w:val="both"/>
        <w:rPr>
          <w:b/>
        </w:rPr>
      </w:pPr>
      <w:r>
        <w:rPr>
          <w:b/>
        </w:rPr>
        <w:t>Key Words: SENDCOP 2015, Multi-Agency Working, SEND; Hans</w:t>
      </w:r>
      <w:r>
        <w:rPr>
          <w:b/>
        </w:rPr>
        <w:t>ard</w:t>
      </w:r>
    </w:p>
    <w:p w14:paraId="0000000E" w14:textId="77777777" w:rsidR="00540C8D" w:rsidRDefault="00540C8D">
      <w:pPr>
        <w:spacing w:after="160" w:line="259" w:lineRule="auto"/>
        <w:jc w:val="both"/>
      </w:pPr>
    </w:p>
    <w:p w14:paraId="0000000F" w14:textId="77777777" w:rsidR="00540C8D" w:rsidRDefault="007D1D15">
      <w:pPr>
        <w:spacing w:after="160" w:line="259" w:lineRule="auto"/>
        <w:jc w:val="both"/>
        <w:rPr>
          <w:b/>
        </w:rPr>
      </w:pPr>
      <w:r>
        <w:rPr>
          <w:b/>
        </w:rPr>
        <w:t>Introduction</w:t>
      </w:r>
    </w:p>
    <w:p w14:paraId="00000010" w14:textId="77777777" w:rsidR="00540C8D" w:rsidRDefault="007D1D15">
      <w:pPr>
        <w:spacing w:after="160" w:line="259" w:lineRule="auto"/>
        <w:jc w:val="both"/>
      </w:pPr>
      <w:r>
        <w:t>Previous research has revealed ‘fault lines of failure’ at the core of all iterations of the government's legislative frameworks of SEND since the 1980s (Hodkinson, 2023).  This research argued such ‘fault-lines’ served as structural impe</w:t>
      </w:r>
      <w:r>
        <w:t xml:space="preserve">diments to the current SENDCOPs efficient and effective implementation and operation. The fault lines revealed in the previous research were those of multi-agency working, pupil/ parent and professional partnerships, funding and teacher training. </w:t>
      </w:r>
    </w:p>
    <w:p w14:paraId="00000011" w14:textId="77777777" w:rsidR="00540C8D" w:rsidRDefault="007D1D15">
      <w:pPr>
        <w:spacing w:after="160" w:line="259" w:lineRule="auto"/>
        <w:jc w:val="both"/>
      </w:pPr>
      <w:r>
        <w:t>This cur</w:t>
      </w:r>
      <w:r>
        <w:t>rent study builds on the conclusions of the existing research which demonstrated how the government was bombarded with criticism and recommendations, from 1978 onwards, in relation to its inception and operation of its systems of SEND in England. Indeed, t</w:t>
      </w:r>
      <w:r>
        <w:t xml:space="preserve">he previous research </w:t>
      </w:r>
      <w:r>
        <w:lastRenderedPageBreak/>
        <w:t>indicated that the 1981, 1993, 2001 and most recently the 2014 Act, and their SENDCOPs, failed to adequately support children. This research concluded that despite significant government rhetoric to the contrary, forty years of legisla</w:t>
      </w:r>
      <w:r>
        <w:t>tion had not inculcated a radical cultural change in practice but had led only to systems of SEND that were under-resourced and ‘harmful for children and all those involved’ (</w:t>
      </w:r>
      <w:proofErr w:type="spellStart"/>
      <w:r>
        <w:t>Ahad</w:t>
      </w:r>
      <w:proofErr w:type="spellEnd"/>
      <w:r>
        <w:t xml:space="preserve">, </w:t>
      </w:r>
      <w:r>
        <w:rPr>
          <w:i/>
        </w:rPr>
        <w:t>et. al</w:t>
      </w:r>
      <w:r>
        <w:t>. 2022: 20). It detailed that legislation had created ‘warrior parent</w:t>
      </w:r>
      <w:r>
        <w:t xml:space="preserve">s’ (Lamb, 2019) who had to ‘swear and make a stink’ (Cullen &amp; Lindsay, 2019:3) as they battled the system to ensure that their children were supported. </w:t>
      </w:r>
    </w:p>
    <w:p w14:paraId="00000012" w14:textId="77777777" w:rsidR="00540C8D" w:rsidRDefault="007D1D15">
      <w:pPr>
        <w:spacing w:after="160" w:line="259" w:lineRule="auto"/>
        <w:jc w:val="both"/>
      </w:pPr>
      <w:r>
        <w:t>The current study aims to demonstrate that the fault-lines identified in the previous research are also</w:t>
      </w:r>
      <w:r>
        <w:t xml:space="preserve"> evident in the speeches of parliamentarians, as evidenced in Harvard between December 2014 to May 2022. In addition, this research aims to evidence that there was a clear divide between government rhetoric and the voices of parliamentarians, of all politi</w:t>
      </w:r>
      <w:r>
        <w:t xml:space="preserve">cal parties, as to the success of the systems of SEND management introduced it introduced in 2014. </w:t>
      </w:r>
    </w:p>
    <w:p w14:paraId="00000013" w14:textId="77777777" w:rsidR="00540C8D" w:rsidRDefault="007D1D15">
      <w:pPr>
        <w:spacing w:after="160" w:line="259" w:lineRule="auto"/>
        <w:jc w:val="both"/>
      </w:pPr>
      <w:r>
        <w:t xml:space="preserve">Firstly, some contextual historical detail, as to the causation of the 2014 SEND systems failure, is provided beginning with the fault line of multi-agency </w:t>
      </w:r>
      <w:r>
        <w:t>working.</w:t>
      </w:r>
    </w:p>
    <w:p w14:paraId="00000014" w14:textId="77777777" w:rsidR="00540C8D" w:rsidRDefault="007D1D15">
      <w:pPr>
        <w:spacing w:after="160" w:line="259" w:lineRule="auto"/>
        <w:jc w:val="both"/>
        <w:rPr>
          <w:i/>
        </w:rPr>
      </w:pPr>
      <w:r>
        <w:rPr>
          <w:i/>
        </w:rPr>
        <w:t>Examining multi-agency working, parents/ pupils, participation, and partnerships</w:t>
      </w:r>
    </w:p>
    <w:p w14:paraId="00000015" w14:textId="77777777" w:rsidR="00540C8D" w:rsidRDefault="007D1D15">
      <w:pPr>
        <w:spacing w:after="160" w:line="259" w:lineRule="auto"/>
        <w:jc w:val="both"/>
      </w:pPr>
      <w:r>
        <w:t>Section 25 of the Children and Families Act (CFA) (DfE, 2014:4) places a legal duty on local authorities (LAs) to guarantee that education, training and social care p</w:t>
      </w:r>
      <w:r>
        <w:t>rovision:</w:t>
      </w:r>
    </w:p>
    <w:p w14:paraId="00000016" w14:textId="77777777" w:rsidR="00540C8D" w:rsidRDefault="007D1D15">
      <w:pPr>
        <w:spacing w:after="160" w:line="259" w:lineRule="auto"/>
        <w:ind w:left="720"/>
        <w:jc w:val="both"/>
      </w:pPr>
      <w:r>
        <w:t>‘ensure[s] that services consistently place children and young people at the centre of decision-making and support . . . challenging any dogma, delay or professional interests that might hold them back’.</w:t>
      </w:r>
    </w:p>
    <w:p w14:paraId="00000017" w14:textId="77777777" w:rsidR="00540C8D" w:rsidRDefault="007D1D15">
      <w:pPr>
        <w:spacing w:after="160" w:line="259" w:lineRule="auto"/>
        <w:jc w:val="both"/>
      </w:pPr>
      <w:r>
        <w:t>In an examination of this fault-line it is</w:t>
      </w:r>
      <w:r>
        <w:t xml:space="preserve"> important to critically examine current practice through a historical lens as this exemplifies how current failures in practice mirror those within the history of the development of multi-agency working. Multi-agency working, then, is not a new phenomenon</w:t>
      </w:r>
      <w:r>
        <w:t>, indeed, its roots may be traced back to the mid-1800s when health and social workers came together to try to reduce poverty in England (</w:t>
      </w:r>
      <w:proofErr w:type="spellStart"/>
      <w:r>
        <w:t>Cheminais</w:t>
      </w:r>
      <w:proofErr w:type="spellEnd"/>
      <w:r>
        <w:t xml:space="preserve">, 2009). However, in the more modern era, multi-agency working developed out of the death of Maria Coldwell. </w:t>
      </w:r>
      <w:r>
        <w:t xml:space="preserve">The subsequent enquiry, in 1977, found a lack of communication between service providers was a major contributory factor in Marie's death.  From this case onwards, measures and initiatives have been introduced to develop joined up thinking, and responses, </w:t>
      </w:r>
      <w:r>
        <w:t xml:space="preserve">to issues of social inclusion and child protection (Edwards, </w:t>
      </w:r>
      <w:r>
        <w:rPr>
          <w:i/>
        </w:rPr>
        <w:t>et. al.,</w:t>
      </w:r>
      <w:r>
        <w:t xml:space="preserve"> 2009). These include such things as the Children's Act 1989, SEN toolkit 2001, Every Child Matters and the subsequent Children's Act of 2004, the Children's Fund, Sure Start, local netwo</w:t>
      </w:r>
      <w:r>
        <w:t xml:space="preserve">rk funding, extended school initiatives and most recently </w:t>
      </w:r>
      <w:r>
        <w:rPr>
          <w:highlight w:val="white"/>
        </w:rPr>
        <w:t>“Working Together to Safeguard Children”; England's statutory guidance, on multi-agency working (</w:t>
      </w:r>
      <w:proofErr w:type="spellStart"/>
      <w:r>
        <w:rPr>
          <w:highlight w:val="white"/>
        </w:rPr>
        <w:t>Jahans-Bayton</w:t>
      </w:r>
      <w:proofErr w:type="spellEnd"/>
      <w:r>
        <w:rPr>
          <w:highlight w:val="white"/>
        </w:rPr>
        <w:t xml:space="preserve"> &amp; </w:t>
      </w:r>
      <w:proofErr w:type="spellStart"/>
      <w:r>
        <w:rPr>
          <w:highlight w:val="white"/>
        </w:rPr>
        <w:t>Grealish</w:t>
      </w:r>
      <w:proofErr w:type="spellEnd"/>
      <w:r>
        <w:rPr>
          <w:highlight w:val="white"/>
        </w:rPr>
        <w:t>, 2022)</w:t>
      </w:r>
      <w:r>
        <w:rPr>
          <w:sz w:val="24"/>
          <w:szCs w:val="24"/>
        </w:rPr>
        <w:t>.</w:t>
      </w:r>
      <w:r>
        <w:t xml:space="preserve"> Multi-agency working has become a high priority for government who a</w:t>
      </w:r>
      <w:r>
        <w:t>ccept that well planned and coordinated strategic service provision positively enhances the lives of young children (Hussain &amp; Brownhill, 2014).</w:t>
      </w:r>
    </w:p>
    <w:p w14:paraId="00000018" w14:textId="77777777" w:rsidR="00540C8D" w:rsidRDefault="007D1D15">
      <w:pPr>
        <w:spacing w:after="160" w:line="259" w:lineRule="auto"/>
        <w:jc w:val="both"/>
      </w:pPr>
      <w:r>
        <w:t xml:space="preserve">Within SEND, Watson </w:t>
      </w:r>
      <w:r>
        <w:rPr>
          <w:i/>
        </w:rPr>
        <w:t>et. al.</w:t>
      </w:r>
      <w:r>
        <w:t xml:space="preserve"> (2004) suggest multi-agency working necessitates the bringing together of a range o</w:t>
      </w:r>
      <w:r>
        <w:t>f professionals across the boundaries of education, health, social-care, welfare, voluntary organisations, parents and pupils, and their advocates, all with the purpose of working towards holistic approaches to access high quality services for children.  T</w:t>
      </w:r>
      <w:r>
        <w:t>here can be no doubt though that multi-agency working is complex and fraught with difficulties, not least because of the plethora of services involved. As example, the CFA (2014) details the types of services that might be involved in joint commissioning a</w:t>
      </w:r>
      <w:r>
        <w:t>rrangements:</w:t>
      </w:r>
    </w:p>
    <w:p w14:paraId="00000019" w14:textId="77777777" w:rsidR="00540C8D" w:rsidRDefault="007D1D15">
      <w:pPr>
        <w:widowControl w:val="0"/>
        <w:spacing w:after="160" w:line="258" w:lineRule="auto"/>
        <w:ind w:left="720"/>
        <w:jc w:val="both"/>
      </w:pPr>
      <w:r>
        <w:lastRenderedPageBreak/>
        <w:t>‘Specialist support and therapies, such as clinical treatments and delivery of medications, speech and language therapy, assistive technology, personal care (or access to it), Child and Adolescent Mental Health Services (CAMHS) support, occupational therap</w:t>
      </w:r>
      <w:r>
        <w:t xml:space="preserve">y, rehabilitation training, physiotherapy, a range of nursing support, specialist equipment, wheelchairs and continence supplies and also emergency provision </w:t>
      </w:r>
      <w:proofErr w:type="gramStart"/>
      <w:r>
        <w:t>. . . ’</w:t>
      </w:r>
      <w:proofErr w:type="gramEnd"/>
      <w:r>
        <w:t xml:space="preserve">. </w:t>
      </w:r>
    </w:p>
    <w:p w14:paraId="0000001A" w14:textId="77777777" w:rsidR="00540C8D" w:rsidRDefault="007D1D15">
      <w:pPr>
        <w:widowControl w:val="0"/>
        <w:spacing w:after="160" w:line="258" w:lineRule="auto"/>
        <w:ind w:firstLine="720"/>
        <w:jc w:val="both"/>
      </w:pPr>
      <w:r>
        <w:t>(DfE, 2014: 40)</w:t>
      </w:r>
    </w:p>
    <w:p w14:paraId="0000001B" w14:textId="77777777" w:rsidR="00540C8D" w:rsidRDefault="007D1D15">
      <w:pPr>
        <w:widowControl w:val="0"/>
        <w:spacing w:after="160" w:line="258" w:lineRule="auto"/>
        <w:jc w:val="both"/>
      </w:pPr>
      <w:r>
        <w:t>Research has demonstrated that during the past four decades many childre</w:t>
      </w:r>
      <w:r>
        <w:t xml:space="preserve">n, and their families, have experienced barriers in accessing services, professionals and Las (Hodkinson, 2023). It appears that the complexities of service provision, information sharing, and the language of practice have presented considerable obstacles </w:t>
      </w:r>
      <w:r>
        <w:t>to the development and maintenance of educational, home and social environments in which care can thrive (</w:t>
      </w:r>
      <w:proofErr w:type="spellStart"/>
      <w:r>
        <w:t>Cavet</w:t>
      </w:r>
      <w:proofErr w:type="spellEnd"/>
      <w:r>
        <w:t xml:space="preserve">, N.D, Hodkinson, 2019a; </w:t>
      </w:r>
      <w:proofErr w:type="spellStart"/>
      <w:r>
        <w:t>Jahans-Bayton</w:t>
      </w:r>
      <w:proofErr w:type="spellEnd"/>
      <w:r>
        <w:t xml:space="preserve"> and </w:t>
      </w:r>
      <w:proofErr w:type="spellStart"/>
      <w:r>
        <w:t>Grealish</w:t>
      </w:r>
      <w:proofErr w:type="spellEnd"/>
      <w:r>
        <w:t xml:space="preserve">, 2022). </w:t>
      </w:r>
      <w:r>
        <w:rPr>
          <w:sz w:val="20"/>
          <w:szCs w:val="20"/>
          <w:highlight w:val="white"/>
        </w:rPr>
        <w:t>T</w:t>
      </w:r>
      <w:r>
        <w:rPr>
          <w:highlight w:val="white"/>
        </w:rPr>
        <w:t xml:space="preserve">hese difficulties </w:t>
      </w:r>
      <w:proofErr w:type="spellStart"/>
      <w:r>
        <w:rPr>
          <w:highlight w:val="white"/>
        </w:rPr>
        <w:t>Jahans-Bayton</w:t>
      </w:r>
      <w:proofErr w:type="spellEnd"/>
      <w:r>
        <w:rPr>
          <w:highlight w:val="white"/>
        </w:rPr>
        <w:t xml:space="preserve"> and </w:t>
      </w:r>
      <w:proofErr w:type="spellStart"/>
      <w:r>
        <w:rPr>
          <w:highlight w:val="white"/>
        </w:rPr>
        <w:t>Grealish</w:t>
      </w:r>
      <w:proofErr w:type="spellEnd"/>
      <w:r>
        <w:rPr>
          <w:highlight w:val="white"/>
        </w:rPr>
        <w:t xml:space="preserve"> (2022:172) argue have been compounded b</w:t>
      </w:r>
      <w:r>
        <w:rPr>
          <w:highlight w:val="white"/>
        </w:rPr>
        <w:t xml:space="preserve">y policy and statutory guidance which have led to ‘uncertain lines of accountability between </w:t>
      </w:r>
      <w:proofErr w:type="gramStart"/>
      <w:r>
        <w:rPr>
          <w:highlight w:val="white"/>
        </w:rPr>
        <w:t>professionals’</w:t>
      </w:r>
      <w:proofErr w:type="gramEnd"/>
      <w:r>
        <w:rPr>
          <w:highlight w:val="white"/>
        </w:rPr>
        <w:t xml:space="preserve">. </w:t>
      </w:r>
      <w:r>
        <w:t>Despite government rhetoric as to the effectiveness of multi-agency partnerships, many serious case reviews, not least in the recent case in Telfor</w:t>
      </w:r>
      <w:r>
        <w:t xml:space="preserve">d, have indicated that children have been, and still are, badly let down by professionals not working together (Hussain &amp; Brownhill, 2004; Community Care, 2022). </w:t>
      </w:r>
    </w:p>
    <w:p w14:paraId="0000001C" w14:textId="77777777" w:rsidR="00540C8D" w:rsidRDefault="007D1D15">
      <w:pPr>
        <w:spacing w:after="160" w:line="259" w:lineRule="auto"/>
        <w:rPr>
          <w:i/>
        </w:rPr>
      </w:pPr>
      <w:r>
        <w:rPr>
          <w:i/>
        </w:rPr>
        <w:t>Multi-Agency working: what can go wrong?</w:t>
      </w:r>
    </w:p>
    <w:p w14:paraId="0000001D" w14:textId="77777777" w:rsidR="00540C8D" w:rsidRDefault="007D1D15">
      <w:pPr>
        <w:spacing w:after="160" w:line="259" w:lineRule="auto"/>
        <w:jc w:val="both"/>
      </w:pPr>
      <w:r>
        <w:t>Within multi-agency working, confusion can arise bec</w:t>
      </w:r>
      <w:r>
        <w:t>ause of the plethora of language that is employed to describe how various agencies and services work together to support children (Hussain &amp; Brownhill, 2014). As an example, multi-agency working itself can be described in many differing and divergent ways.</w:t>
      </w:r>
      <w:r>
        <w:rPr>
          <w:rFonts w:ascii="Calibri" w:eastAsia="Calibri" w:hAnsi="Calibri" w:cs="Calibri"/>
        </w:rPr>
        <w:t xml:space="preserve"> </w:t>
      </w:r>
      <w:r>
        <w:t xml:space="preserve">Such as: </w:t>
      </w:r>
    </w:p>
    <w:p w14:paraId="0000001E" w14:textId="77777777" w:rsidR="00540C8D" w:rsidRDefault="007D1D15">
      <w:pPr>
        <w:widowControl w:val="0"/>
        <w:numPr>
          <w:ilvl w:val="0"/>
          <w:numId w:val="2"/>
        </w:numPr>
      </w:pPr>
      <w:r>
        <w:t>Integrated working</w:t>
      </w:r>
    </w:p>
    <w:p w14:paraId="0000001F" w14:textId="77777777" w:rsidR="00540C8D" w:rsidRDefault="007D1D15">
      <w:pPr>
        <w:widowControl w:val="0"/>
        <w:numPr>
          <w:ilvl w:val="0"/>
          <w:numId w:val="2"/>
        </w:numPr>
      </w:pPr>
      <w:r>
        <w:t>Multi-agency/ Cross-agency/ Interagency/ Trans-agency</w:t>
      </w:r>
    </w:p>
    <w:p w14:paraId="00000020" w14:textId="77777777" w:rsidR="00540C8D" w:rsidRDefault="007D1D15">
      <w:pPr>
        <w:widowControl w:val="0"/>
        <w:numPr>
          <w:ilvl w:val="0"/>
          <w:numId w:val="2"/>
        </w:numPr>
      </w:pPr>
      <w:r>
        <w:t>Co-ordination</w:t>
      </w:r>
    </w:p>
    <w:p w14:paraId="00000021" w14:textId="77777777" w:rsidR="00540C8D" w:rsidRDefault="007D1D15">
      <w:pPr>
        <w:widowControl w:val="0"/>
        <w:numPr>
          <w:ilvl w:val="0"/>
          <w:numId w:val="2"/>
        </w:numPr>
      </w:pPr>
      <w:r>
        <w:t>Co-operation</w:t>
      </w:r>
    </w:p>
    <w:p w14:paraId="00000022" w14:textId="77777777" w:rsidR="00540C8D" w:rsidRDefault="007D1D15">
      <w:pPr>
        <w:widowControl w:val="0"/>
        <w:numPr>
          <w:ilvl w:val="0"/>
          <w:numId w:val="2"/>
        </w:numPr>
      </w:pPr>
      <w:r>
        <w:t>Collaboration</w:t>
      </w:r>
    </w:p>
    <w:p w14:paraId="00000023" w14:textId="77777777" w:rsidR="00540C8D" w:rsidRDefault="007D1D15">
      <w:pPr>
        <w:widowControl w:val="0"/>
        <w:numPr>
          <w:ilvl w:val="0"/>
          <w:numId w:val="2"/>
        </w:numPr>
      </w:pPr>
      <w:r>
        <w:t>Partnerships</w:t>
      </w:r>
    </w:p>
    <w:p w14:paraId="00000024" w14:textId="77777777" w:rsidR="00540C8D" w:rsidRDefault="007D1D15">
      <w:pPr>
        <w:widowControl w:val="0"/>
        <w:numPr>
          <w:ilvl w:val="0"/>
          <w:numId w:val="2"/>
        </w:numPr>
      </w:pPr>
      <w:r>
        <w:t>‘Joined up thinking’ and ‘joined up working’</w:t>
      </w:r>
    </w:p>
    <w:p w14:paraId="00000025" w14:textId="77777777" w:rsidR="00540C8D" w:rsidRDefault="007D1D15">
      <w:pPr>
        <w:widowControl w:val="0"/>
        <w:numPr>
          <w:ilvl w:val="0"/>
          <w:numId w:val="2"/>
        </w:numPr>
      </w:pPr>
      <w:r>
        <w:t>Cross cutting</w:t>
      </w:r>
    </w:p>
    <w:p w14:paraId="00000026" w14:textId="77777777" w:rsidR="00540C8D" w:rsidRDefault="007D1D15">
      <w:pPr>
        <w:widowControl w:val="0"/>
        <w:numPr>
          <w:ilvl w:val="0"/>
          <w:numId w:val="2"/>
        </w:numPr>
      </w:pPr>
      <w:r>
        <w:t>Network</w:t>
      </w:r>
    </w:p>
    <w:p w14:paraId="00000027" w14:textId="77777777" w:rsidR="00540C8D" w:rsidRDefault="007D1D15">
      <w:pPr>
        <w:widowControl w:val="0"/>
        <w:numPr>
          <w:ilvl w:val="0"/>
          <w:numId w:val="2"/>
        </w:numPr>
      </w:pPr>
      <w:r>
        <w:t>Working together</w:t>
      </w:r>
    </w:p>
    <w:p w14:paraId="00000028" w14:textId="77777777" w:rsidR="00540C8D" w:rsidRDefault="007D1D15">
      <w:pPr>
        <w:widowControl w:val="0"/>
        <w:numPr>
          <w:ilvl w:val="0"/>
          <w:numId w:val="2"/>
        </w:numPr>
        <w:spacing w:after="200"/>
      </w:pPr>
      <w:r>
        <w:t>Interprofessional working</w:t>
      </w:r>
    </w:p>
    <w:p w14:paraId="00000029" w14:textId="77777777" w:rsidR="00540C8D" w:rsidRDefault="007D1D15">
      <w:pPr>
        <w:widowControl w:val="0"/>
        <w:spacing w:after="200"/>
        <w:ind w:left="720"/>
      </w:pPr>
      <w:r>
        <w:t>(</w:t>
      </w:r>
      <w:proofErr w:type="spellStart"/>
      <w:r>
        <w:t>Kaehne</w:t>
      </w:r>
      <w:proofErr w:type="spellEnd"/>
      <w:r>
        <w:t xml:space="preserve">, 2014; </w:t>
      </w:r>
      <w:proofErr w:type="spellStart"/>
      <w:r>
        <w:t>Payler</w:t>
      </w:r>
      <w:proofErr w:type="spellEnd"/>
      <w:r>
        <w:t xml:space="preserve"> &amp; </w:t>
      </w:r>
      <w:proofErr w:type="spellStart"/>
      <w:r>
        <w:t>Georgeson</w:t>
      </w:r>
      <w:proofErr w:type="spellEnd"/>
      <w:r>
        <w:t>, 2013; Stone &amp; Foley, 2014)</w:t>
      </w:r>
    </w:p>
    <w:p w14:paraId="0000002A" w14:textId="77777777" w:rsidR="00540C8D" w:rsidRDefault="007D1D15">
      <w:pPr>
        <w:spacing w:after="160" w:line="259" w:lineRule="auto"/>
        <w:jc w:val="both"/>
      </w:pPr>
      <w:r>
        <w:t xml:space="preserve">The range of language above and its inability to express with clarity its meaning demonstrates some of the complexity of this area. For example, what is the difference between ‘cooperation’ and </w:t>
      </w:r>
      <w:r>
        <w:t>‘collaboration’ or indeed how in practice might ‘partnerships’ differ from ‘networks’? (Stone &amp; Foley, 2014). Furthermore, adding to this complexity, there are different types of service provision available. These being:</w:t>
      </w:r>
    </w:p>
    <w:p w14:paraId="0000002B" w14:textId="77777777" w:rsidR="00540C8D" w:rsidRDefault="007D1D15">
      <w:pPr>
        <w:spacing w:after="160" w:line="259" w:lineRule="auto"/>
        <w:jc w:val="both"/>
      </w:pPr>
      <w:r>
        <w:rPr>
          <w:b/>
        </w:rPr>
        <w:lastRenderedPageBreak/>
        <w:t>Universal Services</w:t>
      </w:r>
      <w:r>
        <w:t xml:space="preserve"> – where all chil</w:t>
      </w:r>
      <w:r>
        <w:t xml:space="preserve">dren can access without a special referral. For example, GPs, dentists, opticians, nurseries, schools, colleges and hospitals. </w:t>
      </w:r>
    </w:p>
    <w:p w14:paraId="0000002C" w14:textId="77777777" w:rsidR="00540C8D" w:rsidRDefault="007D1D15">
      <w:pPr>
        <w:spacing w:after="160" w:line="259" w:lineRule="auto"/>
        <w:jc w:val="both"/>
      </w:pPr>
      <w:r>
        <w:rPr>
          <w:b/>
        </w:rPr>
        <w:t>Targeted Services</w:t>
      </w:r>
      <w:r>
        <w:t xml:space="preserve"> – These services provide support for certain groups of children. Such services might include children’s centre</w:t>
      </w:r>
      <w:r>
        <w:t>s, parental support and social services.</w:t>
      </w:r>
    </w:p>
    <w:p w14:paraId="0000002D" w14:textId="77777777" w:rsidR="00540C8D" w:rsidRDefault="007D1D15">
      <w:pPr>
        <w:spacing w:after="160" w:line="259" w:lineRule="auto"/>
        <w:jc w:val="both"/>
        <w:rPr>
          <w:i/>
        </w:rPr>
      </w:pPr>
      <w:r>
        <w:rPr>
          <w:b/>
        </w:rPr>
        <w:t xml:space="preserve">Specialist Services </w:t>
      </w:r>
      <w:r>
        <w:t>– required when universal services are unable to meet the individual needs of a child. These services might include family support workers, behaviour support workers, speech and language therapists, physiotherapists, youth offending teams, dietitians and c</w:t>
      </w:r>
      <w:r>
        <w:t>hild and adolescent mental health workers. (Hussain and Brownhill, 2004)</w:t>
      </w:r>
    </w:p>
    <w:p w14:paraId="0000002E" w14:textId="77777777" w:rsidR="00540C8D" w:rsidRDefault="007D1D15">
      <w:pPr>
        <w:spacing w:after="160" w:line="259" w:lineRule="auto"/>
        <w:jc w:val="both"/>
      </w:pPr>
      <w:r>
        <w:t>Research by the Care Co-ordination Network UK (2001) has shown that, on average, families of children labelled with SEND have contact with at least ten different professionals over th</w:t>
      </w:r>
      <w:r>
        <w:t>e course of the year and can attend up to 20 appointments at hospitals and clinics. It is vital, therefore, that professionals work together through a multi-agency approach to support children and their families (Atkinson</w:t>
      </w:r>
      <w:r>
        <w:rPr>
          <w:i/>
        </w:rPr>
        <w:t xml:space="preserve"> et al</w:t>
      </w:r>
      <w:r>
        <w:t>., 2002). The literature base</w:t>
      </w:r>
      <w:r>
        <w:t xml:space="preserve">, though, also identifies several challenges that serve to undermine the effectiveness of multi-agency partnerships (see Atkinson </w:t>
      </w:r>
      <w:r>
        <w:rPr>
          <w:i/>
        </w:rPr>
        <w:t>et. al</w:t>
      </w:r>
      <w:r>
        <w:t>. 2002). These challenges normally centre around four broad areas. These being:</w:t>
      </w:r>
    </w:p>
    <w:p w14:paraId="0000002F" w14:textId="77777777" w:rsidR="00540C8D" w:rsidRDefault="007D1D15">
      <w:pPr>
        <w:numPr>
          <w:ilvl w:val="0"/>
          <w:numId w:val="3"/>
        </w:numPr>
        <w:spacing w:after="160" w:line="259" w:lineRule="auto"/>
        <w:jc w:val="both"/>
        <w:rPr>
          <w:b/>
        </w:rPr>
      </w:pPr>
      <w:r>
        <w:rPr>
          <w:b/>
        </w:rPr>
        <w:t xml:space="preserve">funding and resources: </w:t>
      </w:r>
      <w:r>
        <w:t xml:space="preserve">one of the major </w:t>
      </w:r>
      <w:r>
        <w:t>challenges involved with the development of multi-agency partnerships is the simple question, ‘Who is going to pay for these initiatives?’</w:t>
      </w:r>
    </w:p>
    <w:p w14:paraId="00000030" w14:textId="77777777" w:rsidR="00540C8D" w:rsidRDefault="007D1D15">
      <w:pPr>
        <w:numPr>
          <w:ilvl w:val="0"/>
          <w:numId w:val="3"/>
        </w:numPr>
        <w:spacing w:after="160" w:line="259" w:lineRule="auto"/>
        <w:jc w:val="both"/>
        <w:rPr>
          <w:b/>
        </w:rPr>
      </w:pPr>
      <w:r>
        <w:rPr>
          <w:b/>
        </w:rPr>
        <w:t xml:space="preserve">roles and responsibilities: </w:t>
      </w:r>
      <w:r>
        <w:t>within any partnership arrangement a fundamental question is ‘Who should lead the multi-a</w:t>
      </w:r>
      <w:r>
        <w:t>gency team?’ Whose procedures and practices should dominate the approach taken with an individual child and their family?</w:t>
      </w:r>
    </w:p>
    <w:p w14:paraId="00000031" w14:textId="77777777" w:rsidR="00540C8D" w:rsidRDefault="007D1D15">
      <w:pPr>
        <w:numPr>
          <w:ilvl w:val="0"/>
          <w:numId w:val="3"/>
        </w:numPr>
        <w:spacing w:after="160" w:line="259" w:lineRule="auto"/>
        <w:jc w:val="both"/>
        <w:rPr>
          <w:b/>
        </w:rPr>
      </w:pPr>
      <w:r>
        <w:rPr>
          <w:b/>
        </w:rPr>
        <w:t xml:space="preserve">competing priorities: </w:t>
      </w:r>
      <w:r>
        <w:t>each service provider in a multi-agency team may be held responsible by different government departments or inde</w:t>
      </w:r>
      <w:r>
        <w:t>ed have different inspection regimes that they are accountable to. The question that can dominate multi-agency teams is ‘Who is accountable when something goes wrong?’</w:t>
      </w:r>
    </w:p>
    <w:p w14:paraId="00000032" w14:textId="77777777" w:rsidR="00540C8D" w:rsidRDefault="007D1D15">
      <w:pPr>
        <w:numPr>
          <w:ilvl w:val="0"/>
          <w:numId w:val="3"/>
        </w:numPr>
        <w:spacing w:after="160" w:line="259" w:lineRule="auto"/>
        <w:jc w:val="both"/>
      </w:pPr>
      <w:r>
        <w:rPr>
          <w:b/>
        </w:rPr>
        <w:t>communication:</w:t>
      </w:r>
      <w:r>
        <w:t xml:space="preserve"> one of the major reasons for developing multi-agency partnerships was in </w:t>
      </w:r>
      <w:r>
        <w:t xml:space="preserve">response to the death of Marie Coldwell and the lack of communication between professionals that was a contributory factor in this case. </w:t>
      </w:r>
    </w:p>
    <w:p w14:paraId="00000033" w14:textId="77777777" w:rsidR="00540C8D" w:rsidRDefault="007D1D15">
      <w:pPr>
        <w:spacing w:after="160" w:line="259" w:lineRule="auto"/>
        <w:jc w:val="both"/>
      </w:pPr>
      <w:r>
        <w:t>The question, therefore, for policy makers and service providers is how can multi-agency working with parents, profess</w:t>
      </w:r>
      <w:r>
        <w:t>ionals and children be made more effective?</w:t>
      </w:r>
    </w:p>
    <w:p w14:paraId="00000034" w14:textId="77777777" w:rsidR="00540C8D" w:rsidRDefault="007D1D15">
      <w:pPr>
        <w:spacing w:after="160" w:line="259" w:lineRule="auto"/>
        <w:rPr>
          <w:i/>
        </w:rPr>
      </w:pPr>
      <w:r>
        <w:rPr>
          <w:i/>
        </w:rPr>
        <w:t>The key success factors involved in multi-agency working</w:t>
      </w:r>
    </w:p>
    <w:p w14:paraId="00000035" w14:textId="77777777" w:rsidR="00540C8D" w:rsidRDefault="007D1D15">
      <w:pPr>
        <w:spacing w:after="160" w:line="259" w:lineRule="auto"/>
        <w:jc w:val="both"/>
      </w:pPr>
      <w:r>
        <w:t xml:space="preserve">According to the NFER (Atkinson, </w:t>
      </w:r>
      <w:r>
        <w:rPr>
          <w:i/>
        </w:rPr>
        <w:t xml:space="preserve">et. al, </w:t>
      </w:r>
      <w:r>
        <w:t>2001) successful multi-agency working is based upon effective systems and practices that ensure good communication</w:t>
      </w:r>
      <w:r>
        <w:t>, adequate resources in terms of staffing and time but more importantly that the professionals involved have the commitment and drive to ensure that this form of provision works in practice. In addition, another key success factor is that all agencies unde</w:t>
      </w:r>
      <w:r>
        <w:t>rstand their own roles and responsibilities as well as those of other agencies and that multi-agency teams are led by people with vision and tenacity (Hodkinson, 2019a). Thus, as Warnock indicated, what is crucial to effective multi-agency partnership work</w:t>
      </w:r>
      <w:r>
        <w:t xml:space="preserve">ing is the ability of various professional disciplinary areas to be able to train together, share ideas and resources and to work more co-operatively across professional boundaries (DES, 1978; </w:t>
      </w:r>
      <w:proofErr w:type="spellStart"/>
      <w:r>
        <w:t>Jahans-Bayton</w:t>
      </w:r>
      <w:proofErr w:type="spellEnd"/>
      <w:r>
        <w:t xml:space="preserve"> &amp; </w:t>
      </w:r>
      <w:proofErr w:type="spellStart"/>
      <w:r>
        <w:t>Grealish</w:t>
      </w:r>
      <w:proofErr w:type="spellEnd"/>
      <w:r>
        <w:t>, 2022). In attempting to address these</w:t>
      </w:r>
      <w:r>
        <w:t xml:space="preserve"> areas the government in 2014 set out </w:t>
      </w:r>
      <w:r>
        <w:lastRenderedPageBreak/>
        <w:t xml:space="preserve">to establish much more responsive services with timely support for children and their families. However, previous research (Hodkinson, 2023) details that such aspirations were not realised. </w:t>
      </w:r>
    </w:p>
    <w:p w14:paraId="00000036" w14:textId="77777777" w:rsidR="00540C8D" w:rsidRDefault="007D1D15">
      <w:pPr>
        <w:spacing w:after="160" w:line="259" w:lineRule="auto"/>
        <w:jc w:val="both"/>
        <w:rPr>
          <w:i/>
        </w:rPr>
      </w:pPr>
      <w:r>
        <w:rPr>
          <w:i/>
        </w:rPr>
        <w:t>Training and SEND: a missed</w:t>
      </w:r>
      <w:r>
        <w:rPr>
          <w:i/>
        </w:rPr>
        <w:t xml:space="preserve"> opportunity?</w:t>
      </w:r>
    </w:p>
    <w:p w14:paraId="00000037" w14:textId="77777777" w:rsidR="00540C8D" w:rsidRDefault="007D1D15">
      <w:pPr>
        <w:spacing w:after="160" w:line="259" w:lineRule="auto"/>
        <w:jc w:val="both"/>
      </w:pPr>
      <w:r>
        <w:t>Turning now to provide some contextual detail as to the second fault-line that of teacher training in relation to the systems and practice of SEND. It seems clear that training for the teaching of pupils labelled with SEND has been an issue t</w:t>
      </w:r>
      <w:r>
        <w:t>hat has inhibited the successful implementation of legislative frameworks in the past (Hodkinson, 2019b).  Indeed, as early as 1978, Warnock (DES, 1978) recognised that a lack of training acted as a barrier to the integration of pupils in mainstream school</w:t>
      </w:r>
      <w:r>
        <w:t>s.  Warnock’s report into SEND at that time concluded that increasing the knowledge base of teachers was of the ‘upmost importance’ (DES, 1978:121).  This Report advocated that teachers should be able to recognise the early signs of SEN.  The Report furthe</w:t>
      </w:r>
      <w:r>
        <w:t>r stated that students should understand,</w:t>
      </w:r>
    </w:p>
    <w:p w14:paraId="00000038" w14:textId="77777777" w:rsidR="00540C8D" w:rsidRDefault="007D1D15">
      <w:pPr>
        <w:numPr>
          <w:ilvl w:val="0"/>
          <w:numId w:val="1"/>
        </w:numPr>
        <w:pBdr>
          <w:top w:val="nil"/>
          <w:left w:val="nil"/>
          <w:bottom w:val="nil"/>
          <w:right w:val="nil"/>
          <w:between w:val="nil"/>
        </w:pBdr>
        <w:spacing w:line="259" w:lineRule="auto"/>
        <w:jc w:val="both"/>
      </w:pPr>
      <w:r>
        <w:t>developmental difficulties;</w:t>
      </w:r>
    </w:p>
    <w:p w14:paraId="00000039" w14:textId="77777777" w:rsidR="00540C8D" w:rsidRDefault="007D1D15">
      <w:pPr>
        <w:numPr>
          <w:ilvl w:val="0"/>
          <w:numId w:val="1"/>
        </w:numPr>
        <w:pBdr>
          <w:top w:val="nil"/>
          <w:left w:val="nil"/>
          <w:bottom w:val="nil"/>
          <w:right w:val="nil"/>
          <w:between w:val="nil"/>
        </w:pBdr>
        <w:spacing w:line="259" w:lineRule="auto"/>
        <w:jc w:val="both"/>
      </w:pPr>
      <w:r>
        <w:t>the steps necessary for meeting a child’s need;</w:t>
      </w:r>
    </w:p>
    <w:p w14:paraId="0000003A" w14:textId="77777777" w:rsidR="00540C8D" w:rsidRDefault="007D1D15">
      <w:pPr>
        <w:numPr>
          <w:ilvl w:val="0"/>
          <w:numId w:val="1"/>
        </w:numPr>
        <w:pBdr>
          <w:top w:val="nil"/>
          <w:left w:val="nil"/>
          <w:bottom w:val="nil"/>
          <w:right w:val="nil"/>
          <w:between w:val="nil"/>
        </w:pBdr>
        <w:spacing w:line="259" w:lineRule="auto"/>
        <w:jc w:val="both"/>
      </w:pPr>
      <w:r>
        <w:t>the attitudes needed for dealing with SEN; and,</w:t>
      </w:r>
    </w:p>
    <w:p w14:paraId="0000003B" w14:textId="77777777" w:rsidR="00540C8D" w:rsidRDefault="007D1D15">
      <w:pPr>
        <w:numPr>
          <w:ilvl w:val="0"/>
          <w:numId w:val="1"/>
        </w:numPr>
        <w:pBdr>
          <w:top w:val="nil"/>
          <w:left w:val="nil"/>
          <w:bottom w:val="nil"/>
          <w:right w:val="nil"/>
          <w:between w:val="nil"/>
        </w:pBdr>
        <w:spacing w:after="160" w:line="259" w:lineRule="auto"/>
        <w:jc w:val="both"/>
      </w:pPr>
      <w:r>
        <w:t>how to modify classrooms and the curriculum.</w:t>
      </w:r>
    </w:p>
    <w:p w14:paraId="0000003C" w14:textId="77777777" w:rsidR="00540C8D" w:rsidRDefault="007D1D15">
      <w:pPr>
        <w:spacing w:after="160" w:line="259" w:lineRule="auto"/>
        <w:jc w:val="both"/>
      </w:pPr>
      <w:r>
        <w:t>Warnock, herself though, was under no illusion of the immensity of the task ahead, stating that,</w:t>
      </w:r>
    </w:p>
    <w:p w14:paraId="0000003D" w14:textId="77777777" w:rsidR="00540C8D" w:rsidRDefault="007D1D15">
      <w:pPr>
        <w:spacing w:after="160" w:line="259" w:lineRule="auto"/>
        <w:ind w:left="720"/>
        <w:jc w:val="both"/>
      </w:pPr>
      <w:r>
        <w:t>‘Some 40 years will need to elapse...  before it can be assured that all teachers have undertaken . . .  such initial training (DES, 1978, 244).</w:t>
      </w:r>
    </w:p>
    <w:p w14:paraId="0000003E" w14:textId="77777777" w:rsidR="00540C8D" w:rsidRDefault="007D1D15">
      <w:pPr>
        <w:spacing w:after="160" w:line="259" w:lineRule="auto"/>
        <w:jc w:val="both"/>
      </w:pPr>
      <w:r>
        <w:t>Some recommend</w:t>
      </w:r>
      <w:r>
        <w:t>ations of the Warnock Report were adopted in DES circular 3/84 which specified the criteria needed to achieve qualified teacher status.  However, 20 years later the Programme of Action (</w:t>
      </w:r>
      <w:proofErr w:type="spellStart"/>
      <w:r>
        <w:t>DfEE</w:t>
      </w:r>
      <w:proofErr w:type="spellEnd"/>
      <w:r>
        <w:t>, 1998) indicated that practice was being inhibited by a lack of t</w:t>
      </w:r>
      <w:r>
        <w:t>eacher knowledge and training.  Despite this the beginning of the 21</w:t>
      </w:r>
      <w:r>
        <w:rPr>
          <w:vertAlign w:val="superscript"/>
        </w:rPr>
        <w:t>st</w:t>
      </w:r>
      <w:r>
        <w:t xml:space="preserve"> century saw the reduction in the time allocated to SEND in initial teacher training [ITT] as focus turned to the national strategies for numeracy and literacy.  Some researchers, at thi</w:t>
      </w:r>
      <w:r>
        <w:t>s time, described levels of teacher training, ‘as woefully inadequate’ (Corbett, 2001:22).  In 2004, the government again made clear its expectation that every teacher was a teacher of children labelled with SEND.  Somewhat like a scratched record, therefo</w:t>
      </w:r>
      <w:r>
        <w:t>re, the government promoted the training of teachers as the panacea of all its legislative ills.  However, the government did little to alleviate this fault line as universities and training providers were given no explicit guidance of how the knowledge an</w:t>
      </w:r>
      <w:r>
        <w:t>d skills related to the teaching of SEND were to be delivered (</w:t>
      </w:r>
      <w:proofErr w:type="spellStart"/>
      <w:r>
        <w:t>Sarginson</w:t>
      </w:r>
      <w:proofErr w:type="spellEnd"/>
      <w:r>
        <w:t>, 2017).  Indeed, ‘little really changed in the ways trainees were prepared’ (Winter, 2001:2). Ofsted (2003: 24), reiterating the well-worn critique of Warnock stated that teachers “we</w:t>
      </w:r>
      <w:r>
        <w:t xml:space="preserve">re being asked to lead children with significant learning needs … without enough learning”.  </w:t>
      </w:r>
    </w:p>
    <w:p w14:paraId="0000003F" w14:textId="77777777" w:rsidR="00540C8D" w:rsidRDefault="007D1D15">
      <w:pPr>
        <w:spacing w:after="160" w:line="259" w:lineRule="auto"/>
        <w:jc w:val="both"/>
      </w:pPr>
      <w:r>
        <w:t>In 2007, the teacher development agency (TDA) again warned about the issue of training stating that, ‘by improving [trainees] knowledge and skills we can help the</w:t>
      </w:r>
      <w:r>
        <w:t>m deliver a more inclusive . . . learning experience for pupils’ (TDA, 2008:1).  Despite some new training modules, nothing though really changed in how teachers were prepared to teach SEND (Basingstoke, 2000.  It was at this time that SENDCOP 2015 was int</w:t>
      </w:r>
      <w:r>
        <w:t>roduced.  Whilst many broadly welcomed the new code (Hodkinson, 2019a) the timescale for its implementation was regarded with unease by parliamentarians.  This was because the Bill’s passage through parliament left only a few months before schools had to i</w:t>
      </w:r>
      <w:r>
        <w:t xml:space="preserve">mplement SENDCOP leaving no time to provide workforce training (Perry, 2014).  The Carter Review of 2015 again found significant gaps in training for SEND.  Therefore, </w:t>
      </w:r>
      <w:r>
        <w:lastRenderedPageBreak/>
        <w:t>during 2016, the TDA produced a five-year plan to strengthen ITT.  Part of this plan int</w:t>
      </w:r>
      <w:r>
        <w:t>roduced an element making it compulsory for trainees to understand SENDCOP and how they might modify the National Curriculum in terms of pupil accessibility.</w:t>
      </w:r>
    </w:p>
    <w:p w14:paraId="00000040" w14:textId="77777777" w:rsidR="00540C8D" w:rsidRDefault="007D1D15">
      <w:pPr>
        <w:spacing w:after="160" w:line="259" w:lineRule="auto"/>
        <w:jc w:val="both"/>
      </w:pPr>
      <w:r>
        <w:t>Today’s classrooms are though heterogeneous (Hodkinson, 2019a) containing a range of children, som</w:t>
      </w:r>
      <w:r>
        <w:t>e with complex learning needs.  Successive legislation has continued to indicate that all teachers are teachers of SEND as such legislation assumes that they have adequate knowledge, skills and understanding to take ownership of the teaching and learning o</w:t>
      </w:r>
      <w:r>
        <w:t>f children labelled as SEND (</w:t>
      </w:r>
      <w:proofErr w:type="spellStart"/>
      <w:r>
        <w:t>Sarginson</w:t>
      </w:r>
      <w:proofErr w:type="spellEnd"/>
      <w:r>
        <w:t xml:space="preserve">, 2017).  Despite significant evidence as to the importance of effective training (DES, 1978; Carrol, </w:t>
      </w:r>
      <w:r>
        <w:rPr>
          <w:i/>
        </w:rPr>
        <w:t>et. al</w:t>
      </w:r>
      <w:r>
        <w:t>. 2017) this fault line has remained at the core of government legislation.  So, whilst a person may have comp</w:t>
      </w:r>
      <w:r>
        <w:t>leted teacher training and has been engaged to teach children labelled as SEND, they may do so without the skills, knowledge nor confidence to meet their needs.  It appears, then, that little has changed since the Warnock Report of 1978.  This history sugg</w:t>
      </w:r>
      <w:r>
        <w:t>ests that governmental initiatives in relation to new SEND legislative frameworks will continue to remain unsuccessful (Hodkinson 2009; 2019b; 2023).</w:t>
      </w:r>
    </w:p>
    <w:p w14:paraId="00000041" w14:textId="77777777" w:rsidR="00540C8D" w:rsidRDefault="007D1D15">
      <w:pPr>
        <w:spacing w:after="160" w:line="259" w:lineRule="auto"/>
        <w:jc w:val="both"/>
        <w:rPr>
          <w:i/>
        </w:rPr>
      </w:pPr>
      <w:r>
        <w:rPr>
          <w:i/>
        </w:rPr>
        <w:t>Funding for SEND: is a ‘reboot’ of the thinking needed?</w:t>
      </w:r>
    </w:p>
    <w:p w14:paraId="00000042" w14:textId="77777777" w:rsidR="00540C8D" w:rsidRDefault="007D1D15">
      <w:pPr>
        <w:spacing w:after="160" w:line="259" w:lineRule="auto"/>
        <w:jc w:val="both"/>
      </w:pPr>
      <w:r>
        <w:t>Analysis of the fault line that of funding to supp</w:t>
      </w:r>
      <w:r>
        <w:t>ort the operation of SENDCOP details that SENDCOP 2015 placed the financial planning into the hands of Local Authorities (Las) despite past failures. In addition, LAs were also gifted opaque funding formulas, inconsistent procedures and financial constrain</w:t>
      </w:r>
      <w:r>
        <w:t>ts that made the operation of SEND services very complex (</w:t>
      </w:r>
      <w:proofErr w:type="spellStart"/>
      <w:r>
        <w:t>Taberner</w:t>
      </w:r>
      <w:proofErr w:type="spellEnd"/>
      <w:r>
        <w:t xml:space="preserve">, 2022).  LAs had been accused, in the past, of maintaining a postcode lottery of provision (Hodkinson 2019a). This variation of funding observed some LAs building new special schools while </w:t>
      </w:r>
      <w:r>
        <w:t xml:space="preserve">others invested in expensive alternative provision. This legacy of funding provision continues today as there are still significant variations in high needs block funding (Marsh </w:t>
      </w:r>
      <w:r>
        <w:rPr>
          <w:i/>
        </w:rPr>
        <w:t>et al.</w:t>
      </w:r>
      <w:r>
        <w:t xml:space="preserve"> 2022). This means that families are faced with unacceptable variations </w:t>
      </w:r>
      <w:r>
        <w:t xml:space="preserve">in levels of service provision.  Such variations coupled with the complexities and lack of funding have acted as a barrier to the effective support of children.  In 2018, the Local Government Association stated, </w:t>
      </w:r>
    </w:p>
    <w:p w14:paraId="00000043" w14:textId="77777777" w:rsidR="00540C8D" w:rsidRDefault="007D1D15">
      <w:pPr>
        <w:spacing w:after="160" w:line="259" w:lineRule="auto"/>
        <w:ind w:left="720"/>
        <w:jc w:val="both"/>
      </w:pPr>
      <w:r>
        <w:t xml:space="preserve">‘there has been a historic underfunding of </w:t>
      </w:r>
      <w:r>
        <w:t>high needs funding and a significant increase in the number of pupils with SEND.  Whilst increasing funding . . . was a step in the right direction, it was never enough to meet increasing numbers of SEND pupils.’ (See Hodkinson, 2019a: 22)</w:t>
      </w:r>
    </w:p>
    <w:p w14:paraId="00000044" w14:textId="77777777" w:rsidR="00540C8D" w:rsidRDefault="007D1D15">
      <w:pPr>
        <w:spacing w:after="160" w:line="259" w:lineRule="auto"/>
        <w:jc w:val="both"/>
      </w:pPr>
      <w:r>
        <w:t xml:space="preserve">This picture of </w:t>
      </w:r>
      <w:r>
        <w:t xml:space="preserve">chronic underfunding is also borne out by historical and contemporary data.  For example, Marsh, </w:t>
      </w:r>
      <w:r>
        <w:rPr>
          <w:i/>
        </w:rPr>
        <w:t>et. al,</w:t>
      </w:r>
      <w:r>
        <w:t xml:space="preserve"> (2022) argues that revenues to LAs fell by 18% during 2011 to 2021.  Others, though, believe the revenue cut was much higher at around 23% (Webb, 2022)</w:t>
      </w:r>
      <w:r>
        <w:t xml:space="preserve">.  Such cuts have impacted SEND budgets and estimated funding deficits in 2021, ran between £1.2 and £1.6 billion (Marsh, </w:t>
      </w:r>
      <w:r>
        <w:rPr>
          <w:i/>
        </w:rPr>
        <w:t>et al.</w:t>
      </w:r>
      <w:r>
        <w:t xml:space="preserve"> 2022).  Despite government increases in high needs funding of 32% (Marsh, </w:t>
      </w:r>
      <w:r>
        <w:rPr>
          <w:i/>
        </w:rPr>
        <w:t>et al.</w:t>
      </w:r>
      <w:r>
        <w:t xml:space="preserve"> 2022) current funding does not seem to equate </w:t>
      </w:r>
      <w:r>
        <w:t>to new monies but only to reverse previous cuts (see, Capper, 2020).  Difficulties in funding are though not solely related to how LAs operate their budgets. LAs have been placed in an almost impossible situation where they support early interventions in S</w:t>
      </w:r>
      <w:r>
        <w:t>END through to provision of EHCPs and are expected to cut local services because of austerity measures.  These cuts have also raised anxieties about the levels of funding allocated to support multi-agency working.  SENDCOs, as an example, have expressed co</w:t>
      </w:r>
      <w:r>
        <w:t>ncern that it is only when a child is in crisis that requests for support are taken seriously.  For others, funding cuts have led to support ‘disappearing in front of their eyes’ (</w:t>
      </w:r>
      <w:proofErr w:type="spellStart"/>
      <w:r>
        <w:t>Boesley</w:t>
      </w:r>
      <w:proofErr w:type="spellEnd"/>
      <w:r>
        <w:t xml:space="preserve"> &amp; Crane, 2018:5).</w:t>
      </w:r>
    </w:p>
    <w:p w14:paraId="00000045" w14:textId="77777777" w:rsidR="00540C8D" w:rsidRDefault="007D1D15">
      <w:pPr>
        <w:spacing w:after="160" w:line="259" w:lineRule="auto"/>
        <w:jc w:val="both"/>
      </w:pPr>
      <w:r>
        <w:lastRenderedPageBreak/>
        <w:t>Funding then continues to be a significant fault l</w:t>
      </w:r>
      <w:r>
        <w:t>ine at the core of government policy.  The past few years have observed a ‘war of words’ between schools and ministers (</w:t>
      </w:r>
      <w:proofErr w:type="spellStart"/>
      <w:r>
        <w:t>Perera</w:t>
      </w:r>
      <w:proofErr w:type="spellEnd"/>
      <w:r>
        <w:t>, 2019:1).  Schools say they are at a ‘breaking point’ while ministers continue to make ‘efficiency savings’ (</w:t>
      </w:r>
      <w:proofErr w:type="spellStart"/>
      <w:r>
        <w:t>Perera</w:t>
      </w:r>
      <w:proofErr w:type="spellEnd"/>
      <w:r>
        <w:t>, 2019: 2).  M</w:t>
      </w:r>
      <w:r>
        <w:t>any leaders of children’s services have warned that funding is insufficient to meet the unprecedented needs they face and do nothing to avert an ‘impending crisis in SEND support’ (Hayes, 2019:1). This has led some to call for a ‘fundamental reboot’ to SEN</w:t>
      </w:r>
      <w:r>
        <w:t>D funding system (Hayes, 2019:1).  Given the size of the deficits, some LAs are facing, it appears that even the additional monies provided by the government will not ‘make a real dent’ in the funding issues facing schools and SEND services (</w:t>
      </w:r>
      <w:proofErr w:type="spellStart"/>
      <w:r>
        <w:t>Perera</w:t>
      </w:r>
      <w:proofErr w:type="spellEnd"/>
      <w:r>
        <w:t>, 2019:8</w:t>
      </w:r>
      <w:r>
        <w:t>).  To close this fault-line it seems clear that a radical reboot of the system is needed, one that provides a less opaque and simpler funding formula that has greater flexibility to ensure schools can respond, in real time, to the support needed by childr</w:t>
      </w:r>
      <w:r>
        <w:t>en (</w:t>
      </w:r>
      <w:proofErr w:type="spellStart"/>
      <w:r>
        <w:t>Perera</w:t>
      </w:r>
      <w:proofErr w:type="spellEnd"/>
      <w:r>
        <w:t xml:space="preserve">, 2019). As </w:t>
      </w:r>
      <w:proofErr w:type="spellStart"/>
      <w:r>
        <w:t>Tirraro</w:t>
      </w:r>
      <w:proofErr w:type="spellEnd"/>
      <w:r>
        <w:t xml:space="preserve"> stated,</w:t>
      </w:r>
    </w:p>
    <w:p w14:paraId="00000046" w14:textId="77777777" w:rsidR="00540C8D" w:rsidRDefault="007D1D15">
      <w:pPr>
        <w:spacing w:after="160" w:line="259" w:lineRule="auto"/>
        <w:ind w:left="720"/>
        <w:jc w:val="both"/>
      </w:pPr>
      <w:r>
        <w:t>‘Government and authorities need to stop clinging onto the models of old and forecast how the future of the world looks for SEND’ (</w:t>
      </w:r>
      <w:proofErr w:type="spellStart"/>
      <w:r>
        <w:t>Tirraro</w:t>
      </w:r>
      <w:proofErr w:type="spellEnd"/>
      <w:r>
        <w:t xml:space="preserve"> see Hayes, 2019:3).</w:t>
      </w:r>
    </w:p>
    <w:p w14:paraId="00000047" w14:textId="77777777" w:rsidR="00540C8D" w:rsidRDefault="007D1D15">
      <w:pPr>
        <w:spacing w:after="160" w:line="259" w:lineRule="auto"/>
        <w:jc w:val="both"/>
      </w:pPr>
      <w:r>
        <w:rPr>
          <w:b/>
        </w:rPr>
        <w:t>Methodology</w:t>
      </w:r>
    </w:p>
    <w:p w14:paraId="00000048" w14:textId="77777777" w:rsidR="00540C8D" w:rsidRDefault="007D1D15">
      <w:pPr>
        <w:spacing w:after="160" w:line="259" w:lineRule="auto"/>
        <w:jc w:val="both"/>
      </w:pPr>
      <w:r>
        <w:t xml:space="preserve">The data for this research were gained from a detailed analysis of Hansard with the research seeking to ascertain whether the ‘fault-lines of failure’, explored above, were observable within </w:t>
      </w:r>
      <w:proofErr w:type="gramStart"/>
      <w:r>
        <w:t>parliamentarians</w:t>
      </w:r>
      <w:proofErr w:type="gramEnd"/>
      <w:r>
        <w:t xml:space="preserve"> speeches.  This analysis was framed from the imp</w:t>
      </w:r>
      <w:r>
        <w:t xml:space="preserve">lementation of the Children and Families Act (CFA), January 2014 through to May 2022 and centred on debates in the House of Commons.  To aid in the search of Harvard, key words were employed singularly and in combination.  The key words were ‘disability’, </w:t>
      </w:r>
      <w:r>
        <w:t>‘special needs’, ‘special educational needs’, ‘additional needs’, ‘schools’ and ‘primary’.  The documents retrieved were searched for relevance and duplications.  This resulted in 182 documents, containing 541,679 words, being subject to an initial analysi</w:t>
      </w:r>
      <w:r>
        <w:t>s. After Brown &amp; Clarkes (2006) approach, macro analysis involved each page of the documents being read several times.  After such readings general areas of text were highlighted and so 167,305 words still held relevance.  The subsequent microanalysis exam</w:t>
      </w:r>
      <w:r>
        <w:t>ined the demarcated sections through their lexicon, action and agency, voice, verb and adjectives so as to reveal the parliamentarian’s conceptualisations and meanings (Park &amp; Hodkinson, 2017).  At this stage codes, relating to the fault-lines, were placed</w:t>
      </w:r>
      <w:r>
        <w:t xml:space="preserve"> onto the text (Essex, </w:t>
      </w:r>
      <w:r>
        <w:rPr>
          <w:i/>
        </w:rPr>
        <w:t>et al.</w:t>
      </w:r>
      <w:r>
        <w:t xml:space="preserve"> 2021). The documents were then read again to indicate sections of text that provided important examples of the fault-lines (Finkelstein, </w:t>
      </w:r>
      <w:r>
        <w:rPr>
          <w:i/>
        </w:rPr>
        <w:t>et al.</w:t>
      </w:r>
      <w:r>
        <w:t xml:space="preserve"> 2021).  Throughout this analysis questions were asked of the data:</w:t>
      </w:r>
    </w:p>
    <w:p w14:paraId="00000049" w14:textId="77777777" w:rsidR="00540C8D" w:rsidRDefault="007D1D15">
      <w:pPr>
        <w:spacing w:after="160" w:line="259" w:lineRule="auto"/>
        <w:jc w:val="both"/>
      </w:pPr>
      <w:r>
        <w:t>Do the fault-li</w:t>
      </w:r>
      <w:r>
        <w:t>nes of failure indicated above, appear in the data?</w:t>
      </w:r>
    </w:p>
    <w:p w14:paraId="0000004A" w14:textId="77777777" w:rsidR="00540C8D" w:rsidRDefault="007D1D15">
      <w:pPr>
        <w:spacing w:after="160" w:line="259" w:lineRule="auto"/>
        <w:jc w:val="both"/>
      </w:pPr>
      <w:r>
        <w:t>When did the fault-lines reveal themselves in parliamentarian speeches?  and,</w:t>
      </w:r>
    </w:p>
    <w:p w14:paraId="0000004B" w14:textId="77777777" w:rsidR="00540C8D" w:rsidRDefault="007D1D15">
      <w:pPr>
        <w:spacing w:after="160" w:line="259" w:lineRule="auto"/>
        <w:jc w:val="both"/>
      </w:pPr>
      <w:r>
        <w:t>How did parliamentarians define and exploit the fault-lines?</w:t>
      </w:r>
    </w:p>
    <w:p w14:paraId="0000004C" w14:textId="77777777" w:rsidR="00540C8D" w:rsidRDefault="007D1D15">
      <w:pPr>
        <w:spacing w:after="160" w:line="259" w:lineRule="auto"/>
        <w:jc w:val="both"/>
      </w:pPr>
      <w:r>
        <w:t>Through employing these questions, the analysis sought to ‘give v</w:t>
      </w:r>
      <w:r>
        <w:t xml:space="preserve">oice’ to the politicians and to make sense of their words (Essex, </w:t>
      </w:r>
      <w:r>
        <w:rPr>
          <w:i/>
        </w:rPr>
        <w:t>et al</w:t>
      </w:r>
      <w:r>
        <w:t>. 2021).  From the outset, though, the research did not aim to find truth, or to prove something right or wrong.  The research merely interpreted this reality so as to listen to and hea</w:t>
      </w:r>
      <w:r>
        <w:t>r the voice of the parliamentarians and to try to better understand how this human experience operated (Park and Hodkinson, 2017).</w:t>
      </w:r>
    </w:p>
    <w:p w14:paraId="0000004D" w14:textId="77777777" w:rsidR="00540C8D" w:rsidRDefault="007D1D15">
      <w:pPr>
        <w:spacing w:after="160" w:line="259" w:lineRule="auto"/>
        <w:jc w:val="both"/>
        <w:rPr>
          <w:i/>
        </w:rPr>
      </w:pPr>
      <w:r>
        <w:rPr>
          <w:i/>
        </w:rPr>
        <w:t>Findings</w:t>
      </w:r>
    </w:p>
    <w:p w14:paraId="0000004E" w14:textId="77777777" w:rsidR="00540C8D" w:rsidRDefault="007D1D15">
      <w:pPr>
        <w:spacing w:after="160" w:line="259" w:lineRule="auto"/>
        <w:jc w:val="both"/>
      </w:pPr>
      <w:r>
        <w:t>The search results are tabulated and graphed below.</w:t>
      </w:r>
    </w:p>
    <w:p w14:paraId="0000004F" w14:textId="77777777" w:rsidR="00540C8D" w:rsidRDefault="007D1D15">
      <w:pPr>
        <w:spacing w:after="160" w:line="259" w:lineRule="auto"/>
        <w:jc w:val="both"/>
      </w:pPr>
      <w:bookmarkStart w:id="9" w:name="bookmark=id.3znysh7" w:colFirst="0" w:colLast="0"/>
      <w:bookmarkEnd w:id="9"/>
      <w:r>
        <w:lastRenderedPageBreak/>
        <w:t>Table 1. Key word search (about here)</w:t>
      </w:r>
    </w:p>
    <w:p w14:paraId="00000050" w14:textId="77777777" w:rsidR="00540C8D" w:rsidRDefault="007D1D15">
      <w:pPr>
        <w:spacing w:after="160" w:line="259" w:lineRule="auto"/>
        <w:jc w:val="both"/>
      </w:pPr>
      <w:r>
        <w:t>Table 2: Incidence of the fault lines (about here)</w:t>
      </w:r>
    </w:p>
    <w:p w14:paraId="00000051" w14:textId="77777777" w:rsidR="00540C8D" w:rsidRDefault="00540C8D">
      <w:pPr>
        <w:spacing w:after="160" w:line="259" w:lineRule="auto"/>
        <w:jc w:val="both"/>
      </w:pPr>
    </w:p>
    <w:p w14:paraId="00000052" w14:textId="77777777" w:rsidR="00540C8D" w:rsidRDefault="007D1D15">
      <w:pPr>
        <w:spacing w:after="160" w:line="259" w:lineRule="auto"/>
        <w:jc w:val="both"/>
      </w:pPr>
      <w:r>
        <w:t>Figure 1 (about here)</w:t>
      </w:r>
    </w:p>
    <w:p w14:paraId="00000053" w14:textId="77777777" w:rsidR="00540C8D" w:rsidRDefault="007D1D15">
      <w:pPr>
        <w:tabs>
          <w:tab w:val="left" w:pos="5800"/>
        </w:tabs>
        <w:spacing w:after="160" w:line="259" w:lineRule="auto"/>
        <w:jc w:val="both"/>
        <w:rPr>
          <w:color w:val="000000"/>
        </w:rPr>
      </w:pPr>
      <w:r>
        <w:rPr>
          <w:color w:val="000000"/>
        </w:rPr>
        <w:tab/>
      </w:r>
    </w:p>
    <w:p w14:paraId="00000054" w14:textId="77777777" w:rsidR="00540C8D" w:rsidRDefault="007D1D15">
      <w:pPr>
        <w:spacing w:after="160" w:line="259" w:lineRule="auto"/>
        <w:jc w:val="both"/>
        <w:rPr>
          <w:b/>
        </w:rPr>
      </w:pPr>
      <w:r>
        <w:rPr>
          <w:b/>
        </w:rPr>
        <w:t>Analysis and discussion</w:t>
      </w:r>
    </w:p>
    <w:p w14:paraId="00000055" w14:textId="77777777" w:rsidR="00540C8D" w:rsidRDefault="007D1D15">
      <w:pPr>
        <w:spacing w:after="160" w:line="259" w:lineRule="auto"/>
        <w:jc w:val="both"/>
      </w:pPr>
      <w:r>
        <w:t>Tables one, two and figure one evidence that a wave of legislative dissatisfaction, centring on the fault lines, rose early in 2014 before ebbing slightly a</w:t>
      </w:r>
      <w:r>
        <w:t>way in 2015 and 2016 as SENDCOP began to be operationalised. However, the data make plain that parliamentarians gave an early warning to the discontent that built in 2017 and overtopped the Government’s legislative surety in 2019. The data contain a wealth</w:t>
      </w:r>
      <w:r>
        <w:t xml:space="preserve"> of information which the scope and size of this research simply do not allow to be fully examined. Therefore, analysis in this section will critically examine the main thrusts and themes chronologically that grew within the area of each fault-lines.</w:t>
      </w:r>
    </w:p>
    <w:p w14:paraId="00000056" w14:textId="77777777" w:rsidR="00540C8D" w:rsidRDefault="007D1D15">
      <w:pPr>
        <w:spacing w:after="160" w:line="259" w:lineRule="auto"/>
        <w:jc w:val="both"/>
        <w:rPr>
          <w:i/>
        </w:rPr>
      </w:pPr>
      <w:r>
        <w:rPr>
          <w:i/>
        </w:rPr>
        <w:t>On th</w:t>
      </w:r>
      <w:r>
        <w:rPr>
          <w:i/>
        </w:rPr>
        <w:t>e fault line of training . . .</w:t>
      </w:r>
    </w:p>
    <w:p w14:paraId="00000057" w14:textId="77777777" w:rsidR="00540C8D" w:rsidRDefault="007D1D15">
      <w:pPr>
        <w:spacing w:after="160" w:line="259" w:lineRule="auto"/>
        <w:jc w:val="both"/>
      </w:pPr>
      <w:r>
        <w:t xml:space="preserve">In terms of training, parliamentarians appear to have been somewhat quiet.  However, the data reveal some significant and concerning themes.  For example, throughout the period 2014 to 2022 the government consistently stated </w:t>
      </w:r>
      <w:r>
        <w:t>that all children including those labelled with SEND should have access to world quality education systems, and that the ‘golden thread’ to this ‘high quality support… begins with ITT’ (Hansard, 2021).  Indeed, the government made clear in May 2018 that: ‘</w:t>
      </w:r>
      <w:r>
        <w:t>teachers and the training they receive is very much part of the strategy’ (Hansard, 2018).  Despite such rhetoric, as early as December 2014, politicians of all political persuasions, began to voice their concern, as example:</w:t>
      </w:r>
    </w:p>
    <w:p w14:paraId="00000058" w14:textId="77777777" w:rsidR="00540C8D" w:rsidRDefault="007D1D15">
      <w:pPr>
        <w:spacing w:after="160" w:line="259" w:lineRule="auto"/>
        <w:ind w:left="720"/>
        <w:jc w:val="both"/>
      </w:pPr>
      <w:r>
        <w:t>‘</w:t>
      </w:r>
      <w:proofErr w:type="gramStart"/>
      <w:r>
        <w:t>parents</w:t>
      </w:r>
      <w:proofErr w:type="gramEnd"/>
      <w:r>
        <w:t xml:space="preserve"> groups… report a lack</w:t>
      </w:r>
      <w:r>
        <w:t xml:space="preserve"> of awareness on the part of health professionals, teachers, educators and LA professionals . . . this will impede progress. . .’ (Hansard, 2014).</w:t>
      </w:r>
    </w:p>
    <w:p w14:paraId="00000059" w14:textId="77777777" w:rsidR="00540C8D" w:rsidRDefault="007D1D15">
      <w:pPr>
        <w:spacing w:after="160" w:line="259" w:lineRule="auto"/>
        <w:ind w:left="720"/>
        <w:jc w:val="both"/>
      </w:pPr>
      <w:r>
        <w:t>‘Many secondary schools have no specialist training. . .’ (Hansard, 2014).</w:t>
      </w:r>
    </w:p>
    <w:p w14:paraId="0000005A" w14:textId="77777777" w:rsidR="00540C8D" w:rsidRDefault="007D1D15">
      <w:pPr>
        <w:spacing w:after="160" w:line="259" w:lineRule="auto"/>
        <w:jc w:val="both"/>
      </w:pPr>
      <w:r>
        <w:t>and that:</w:t>
      </w:r>
    </w:p>
    <w:p w14:paraId="0000005B" w14:textId="77777777" w:rsidR="00540C8D" w:rsidRDefault="007D1D15">
      <w:pPr>
        <w:spacing w:after="160" w:line="259" w:lineRule="auto"/>
        <w:ind w:left="720"/>
        <w:jc w:val="both"/>
      </w:pPr>
      <w:r>
        <w:t xml:space="preserve">‘Clinical and education </w:t>
      </w:r>
      <w:r>
        <w:t>staff including SENDCOs, must receive initial and ongoing training’ (Hansard, 2014).</w:t>
      </w:r>
    </w:p>
    <w:p w14:paraId="0000005C" w14:textId="77777777" w:rsidR="00540C8D" w:rsidRDefault="007D1D15">
      <w:pPr>
        <w:spacing w:after="160" w:line="259" w:lineRule="auto"/>
        <w:jc w:val="both"/>
      </w:pPr>
      <w:r>
        <w:t>Of note, Hansard reveals that in 2014 government were provided with what seemed to be a solution to the fault line of training.  This being that the expertise needed lay i</w:t>
      </w:r>
      <w:r>
        <w:t>n the voluntary sector, as this MP noted:</w:t>
      </w:r>
    </w:p>
    <w:p w14:paraId="0000005D" w14:textId="77777777" w:rsidR="00540C8D" w:rsidRDefault="007D1D15">
      <w:pPr>
        <w:spacing w:after="160" w:line="259" w:lineRule="auto"/>
        <w:ind w:left="720"/>
        <w:jc w:val="both"/>
      </w:pPr>
      <w:r>
        <w:t>‘We do not seem to have the right balance in sharing skills that are available . . .  So that expertise [in SEND] are utilised properly to help build knowledge, skills and training in mainstream…’ (Hansard, 2014).</w:t>
      </w:r>
    </w:p>
    <w:p w14:paraId="0000005E" w14:textId="77777777" w:rsidR="00540C8D" w:rsidRDefault="007D1D15">
      <w:pPr>
        <w:spacing w:after="160" w:line="259" w:lineRule="auto"/>
        <w:jc w:val="both"/>
      </w:pPr>
      <w:r>
        <w:t>Although a solution seemed available, and the government acknowledged the training was important, they consistently appeared to ‘pass the buck’.  Like King Herod, they asserted that this issue was not their concern.  Note, for example, the employment of th</w:t>
      </w:r>
      <w:r>
        <w:t>e vocabulary of ‘they’ ‘their’ and ‘responsible/responsibility’ in the following government statements:</w:t>
      </w:r>
    </w:p>
    <w:p w14:paraId="0000005F" w14:textId="77777777" w:rsidR="00540C8D" w:rsidRDefault="007D1D15">
      <w:pPr>
        <w:spacing w:after="160" w:line="259" w:lineRule="auto"/>
        <w:ind w:left="720"/>
        <w:jc w:val="both"/>
      </w:pPr>
      <w:r>
        <w:lastRenderedPageBreak/>
        <w:t>‘Education settings, therefore, need to ensure that they give their staff the training necessary’ (Hansard, 2014).</w:t>
      </w:r>
    </w:p>
    <w:p w14:paraId="00000060" w14:textId="77777777" w:rsidR="00540C8D" w:rsidRDefault="007D1D15">
      <w:pPr>
        <w:spacing w:after="160" w:line="259" w:lineRule="auto"/>
        <w:ind w:left="720"/>
        <w:jc w:val="both"/>
      </w:pPr>
      <w:r>
        <w:t>‘Early years providers, schools and c</w:t>
      </w:r>
      <w:r>
        <w:t>olleges are responsible for deciding what specialist expertise required . . .  we have been at pains to drive this point home that it is the responsibility of teachers . . . to have an understanding and awareness of SEND’ (Hansard, 2020),</w:t>
      </w:r>
    </w:p>
    <w:p w14:paraId="00000061" w14:textId="77777777" w:rsidR="00540C8D" w:rsidRDefault="007D1D15">
      <w:pPr>
        <w:spacing w:after="160" w:line="259" w:lineRule="auto"/>
        <w:jc w:val="both"/>
      </w:pPr>
      <w:r>
        <w:t>and that: ‘ultima</w:t>
      </w:r>
      <w:r>
        <w:t>tely, these are matters for schools themselves . . .’ (Hansard, 2020).  Nonetheless, despite such statements, the government did appear to intervene in training, especially that relating to teachers.  For example, in 2015, they worked with the National Col</w:t>
      </w:r>
      <w:r>
        <w:t>lege for teaching seeking to: ‘improve training of teachers and school leaders’ (Hansard, 2015).  In 2018, the government claimed that: ‘all teachers are now trained to help children with conditions such as autism as part of their teacher training’ (Hansar</w:t>
      </w:r>
      <w:r>
        <w:t>d, 2018).  Such language led one Conservative MP to announce that it was: ‘fantastic news that SEN and autism are finally part of ITT,’ and that ‘government [had done] a fair bit to change the situation’ (Hansard, 2018).  Furthermore, in 2019, the governme</w:t>
      </w:r>
      <w:r>
        <w:t>nt revealed it had spent £20 million on providing: ‘a high-quality evidence-base’ (Hansard, 2019) in relation to professional development in disadvantaged areas.  Moreover, in 2020, they awarded a two-year contract to NASEN and University College London to</w:t>
      </w:r>
      <w:r>
        <w:t xml:space="preserve"> bring together SEND leaders to create: ‘networks of schools’ to: ‘improve provision in SEND’ (Hansard, 2020).  </w:t>
      </w:r>
    </w:p>
    <w:p w14:paraId="00000062" w14:textId="77777777" w:rsidR="00540C8D" w:rsidRDefault="007D1D15">
      <w:pPr>
        <w:spacing w:after="160" w:line="259" w:lineRule="auto"/>
        <w:jc w:val="both"/>
      </w:pPr>
      <w:r>
        <w:t>Analysis of Harvard though, counsels caution in accepting government rhetoric that: ‘all teachers are now trained in autism and other condition</w:t>
      </w:r>
      <w:r>
        <w:t xml:space="preserve">s’ (Hansard, 2018).  Drilling down into Hansard, reveals data that </w:t>
      </w:r>
      <w:proofErr w:type="gramStart"/>
      <w:r>
        <w:t>leads  to</w:t>
      </w:r>
      <w:proofErr w:type="gramEnd"/>
      <w:r>
        <w:t xml:space="preserve"> the questioning of the quality and reach of this training.  To provide just one example of concern, which relates to autism.  The government announced in 2019, that since 2011, it</w:t>
      </w:r>
      <w:r>
        <w:t xml:space="preserve"> had been working with the Autism Educational Trust, to provide more than 150,000 education staff, not just head teachers, teachers, and teaching assistants but also: ‘support staff such as receptionists’ (Hansard, 2019).  Whilst we should applaud such ‘tr</w:t>
      </w:r>
      <w:r>
        <w:t xml:space="preserve">aining’ it must be placed into context.  In 2018, there were 709,400 teaching staff and assistants working in maintained schools and colleges (DfE, 2018b) as well as 430,500 staff working in the early </w:t>
      </w:r>
      <w:proofErr w:type="gramStart"/>
      <w:r>
        <w:t>years</w:t>
      </w:r>
      <w:proofErr w:type="gramEnd"/>
      <w:r>
        <w:t xml:space="preserve"> settings (DfE, 2018b).  Even without data for rec</w:t>
      </w:r>
      <w:r>
        <w:t>eptionists or midday supervisors, the government’s figures are somewhat tarnished.  A Labour MP was very clear about the government’s commitment to training, stating that:</w:t>
      </w:r>
    </w:p>
    <w:p w14:paraId="00000063" w14:textId="77777777" w:rsidR="00540C8D" w:rsidRDefault="007D1D15">
      <w:pPr>
        <w:spacing w:after="160" w:line="259" w:lineRule="auto"/>
        <w:ind w:left="720"/>
        <w:jc w:val="both"/>
      </w:pPr>
      <w:r>
        <w:t xml:space="preserve">‘Sometimes we have such debates it can feel a little like Groundhog Day because the </w:t>
      </w:r>
      <w:r>
        <w:t xml:space="preserve">same sort of issues </w:t>
      </w:r>
      <w:proofErr w:type="gramStart"/>
      <w:r>
        <w:t>are</w:t>
      </w:r>
      <w:proofErr w:type="gramEnd"/>
      <w:r>
        <w:t xml:space="preserve"> repeated over and over again.’ (Hansard, 2018)</w:t>
      </w:r>
    </w:p>
    <w:p w14:paraId="00000064" w14:textId="77777777" w:rsidR="00540C8D" w:rsidRDefault="007D1D15">
      <w:pPr>
        <w:spacing w:after="160" w:line="259" w:lineRule="auto"/>
        <w:jc w:val="both"/>
      </w:pPr>
      <w:r>
        <w:t>These issues coalesce in Hansard around the issue of insufficient training.  For example, in September 2018 a MP noted that the National Deaf Children’s Association: ‘wants gaps in spec</w:t>
      </w:r>
      <w:r>
        <w:t>ialised workforce addressed’ (Hansard, 2018).  Another MP, in the same debate, noted that PGCE trainees could have as little as ‘half an hour’ on SEND issues and ‘nothing on deafness’ (Hansard, 2018).  In addition, a further MP, in 2018, noted that accordi</w:t>
      </w:r>
      <w:r>
        <w:t>ng to the National Autistic Society only one in four: ‘teachers say that they have received autism training . . .[and] fewer than half say they feel confident’ (Hansard, 2018).  Early in 2019, both Labour and Conservative MPs again raised concerns about th</w:t>
      </w:r>
      <w:r>
        <w:t>e level of training for SEND, detailing that:</w:t>
      </w:r>
    </w:p>
    <w:p w14:paraId="00000065" w14:textId="77777777" w:rsidR="00540C8D" w:rsidRDefault="007D1D15">
      <w:pPr>
        <w:spacing w:after="160" w:line="259" w:lineRule="auto"/>
        <w:ind w:left="720"/>
        <w:jc w:val="both"/>
      </w:pPr>
      <w:r>
        <w:t>‘There is certainly a case to be made for specialist training and for changes to the way we train teachers’ (Hansard, 2019).</w:t>
      </w:r>
    </w:p>
    <w:p w14:paraId="00000066" w14:textId="77777777" w:rsidR="00540C8D" w:rsidRDefault="007D1D15">
      <w:pPr>
        <w:spacing w:after="160" w:line="259" w:lineRule="auto"/>
        <w:ind w:left="720"/>
        <w:jc w:val="both"/>
      </w:pPr>
      <w:r>
        <w:lastRenderedPageBreak/>
        <w:t>‘It is important for teachers to be trained to deal with children who have difficulti</w:t>
      </w:r>
      <w:r>
        <w:t>es.  At the moment there often supply teachers or temporary teachers who do not have the necessary skills, which could make a difference . . .’ (Hansard, 2019).</w:t>
      </w:r>
    </w:p>
    <w:p w14:paraId="00000067" w14:textId="77777777" w:rsidR="00540C8D" w:rsidRDefault="007D1D15">
      <w:pPr>
        <w:spacing w:after="160" w:line="259" w:lineRule="auto"/>
        <w:jc w:val="both"/>
      </w:pPr>
      <w:r>
        <w:t>During the period 2020 to 2022, concerns continued to be raised about the sufficiency of traini</w:t>
      </w:r>
      <w:r>
        <w:t>ng:</w:t>
      </w:r>
    </w:p>
    <w:p w14:paraId="00000068" w14:textId="77777777" w:rsidR="00540C8D" w:rsidRDefault="007D1D15">
      <w:pPr>
        <w:spacing w:after="160" w:line="259" w:lineRule="auto"/>
        <w:ind w:left="720"/>
        <w:jc w:val="both"/>
      </w:pPr>
      <w:r>
        <w:t>‘[Teachers] . . . often they feel that they do not have the necessary skills . . .’ (Hansard, 2020]</w:t>
      </w:r>
    </w:p>
    <w:p w14:paraId="00000069" w14:textId="77777777" w:rsidR="00540C8D" w:rsidRDefault="007D1D15">
      <w:pPr>
        <w:spacing w:after="160" w:line="259" w:lineRule="auto"/>
        <w:ind w:left="720"/>
        <w:jc w:val="both"/>
      </w:pPr>
      <w:r>
        <w:t>‘Teachers in classrooms do not always [[have a] full understanding about different types of learning difficulty, so of course we go back to teacher training’ (Hansard, 2021)</w:t>
      </w:r>
      <w:r>
        <w:tab/>
        <w:t>.</w:t>
      </w:r>
    </w:p>
    <w:p w14:paraId="0000006A" w14:textId="77777777" w:rsidR="00540C8D" w:rsidRDefault="007D1D15">
      <w:pPr>
        <w:spacing w:after="160" w:line="259" w:lineRule="auto"/>
        <w:ind w:left="720"/>
        <w:jc w:val="both"/>
      </w:pPr>
      <w:r>
        <w:t>‘SENCOs, are brilliant, but they do not have the expertise, we would hope to hav</w:t>
      </w:r>
      <w:r>
        <w:t>e in these situations’ (Hansard, 2022).</w:t>
      </w:r>
    </w:p>
    <w:p w14:paraId="0000006B" w14:textId="77777777" w:rsidR="00540C8D" w:rsidRDefault="007D1D15">
      <w:pPr>
        <w:spacing w:after="160" w:line="259" w:lineRule="auto"/>
        <w:jc w:val="both"/>
      </w:pPr>
      <w:r>
        <w:t>Despite government rhetoric maintaining that: ‘the most important service for all children and young people is high quality teaching’ (Hansard, 2015), their heart did not really seem to be in remediating this fault l</w:t>
      </w:r>
      <w:r>
        <w:t>ine.  This makes a government statement, in 2018, appear quite hollow: ‘We aim to equip the workforce to deliver high quality teaching across all SEN… And to equip schools to identify training needs’ (Hansard, 2018).  A question here remains, when will the</w:t>
      </w:r>
      <w:r>
        <w:t xml:space="preserve"> government take control of training and so truly understand the importance Warnock gave to this issue back in 1978?  In conclusion to this section, it is important to hear the voice of one MP whose son is labelled as SEND:</w:t>
      </w:r>
    </w:p>
    <w:p w14:paraId="0000006C" w14:textId="77777777" w:rsidR="00540C8D" w:rsidRDefault="007D1D15">
      <w:pPr>
        <w:spacing w:after="160" w:line="259" w:lineRule="auto"/>
        <w:ind w:left="720"/>
        <w:jc w:val="both"/>
      </w:pPr>
      <w:r>
        <w:t>‘I want to ensure that people wh</w:t>
      </w:r>
      <w:r>
        <w:t>o work with children… have the training qualifications, skills, to make their lives a little simpler, although I have not managed this yet’ (Hansard, 2015).</w:t>
      </w:r>
    </w:p>
    <w:p w14:paraId="0000006D" w14:textId="77777777" w:rsidR="00540C8D" w:rsidRDefault="007D1D15">
      <w:pPr>
        <w:spacing w:after="160" w:line="259" w:lineRule="auto"/>
        <w:jc w:val="both"/>
      </w:pPr>
      <w:r>
        <w:t xml:space="preserve">  </w:t>
      </w:r>
      <w:r>
        <w:rPr>
          <w:i/>
        </w:rPr>
        <w:t>Pupil voice, funding and multi-agency working</w:t>
      </w:r>
    </w:p>
    <w:p w14:paraId="0000006E" w14:textId="77777777" w:rsidR="00540C8D" w:rsidRDefault="007D1D15">
      <w:pPr>
        <w:spacing w:after="160" w:line="259" w:lineRule="auto"/>
        <w:jc w:val="both"/>
      </w:pPr>
      <w:r>
        <w:t xml:space="preserve">An analysis of this fault-line reveals a wealth of </w:t>
      </w:r>
      <w:r>
        <w:t>data relating to funding issues, time delays in the system, and that multi-agency working remained highly problematic throughout the period of data collection.  However, in the space available here, it is intended to concentrate on two aspects within the d</w:t>
      </w:r>
      <w:r>
        <w:t>ata, that is exclusion/off rolling and how government appeared to ‘carry on regardless’ despite the voices that provided an early warning to the discontent that would be revealed in 2019.  We should not forget though that in the early days the government t</w:t>
      </w:r>
      <w:r>
        <w:t>rumpeted the new CFA as one which would: ‘place views, wishes, feelings and aspirations of children… at the heart of the system,’ and that through multi-agency working ‘genuine partnerships’ would develop (DFE, 2014).  Furthermore, government believed that</w:t>
      </w:r>
      <w:r>
        <w:t>:</w:t>
      </w:r>
    </w:p>
    <w:p w14:paraId="0000006F" w14:textId="77777777" w:rsidR="00540C8D" w:rsidRDefault="007D1D15">
      <w:pPr>
        <w:spacing w:after="160" w:line="259" w:lineRule="auto"/>
        <w:ind w:left="720"/>
        <w:jc w:val="both"/>
      </w:pPr>
      <w:r>
        <w:t>‘Knowledge should not remain static.  We remain open to suggestions and concerns of parents… to make sure that the work we are doing brings about a change in culture’ (Hansard, 2014).</w:t>
      </w:r>
    </w:p>
    <w:p w14:paraId="00000070" w14:textId="77777777" w:rsidR="00540C8D" w:rsidRDefault="007D1D15">
      <w:pPr>
        <w:spacing w:after="160" w:line="259" w:lineRule="auto"/>
        <w:jc w:val="both"/>
      </w:pPr>
      <w:r>
        <w:t>Government, then, seemed to be in a listening mode.  However, as early as December 2014 numerous cautionary voices were heard in Parliament, that suggested that the CFA would not bring about the change government hoped for:</w:t>
      </w:r>
    </w:p>
    <w:p w14:paraId="00000071" w14:textId="77777777" w:rsidR="00540C8D" w:rsidRDefault="007D1D15">
      <w:pPr>
        <w:spacing w:after="160" w:line="259" w:lineRule="auto"/>
        <w:jc w:val="both"/>
      </w:pPr>
      <w:r>
        <w:tab/>
        <w:t>‘[We are] in danger of operatin</w:t>
      </w:r>
      <w:r>
        <w:t>g in silos’ (Hansard, 2014).</w:t>
      </w:r>
    </w:p>
    <w:p w14:paraId="00000072" w14:textId="77777777" w:rsidR="00540C8D" w:rsidRDefault="007D1D15">
      <w:pPr>
        <w:spacing w:after="160" w:line="259" w:lineRule="auto"/>
        <w:ind w:left="720"/>
        <w:jc w:val="both"/>
      </w:pPr>
      <w:r>
        <w:t>‘All too often a silo mentality… [means that] action on the ground is impeded by a failure to work together’ (Hansard, 2014).</w:t>
      </w:r>
    </w:p>
    <w:p w14:paraId="00000073" w14:textId="77777777" w:rsidR="00540C8D" w:rsidRDefault="007D1D15">
      <w:pPr>
        <w:spacing w:after="160" w:line="259" w:lineRule="auto"/>
        <w:jc w:val="both"/>
      </w:pPr>
      <w:r>
        <w:lastRenderedPageBreak/>
        <w:t>Furthermore, and of real concern, was that the linguistics of ‘fight’ ‘fighting’ and ‘battle’ entered</w:t>
      </w:r>
      <w:r>
        <w:t xml:space="preserve"> Parliamentary debate.  MPs, in December 2014, offered government a stark warning that within the SEND system there was already: ‘systematic antagonism . . .’ and,</w:t>
      </w:r>
    </w:p>
    <w:p w14:paraId="00000074" w14:textId="77777777" w:rsidR="00540C8D" w:rsidRDefault="007D1D15">
      <w:pPr>
        <w:spacing w:after="160" w:line="259" w:lineRule="auto"/>
        <w:ind w:left="720"/>
        <w:jc w:val="both"/>
      </w:pPr>
      <w:r>
        <w:t xml:space="preserve">‘Negativity about the potential of the CFA reforms, a legacy of an adversarial SEN system … </w:t>
      </w:r>
      <w:r>
        <w:t>a sense of cynicism’ (Hansard, 2014).</w:t>
      </w:r>
    </w:p>
    <w:p w14:paraId="00000075" w14:textId="77777777" w:rsidR="00540C8D" w:rsidRDefault="007D1D15">
      <w:pPr>
        <w:spacing w:after="160" w:line="259" w:lineRule="auto"/>
        <w:jc w:val="both"/>
      </w:pPr>
      <w:r>
        <w:t>Perhaps of more concern was that:</w:t>
      </w:r>
    </w:p>
    <w:p w14:paraId="00000076" w14:textId="77777777" w:rsidR="00540C8D" w:rsidRDefault="007D1D15">
      <w:pPr>
        <w:spacing w:after="160" w:line="259" w:lineRule="auto"/>
        <w:ind w:left="720"/>
        <w:jc w:val="both"/>
      </w:pPr>
      <w:r>
        <w:t>‘Parents are battle hardened; they are also sceptical.  Government needs to prove to them that their reforms mean that they don’t have to fight for the right education’ (Hansard, 2014)</w:t>
      </w:r>
      <w:r>
        <w:t>.</w:t>
      </w:r>
    </w:p>
    <w:p w14:paraId="00000077" w14:textId="77777777" w:rsidR="00540C8D" w:rsidRDefault="007D1D15">
      <w:pPr>
        <w:spacing w:after="160" w:line="259" w:lineRule="auto"/>
        <w:jc w:val="both"/>
      </w:pPr>
      <w:r>
        <w:t>The warnings from parliamentarians could not have been clearer, but despite being in ‘listening mode’ (Hansard, 2014) the government seemingly carried on with their plans regardless.</w:t>
      </w:r>
    </w:p>
    <w:p w14:paraId="00000078" w14:textId="77777777" w:rsidR="00540C8D" w:rsidRDefault="007D1D15">
      <w:pPr>
        <w:spacing w:after="160" w:line="259" w:lineRule="auto"/>
        <w:jc w:val="both"/>
      </w:pPr>
      <w:r>
        <w:t xml:space="preserve">2015, was though a somewhat quieter year, no doubt because the SENDCOP </w:t>
      </w:r>
      <w:r>
        <w:t>had just been implemented.  However, there were still some notable exchanges in Parliament, where it was observable that despite the fault lines beginning to open, government continued with their rhetoric of positivism:</w:t>
      </w:r>
    </w:p>
    <w:p w14:paraId="00000079" w14:textId="77777777" w:rsidR="00540C8D" w:rsidRDefault="007D1D15">
      <w:pPr>
        <w:spacing w:after="160" w:line="259" w:lineRule="auto"/>
        <w:ind w:left="720"/>
        <w:jc w:val="both"/>
      </w:pPr>
      <w:r>
        <w:t>‘Children with SEN must get the best</w:t>
      </w:r>
      <w:r>
        <w:t xml:space="preserve"> possible education… That is what the EHCP has introduced … we are seeing more collaboration between schools across the system’ (Hansard, 2015).</w:t>
      </w:r>
    </w:p>
    <w:p w14:paraId="0000007A" w14:textId="77777777" w:rsidR="00540C8D" w:rsidRDefault="007D1D15">
      <w:pPr>
        <w:spacing w:after="160" w:line="259" w:lineRule="auto"/>
        <w:jc w:val="both"/>
      </w:pPr>
      <w:r>
        <w:t xml:space="preserve">In November, in a rather upbeat tone, the government articulated that </w:t>
      </w:r>
      <w:proofErr w:type="spellStart"/>
      <w:r>
        <w:t>their</w:t>
      </w:r>
      <w:proofErr w:type="spellEnd"/>
      <w:r>
        <w:t>: ‘approach [had] tremendous potenti</w:t>
      </w:r>
      <w:r>
        <w:t>al for much more joined up approaches’ although they were cautious enough to suggest that it was: ‘too early to measure full effects of the programme’ (Hansard, 2015). However, as was shown in the previous research (Hodkinson, 2023), the government had not</w:t>
      </w:r>
      <w:r>
        <w:t xml:space="preserve"> really changed the SEND system as such they were right to be cautious.  Interestingly, in September 2015, the government seemingly tried to cover its tracks by putting in safety measures, that as time would tell, they increasingly fell back on.  Note this</w:t>
      </w:r>
      <w:r>
        <w:t xml:space="preserve"> statement-</w:t>
      </w:r>
    </w:p>
    <w:p w14:paraId="0000007B" w14:textId="77777777" w:rsidR="00540C8D" w:rsidRDefault="007D1D15">
      <w:pPr>
        <w:spacing w:after="160" w:line="259" w:lineRule="auto"/>
        <w:ind w:left="720"/>
        <w:jc w:val="both"/>
      </w:pPr>
      <w:r>
        <w:t>‘It is of course important that schools be held to account for all their pupils’ (Hansard, 2015).</w:t>
      </w:r>
    </w:p>
    <w:p w14:paraId="0000007C" w14:textId="77777777" w:rsidR="00540C8D" w:rsidRDefault="007D1D15">
      <w:pPr>
        <w:spacing w:after="160" w:line="259" w:lineRule="auto"/>
        <w:jc w:val="both"/>
      </w:pPr>
      <w:r>
        <w:t>2016, witnessed the first ripples of dissatisfaction within the SEND system, as tensions developed, with a funding crisis being declared by some M</w:t>
      </w:r>
      <w:r>
        <w:t xml:space="preserve">Ps, delays in the system of assessment announced and exclusions and off-rolling swirling around Parliament.  As time would show, these fault lines would eventually lead to SEND systems in England becoming swamped by demand and recrimination.  In 2016, the </w:t>
      </w:r>
      <w:r>
        <w:t>government remained seemingly impervious to the voices of discontent.  In April, though, a question to the government split open an old fissure:</w:t>
      </w:r>
    </w:p>
    <w:p w14:paraId="0000007D" w14:textId="77777777" w:rsidR="00540C8D" w:rsidRDefault="007D1D15">
      <w:pPr>
        <w:spacing w:after="160" w:line="259" w:lineRule="auto"/>
        <w:ind w:left="720"/>
        <w:jc w:val="both"/>
      </w:pPr>
      <w:r>
        <w:t>‘Does the honourable, gentlemen share concern that SEN children account for 65% of all exclusions …?’ (Hansard,</w:t>
      </w:r>
      <w:r>
        <w:t xml:space="preserve"> 2016).</w:t>
      </w:r>
    </w:p>
    <w:p w14:paraId="0000007E" w14:textId="77777777" w:rsidR="00540C8D" w:rsidRDefault="007D1D15">
      <w:pPr>
        <w:spacing w:after="160" w:line="259" w:lineRule="auto"/>
        <w:jc w:val="both"/>
      </w:pPr>
      <w:r>
        <w:t>Furthermore, in November, an MP was concerned that:</w:t>
      </w:r>
    </w:p>
    <w:p w14:paraId="0000007F" w14:textId="77777777" w:rsidR="00540C8D" w:rsidRDefault="007D1D15">
      <w:pPr>
        <w:spacing w:after="160" w:line="259" w:lineRule="auto"/>
        <w:ind w:left="720"/>
        <w:jc w:val="both"/>
      </w:pPr>
      <w:r>
        <w:t>‘Schools are getting away with poor SEN provision . . . Schools have been given a loophole in the law to out difficult disabled children’ (Hansard, 2016).</w:t>
      </w:r>
    </w:p>
    <w:p w14:paraId="00000080" w14:textId="77777777" w:rsidR="00540C8D" w:rsidRDefault="007D1D15">
      <w:pPr>
        <w:spacing w:after="160" w:line="259" w:lineRule="auto"/>
        <w:jc w:val="both"/>
      </w:pPr>
      <w:r>
        <w:t>Other worrying concerns were also raised,</w:t>
      </w:r>
      <w:r>
        <w:t xml:space="preserve"> such as:</w:t>
      </w:r>
    </w:p>
    <w:p w14:paraId="00000081" w14:textId="77777777" w:rsidR="00540C8D" w:rsidRDefault="007D1D15">
      <w:pPr>
        <w:spacing w:after="160" w:line="259" w:lineRule="auto"/>
        <w:ind w:left="720"/>
        <w:jc w:val="both"/>
      </w:pPr>
      <w:r>
        <w:lastRenderedPageBreak/>
        <w:t>‘Many schools, deliberately or otherwise, defer or reject . . . children . . . because admitting such children would have an adverse effect on overall school results’ (Hansard, 2016).</w:t>
      </w:r>
    </w:p>
    <w:p w14:paraId="00000082" w14:textId="77777777" w:rsidR="00540C8D" w:rsidRDefault="007D1D15">
      <w:pPr>
        <w:spacing w:after="160" w:line="259" w:lineRule="auto"/>
        <w:jc w:val="both"/>
      </w:pPr>
      <w:r>
        <w:t>The question here is - if the government had listened at this early stage could it have saved his legislation?  However, it chose not to listen, instead it resorted to his usual rhetorical refrain:</w:t>
      </w:r>
    </w:p>
    <w:p w14:paraId="00000083" w14:textId="77777777" w:rsidR="00540C8D" w:rsidRDefault="007D1D15">
      <w:pPr>
        <w:spacing w:after="160" w:line="259" w:lineRule="auto"/>
        <w:ind w:left="720"/>
        <w:jc w:val="both"/>
      </w:pPr>
      <w:r>
        <w:t>‘We have made fundamental changes to how SEND support syst</w:t>
      </w:r>
      <w:r>
        <w:t>ems worked for families, the biggest change in a generation … putting children and young people with SEND at the heart of the system’ (Hansard, 2016).</w:t>
      </w:r>
    </w:p>
    <w:p w14:paraId="00000084" w14:textId="77777777" w:rsidR="00540C8D" w:rsidRDefault="007D1D15">
      <w:pPr>
        <w:spacing w:after="160" w:line="259" w:lineRule="auto"/>
        <w:jc w:val="both"/>
      </w:pPr>
      <w:r>
        <w:t>The die then had been cast, events had been fixed, and the SEND system became ‘a little bit of history re</w:t>
      </w:r>
      <w:r>
        <w:t>peating’.  It would not be until the Timpson Review of 2019 that the government would apparently listen to those that called for an alteration to its course.</w:t>
      </w:r>
    </w:p>
    <w:p w14:paraId="00000085" w14:textId="77777777" w:rsidR="00540C8D" w:rsidRDefault="007D1D15">
      <w:pPr>
        <w:spacing w:after="160" w:line="259" w:lineRule="auto"/>
        <w:jc w:val="both"/>
      </w:pPr>
      <w:r>
        <w:tab/>
      </w:r>
    </w:p>
    <w:p w14:paraId="00000086" w14:textId="77777777" w:rsidR="00540C8D" w:rsidRDefault="007D1D15">
      <w:pPr>
        <w:spacing w:after="160" w:line="259" w:lineRule="auto"/>
        <w:jc w:val="both"/>
      </w:pPr>
      <w:r>
        <w:t>Throughout the period 2017 to 2019 the trickle of dissatisfaction turned into a torrent of disco</w:t>
      </w:r>
      <w:r>
        <w:t>ntent as exclusions and the spectre of off-rolling entered MPs debates:</w:t>
      </w:r>
    </w:p>
    <w:p w14:paraId="00000087" w14:textId="77777777" w:rsidR="00540C8D" w:rsidRDefault="007D1D15">
      <w:pPr>
        <w:spacing w:after="160" w:line="259" w:lineRule="auto"/>
        <w:ind w:left="720"/>
        <w:jc w:val="both"/>
      </w:pPr>
      <w:r>
        <w:t>‘Children with special needs are increasingly being pushed out of the mainstream schools and they are grossly overrepresented in exclusion figures’ (Hansard, 2017).</w:t>
      </w:r>
    </w:p>
    <w:p w14:paraId="00000088" w14:textId="77777777" w:rsidR="00540C8D" w:rsidRDefault="007D1D15">
      <w:pPr>
        <w:spacing w:after="160" w:line="259" w:lineRule="auto"/>
        <w:ind w:left="720"/>
        <w:jc w:val="both"/>
      </w:pPr>
      <w:r>
        <w:t>‘We have a real pro</w:t>
      </w:r>
      <w:r>
        <w:t>blem with the number of exclusions . . .’ (Hansard, 2018).</w:t>
      </w:r>
    </w:p>
    <w:p w14:paraId="00000089" w14:textId="77777777" w:rsidR="00540C8D" w:rsidRDefault="007D1D15">
      <w:pPr>
        <w:spacing w:after="160" w:line="259" w:lineRule="auto"/>
        <w:jc w:val="both"/>
      </w:pPr>
      <w:r>
        <w:t>What became clear in 2018, was that government policies of accountability and inclusion were working against each other.  In this policy conflict, though, there would be only one winner: that of ac</w:t>
      </w:r>
      <w:r>
        <w:t>countability and standards.  This was made clear in MPs statements:</w:t>
      </w:r>
    </w:p>
    <w:p w14:paraId="0000008A" w14:textId="77777777" w:rsidR="00540C8D" w:rsidRDefault="007D1D15">
      <w:pPr>
        <w:spacing w:after="160" w:line="259" w:lineRule="auto"/>
        <w:ind w:left="720"/>
        <w:jc w:val="both"/>
      </w:pPr>
      <w:r>
        <w:t>‘Schools deliberately exclude children with autism, when they know they have an OFSTED coming’ (Hansard, 2018).</w:t>
      </w:r>
    </w:p>
    <w:p w14:paraId="0000008B" w14:textId="77777777" w:rsidR="00540C8D" w:rsidRDefault="007D1D15">
      <w:pPr>
        <w:spacing w:after="160" w:line="259" w:lineRule="auto"/>
        <w:ind w:left="720"/>
        <w:jc w:val="both"/>
      </w:pPr>
      <w:r>
        <w:t>‘In this brave new world . . . what happens to the children who nobody wants</w:t>
      </w:r>
      <w:r>
        <w:t>?  The combination of high-stakes accountability created a perverse incentive for schools to off role and discourage children from attending mainstream’ (Hansard, 2018).</w:t>
      </w:r>
    </w:p>
    <w:p w14:paraId="0000008C" w14:textId="77777777" w:rsidR="00540C8D" w:rsidRDefault="007D1D15">
      <w:pPr>
        <w:spacing w:after="160" w:line="259" w:lineRule="auto"/>
        <w:jc w:val="both"/>
      </w:pPr>
      <w:r>
        <w:t>Government though appeared not listen, even as MPs continue to provide dire warnings:</w:t>
      </w:r>
    </w:p>
    <w:p w14:paraId="0000008D" w14:textId="77777777" w:rsidR="00540C8D" w:rsidRDefault="007D1D15">
      <w:pPr>
        <w:spacing w:after="160" w:line="259" w:lineRule="auto"/>
        <w:jc w:val="both"/>
      </w:pPr>
      <w:r>
        <w:tab/>
        <w:t>‘shockingly high exclusion rates . . . ‘</w:t>
      </w:r>
    </w:p>
    <w:p w14:paraId="0000008E" w14:textId="77777777" w:rsidR="00540C8D" w:rsidRDefault="007D1D15">
      <w:pPr>
        <w:spacing w:after="160" w:line="259" w:lineRule="auto"/>
        <w:jc w:val="both"/>
      </w:pPr>
      <w:r>
        <w:tab/>
        <w:t>‘Last year 20,000 children were off-rolled.’</w:t>
      </w:r>
    </w:p>
    <w:p w14:paraId="0000008F" w14:textId="77777777" w:rsidR="00540C8D" w:rsidRDefault="007D1D15">
      <w:pPr>
        <w:spacing w:after="160" w:line="259" w:lineRule="auto"/>
        <w:jc w:val="both"/>
      </w:pPr>
      <w:r>
        <w:tab/>
        <w:t>‘I think there is a wild west of exclusions out there.’</w:t>
      </w:r>
    </w:p>
    <w:p w14:paraId="00000090" w14:textId="77777777" w:rsidR="00540C8D" w:rsidRDefault="007D1D15">
      <w:pPr>
        <w:spacing w:after="160" w:line="259" w:lineRule="auto"/>
        <w:jc w:val="both"/>
      </w:pPr>
      <w:r>
        <w:t>‘[ I have a] feeling that something has to change, or schools will implode.’ (see Hansard, 2018)</w:t>
      </w:r>
    </w:p>
    <w:p w14:paraId="00000091" w14:textId="77777777" w:rsidR="00540C8D" w:rsidRDefault="007D1D15">
      <w:pPr>
        <w:spacing w:after="160" w:line="259" w:lineRule="auto"/>
        <w:jc w:val="both"/>
      </w:pPr>
      <w:r>
        <w:t>What governmen</w:t>
      </w:r>
      <w:r>
        <w:t>t did do though was adopt its usual position, which was to acknowledge the issue but not take responsibility for the importance of the issue:</w:t>
      </w:r>
    </w:p>
    <w:p w14:paraId="00000092" w14:textId="77777777" w:rsidR="00540C8D" w:rsidRDefault="007D1D15">
      <w:pPr>
        <w:spacing w:after="160" w:line="259" w:lineRule="auto"/>
        <w:ind w:left="720"/>
        <w:jc w:val="both"/>
      </w:pPr>
      <w:r>
        <w:t>‘We recognise we are only part way to achieving our vision, the biggest issue we now face [is that we] have to add</w:t>
      </w:r>
      <w:r>
        <w:t>ress is changing the culture of LAs, clinical commissioning groups and education settings … We must overcome the barriers that prevent them from working together . . .’ (Hansard, 2018).</w:t>
      </w:r>
    </w:p>
    <w:p w14:paraId="00000093" w14:textId="77777777" w:rsidR="00540C8D" w:rsidRDefault="007D1D15">
      <w:pPr>
        <w:spacing w:after="160" w:line="259" w:lineRule="auto"/>
        <w:jc w:val="both"/>
      </w:pPr>
      <w:r>
        <w:lastRenderedPageBreak/>
        <w:t xml:space="preserve">So, three years after CFA implementation, and despite 40 years of the </w:t>
      </w:r>
      <w:r>
        <w:t>history of multi-agency working failure, did the government believe that they had to: ‘address and change the culture’ (Hansard, 2018) of isolation embedded in the system.  This response appeared to be out of touch with the reality that was happening on th</w:t>
      </w:r>
      <w:r>
        <w:t xml:space="preserve">e ground for LAs, schools, children, and their families. </w:t>
      </w:r>
    </w:p>
    <w:p w14:paraId="00000094" w14:textId="77777777" w:rsidR="00540C8D" w:rsidRDefault="007D1D15">
      <w:pPr>
        <w:spacing w:after="160" w:line="259" w:lineRule="auto"/>
        <w:jc w:val="both"/>
      </w:pPr>
      <w:r>
        <w:t xml:space="preserve">With exclusions continuing to be of concern throughout 2019 to 2022, the government fell back on the safety net created in 2015.  Hansard details the government became quick to ‘pass the buck’ when </w:t>
      </w:r>
      <w:r>
        <w:t>the failings in the system became obvious.  Working with the government it appears that in 2018 Conservative MPs began to obfuscate the issues relating to multi-agency working.  Whilst we mentioned early that in 2015 the government had ‘shared’ responsibil</w:t>
      </w:r>
      <w:r>
        <w:t>ity for the system’s success with schools in 2018 they also began to ‘share’ responsibility for its failures.</w:t>
      </w:r>
    </w:p>
    <w:p w14:paraId="00000095" w14:textId="77777777" w:rsidR="00540C8D" w:rsidRDefault="007D1D15">
      <w:pPr>
        <w:spacing w:after="160" w:line="259" w:lineRule="auto"/>
        <w:ind w:left="720"/>
        <w:jc w:val="both"/>
      </w:pPr>
      <w:r>
        <w:t>‘we are trying to cut down numbers of exclusions, [we] introduced EHCPs …’.</w:t>
      </w:r>
    </w:p>
    <w:p w14:paraId="00000096" w14:textId="77777777" w:rsidR="00540C8D" w:rsidRDefault="007D1D15">
      <w:pPr>
        <w:spacing w:after="160" w:line="259" w:lineRule="auto"/>
        <w:ind w:left="720"/>
        <w:jc w:val="both"/>
      </w:pPr>
      <w:r>
        <w:t>‘we recognise challenges that LA’s face . . . which is why we have pro</w:t>
      </w:r>
      <w:r>
        <w:t>vided them with support to deliver the best value . . .’ (Government)</w:t>
      </w:r>
    </w:p>
    <w:p w14:paraId="00000097" w14:textId="77777777" w:rsidR="00540C8D" w:rsidRDefault="007D1D15">
      <w:pPr>
        <w:spacing w:after="160" w:line="259" w:lineRule="auto"/>
        <w:ind w:left="720"/>
        <w:jc w:val="both"/>
      </w:pPr>
      <w:r>
        <w:t>‘It’s about breaking down the silos on the ground, in reality, levers do not exist on the ground to deliver meaningful change . . . that was envisaged by the legislation’ (Conservative M</w:t>
      </w:r>
      <w:r>
        <w:t>P) (see Hansard, 2018).</w:t>
      </w:r>
    </w:p>
    <w:p w14:paraId="00000098" w14:textId="77777777" w:rsidR="00540C8D" w:rsidRDefault="007D1D15">
      <w:pPr>
        <w:spacing w:after="160" w:line="259" w:lineRule="auto"/>
        <w:jc w:val="both"/>
      </w:pPr>
      <w:r>
        <w:t>Government here did appear to be trying to lay the blame for system failures at the door of LAs and the professionals that operated the system.  Labour MPs did not though accept this argument:</w:t>
      </w:r>
    </w:p>
    <w:p w14:paraId="00000099" w14:textId="77777777" w:rsidR="00540C8D" w:rsidRDefault="007D1D15">
      <w:pPr>
        <w:spacing w:after="160" w:line="259" w:lineRule="auto"/>
        <w:ind w:left="720"/>
        <w:jc w:val="both"/>
      </w:pPr>
      <w:r>
        <w:t>‘He stands at the dispatch box . . . as</w:t>
      </w:r>
      <w:r>
        <w:t xml:space="preserve"> if everything is rosy, the parents know that is a load of rubbish’ (Hansard, 2018).</w:t>
      </w:r>
    </w:p>
    <w:p w14:paraId="0000009A" w14:textId="77777777" w:rsidR="00540C8D" w:rsidRDefault="007D1D15">
      <w:pPr>
        <w:spacing w:after="160" w:line="259" w:lineRule="auto"/>
        <w:jc w:val="both"/>
      </w:pPr>
      <w:r>
        <w:t>For Labour, systemic failings were being caused by a significant lack of funding:</w:t>
      </w:r>
    </w:p>
    <w:p w14:paraId="0000009B" w14:textId="77777777" w:rsidR="00540C8D" w:rsidRDefault="007D1D15">
      <w:pPr>
        <w:spacing w:after="160" w:line="259" w:lineRule="auto"/>
        <w:ind w:left="720"/>
        <w:jc w:val="both"/>
      </w:pPr>
      <w:r>
        <w:t>‘The government can cite figures and dances around the issue, and we can cite figures bac</w:t>
      </w:r>
      <w:r>
        <w:t>k at them . . . primary heads wrote government . . . they are desperate for more money’ (Hansard, 2018).</w:t>
      </w:r>
    </w:p>
    <w:p w14:paraId="0000009C" w14:textId="77777777" w:rsidR="00540C8D" w:rsidRDefault="007D1D15">
      <w:pPr>
        <w:spacing w:after="160" w:line="259" w:lineRule="auto"/>
        <w:jc w:val="both"/>
      </w:pPr>
      <w:r>
        <w:t>In spite of these debates, the government carried on with its strategy of acknowledging issues but then distancing themselves from the failures.  In 2019, a Conservative MP stated that:</w:t>
      </w:r>
    </w:p>
    <w:p w14:paraId="0000009D" w14:textId="77777777" w:rsidR="00540C8D" w:rsidRDefault="007D1D15">
      <w:pPr>
        <w:spacing w:after="160" w:line="259" w:lineRule="auto"/>
        <w:ind w:left="720"/>
        <w:jc w:val="both"/>
      </w:pPr>
      <w:r>
        <w:t xml:space="preserve">‘These issues are not new . . . they were certainly </w:t>
      </w:r>
      <w:proofErr w:type="gramStart"/>
      <w:r>
        <w:t>issues</w:t>
      </w:r>
      <w:proofErr w:type="gramEnd"/>
      <w:r>
        <w:t xml:space="preserve"> for the las</w:t>
      </w:r>
      <w:r>
        <w:t>t Labour government.’ (Hansard, 2019).</w:t>
      </w:r>
    </w:p>
    <w:p w14:paraId="0000009E" w14:textId="77777777" w:rsidR="00540C8D" w:rsidRDefault="007D1D15">
      <w:pPr>
        <w:spacing w:after="160" w:line="259" w:lineRule="auto"/>
        <w:jc w:val="both"/>
      </w:pPr>
      <w:r>
        <w:t>The government responded:</w:t>
      </w:r>
    </w:p>
    <w:p w14:paraId="0000009F" w14:textId="77777777" w:rsidR="00540C8D" w:rsidRDefault="007D1D15">
      <w:pPr>
        <w:spacing w:after="160" w:line="259" w:lineRule="auto"/>
        <w:ind w:left="709"/>
        <w:jc w:val="both"/>
      </w:pPr>
      <w:r>
        <w:t>‘I put it on record that I share your concerns . . . the government will take action’ (Hansard, 2019).</w:t>
      </w:r>
    </w:p>
    <w:p w14:paraId="000000A0" w14:textId="77777777" w:rsidR="00540C8D" w:rsidRDefault="007D1D15">
      <w:pPr>
        <w:spacing w:after="160" w:line="259" w:lineRule="auto"/>
        <w:jc w:val="both"/>
      </w:pPr>
      <w:r>
        <w:t>In 2020, Conservative MPs again came out to support the government seemingly attempting to place the blame for failures elsewhere in the system:</w:t>
      </w:r>
    </w:p>
    <w:p w14:paraId="000000A1" w14:textId="77777777" w:rsidR="00540C8D" w:rsidRDefault="007D1D15">
      <w:pPr>
        <w:spacing w:after="160" w:line="259" w:lineRule="auto"/>
        <w:ind w:left="720"/>
        <w:jc w:val="both"/>
      </w:pPr>
      <w:r>
        <w:t>‘Problems remain political with respect to accountability, [there is] still substantial evidence of non-complia</w:t>
      </w:r>
      <w:r>
        <w:t>nce with the 2014 Act . . . [it’s a] failure of political will on the part of councils</w:t>
      </w:r>
      <w:proofErr w:type="gramStart"/>
      <w:r>
        <w:t>’(</w:t>
      </w:r>
      <w:proofErr w:type="gramEnd"/>
      <w:r>
        <w:t>Hansard, 2020).</w:t>
      </w:r>
    </w:p>
    <w:p w14:paraId="000000A2" w14:textId="77777777" w:rsidR="00540C8D" w:rsidRDefault="007D1D15">
      <w:pPr>
        <w:spacing w:after="160" w:line="259" w:lineRule="auto"/>
        <w:jc w:val="both"/>
      </w:pPr>
      <w:r>
        <w:t>2021, saw government in obfuscation mode as again they tried to ‘muddy the waters’, they stated:</w:t>
      </w:r>
    </w:p>
    <w:p w14:paraId="000000A3" w14:textId="77777777" w:rsidR="00540C8D" w:rsidRDefault="007D1D15">
      <w:pPr>
        <w:spacing w:after="160" w:line="259" w:lineRule="auto"/>
        <w:ind w:left="720"/>
        <w:jc w:val="both"/>
      </w:pPr>
      <w:r>
        <w:lastRenderedPageBreak/>
        <w:t>‘we need a consistent approach across the whole country</w:t>
      </w:r>
      <w:r>
        <w:t xml:space="preserve"> to ensure that children get services and support they need’ (Hansard, 2021).</w:t>
      </w:r>
    </w:p>
    <w:p w14:paraId="000000A4" w14:textId="77777777" w:rsidR="00540C8D" w:rsidRDefault="007D1D15">
      <w:pPr>
        <w:spacing w:after="160" w:line="259" w:lineRule="auto"/>
        <w:jc w:val="both"/>
      </w:pPr>
      <w:r>
        <w:t>Again though, Labour did not accept this position:</w:t>
      </w:r>
    </w:p>
    <w:p w14:paraId="000000A5" w14:textId="77777777" w:rsidR="00540C8D" w:rsidRDefault="007D1D15">
      <w:pPr>
        <w:spacing w:after="160" w:line="259" w:lineRule="auto"/>
        <w:ind w:left="709"/>
        <w:jc w:val="both"/>
      </w:pPr>
      <w:r>
        <w:t>‘The DfE is deflecting its responsibility for SEND pupils onto local government.’ (Hansard, 2021).</w:t>
      </w:r>
    </w:p>
    <w:p w14:paraId="000000A6" w14:textId="77777777" w:rsidR="00540C8D" w:rsidRDefault="007D1D15">
      <w:pPr>
        <w:spacing w:after="160" w:line="259" w:lineRule="auto"/>
        <w:jc w:val="both"/>
      </w:pPr>
      <w:r>
        <w:t xml:space="preserve">As politicians argued about </w:t>
      </w:r>
      <w:r>
        <w:t>whose responsibilities the failures in the system were, some MPs continued to warn of the ‘difficulties,’ ‘fights’ and ‘battles’ ‘that children and their families were facing:</w:t>
      </w:r>
    </w:p>
    <w:p w14:paraId="000000A7" w14:textId="77777777" w:rsidR="00540C8D" w:rsidRDefault="007D1D15">
      <w:pPr>
        <w:spacing w:after="160" w:line="259" w:lineRule="auto"/>
        <w:ind w:left="720"/>
        <w:jc w:val="both"/>
      </w:pPr>
      <w:r>
        <w:t xml:space="preserve">‘[Children are] being forgotten, left behind and overlooked, waiting five years </w:t>
      </w:r>
      <w:r>
        <w:t>for a diagnosis’ (Hansard, 2018).</w:t>
      </w:r>
    </w:p>
    <w:p w14:paraId="000000A8" w14:textId="77777777" w:rsidR="00540C8D" w:rsidRDefault="007D1D15">
      <w:pPr>
        <w:spacing w:after="160" w:line="259" w:lineRule="auto"/>
        <w:ind w:left="720"/>
        <w:jc w:val="both"/>
      </w:pPr>
      <w:r>
        <w:t>‘Children are being tragically let down’ (Hansard, 2020).</w:t>
      </w:r>
    </w:p>
    <w:p w14:paraId="000000A9" w14:textId="77777777" w:rsidR="00540C8D" w:rsidRDefault="007D1D15">
      <w:pPr>
        <w:spacing w:after="160" w:line="259" w:lineRule="auto"/>
        <w:ind w:left="720"/>
        <w:jc w:val="both"/>
      </w:pPr>
      <w:r>
        <w:t>‘School exclusions have . . .  shockingly tripled in five years’ (Hansard, 2020).</w:t>
      </w:r>
    </w:p>
    <w:p w14:paraId="000000AA" w14:textId="77777777" w:rsidR="00540C8D" w:rsidRDefault="007D1D15">
      <w:pPr>
        <w:spacing w:after="160" w:line="259" w:lineRule="auto"/>
        <w:jc w:val="both"/>
      </w:pPr>
      <w:r>
        <w:t>The government’s response to such criticism was though all-too-familiar when in 20</w:t>
      </w:r>
      <w:r>
        <w:t>20 it stated that:</w:t>
      </w:r>
    </w:p>
    <w:p w14:paraId="000000AB" w14:textId="77777777" w:rsidR="00540C8D" w:rsidRDefault="007D1D15">
      <w:pPr>
        <w:spacing w:after="160" w:line="259" w:lineRule="auto"/>
        <w:ind w:left="720"/>
        <w:jc w:val="both"/>
      </w:pPr>
      <w:r>
        <w:t>‘Supporting children and young people with SEND is one of the most important roles of government . . . In 2014 we introduced major reform . . . and put [children’s] needs and their families at the heart of the system’ (Hansard, 2020).</w:t>
      </w:r>
    </w:p>
    <w:p w14:paraId="000000AC" w14:textId="77777777" w:rsidR="00540C8D" w:rsidRDefault="007D1D15">
      <w:pPr>
        <w:spacing w:after="160" w:line="259" w:lineRule="auto"/>
        <w:jc w:val="both"/>
      </w:pPr>
      <w:r>
        <w:t>An</w:t>
      </w:r>
      <w:r>
        <w:t>d in 2021, they stated:</w:t>
      </w:r>
    </w:p>
    <w:p w14:paraId="000000AD" w14:textId="77777777" w:rsidR="00540C8D" w:rsidRDefault="007D1D15">
      <w:pPr>
        <w:spacing w:after="160" w:line="259" w:lineRule="auto"/>
        <w:ind w:left="720"/>
        <w:jc w:val="both"/>
      </w:pPr>
      <w:r>
        <w:t>‘The government are absolutely dedicated to supporting children with SEND and their families, [our] ambition for them . . . is to ensure a world-class education system that sets them up for life’ (Hansard, 2021).</w:t>
      </w:r>
    </w:p>
    <w:p w14:paraId="000000AE" w14:textId="77777777" w:rsidR="00540C8D" w:rsidRDefault="007D1D15">
      <w:pPr>
        <w:spacing w:after="160" w:line="259" w:lineRule="auto"/>
        <w:jc w:val="both"/>
      </w:pPr>
      <w:r>
        <w:t>By 2021, time had r</w:t>
      </w:r>
      <w:r>
        <w:t>un out; with funding issues, an overly bureaucratic assessment process and multi-agency collaboration failing.  Whilst these concerns had been brought to government as early as 2015 this Labour MP, in July 2020, captures the failures succinctly:</w:t>
      </w:r>
    </w:p>
    <w:p w14:paraId="000000AF" w14:textId="77777777" w:rsidR="00540C8D" w:rsidRDefault="007D1D15">
      <w:pPr>
        <w:spacing w:after="160" w:line="259" w:lineRule="auto"/>
        <w:ind w:left="720"/>
        <w:jc w:val="both"/>
      </w:pPr>
      <w:r>
        <w:t>‘Heartbrea</w:t>
      </w:r>
      <w:r>
        <w:t>kingly, the picture facing schools supporting children with SEN is bleak.  School budgets are at breaking point . . . schools and LAs are struggling to meet the needs of children . . . the SEN code is no more than empty promise’ (Hansard, 2020).</w:t>
      </w:r>
    </w:p>
    <w:p w14:paraId="000000B0" w14:textId="77777777" w:rsidR="00540C8D" w:rsidRDefault="007D1D15">
      <w:pPr>
        <w:spacing w:after="160" w:line="259" w:lineRule="auto"/>
        <w:jc w:val="both"/>
      </w:pPr>
      <w:r>
        <w:t>The data o</w:t>
      </w:r>
      <w:r>
        <w:t>btained from Hansard details that the government continually failed to listen to the voice of parliamentarians.  As late as 2021 it only recognised ‘that the current system [was] not delivering for some children’ (Hansard, 2021</w:t>
      </w:r>
      <w:proofErr w:type="gramStart"/>
      <w:r>
        <w:t>)  In</w:t>
      </w:r>
      <w:proofErr w:type="gramEnd"/>
      <w:r>
        <w:t xml:space="preserve"> 2022, the government wa</w:t>
      </w:r>
      <w:r>
        <w:t>s still seemingly trying to ‘pass the buck’, detailing that: ‘we are hearing that they are [LAs] not making it [funding] available to the families who need it’ (Hansard, 2021).  The data strongly suggests that the government fundamentally did not deal with</w:t>
      </w:r>
      <w:r>
        <w:t xml:space="preserve"> the fault-lines in the system rather, according to parliamentarians, only tinkering around the edges whilst refusing to accept its responsibility for the failures in the system.  To be clear though, the government owned this failure, it was of their makin</w:t>
      </w:r>
      <w:r>
        <w:t xml:space="preserve">g as they did not hear the voices </w:t>
      </w:r>
      <w:proofErr w:type="gramStart"/>
      <w:r>
        <w:t>of  parliamentarians</w:t>
      </w:r>
      <w:proofErr w:type="gramEnd"/>
      <w:r>
        <w:t>.</w:t>
      </w:r>
      <w:r>
        <w:tab/>
      </w:r>
    </w:p>
    <w:p w14:paraId="000000B1" w14:textId="77777777" w:rsidR="00540C8D" w:rsidRDefault="00540C8D">
      <w:pPr>
        <w:spacing w:after="160" w:line="259" w:lineRule="auto"/>
        <w:jc w:val="both"/>
        <w:rPr>
          <w:i/>
        </w:rPr>
      </w:pPr>
    </w:p>
    <w:p w14:paraId="000000B2" w14:textId="77777777" w:rsidR="00540C8D" w:rsidRDefault="007D1D15">
      <w:pPr>
        <w:spacing w:after="160" w:line="259" w:lineRule="auto"/>
        <w:jc w:val="both"/>
        <w:rPr>
          <w:b/>
        </w:rPr>
      </w:pPr>
      <w:r>
        <w:rPr>
          <w:b/>
        </w:rPr>
        <w:t>Conclusions</w:t>
      </w:r>
    </w:p>
    <w:p w14:paraId="000000B3" w14:textId="77777777" w:rsidR="00540C8D" w:rsidRDefault="007D1D15">
      <w:pPr>
        <w:spacing w:after="160" w:line="259" w:lineRule="auto"/>
        <w:jc w:val="both"/>
      </w:pPr>
      <w:r>
        <w:lastRenderedPageBreak/>
        <w:t>Research (Hodkinson, 2023) demonstrated that SEND legislation that had operated in England since 1981 had been subject to recurring fault-lines which coalesced around pupil voice, multi-</w:t>
      </w:r>
      <w:r>
        <w:t>agency working, training and funding. This research suggested that various government had been told that SEND legislation of the past 40 years had not been fit for purpose. The evidence gained from this current research confirms that of earlier research de</w:t>
      </w:r>
      <w:r>
        <w:t>noting that the ‘fault-lines of failure’ were evident within the speeches of parliamentarians recorded in Hansard from December 2014 until May 2022. The current analysis details that politicians, of all political persuasions, told government where the fiss</w:t>
      </w:r>
      <w:r>
        <w:t>ures in their legislation were. However, despite overwhelming evidence the government did not listen to the voices of parliamentarians and their concerns preferring it seems to carry on with legislation that was built upon child deficit and a policy that p</w:t>
      </w:r>
      <w:r>
        <w:t>laced LAs in a perverse duality of being the provider and the limiter of services and resources that support children labelled as SEND. Furthermore, and despite its early rhetoric, the government did not place the child and their families at the heart of l</w:t>
      </w:r>
      <w:r>
        <w:t>egislation nor really tackle, with any relish, the issue of the training of professionals working in multi-agency teams. In short, their legislation did not lead to radical cultural change. Indeed, they never really seem to start this process. It appears t</w:t>
      </w:r>
      <w:r>
        <w:t xml:space="preserve">hat if new SEND legislation is to be effective then the government must listen to and hear and heed voices that offer wise counsel and efficient solutions to preventing legislative failing- namely parliamentarians. Problematically, though, </w:t>
      </w:r>
      <w:proofErr w:type="gramStart"/>
      <w:r>
        <w:t>as  Petronius</w:t>
      </w:r>
      <w:proofErr w:type="gramEnd"/>
      <w:r>
        <w:t xml:space="preserve"> Ar</w:t>
      </w:r>
      <w:r>
        <w:t>biter stated around 2,000 years ago- we have known for time immemorial what governments do to avoid radical culture change. It appears that current SEND legislation is covered in much the same rhetorical illusion of progress. As he said:</w:t>
      </w:r>
    </w:p>
    <w:p w14:paraId="000000B4" w14:textId="77777777" w:rsidR="00540C8D" w:rsidRDefault="007D1D15">
      <w:pPr>
        <w:shd w:val="clear" w:color="auto" w:fill="FFFFFF"/>
        <w:spacing w:after="225"/>
        <w:jc w:val="both"/>
        <w:rPr>
          <w:rFonts w:ascii="Merriweather" w:eastAsia="Merriweather" w:hAnsi="Merriweather" w:cs="Merriweather"/>
          <w:sz w:val="21"/>
          <w:szCs w:val="21"/>
        </w:rPr>
      </w:pPr>
      <w:r>
        <w:t>“We trained hard—but it seemed that every time we were beginning to form up into teams we were reorganised. I was to learn later in life that we tend to meet any new situation by reorganising, and what a wonderful method it can be for creating the illusion</w:t>
      </w:r>
      <w:r>
        <w:t xml:space="preserve"> of progress while actually producing confusion, inefficiency, and demoralisation</w:t>
      </w:r>
      <w:r>
        <w:rPr>
          <w:rFonts w:ascii="Merriweather" w:eastAsia="Merriweather" w:hAnsi="Merriweather" w:cs="Merriweather"/>
          <w:sz w:val="21"/>
          <w:szCs w:val="21"/>
        </w:rPr>
        <w:t>.</w:t>
      </w:r>
      <w:r>
        <w:t>”</w:t>
      </w:r>
    </w:p>
    <w:p w14:paraId="000000B5" w14:textId="77777777" w:rsidR="00540C8D" w:rsidRDefault="007D1D15">
      <w:pPr>
        <w:spacing w:after="160" w:line="259" w:lineRule="auto"/>
        <w:jc w:val="both"/>
      </w:pPr>
      <w:r>
        <w:rPr>
          <w:rFonts w:ascii="Lato" w:eastAsia="Lato" w:hAnsi="Lato" w:cs="Lato"/>
          <w:b/>
          <w:sz w:val="21"/>
          <w:szCs w:val="21"/>
          <w:highlight w:val="white"/>
        </w:rPr>
        <w:t xml:space="preserve"> Petronius Arbiter </w:t>
      </w:r>
      <w:proofErr w:type="spellStart"/>
      <w:r>
        <w:rPr>
          <w:rFonts w:ascii="Lato" w:eastAsia="Lato" w:hAnsi="Lato" w:cs="Lato"/>
          <w:b/>
          <w:sz w:val="21"/>
          <w:szCs w:val="21"/>
          <w:highlight w:val="white"/>
        </w:rPr>
        <w:t>legionos</w:t>
      </w:r>
      <w:proofErr w:type="spellEnd"/>
      <w:r>
        <w:rPr>
          <w:rFonts w:ascii="Lato" w:eastAsia="Lato" w:hAnsi="Lato" w:cs="Lato"/>
          <w:b/>
          <w:sz w:val="21"/>
          <w:szCs w:val="21"/>
          <w:highlight w:val="white"/>
        </w:rPr>
        <w:t xml:space="preserve"> Director of Elegance AD 27- 66 (Brittania.com)</w:t>
      </w:r>
    </w:p>
    <w:p w14:paraId="000000B6" w14:textId="77777777" w:rsidR="00540C8D" w:rsidRDefault="00540C8D">
      <w:pPr>
        <w:spacing w:after="160" w:line="259" w:lineRule="auto"/>
        <w:jc w:val="both"/>
      </w:pPr>
    </w:p>
    <w:p w14:paraId="000000B7" w14:textId="77777777" w:rsidR="00540C8D" w:rsidRDefault="007D1D15">
      <w:pPr>
        <w:spacing w:after="160" w:line="259" w:lineRule="auto"/>
        <w:jc w:val="both"/>
        <w:rPr>
          <w:b/>
        </w:rPr>
      </w:pPr>
      <w:r>
        <w:rPr>
          <w:b/>
        </w:rPr>
        <w:t>References</w:t>
      </w:r>
    </w:p>
    <w:p w14:paraId="000000B8" w14:textId="77777777" w:rsidR="00540C8D" w:rsidRDefault="007D1D15">
      <w:pPr>
        <w:spacing w:line="240" w:lineRule="auto"/>
        <w:jc w:val="both"/>
      </w:pPr>
      <w:r>
        <w:t xml:space="preserve">Atkinson, M., Wilkin, A., Stott, A., Doherty, P. and Kinder, K. (2002). </w:t>
      </w:r>
      <w:r>
        <w:rPr>
          <w:i/>
        </w:rPr>
        <w:t xml:space="preserve">Multi-agency </w:t>
      </w:r>
      <w:r>
        <w:rPr>
          <w:i/>
        </w:rPr>
        <w:t xml:space="preserve">Working: A Detailed Study. </w:t>
      </w:r>
      <w:r>
        <w:t>London: National Foundation for Educational Research.</w:t>
      </w:r>
    </w:p>
    <w:p w14:paraId="000000B9" w14:textId="77777777" w:rsidR="00540C8D" w:rsidRDefault="00540C8D">
      <w:pPr>
        <w:spacing w:line="240" w:lineRule="auto"/>
        <w:jc w:val="both"/>
      </w:pPr>
    </w:p>
    <w:p w14:paraId="000000BA" w14:textId="77777777" w:rsidR="00540C8D" w:rsidRDefault="007D1D15">
      <w:pPr>
        <w:spacing w:line="240" w:lineRule="auto"/>
        <w:jc w:val="both"/>
      </w:pPr>
      <w:r>
        <w:t xml:space="preserve">Basingstoke, M. (2008). </w:t>
      </w:r>
      <w:r>
        <w:rPr>
          <w:i/>
        </w:rPr>
        <w:t xml:space="preserve">Hansard </w:t>
      </w:r>
      <w:r>
        <w:t>– Col. 589-600.</w:t>
      </w:r>
    </w:p>
    <w:p w14:paraId="000000BB" w14:textId="77777777" w:rsidR="00540C8D" w:rsidRDefault="00540C8D">
      <w:pPr>
        <w:spacing w:line="240" w:lineRule="auto"/>
        <w:jc w:val="both"/>
      </w:pPr>
    </w:p>
    <w:p w14:paraId="000000BC" w14:textId="77777777" w:rsidR="00540C8D" w:rsidRDefault="007D1D15">
      <w:pPr>
        <w:spacing w:line="240" w:lineRule="auto"/>
        <w:jc w:val="both"/>
      </w:pPr>
      <w:proofErr w:type="spellStart"/>
      <w:r>
        <w:t>Boesley</w:t>
      </w:r>
      <w:proofErr w:type="spellEnd"/>
      <w:r>
        <w:t>, L. &amp; Crane, L. (2018). ‘Forget the Health’ and Care and just call them Education Plans: SENCOs perspectives on Educa</w:t>
      </w:r>
      <w:r>
        <w:t xml:space="preserve">tion, Health and Care plans, </w:t>
      </w:r>
      <w:proofErr w:type="spellStart"/>
      <w:r>
        <w:rPr>
          <w:i/>
        </w:rPr>
        <w:t>Jorsen</w:t>
      </w:r>
      <w:proofErr w:type="spellEnd"/>
      <w:r>
        <w:rPr>
          <w:i/>
        </w:rPr>
        <w:t xml:space="preserve">, </w:t>
      </w:r>
      <w:r>
        <w:t>18, 36-47.</w:t>
      </w:r>
    </w:p>
    <w:p w14:paraId="000000BD" w14:textId="77777777" w:rsidR="00540C8D" w:rsidRDefault="00540C8D">
      <w:pPr>
        <w:spacing w:line="240" w:lineRule="auto"/>
        <w:jc w:val="both"/>
      </w:pPr>
    </w:p>
    <w:p w14:paraId="000000BE" w14:textId="77777777" w:rsidR="00540C8D" w:rsidRDefault="007D1D15">
      <w:pPr>
        <w:spacing w:line="240" w:lineRule="auto"/>
        <w:jc w:val="both"/>
      </w:pPr>
      <w:r>
        <w:t xml:space="preserve">Capper, Z. (2020). </w:t>
      </w:r>
      <w:r>
        <w:rPr>
          <w:i/>
        </w:rPr>
        <w:t xml:space="preserve">A cultural historical Activity Theory Analysis of Educational </w:t>
      </w:r>
      <w:proofErr w:type="spellStart"/>
      <w:r>
        <w:rPr>
          <w:i/>
        </w:rPr>
        <w:t>Pyschologists</w:t>
      </w:r>
      <w:proofErr w:type="spellEnd"/>
      <w:r>
        <w:rPr>
          <w:i/>
        </w:rPr>
        <w:t xml:space="preserve"> Contributions to the Statutory Assessments of Children and Young People with Special Educational Needs post 2014</w:t>
      </w:r>
      <w:r>
        <w:rPr>
          <w:i/>
        </w:rPr>
        <w:t xml:space="preserve"> Children and Families Act</w:t>
      </w:r>
      <w:r>
        <w:t xml:space="preserve">. Unpublished </w:t>
      </w:r>
      <w:proofErr w:type="spellStart"/>
      <w:proofErr w:type="gramStart"/>
      <w:r>
        <w:t>Ph.D</w:t>
      </w:r>
      <w:proofErr w:type="spellEnd"/>
      <w:proofErr w:type="gramEnd"/>
      <w:r>
        <w:t>, University of Birmingham.</w:t>
      </w:r>
    </w:p>
    <w:p w14:paraId="000000BF" w14:textId="77777777" w:rsidR="00540C8D" w:rsidRDefault="00540C8D">
      <w:pPr>
        <w:spacing w:line="240" w:lineRule="auto"/>
        <w:jc w:val="both"/>
      </w:pPr>
    </w:p>
    <w:p w14:paraId="000000C0" w14:textId="77777777" w:rsidR="00540C8D" w:rsidRDefault="007D1D15">
      <w:pPr>
        <w:spacing w:line="240" w:lineRule="auto"/>
        <w:jc w:val="both"/>
        <w:rPr>
          <w:color w:val="1155CC"/>
          <w:u w:val="single"/>
        </w:rPr>
      </w:pPr>
      <w:r>
        <w:t>Care Co-ordination Network United Kingdom (2004). Information sheet. Available at:</w:t>
      </w:r>
      <w:hyperlink r:id="rId8">
        <w:r>
          <w:t xml:space="preserve"> </w:t>
        </w:r>
      </w:hyperlink>
      <w:hyperlink r:id="rId9">
        <w:r>
          <w:rPr>
            <w:color w:val="1155CC"/>
            <w:u w:val="single"/>
          </w:rPr>
          <w:t>www.york.ac.uk/inst/spru/pubs/rworks/jan2004-1.pdf</w:t>
        </w:r>
      </w:hyperlink>
    </w:p>
    <w:p w14:paraId="000000C1" w14:textId="77777777" w:rsidR="00540C8D" w:rsidRDefault="00540C8D">
      <w:pPr>
        <w:spacing w:line="240" w:lineRule="auto"/>
        <w:jc w:val="both"/>
      </w:pPr>
    </w:p>
    <w:p w14:paraId="000000C2" w14:textId="77777777" w:rsidR="00540C8D" w:rsidRDefault="007D1D15">
      <w:pPr>
        <w:spacing w:line="240" w:lineRule="auto"/>
        <w:jc w:val="both"/>
      </w:pPr>
      <w:r>
        <w:lastRenderedPageBreak/>
        <w:t xml:space="preserve">Carrol, J. Bradley, L. Crawford, H. </w:t>
      </w:r>
      <w:proofErr w:type="spellStart"/>
      <w:r>
        <w:t>Hannant</w:t>
      </w:r>
      <w:proofErr w:type="spellEnd"/>
      <w:r>
        <w:t>, P. Johnson, H. &amp; Thompson, A. (2017). SEN support: A rapid evidence assessment Resea</w:t>
      </w:r>
      <w:r>
        <w:t>rch report July 2017. London: DfE.</w:t>
      </w:r>
    </w:p>
    <w:p w14:paraId="000000C3" w14:textId="77777777" w:rsidR="00540C8D" w:rsidRDefault="00540C8D">
      <w:pPr>
        <w:spacing w:line="240" w:lineRule="auto"/>
        <w:jc w:val="both"/>
      </w:pPr>
    </w:p>
    <w:p w14:paraId="000000C4" w14:textId="77777777" w:rsidR="00540C8D" w:rsidRDefault="007D1D15">
      <w:pPr>
        <w:spacing w:line="240" w:lineRule="auto"/>
        <w:jc w:val="both"/>
      </w:pPr>
      <w:proofErr w:type="spellStart"/>
      <w:r>
        <w:t>Cavet</w:t>
      </w:r>
      <w:proofErr w:type="spellEnd"/>
      <w:r>
        <w:t xml:space="preserve">, J. (n.d.). </w:t>
      </w:r>
      <w:r>
        <w:rPr>
          <w:i/>
        </w:rPr>
        <w:t xml:space="preserve">Working in Partnership through Early Support: Distance Learning Text Best Practice in Key Working: What do Research and Policy have to say? </w:t>
      </w:r>
      <w:r>
        <w:t xml:space="preserve">London: Care Co-ordination Network UK. </w:t>
      </w:r>
    </w:p>
    <w:p w14:paraId="000000C5" w14:textId="77777777" w:rsidR="00540C8D" w:rsidRDefault="00540C8D">
      <w:pPr>
        <w:spacing w:line="240" w:lineRule="auto"/>
        <w:jc w:val="both"/>
      </w:pPr>
    </w:p>
    <w:p w14:paraId="000000C6" w14:textId="77777777" w:rsidR="00540C8D" w:rsidRDefault="007D1D15">
      <w:pPr>
        <w:spacing w:line="240" w:lineRule="auto"/>
        <w:jc w:val="both"/>
      </w:pPr>
      <w:proofErr w:type="spellStart"/>
      <w:r>
        <w:t>Cheminais</w:t>
      </w:r>
      <w:proofErr w:type="spellEnd"/>
      <w:r>
        <w:t>, R. (2009).</w:t>
      </w:r>
      <w:r>
        <w:t xml:space="preserve"> </w:t>
      </w:r>
      <w:r>
        <w:rPr>
          <w:i/>
        </w:rPr>
        <w:t>Effective Multi-Agency Partnerships: Putting Every Child Matters into Practice.</w:t>
      </w:r>
      <w:r>
        <w:t xml:space="preserve"> London: Sage</w:t>
      </w:r>
    </w:p>
    <w:p w14:paraId="000000C7" w14:textId="77777777" w:rsidR="00540C8D" w:rsidRDefault="00540C8D">
      <w:pPr>
        <w:spacing w:line="240" w:lineRule="auto"/>
        <w:jc w:val="both"/>
      </w:pPr>
    </w:p>
    <w:p w14:paraId="000000C8" w14:textId="77777777" w:rsidR="00540C8D" w:rsidRDefault="007D1D15">
      <w:pPr>
        <w:spacing w:line="240" w:lineRule="auto"/>
        <w:jc w:val="both"/>
      </w:pPr>
      <w:r>
        <w:t>Community Care, (2022). Serious case reviews into toddler murders highlight social work staffing and oversight failures. Available at: https://www.communitycare.</w:t>
      </w:r>
      <w:r>
        <w:t>co.uk/2019/06/06/serious-case-reviews-toddler-murders-highlight-social-work-staffing-oversight-failures/</w:t>
      </w:r>
    </w:p>
    <w:p w14:paraId="000000C9" w14:textId="77777777" w:rsidR="00540C8D" w:rsidRDefault="00540C8D">
      <w:pPr>
        <w:pBdr>
          <w:top w:val="nil"/>
          <w:left w:val="nil"/>
          <w:bottom w:val="nil"/>
          <w:right w:val="nil"/>
          <w:between w:val="nil"/>
        </w:pBdr>
        <w:spacing w:line="240" w:lineRule="auto"/>
        <w:jc w:val="both"/>
        <w:rPr>
          <w:color w:val="000000"/>
        </w:rPr>
      </w:pPr>
    </w:p>
    <w:p w14:paraId="000000CA" w14:textId="77777777" w:rsidR="00540C8D" w:rsidRDefault="007D1D15">
      <w:pPr>
        <w:pBdr>
          <w:top w:val="nil"/>
          <w:left w:val="nil"/>
          <w:bottom w:val="nil"/>
          <w:right w:val="nil"/>
          <w:between w:val="nil"/>
        </w:pBdr>
        <w:spacing w:line="240" w:lineRule="auto"/>
        <w:jc w:val="both"/>
        <w:rPr>
          <w:color w:val="000000"/>
        </w:rPr>
      </w:pPr>
      <w:r>
        <w:rPr>
          <w:color w:val="000000"/>
        </w:rPr>
        <w:t xml:space="preserve">Corbett, J. (2001). </w:t>
      </w:r>
      <w:r>
        <w:rPr>
          <w:i/>
          <w:color w:val="000000"/>
        </w:rPr>
        <w:t xml:space="preserve">Supporting Inclusive Education: A Connective Pedagogy. </w:t>
      </w:r>
      <w:r>
        <w:rPr>
          <w:color w:val="000000"/>
        </w:rPr>
        <w:t xml:space="preserve">London: </w:t>
      </w:r>
      <w:proofErr w:type="spellStart"/>
      <w:r>
        <w:rPr>
          <w:color w:val="000000"/>
        </w:rPr>
        <w:t>RoutledgeFalmer</w:t>
      </w:r>
      <w:proofErr w:type="spellEnd"/>
      <w:r>
        <w:rPr>
          <w:color w:val="000000"/>
        </w:rPr>
        <w:t>.</w:t>
      </w:r>
    </w:p>
    <w:p w14:paraId="000000CB" w14:textId="77777777" w:rsidR="00540C8D" w:rsidRDefault="00540C8D">
      <w:pPr>
        <w:pBdr>
          <w:top w:val="nil"/>
          <w:left w:val="nil"/>
          <w:bottom w:val="nil"/>
          <w:right w:val="nil"/>
          <w:between w:val="nil"/>
        </w:pBdr>
        <w:spacing w:line="240" w:lineRule="auto"/>
        <w:jc w:val="both"/>
        <w:rPr>
          <w:color w:val="000000"/>
        </w:rPr>
      </w:pPr>
    </w:p>
    <w:p w14:paraId="000000CC" w14:textId="77777777" w:rsidR="00540C8D" w:rsidRDefault="007D1D15">
      <w:pPr>
        <w:pBdr>
          <w:top w:val="nil"/>
          <w:left w:val="nil"/>
          <w:bottom w:val="nil"/>
          <w:right w:val="nil"/>
          <w:between w:val="nil"/>
        </w:pBdr>
        <w:spacing w:line="240" w:lineRule="auto"/>
        <w:jc w:val="both"/>
        <w:rPr>
          <w:color w:val="000000"/>
        </w:rPr>
      </w:pPr>
      <w:r>
        <w:rPr>
          <w:color w:val="000000"/>
        </w:rPr>
        <w:t xml:space="preserve">Cullen, M.A.R. &amp; Lindsay, G. (2019). SEN Understanding Drivers of Complaints and Disagreement in the English System, </w:t>
      </w:r>
      <w:r>
        <w:rPr>
          <w:i/>
          <w:color w:val="000000"/>
        </w:rPr>
        <w:t>Frontiers in Education</w:t>
      </w:r>
      <w:r>
        <w:rPr>
          <w:color w:val="000000"/>
        </w:rPr>
        <w:t>, 4(7) 1-14</w:t>
      </w:r>
    </w:p>
    <w:p w14:paraId="000000CD" w14:textId="77777777" w:rsidR="00540C8D" w:rsidRDefault="00540C8D">
      <w:pPr>
        <w:pBdr>
          <w:top w:val="nil"/>
          <w:left w:val="nil"/>
          <w:bottom w:val="nil"/>
          <w:right w:val="nil"/>
          <w:between w:val="nil"/>
        </w:pBdr>
        <w:spacing w:line="240" w:lineRule="auto"/>
        <w:jc w:val="both"/>
        <w:rPr>
          <w:color w:val="3E3D40"/>
        </w:rPr>
      </w:pPr>
    </w:p>
    <w:p w14:paraId="000000CE" w14:textId="77777777" w:rsidR="00540C8D" w:rsidRDefault="007D1D15">
      <w:pPr>
        <w:pBdr>
          <w:top w:val="nil"/>
          <w:left w:val="nil"/>
          <w:bottom w:val="nil"/>
          <w:right w:val="nil"/>
          <w:between w:val="nil"/>
        </w:pBdr>
        <w:spacing w:line="240" w:lineRule="auto"/>
        <w:jc w:val="both"/>
        <w:rPr>
          <w:color w:val="3E3D40"/>
        </w:rPr>
      </w:pPr>
      <w:r>
        <w:rPr>
          <w:color w:val="3E3D40"/>
        </w:rPr>
        <w:t>Department for Education and Employment [</w:t>
      </w:r>
      <w:proofErr w:type="spellStart"/>
      <w:r>
        <w:rPr>
          <w:color w:val="3E3D40"/>
        </w:rPr>
        <w:t>DfEE</w:t>
      </w:r>
      <w:proofErr w:type="spellEnd"/>
      <w:r>
        <w:rPr>
          <w:color w:val="3E3D40"/>
        </w:rPr>
        <w:t xml:space="preserve">]. (1998). </w:t>
      </w:r>
      <w:r>
        <w:rPr>
          <w:i/>
          <w:color w:val="3E3D40"/>
        </w:rPr>
        <w:t>Meeting Special Educational Needs: A Programme f</w:t>
      </w:r>
      <w:r>
        <w:rPr>
          <w:i/>
          <w:color w:val="3E3D40"/>
        </w:rPr>
        <w:t>or Action</w:t>
      </w:r>
      <w:r>
        <w:rPr>
          <w:color w:val="3E3D40"/>
        </w:rPr>
        <w:t>. London: DFEE.</w:t>
      </w:r>
    </w:p>
    <w:p w14:paraId="000000CF" w14:textId="77777777" w:rsidR="00540C8D" w:rsidRDefault="00540C8D">
      <w:pPr>
        <w:pBdr>
          <w:top w:val="nil"/>
          <w:left w:val="nil"/>
          <w:bottom w:val="nil"/>
          <w:right w:val="nil"/>
          <w:between w:val="nil"/>
        </w:pBdr>
        <w:spacing w:line="240" w:lineRule="auto"/>
        <w:jc w:val="both"/>
        <w:rPr>
          <w:color w:val="3E3D40"/>
        </w:rPr>
      </w:pPr>
    </w:p>
    <w:p w14:paraId="000000D0" w14:textId="77777777" w:rsidR="00540C8D" w:rsidRDefault="007D1D15">
      <w:pPr>
        <w:pBdr>
          <w:top w:val="nil"/>
          <w:left w:val="nil"/>
          <w:bottom w:val="nil"/>
          <w:right w:val="nil"/>
          <w:between w:val="nil"/>
        </w:pBdr>
        <w:spacing w:line="240" w:lineRule="auto"/>
        <w:jc w:val="both"/>
        <w:rPr>
          <w:color w:val="3E3D40"/>
        </w:rPr>
      </w:pPr>
      <w:r>
        <w:rPr>
          <w:color w:val="3E3D40"/>
        </w:rPr>
        <w:t>Department for Education [DfE]. (2018a) School Workforce in 2018. Available at:</w:t>
      </w:r>
      <w:r>
        <w:rPr>
          <w:rFonts w:ascii="Cambria" w:eastAsia="Cambria" w:hAnsi="Cambria" w:cs="Cambria"/>
          <w:color w:val="000000"/>
        </w:rPr>
        <w:t xml:space="preserve"> </w:t>
      </w:r>
      <w:hyperlink r:id="rId10">
        <w:r>
          <w:rPr>
            <w:color w:val="0000FF"/>
            <w:u w:val="single"/>
          </w:rPr>
          <w:t>https://as</w:t>
        </w:r>
        <w:r>
          <w:rPr>
            <w:color w:val="0000FF"/>
            <w:u w:val="single"/>
          </w:rPr>
          <w:t>sets.publishing.service.gov.uk/government/uploads/system/uploads/attachment_data/fif</w:t>
        </w:r>
      </w:hyperlink>
      <w:r>
        <w:rPr>
          <w:color w:val="3E3D40"/>
        </w:rPr>
        <w:t xml:space="preserve"> </w:t>
      </w:r>
    </w:p>
    <w:p w14:paraId="000000D1" w14:textId="77777777" w:rsidR="00540C8D" w:rsidRDefault="00540C8D">
      <w:pPr>
        <w:pBdr>
          <w:top w:val="nil"/>
          <w:left w:val="nil"/>
          <w:bottom w:val="nil"/>
          <w:right w:val="nil"/>
          <w:between w:val="nil"/>
        </w:pBdr>
        <w:spacing w:line="240" w:lineRule="auto"/>
        <w:rPr>
          <w:color w:val="3E3D40"/>
        </w:rPr>
      </w:pPr>
    </w:p>
    <w:p w14:paraId="000000D2" w14:textId="77777777" w:rsidR="00540C8D" w:rsidRDefault="007D1D15">
      <w:pPr>
        <w:pBdr>
          <w:top w:val="nil"/>
          <w:left w:val="nil"/>
          <w:bottom w:val="nil"/>
          <w:right w:val="nil"/>
          <w:between w:val="nil"/>
        </w:pBdr>
        <w:spacing w:line="240" w:lineRule="auto"/>
        <w:rPr>
          <w:color w:val="3E3D40"/>
        </w:rPr>
      </w:pPr>
      <w:r>
        <w:rPr>
          <w:color w:val="3E3D40"/>
        </w:rPr>
        <w:t xml:space="preserve">Department for Education [DfE]. (2018b) Survey of Childcare and Early Years Providers: Main Summary, England, 2018.Available at: </w:t>
      </w:r>
      <w:hyperlink r:id="rId11">
        <w:r>
          <w:rPr>
            <w:color w:val="0000FF"/>
            <w:u w:val="single"/>
          </w:rPr>
          <w:t>https://assets.publishing.service.gov.uk/government/uploads/system/uploads/attachmen</w:t>
        </w:r>
        <w:r>
          <w:rPr>
            <w:color w:val="0000FF"/>
            <w:u w:val="single"/>
          </w:rPr>
          <w:t>t_data/file/1039531/Survey_of_Childcare_and_Early_Years_Providers_2018_Main_Summary_revised_December2021.pdf</w:t>
        </w:r>
      </w:hyperlink>
    </w:p>
    <w:p w14:paraId="000000D3" w14:textId="77777777" w:rsidR="00540C8D" w:rsidRDefault="00540C8D">
      <w:pPr>
        <w:pBdr>
          <w:top w:val="nil"/>
          <w:left w:val="nil"/>
          <w:bottom w:val="nil"/>
          <w:right w:val="nil"/>
          <w:between w:val="nil"/>
        </w:pBdr>
        <w:spacing w:line="240" w:lineRule="auto"/>
        <w:jc w:val="both"/>
        <w:rPr>
          <w:color w:val="3E3D40"/>
        </w:rPr>
      </w:pPr>
    </w:p>
    <w:p w14:paraId="000000D4" w14:textId="77777777" w:rsidR="00540C8D" w:rsidRDefault="00540C8D">
      <w:pPr>
        <w:pBdr>
          <w:top w:val="nil"/>
          <w:left w:val="nil"/>
          <w:bottom w:val="nil"/>
          <w:right w:val="nil"/>
          <w:between w:val="nil"/>
        </w:pBdr>
        <w:spacing w:line="240" w:lineRule="auto"/>
        <w:jc w:val="both"/>
        <w:rPr>
          <w:i/>
          <w:color w:val="3E3D40"/>
        </w:rPr>
      </w:pPr>
    </w:p>
    <w:p w14:paraId="000000D5" w14:textId="77777777" w:rsidR="00540C8D" w:rsidRDefault="007D1D15">
      <w:pPr>
        <w:spacing w:line="240" w:lineRule="auto"/>
        <w:jc w:val="both"/>
        <w:rPr>
          <w:color w:val="3E3D40"/>
        </w:rPr>
      </w:pPr>
      <w:r>
        <w:rPr>
          <w:color w:val="3E3D40"/>
        </w:rPr>
        <w:t xml:space="preserve">Du </w:t>
      </w:r>
      <w:proofErr w:type="spellStart"/>
      <w:r>
        <w:rPr>
          <w:color w:val="3E3D40"/>
        </w:rPr>
        <w:t>Frane</w:t>
      </w:r>
      <w:proofErr w:type="spellEnd"/>
      <w:r>
        <w:rPr>
          <w:color w:val="3E3D40"/>
        </w:rPr>
        <w:t xml:space="preserve">, T. (2009). </w:t>
      </w:r>
      <w:r>
        <w:rPr>
          <w:i/>
          <w:color w:val="3E3D40"/>
        </w:rPr>
        <w:t>Two Boats and a Helicopter. Thoughts on Stress Managemen</w:t>
      </w:r>
      <w:r>
        <w:rPr>
          <w:color w:val="3E3D40"/>
        </w:rPr>
        <w:t xml:space="preserve">t. Available At: </w:t>
      </w:r>
      <w:hyperlink r:id="rId12">
        <w:r>
          <w:rPr>
            <w:color w:val="3E3D40"/>
            <w:u w:val="single"/>
          </w:rPr>
          <w:t>https://www.psychologytoday.com/gb/blog/fumbling-change/200905/two-boats-and-helicopter-thoughts-stress-management</w:t>
        </w:r>
      </w:hyperlink>
    </w:p>
    <w:p w14:paraId="000000D6" w14:textId="77777777" w:rsidR="00540C8D" w:rsidRDefault="00540C8D">
      <w:pPr>
        <w:spacing w:line="240" w:lineRule="auto"/>
        <w:jc w:val="both"/>
      </w:pPr>
    </w:p>
    <w:p w14:paraId="000000D7" w14:textId="77777777" w:rsidR="00540C8D" w:rsidRDefault="007D1D15">
      <w:pPr>
        <w:spacing w:line="240" w:lineRule="auto"/>
        <w:jc w:val="both"/>
      </w:pPr>
      <w:r>
        <w:t>Edwards, A., Daniels, D., Gallagher, T., Leadbetter, J. a</w:t>
      </w:r>
      <w:r>
        <w:t xml:space="preserve">nd </w:t>
      </w:r>
      <w:proofErr w:type="spellStart"/>
      <w:r>
        <w:t>Warmington</w:t>
      </w:r>
      <w:proofErr w:type="spellEnd"/>
      <w:r>
        <w:t xml:space="preserve">, P. (2009). </w:t>
      </w:r>
      <w:r>
        <w:rPr>
          <w:i/>
        </w:rPr>
        <w:t xml:space="preserve">Enhancing Inter-professional Collaborations in Children's Services: Multi-Agency Working for Children's Wellbeing </w:t>
      </w:r>
      <w:r>
        <w:t>(Improving Learning Series). London: Routledge.</w:t>
      </w:r>
    </w:p>
    <w:p w14:paraId="000000D8" w14:textId="77777777" w:rsidR="00540C8D" w:rsidRDefault="00540C8D">
      <w:pPr>
        <w:pBdr>
          <w:top w:val="nil"/>
          <w:left w:val="nil"/>
          <w:bottom w:val="nil"/>
          <w:right w:val="nil"/>
          <w:between w:val="nil"/>
        </w:pBdr>
        <w:spacing w:line="240" w:lineRule="auto"/>
        <w:jc w:val="both"/>
        <w:rPr>
          <w:color w:val="3E3D40"/>
        </w:rPr>
      </w:pPr>
    </w:p>
    <w:p w14:paraId="000000D9" w14:textId="77777777" w:rsidR="00540C8D" w:rsidRDefault="007D1D15">
      <w:pPr>
        <w:pBdr>
          <w:top w:val="nil"/>
          <w:left w:val="nil"/>
          <w:bottom w:val="nil"/>
          <w:right w:val="nil"/>
          <w:between w:val="nil"/>
        </w:pBdr>
        <w:spacing w:line="240" w:lineRule="auto"/>
        <w:jc w:val="both"/>
        <w:rPr>
          <w:color w:val="3E3D40"/>
        </w:rPr>
      </w:pPr>
      <w:r>
        <w:rPr>
          <w:color w:val="3E3D40"/>
        </w:rPr>
        <w:t>Hayes, D. (2019), Factors for SEND Funding Crisis. Children and Young People Now. Available at: https://www.cypnow.co.uk/features/article/factors-for-send-funding-crisis</w:t>
      </w:r>
    </w:p>
    <w:p w14:paraId="000000DA" w14:textId="77777777" w:rsidR="00540C8D" w:rsidRDefault="00540C8D">
      <w:pPr>
        <w:pBdr>
          <w:top w:val="nil"/>
          <w:left w:val="nil"/>
          <w:bottom w:val="nil"/>
          <w:right w:val="nil"/>
          <w:between w:val="nil"/>
        </w:pBdr>
        <w:spacing w:line="240" w:lineRule="auto"/>
        <w:jc w:val="both"/>
        <w:rPr>
          <w:color w:val="3E3D40"/>
        </w:rPr>
      </w:pPr>
    </w:p>
    <w:p w14:paraId="000000DB" w14:textId="77777777" w:rsidR="00540C8D" w:rsidRDefault="007D1D15">
      <w:pPr>
        <w:pBdr>
          <w:top w:val="nil"/>
          <w:left w:val="nil"/>
          <w:bottom w:val="nil"/>
          <w:right w:val="nil"/>
          <w:between w:val="nil"/>
        </w:pBdr>
        <w:spacing w:line="240" w:lineRule="auto"/>
        <w:jc w:val="both"/>
        <w:rPr>
          <w:color w:val="000000"/>
        </w:rPr>
      </w:pPr>
      <w:r>
        <w:rPr>
          <w:color w:val="3E3D40"/>
        </w:rPr>
        <w:t xml:space="preserve">Hodkinson, A. (2009) Pre-service teacher training and special educational needs in England 1970-2008: is government learning the lessons of the past or is it experiencing a Groundhog Day? </w:t>
      </w:r>
      <w:r>
        <w:rPr>
          <w:i/>
          <w:color w:val="3E3D40"/>
        </w:rPr>
        <w:t>European Journal of Special Needs Education</w:t>
      </w:r>
      <w:r>
        <w:rPr>
          <w:color w:val="3E3D40"/>
        </w:rPr>
        <w:t>, 24(3), 277-289.</w:t>
      </w:r>
    </w:p>
    <w:p w14:paraId="000000DC" w14:textId="77777777" w:rsidR="00540C8D" w:rsidRDefault="00540C8D">
      <w:pPr>
        <w:pBdr>
          <w:top w:val="nil"/>
          <w:left w:val="nil"/>
          <w:bottom w:val="nil"/>
          <w:right w:val="nil"/>
          <w:between w:val="nil"/>
        </w:pBdr>
        <w:spacing w:line="240" w:lineRule="auto"/>
        <w:jc w:val="both"/>
        <w:rPr>
          <w:color w:val="3E3D40"/>
        </w:rPr>
      </w:pPr>
    </w:p>
    <w:p w14:paraId="000000DD" w14:textId="77777777" w:rsidR="00540C8D" w:rsidRDefault="007D1D15">
      <w:pPr>
        <w:pBdr>
          <w:top w:val="nil"/>
          <w:left w:val="nil"/>
          <w:bottom w:val="nil"/>
          <w:right w:val="nil"/>
          <w:between w:val="nil"/>
        </w:pBdr>
        <w:spacing w:line="240" w:lineRule="auto"/>
        <w:jc w:val="both"/>
        <w:rPr>
          <w:color w:val="000000"/>
        </w:rPr>
      </w:pPr>
      <w:r>
        <w:rPr>
          <w:color w:val="3E3D40"/>
        </w:rPr>
        <w:t>Hodkin</w:t>
      </w:r>
      <w:r>
        <w:rPr>
          <w:color w:val="3E3D40"/>
        </w:rPr>
        <w:t xml:space="preserve">son, A. (2019a) </w:t>
      </w:r>
      <w:r>
        <w:rPr>
          <w:i/>
          <w:color w:val="3E3D40"/>
        </w:rPr>
        <w:t>Key Issues in Special Educational Needs, Disability and Inclusion (3/e</w:t>
      </w:r>
      <w:r>
        <w:rPr>
          <w:color w:val="3E3D40"/>
        </w:rPr>
        <w:t>). London: Sage.</w:t>
      </w:r>
    </w:p>
    <w:p w14:paraId="000000DE" w14:textId="77777777" w:rsidR="00540C8D" w:rsidRDefault="00540C8D">
      <w:pPr>
        <w:pBdr>
          <w:top w:val="nil"/>
          <w:left w:val="nil"/>
          <w:bottom w:val="nil"/>
          <w:right w:val="nil"/>
          <w:between w:val="nil"/>
        </w:pBdr>
        <w:spacing w:line="240" w:lineRule="auto"/>
        <w:jc w:val="both"/>
        <w:rPr>
          <w:color w:val="3E3D40"/>
        </w:rPr>
      </w:pPr>
    </w:p>
    <w:p w14:paraId="000000DF" w14:textId="77777777" w:rsidR="00540C8D" w:rsidRDefault="007D1D15">
      <w:pPr>
        <w:pBdr>
          <w:top w:val="nil"/>
          <w:left w:val="nil"/>
          <w:bottom w:val="nil"/>
          <w:right w:val="nil"/>
          <w:between w:val="nil"/>
        </w:pBdr>
        <w:spacing w:line="240" w:lineRule="auto"/>
        <w:jc w:val="both"/>
        <w:rPr>
          <w:color w:val="3E3D40"/>
        </w:rPr>
      </w:pPr>
      <w:r>
        <w:rPr>
          <w:color w:val="3E3D40"/>
        </w:rPr>
        <w:t xml:space="preserve">Hodkinson, A. (2019b) ‘Pre-service teacher training and special educational needs in England 1978-2018. Looking back but moving forward?’ In </w:t>
      </w:r>
      <w:r>
        <w:rPr>
          <w:i/>
          <w:color w:val="3E3D40"/>
        </w:rPr>
        <w:t>Including C</w:t>
      </w:r>
      <w:r>
        <w:rPr>
          <w:i/>
          <w:color w:val="3E3D40"/>
        </w:rPr>
        <w:t>hildren and Young People with Special Educational Needs and Disabilities in Learning and life. How far have we come since the Warnock Enquiry – and where do we go next?</w:t>
      </w:r>
      <w:r>
        <w:rPr>
          <w:color w:val="3E3D40"/>
        </w:rPr>
        <w:t xml:space="preserve"> London: Routledge.</w:t>
      </w:r>
    </w:p>
    <w:p w14:paraId="000000E0" w14:textId="77777777" w:rsidR="00540C8D" w:rsidRDefault="00540C8D">
      <w:pPr>
        <w:pBdr>
          <w:top w:val="nil"/>
          <w:left w:val="nil"/>
          <w:bottom w:val="nil"/>
          <w:right w:val="nil"/>
          <w:between w:val="nil"/>
        </w:pBdr>
        <w:spacing w:line="240" w:lineRule="auto"/>
        <w:jc w:val="both"/>
        <w:rPr>
          <w:color w:val="3E3D40"/>
        </w:rPr>
      </w:pPr>
    </w:p>
    <w:p w14:paraId="000000E1" w14:textId="77777777" w:rsidR="00540C8D" w:rsidRDefault="007D1D15">
      <w:pPr>
        <w:pBdr>
          <w:top w:val="nil"/>
          <w:left w:val="nil"/>
          <w:bottom w:val="nil"/>
          <w:right w:val="nil"/>
          <w:between w:val="nil"/>
        </w:pBdr>
        <w:spacing w:line="240" w:lineRule="auto"/>
        <w:jc w:val="both"/>
      </w:pPr>
      <w:r>
        <w:rPr>
          <w:color w:val="3E3D40"/>
        </w:rPr>
        <w:t xml:space="preserve">Hodkinson, A. (2023) </w:t>
      </w:r>
      <w:r>
        <w:t>The death of the 2015 Special Educational Need</w:t>
      </w:r>
      <w:r>
        <w:t>s Code of Practice and the ‘parable’ of the drowning man. Should government have learnt lessons from listening to the voices of history, research and politicians? (Part I</w:t>
      </w:r>
      <w:r>
        <w:rPr>
          <w:b/>
        </w:rPr>
        <w:t xml:space="preserve">), </w:t>
      </w:r>
      <w:r>
        <w:rPr>
          <w:i/>
        </w:rPr>
        <w:t>Education 3-13</w:t>
      </w:r>
      <w:r>
        <w:rPr>
          <w:b/>
        </w:rPr>
        <w:t>,</w:t>
      </w:r>
      <w:r>
        <w:t xml:space="preserve"> Online First</w:t>
      </w:r>
    </w:p>
    <w:p w14:paraId="000000E2" w14:textId="77777777" w:rsidR="00540C8D" w:rsidRDefault="00540C8D">
      <w:pPr>
        <w:pBdr>
          <w:top w:val="nil"/>
          <w:left w:val="nil"/>
          <w:bottom w:val="nil"/>
          <w:right w:val="nil"/>
          <w:between w:val="nil"/>
        </w:pBdr>
        <w:spacing w:line="240" w:lineRule="auto"/>
        <w:jc w:val="both"/>
        <w:rPr>
          <w:color w:val="3E3D40"/>
        </w:rPr>
      </w:pPr>
    </w:p>
    <w:p w14:paraId="000000E3" w14:textId="77777777" w:rsidR="00540C8D" w:rsidRDefault="007D1D15">
      <w:pPr>
        <w:spacing w:line="240" w:lineRule="auto"/>
        <w:jc w:val="both"/>
      </w:pPr>
      <w:r>
        <w:t xml:space="preserve">House of Commons Committee of Public </w:t>
      </w:r>
      <w:proofErr w:type="gramStart"/>
      <w:r>
        <w:t>Accounts  [</w:t>
      </w:r>
      <w:proofErr w:type="spellStart"/>
      <w:proofErr w:type="gramEnd"/>
      <w:r>
        <w:t>HoC</w:t>
      </w:r>
      <w:proofErr w:type="spellEnd"/>
      <w:r>
        <w:t>].</w:t>
      </w:r>
      <w:r>
        <w:t xml:space="preserve"> (2020). Support for children with special educational needs and disabilities First Report of Session 2019–21. Available at: </w:t>
      </w:r>
      <w:hyperlink r:id="rId13">
        <w:r>
          <w:rPr>
            <w:color w:val="1155CC"/>
            <w:u w:val="single"/>
          </w:rPr>
          <w:t>https://committees.parliament.uk/publi</w:t>
        </w:r>
        <w:r>
          <w:rPr>
            <w:color w:val="1155CC"/>
            <w:u w:val="single"/>
          </w:rPr>
          <w:t>cations/941/documents/7292/default/</w:t>
        </w:r>
      </w:hyperlink>
    </w:p>
    <w:p w14:paraId="000000E4" w14:textId="77777777" w:rsidR="00540C8D" w:rsidRDefault="007D1D15">
      <w:pPr>
        <w:spacing w:line="240" w:lineRule="auto"/>
        <w:jc w:val="both"/>
      </w:pPr>
      <w:r>
        <w:t>House of Commons [</w:t>
      </w:r>
      <w:proofErr w:type="spellStart"/>
      <w:r>
        <w:t>HoC</w:t>
      </w:r>
      <w:proofErr w:type="spellEnd"/>
      <w:r>
        <w:t xml:space="preserve">] Education Select Committee. (2019). </w:t>
      </w:r>
      <w:r>
        <w:rPr>
          <w:i/>
        </w:rPr>
        <w:t>Report October 2019</w:t>
      </w:r>
      <w:r>
        <w:t xml:space="preserve">. Available at: </w:t>
      </w:r>
      <w:hyperlink r:id="rId14">
        <w:r>
          <w:rPr>
            <w:color w:val="1155CC"/>
            <w:u w:val="single"/>
          </w:rPr>
          <w:t>https://publications.parliament.uk</w:t>
        </w:r>
        <w:r>
          <w:rPr>
            <w:color w:val="1155CC"/>
            <w:u w:val="single"/>
          </w:rPr>
          <w:t>/pa/cm201919/cmselect/cmeduc/20/20.pdf</w:t>
        </w:r>
      </w:hyperlink>
    </w:p>
    <w:p w14:paraId="000000E5" w14:textId="77777777" w:rsidR="00540C8D" w:rsidRDefault="00540C8D">
      <w:pPr>
        <w:spacing w:line="240" w:lineRule="auto"/>
        <w:jc w:val="both"/>
        <w:rPr>
          <w:color w:val="3E3D40"/>
        </w:rPr>
      </w:pPr>
    </w:p>
    <w:p w14:paraId="000000E6" w14:textId="77777777" w:rsidR="00540C8D" w:rsidRDefault="007D1D15">
      <w:pPr>
        <w:spacing w:line="240" w:lineRule="auto"/>
        <w:jc w:val="both"/>
        <w:rPr>
          <w:color w:val="3E3D40"/>
        </w:rPr>
      </w:pPr>
      <w:r>
        <w:rPr>
          <w:color w:val="3E3D40"/>
        </w:rPr>
        <w:t xml:space="preserve">Hussain, H.D. and Brownhill, S. (2014). ‘Integrated Working: From the Theory to the Practice’. In S. Brownhill (ed.), </w:t>
      </w:r>
      <w:r>
        <w:rPr>
          <w:i/>
          <w:color w:val="3E3D40"/>
        </w:rPr>
        <w:t>Empowering the Children’s and Young People’s Workforce Practice Based Knowledge, Skills and Unders</w:t>
      </w:r>
      <w:r>
        <w:rPr>
          <w:i/>
          <w:color w:val="3E3D40"/>
        </w:rPr>
        <w:t xml:space="preserve">tanding. </w:t>
      </w:r>
      <w:r>
        <w:rPr>
          <w:color w:val="3E3D40"/>
        </w:rPr>
        <w:t>London: Routledge.</w:t>
      </w:r>
    </w:p>
    <w:p w14:paraId="000000E7" w14:textId="77777777" w:rsidR="00540C8D" w:rsidRDefault="00540C8D">
      <w:pPr>
        <w:spacing w:line="240" w:lineRule="auto"/>
        <w:jc w:val="both"/>
        <w:rPr>
          <w:color w:val="3E3D40"/>
        </w:rPr>
      </w:pPr>
    </w:p>
    <w:p w14:paraId="000000E8" w14:textId="77777777" w:rsidR="00540C8D" w:rsidRDefault="007D1D15">
      <w:pPr>
        <w:spacing w:line="240" w:lineRule="auto"/>
        <w:jc w:val="both"/>
        <w:rPr>
          <w:color w:val="3E3D40"/>
          <w:highlight w:val="white"/>
        </w:rPr>
      </w:pPr>
      <w:proofErr w:type="spellStart"/>
      <w:proofErr w:type="gramStart"/>
      <w:r>
        <w:rPr>
          <w:color w:val="3E3D40"/>
        </w:rPr>
        <w:t>Jahans,K</w:t>
      </w:r>
      <w:proofErr w:type="spellEnd"/>
      <w:r>
        <w:rPr>
          <w:color w:val="3E3D40"/>
        </w:rPr>
        <w:t>.</w:t>
      </w:r>
      <w:proofErr w:type="gramEnd"/>
      <w:r>
        <w:rPr>
          <w:color w:val="3E3D40"/>
        </w:rPr>
        <w:t xml:space="preserve">  &amp; </w:t>
      </w:r>
      <w:proofErr w:type="spellStart"/>
      <w:r>
        <w:rPr>
          <w:color w:val="3E3D40"/>
        </w:rPr>
        <w:t>Bayton</w:t>
      </w:r>
      <w:proofErr w:type="spellEnd"/>
      <w:r>
        <w:rPr>
          <w:color w:val="3E3D40"/>
        </w:rPr>
        <w:t xml:space="preserve">, A. (2022). </w:t>
      </w:r>
      <w:r>
        <w:rPr>
          <w:color w:val="3E3D40"/>
          <w:highlight w:val="white"/>
        </w:rPr>
        <w:t xml:space="preserve">Safeguarding communications between multiagency professionals when working with children and young people: A qualitative study, </w:t>
      </w:r>
      <w:r>
        <w:rPr>
          <w:i/>
          <w:color w:val="3E3D40"/>
          <w:highlight w:val="white"/>
        </w:rPr>
        <w:t>Journal of Child Adolescent Psychiatry Nursing</w:t>
      </w:r>
      <w:r>
        <w:rPr>
          <w:color w:val="3E3D40"/>
          <w:highlight w:val="white"/>
        </w:rPr>
        <w:t>, 35, 171-178.</w:t>
      </w:r>
    </w:p>
    <w:p w14:paraId="000000E9" w14:textId="77777777" w:rsidR="00540C8D" w:rsidRDefault="00540C8D">
      <w:pPr>
        <w:spacing w:line="240" w:lineRule="auto"/>
        <w:jc w:val="both"/>
        <w:rPr>
          <w:color w:val="3E3D40"/>
        </w:rPr>
      </w:pPr>
    </w:p>
    <w:p w14:paraId="000000EA" w14:textId="77777777" w:rsidR="00540C8D" w:rsidRDefault="007D1D15">
      <w:pPr>
        <w:spacing w:line="240" w:lineRule="auto"/>
        <w:jc w:val="both"/>
        <w:rPr>
          <w:color w:val="1155CC"/>
          <w:u w:val="single"/>
        </w:rPr>
      </w:pPr>
      <w:proofErr w:type="spellStart"/>
      <w:r>
        <w:rPr>
          <w:color w:val="3E3D40"/>
        </w:rPr>
        <w:t>Kaehn</w:t>
      </w:r>
      <w:r>
        <w:rPr>
          <w:color w:val="3E3D40"/>
        </w:rPr>
        <w:t>e</w:t>
      </w:r>
      <w:proofErr w:type="spellEnd"/>
      <w:r>
        <w:rPr>
          <w:color w:val="3E3D40"/>
        </w:rPr>
        <w:t xml:space="preserve">, A. (2014). </w:t>
      </w:r>
      <w:r>
        <w:rPr>
          <w:i/>
          <w:color w:val="3E3D40"/>
        </w:rPr>
        <w:t>Multi-Agency Protocols as a Mechanism to Improve Partnerships in Public Services, Local Government Studies, 2014</w:t>
      </w:r>
      <w:r>
        <w:rPr>
          <w:color w:val="3E3D40"/>
        </w:rPr>
        <w:t>. Available at:</w:t>
      </w:r>
      <w:hyperlink r:id="rId15" w:anchor="preview">
        <w:r>
          <w:rPr>
            <w:color w:val="3E3D40"/>
          </w:rPr>
          <w:t xml:space="preserve"> </w:t>
        </w:r>
      </w:hyperlink>
      <w:hyperlink r:id="rId16" w:anchor="preview">
        <w:r>
          <w:rPr>
            <w:color w:val="1155CC"/>
            <w:u w:val="single"/>
          </w:rPr>
          <w:t>www.tandfonline.com/doi/abs/10.1080/03003930.2013.861819#preview</w:t>
        </w:r>
      </w:hyperlink>
    </w:p>
    <w:p w14:paraId="000000EB" w14:textId="77777777" w:rsidR="00540C8D" w:rsidRDefault="00540C8D">
      <w:pPr>
        <w:spacing w:line="240" w:lineRule="auto"/>
        <w:jc w:val="both"/>
        <w:rPr>
          <w:color w:val="3E3D40"/>
        </w:rPr>
      </w:pPr>
    </w:p>
    <w:p w14:paraId="000000EC" w14:textId="77777777" w:rsidR="00540C8D" w:rsidRDefault="007D1D15">
      <w:pPr>
        <w:spacing w:line="240" w:lineRule="auto"/>
        <w:jc w:val="both"/>
        <w:rPr>
          <w:color w:val="3E3D40"/>
        </w:rPr>
      </w:pPr>
      <w:r>
        <w:rPr>
          <w:color w:val="3E3D40"/>
        </w:rPr>
        <w:t xml:space="preserve">Lamb, B. (2019). Statutory Assessment for Special Educational Needs and the Warnock Report, the first 40 years. </w:t>
      </w:r>
      <w:r>
        <w:rPr>
          <w:i/>
          <w:color w:val="3E3D40"/>
        </w:rPr>
        <w:t>Frontiers in Education</w:t>
      </w:r>
      <w:r>
        <w:rPr>
          <w:color w:val="3E3D40"/>
        </w:rPr>
        <w:t>, 4, 5-1.</w:t>
      </w:r>
    </w:p>
    <w:p w14:paraId="000000ED" w14:textId="77777777" w:rsidR="00540C8D" w:rsidRDefault="007D1D15">
      <w:pPr>
        <w:spacing w:line="240" w:lineRule="auto"/>
        <w:jc w:val="both"/>
        <w:rPr>
          <w:color w:val="3E3D40"/>
        </w:rPr>
      </w:pPr>
      <w:r>
        <w:rPr>
          <w:color w:val="3E3D40"/>
        </w:rPr>
        <w:t xml:space="preserve">Lacey, P. and Ouvry, C. (eds) (2000). </w:t>
      </w:r>
      <w:r>
        <w:rPr>
          <w:i/>
          <w:color w:val="3E3D40"/>
        </w:rPr>
        <w:t xml:space="preserve">People with Profound and Multiple Learning Disabilities: A Collaborative Approach to Meeting Complex Needs. </w:t>
      </w:r>
      <w:r>
        <w:rPr>
          <w:color w:val="3E3D40"/>
        </w:rPr>
        <w:t>London: Fulton.</w:t>
      </w:r>
    </w:p>
    <w:p w14:paraId="000000EE" w14:textId="77777777" w:rsidR="00540C8D" w:rsidRDefault="00540C8D">
      <w:pPr>
        <w:spacing w:line="240" w:lineRule="auto"/>
        <w:jc w:val="both"/>
      </w:pPr>
    </w:p>
    <w:p w14:paraId="000000EF" w14:textId="77777777" w:rsidR="00540C8D" w:rsidRDefault="007D1D15">
      <w:pPr>
        <w:spacing w:line="240" w:lineRule="auto"/>
        <w:jc w:val="both"/>
      </w:pPr>
      <w:r>
        <w:t xml:space="preserve">Lawson, H. </w:t>
      </w:r>
      <w:proofErr w:type="spellStart"/>
      <w:proofErr w:type="gramStart"/>
      <w:r>
        <w:t>Norwich,B</w:t>
      </w:r>
      <w:proofErr w:type="spellEnd"/>
      <w:r>
        <w:t>.</w:t>
      </w:r>
      <w:proofErr w:type="gramEnd"/>
      <w:r>
        <w:t xml:space="preserve"> &amp; Nash, T. (2013). What trainees in Eng</w:t>
      </w:r>
      <w:r>
        <w:t>land learn about teaching pupils with special educational needs/disabilities in their school-based work: the contribution of planned activities in one-year initial training courses, </w:t>
      </w:r>
      <w:r>
        <w:rPr>
          <w:i/>
        </w:rPr>
        <w:t>European Journal of Special Needs Education</w:t>
      </w:r>
      <w:r>
        <w:t>, 28(2), 136-155</w:t>
      </w:r>
    </w:p>
    <w:p w14:paraId="000000F0" w14:textId="77777777" w:rsidR="00540C8D" w:rsidRDefault="00540C8D">
      <w:pPr>
        <w:spacing w:line="240" w:lineRule="auto"/>
        <w:jc w:val="both"/>
        <w:rPr>
          <w:color w:val="3E3D40"/>
        </w:rPr>
      </w:pPr>
    </w:p>
    <w:p w14:paraId="000000F1" w14:textId="77777777" w:rsidR="00540C8D" w:rsidRDefault="007D1D15">
      <w:pPr>
        <w:spacing w:line="240" w:lineRule="auto"/>
        <w:jc w:val="both"/>
        <w:rPr>
          <w:color w:val="111111"/>
        </w:rPr>
      </w:pPr>
      <w:r>
        <w:rPr>
          <w:color w:val="3E3D40"/>
        </w:rPr>
        <w:t xml:space="preserve">Marsh, A.J., </w:t>
      </w:r>
      <w:proofErr w:type="spellStart"/>
      <w:r>
        <w:rPr>
          <w:color w:val="3E3D40"/>
        </w:rPr>
        <w:t>Gray</w:t>
      </w:r>
      <w:proofErr w:type="spellEnd"/>
      <w:r>
        <w:rPr>
          <w:color w:val="3E3D40"/>
        </w:rPr>
        <w:t>, P. &amp; Norwich, B.  (2022) Fair funding and levelling up for pupils with</w:t>
      </w:r>
      <w:r>
        <w:rPr>
          <w:rFonts w:ascii="Roboto" w:eastAsia="Roboto" w:hAnsi="Roboto" w:cs="Roboto"/>
          <w:color w:val="111111"/>
          <w:sz w:val="42"/>
          <w:szCs w:val="42"/>
        </w:rPr>
        <w:t xml:space="preserve"> </w:t>
      </w:r>
      <w:r>
        <w:rPr>
          <w:color w:val="111111"/>
        </w:rPr>
        <w:t>special educational needs and disability in England 2014 to 2023. Available at:</w:t>
      </w:r>
    </w:p>
    <w:p w14:paraId="000000F2" w14:textId="77777777" w:rsidR="00540C8D" w:rsidRDefault="007D1D15">
      <w:pPr>
        <w:spacing w:line="240" w:lineRule="auto"/>
        <w:jc w:val="both"/>
        <w:rPr>
          <w:color w:val="111111"/>
        </w:rPr>
      </w:pPr>
      <w:hyperlink r:id="rId17">
        <w:r>
          <w:rPr>
            <w:color w:val="1155CC"/>
            <w:u w:val="single"/>
          </w:rPr>
          <w:t>https://www.researchgate.net/publication/358867574_Fair_funding_and_levelling_up_for_pupils_with_special_educational_needs_and_disability_in_England_2014_to_2023</w:t>
        </w:r>
      </w:hyperlink>
    </w:p>
    <w:p w14:paraId="000000F3" w14:textId="77777777" w:rsidR="00540C8D" w:rsidRDefault="00540C8D">
      <w:pPr>
        <w:spacing w:line="240" w:lineRule="auto"/>
        <w:jc w:val="both"/>
      </w:pPr>
    </w:p>
    <w:p w14:paraId="000000F4" w14:textId="77777777" w:rsidR="00540C8D" w:rsidRDefault="007D1D15">
      <w:pPr>
        <w:spacing w:line="240" w:lineRule="auto"/>
        <w:jc w:val="both"/>
        <w:rPr>
          <w:color w:val="3E3D40"/>
        </w:rPr>
      </w:pPr>
      <w:r>
        <w:t>Ofsted. [Office for Standards in Education].  (2003.)</w:t>
      </w:r>
      <w:r>
        <w:rPr>
          <w:i/>
        </w:rPr>
        <w:t xml:space="preserve"> Special educational needs in the mainstream.</w:t>
      </w:r>
      <w:r>
        <w:t xml:space="preserve"> London: HMSO</w:t>
      </w:r>
      <w:r>
        <w:rPr>
          <w:color w:val="3E3D40"/>
        </w:rPr>
        <w:t xml:space="preserve"> </w:t>
      </w:r>
    </w:p>
    <w:p w14:paraId="000000F5" w14:textId="77777777" w:rsidR="00540C8D" w:rsidRDefault="00540C8D">
      <w:pPr>
        <w:spacing w:line="240" w:lineRule="auto"/>
        <w:jc w:val="both"/>
        <w:rPr>
          <w:color w:val="3E3D40"/>
        </w:rPr>
      </w:pPr>
    </w:p>
    <w:p w14:paraId="000000F6" w14:textId="77777777" w:rsidR="00540C8D" w:rsidRDefault="007D1D15">
      <w:pPr>
        <w:spacing w:line="240" w:lineRule="auto"/>
        <w:jc w:val="both"/>
        <w:rPr>
          <w:color w:val="3E3D40"/>
        </w:rPr>
      </w:pPr>
      <w:proofErr w:type="spellStart"/>
      <w:r>
        <w:rPr>
          <w:color w:val="3E3D40"/>
        </w:rPr>
        <w:t>Payler</w:t>
      </w:r>
      <w:proofErr w:type="spellEnd"/>
      <w:r>
        <w:rPr>
          <w:color w:val="3E3D40"/>
        </w:rPr>
        <w:t xml:space="preserve">, J. and </w:t>
      </w:r>
      <w:proofErr w:type="spellStart"/>
      <w:r>
        <w:rPr>
          <w:color w:val="3E3D40"/>
        </w:rPr>
        <w:t>Georgeson</w:t>
      </w:r>
      <w:proofErr w:type="spellEnd"/>
      <w:r>
        <w:rPr>
          <w:color w:val="3E3D40"/>
        </w:rPr>
        <w:t>, J. (2013).</w:t>
      </w:r>
      <w:r>
        <w:rPr>
          <w:i/>
          <w:color w:val="3E3D40"/>
        </w:rPr>
        <w:t xml:space="preserve"> </w:t>
      </w:r>
      <w:r>
        <w:rPr>
          <w:color w:val="3E3D40"/>
        </w:rPr>
        <w:t>Multiagency working in the early years: confidence, competence and context</w:t>
      </w:r>
      <w:r>
        <w:rPr>
          <w:i/>
          <w:color w:val="3E3D40"/>
        </w:rPr>
        <w:t>, Early Years: An Internation</w:t>
      </w:r>
      <w:r>
        <w:rPr>
          <w:i/>
          <w:color w:val="3E3D40"/>
        </w:rPr>
        <w:t xml:space="preserve">al Research Journal, </w:t>
      </w:r>
      <w:r>
        <w:rPr>
          <w:color w:val="3E3D40"/>
        </w:rPr>
        <w:t>33(4): 380–97.</w:t>
      </w:r>
    </w:p>
    <w:p w14:paraId="000000F7" w14:textId="77777777" w:rsidR="00540C8D" w:rsidRDefault="00540C8D">
      <w:pPr>
        <w:pBdr>
          <w:top w:val="nil"/>
          <w:left w:val="nil"/>
          <w:bottom w:val="nil"/>
          <w:right w:val="nil"/>
          <w:between w:val="nil"/>
        </w:pBdr>
        <w:spacing w:line="240" w:lineRule="auto"/>
        <w:jc w:val="both"/>
        <w:rPr>
          <w:color w:val="000000"/>
        </w:rPr>
      </w:pPr>
    </w:p>
    <w:p w14:paraId="000000F8" w14:textId="77777777" w:rsidR="00540C8D" w:rsidRDefault="007D1D15">
      <w:pPr>
        <w:spacing w:line="240" w:lineRule="auto"/>
      </w:pPr>
      <w:proofErr w:type="spellStart"/>
      <w:r>
        <w:t>Perera</w:t>
      </w:r>
      <w:proofErr w:type="spellEnd"/>
      <w:r>
        <w:t xml:space="preserve">, E. (2019). High Needs Funding: An overview of the key issues. Education Policy Institute April 2019 Research Area: Education Funding. Available at: </w:t>
      </w:r>
    </w:p>
    <w:p w14:paraId="000000F9" w14:textId="77777777" w:rsidR="00540C8D" w:rsidRDefault="007D1D15">
      <w:pPr>
        <w:spacing w:line="240" w:lineRule="auto"/>
      </w:pPr>
      <w:hyperlink r:id="rId18">
        <w:r>
          <w:rPr>
            <w:color w:val="0000FF"/>
            <w:u w:val="single"/>
          </w:rPr>
          <w:t>https://dera.ioe.ac.uk/33298/1/EPI_High-Needs-Funding_2019.pdf</w:t>
        </w:r>
      </w:hyperlink>
    </w:p>
    <w:p w14:paraId="000000FA" w14:textId="77777777" w:rsidR="00540C8D" w:rsidRDefault="00540C8D">
      <w:pPr>
        <w:pBdr>
          <w:top w:val="nil"/>
          <w:left w:val="nil"/>
          <w:bottom w:val="nil"/>
          <w:right w:val="nil"/>
          <w:between w:val="nil"/>
        </w:pBdr>
        <w:spacing w:line="240" w:lineRule="auto"/>
        <w:jc w:val="both"/>
        <w:rPr>
          <w:color w:val="000000"/>
        </w:rPr>
      </w:pPr>
    </w:p>
    <w:p w14:paraId="000000FB" w14:textId="77777777" w:rsidR="00540C8D" w:rsidRDefault="007D1D15">
      <w:pPr>
        <w:pBdr>
          <w:top w:val="nil"/>
          <w:left w:val="nil"/>
          <w:bottom w:val="nil"/>
          <w:right w:val="nil"/>
          <w:between w:val="nil"/>
        </w:pBdr>
        <w:spacing w:line="240" w:lineRule="auto"/>
        <w:jc w:val="both"/>
        <w:rPr>
          <w:color w:val="000000"/>
        </w:rPr>
      </w:pPr>
      <w:r>
        <w:rPr>
          <w:color w:val="000000"/>
        </w:rPr>
        <w:t>Perry, J. (2014).</w:t>
      </w:r>
      <w:r>
        <w:rPr>
          <w:b/>
          <w:i/>
          <w:color w:val="000000"/>
        </w:rPr>
        <w:t xml:space="preserve"> </w:t>
      </w:r>
      <w:r>
        <w:rPr>
          <w:color w:val="000000"/>
        </w:rPr>
        <w:t>England: SEN measures-implementation,</w:t>
      </w:r>
      <w:r>
        <w:rPr>
          <w:b/>
          <w:i/>
          <w:color w:val="000000"/>
        </w:rPr>
        <w:t xml:space="preserve"> </w:t>
      </w:r>
      <w:r>
        <w:rPr>
          <w:i/>
          <w:color w:val="000000"/>
        </w:rPr>
        <w:t xml:space="preserve">British Journal of Special Education, </w:t>
      </w:r>
      <w:r>
        <w:rPr>
          <w:color w:val="000000"/>
        </w:rPr>
        <w:t>41(3).</w:t>
      </w:r>
      <w:r>
        <w:rPr>
          <w:b/>
          <w:i/>
          <w:color w:val="000000"/>
        </w:rPr>
        <w:t xml:space="preserve"> </w:t>
      </w:r>
      <w:r>
        <w:rPr>
          <w:color w:val="000000"/>
        </w:rPr>
        <w:t xml:space="preserve">Available at </w:t>
      </w:r>
      <w:hyperlink r:id="rId19">
        <w:r>
          <w:rPr>
            <w:color w:val="000000"/>
          </w:rPr>
          <w:t>http://onlinelibrary.wiley.com/doi/10.1111/1467-8578.12075/pdf</w:t>
        </w:r>
      </w:hyperlink>
    </w:p>
    <w:p w14:paraId="000000FC" w14:textId="77777777" w:rsidR="00540C8D" w:rsidRDefault="00540C8D">
      <w:pPr>
        <w:spacing w:line="240" w:lineRule="auto"/>
        <w:jc w:val="both"/>
      </w:pPr>
    </w:p>
    <w:p w14:paraId="000000FD" w14:textId="77777777" w:rsidR="00540C8D" w:rsidRDefault="007D1D15">
      <w:pPr>
        <w:spacing w:line="240" w:lineRule="auto"/>
        <w:jc w:val="both"/>
        <w:rPr>
          <w:color w:val="3E3D40"/>
        </w:rPr>
      </w:pPr>
      <w:proofErr w:type="spellStart"/>
      <w:r>
        <w:t>Sarginson</w:t>
      </w:r>
      <w:proofErr w:type="spellEnd"/>
      <w:r>
        <w:t xml:space="preserve">, E. (2017). </w:t>
      </w:r>
      <w:r>
        <w:rPr>
          <w:i/>
        </w:rPr>
        <w:t xml:space="preserve">An investigation into Special Educational Needs training and the </w:t>
      </w:r>
      <w:proofErr w:type="gramStart"/>
      <w:r>
        <w:rPr>
          <w:i/>
        </w:rPr>
        <w:t>SENCO‘</w:t>
      </w:r>
      <w:proofErr w:type="gramEnd"/>
      <w:r>
        <w:rPr>
          <w:i/>
        </w:rPr>
        <w:t xml:space="preserve">s role in practice </w:t>
      </w:r>
      <w:r>
        <w:rPr>
          <w:i/>
        </w:rPr>
        <w:t>change A qualitative review</w:t>
      </w:r>
      <w:r>
        <w:t>. Unpublished doctoral thesis, University of Manchester.</w:t>
      </w:r>
    </w:p>
    <w:p w14:paraId="000000FE" w14:textId="77777777" w:rsidR="00540C8D" w:rsidRDefault="00540C8D">
      <w:pPr>
        <w:spacing w:line="240" w:lineRule="auto"/>
        <w:jc w:val="both"/>
        <w:rPr>
          <w:color w:val="3E3D40"/>
        </w:rPr>
      </w:pPr>
    </w:p>
    <w:p w14:paraId="000000FF" w14:textId="77777777" w:rsidR="00540C8D" w:rsidRDefault="007D1D15">
      <w:pPr>
        <w:spacing w:line="240" w:lineRule="auto"/>
        <w:jc w:val="both"/>
        <w:rPr>
          <w:color w:val="3E3D40"/>
        </w:rPr>
      </w:pPr>
      <w:r>
        <w:rPr>
          <w:color w:val="3E3D40"/>
        </w:rPr>
        <w:t>Stone, B. and Foley, P. (2014). ‘Towards Integrated Working’</w:t>
      </w:r>
      <w:r>
        <w:rPr>
          <w:i/>
          <w:color w:val="3E3D40"/>
        </w:rPr>
        <w:t xml:space="preserve">. </w:t>
      </w:r>
      <w:r>
        <w:rPr>
          <w:color w:val="3E3D40"/>
        </w:rPr>
        <w:t xml:space="preserve">In P. Foley and A. </w:t>
      </w:r>
      <w:proofErr w:type="spellStart"/>
      <w:r>
        <w:rPr>
          <w:color w:val="3E3D40"/>
        </w:rPr>
        <w:t>Rixon</w:t>
      </w:r>
      <w:proofErr w:type="spellEnd"/>
      <w:r>
        <w:rPr>
          <w:color w:val="3E3D40"/>
        </w:rPr>
        <w:t xml:space="preserve"> (eds), </w:t>
      </w:r>
      <w:r>
        <w:rPr>
          <w:i/>
          <w:color w:val="3E3D40"/>
        </w:rPr>
        <w:t xml:space="preserve">Changing Children’s Services: Working and Learning Together </w:t>
      </w:r>
      <w:r>
        <w:rPr>
          <w:color w:val="3E3D40"/>
        </w:rPr>
        <w:t xml:space="preserve">(2nd </w:t>
      </w:r>
      <w:proofErr w:type="spellStart"/>
      <w:r>
        <w:rPr>
          <w:color w:val="3E3D40"/>
        </w:rPr>
        <w:t>edn</w:t>
      </w:r>
      <w:proofErr w:type="spellEnd"/>
      <w:r>
        <w:rPr>
          <w:color w:val="3E3D40"/>
        </w:rPr>
        <w:t>).</w:t>
      </w:r>
      <w:r>
        <w:rPr>
          <w:i/>
          <w:color w:val="3E3D40"/>
        </w:rPr>
        <w:t xml:space="preserve"> </w:t>
      </w:r>
      <w:r>
        <w:rPr>
          <w:color w:val="3E3D40"/>
        </w:rPr>
        <w:t>Bristo</w:t>
      </w:r>
      <w:r>
        <w:rPr>
          <w:color w:val="3E3D40"/>
        </w:rPr>
        <w:t>l: Policy</w:t>
      </w:r>
    </w:p>
    <w:p w14:paraId="00000100" w14:textId="77777777" w:rsidR="00540C8D" w:rsidRDefault="00540C8D">
      <w:pPr>
        <w:spacing w:line="240" w:lineRule="auto"/>
        <w:jc w:val="both"/>
        <w:rPr>
          <w:color w:val="3E3D40"/>
        </w:rPr>
      </w:pPr>
    </w:p>
    <w:p w14:paraId="00000101" w14:textId="77777777" w:rsidR="00540C8D" w:rsidRDefault="007D1D15">
      <w:pPr>
        <w:spacing w:line="240" w:lineRule="auto"/>
        <w:jc w:val="both"/>
        <w:rPr>
          <w:color w:val="3E3D40"/>
        </w:rPr>
      </w:pPr>
      <w:proofErr w:type="spellStart"/>
      <w:r>
        <w:rPr>
          <w:color w:val="3E3D40"/>
        </w:rPr>
        <w:t>Taberner</w:t>
      </w:r>
      <w:proofErr w:type="spellEnd"/>
      <w:r>
        <w:rPr>
          <w:color w:val="3E3D40"/>
        </w:rPr>
        <w:t>, J. (2022) “There are too many kids with special educational needs”.  Available at:</w:t>
      </w:r>
    </w:p>
    <w:p w14:paraId="00000102" w14:textId="77777777" w:rsidR="00540C8D" w:rsidRDefault="007D1D15">
      <w:pPr>
        <w:spacing w:line="240" w:lineRule="auto"/>
        <w:jc w:val="both"/>
        <w:rPr>
          <w:color w:val="3E3D40"/>
        </w:rPr>
      </w:pPr>
      <w:r>
        <w:rPr>
          <w:color w:val="3E3D40"/>
        </w:rPr>
        <w:t>https://www.researchgate.net/publication/357679505_There_are_too_many_kids_with_special_educational_needs_Squires_2017</w:t>
      </w:r>
    </w:p>
    <w:p w14:paraId="00000103" w14:textId="77777777" w:rsidR="00540C8D" w:rsidRDefault="00540C8D">
      <w:pPr>
        <w:spacing w:line="240" w:lineRule="auto"/>
        <w:ind w:left="-15"/>
      </w:pPr>
    </w:p>
    <w:p w14:paraId="00000104" w14:textId="77777777" w:rsidR="00540C8D" w:rsidRDefault="007D1D15">
      <w:pPr>
        <w:spacing w:line="240" w:lineRule="auto"/>
        <w:ind w:left="-15"/>
      </w:pPr>
      <w:r>
        <w:t xml:space="preserve">Teacher Development </w:t>
      </w:r>
      <w:proofErr w:type="spellStart"/>
      <w:proofErr w:type="gramStart"/>
      <w:r>
        <w:t>Ageny</w:t>
      </w:r>
      <w:proofErr w:type="spellEnd"/>
      <w:r>
        <w:t>[</w:t>
      </w:r>
      <w:proofErr w:type="gramEnd"/>
      <w:r>
        <w:t xml:space="preserve">TDA]. </w:t>
      </w:r>
      <w:r>
        <w:t>(2008). Available at: www.tda.gov.uk/teachers/sen/support_teachers_and_trainers.aspx.</w:t>
      </w:r>
    </w:p>
    <w:p w14:paraId="00000105" w14:textId="77777777" w:rsidR="00540C8D" w:rsidRDefault="00540C8D">
      <w:pPr>
        <w:spacing w:line="240" w:lineRule="auto"/>
        <w:jc w:val="both"/>
        <w:rPr>
          <w:color w:val="3E3D40"/>
        </w:rPr>
      </w:pPr>
    </w:p>
    <w:p w14:paraId="00000106" w14:textId="77777777" w:rsidR="00540C8D" w:rsidRDefault="007D1D15">
      <w:pPr>
        <w:spacing w:line="240" w:lineRule="auto"/>
        <w:jc w:val="both"/>
        <w:rPr>
          <w:color w:val="3E3D40"/>
        </w:rPr>
      </w:pPr>
      <w:proofErr w:type="spellStart"/>
      <w:r>
        <w:rPr>
          <w:color w:val="3E3D40"/>
        </w:rPr>
        <w:t>Tyso</w:t>
      </w:r>
      <w:proofErr w:type="spellEnd"/>
      <w:r>
        <w:rPr>
          <w:color w:val="3E3D40"/>
        </w:rPr>
        <w:t>, K., Vincent, K., &amp; Boulton, H. C. (2021). Implementing the 2014 SEND reforms in England: perspectives from SENCOs,</w:t>
      </w:r>
      <w:r>
        <w:rPr>
          <w:i/>
          <w:color w:val="3E3D40"/>
        </w:rPr>
        <w:t xml:space="preserve"> Support for Learning</w:t>
      </w:r>
      <w:r>
        <w:rPr>
          <w:color w:val="3E3D40"/>
        </w:rPr>
        <w:t>, 36(3), 486-505.</w:t>
      </w:r>
    </w:p>
    <w:p w14:paraId="00000107" w14:textId="77777777" w:rsidR="00540C8D" w:rsidRDefault="00540C8D">
      <w:pPr>
        <w:spacing w:line="240" w:lineRule="auto"/>
        <w:jc w:val="both"/>
        <w:rPr>
          <w:color w:val="3E3D40"/>
        </w:rPr>
      </w:pPr>
    </w:p>
    <w:p w14:paraId="00000108" w14:textId="77777777" w:rsidR="00540C8D" w:rsidRDefault="007D1D15">
      <w:pPr>
        <w:spacing w:line="240" w:lineRule="auto"/>
        <w:jc w:val="both"/>
        <w:rPr>
          <w:color w:val="3E3D40"/>
        </w:rPr>
      </w:pPr>
      <w:r>
        <w:rPr>
          <w:color w:val="3E3D40"/>
        </w:rPr>
        <w:t xml:space="preserve">Watson, D., </w:t>
      </w:r>
      <w:proofErr w:type="spellStart"/>
      <w:r>
        <w:rPr>
          <w:color w:val="3E3D40"/>
        </w:rPr>
        <w:t>Townsley</w:t>
      </w:r>
      <w:proofErr w:type="spellEnd"/>
      <w:r>
        <w:rPr>
          <w:color w:val="3E3D40"/>
        </w:rPr>
        <w:t xml:space="preserve">, R., Abbott, D. and Latham, P. (2002). </w:t>
      </w:r>
      <w:r>
        <w:rPr>
          <w:i/>
          <w:color w:val="3E3D40"/>
        </w:rPr>
        <w:t xml:space="preserve">Working Together? Multi­ agency Working in Services to Disabled Children with Complex Health Care Needs and their Families: A Literature Review. </w:t>
      </w:r>
      <w:r>
        <w:rPr>
          <w:color w:val="3E3D40"/>
        </w:rPr>
        <w:t xml:space="preserve">Birmingham: </w:t>
      </w:r>
      <w:proofErr w:type="spellStart"/>
      <w:r>
        <w:rPr>
          <w:color w:val="3E3D40"/>
        </w:rPr>
        <w:t>Handsel</w:t>
      </w:r>
      <w:proofErr w:type="spellEnd"/>
      <w:r>
        <w:rPr>
          <w:color w:val="3E3D40"/>
        </w:rPr>
        <w:t xml:space="preserve"> Trust.</w:t>
      </w:r>
    </w:p>
    <w:p w14:paraId="00000109" w14:textId="77777777" w:rsidR="00540C8D" w:rsidRDefault="007D1D15">
      <w:pPr>
        <w:spacing w:line="240" w:lineRule="auto"/>
        <w:jc w:val="both"/>
        <w:rPr>
          <w:color w:val="3E3D40"/>
        </w:rPr>
      </w:pPr>
      <w:r>
        <w:rPr>
          <w:color w:val="0D0D0D"/>
          <w:highlight w:val="white"/>
        </w:rPr>
        <w:t>Webb, C.J.R. (2022). Mor</w:t>
      </w:r>
      <w:r>
        <w:rPr>
          <w:color w:val="0D0D0D"/>
          <w:highlight w:val="white"/>
        </w:rPr>
        <w:t xml:space="preserve">e Money, More Problems? Addressing the Funding Conditions Required for Rights-Based Child Welfare Services in England, </w:t>
      </w:r>
      <w:r>
        <w:rPr>
          <w:i/>
          <w:color w:val="0D0D0D"/>
          <w:highlight w:val="white"/>
        </w:rPr>
        <w:t>Societies</w:t>
      </w:r>
      <w:r>
        <w:rPr>
          <w:color w:val="0D0D0D"/>
          <w:highlight w:val="white"/>
        </w:rPr>
        <w:t>, 12(9), 1-19.</w:t>
      </w:r>
    </w:p>
    <w:p w14:paraId="0000010A" w14:textId="77777777" w:rsidR="00540C8D" w:rsidRDefault="007D1D15">
      <w:pPr>
        <w:spacing w:line="240" w:lineRule="auto"/>
        <w:jc w:val="both"/>
      </w:pPr>
      <w:r>
        <w:t xml:space="preserve">Winter, E.C. (2006). Preparing new teachers for inclusive schools and classrooms. </w:t>
      </w:r>
      <w:r>
        <w:rPr>
          <w:i/>
        </w:rPr>
        <w:t xml:space="preserve">Support for Learning. </w:t>
      </w:r>
      <w:r>
        <w:t>21(2): 85</w:t>
      </w:r>
      <w:r>
        <w:t>-91.</w:t>
      </w:r>
    </w:p>
    <w:p w14:paraId="0000010B" w14:textId="3DA6589A" w:rsidR="00540C8D" w:rsidRDefault="00540C8D">
      <w:pPr>
        <w:spacing w:after="160" w:line="259" w:lineRule="auto"/>
        <w:jc w:val="both"/>
        <w:rPr>
          <w:rFonts w:ascii="Calibri" w:eastAsia="Calibri" w:hAnsi="Calibri" w:cs="Calibri"/>
        </w:rPr>
      </w:pPr>
    </w:p>
    <w:p w14:paraId="31A1DBAC" w14:textId="29751327" w:rsidR="00C51768" w:rsidRDefault="00C51768">
      <w:pPr>
        <w:spacing w:after="160" w:line="259" w:lineRule="auto"/>
        <w:jc w:val="both"/>
        <w:rPr>
          <w:rFonts w:ascii="Calibri" w:eastAsia="Calibri" w:hAnsi="Calibri" w:cs="Calibri"/>
        </w:rPr>
      </w:pPr>
    </w:p>
    <w:p w14:paraId="0B6C8574" w14:textId="723EEC8C" w:rsidR="00C51768" w:rsidRDefault="00C51768">
      <w:pPr>
        <w:spacing w:after="160" w:line="259" w:lineRule="auto"/>
        <w:jc w:val="both"/>
        <w:rPr>
          <w:rFonts w:ascii="Calibri" w:eastAsia="Calibri" w:hAnsi="Calibri" w:cs="Calibri"/>
          <w:b/>
        </w:rPr>
      </w:pPr>
      <w:r w:rsidRPr="00C51768">
        <w:rPr>
          <w:rFonts w:ascii="Calibri" w:eastAsia="Calibri" w:hAnsi="Calibri" w:cs="Calibri"/>
          <w:b/>
        </w:rPr>
        <w:t>Figure 1: Fault-Lines 2014-2022</w:t>
      </w:r>
    </w:p>
    <w:p w14:paraId="7305A3BA" w14:textId="3A6713ED" w:rsidR="00662BE3" w:rsidRDefault="00662BE3">
      <w:pPr>
        <w:spacing w:after="160" w:line="259" w:lineRule="auto"/>
        <w:jc w:val="both"/>
        <w:rPr>
          <w:rFonts w:ascii="Calibri" w:eastAsia="Calibri" w:hAnsi="Calibri" w:cs="Calibri"/>
          <w:b/>
        </w:rPr>
      </w:pPr>
    </w:p>
    <w:p w14:paraId="1F744098" w14:textId="49DEC45C" w:rsidR="00662BE3" w:rsidRDefault="00662BE3">
      <w:pPr>
        <w:spacing w:after="160" w:line="259" w:lineRule="auto"/>
        <w:jc w:val="both"/>
        <w:rPr>
          <w:rFonts w:ascii="Calibri" w:eastAsia="Calibri" w:hAnsi="Calibri" w:cs="Calibri"/>
          <w:b/>
        </w:rPr>
      </w:pPr>
    </w:p>
    <w:p w14:paraId="021FDFA8" w14:textId="1BD3E888" w:rsidR="00662BE3" w:rsidRDefault="00662BE3">
      <w:pPr>
        <w:spacing w:after="160" w:line="259" w:lineRule="auto"/>
        <w:jc w:val="both"/>
        <w:rPr>
          <w:rFonts w:ascii="Calibri" w:eastAsia="Calibri" w:hAnsi="Calibri" w:cs="Calibri"/>
          <w:b/>
        </w:rPr>
      </w:pPr>
    </w:p>
    <w:p w14:paraId="2B8C5B3D" w14:textId="4294F59F" w:rsidR="00662BE3" w:rsidRDefault="00662BE3">
      <w:pPr>
        <w:spacing w:after="160" w:line="259" w:lineRule="auto"/>
        <w:jc w:val="both"/>
        <w:rPr>
          <w:rFonts w:ascii="Calibri" w:eastAsia="Calibri" w:hAnsi="Calibri" w:cs="Calibri"/>
          <w:b/>
        </w:rPr>
      </w:pPr>
    </w:p>
    <w:p w14:paraId="679FB305" w14:textId="74A3B3FC" w:rsidR="00662BE3" w:rsidRDefault="00662BE3">
      <w:pPr>
        <w:spacing w:after="160" w:line="259" w:lineRule="auto"/>
        <w:jc w:val="both"/>
        <w:rPr>
          <w:rFonts w:ascii="Calibri" w:eastAsia="Calibri" w:hAnsi="Calibri" w:cs="Calibri"/>
          <w:b/>
        </w:rPr>
      </w:pPr>
    </w:p>
    <w:p w14:paraId="473CBD56" w14:textId="00387093" w:rsidR="00662BE3" w:rsidRDefault="00662BE3">
      <w:pPr>
        <w:spacing w:after="160" w:line="259" w:lineRule="auto"/>
        <w:jc w:val="both"/>
        <w:rPr>
          <w:rFonts w:ascii="Calibri" w:eastAsia="Calibri" w:hAnsi="Calibri" w:cs="Calibri"/>
          <w:b/>
        </w:rPr>
      </w:pPr>
    </w:p>
    <w:p w14:paraId="10437333" w14:textId="06A71D0F" w:rsidR="00662BE3" w:rsidRDefault="00662BE3">
      <w:pPr>
        <w:spacing w:after="160" w:line="259" w:lineRule="auto"/>
        <w:jc w:val="both"/>
        <w:rPr>
          <w:rFonts w:ascii="Calibri" w:eastAsia="Calibri" w:hAnsi="Calibri" w:cs="Calibri"/>
          <w:b/>
        </w:rPr>
      </w:pPr>
    </w:p>
    <w:p w14:paraId="54128CC4" w14:textId="66AF0FB4" w:rsidR="00662BE3" w:rsidRDefault="00662BE3">
      <w:pPr>
        <w:spacing w:after="160" w:line="259" w:lineRule="auto"/>
        <w:jc w:val="both"/>
        <w:rPr>
          <w:rFonts w:ascii="Calibri" w:eastAsia="Calibri" w:hAnsi="Calibri" w:cs="Calibri"/>
          <w:b/>
        </w:rPr>
      </w:pPr>
    </w:p>
    <w:p w14:paraId="64FA49E6" w14:textId="70F1F0C4" w:rsidR="00662BE3" w:rsidRDefault="00662BE3">
      <w:pPr>
        <w:spacing w:after="160" w:line="259" w:lineRule="auto"/>
        <w:jc w:val="both"/>
        <w:rPr>
          <w:rFonts w:ascii="Calibri" w:eastAsia="Calibri" w:hAnsi="Calibri" w:cs="Calibri"/>
          <w:b/>
        </w:rPr>
      </w:pPr>
    </w:p>
    <w:p w14:paraId="67EEF866" w14:textId="77777777" w:rsidR="00662BE3" w:rsidRDefault="00662BE3" w:rsidP="00662BE3">
      <w:pPr>
        <w:spacing w:line="240" w:lineRule="auto"/>
        <w:jc w:val="both"/>
        <w:rPr>
          <w:color w:val="3E3D40"/>
        </w:rPr>
      </w:pPr>
    </w:p>
    <w:p w14:paraId="55BC4263" w14:textId="77777777" w:rsidR="00662BE3" w:rsidRDefault="00662BE3" w:rsidP="00662BE3">
      <w:pPr>
        <w:spacing w:line="240" w:lineRule="auto"/>
        <w:jc w:val="both"/>
        <w:rPr>
          <w:color w:val="3E3D40"/>
        </w:rPr>
      </w:pPr>
    </w:p>
    <w:p w14:paraId="324BA7EF" w14:textId="77777777" w:rsidR="00662BE3" w:rsidRDefault="00662BE3" w:rsidP="00662BE3">
      <w:pPr>
        <w:spacing w:line="240" w:lineRule="auto"/>
        <w:jc w:val="both"/>
        <w:rPr>
          <w:color w:val="3E3D40"/>
        </w:rPr>
      </w:pPr>
    </w:p>
    <w:p w14:paraId="1B7638BE" w14:textId="77777777" w:rsidR="00662BE3" w:rsidRDefault="00662BE3" w:rsidP="00662BE3">
      <w:pPr>
        <w:spacing w:line="240" w:lineRule="auto"/>
        <w:jc w:val="both"/>
        <w:rPr>
          <w:b/>
          <w:color w:val="3E3D40"/>
        </w:rPr>
      </w:pPr>
      <w:r>
        <w:rPr>
          <w:b/>
          <w:color w:val="3E3D40"/>
        </w:rPr>
        <w:t>Table 1. Key Word Search</w:t>
      </w:r>
    </w:p>
    <w:p w14:paraId="216B9E5A" w14:textId="77777777" w:rsidR="00662BE3" w:rsidRDefault="00662BE3" w:rsidP="00662BE3">
      <w:pPr>
        <w:spacing w:after="160" w:line="259" w:lineRule="auto"/>
        <w:jc w:val="both"/>
        <w:rPr>
          <w:rFonts w:ascii="Calibri" w:eastAsia="Calibri" w:hAnsi="Calibri" w:cs="Calibri"/>
          <w:b/>
        </w:rPr>
      </w:pPr>
    </w:p>
    <w:tbl>
      <w:tblPr>
        <w:tblStyle w:val="a1"/>
        <w:tblW w:w="8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1361"/>
        <w:gridCol w:w="1167"/>
        <w:gridCol w:w="1273"/>
        <w:gridCol w:w="1033"/>
        <w:gridCol w:w="1115"/>
        <w:gridCol w:w="1120"/>
      </w:tblGrid>
      <w:tr w:rsidR="00662BE3" w14:paraId="036C99D8" w14:textId="77777777" w:rsidTr="00044738">
        <w:tc>
          <w:tcPr>
            <w:tcW w:w="940" w:type="dxa"/>
          </w:tcPr>
          <w:p w14:paraId="38A6A78E" w14:textId="77777777" w:rsidR="00662BE3" w:rsidRDefault="00662BE3" w:rsidP="00044738">
            <w:pPr>
              <w:spacing w:after="160" w:line="259" w:lineRule="auto"/>
              <w:rPr>
                <w:rFonts w:ascii="Calibri" w:eastAsia="Calibri" w:hAnsi="Calibri" w:cs="Calibri"/>
              </w:rPr>
            </w:pPr>
          </w:p>
        </w:tc>
        <w:tc>
          <w:tcPr>
            <w:tcW w:w="1361" w:type="dxa"/>
          </w:tcPr>
          <w:p w14:paraId="6C76C9A6" w14:textId="77777777" w:rsidR="00662BE3" w:rsidRDefault="00662BE3" w:rsidP="00044738">
            <w:pPr>
              <w:spacing w:after="160" w:line="259" w:lineRule="auto"/>
              <w:rPr>
                <w:rFonts w:ascii="Calibri" w:eastAsia="Calibri" w:hAnsi="Calibri" w:cs="Calibri"/>
              </w:rPr>
            </w:pPr>
          </w:p>
          <w:p w14:paraId="2422E80E" w14:textId="77777777" w:rsidR="00662BE3" w:rsidRDefault="00662BE3" w:rsidP="00044738">
            <w:pPr>
              <w:spacing w:after="160" w:line="259" w:lineRule="auto"/>
              <w:rPr>
                <w:rFonts w:ascii="Calibri" w:eastAsia="Calibri" w:hAnsi="Calibri" w:cs="Calibri"/>
                <w:b/>
              </w:rPr>
            </w:pPr>
            <w:r>
              <w:rPr>
                <w:rFonts w:ascii="Calibri" w:eastAsia="Calibri" w:hAnsi="Calibri" w:cs="Calibri"/>
                <w:b/>
              </w:rPr>
              <w:t>Search Terms</w:t>
            </w:r>
          </w:p>
        </w:tc>
        <w:tc>
          <w:tcPr>
            <w:tcW w:w="1167" w:type="dxa"/>
          </w:tcPr>
          <w:p w14:paraId="6A2D3993" w14:textId="77777777" w:rsidR="00662BE3" w:rsidRDefault="00662BE3" w:rsidP="00044738">
            <w:pPr>
              <w:spacing w:after="160" w:line="259" w:lineRule="auto"/>
              <w:rPr>
                <w:rFonts w:ascii="Calibri" w:eastAsia="Calibri" w:hAnsi="Calibri" w:cs="Calibri"/>
                <w:b/>
              </w:rPr>
            </w:pPr>
            <w:r>
              <w:rPr>
                <w:rFonts w:ascii="Calibri" w:eastAsia="Calibri" w:hAnsi="Calibri" w:cs="Calibri"/>
                <w:b/>
              </w:rPr>
              <w:t>From 1/01/2014 in both houses</w:t>
            </w:r>
          </w:p>
        </w:tc>
        <w:tc>
          <w:tcPr>
            <w:tcW w:w="1273" w:type="dxa"/>
          </w:tcPr>
          <w:p w14:paraId="6406AA18" w14:textId="77777777" w:rsidR="00662BE3" w:rsidRDefault="00662BE3" w:rsidP="00044738">
            <w:pPr>
              <w:spacing w:after="160" w:line="259" w:lineRule="auto"/>
              <w:rPr>
                <w:rFonts w:ascii="Calibri" w:eastAsia="Calibri" w:hAnsi="Calibri" w:cs="Calibri"/>
                <w:b/>
              </w:rPr>
            </w:pPr>
            <w:r>
              <w:rPr>
                <w:rFonts w:ascii="Calibri" w:eastAsia="Calibri" w:hAnsi="Calibri" w:cs="Calibri"/>
                <w:b/>
              </w:rPr>
              <w:t>Commons</w:t>
            </w:r>
          </w:p>
        </w:tc>
        <w:tc>
          <w:tcPr>
            <w:tcW w:w="1033" w:type="dxa"/>
          </w:tcPr>
          <w:p w14:paraId="6EB857EC" w14:textId="77777777" w:rsidR="00662BE3" w:rsidRDefault="00662BE3" w:rsidP="00044738">
            <w:pPr>
              <w:spacing w:after="160" w:line="259" w:lineRule="auto"/>
              <w:rPr>
                <w:rFonts w:ascii="Calibri" w:eastAsia="Calibri" w:hAnsi="Calibri" w:cs="Calibri"/>
                <w:b/>
              </w:rPr>
            </w:pPr>
            <w:r>
              <w:rPr>
                <w:rFonts w:ascii="Calibri" w:eastAsia="Calibri" w:hAnsi="Calibri" w:cs="Calibri"/>
                <w:b/>
              </w:rPr>
              <w:t>School</w:t>
            </w:r>
          </w:p>
        </w:tc>
        <w:tc>
          <w:tcPr>
            <w:tcW w:w="1115" w:type="dxa"/>
          </w:tcPr>
          <w:p w14:paraId="3111E695" w14:textId="77777777" w:rsidR="00662BE3" w:rsidRDefault="00662BE3" w:rsidP="00044738">
            <w:pPr>
              <w:spacing w:after="160" w:line="259" w:lineRule="auto"/>
              <w:rPr>
                <w:rFonts w:ascii="Calibri" w:eastAsia="Calibri" w:hAnsi="Calibri" w:cs="Calibri"/>
                <w:b/>
              </w:rPr>
            </w:pPr>
            <w:r>
              <w:rPr>
                <w:rFonts w:ascii="Calibri" w:eastAsia="Calibri" w:hAnsi="Calibri" w:cs="Calibri"/>
                <w:b/>
              </w:rPr>
              <w:t>Primary</w:t>
            </w:r>
          </w:p>
        </w:tc>
        <w:tc>
          <w:tcPr>
            <w:tcW w:w="1120" w:type="dxa"/>
          </w:tcPr>
          <w:p w14:paraId="16C7A0B2" w14:textId="77777777" w:rsidR="00662BE3" w:rsidRDefault="00662BE3" w:rsidP="00044738">
            <w:pPr>
              <w:spacing w:after="160" w:line="259" w:lineRule="auto"/>
              <w:rPr>
                <w:rFonts w:ascii="Calibri" w:eastAsia="Calibri" w:hAnsi="Calibri" w:cs="Calibri"/>
                <w:b/>
              </w:rPr>
            </w:pPr>
            <w:r>
              <w:rPr>
                <w:rFonts w:ascii="Calibri" w:eastAsia="Calibri" w:hAnsi="Calibri" w:cs="Calibri"/>
                <w:b/>
              </w:rPr>
              <w:t>Disability</w:t>
            </w:r>
          </w:p>
        </w:tc>
      </w:tr>
      <w:tr w:rsidR="00662BE3" w14:paraId="1CAAE97C" w14:textId="77777777" w:rsidTr="00044738">
        <w:tc>
          <w:tcPr>
            <w:tcW w:w="940" w:type="dxa"/>
          </w:tcPr>
          <w:p w14:paraId="7856AA63" w14:textId="77777777" w:rsidR="00662BE3" w:rsidRDefault="00662BE3" w:rsidP="00044738">
            <w:pPr>
              <w:spacing w:after="160" w:line="259" w:lineRule="auto"/>
              <w:jc w:val="center"/>
              <w:rPr>
                <w:rFonts w:ascii="Calibri" w:eastAsia="Calibri" w:hAnsi="Calibri" w:cs="Calibri"/>
                <w:b/>
              </w:rPr>
            </w:pPr>
            <w:r>
              <w:rPr>
                <w:rFonts w:ascii="Calibri" w:eastAsia="Calibri" w:hAnsi="Calibri" w:cs="Calibri"/>
                <w:b/>
              </w:rPr>
              <w:t>Search 1</w:t>
            </w:r>
          </w:p>
        </w:tc>
        <w:tc>
          <w:tcPr>
            <w:tcW w:w="1361" w:type="dxa"/>
          </w:tcPr>
          <w:p w14:paraId="2FD39DA3" w14:textId="77777777" w:rsidR="00662BE3" w:rsidRDefault="00662BE3" w:rsidP="00044738">
            <w:pPr>
              <w:spacing w:after="160" w:line="259" w:lineRule="auto"/>
              <w:rPr>
                <w:rFonts w:ascii="Calibri" w:eastAsia="Calibri" w:hAnsi="Calibri" w:cs="Calibri"/>
              </w:rPr>
            </w:pPr>
            <w:r>
              <w:rPr>
                <w:rFonts w:ascii="Calibri" w:eastAsia="Calibri" w:hAnsi="Calibri" w:cs="Calibri"/>
              </w:rPr>
              <w:t>Disability</w:t>
            </w:r>
          </w:p>
        </w:tc>
        <w:tc>
          <w:tcPr>
            <w:tcW w:w="1167" w:type="dxa"/>
          </w:tcPr>
          <w:p w14:paraId="645351DA" w14:textId="77777777" w:rsidR="00662BE3" w:rsidRDefault="00662BE3" w:rsidP="00044738">
            <w:pPr>
              <w:spacing w:after="160" w:line="259" w:lineRule="auto"/>
              <w:rPr>
                <w:rFonts w:ascii="Calibri" w:eastAsia="Calibri" w:hAnsi="Calibri" w:cs="Calibri"/>
              </w:rPr>
            </w:pPr>
            <w:r>
              <w:rPr>
                <w:rFonts w:ascii="Calibri" w:eastAsia="Calibri" w:hAnsi="Calibri" w:cs="Calibri"/>
              </w:rPr>
              <w:t>35,321</w:t>
            </w:r>
          </w:p>
        </w:tc>
        <w:tc>
          <w:tcPr>
            <w:tcW w:w="1273" w:type="dxa"/>
          </w:tcPr>
          <w:p w14:paraId="6B77F7A7" w14:textId="77777777" w:rsidR="00662BE3" w:rsidRDefault="00662BE3" w:rsidP="00044738">
            <w:pPr>
              <w:spacing w:after="160" w:line="259" w:lineRule="auto"/>
              <w:rPr>
                <w:rFonts w:ascii="Calibri" w:eastAsia="Calibri" w:hAnsi="Calibri" w:cs="Calibri"/>
              </w:rPr>
            </w:pPr>
            <w:r>
              <w:rPr>
                <w:rFonts w:ascii="Calibri" w:eastAsia="Calibri" w:hAnsi="Calibri" w:cs="Calibri"/>
              </w:rPr>
              <w:t>21, 232</w:t>
            </w:r>
          </w:p>
        </w:tc>
        <w:tc>
          <w:tcPr>
            <w:tcW w:w="1033" w:type="dxa"/>
          </w:tcPr>
          <w:p w14:paraId="7464AB3D" w14:textId="77777777" w:rsidR="00662BE3" w:rsidRDefault="00662BE3" w:rsidP="00044738">
            <w:pPr>
              <w:spacing w:after="160" w:line="259" w:lineRule="auto"/>
              <w:rPr>
                <w:rFonts w:ascii="Calibri" w:eastAsia="Calibri" w:hAnsi="Calibri" w:cs="Calibri"/>
              </w:rPr>
            </w:pPr>
            <w:r>
              <w:rPr>
                <w:rFonts w:ascii="Calibri" w:eastAsia="Calibri" w:hAnsi="Calibri" w:cs="Calibri"/>
              </w:rPr>
              <w:t>208</w:t>
            </w:r>
          </w:p>
        </w:tc>
        <w:tc>
          <w:tcPr>
            <w:tcW w:w="1115" w:type="dxa"/>
          </w:tcPr>
          <w:p w14:paraId="550A40D0" w14:textId="77777777" w:rsidR="00662BE3" w:rsidRDefault="00662BE3" w:rsidP="00044738">
            <w:pPr>
              <w:spacing w:after="160" w:line="259" w:lineRule="auto"/>
              <w:rPr>
                <w:rFonts w:ascii="Calibri" w:eastAsia="Calibri" w:hAnsi="Calibri" w:cs="Calibri"/>
              </w:rPr>
            </w:pPr>
            <w:r>
              <w:rPr>
                <w:rFonts w:ascii="Calibri" w:eastAsia="Calibri" w:hAnsi="Calibri" w:cs="Calibri"/>
              </w:rPr>
              <w:t>142</w:t>
            </w:r>
          </w:p>
        </w:tc>
        <w:tc>
          <w:tcPr>
            <w:tcW w:w="1120" w:type="dxa"/>
          </w:tcPr>
          <w:p w14:paraId="05655CEF" w14:textId="77777777" w:rsidR="00662BE3" w:rsidRDefault="00662BE3" w:rsidP="00044738">
            <w:pPr>
              <w:spacing w:after="160" w:line="259" w:lineRule="auto"/>
              <w:rPr>
                <w:rFonts w:ascii="Calibri" w:eastAsia="Calibri" w:hAnsi="Calibri" w:cs="Calibri"/>
              </w:rPr>
            </w:pPr>
            <w:r>
              <w:rPr>
                <w:rFonts w:ascii="Calibri" w:eastAsia="Calibri" w:hAnsi="Calibri" w:cs="Calibri"/>
              </w:rPr>
              <w:t>-</w:t>
            </w:r>
          </w:p>
        </w:tc>
      </w:tr>
      <w:tr w:rsidR="00662BE3" w14:paraId="650C2D3F" w14:textId="77777777" w:rsidTr="00044738">
        <w:tc>
          <w:tcPr>
            <w:tcW w:w="940" w:type="dxa"/>
          </w:tcPr>
          <w:p w14:paraId="63CBF769" w14:textId="77777777" w:rsidR="00662BE3" w:rsidRDefault="00662BE3" w:rsidP="00044738">
            <w:pPr>
              <w:spacing w:after="160" w:line="259" w:lineRule="auto"/>
              <w:jc w:val="center"/>
              <w:rPr>
                <w:rFonts w:ascii="Calibri" w:eastAsia="Calibri" w:hAnsi="Calibri" w:cs="Calibri"/>
                <w:b/>
              </w:rPr>
            </w:pPr>
            <w:r>
              <w:rPr>
                <w:rFonts w:ascii="Calibri" w:eastAsia="Calibri" w:hAnsi="Calibri" w:cs="Calibri"/>
                <w:b/>
              </w:rPr>
              <w:t>Search 2</w:t>
            </w:r>
          </w:p>
        </w:tc>
        <w:tc>
          <w:tcPr>
            <w:tcW w:w="1361" w:type="dxa"/>
          </w:tcPr>
          <w:p w14:paraId="22DF6E48" w14:textId="77777777" w:rsidR="00662BE3" w:rsidRDefault="00662BE3" w:rsidP="00044738">
            <w:pPr>
              <w:spacing w:after="160" w:line="259" w:lineRule="auto"/>
              <w:rPr>
                <w:rFonts w:ascii="Calibri" w:eastAsia="Calibri" w:hAnsi="Calibri" w:cs="Calibri"/>
              </w:rPr>
            </w:pPr>
            <w:r>
              <w:rPr>
                <w:rFonts w:ascii="Calibri" w:eastAsia="Calibri" w:hAnsi="Calibri" w:cs="Calibri"/>
              </w:rPr>
              <w:t>Special Needs</w:t>
            </w:r>
          </w:p>
        </w:tc>
        <w:tc>
          <w:tcPr>
            <w:tcW w:w="1167" w:type="dxa"/>
          </w:tcPr>
          <w:p w14:paraId="709692A6" w14:textId="77777777" w:rsidR="00662BE3" w:rsidRDefault="00662BE3" w:rsidP="00044738">
            <w:pPr>
              <w:spacing w:after="160" w:line="259" w:lineRule="auto"/>
              <w:rPr>
                <w:rFonts w:ascii="Calibri" w:eastAsia="Calibri" w:hAnsi="Calibri" w:cs="Calibri"/>
              </w:rPr>
            </w:pPr>
            <w:r>
              <w:rPr>
                <w:rFonts w:ascii="Calibri" w:eastAsia="Calibri" w:hAnsi="Calibri" w:cs="Calibri"/>
              </w:rPr>
              <w:t>4386</w:t>
            </w:r>
          </w:p>
        </w:tc>
        <w:tc>
          <w:tcPr>
            <w:tcW w:w="1273" w:type="dxa"/>
          </w:tcPr>
          <w:p w14:paraId="5B84E9FB" w14:textId="77777777" w:rsidR="00662BE3" w:rsidRDefault="00662BE3" w:rsidP="00044738">
            <w:pPr>
              <w:spacing w:after="160" w:line="259" w:lineRule="auto"/>
              <w:rPr>
                <w:rFonts w:ascii="Calibri" w:eastAsia="Calibri" w:hAnsi="Calibri" w:cs="Calibri"/>
              </w:rPr>
            </w:pPr>
            <w:r>
              <w:rPr>
                <w:rFonts w:ascii="Calibri" w:eastAsia="Calibri" w:hAnsi="Calibri" w:cs="Calibri"/>
              </w:rPr>
              <w:t>2835</w:t>
            </w:r>
          </w:p>
        </w:tc>
        <w:tc>
          <w:tcPr>
            <w:tcW w:w="1033" w:type="dxa"/>
          </w:tcPr>
          <w:p w14:paraId="15112FCE" w14:textId="77777777" w:rsidR="00662BE3" w:rsidRDefault="00662BE3" w:rsidP="00044738">
            <w:pPr>
              <w:spacing w:after="160" w:line="259" w:lineRule="auto"/>
              <w:rPr>
                <w:rFonts w:ascii="Calibri" w:eastAsia="Calibri" w:hAnsi="Calibri" w:cs="Calibri"/>
              </w:rPr>
            </w:pPr>
            <w:r>
              <w:rPr>
                <w:rFonts w:ascii="Calibri" w:eastAsia="Calibri" w:hAnsi="Calibri" w:cs="Calibri"/>
              </w:rPr>
              <w:t>172</w:t>
            </w:r>
          </w:p>
        </w:tc>
        <w:tc>
          <w:tcPr>
            <w:tcW w:w="1115" w:type="dxa"/>
          </w:tcPr>
          <w:p w14:paraId="4F63C1B5" w14:textId="77777777" w:rsidR="00662BE3" w:rsidRDefault="00662BE3" w:rsidP="00044738">
            <w:pPr>
              <w:spacing w:after="160" w:line="259" w:lineRule="auto"/>
              <w:rPr>
                <w:rFonts w:ascii="Calibri" w:eastAsia="Calibri" w:hAnsi="Calibri" w:cs="Calibri"/>
              </w:rPr>
            </w:pPr>
            <w:r>
              <w:rPr>
                <w:rFonts w:ascii="Calibri" w:eastAsia="Calibri" w:hAnsi="Calibri" w:cs="Calibri"/>
              </w:rPr>
              <w:t>272</w:t>
            </w:r>
          </w:p>
        </w:tc>
        <w:tc>
          <w:tcPr>
            <w:tcW w:w="1120" w:type="dxa"/>
          </w:tcPr>
          <w:p w14:paraId="410B2EB8" w14:textId="77777777" w:rsidR="00662BE3" w:rsidRDefault="00662BE3" w:rsidP="00044738">
            <w:pPr>
              <w:spacing w:after="160" w:line="259" w:lineRule="auto"/>
              <w:rPr>
                <w:rFonts w:ascii="Calibri" w:eastAsia="Calibri" w:hAnsi="Calibri" w:cs="Calibri"/>
              </w:rPr>
            </w:pPr>
            <w:r>
              <w:rPr>
                <w:rFonts w:ascii="Calibri" w:eastAsia="Calibri" w:hAnsi="Calibri" w:cs="Calibri"/>
              </w:rPr>
              <w:t>39</w:t>
            </w:r>
          </w:p>
        </w:tc>
      </w:tr>
      <w:tr w:rsidR="00662BE3" w14:paraId="62F1CDFA" w14:textId="77777777" w:rsidTr="00044738">
        <w:tc>
          <w:tcPr>
            <w:tcW w:w="940" w:type="dxa"/>
          </w:tcPr>
          <w:p w14:paraId="1F30B303" w14:textId="77777777" w:rsidR="00662BE3" w:rsidRDefault="00662BE3" w:rsidP="00044738">
            <w:pPr>
              <w:spacing w:after="160" w:line="259" w:lineRule="auto"/>
              <w:jc w:val="center"/>
              <w:rPr>
                <w:rFonts w:ascii="Calibri" w:eastAsia="Calibri" w:hAnsi="Calibri" w:cs="Calibri"/>
                <w:b/>
              </w:rPr>
            </w:pPr>
            <w:r>
              <w:rPr>
                <w:rFonts w:ascii="Calibri" w:eastAsia="Calibri" w:hAnsi="Calibri" w:cs="Calibri"/>
                <w:b/>
              </w:rPr>
              <w:t>Search 3</w:t>
            </w:r>
          </w:p>
        </w:tc>
        <w:tc>
          <w:tcPr>
            <w:tcW w:w="1361" w:type="dxa"/>
          </w:tcPr>
          <w:p w14:paraId="2A504DDC" w14:textId="77777777" w:rsidR="00662BE3" w:rsidRDefault="00662BE3" w:rsidP="00044738">
            <w:pPr>
              <w:spacing w:after="160" w:line="259" w:lineRule="auto"/>
              <w:rPr>
                <w:rFonts w:ascii="Calibri" w:eastAsia="Calibri" w:hAnsi="Calibri" w:cs="Calibri"/>
              </w:rPr>
            </w:pPr>
            <w:r>
              <w:rPr>
                <w:rFonts w:ascii="Calibri" w:eastAsia="Calibri" w:hAnsi="Calibri" w:cs="Calibri"/>
              </w:rPr>
              <w:t>Special Educational Need (SEN)</w:t>
            </w:r>
          </w:p>
        </w:tc>
        <w:tc>
          <w:tcPr>
            <w:tcW w:w="1167" w:type="dxa"/>
          </w:tcPr>
          <w:p w14:paraId="65C7CD9B" w14:textId="77777777" w:rsidR="00662BE3" w:rsidRDefault="00662BE3" w:rsidP="00044738">
            <w:pPr>
              <w:spacing w:after="160" w:line="259" w:lineRule="auto"/>
              <w:rPr>
                <w:rFonts w:ascii="Calibri" w:eastAsia="Calibri" w:hAnsi="Calibri" w:cs="Calibri"/>
              </w:rPr>
            </w:pPr>
            <w:r>
              <w:rPr>
                <w:rFonts w:ascii="Calibri" w:eastAsia="Calibri" w:hAnsi="Calibri" w:cs="Calibri"/>
              </w:rPr>
              <w:t>10897</w:t>
            </w:r>
          </w:p>
        </w:tc>
        <w:tc>
          <w:tcPr>
            <w:tcW w:w="1273" w:type="dxa"/>
          </w:tcPr>
          <w:p w14:paraId="3D27A799" w14:textId="77777777" w:rsidR="00662BE3" w:rsidRDefault="00662BE3" w:rsidP="00044738">
            <w:pPr>
              <w:spacing w:after="160" w:line="259" w:lineRule="auto"/>
              <w:rPr>
                <w:rFonts w:ascii="Calibri" w:eastAsia="Calibri" w:hAnsi="Calibri" w:cs="Calibri"/>
              </w:rPr>
            </w:pPr>
            <w:r>
              <w:rPr>
                <w:rFonts w:ascii="Calibri" w:eastAsia="Calibri" w:hAnsi="Calibri" w:cs="Calibri"/>
              </w:rPr>
              <w:t>7194</w:t>
            </w:r>
          </w:p>
        </w:tc>
        <w:tc>
          <w:tcPr>
            <w:tcW w:w="1033" w:type="dxa"/>
          </w:tcPr>
          <w:p w14:paraId="35556ED3" w14:textId="77777777" w:rsidR="00662BE3" w:rsidRDefault="00662BE3" w:rsidP="00044738">
            <w:pPr>
              <w:spacing w:after="160" w:line="259" w:lineRule="auto"/>
              <w:rPr>
                <w:rFonts w:ascii="Calibri" w:eastAsia="Calibri" w:hAnsi="Calibri" w:cs="Calibri"/>
              </w:rPr>
            </w:pPr>
            <w:r>
              <w:rPr>
                <w:rFonts w:ascii="Calibri" w:eastAsia="Calibri" w:hAnsi="Calibri" w:cs="Calibri"/>
              </w:rPr>
              <w:t>1138</w:t>
            </w:r>
          </w:p>
        </w:tc>
        <w:tc>
          <w:tcPr>
            <w:tcW w:w="1115" w:type="dxa"/>
          </w:tcPr>
          <w:p w14:paraId="2989711E" w14:textId="77777777" w:rsidR="00662BE3" w:rsidRDefault="00662BE3" w:rsidP="00044738">
            <w:pPr>
              <w:spacing w:after="160" w:line="259" w:lineRule="auto"/>
              <w:rPr>
                <w:rFonts w:ascii="Calibri" w:eastAsia="Calibri" w:hAnsi="Calibri" w:cs="Calibri"/>
              </w:rPr>
            </w:pPr>
            <w:r>
              <w:rPr>
                <w:rFonts w:ascii="Calibri" w:eastAsia="Calibri" w:hAnsi="Calibri" w:cs="Calibri"/>
              </w:rPr>
              <w:t>207</w:t>
            </w:r>
          </w:p>
        </w:tc>
        <w:tc>
          <w:tcPr>
            <w:tcW w:w="1120" w:type="dxa"/>
          </w:tcPr>
          <w:p w14:paraId="18C544EC" w14:textId="77777777" w:rsidR="00662BE3" w:rsidRDefault="00662BE3" w:rsidP="00044738">
            <w:pPr>
              <w:spacing w:after="160" w:line="259" w:lineRule="auto"/>
              <w:rPr>
                <w:rFonts w:ascii="Calibri" w:eastAsia="Calibri" w:hAnsi="Calibri" w:cs="Calibri"/>
              </w:rPr>
            </w:pPr>
            <w:r>
              <w:rPr>
                <w:rFonts w:ascii="Calibri" w:eastAsia="Calibri" w:hAnsi="Calibri" w:cs="Calibri"/>
              </w:rPr>
              <w:t>32</w:t>
            </w:r>
          </w:p>
        </w:tc>
      </w:tr>
      <w:tr w:rsidR="00662BE3" w14:paraId="7384E78B" w14:textId="77777777" w:rsidTr="00044738">
        <w:tc>
          <w:tcPr>
            <w:tcW w:w="940" w:type="dxa"/>
          </w:tcPr>
          <w:p w14:paraId="7177CB28" w14:textId="77777777" w:rsidR="00662BE3" w:rsidRDefault="00662BE3" w:rsidP="00044738">
            <w:pPr>
              <w:spacing w:after="160" w:line="259" w:lineRule="auto"/>
              <w:jc w:val="center"/>
              <w:rPr>
                <w:rFonts w:ascii="Calibri" w:eastAsia="Calibri" w:hAnsi="Calibri" w:cs="Calibri"/>
                <w:b/>
              </w:rPr>
            </w:pPr>
            <w:r>
              <w:rPr>
                <w:rFonts w:ascii="Calibri" w:eastAsia="Calibri" w:hAnsi="Calibri" w:cs="Calibri"/>
                <w:b/>
              </w:rPr>
              <w:t>Search 4</w:t>
            </w:r>
          </w:p>
        </w:tc>
        <w:tc>
          <w:tcPr>
            <w:tcW w:w="1361" w:type="dxa"/>
          </w:tcPr>
          <w:p w14:paraId="1BB9A77B" w14:textId="77777777" w:rsidR="00662BE3" w:rsidRDefault="00662BE3" w:rsidP="00044738">
            <w:pPr>
              <w:spacing w:after="160" w:line="259" w:lineRule="auto"/>
              <w:rPr>
                <w:rFonts w:ascii="Calibri" w:eastAsia="Calibri" w:hAnsi="Calibri" w:cs="Calibri"/>
              </w:rPr>
            </w:pPr>
            <w:r>
              <w:rPr>
                <w:rFonts w:ascii="Calibri" w:eastAsia="Calibri" w:hAnsi="Calibri" w:cs="Calibri"/>
              </w:rPr>
              <w:t>Additional Needs</w:t>
            </w:r>
          </w:p>
        </w:tc>
        <w:tc>
          <w:tcPr>
            <w:tcW w:w="1167" w:type="dxa"/>
          </w:tcPr>
          <w:p w14:paraId="3C5AED87" w14:textId="77777777" w:rsidR="00662BE3" w:rsidRDefault="00662BE3" w:rsidP="00044738">
            <w:pPr>
              <w:spacing w:after="160" w:line="259" w:lineRule="auto"/>
              <w:rPr>
                <w:rFonts w:ascii="Calibri" w:eastAsia="Calibri" w:hAnsi="Calibri" w:cs="Calibri"/>
              </w:rPr>
            </w:pPr>
            <w:r>
              <w:rPr>
                <w:rFonts w:ascii="Calibri" w:eastAsia="Calibri" w:hAnsi="Calibri" w:cs="Calibri"/>
              </w:rPr>
              <w:t>5701</w:t>
            </w:r>
          </w:p>
        </w:tc>
        <w:tc>
          <w:tcPr>
            <w:tcW w:w="1273" w:type="dxa"/>
          </w:tcPr>
          <w:p w14:paraId="075737B4" w14:textId="77777777" w:rsidR="00662BE3" w:rsidRDefault="00662BE3" w:rsidP="00044738">
            <w:pPr>
              <w:spacing w:after="160" w:line="259" w:lineRule="auto"/>
              <w:rPr>
                <w:rFonts w:ascii="Calibri" w:eastAsia="Calibri" w:hAnsi="Calibri" w:cs="Calibri"/>
              </w:rPr>
            </w:pPr>
            <w:r>
              <w:rPr>
                <w:rFonts w:ascii="Calibri" w:eastAsia="Calibri" w:hAnsi="Calibri" w:cs="Calibri"/>
              </w:rPr>
              <w:t>3684</w:t>
            </w:r>
          </w:p>
        </w:tc>
        <w:tc>
          <w:tcPr>
            <w:tcW w:w="1033" w:type="dxa"/>
          </w:tcPr>
          <w:p w14:paraId="380097D5" w14:textId="77777777" w:rsidR="00662BE3" w:rsidRDefault="00662BE3" w:rsidP="00044738">
            <w:pPr>
              <w:spacing w:after="160" w:line="259" w:lineRule="auto"/>
              <w:rPr>
                <w:rFonts w:ascii="Calibri" w:eastAsia="Calibri" w:hAnsi="Calibri" w:cs="Calibri"/>
              </w:rPr>
            </w:pPr>
            <w:r>
              <w:rPr>
                <w:rFonts w:ascii="Calibri" w:eastAsia="Calibri" w:hAnsi="Calibri" w:cs="Calibri"/>
              </w:rPr>
              <w:t>24</w:t>
            </w:r>
          </w:p>
        </w:tc>
        <w:tc>
          <w:tcPr>
            <w:tcW w:w="1115" w:type="dxa"/>
          </w:tcPr>
          <w:p w14:paraId="09CD9D00" w14:textId="77777777" w:rsidR="00662BE3" w:rsidRDefault="00662BE3" w:rsidP="00044738">
            <w:pPr>
              <w:spacing w:after="160" w:line="259" w:lineRule="auto"/>
              <w:rPr>
                <w:rFonts w:ascii="Calibri" w:eastAsia="Calibri" w:hAnsi="Calibri" w:cs="Calibri"/>
              </w:rPr>
            </w:pPr>
            <w:r>
              <w:rPr>
                <w:rFonts w:ascii="Calibri" w:eastAsia="Calibri" w:hAnsi="Calibri" w:cs="Calibri"/>
              </w:rPr>
              <w:t>0</w:t>
            </w:r>
          </w:p>
        </w:tc>
        <w:tc>
          <w:tcPr>
            <w:tcW w:w="1120" w:type="dxa"/>
          </w:tcPr>
          <w:p w14:paraId="300CBB94" w14:textId="77777777" w:rsidR="00662BE3" w:rsidRDefault="00662BE3" w:rsidP="00044738">
            <w:pPr>
              <w:spacing w:after="160" w:line="259" w:lineRule="auto"/>
              <w:rPr>
                <w:rFonts w:ascii="Calibri" w:eastAsia="Calibri" w:hAnsi="Calibri" w:cs="Calibri"/>
              </w:rPr>
            </w:pPr>
            <w:r>
              <w:rPr>
                <w:rFonts w:ascii="Calibri" w:eastAsia="Calibri" w:hAnsi="Calibri" w:cs="Calibri"/>
              </w:rPr>
              <w:t>20</w:t>
            </w:r>
          </w:p>
        </w:tc>
      </w:tr>
    </w:tbl>
    <w:p w14:paraId="4CB3A3F9" w14:textId="77777777" w:rsidR="00662BE3" w:rsidRDefault="00662BE3" w:rsidP="00662BE3">
      <w:pPr>
        <w:spacing w:after="160" w:line="259" w:lineRule="auto"/>
        <w:jc w:val="both"/>
        <w:rPr>
          <w:rFonts w:ascii="Calibri" w:eastAsia="Calibri" w:hAnsi="Calibri" w:cs="Calibri"/>
        </w:rPr>
      </w:pPr>
    </w:p>
    <w:p w14:paraId="22A677A0" w14:textId="77777777" w:rsidR="00662BE3" w:rsidRDefault="00662BE3" w:rsidP="00662BE3">
      <w:pPr>
        <w:spacing w:after="160" w:line="259" w:lineRule="auto"/>
        <w:jc w:val="both"/>
        <w:rPr>
          <w:rFonts w:ascii="Calibri" w:eastAsia="Calibri" w:hAnsi="Calibri" w:cs="Calibri"/>
        </w:rPr>
      </w:pPr>
    </w:p>
    <w:p w14:paraId="67480BBD" w14:textId="77777777" w:rsidR="00662BE3" w:rsidRDefault="00662BE3" w:rsidP="00662BE3">
      <w:pPr>
        <w:spacing w:after="160" w:line="259" w:lineRule="auto"/>
        <w:jc w:val="both"/>
        <w:rPr>
          <w:rFonts w:ascii="Calibri" w:eastAsia="Calibri" w:hAnsi="Calibri" w:cs="Calibri"/>
        </w:rPr>
      </w:pPr>
    </w:p>
    <w:p w14:paraId="51F750F6" w14:textId="77777777" w:rsidR="00662BE3" w:rsidRDefault="00662BE3" w:rsidP="00662BE3">
      <w:pPr>
        <w:spacing w:after="160" w:line="259" w:lineRule="auto"/>
        <w:jc w:val="both"/>
        <w:rPr>
          <w:rFonts w:ascii="Calibri" w:eastAsia="Calibri" w:hAnsi="Calibri" w:cs="Calibri"/>
        </w:rPr>
      </w:pPr>
    </w:p>
    <w:p w14:paraId="17E9DE83" w14:textId="77777777" w:rsidR="00662BE3" w:rsidRDefault="00662BE3" w:rsidP="00662BE3">
      <w:pPr>
        <w:spacing w:after="160" w:line="259" w:lineRule="auto"/>
        <w:jc w:val="both"/>
        <w:rPr>
          <w:rFonts w:ascii="Calibri" w:eastAsia="Calibri" w:hAnsi="Calibri" w:cs="Calibri"/>
        </w:rPr>
      </w:pPr>
    </w:p>
    <w:p w14:paraId="020A05B6" w14:textId="77777777" w:rsidR="00662BE3" w:rsidRDefault="00662BE3" w:rsidP="00662BE3">
      <w:pPr>
        <w:spacing w:after="160" w:line="259" w:lineRule="auto"/>
        <w:jc w:val="both"/>
        <w:rPr>
          <w:rFonts w:ascii="Calibri" w:eastAsia="Calibri" w:hAnsi="Calibri" w:cs="Calibri"/>
        </w:rPr>
      </w:pPr>
    </w:p>
    <w:p w14:paraId="5589BA7B" w14:textId="77777777" w:rsidR="00662BE3" w:rsidRDefault="00662BE3" w:rsidP="00662BE3">
      <w:pPr>
        <w:spacing w:after="160" w:line="259" w:lineRule="auto"/>
        <w:jc w:val="both"/>
        <w:rPr>
          <w:rFonts w:ascii="Calibri" w:eastAsia="Calibri" w:hAnsi="Calibri" w:cs="Calibri"/>
        </w:rPr>
      </w:pPr>
    </w:p>
    <w:p w14:paraId="1FC3F6B3" w14:textId="77777777" w:rsidR="00662BE3" w:rsidRDefault="00662BE3" w:rsidP="00662BE3">
      <w:pPr>
        <w:spacing w:after="160" w:line="259" w:lineRule="auto"/>
        <w:jc w:val="both"/>
        <w:rPr>
          <w:rFonts w:ascii="Calibri" w:eastAsia="Calibri" w:hAnsi="Calibri" w:cs="Calibri"/>
        </w:rPr>
      </w:pPr>
    </w:p>
    <w:p w14:paraId="3BDBFEBB" w14:textId="77777777" w:rsidR="00662BE3" w:rsidRDefault="00662BE3" w:rsidP="00662BE3">
      <w:pPr>
        <w:spacing w:after="160" w:line="259" w:lineRule="auto"/>
        <w:jc w:val="both"/>
        <w:rPr>
          <w:rFonts w:ascii="Calibri" w:eastAsia="Calibri" w:hAnsi="Calibri" w:cs="Calibri"/>
        </w:rPr>
      </w:pPr>
    </w:p>
    <w:p w14:paraId="01C80D46" w14:textId="77777777" w:rsidR="00662BE3" w:rsidRDefault="00662BE3" w:rsidP="00662BE3">
      <w:pPr>
        <w:spacing w:after="160" w:line="259" w:lineRule="auto"/>
        <w:jc w:val="both"/>
        <w:rPr>
          <w:rFonts w:ascii="Calibri" w:eastAsia="Calibri" w:hAnsi="Calibri" w:cs="Calibri"/>
        </w:rPr>
      </w:pPr>
    </w:p>
    <w:p w14:paraId="72B1F8E3" w14:textId="77777777" w:rsidR="00662BE3" w:rsidRDefault="00662BE3" w:rsidP="00662BE3">
      <w:pPr>
        <w:spacing w:after="160" w:line="259" w:lineRule="auto"/>
        <w:jc w:val="both"/>
        <w:rPr>
          <w:rFonts w:ascii="Calibri" w:eastAsia="Calibri" w:hAnsi="Calibri" w:cs="Calibri"/>
        </w:rPr>
      </w:pPr>
    </w:p>
    <w:p w14:paraId="30A62117" w14:textId="77777777" w:rsidR="00662BE3" w:rsidRDefault="00662BE3" w:rsidP="00662BE3">
      <w:pPr>
        <w:spacing w:after="160" w:line="259" w:lineRule="auto"/>
        <w:jc w:val="both"/>
        <w:rPr>
          <w:rFonts w:ascii="Calibri" w:eastAsia="Calibri" w:hAnsi="Calibri" w:cs="Calibri"/>
        </w:rPr>
      </w:pPr>
    </w:p>
    <w:p w14:paraId="70504D3D" w14:textId="77777777" w:rsidR="00662BE3" w:rsidRDefault="00662BE3" w:rsidP="00662BE3">
      <w:pPr>
        <w:spacing w:after="160" w:line="259" w:lineRule="auto"/>
        <w:jc w:val="both"/>
        <w:rPr>
          <w:rFonts w:ascii="Calibri" w:eastAsia="Calibri" w:hAnsi="Calibri" w:cs="Calibri"/>
        </w:rPr>
      </w:pPr>
    </w:p>
    <w:p w14:paraId="53B00DDA" w14:textId="77777777" w:rsidR="00662BE3" w:rsidRDefault="00662BE3" w:rsidP="00662BE3">
      <w:pPr>
        <w:spacing w:after="160" w:line="259" w:lineRule="auto"/>
        <w:jc w:val="both"/>
        <w:rPr>
          <w:rFonts w:ascii="Calibri" w:eastAsia="Calibri" w:hAnsi="Calibri" w:cs="Calibri"/>
        </w:rPr>
      </w:pPr>
    </w:p>
    <w:p w14:paraId="2410453B" w14:textId="77777777" w:rsidR="00662BE3" w:rsidRDefault="00662BE3" w:rsidP="00662BE3">
      <w:pPr>
        <w:spacing w:after="160" w:line="259" w:lineRule="auto"/>
        <w:jc w:val="both"/>
        <w:rPr>
          <w:rFonts w:ascii="Calibri" w:eastAsia="Calibri" w:hAnsi="Calibri" w:cs="Calibri"/>
        </w:rPr>
      </w:pPr>
    </w:p>
    <w:p w14:paraId="1F3CA487" w14:textId="77777777" w:rsidR="00662BE3" w:rsidRDefault="00662BE3" w:rsidP="00662BE3">
      <w:pPr>
        <w:spacing w:after="160" w:line="259" w:lineRule="auto"/>
        <w:jc w:val="both"/>
        <w:rPr>
          <w:rFonts w:ascii="Calibri" w:eastAsia="Calibri" w:hAnsi="Calibri" w:cs="Calibri"/>
        </w:rPr>
      </w:pPr>
    </w:p>
    <w:p w14:paraId="74809C71" w14:textId="77777777" w:rsidR="00662BE3" w:rsidRDefault="00662BE3" w:rsidP="00662BE3">
      <w:pPr>
        <w:spacing w:after="160" w:line="259" w:lineRule="auto"/>
        <w:jc w:val="both"/>
        <w:rPr>
          <w:rFonts w:ascii="Calibri" w:eastAsia="Calibri" w:hAnsi="Calibri" w:cs="Calibri"/>
          <w:b/>
        </w:rPr>
      </w:pPr>
      <w:r>
        <w:rPr>
          <w:rFonts w:ascii="Calibri" w:eastAsia="Calibri" w:hAnsi="Calibri" w:cs="Calibri"/>
          <w:b/>
        </w:rPr>
        <w:t>Table 2: Incidence of the Fault Lines</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
        <w:gridCol w:w="932"/>
        <w:gridCol w:w="932"/>
        <w:gridCol w:w="932"/>
        <w:gridCol w:w="932"/>
        <w:gridCol w:w="932"/>
        <w:gridCol w:w="932"/>
        <w:gridCol w:w="932"/>
        <w:gridCol w:w="932"/>
        <w:gridCol w:w="932"/>
      </w:tblGrid>
      <w:tr w:rsidR="00662BE3" w14:paraId="20267EB8" w14:textId="77777777" w:rsidTr="00044738">
        <w:tc>
          <w:tcPr>
            <w:tcW w:w="962" w:type="dxa"/>
          </w:tcPr>
          <w:p w14:paraId="04FE8D3F" w14:textId="77777777" w:rsidR="00662BE3" w:rsidRDefault="00662BE3" w:rsidP="00044738">
            <w:pPr>
              <w:spacing w:after="160" w:line="259" w:lineRule="auto"/>
              <w:jc w:val="both"/>
              <w:rPr>
                <w:rFonts w:ascii="Calibri" w:eastAsia="Calibri" w:hAnsi="Calibri" w:cs="Calibri"/>
                <w:b/>
              </w:rPr>
            </w:pPr>
            <w:r>
              <w:rPr>
                <w:rFonts w:ascii="Calibri" w:eastAsia="Calibri" w:hAnsi="Calibri" w:cs="Calibri"/>
                <w:b/>
              </w:rPr>
              <w:t>Fault line</w:t>
            </w:r>
          </w:p>
        </w:tc>
        <w:tc>
          <w:tcPr>
            <w:tcW w:w="932" w:type="dxa"/>
          </w:tcPr>
          <w:p w14:paraId="347D5678" w14:textId="77777777" w:rsidR="00662BE3" w:rsidRDefault="00662BE3" w:rsidP="00044738">
            <w:pPr>
              <w:spacing w:after="160" w:line="259" w:lineRule="auto"/>
              <w:jc w:val="both"/>
              <w:rPr>
                <w:rFonts w:ascii="Calibri" w:eastAsia="Calibri" w:hAnsi="Calibri" w:cs="Calibri"/>
                <w:b/>
              </w:rPr>
            </w:pPr>
            <w:r>
              <w:rPr>
                <w:rFonts w:ascii="Calibri" w:eastAsia="Calibri" w:hAnsi="Calibri" w:cs="Calibri"/>
                <w:b/>
              </w:rPr>
              <w:t>2014</w:t>
            </w:r>
          </w:p>
        </w:tc>
        <w:tc>
          <w:tcPr>
            <w:tcW w:w="932" w:type="dxa"/>
          </w:tcPr>
          <w:p w14:paraId="476B165B" w14:textId="77777777" w:rsidR="00662BE3" w:rsidRDefault="00662BE3" w:rsidP="00044738">
            <w:pPr>
              <w:spacing w:after="160" w:line="259" w:lineRule="auto"/>
              <w:jc w:val="both"/>
              <w:rPr>
                <w:rFonts w:ascii="Calibri" w:eastAsia="Calibri" w:hAnsi="Calibri" w:cs="Calibri"/>
                <w:b/>
              </w:rPr>
            </w:pPr>
            <w:r>
              <w:rPr>
                <w:rFonts w:ascii="Calibri" w:eastAsia="Calibri" w:hAnsi="Calibri" w:cs="Calibri"/>
                <w:b/>
              </w:rPr>
              <w:t>2015</w:t>
            </w:r>
          </w:p>
        </w:tc>
        <w:tc>
          <w:tcPr>
            <w:tcW w:w="932" w:type="dxa"/>
          </w:tcPr>
          <w:p w14:paraId="724575F3" w14:textId="77777777" w:rsidR="00662BE3" w:rsidRDefault="00662BE3" w:rsidP="00044738">
            <w:pPr>
              <w:spacing w:after="160" w:line="259" w:lineRule="auto"/>
              <w:jc w:val="both"/>
              <w:rPr>
                <w:rFonts w:ascii="Calibri" w:eastAsia="Calibri" w:hAnsi="Calibri" w:cs="Calibri"/>
                <w:b/>
              </w:rPr>
            </w:pPr>
            <w:r>
              <w:rPr>
                <w:rFonts w:ascii="Calibri" w:eastAsia="Calibri" w:hAnsi="Calibri" w:cs="Calibri"/>
                <w:b/>
              </w:rPr>
              <w:t>2016</w:t>
            </w:r>
          </w:p>
        </w:tc>
        <w:tc>
          <w:tcPr>
            <w:tcW w:w="932" w:type="dxa"/>
          </w:tcPr>
          <w:p w14:paraId="6DCAE3C2" w14:textId="77777777" w:rsidR="00662BE3" w:rsidRDefault="00662BE3" w:rsidP="00044738">
            <w:pPr>
              <w:spacing w:after="160" w:line="259" w:lineRule="auto"/>
              <w:jc w:val="both"/>
              <w:rPr>
                <w:rFonts w:ascii="Calibri" w:eastAsia="Calibri" w:hAnsi="Calibri" w:cs="Calibri"/>
                <w:b/>
              </w:rPr>
            </w:pPr>
            <w:r>
              <w:rPr>
                <w:rFonts w:ascii="Calibri" w:eastAsia="Calibri" w:hAnsi="Calibri" w:cs="Calibri"/>
                <w:b/>
              </w:rPr>
              <w:t>2017</w:t>
            </w:r>
          </w:p>
        </w:tc>
        <w:tc>
          <w:tcPr>
            <w:tcW w:w="932" w:type="dxa"/>
          </w:tcPr>
          <w:p w14:paraId="1B908CAE" w14:textId="77777777" w:rsidR="00662BE3" w:rsidRDefault="00662BE3" w:rsidP="00044738">
            <w:pPr>
              <w:spacing w:after="160" w:line="259" w:lineRule="auto"/>
              <w:jc w:val="both"/>
              <w:rPr>
                <w:rFonts w:ascii="Calibri" w:eastAsia="Calibri" w:hAnsi="Calibri" w:cs="Calibri"/>
                <w:b/>
              </w:rPr>
            </w:pPr>
            <w:r>
              <w:rPr>
                <w:rFonts w:ascii="Calibri" w:eastAsia="Calibri" w:hAnsi="Calibri" w:cs="Calibri"/>
                <w:b/>
              </w:rPr>
              <w:t>2018</w:t>
            </w:r>
          </w:p>
        </w:tc>
        <w:tc>
          <w:tcPr>
            <w:tcW w:w="932" w:type="dxa"/>
          </w:tcPr>
          <w:p w14:paraId="1371A4CA" w14:textId="77777777" w:rsidR="00662BE3" w:rsidRDefault="00662BE3" w:rsidP="00044738">
            <w:pPr>
              <w:spacing w:after="160" w:line="259" w:lineRule="auto"/>
              <w:jc w:val="both"/>
              <w:rPr>
                <w:rFonts w:ascii="Calibri" w:eastAsia="Calibri" w:hAnsi="Calibri" w:cs="Calibri"/>
                <w:b/>
              </w:rPr>
            </w:pPr>
            <w:r>
              <w:rPr>
                <w:rFonts w:ascii="Calibri" w:eastAsia="Calibri" w:hAnsi="Calibri" w:cs="Calibri"/>
                <w:b/>
              </w:rPr>
              <w:t>2019</w:t>
            </w:r>
          </w:p>
        </w:tc>
        <w:tc>
          <w:tcPr>
            <w:tcW w:w="932" w:type="dxa"/>
          </w:tcPr>
          <w:p w14:paraId="09CB87FE" w14:textId="77777777" w:rsidR="00662BE3" w:rsidRDefault="00662BE3" w:rsidP="00044738">
            <w:pPr>
              <w:spacing w:after="160" w:line="259" w:lineRule="auto"/>
              <w:jc w:val="both"/>
              <w:rPr>
                <w:rFonts w:ascii="Calibri" w:eastAsia="Calibri" w:hAnsi="Calibri" w:cs="Calibri"/>
                <w:b/>
              </w:rPr>
            </w:pPr>
            <w:r>
              <w:rPr>
                <w:rFonts w:ascii="Calibri" w:eastAsia="Calibri" w:hAnsi="Calibri" w:cs="Calibri"/>
                <w:b/>
              </w:rPr>
              <w:t>2020</w:t>
            </w:r>
          </w:p>
        </w:tc>
        <w:tc>
          <w:tcPr>
            <w:tcW w:w="932" w:type="dxa"/>
          </w:tcPr>
          <w:p w14:paraId="602CCE00" w14:textId="77777777" w:rsidR="00662BE3" w:rsidRDefault="00662BE3" w:rsidP="00044738">
            <w:pPr>
              <w:spacing w:after="160" w:line="259" w:lineRule="auto"/>
              <w:jc w:val="both"/>
              <w:rPr>
                <w:rFonts w:ascii="Calibri" w:eastAsia="Calibri" w:hAnsi="Calibri" w:cs="Calibri"/>
                <w:b/>
              </w:rPr>
            </w:pPr>
            <w:r>
              <w:rPr>
                <w:rFonts w:ascii="Calibri" w:eastAsia="Calibri" w:hAnsi="Calibri" w:cs="Calibri"/>
                <w:b/>
              </w:rPr>
              <w:t>2021</w:t>
            </w:r>
          </w:p>
        </w:tc>
        <w:tc>
          <w:tcPr>
            <w:tcW w:w="932" w:type="dxa"/>
          </w:tcPr>
          <w:p w14:paraId="31E7AEB7" w14:textId="77777777" w:rsidR="00662BE3" w:rsidRDefault="00662BE3" w:rsidP="00044738">
            <w:pPr>
              <w:spacing w:after="160" w:line="259" w:lineRule="auto"/>
              <w:jc w:val="both"/>
              <w:rPr>
                <w:rFonts w:ascii="Calibri" w:eastAsia="Calibri" w:hAnsi="Calibri" w:cs="Calibri"/>
                <w:b/>
              </w:rPr>
            </w:pPr>
            <w:r>
              <w:rPr>
                <w:rFonts w:ascii="Calibri" w:eastAsia="Calibri" w:hAnsi="Calibri" w:cs="Calibri"/>
                <w:b/>
              </w:rPr>
              <w:t>May -2022</w:t>
            </w:r>
          </w:p>
        </w:tc>
      </w:tr>
      <w:tr w:rsidR="00662BE3" w14:paraId="6992D127" w14:textId="77777777" w:rsidTr="00044738">
        <w:tc>
          <w:tcPr>
            <w:tcW w:w="962" w:type="dxa"/>
          </w:tcPr>
          <w:p w14:paraId="7FD82352" w14:textId="77777777" w:rsidR="00662BE3" w:rsidRDefault="00662BE3" w:rsidP="00044738">
            <w:pPr>
              <w:spacing w:after="160" w:line="259" w:lineRule="auto"/>
              <w:jc w:val="both"/>
              <w:rPr>
                <w:rFonts w:ascii="Calibri" w:eastAsia="Calibri" w:hAnsi="Calibri" w:cs="Calibri"/>
                <w:b/>
              </w:rPr>
            </w:pPr>
            <w:r>
              <w:rPr>
                <w:rFonts w:ascii="Calibri" w:eastAsia="Calibri" w:hAnsi="Calibri" w:cs="Calibri"/>
                <w:b/>
              </w:rPr>
              <w:t>Parent/ pupil voice</w:t>
            </w:r>
          </w:p>
        </w:tc>
        <w:tc>
          <w:tcPr>
            <w:tcW w:w="932" w:type="dxa"/>
          </w:tcPr>
          <w:p w14:paraId="21CFEFC3"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27</w:t>
            </w:r>
          </w:p>
        </w:tc>
        <w:tc>
          <w:tcPr>
            <w:tcW w:w="932" w:type="dxa"/>
          </w:tcPr>
          <w:p w14:paraId="412DBFC4"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7</w:t>
            </w:r>
          </w:p>
        </w:tc>
        <w:tc>
          <w:tcPr>
            <w:tcW w:w="932" w:type="dxa"/>
          </w:tcPr>
          <w:p w14:paraId="13229753"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3</w:t>
            </w:r>
          </w:p>
        </w:tc>
        <w:tc>
          <w:tcPr>
            <w:tcW w:w="932" w:type="dxa"/>
          </w:tcPr>
          <w:p w14:paraId="31140BD1"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5</w:t>
            </w:r>
          </w:p>
        </w:tc>
        <w:tc>
          <w:tcPr>
            <w:tcW w:w="932" w:type="dxa"/>
          </w:tcPr>
          <w:p w14:paraId="69162166"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42</w:t>
            </w:r>
          </w:p>
        </w:tc>
        <w:tc>
          <w:tcPr>
            <w:tcW w:w="932" w:type="dxa"/>
          </w:tcPr>
          <w:p w14:paraId="110C230B"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43</w:t>
            </w:r>
          </w:p>
        </w:tc>
        <w:tc>
          <w:tcPr>
            <w:tcW w:w="932" w:type="dxa"/>
          </w:tcPr>
          <w:p w14:paraId="19A9206F"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20</w:t>
            </w:r>
          </w:p>
        </w:tc>
        <w:tc>
          <w:tcPr>
            <w:tcW w:w="932" w:type="dxa"/>
          </w:tcPr>
          <w:p w14:paraId="084E0816"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21</w:t>
            </w:r>
          </w:p>
        </w:tc>
        <w:tc>
          <w:tcPr>
            <w:tcW w:w="932" w:type="dxa"/>
          </w:tcPr>
          <w:p w14:paraId="3498EB97"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2</w:t>
            </w:r>
          </w:p>
        </w:tc>
      </w:tr>
      <w:tr w:rsidR="00662BE3" w14:paraId="7A8EC3E8" w14:textId="77777777" w:rsidTr="00044738">
        <w:tc>
          <w:tcPr>
            <w:tcW w:w="962" w:type="dxa"/>
          </w:tcPr>
          <w:p w14:paraId="406EA214" w14:textId="77777777" w:rsidR="00662BE3" w:rsidRDefault="00662BE3" w:rsidP="00044738">
            <w:pPr>
              <w:spacing w:after="160" w:line="259" w:lineRule="auto"/>
              <w:jc w:val="both"/>
              <w:rPr>
                <w:rFonts w:ascii="Calibri" w:eastAsia="Calibri" w:hAnsi="Calibri" w:cs="Calibri"/>
                <w:b/>
              </w:rPr>
            </w:pPr>
            <w:r>
              <w:rPr>
                <w:rFonts w:ascii="Calibri" w:eastAsia="Calibri" w:hAnsi="Calibri" w:cs="Calibri"/>
                <w:b/>
              </w:rPr>
              <w:t>Multi- Agency</w:t>
            </w:r>
          </w:p>
        </w:tc>
        <w:tc>
          <w:tcPr>
            <w:tcW w:w="932" w:type="dxa"/>
          </w:tcPr>
          <w:p w14:paraId="6F4CBC18"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25</w:t>
            </w:r>
          </w:p>
        </w:tc>
        <w:tc>
          <w:tcPr>
            <w:tcW w:w="932" w:type="dxa"/>
          </w:tcPr>
          <w:p w14:paraId="6DD8D4F5"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7</w:t>
            </w:r>
          </w:p>
        </w:tc>
        <w:tc>
          <w:tcPr>
            <w:tcW w:w="932" w:type="dxa"/>
          </w:tcPr>
          <w:p w14:paraId="326EBF1B"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0</w:t>
            </w:r>
          </w:p>
        </w:tc>
        <w:tc>
          <w:tcPr>
            <w:tcW w:w="932" w:type="dxa"/>
          </w:tcPr>
          <w:p w14:paraId="5DA62B46"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11</w:t>
            </w:r>
          </w:p>
        </w:tc>
        <w:tc>
          <w:tcPr>
            <w:tcW w:w="932" w:type="dxa"/>
          </w:tcPr>
          <w:p w14:paraId="4AD70CAC"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11</w:t>
            </w:r>
          </w:p>
        </w:tc>
        <w:tc>
          <w:tcPr>
            <w:tcW w:w="932" w:type="dxa"/>
          </w:tcPr>
          <w:p w14:paraId="370E0012"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20</w:t>
            </w:r>
          </w:p>
        </w:tc>
        <w:tc>
          <w:tcPr>
            <w:tcW w:w="932" w:type="dxa"/>
          </w:tcPr>
          <w:p w14:paraId="2F25875C"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3</w:t>
            </w:r>
          </w:p>
        </w:tc>
        <w:tc>
          <w:tcPr>
            <w:tcW w:w="932" w:type="dxa"/>
          </w:tcPr>
          <w:p w14:paraId="4DC69F93"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10</w:t>
            </w:r>
          </w:p>
        </w:tc>
        <w:tc>
          <w:tcPr>
            <w:tcW w:w="932" w:type="dxa"/>
          </w:tcPr>
          <w:p w14:paraId="57E4AB5C"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9</w:t>
            </w:r>
          </w:p>
        </w:tc>
      </w:tr>
      <w:tr w:rsidR="00662BE3" w14:paraId="28A50463" w14:textId="77777777" w:rsidTr="00044738">
        <w:tc>
          <w:tcPr>
            <w:tcW w:w="962" w:type="dxa"/>
          </w:tcPr>
          <w:p w14:paraId="51FE932A" w14:textId="77777777" w:rsidR="00662BE3" w:rsidRDefault="00662BE3" w:rsidP="00044738">
            <w:pPr>
              <w:spacing w:after="160" w:line="259" w:lineRule="auto"/>
              <w:jc w:val="both"/>
              <w:rPr>
                <w:rFonts w:ascii="Calibri" w:eastAsia="Calibri" w:hAnsi="Calibri" w:cs="Calibri"/>
                <w:b/>
              </w:rPr>
            </w:pPr>
            <w:r>
              <w:rPr>
                <w:rFonts w:ascii="Calibri" w:eastAsia="Calibri" w:hAnsi="Calibri" w:cs="Calibri"/>
                <w:b/>
              </w:rPr>
              <w:t>Training</w:t>
            </w:r>
          </w:p>
        </w:tc>
        <w:tc>
          <w:tcPr>
            <w:tcW w:w="932" w:type="dxa"/>
          </w:tcPr>
          <w:p w14:paraId="2E60A413"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17</w:t>
            </w:r>
          </w:p>
        </w:tc>
        <w:tc>
          <w:tcPr>
            <w:tcW w:w="932" w:type="dxa"/>
          </w:tcPr>
          <w:p w14:paraId="4C83435F"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5</w:t>
            </w:r>
          </w:p>
        </w:tc>
        <w:tc>
          <w:tcPr>
            <w:tcW w:w="932" w:type="dxa"/>
          </w:tcPr>
          <w:p w14:paraId="62BC5E83"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5</w:t>
            </w:r>
          </w:p>
        </w:tc>
        <w:tc>
          <w:tcPr>
            <w:tcW w:w="932" w:type="dxa"/>
          </w:tcPr>
          <w:p w14:paraId="6F82C0F9"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3</w:t>
            </w:r>
          </w:p>
        </w:tc>
        <w:tc>
          <w:tcPr>
            <w:tcW w:w="932" w:type="dxa"/>
          </w:tcPr>
          <w:p w14:paraId="0631F431"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22</w:t>
            </w:r>
          </w:p>
        </w:tc>
        <w:tc>
          <w:tcPr>
            <w:tcW w:w="932" w:type="dxa"/>
          </w:tcPr>
          <w:p w14:paraId="4571A649"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14</w:t>
            </w:r>
          </w:p>
        </w:tc>
        <w:tc>
          <w:tcPr>
            <w:tcW w:w="932" w:type="dxa"/>
          </w:tcPr>
          <w:p w14:paraId="340517FC"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3</w:t>
            </w:r>
          </w:p>
        </w:tc>
        <w:tc>
          <w:tcPr>
            <w:tcW w:w="932" w:type="dxa"/>
          </w:tcPr>
          <w:p w14:paraId="4275F3BE"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7</w:t>
            </w:r>
          </w:p>
        </w:tc>
        <w:tc>
          <w:tcPr>
            <w:tcW w:w="932" w:type="dxa"/>
          </w:tcPr>
          <w:p w14:paraId="421487A8"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0</w:t>
            </w:r>
          </w:p>
        </w:tc>
      </w:tr>
      <w:tr w:rsidR="00662BE3" w14:paraId="44E498A1" w14:textId="77777777" w:rsidTr="00044738">
        <w:tc>
          <w:tcPr>
            <w:tcW w:w="962" w:type="dxa"/>
          </w:tcPr>
          <w:p w14:paraId="5DA600F6" w14:textId="77777777" w:rsidR="00662BE3" w:rsidRDefault="00662BE3" w:rsidP="00044738">
            <w:pPr>
              <w:spacing w:after="160" w:line="259" w:lineRule="auto"/>
              <w:jc w:val="both"/>
              <w:rPr>
                <w:rFonts w:ascii="Calibri" w:eastAsia="Calibri" w:hAnsi="Calibri" w:cs="Calibri"/>
                <w:b/>
              </w:rPr>
            </w:pPr>
            <w:r>
              <w:rPr>
                <w:rFonts w:ascii="Calibri" w:eastAsia="Calibri" w:hAnsi="Calibri" w:cs="Calibri"/>
                <w:b/>
              </w:rPr>
              <w:t>Funding</w:t>
            </w:r>
          </w:p>
        </w:tc>
        <w:tc>
          <w:tcPr>
            <w:tcW w:w="932" w:type="dxa"/>
          </w:tcPr>
          <w:p w14:paraId="447FC3A5"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7</w:t>
            </w:r>
          </w:p>
        </w:tc>
        <w:tc>
          <w:tcPr>
            <w:tcW w:w="932" w:type="dxa"/>
          </w:tcPr>
          <w:p w14:paraId="74816874"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22</w:t>
            </w:r>
          </w:p>
        </w:tc>
        <w:tc>
          <w:tcPr>
            <w:tcW w:w="932" w:type="dxa"/>
          </w:tcPr>
          <w:p w14:paraId="23913057"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11</w:t>
            </w:r>
          </w:p>
        </w:tc>
        <w:tc>
          <w:tcPr>
            <w:tcW w:w="932" w:type="dxa"/>
          </w:tcPr>
          <w:p w14:paraId="13F8395F"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51</w:t>
            </w:r>
          </w:p>
        </w:tc>
        <w:tc>
          <w:tcPr>
            <w:tcW w:w="932" w:type="dxa"/>
          </w:tcPr>
          <w:p w14:paraId="34BDBB18"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68</w:t>
            </w:r>
          </w:p>
        </w:tc>
        <w:tc>
          <w:tcPr>
            <w:tcW w:w="932" w:type="dxa"/>
          </w:tcPr>
          <w:p w14:paraId="6DBF496E"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110</w:t>
            </w:r>
          </w:p>
        </w:tc>
        <w:tc>
          <w:tcPr>
            <w:tcW w:w="932" w:type="dxa"/>
          </w:tcPr>
          <w:p w14:paraId="5E70E643"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42</w:t>
            </w:r>
          </w:p>
        </w:tc>
        <w:tc>
          <w:tcPr>
            <w:tcW w:w="932" w:type="dxa"/>
          </w:tcPr>
          <w:p w14:paraId="2C3E885C"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11</w:t>
            </w:r>
          </w:p>
        </w:tc>
        <w:tc>
          <w:tcPr>
            <w:tcW w:w="932" w:type="dxa"/>
          </w:tcPr>
          <w:p w14:paraId="7601FA19"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4</w:t>
            </w:r>
          </w:p>
        </w:tc>
      </w:tr>
      <w:tr w:rsidR="00662BE3" w14:paraId="70FEA7FF" w14:textId="77777777" w:rsidTr="00044738">
        <w:tc>
          <w:tcPr>
            <w:tcW w:w="962" w:type="dxa"/>
          </w:tcPr>
          <w:p w14:paraId="10C02298" w14:textId="77777777" w:rsidR="00662BE3" w:rsidRDefault="00662BE3" w:rsidP="00044738">
            <w:pPr>
              <w:spacing w:after="160" w:line="259" w:lineRule="auto"/>
              <w:jc w:val="both"/>
              <w:rPr>
                <w:rFonts w:ascii="Calibri" w:eastAsia="Calibri" w:hAnsi="Calibri" w:cs="Calibri"/>
                <w:b/>
              </w:rPr>
            </w:pPr>
            <w:r>
              <w:rPr>
                <w:rFonts w:ascii="Calibri" w:eastAsia="Calibri" w:hAnsi="Calibri" w:cs="Calibri"/>
                <w:b/>
              </w:rPr>
              <w:t>Totals</w:t>
            </w:r>
          </w:p>
        </w:tc>
        <w:tc>
          <w:tcPr>
            <w:tcW w:w="932" w:type="dxa"/>
          </w:tcPr>
          <w:p w14:paraId="35FBED59"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76</w:t>
            </w:r>
          </w:p>
        </w:tc>
        <w:tc>
          <w:tcPr>
            <w:tcW w:w="932" w:type="dxa"/>
          </w:tcPr>
          <w:p w14:paraId="1CCD37CA"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41</w:t>
            </w:r>
          </w:p>
        </w:tc>
        <w:tc>
          <w:tcPr>
            <w:tcW w:w="932" w:type="dxa"/>
          </w:tcPr>
          <w:p w14:paraId="07E20CAA"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19</w:t>
            </w:r>
          </w:p>
        </w:tc>
        <w:tc>
          <w:tcPr>
            <w:tcW w:w="932" w:type="dxa"/>
          </w:tcPr>
          <w:p w14:paraId="060C85CA"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70</w:t>
            </w:r>
          </w:p>
        </w:tc>
        <w:tc>
          <w:tcPr>
            <w:tcW w:w="932" w:type="dxa"/>
          </w:tcPr>
          <w:p w14:paraId="29755A6B"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143</w:t>
            </w:r>
          </w:p>
        </w:tc>
        <w:tc>
          <w:tcPr>
            <w:tcW w:w="932" w:type="dxa"/>
          </w:tcPr>
          <w:p w14:paraId="161A9204"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187</w:t>
            </w:r>
          </w:p>
        </w:tc>
        <w:tc>
          <w:tcPr>
            <w:tcW w:w="932" w:type="dxa"/>
          </w:tcPr>
          <w:p w14:paraId="14606073" w14:textId="77777777" w:rsidR="00662BE3" w:rsidRDefault="00662BE3" w:rsidP="00044738">
            <w:pPr>
              <w:spacing w:after="160" w:line="259" w:lineRule="auto"/>
              <w:jc w:val="both"/>
              <w:rPr>
                <w:rFonts w:ascii="Calibri" w:eastAsia="Calibri" w:hAnsi="Calibri" w:cs="Calibri"/>
                <w:u w:val="single"/>
              </w:rPr>
            </w:pPr>
            <w:r>
              <w:rPr>
                <w:rFonts w:ascii="Calibri" w:eastAsia="Calibri" w:hAnsi="Calibri" w:cs="Calibri"/>
              </w:rPr>
              <w:t>68</w:t>
            </w:r>
          </w:p>
        </w:tc>
        <w:tc>
          <w:tcPr>
            <w:tcW w:w="932" w:type="dxa"/>
          </w:tcPr>
          <w:p w14:paraId="5060C9B5"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49</w:t>
            </w:r>
          </w:p>
        </w:tc>
        <w:tc>
          <w:tcPr>
            <w:tcW w:w="932" w:type="dxa"/>
          </w:tcPr>
          <w:p w14:paraId="2C270BDB" w14:textId="77777777" w:rsidR="00662BE3" w:rsidRDefault="00662BE3" w:rsidP="00044738">
            <w:pPr>
              <w:spacing w:after="160" w:line="259" w:lineRule="auto"/>
              <w:jc w:val="both"/>
              <w:rPr>
                <w:rFonts w:ascii="Calibri" w:eastAsia="Calibri" w:hAnsi="Calibri" w:cs="Calibri"/>
              </w:rPr>
            </w:pPr>
            <w:r>
              <w:rPr>
                <w:rFonts w:ascii="Calibri" w:eastAsia="Calibri" w:hAnsi="Calibri" w:cs="Calibri"/>
              </w:rPr>
              <w:t>15</w:t>
            </w:r>
          </w:p>
        </w:tc>
      </w:tr>
    </w:tbl>
    <w:p w14:paraId="747FE0DD" w14:textId="77777777" w:rsidR="00662BE3" w:rsidRDefault="00662BE3" w:rsidP="00662BE3">
      <w:pPr>
        <w:spacing w:after="160" w:line="259" w:lineRule="auto"/>
        <w:jc w:val="both"/>
        <w:rPr>
          <w:b/>
          <w:color w:val="3E3D40"/>
        </w:rPr>
      </w:pPr>
    </w:p>
    <w:p w14:paraId="68E2689B" w14:textId="77777777" w:rsidR="00662BE3" w:rsidRDefault="00662BE3" w:rsidP="00662BE3">
      <w:pPr>
        <w:spacing w:after="160" w:line="259" w:lineRule="auto"/>
        <w:jc w:val="both"/>
        <w:rPr>
          <w:b/>
          <w:color w:val="3E3D40"/>
        </w:rPr>
      </w:pPr>
    </w:p>
    <w:p w14:paraId="50D3F8EB" w14:textId="77777777" w:rsidR="00662BE3" w:rsidRDefault="00662BE3" w:rsidP="00662BE3">
      <w:pPr>
        <w:spacing w:after="160" w:line="259" w:lineRule="auto"/>
        <w:jc w:val="both"/>
        <w:rPr>
          <w:b/>
          <w:color w:val="3E3D40"/>
        </w:rPr>
      </w:pPr>
    </w:p>
    <w:p w14:paraId="6F013DD0" w14:textId="77777777" w:rsidR="00662BE3" w:rsidRDefault="00662BE3" w:rsidP="00662BE3">
      <w:pPr>
        <w:spacing w:after="160" w:line="259" w:lineRule="auto"/>
        <w:jc w:val="both"/>
        <w:rPr>
          <w:b/>
          <w:color w:val="3E3D40"/>
        </w:rPr>
      </w:pPr>
    </w:p>
    <w:p w14:paraId="1DAD4ABA" w14:textId="77777777" w:rsidR="00662BE3" w:rsidRDefault="00662BE3" w:rsidP="00662BE3">
      <w:pPr>
        <w:spacing w:after="160" w:line="259" w:lineRule="auto"/>
        <w:jc w:val="both"/>
        <w:rPr>
          <w:b/>
          <w:color w:val="3E3D40"/>
        </w:rPr>
      </w:pPr>
    </w:p>
    <w:p w14:paraId="1C188648" w14:textId="77777777" w:rsidR="00662BE3" w:rsidRDefault="00662BE3" w:rsidP="00662BE3">
      <w:pPr>
        <w:spacing w:after="160" w:line="259" w:lineRule="auto"/>
        <w:jc w:val="both"/>
        <w:rPr>
          <w:b/>
          <w:color w:val="3E3D40"/>
        </w:rPr>
      </w:pPr>
    </w:p>
    <w:p w14:paraId="73E44149" w14:textId="77777777" w:rsidR="00662BE3" w:rsidRDefault="00662BE3" w:rsidP="00662BE3">
      <w:pPr>
        <w:spacing w:after="160" w:line="259" w:lineRule="auto"/>
        <w:jc w:val="both"/>
        <w:rPr>
          <w:b/>
          <w:color w:val="3E3D40"/>
        </w:rPr>
      </w:pPr>
    </w:p>
    <w:p w14:paraId="16A97227" w14:textId="77777777" w:rsidR="00662BE3" w:rsidRDefault="00662BE3" w:rsidP="00662BE3">
      <w:pPr>
        <w:spacing w:after="160" w:line="259" w:lineRule="auto"/>
        <w:jc w:val="both"/>
        <w:rPr>
          <w:b/>
          <w:color w:val="3E3D40"/>
        </w:rPr>
      </w:pPr>
    </w:p>
    <w:p w14:paraId="7D8CF38B" w14:textId="77777777" w:rsidR="00662BE3" w:rsidRDefault="00662BE3" w:rsidP="00662BE3">
      <w:pPr>
        <w:spacing w:after="160" w:line="259" w:lineRule="auto"/>
        <w:jc w:val="both"/>
        <w:rPr>
          <w:b/>
          <w:color w:val="3E3D40"/>
        </w:rPr>
      </w:pPr>
    </w:p>
    <w:p w14:paraId="2368103D" w14:textId="77777777" w:rsidR="00662BE3" w:rsidRDefault="00662BE3" w:rsidP="00662BE3">
      <w:pPr>
        <w:spacing w:after="160" w:line="259" w:lineRule="auto"/>
        <w:jc w:val="both"/>
        <w:rPr>
          <w:b/>
          <w:color w:val="3E3D40"/>
        </w:rPr>
      </w:pPr>
    </w:p>
    <w:p w14:paraId="6A43A7A2" w14:textId="77777777" w:rsidR="00662BE3" w:rsidRDefault="00662BE3" w:rsidP="00662BE3">
      <w:pPr>
        <w:spacing w:after="160" w:line="259" w:lineRule="auto"/>
        <w:jc w:val="both"/>
        <w:rPr>
          <w:b/>
          <w:color w:val="3E3D40"/>
        </w:rPr>
      </w:pPr>
    </w:p>
    <w:p w14:paraId="4082E9E3" w14:textId="77777777" w:rsidR="00662BE3" w:rsidRDefault="00662BE3" w:rsidP="00662BE3">
      <w:pPr>
        <w:spacing w:after="160" w:line="259" w:lineRule="auto"/>
        <w:jc w:val="both"/>
        <w:rPr>
          <w:b/>
          <w:color w:val="3E3D40"/>
        </w:rPr>
      </w:pPr>
    </w:p>
    <w:p w14:paraId="795382DA" w14:textId="77777777" w:rsidR="00662BE3" w:rsidRDefault="00662BE3" w:rsidP="00662BE3">
      <w:pPr>
        <w:spacing w:after="160" w:line="259" w:lineRule="auto"/>
        <w:jc w:val="both"/>
        <w:rPr>
          <w:b/>
          <w:color w:val="3E3D40"/>
        </w:rPr>
      </w:pPr>
    </w:p>
    <w:p w14:paraId="13CFD9C9" w14:textId="77777777" w:rsidR="00662BE3" w:rsidRDefault="00662BE3" w:rsidP="00662BE3">
      <w:pPr>
        <w:spacing w:after="160" w:line="259" w:lineRule="auto"/>
        <w:jc w:val="both"/>
        <w:rPr>
          <w:b/>
          <w:color w:val="3E3D40"/>
        </w:rPr>
      </w:pPr>
    </w:p>
    <w:p w14:paraId="27E2BFC6" w14:textId="77777777" w:rsidR="00662BE3" w:rsidRDefault="00662BE3" w:rsidP="00662BE3">
      <w:pPr>
        <w:spacing w:after="160" w:line="259" w:lineRule="auto"/>
        <w:jc w:val="both"/>
        <w:rPr>
          <w:b/>
          <w:color w:val="3E3D40"/>
        </w:rPr>
      </w:pPr>
    </w:p>
    <w:p w14:paraId="40E3DAE8" w14:textId="77777777" w:rsidR="00662BE3" w:rsidRDefault="00662BE3" w:rsidP="00662BE3">
      <w:pPr>
        <w:spacing w:after="160" w:line="259" w:lineRule="auto"/>
        <w:jc w:val="both"/>
        <w:rPr>
          <w:b/>
          <w:color w:val="3E3D40"/>
        </w:rPr>
      </w:pPr>
    </w:p>
    <w:p w14:paraId="0051D72B" w14:textId="77777777" w:rsidR="00662BE3" w:rsidRDefault="00662BE3" w:rsidP="00662BE3">
      <w:pPr>
        <w:spacing w:after="160" w:line="259" w:lineRule="auto"/>
        <w:jc w:val="both"/>
        <w:rPr>
          <w:b/>
          <w:color w:val="3E3D40"/>
        </w:rPr>
      </w:pPr>
    </w:p>
    <w:p w14:paraId="5EB83AC6" w14:textId="77777777" w:rsidR="00662BE3" w:rsidRDefault="00662BE3" w:rsidP="00662BE3">
      <w:pPr>
        <w:spacing w:after="160" w:line="259" w:lineRule="auto"/>
        <w:jc w:val="both"/>
        <w:rPr>
          <w:b/>
          <w:color w:val="3E3D40"/>
        </w:rPr>
      </w:pPr>
    </w:p>
    <w:p w14:paraId="778C3C0E" w14:textId="59E8CD16" w:rsidR="00662BE3" w:rsidRDefault="00662BE3">
      <w:pPr>
        <w:spacing w:after="160" w:line="259" w:lineRule="auto"/>
        <w:jc w:val="both"/>
        <w:rPr>
          <w:rFonts w:ascii="Calibri" w:eastAsia="Calibri" w:hAnsi="Calibri" w:cs="Calibri"/>
          <w:b/>
        </w:rPr>
      </w:pPr>
      <w:bookmarkStart w:id="10" w:name="_GoBack"/>
      <w:bookmarkEnd w:id="10"/>
    </w:p>
    <w:p w14:paraId="5310A353" w14:textId="40569B4B" w:rsidR="00662BE3" w:rsidRDefault="00662BE3">
      <w:pPr>
        <w:spacing w:after="160" w:line="259" w:lineRule="auto"/>
        <w:jc w:val="both"/>
        <w:rPr>
          <w:rFonts w:ascii="Calibri" w:eastAsia="Calibri" w:hAnsi="Calibri" w:cs="Calibri"/>
          <w:b/>
        </w:rPr>
      </w:pPr>
    </w:p>
    <w:p w14:paraId="5590548D" w14:textId="1D0889EE" w:rsidR="00662BE3" w:rsidRDefault="00662BE3">
      <w:pPr>
        <w:spacing w:after="160" w:line="259" w:lineRule="auto"/>
        <w:jc w:val="both"/>
        <w:rPr>
          <w:rFonts w:ascii="Calibri" w:eastAsia="Calibri" w:hAnsi="Calibri" w:cs="Calibri"/>
          <w:b/>
        </w:rPr>
      </w:pPr>
    </w:p>
    <w:p w14:paraId="6BA027BB" w14:textId="7A211A94" w:rsidR="00662BE3" w:rsidRDefault="00662BE3">
      <w:pPr>
        <w:spacing w:after="160" w:line="259" w:lineRule="auto"/>
        <w:jc w:val="both"/>
        <w:rPr>
          <w:rFonts w:ascii="Calibri" w:eastAsia="Calibri" w:hAnsi="Calibri" w:cs="Calibri"/>
          <w:b/>
        </w:rPr>
      </w:pPr>
    </w:p>
    <w:p w14:paraId="6305A476" w14:textId="6A833714" w:rsidR="00662BE3" w:rsidRDefault="00662BE3">
      <w:pPr>
        <w:spacing w:after="160" w:line="259" w:lineRule="auto"/>
        <w:jc w:val="both"/>
        <w:rPr>
          <w:rFonts w:ascii="Calibri" w:eastAsia="Calibri" w:hAnsi="Calibri" w:cs="Calibri"/>
          <w:b/>
        </w:rPr>
      </w:pPr>
    </w:p>
    <w:p w14:paraId="46E4EFE7" w14:textId="77777777" w:rsidR="00662BE3" w:rsidRPr="00C51768" w:rsidRDefault="00662BE3">
      <w:pPr>
        <w:spacing w:after="160" w:line="259" w:lineRule="auto"/>
        <w:jc w:val="both"/>
        <w:rPr>
          <w:rFonts w:ascii="Calibri" w:eastAsia="Calibri" w:hAnsi="Calibri" w:cs="Calibri"/>
          <w:b/>
        </w:rPr>
      </w:pPr>
    </w:p>
    <w:sectPr w:rsidR="00662BE3" w:rsidRPr="00C51768">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7C1DB" w14:textId="77777777" w:rsidR="007D1D15" w:rsidRDefault="007D1D15">
      <w:pPr>
        <w:spacing w:line="240" w:lineRule="auto"/>
      </w:pPr>
      <w:r>
        <w:separator/>
      </w:r>
    </w:p>
  </w:endnote>
  <w:endnote w:type="continuationSeparator" w:id="0">
    <w:p w14:paraId="0DD74331" w14:textId="77777777" w:rsidR="007D1D15" w:rsidRDefault="007D1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altName w:val="Calibri"/>
    <w:charset w:val="00"/>
    <w:family w:val="auto"/>
    <w:pitch w:val="default"/>
  </w:font>
  <w:font w:name="Lato">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C" w14:textId="47A44F25" w:rsidR="00540C8D" w:rsidRDefault="007D1D15">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sidR="00C51768">
      <w:rPr>
        <w:color w:val="000000"/>
      </w:rPr>
      <w:fldChar w:fldCharType="separate"/>
    </w:r>
    <w:r w:rsidR="00C51768">
      <w:rPr>
        <w:noProof/>
        <w:color w:val="000000"/>
      </w:rPr>
      <w:t>1</w:t>
    </w:r>
    <w:r>
      <w:rPr>
        <w:color w:val="000000"/>
      </w:rPr>
      <w:fldChar w:fldCharType="end"/>
    </w:r>
  </w:p>
  <w:p w14:paraId="0000010D" w14:textId="77777777" w:rsidR="00540C8D" w:rsidRDefault="00540C8D">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B6352" w14:textId="77777777" w:rsidR="007D1D15" w:rsidRDefault="007D1D15">
      <w:pPr>
        <w:spacing w:line="240" w:lineRule="auto"/>
      </w:pPr>
      <w:r>
        <w:separator/>
      </w:r>
    </w:p>
  </w:footnote>
  <w:footnote w:type="continuationSeparator" w:id="0">
    <w:p w14:paraId="1034624D" w14:textId="77777777" w:rsidR="007D1D15" w:rsidRDefault="007D1D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51DA1"/>
    <w:multiLevelType w:val="multilevel"/>
    <w:tmpl w:val="A54E3FC2"/>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 w15:restartNumberingAfterBreak="0">
    <w:nsid w:val="325D6446"/>
    <w:multiLevelType w:val="multilevel"/>
    <w:tmpl w:val="2B421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651B7B"/>
    <w:multiLevelType w:val="multilevel"/>
    <w:tmpl w:val="D7BCC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A7A1E02-C3A4-4829-8555-2338359D3ECB}"/>
    <w:docVar w:name="dgnword-eventsink" w:val="496960904"/>
  </w:docVars>
  <w:rsids>
    <w:rsidRoot w:val="00540C8D"/>
    <w:rsid w:val="00540C8D"/>
    <w:rsid w:val="00662BE3"/>
    <w:rsid w:val="007D1D15"/>
    <w:rsid w:val="00C51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2F5A"/>
  <w15:docId w15:val="{C66856FE-F3A9-43D1-98DF-6D65017C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Calibri" w:eastAsia="Calibri" w:hAnsi="Calibri" w:cs="Calibri"/>
    </w:rPr>
    <w:tblPr>
      <w:tblStyleRowBandSize w:val="1"/>
      <w:tblStyleColBandSize w:val="1"/>
    </w:tblPr>
  </w:style>
  <w:style w:type="table" w:customStyle="1" w:styleId="a0">
    <w:basedOn w:val="TableNormal"/>
    <w:pPr>
      <w:spacing w:line="240" w:lineRule="auto"/>
    </w:pPr>
    <w:rPr>
      <w:rFonts w:ascii="Calibri" w:eastAsia="Calibri" w:hAnsi="Calibri" w:cs="Calibri"/>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C2A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york.ac.uk/inst/spru/pubs/rworks/jan2004-1.pdf" TargetMode="External"/><Relationship Id="rId13" Type="http://schemas.openxmlformats.org/officeDocument/2006/relationships/hyperlink" Target="https://committees.parliament.uk/publications/941/documents/7292/default/" TargetMode="External"/><Relationship Id="rId18" Type="http://schemas.openxmlformats.org/officeDocument/2006/relationships/hyperlink" Target="https://dera.ioe.ac.uk/33298/1/EPI_High-Needs-Funding_2019.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sychologytoday.com/gb/blog/fumbling-change/200905/two-boats-and-helicopter-thoughts-stress-management" TargetMode="External"/><Relationship Id="rId17" Type="http://schemas.openxmlformats.org/officeDocument/2006/relationships/hyperlink" Target="https://www.researchgate.net/publication/358867574_Fair_funding_and_levelling_up_for_pupils_with_special_educational_needs_and_disability_in_England_2014_to_2023" TargetMode="External"/><Relationship Id="rId2" Type="http://schemas.openxmlformats.org/officeDocument/2006/relationships/numbering" Target="numbering.xml"/><Relationship Id="rId16" Type="http://schemas.openxmlformats.org/officeDocument/2006/relationships/hyperlink" Target="http://www.tandfonline.com/doi/abs/10.1080/03003930.2013.8618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39531/Survey_of_Childcare_and_Early_Years_Providers_2018_Main_Summary_revised_December2021.pdf" TargetMode="External"/><Relationship Id="rId5" Type="http://schemas.openxmlformats.org/officeDocument/2006/relationships/webSettings" Target="webSettings.xml"/><Relationship Id="rId15" Type="http://schemas.openxmlformats.org/officeDocument/2006/relationships/hyperlink" Target="http://www.tandfonline.com/doi/abs/10.1080/03003930.2013.861819" TargetMode="External"/><Relationship Id="rId10" Type="http://schemas.openxmlformats.org/officeDocument/2006/relationships/hyperlink" Target="https://assets.publishing.service.gov.uk/government/uploads/system/uploads/attachment_data/file/811622/SWFC_MainText.pdf" TargetMode="External"/><Relationship Id="rId19" Type="http://schemas.openxmlformats.org/officeDocument/2006/relationships/hyperlink" Target="http://onlinelibrary.wiley.com/doi/10.1111/1467-8578.12075/pdf" TargetMode="External"/><Relationship Id="rId4" Type="http://schemas.openxmlformats.org/officeDocument/2006/relationships/settings" Target="settings.xml"/><Relationship Id="rId9" Type="http://schemas.openxmlformats.org/officeDocument/2006/relationships/hyperlink" Target="http://www.york.ac.uk/inst/spru/pubs/rworks/jan2004-1.pdf" TargetMode="External"/><Relationship Id="rId14" Type="http://schemas.openxmlformats.org/officeDocument/2006/relationships/hyperlink" Target="https://publications.parliament.uk/pa/cm201919/cmselect/cmeduc/20/2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34s2sX0a7KQmNDxHiA3V72WPQ+g==">AMUW2mUpPLoaMk2kZnW9e+iEYy0I4B/5fUzzNoIeN/c51Vb62irj4xTHts2I6GH2h35LUs5J/fH/s9ghC/NXP4DBMnAy7regJIvvo1eBqHV2PWswU/SIgY0HIN1oqGsLX5jA9RNB+Jn6QecWYJPE1+C2M4uUsGOiOav8ysEU8ZDPsiWaSgHF6cvBwnqLOKpG71AuD629FIcoiqxv94SQP/Bj8zPRrHE8+JOZVMnJFIFaXH65uV8QmYj1uoDOyZD+wxgp7x4BxlDQXQIQY76djui8K4b7h108sHG3kRxGMU3TU0mtN2NkR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8412</Words>
  <Characters>47950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HODKINSON</dc:creator>
  <cp:lastModifiedBy>Alan Hodkinson</cp:lastModifiedBy>
  <cp:revision>3</cp:revision>
  <dcterms:created xsi:type="dcterms:W3CDTF">2023-05-03T08:58:00Z</dcterms:created>
  <dcterms:modified xsi:type="dcterms:W3CDTF">2023-05-15T09:59:00Z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-271548076</vt:i4>
  </property>
</Properties>
</file>