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996E91" w14:textId="2A03787A" w:rsidR="00313F1C" w:rsidRDefault="00313F1C" w:rsidP="00F046A9">
      <w:pPr>
        <w:jc w:val="center"/>
        <w:rPr>
          <w:b/>
          <w:sz w:val="32"/>
          <w:szCs w:val="32"/>
        </w:rPr>
      </w:pPr>
    </w:p>
    <w:p w14:paraId="4CA5E65F" w14:textId="7317CBDC" w:rsidR="00793C1F" w:rsidRPr="00492303" w:rsidRDefault="00793C1F" w:rsidP="004C58B2">
      <w:pPr>
        <w:spacing w:line="360" w:lineRule="auto"/>
        <w:jc w:val="center"/>
        <w:rPr>
          <w:b/>
          <w:sz w:val="32"/>
          <w:szCs w:val="32"/>
        </w:rPr>
      </w:pPr>
      <w:r w:rsidRPr="00492303">
        <w:rPr>
          <w:b/>
          <w:sz w:val="32"/>
          <w:szCs w:val="32"/>
        </w:rPr>
        <w:t xml:space="preserve">The impact of </w:t>
      </w:r>
      <w:r w:rsidR="007A4236" w:rsidRPr="00492303">
        <w:rPr>
          <w:b/>
          <w:sz w:val="32"/>
          <w:szCs w:val="32"/>
        </w:rPr>
        <w:t>C</w:t>
      </w:r>
      <w:r w:rsidR="00F0796B" w:rsidRPr="00492303">
        <w:rPr>
          <w:b/>
          <w:sz w:val="32"/>
          <w:szCs w:val="32"/>
        </w:rPr>
        <w:t>OVID</w:t>
      </w:r>
      <w:r w:rsidRPr="00492303">
        <w:rPr>
          <w:b/>
          <w:sz w:val="32"/>
          <w:szCs w:val="32"/>
        </w:rPr>
        <w:t>-19 on</w:t>
      </w:r>
      <w:r w:rsidR="00187631" w:rsidRPr="00492303">
        <w:rPr>
          <w:b/>
          <w:sz w:val="32"/>
          <w:szCs w:val="32"/>
        </w:rPr>
        <w:t xml:space="preserve"> the</w:t>
      </w:r>
      <w:r w:rsidRPr="00492303">
        <w:rPr>
          <w:b/>
          <w:sz w:val="32"/>
          <w:szCs w:val="32"/>
        </w:rPr>
        <w:t xml:space="preserve"> banking sector. </w:t>
      </w:r>
      <w:r w:rsidRPr="00402BB1">
        <w:rPr>
          <w:b/>
          <w:sz w:val="32"/>
          <w:szCs w:val="32"/>
        </w:rPr>
        <w:t xml:space="preserve">Are we heading for </w:t>
      </w:r>
      <w:r w:rsidR="0055660D" w:rsidRPr="00402BB1">
        <w:rPr>
          <w:b/>
          <w:sz w:val="32"/>
          <w:szCs w:val="32"/>
        </w:rPr>
        <w:t xml:space="preserve">the </w:t>
      </w:r>
      <w:r w:rsidRPr="00402BB1">
        <w:rPr>
          <w:b/>
          <w:sz w:val="32"/>
          <w:szCs w:val="32"/>
        </w:rPr>
        <w:t>next banking crisis?</w:t>
      </w:r>
    </w:p>
    <w:p w14:paraId="1383A9C0" w14:textId="77777777" w:rsidR="00793C1F" w:rsidRPr="00492303" w:rsidRDefault="00793C1F" w:rsidP="008A0D8D">
      <w:pPr>
        <w:rPr>
          <w:sz w:val="28"/>
          <w:szCs w:val="28"/>
        </w:rPr>
      </w:pPr>
    </w:p>
    <w:p w14:paraId="3D13D90E" w14:textId="77777777" w:rsidR="008F5B8B" w:rsidRPr="00492303" w:rsidRDefault="008F5B8B" w:rsidP="007F0607">
      <w:pPr>
        <w:jc w:val="both"/>
      </w:pPr>
    </w:p>
    <w:p w14:paraId="3D7AD1AB" w14:textId="77777777" w:rsidR="008F5B8B" w:rsidRPr="00492303" w:rsidRDefault="008F5B8B" w:rsidP="007F0607">
      <w:pPr>
        <w:jc w:val="both"/>
      </w:pPr>
    </w:p>
    <w:p w14:paraId="2BCA4FF5" w14:textId="77777777" w:rsidR="008F5B8B" w:rsidRPr="00492303" w:rsidRDefault="008F5B8B" w:rsidP="000A4A40">
      <w:pPr>
        <w:jc w:val="center"/>
        <w:rPr>
          <w:b/>
          <w:sz w:val="32"/>
          <w:szCs w:val="32"/>
        </w:rPr>
      </w:pPr>
      <w:r w:rsidRPr="00492303">
        <w:rPr>
          <w:b/>
          <w:sz w:val="32"/>
          <w:szCs w:val="32"/>
        </w:rPr>
        <w:t>Abstract</w:t>
      </w:r>
    </w:p>
    <w:p w14:paraId="0B6A44BF" w14:textId="77777777" w:rsidR="00467665" w:rsidRPr="00492303" w:rsidRDefault="00467665" w:rsidP="007F0607">
      <w:pPr>
        <w:jc w:val="both"/>
        <w:rPr>
          <w:b/>
        </w:rPr>
      </w:pPr>
    </w:p>
    <w:p w14:paraId="06DC0598" w14:textId="69C49A43" w:rsidR="00467665" w:rsidRPr="00492303" w:rsidRDefault="00467665" w:rsidP="000A6A10">
      <w:pPr>
        <w:spacing w:line="360" w:lineRule="auto"/>
        <w:jc w:val="both"/>
      </w:pPr>
      <w:r w:rsidRPr="00492303">
        <w:t xml:space="preserve">The aim </w:t>
      </w:r>
      <w:r w:rsidR="005B6109" w:rsidRPr="00492303">
        <w:t xml:space="preserve">of this </w:t>
      </w:r>
      <w:r w:rsidR="00741EB2" w:rsidRPr="00492303">
        <w:t xml:space="preserve">research is to study </w:t>
      </w:r>
      <w:r w:rsidR="00781C73" w:rsidRPr="00492303">
        <w:t xml:space="preserve">the </w:t>
      </w:r>
      <w:r w:rsidR="00C52774" w:rsidRPr="00492303">
        <w:t>effect</w:t>
      </w:r>
      <w:r w:rsidR="00B219B2" w:rsidRPr="00492303">
        <w:t xml:space="preserve"> of</w:t>
      </w:r>
      <w:r w:rsidR="00741EB2" w:rsidRPr="00492303">
        <w:t xml:space="preserve"> </w:t>
      </w:r>
      <w:r w:rsidR="00C23171">
        <w:t xml:space="preserve">the </w:t>
      </w:r>
      <w:r w:rsidR="00627512" w:rsidRPr="00492303">
        <w:t>C</w:t>
      </w:r>
      <w:r w:rsidR="00E66D5F" w:rsidRPr="00492303">
        <w:t>OVID</w:t>
      </w:r>
      <w:r w:rsidR="009B1526">
        <w:t>-</w:t>
      </w:r>
      <w:r w:rsidR="00627512" w:rsidRPr="00492303">
        <w:t>19 pandemic</w:t>
      </w:r>
      <w:r w:rsidR="00D84C43" w:rsidRPr="00492303">
        <w:t xml:space="preserve"> </w:t>
      </w:r>
      <w:r w:rsidR="0005256F" w:rsidRPr="00492303">
        <w:t>on</w:t>
      </w:r>
      <w:r w:rsidR="00627512" w:rsidRPr="00492303">
        <w:t xml:space="preserve"> </w:t>
      </w:r>
      <w:r w:rsidR="00741EB2" w:rsidRPr="00492303">
        <w:t>the banking sector</w:t>
      </w:r>
      <w:r w:rsidR="0023139E">
        <w:t xml:space="preserve"> and </w:t>
      </w:r>
      <w:r w:rsidR="005E558D">
        <w:t xml:space="preserve">to assess if </w:t>
      </w:r>
      <w:r w:rsidR="005E558D" w:rsidRPr="00571992">
        <w:t xml:space="preserve">COVID-19 </w:t>
      </w:r>
      <w:r w:rsidR="00B21D7A" w:rsidRPr="00571992">
        <w:t>was a</w:t>
      </w:r>
      <w:r w:rsidR="0023139E" w:rsidRPr="00571992">
        <w:t xml:space="preserve"> trigger for</w:t>
      </w:r>
      <w:r w:rsidR="00BF469B" w:rsidRPr="00571992">
        <w:t xml:space="preserve"> the</w:t>
      </w:r>
      <w:r w:rsidR="0023139E" w:rsidRPr="00571992">
        <w:t xml:space="preserve"> banking crisis</w:t>
      </w:r>
      <w:r w:rsidR="00F23599" w:rsidRPr="00571992">
        <w:t>.</w:t>
      </w:r>
      <w:r w:rsidR="00F23599">
        <w:t xml:space="preserve"> </w:t>
      </w:r>
      <w:proofErr w:type="gramStart"/>
      <w:r w:rsidR="00696F08" w:rsidRPr="00492303">
        <w:t>In order to</w:t>
      </w:r>
      <w:proofErr w:type="gramEnd"/>
      <w:r w:rsidR="00696F08" w:rsidRPr="00492303">
        <w:t xml:space="preserve"> </w:t>
      </w:r>
      <w:r w:rsidR="00844A7B">
        <w:t>analyse the extent</w:t>
      </w:r>
      <w:r w:rsidR="00B35869">
        <w:t xml:space="preserve"> of the i</w:t>
      </w:r>
      <w:r w:rsidR="009F22E0">
        <w:t>mpact</w:t>
      </w:r>
      <w:r w:rsidR="00844A7B">
        <w:t xml:space="preserve"> of </w:t>
      </w:r>
      <w:r w:rsidR="00BA30FA">
        <w:t xml:space="preserve">the </w:t>
      </w:r>
      <w:r w:rsidR="00844A7B">
        <w:t xml:space="preserve">COVID-19 pandemic </w:t>
      </w:r>
      <w:r w:rsidR="00696F08" w:rsidRPr="00492303">
        <w:t xml:space="preserve">the beta </w:t>
      </w:r>
      <w:r w:rsidR="00D84C43" w:rsidRPr="00492303">
        <w:t>o</w:t>
      </w:r>
      <w:r w:rsidR="00696F08" w:rsidRPr="00492303">
        <w:t>f</w:t>
      </w:r>
      <w:r w:rsidR="000C5262" w:rsidRPr="00492303">
        <w:t xml:space="preserve"> the</w:t>
      </w:r>
      <w:r w:rsidR="00D84C43" w:rsidRPr="00492303">
        <w:t xml:space="preserve"> </w:t>
      </w:r>
      <w:r w:rsidR="00696F08" w:rsidRPr="00492303">
        <w:t>b</w:t>
      </w:r>
      <w:r w:rsidR="00D84C43" w:rsidRPr="00492303">
        <w:t>a</w:t>
      </w:r>
      <w:r w:rsidR="00696F08" w:rsidRPr="00492303">
        <w:t xml:space="preserve">nking sector was calculated and </w:t>
      </w:r>
      <w:r w:rsidR="00105287" w:rsidRPr="00492303">
        <w:t>analyse</w:t>
      </w:r>
      <w:r w:rsidR="003C5E7F" w:rsidRPr="00492303">
        <w:t>d</w:t>
      </w:r>
      <w:r w:rsidR="00F23599">
        <w:t xml:space="preserve"> for selected countries</w:t>
      </w:r>
      <w:r w:rsidR="003231A7" w:rsidRPr="00492303">
        <w:t>.</w:t>
      </w:r>
      <w:r w:rsidR="00781C73">
        <w:t xml:space="preserve"> </w:t>
      </w:r>
      <w:r w:rsidR="00686870" w:rsidRPr="00492303">
        <w:t>In addition</w:t>
      </w:r>
      <w:r w:rsidR="00686870">
        <w:t>, u</w:t>
      </w:r>
      <w:r w:rsidR="00781C73">
        <w:t>sing</w:t>
      </w:r>
      <w:r w:rsidR="00B3199D">
        <w:t xml:space="preserve"> the</w:t>
      </w:r>
      <w:r w:rsidR="00781C73">
        <w:t xml:space="preserve"> panel data technique</w:t>
      </w:r>
      <w:r w:rsidR="00B54D1E">
        <w:t xml:space="preserve"> </w:t>
      </w:r>
      <w:r w:rsidR="00B54D1E" w:rsidRPr="00492303">
        <w:t>over the period from</w:t>
      </w:r>
      <w:r w:rsidR="00BF469B">
        <w:t xml:space="preserve"> the</w:t>
      </w:r>
      <w:r w:rsidR="00B54D1E" w:rsidRPr="00492303">
        <w:t xml:space="preserve"> </w:t>
      </w:r>
      <w:r w:rsidR="00B54D1E" w:rsidRPr="00492303">
        <w:rPr>
          <w:rFonts w:cstheme="minorHAnsi"/>
        </w:rPr>
        <w:t xml:space="preserve">30th of December 2019 until </w:t>
      </w:r>
      <w:r w:rsidR="00BF469B">
        <w:rPr>
          <w:rFonts w:cstheme="minorHAnsi"/>
        </w:rPr>
        <w:t xml:space="preserve">the </w:t>
      </w:r>
      <w:r w:rsidR="00B54D1E" w:rsidRPr="00492303">
        <w:rPr>
          <w:rFonts w:cstheme="minorHAnsi"/>
        </w:rPr>
        <w:t>24th of September 2021</w:t>
      </w:r>
      <w:r w:rsidR="00B54D1E">
        <w:t xml:space="preserve">, we examined </w:t>
      </w:r>
      <w:r w:rsidR="007B3368">
        <w:t>variables</w:t>
      </w:r>
      <w:r w:rsidR="00B17D46">
        <w:t xml:space="preserve"> </w:t>
      </w:r>
      <w:r w:rsidR="00290477">
        <w:t xml:space="preserve">contributing to </w:t>
      </w:r>
      <w:r w:rsidR="00B54D1E">
        <w:t>the banking crisis</w:t>
      </w:r>
      <w:r w:rsidR="001E4AC8">
        <w:t xml:space="preserve"> development</w:t>
      </w:r>
      <w:r w:rsidR="00B54D1E">
        <w:t xml:space="preserve">. </w:t>
      </w:r>
      <w:r w:rsidR="00696F08" w:rsidRPr="00492303">
        <w:t>The results suggest that the pandemic</w:t>
      </w:r>
      <w:r w:rsidR="0055721E">
        <w:t xml:space="preserve"> and</w:t>
      </w:r>
      <w:r w:rsidR="008A0D8D">
        <w:t xml:space="preserve"> </w:t>
      </w:r>
      <w:r w:rsidR="0055721E">
        <w:t>government bond yield spread</w:t>
      </w:r>
      <w:r w:rsidR="00696F08" w:rsidRPr="00492303">
        <w:t xml:space="preserve"> </w:t>
      </w:r>
      <w:r w:rsidR="00105287" w:rsidRPr="00492303">
        <w:t>contributed</w:t>
      </w:r>
      <w:r w:rsidR="00696F08" w:rsidRPr="00492303">
        <w:t xml:space="preserve"> to higher </w:t>
      </w:r>
      <w:r w:rsidR="00105287" w:rsidRPr="00492303">
        <w:t>volatility</w:t>
      </w:r>
      <w:r w:rsidR="00696F08" w:rsidRPr="00492303">
        <w:t xml:space="preserve"> and risk in </w:t>
      </w:r>
      <w:r w:rsidR="00C23171">
        <w:t xml:space="preserve">the </w:t>
      </w:r>
      <w:r w:rsidR="00696F08" w:rsidRPr="00492303">
        <w:t>banking sector</w:t>
      </w:r>
      <w:r w:rsidR="00313F1C">
        <w:t xml:space="preserve"> </w:t>
      </w:r>
      <w:r w:rsidR="00B17D46">
        <w:t>but did not le</w:t>
      </w:r>
      <w:r w:rsidR="00BF469B">
        <w:t>ad</w:t>
      </w:r>
      <w:r w:rsidR="00B17D46">
        <w:t xml:space="preserve"> to </w:t>
      </w:r>
      <w:r w:rsidR="00BF469B">
        <w:t xml:space="preserve">the </w:t>
      </w:r>
      <w:r w:rsidR="00B17D46">
        <w:t>banking crisis</w:t>
      </w:r>
      <w:r w:rsidR="00F7242B">
        <w:t>.</w:t>
      </w:r>
    </w:p>
    <w:p w14:paraId="0D7B2B49" w14:textId="3D5FEDB2" w:rsidR="00164E81" w:rsidRPr="00492303" w:rsidRDefault="00164E81" w:rsidP="00164E81">
      <w:pPr>
        <w:rPr>
          <w:rFonts w:cstheme="minorHAnsi"/>
          <w:b/>
          <w:bCs/>
          <w:color w:val="000000" w:themeColor="text1"/>
        </w:rPr>
      </w:pPr>
      <w:r w:rsidRPr="00492303">
        <w:rPr>
          <w:rFonts w:cstheme="minorHAnsi"/>
          <w:b/>
          <w:bCs/>
          <w:color w:val="000000" w:themeColor="text1"/>
          <w:shd w:val="clear" w:color="auto" w:fill="FFFFFF"/>
        </w:rPr>
        <w:t>JEL classification codes: G00, G21, G01</w:t>
      </w:r>
    </w:p>
    <w:p w14:paraId="73072B73" w14:textId="5FF4C9D3" w:rsidR="004E177F" w:rsidRDefault="004E177F" w:rsidP="000A6A10">
      <w:pPr>
        <w:spacing w:line="360" w:lineRule="auto"/>
        <w:jc w:val="both"/>
        <w:rPr>
          <w:rFonts w:cstheme="minorHAnsi"/>
          <w:color w:val="000000" w:themeColor="text1"/>
          <w:sz w:val="32"/>
          <w:szCs w:val="32"/>
        </w:rPr>
      </w:pPr>
    </w:p>
    <w:p w14:paraId="4CEF7E8A" w14:textId="77777777" w:rsidR="00E430D2" w:rsidRPr="00492303" w:rsidRDefault="00E430D2" w:rsidP="000A6A10">
      <w:pPr>
        <w:spacing w:line="360" w:lineRule="auto"/>
        <w:jc w:val="both"/>
        <w:rPr>
          <w:rFonts w:cstheme="minorHAnsi"/>
          <w:color w:val="000000" w:themeColor="text1"/>
          <w:sz w:val="32"/>
          <w:szCs w:val="32"/>
        </w:rPr>
      </w:pPr>
    </w:p>
    <w:p w14:paraId="4CA4108C" w14:textId="4D1BB8A1" w:rsidR="004E177F" w:rsidRPr="00492303" w:rsidRDefault="004E177F" w:rsidP="000A6A10">
      <w:pPr>
        <w:spacing w:line="360" w:lineRule="auto"/>
        <w:jc w:val="both"/>
      </w:pPr>
    </w:p>
    <w:p w14:paraId="3B86D64D" w14:textId="3ED80B55" w:rsidR="004E177F" w:rsidRPr="00492303" w:rsidRDefault="004E177F" w:rsidP="000A6A10">
      <w:pPr>
        <w:spacing w:line="360" w:lineRule="auto"/>
        <w:jc w:val="both"/>
      </w:pPr>
    </w:p>
    <w:p w14:paraId="0137A109" w14:textId="4E2991FD" w:rsidR="004E177F" w:rsidRPr="00492303" w:rsidRDefault="004E177F" w:rsidP="000A6A10">
      <w:pPr>
        <w:spacing w:line="360" w:lineRule="auto"/>
        <w:jc w:val="both"/>
      </w:pPr>
    </w:p>
    <w:p w14:paraId="2BD267D6" w14:textId="41E64247" w:rsidR="004E177F" w:rsidRPr="00492303" w:rsidRDefault="004E177F" w:rsidP="000A6A10">
      <w:pPr>
        <w:spacing w:line="360" w:lineRule="auto"/>
        <w:jc w:val="both"/>
      </w:pPr>
    </w:p>
    <w:p w14:paraId="380ABB6F" w14:textId="3E4885B0" w:rsidR="004E177F" w:rsidRPr="00492303" w:rsidRDefault="004E177F" w:rsidP="007F0607">
      <w:pPr>
        <w:jc w:val="both"/>
        <w:rPr>
          <w:rFonts w:asciiTheme="majorHAnsi" w:hAnsiTheme="majorHAnsi"/>
        </w:rPr>
      </w:pPr>
    </w:p>
    <w:p w14:paraId="7F3D7797" w14:textId="7421E712" w:rsidR="007706E8" w:rsidRPr="00492303" w:rsidRDefault="007706E8" w:rsidP="007F0607">
      <w:pPr>
        <w:jc w:val="both"/>
        <w:rPr>
          <w:rFonts w:asciiTheme="majorHAnsi" w:hAnsiTheme="majorHAnsi"/>
        </w:rPr>
      </w:pPr>
    </w:p>
    <w:p w14:paraId="53AA8A42" w14:textId="5086F565" w:rsidR="007706E8" w:rsidRPr="00492303" w:rsidRDefault="007706E8" w:rsidP="007F0607">
      <w:pPr>
        <w:jc w:val="both"/>
        <w:rPr>
          <w:rFonts w:asciiTheme="majorHAnsi" w:hAnsiTheme="majorHAnsi"/>
        </w:rPr>
      </w:pPr>
    </w:p>
    <w:p w14:paraId="6481015A" w14:textId="441DB57C" w:rsidR="007706E8" w:rsidRPr="00492303" w:rsidRDefault="007706E8" w:rsidP="007F0607">
      <w:pPr>
        <w:jc w:val="both"/>
        <w:rPr>
          <w:rFonts w:asciiTheme="majorHAnsi" w:hAnsiTheme="majorHAnsi"/>
        </w:rPr>
      </w:pPr>
    </w:p>
    <w:p w14:paraId="42C81D14" w14:textId="1210699A" w:rsidR="007706E8" w:rsidRPr="00492303" w:rsidRDefault="007706E8" w:rsidP="007F0607">
      <w:pPr>
        <w:jc w:val="both"/>
        <w:rPr>
          <w:rFonts w:asciiTheme="majorHAnsi" w:hAnsiTheme="majorHAnsi"/>
        </w:rPr>
      </w:pPr>
    </w:p>
    <w:p w14:paraId="1AAFEA8D" w14:textId="69C5E023" w:rsidR="007706E8" w:rsidRPr="00492303" w:rsidRDefault="007706E8" w:rsidP="007F0607">
      <w:pPr>
        <w:jc w:val="both"/>
        <w:rPr>
          <w:rFonts w:asciiTheme="majorHAnsi" w:hAnsiTheme="majorHAnsi"/>
        </w:rPr>
      </w:pPr>
    </w:p>
    <w:p w14:paraId="67349267" w14:textId="66E164A3" w:rsidR="007706E8" w:rsidRPr="00492303" w:rsidRDefault="007706E8" w:rsidP="007F0607">
      <w:pPr>
        <w:jc w:val="both"/>
        <w:rPr>
          <w:rFonts w:asciiTheme="majorHAnsi" w:hAnsiTheme="majorHAnsi"/>
        </w:rPr>
      </w:pPr>
    </w:p>
    <w:p w14:paraId="6FDEBEA4" w14:textId="4F449C54" w:rsidR="007706E8" w:rsidRPr="00492303" w:rsidRDefault="007706E8" w:rsidP="007F0607">
      <w:pPr>
        <w:jc w:val="both"/>
        <w:rPr>
          <w:rFonts w:asciiTheme="majorHAnsi" w:hAnsiTheme="majorHAnsi"/>
        </w:rPr>
      </w:pPr>
    </w:p>
    <w:p w14:paraId="162E1B02" w14:textId="01CEE310" w:rsidR="007706E8" w:rsidRPr="00492303" w:rsidRDefault="007706E8" w:rsidP="007F0607">
      <w:pPr>
        <w:jc w:val="both"/>
        <w:rPr>
          <w:rFonts w:asciiTheme="majorHAnsi" w:hAnsiTheme="majorHAnsi"/>
        </w:rPr>
      </w:pPr>
    </w:p>
    <w:p w14:paraId="78E98D4A" w14:textId="77777777" w:rsidR="007706E8" w:rsidRPr="00492303" w:rsidRDefault="007706E8" w:rsidP="007F0607">
      <w:pPr>
        <w:jc w:val="both"/>
        <w:rPr>
          <w:b/>
        </w:rPr>
      </w:pPr>
    </w:p>
    <w:p w14:paraId="611FFA8C" w14:textId="77777777" w:rsidR="00B57B71" w:rsidRDefault="00B57B71" w:rsidP="007F0607">
      <w:pPr>
        <w:jc w:val="both"/>
        <w:rPr>
          <w:b/>
          <w:sz w:val="32"/>
          <w:szCs w:val="32"/>
        </w:rPr>
      </w:pPr>
    </w:p>
    <w:p w14:paraId="6428DE10" w14:textId="77777777" w:rsidR="00B57B71" w:rsidRDefault="00B57B71" w:rsidP="007F0607">
      <w:pPr>
        <w:jc w:val="both"/>
        <w:rPr>
          <w:b/>
          <w:sz w:val="32"/>
          <w:szCs w:val="32"/>
        </w:rPr>
      </w:pPr>
    </w:p>
    <w:p w14:paraId="268FD7A0" w14:textId="77777777" w:rsidR="00B57B71" w:rsidRDefault="00B57B71" w:rsidP="007F0607">
      <w:pPr>
        <w:jc w:val="both"/>
        <w:rPr>
          <w:b/>
          <w:sz w:val="32"/>
          <w:szCs w:val="32"/>
        </w:rPr>
      </w:pPr>
    </w:p>
    <w:p w14:paraId="19965E1C" w14:textId="77777777" w:rsidR="00B02C80" w:rsidRDefault="00B02C80" w:rsidP="007F0607">
      <w:pPr>
        <w:jc w:val="both"/>
        <w:rPr>
          <w:b/>
          <w:sz w:val="32"/>
          <w:szCs w:val="32"/>
        </w:rPr>
      </w:pPr>
    </w:p>
    <w:p w14:paraId="29EBB279" w14:textId="61126415" w:rsidR="008F5B8B" w:rsidRPr="00492303" w:rsidRDefault="008F5B8B" w:rsidP="007F0607">
      <w:pPr>
        <w:jc w:val="both"/>
        <w:rPr>
          <w:b/>
          <w:sz w:val="32"/>
          <w:szCs w:val="32"/>
        </w:rPr>
      </w:pPr>
      <w:r w:rsidRPr="00492303">
        <w:rPr>
          <w:b/>
          <w:sz w:val="32"/>
          <w:szCs w:val="32"/>
        </w:rPr>
        <w:lastRenderedPageBreak/>
        <w:t>Introduction</w:t>
      </w:r>
    </w:p>
    <w:p w14:paraId="522A86DA" w14:textId="77777777" w:rsidR="008F5B8B" w:rsidRPr="00492303" w:rsidRDefault="008F5B8B" w:rsidP="007F0607">
      <w:pPr>
        <w:jc w:val="both"/>
        <w:rPr>
          <w:b/>
        </w:rPr>
      </w:pPr>
    </w:p>
    <w:p w14:paraId="19155535" w14:textId="250A2363" w:rsidR="007B5446" w:rsidRPr="00492303" w:rsidRDefault="008F5B8B" w:rsidP="007F0607">
      <w:pPr>
        <w:spacing w:line="360" w:lineRule="auto"/>
        <w:jc w:val="both"/>
      </w:pPr>
      <w:r w:rsidRPr="00492303">
        <w:t>The COVID-19 outbreak, first in China and then globally hit the economies and business</w:t>
      </w:r>
      <w:r w:rsidR="0081632E" w:rsidRPr="00492303">
        <w:t>es</w:t>
      </w:r>
      <w:r w:rsidRPr="00492303">
        <w:t xml:space="preserve"> on </w:t>
      </w:r>
      <w:r w:rsidR="00CE3F76">
        <w:t xml:space="preserve">an </w:t>
      </w:r>
      <w:r w:rsidRPr="00492303">
        <w:t xml:space="preserve">unprecedented scale. The measures introduced to control the spread of the virus </w:t>
      </w:r>
      <w:r w:rsidR="00584182" w:rsidRPr="00492303">
        <w:t>led</w:t>
      </w:r>
      <w:r w:rsidRPr="00492303">
        <w:t xml:space="preserve"> to </w:t>
      </w:r>
      <w:r w:rsidR="006E2106">
        <w:t>a</w:t>
      </w:r>
      <w:r w:rsidRPr="00492303">
        <w:t xml:space="preserve"> severe</w:t>
      </w:r>
      <w:r w:rsidR="00D66677" w:rsidRPr="00492303">
        <w:t xml:space="preserve"> economic </w:t>
      </w:r>
      <w:r w:rsidRPr="00492303">
        <w:t xml:space="preserve">crisis. </w:t>
      </w:r>
      <w:r w:rsidR="005A1940">
        <w:t>T</w:t>
      </w:r>
      <w:r w:rsidR="00F0413C" w:rsidRPr="00492303">
        <w:t>he contraction in economic activity was sudden and deep a</w:t>
      </w:r>
      <w:r w:rsidR="0082446D" w:rsidRPr="00492303">
        <w:t>nd</w:t>
      </w:r>
      <w:r w:rsidR="00F0413C" w:rsidRPr="00492303">
        <w:t xml:space="preserve"> the decline in </w:t>
      </w:r>
      <w:r w:rsidR="0082446D" w:rsidRPr="00492303">
        <w:t xml:space="preserve">the </w:t>
      </w:r>
      <w:r w:rsidR="00F0413C" w:rsidRPr="00492303">
        <w:t>global output was th</w:t>
      </w:r>
      <w:r w:rsidR="009E53BA" w:rsidRPr="00492303">
        <w:t>ree</w:t>
      </w:r>
      <w:r w:rsidR="00F0413C" w:rsidRPr="00492303">
        <w:t xml:space="preserve"> times higher than during</w:t>
      </w:r>
      <w:r w:rsidR="00164444">
        <w:t xml:space="preserve"> the</w:t>
      </w:r>
      <w:r w:rsidR="00F0413C" w:rsidRPr="00492303">
        <w:t xml:space="preserve"> last financial crisis</w:t>
      </w:r>
      <w:r w:rsidR="005A1940">
        <w:t xml:space="preserve"> (</w:t>
      </w:r>
      <w:r w:rsidR="005A1940" w:rsidRPr="00492303">
        <w:t>IMF</w:t>
      </w:r>
      <w:r w:rsidR="005A1940">
        <w:t xml:space="preserve">, </w:t>
      </w:r>
      <w:r w:rsidR="005A1940" w:rsidRPr="00492303">
        <w:t>2021)</w:t>
      </w:r>
      <w:r w:rsidR="009E53BA" w:rsidRPr="00492303">
        <w:t xml:space="preserve">. </w:t>
      </w:r>
      <w:r w:rsidR="0082446D" w:rsidRPr="00492303">
        <w:t>Additionally, t</w:t>
      </w:r>
      <w:r w:rsidRPr="00492303">
        <w:t>he global financial markets were also affected by the COVID-19 pandemic, the assets price</w:t>
      </w:r>
      <w:r w:rsidR="00AF7DC9" w:rsidRPr="00492303">
        <w:t>s</w:t>
      </w:r>
      <w:r w:rsidRPr="00492303">
        <w:t xml:space="preserve"> </w:t>
      </w:r>
      <w:r w:rsidR="00C23171" w:rsidRPr="00492303">
        <w:t>declined,</w:t>
      </w:r>
      <w:r w:rsidR="00DC7A67">
        <w:t xml:space="preserve"> </w:t>
      </w:r>
      <w:r w:rsidRPr="00492303">
        <w:t>and the volatile market conditions led</w:t>
      </w:r>
      <w:r w:rsidR="00D63296">
        <w:t xml:space="preserve"> to</w:t>
      </w:r>
      <w:r w:rsidRPr="00492303">
        <w:t xml:space="preserve"> investors</w:t>
      </w:r>
      <w:r w:rsidR="007115FF" w:rsidRPr="00492303">
        <w:t>’</w:t>
      </w:r>
      <w:r w:rsidRPr="00492303">
        <w:t xml:space="preserve"> flight to safety and liquidity</w:t>
      </w:r>
      <w:r w:rsidR="0092340A" w:rsidRPr="00492303">
        <w:t>.</w:t>
      </w:r>
    </w:p>
    <w:p w14:paraId="1D538134" w14:textId="66B87582" w:rsidR="008F5B8B" w:rsidRPr="00492303" w:rsidRDefault="004F0EC0" w:rsidP="007F0607">
      <w:pPr>
        <w:spacing w:line="360" w:lineRule="auto"/>
        <w:jc w:val="both"/>
      </w:pPr>
      <w:r w:rsidRPr="002C0AAB">
        <w:t>T</w:t>
      </w:r>
      <w:r w:rsidR="008F5B8B" w:rsidRPr="002C0AAB">
        <w:t>he recession</w:t>
      </w:r>
      <w:r w:rsidR="002C0AAB">
        <w:t xml:space="preserve"> </w:t>
      </w:r>
      <w:r w:rsidR="008F5B8B" w:rsidRPr="002C0AAB">
        <w:t>and economic downturn</w:t>
      </w:r>
      <w:r w:rsidR="002C0AAB">
        <w:t xml:space="preserve"> caused by</w:t>
      </w:r>
      <w:r w:rsidR="00F25C9D">
        <w:t xml:space="preserve"> the</w:t>
      </w:r>
      <w:r w:rsidR="002C0AAB">
        <w:t xml:space="preserve"> global pandemic</w:t>
      </w:r>
      <w:r w:rsidR="008F5B8B" w:rsidRPr="002C0AAB">
        <w:t xml:space="preserve"> decrease</w:t>
      </w:r>
      <w:r w:rsidR="002C0AAB">
        <w:t>d</w:t>
      </w:r>
      <w:r w:rsidR="008F5B8B" w:rsidRPr="002C0AAB">
        <w:t xml:space="preserve"> the banks’ profits and worsen the outlook of </w:t>
      </w:r>
      <w:r w:rsidR="007476FD" w:rsidRPr="002C0AAB">
        <w:t xml:space="preserve">the </w:t>
      </w:r>
      <w:r w:rsidR="008F5B8B" w:rsidRPr="002C0AAB">
        <w:t>banking sector.</w:t>
      </w:r>
      <w:r w:rsidR="00584A37" w:rsidRPr="002C0AAB">
        <w:t xml:space="preserve"> </w:t>
      </w:r>
      <w:r w:rsidR="00584A37">
        <w:t>A</w:t>
      </w:r>
      <w:r w:rsidR="00586C32">
        <w:t xml:space="preserve">n </w:t>
      </w:r>
      <w:r w:rsidR="00584A37" w:rsidRPr="002C0AAB">
        <w:t xml:space="preserve">economic recession </w:t>
      </w:r>
      <w:r w:rsidR="00F13B70">
        <w:t xml:space="preserve">had </w:t>
      </w:r>
      <w:r w:rsidR="00B30C67">
        <w:t>the</w:t>
      </w:r>
      <w:r w:rsidR="00584A37">
        <w:t xml:space="preserve"> potential</w:t>
      </w:r>
      <w:r w:rsidR="00584A37" w:rsidRPr="002C0AAB">
        <w:t xml:space="preserve"> </w:t>
      </w:r>
      <w:r w:rsidR="00F13B70">
        <w:t xml:space="preserve">to </w:t>
      </w:r>
      <w:r w:rsidR="00F93478" w:rsidRPr="002C0AAB">
        <w:t>result</w:t>
      </w:r>
      <w:r w:rsidR="00584A37" w:rsidRPr="002C0AAB">
        <w:t xml:space="preserve"> in credit losses, and a decrease in profitability as the asset prices </w:t>
      </w:r>
      <w:r w:rsidR="00584A37">
        <w:t>were</w:t>
      </w:r>
      <w:r w:rsidR="00584A37" w:rsidRPr="002C0AAB">
        <w:t xml:space="preserve"> falling (IMF 2020a).</w:t>
      </w:r>
      <w:r w:rsidR="00584A37">
        <w:t xml:space="preserve"> Additionally, b</w:t>
      </w:r>
      <w:r w:rsidR="008F5B8B" w:rsidRPr="002C0AAB">
        <w:t>anks’ vulnerabilities</w:t>
      </w:r>
      <w:r w:rsidR="00EE0E7F" w:rsidRPr="002C0AAB">
        <w:t xml:space="preserve"> such as</w:t>
      </w:r>
      <w:r w:rsidR="004C4C68" w:rsidRPr="002C0AAB">
        <w:t xml:space="preserve"> the</w:t>
      </w:r>
      <w:r w:rsidR="00EE0E7F" w:rsidRPr="002C0AAB">
        <w:t xml:space="preserve"> high level of debts of nonfinancial firms</w:t>
      </w:r>
      <w:r w:rsidR="008F5B8B" w:rsidRPr="002C0AAB">
        <w:t xml:space="preserve"> </w:t>
      </w:r>
      <w:r w:rsidR="002C0AAB">
        <w:t>were</w:t>
      </w:r>
      <w:r w:rsidR="008F5B8B" w:rsidRPr="002C0AAB">
        <w:t xml:space="preserve"> amplified by the COVID-19 crisis</w:t>
      </w:r>
      <w:r w:rsidR="000E185A">
        <w:t xml:space="preserve"> and b</w:t>
      </w:r>
      <w:r w:rsidR="008F5B8B" w:rsidRPr="002C0AAB">
        <w:t xml:space="preserve">anks’ profits </w:t>
      </w:r>
      <w:r w:rsidR="007C3EF7">
        <w:t>were affected</w:t>
      </w:r>
      <w:r w:rsidR="008F5B8B" w:rsidRPr="002C0AAB">
        <w:t xml:space="preserve"> by easing monetary policy</w:t>
      </w:r>
      <w:r w:rsidR="000E185A">
        <w:t>.</w:t>
      </w:r>
      <w:r w:rsidR="008F5B8B" w:rsidRPr="002C0AAB">
        <w:t xml:space="preserve"> </w:t>
      </w:r>
      <w:r w:rsidR="004842E3">
        <w:t>For example</w:t>
      </w:r>
      <w:r w:rsidR="00F25C9D">
        <w:t xml:space="preserve">, </w:t>
      </w:r>
      <w:r w:rsidR="00F13B70">
        <w:t xml:space="preserve">in many countries </w:t>
      </w:r>
      <w:r w:rsidR="008F5B8B" w:rsidRPr="00F25C9D">
        <w:t xml:space="preserve">very low interest rates </w:t>
      </w:r>
      <w:r w:rsidR="00F25C9D" w:rsidRPr="00F25C9D">
        <w:t xml:space="preserve">were </w:t>
      </w:r>
      <w:r w:rsidR="008F5B8B" w:rsidRPr="00F25C9D">
        <w:t xml:space="preserve">introduced </w:t>
      </w:r>
      <w:r w:rsidR="0020180B" w:rsidRPr="00F25C9D">
        <w:t xml:space="preserve">before the </w:t>
      </w:r>
      <w:r w:rsidR="007476FD" w:rsidRPr="00F25C9D">
        <w:t>pandemic</w:t>
      </w:r>
      <w:r w:rsidR="008F5B8B" w:rsidRPr="00F25C9D">
        <w:t xml:space="preserve"> </w:t>
      </w:r>
      <w:r w:rsidR="00DF3C0E">
        <w:t>which</w:t>
      </w:r>
      <w:r w:rsidR="00F25C9D">
        <w:t xml:space="preserve"> </w:t>
      </w:r>
      <w:r w:rsidR="00F25C9D" w:rsidRPr="00F25C9D">
        <w:t xml:space="preserve">could </w:t>
      </w:r>
      <w:r w:rsidR="002C0AAB" w:rsidRPr="00F25C9D">
        <w:t>have</w:t>
      </w:r>
      <w:r w:rsidR="008F5B8B" w:rsidRPr="00F25C9D">
        <w:t xml:space="preserve"> contribute</w:t>
      </w:r>
      <w:r w:rsidR="002C0AAB" w:rsidRPr="00F25C9D">
        <w:t>d</w:t>
      </w:r>
      <w:r w:rsidR="008F5B8B" w:rsidRPr="00F25C9D">
        <w:t xml:space="preserve"> to </w:t>
      </w:r>
      <w:r w:rsidR="00F25C9D" w:rsidRPr="00F25C9D">
        <w:t xml:space="preserve">a </w:t>
      </w:r>
      <w:r w:rsidR="008F5B8B" w:rsidRPr="00F25C9D">
        <w:t>low net interest margin (the difference between interest earned on assets and interest paid on liabilities).</w:t>
      </w:r>
      <w:r w:rsidR="0022015F" w:rsidRPr="002C0AAB">
        <w:t xml:space="preserve"> </w:t>
      </w:r>
    </w:p>
    <w:p w14:paraId="279074D8" w14:textId="2857593D" w:rsidR="008F5B8B" w:rsidRDefault="008F5B8B" w:rsidP="007F0607">
      <w:pPr>
        <w:spacing w:line="360" w:lineRule="auto"/>
        <w:jc w:val="both"/>
      </w:pPr>
      <w:r w:rsidRPr="00492303">
        <w:t>The aim of this study is to investigate the impact of</w:t>
      </w:r>
      <w:r w:rsidR="006B02E7">
        <w:t xml:space="preserve"> the</w:t>
      </w:r>
      <w:r w:rsidRPr="00492303">
        <w:t xml:space="preserve"> COVID-19 pandemic on </w:t>
      </w:r>
      <w:r w:rsidR="006B02E7">
        <w:t xml:space="preserve">the </w:t>
      </w:r>
      <w:r w:rsidRPr="00492303">
        <w:t>banking sector in the countries most affected by</w:t>
      </w:r>
      <w:r w:rsidR="00BA30FA">
        <w:t xml:space="preserve"> the</w:t>
      </w:r>
      <w:r w:rsidRPr="00492303">
        <w:t xml:space="preserve"> coronavirus</w:t>
      </w:r>
      <w:r w:rsidR="008A36BA" w:rsidRPr="00492303">
        <w:t xml:space="preserve"> </w:t>
      </w:r>
      <w:proofErr w:type="gramStart"/>
      <w:r w:rsidR="008A36BA" w:rsidRPr="00492303">
        <w:t>including</w:t>
      </w:r>
      <w:r w:rsidR="00AA1D0D">
        <w:t>:</w:t>
      </w:r>
      <w:proofErr w:type="gramEnd"/>
      <w:r w:rsidR="008A36BA" w:rsidRPr="00492303">
        <w:t xml:space="preserve"> </w:t>
      </w:r>
      <w:r w:rsidR="00EA5B8E" w:rsidRPr="00492303">
        <w:t>Brazil, Belgium, France, German</w:t>
      </w:r>
      <w:r w:rsidR="009C4F62" w:rsidRPr="00492303">
        <w:t xml:space="preserve">y, India, Italy, Japan, Mexico, Russia, Spain, Switzerland, </w:t>
      </w:r>
      <w:r w:rsidR="00494886">
        <w:t xml:space="preserve">the </w:t>
      </w:r>
      <w:r w:rsidR="009C4F62" w:rsidRPr="00492303">
        <w:t>UK and</w:t>
      </w:r>
      <w:r w:rsidR="00494886">
        <w:t xml:space="preserve"> the</w:t>
      </w:r>
      <w:r w:rsidR="009C4F62" w:rsidRPr="00492303">
        <w:t xml:space="preserve"> US. </w:t>
      </w:r>
    </w:p>
    <w:p w14:paraId="69EA3CE3" w14:textId="1733FBBA" w:rsidR="00321D6D" w:rsidRPr="00B30804" w:rsidRDefault="00321D6D" w:rsidP="00321D6D">
      <w:pPr>
        <w:spacing w:line="360" w:lineRule="auto"/>
        <w:jc w:val="both"/>
        <w:rPr>
          <w:color w:val="000000" w:themeColor="text1"/>
        </w:rPr>
      </w:pPr>
      <w:r w:rsidRPr="00B30804">
        <w:rPr>
          <w:color w:val="000000" w:themeColor="text1"/>
        </w:rPr>
        <w:t>Our primary research question is whether the pandemic of COVID</w:t>
      </w:r>
      <w:r w:rsidR="00526A20">
        <w:rPr>
          <w:color w:val="000000" w:themeColor="text1"/>
        </w:rPr>
        <w:t>-</w:t>
      </w:r>
      <w:r w:rsidRPr="00B30804">
        <w:rPr>
          <w:color w:val="000000" w:themeColor="text1"/>
        </w:rPr>
        <w:t xml:space="preserve">19 </w:t>
      </w:r>
      <w:r w:rsidR="00D56B47">
        <w:rPr>
          <w:color w:val="000000" w:themeColor="text1"/>
        </w:rPr>
        <w:t>triggered</w:t>
      </w:r>
      <w:r w:rsidRPr="00B30804">
        <w:rPr>
          <w:color w:val="000000" w:themeColor="text1"/>
        </w:rPr>
        <w:t xml:space="preserve"> </w:t>
      </w:r>
      <w:r w:rsidR="00D67F81">
        <w:rPr>
          <w:color w:val="000000" w:themeColor="text1"/>
        </w:rPr>
        <w:t xml:space="preserve">the </w:t>
      </w:r>
      <w:r w:rsidRPr="00B30804">
        <w:rPr>
          <w:color w:val="000000" w:themeColor="text1"/>
        </w:rPr>
        <w:t>banking crisis</w:t>
      </w:r>
      <w:r>
        <w:rPr>
          <w:color w:val="000000" w:themeColor="text1"/>
        </w:rPr>
        <w:t xml:space="preserve">. To answer this </w:t>
      </w:r>
      <w:r w:rsidR="005C6B09">
        <w:rPr>
          <w:color w:val="000000" w:themeColor="text1"/>
        </w:rPr>
        <w:t>question,</w:t>
      </w:r>
      <w:r>
        <w:rPr>
          <w:color w:val="000000" w:themeColor="text1"/>
        </w:rPr>
        <w:t xml:space="preserve"> we will analyse how different factors </w:t>
      </w:r>
      <w:r w:rsidR="00D56B47">
        <w:rPr>
          <w:color w:val="000000" w:themeColor="text1"/>
        </w:rPr>
        <w:t>related</w:t>
      </w:r>
      <w:r>
        <w:rPr>
          <w:color w:val="000000" w:themeColor="text1"/>
        </w:rPr>
        <w:t xml:space="preserve"> to </w:t>
      </w:r>
      <w:r w:rsidR="002C7CB0">
        <w:rPr>
          <w:color w:val="000000" w:themeColor="text1"/>
        </w:rPr>
        <w:t xml:space="preserve">the </w:t>
      </w:r>
      <w:r>
        <w:rPr>
          <w:color w:val="000000" w:themeColor="text1"/>
        </w:rPr>
        <w:t xml:space="preserve">banking crisis </w:t>
      </w:r>
      <w:r w:rsidR="00D56B47">
        <w:rPr>
          <w:color w:val="000000" w:themeColor="text1"/>
        </w:rPr>
        <w:t>occurrence</w:t>
      </w:r>
      <w:r w:rsidR="00714680">
        <w:rPr>
          <w:color w:val="000000" w:themeColor="text1"/>
        </w:rPr>
        <w:t xml:space="preserve"> </w:t>
      </w:r>
      <w:r>
        <w:rPr>
          <w:color w:val="000000" w:themeColor="text1"/>
        </w:rPr>
        <w:t>affect</w:t>
      </w:r>
      <w:r w:rsidR="0013367A">
        <w:rPr>
          <w:color w:val="000000" w:themeColor="text1"/>
        </w:rPr>
        <w:t>ed</w:t>
      </w:r>
      <w:r>
        <w:rPr>
          <w:color w:val="000000" w:themeColor="text1"/>
        </w:rPr>
        <w:t xml:space="preserve"> </w:t>
      </w:r>
      <w:r w:rsidR="00AA1D0D">
        <w:rPr>
          <w:color w:val="000000" w:themeColor="text1"/>
        </w:rPr>
        <w:t xml:space="preserve">the </w:t>
      </w:r>
      <w:r>
        <w:rPr>
          <w:color w:val="000000" w:themeColor="text1"/>
        </w:rPr>
        <w:t xml:space="preserve">banking beta an indicator of risk. </w:t>
      </w:r>
      <w:r w:rsidR="00C4337E">
        <w:rPr>
          <w:color w:val="000000" w:themeColor="text1"/>
        </w:rPr>
        <w:t xml:space="preserve">The </w:t>
      </w:r>
      <w:r w:rsidR="005C6B09">
        <w:rPr>
          <w:color w:val="000000" w:themeColor="text1"/>
        </w:rPr>
        <w:t>COVID</w:t>
      </w:r>
      <w:r w:rsidR="00526A20">
        <w:rPr>
          <w:color w:val="000000" w:themeColor="text1"/>
        </w:rPr>
        <w:t>-</w:t>
      </w:r>
      <w:r w:rsidR="005C6B09">
        <w:rPr>
          <w:color w:val="000000" w:themeColor="text1"/>
        </w:rPr>
        <w:t>19 pandemic increased the level</w:t>
      </w:r>
      <w:r w:rsidR="00B86C70">
        <w:rPr>
          <w:color w:val="000000" w:themeColor="text1"/>
        </w:rPr>
        <w:t xml:space="preserve"> of </w:t>
      </w:r>
      <w:r w:rsidR="005C6B09">
        <w:rPr>
          <w:color w:val="000000" w:themeColor="text1"/>
        </w:rPr>
        <w:t xml:space="preserve">uncertainty and </w:t>
      </w:r>
      <w:r w:rsidR="0035382A">
        <w:rPr>
          <w:color w:val="000000" w:themeColor="text1"/>
        </w:rPr>
        <w:t>government-imposed</w:t>
      </w:r>
      <w:r w:rsidR="005C6B09">
        <w:rPr>
          <w:color w:val="000000" w:themeColor="text1"/>
        </w:rPr>
        <w:t xml:space="preserve"> restriction</w:t>
      </w:r>
      <w:r w:rsidR="00D56B47">
        <w:rPr>
          <w:color w:val="000000" w:themeColor="text1"/>
        </w:rPr>
        <w:t>s</w:t>
      </w:r>
      <w:r w:rsidR="005C6B09">
        <w:rPr>
          <w:color w:val="000000" w:themeColor="text1"/>
        </w:rPr>
        <w:t xml:space="preserve"> negatively impacted economic </w:t>
      </w:r>
      <w:r w:rsidR="001759E8">
        <w:rPr>
          <w:color w:val="000000" w:themeColor="text1"/>
        </w:rPr>
        <w:t>growth,</w:t>
      </w:r>
      <w:r w:rsidR="00BF6035">
        <w:rPr>
          <w:color w:val="000000" w:themeColor="text1"/>
        </w:rPr>
        <w:t xml:space="preserve"> </w:t>
      </w:r>
      <w:r w:rsidR="002A4BD0">
        <w:rPr>
          <w:color w:val="000000" w:themeColor="text1"/>
        </w:rPr>
        <w:t>so</w:t>
      </w:r>
      <w:r w:rsidR="005C6B09">
        <w:rPr>
          <w:color w:val="000000" w:themeColor="text1"/>
        </w:rPr>
        <w:t xml:space="preserve"> we expect that</w:t>
      </w:r>
      <w:r w:rsidR="005920A1">
        <w:rPr>
          <w:color w:val="000000" w:themeColor="text1"/>
        </w:rPr>
        <w:t xml:space="preserve"> the</w:t>
      </w:r>
      <w:r w:rsidR="005C6B09">
        <w:rPr>
          <w:color w:val="000000" w:themeColor="text1"/>
        </w:rPr>
        <w:t xml:space="preserve"> COVID</w:t>
      </w:r>
      <w:r w:rsidR="00A9117F">
        <w:rPr>
          <w:color w:val="000000" w:themeColor="text1"/>
        </w:rPr>
        <w:t>-</w:t>
      </w:r>
      <w:r w:rsidR="005C6B09">
        <w:rPr>
          <w:color w:val="000000" w:themeColor="text1"/>
        </w:rPr>
        <w:t xml:space="preserve">19 pandemic increased </w:t>
      </w:r>
      <w:r w:rsidR="00CE5DFF">
        <w:rPr>
          <w:color w:val="000000" w:themeColor="text1"/>
        </w:rPr>
        <w:t xml:space="preserve">the </w:t>
      </w:r>
      <w:r w:rsidR="005C6B09">
        <w:rPr>
          <w:color w:val="000000" w:themeColor="text1"/>
        </w:rPr>
        <w:t xml:space="preserve">risk in </w:t>
      </w:r>
      <w:r w:rsidR="005920A1">
        <w:rPr>
          <w:color w:val="000000" w:themeColor="text1"/>
        </w:rPr>
        <w:t xml:space="preserve">the </w:t>
      </w:r>
      <w:r w:rsidR="005C6B09">
        <w:rPr>
          <w:color w:val="000000" w:themeColor="text1"/>
        </w:rPr>
        <w:t xml:space="preserve">banking sector and thus the probability of </w:t>
      </w:r>
      <w:r w:rsidR="00A9117F">
        <w:rPr>
          <w:color w:val="000000" w:themeColor="text1"/>
        </w:rPr>
        <w:t xml:space="preserve">the </w:t>
      </w:r>
      <w:r w:rsidR="005C6B09">
        <w:rPr>
          <w:color w:val="000000" w:themeColor="text1"/>
        </w:rPr>
        <w:t xml:space="preserve">banking crisis development. </w:t>
      </w:r>
    </w:p>
    <w:p w14:paraId="6BDF4AD9" w14:textId="50553951" w:rsidR="00E155A2" w:rsidRDefault="008F5B8B" w:rsidP="007F0607">
      <w:pPr>
        <w:spacing w:line="360" w:lineRule="auto"/>
        <w:jc w:val="both"/>
      </w:pPr>
      <w:r w:rsidRPr="00492303">
        <w:t xml:space="preserve">The remainder of this paper is as follows. </w:t>
      </w:r>
      <w:r w:rsidR="00F2725C">
        <w:t>The l</w:t>
      </w:r>
      <w:r w:rsidR="004630EE" w:rsidRPr="00492303">
        <w:t>iterature review</w:t>
      </w:r>
      <w:r w:rsidRPr="00492303">
        <w:t xml:space="preserve"> provides a general description of the</w:t>
      </w:r>
      <w:r w:rsidR="005552F3" w:rsidRPr="00492303">
        <w:t xml:space="preserve"> impact of the</w:t>
      </w:r>
      <w:r w:rsidRPr="00492303">
        <w:t xml:space="preserve"> pandemic</w:t>
      </w:r>
      <w:r w:rsidR="005552F3" w:rsidRPr="00492303">
        <w:t xml:space="preserve"> on the economy</w:t>
      </w:r>
      <w:r w:rsidR="006048DE" w:rsidRPr="00492303">
        <w:t xml:space="preserve"> and </w:t>
      </w:r>
      <w:r w:rsidR="00AA1D0D">
        <w:t xml:space="preserve">the </w:t>
      </w:r>
      <w:r w:rsidR="006048DE" w:rsidRPr="00492303">
        <w:t>banking sector</w:t>
      </w:r>
      <w:r w:rsidRPr="00492303">
        <w:t xml:space="preserve">. </w:t>
      </w:r>
      <w:r w:rsidR="00F2725C">
        <w:t>The m</w:t>
      </w:r>
      <w:r w:rsidR="00292594" w:rsidRPr="00492303">
        <w:t>ethodology presents</w:t>
      </w:r>
      <w:r w:rsidRPr="00492303">
        <w:t xml:space="preserve"> the </w:t>
      </w:r>
      <w:r w:rsidR="004C0E54" w:rsidRPr="00492303">
        <w:t>empirical method</w:t>
      </w:r>
      <w:r w:rsidR="008A36BA" w:rsidRPr="00492303">
        <w:t>s used in the study</w:t>
      </w:r>
      <w:r w:rsidR="001659B2" w:rsidRPr="00492303">
        <w:t>.</w:t>
      </w:r>
      <w:r w:rsidR="005A0A19" w:rsidRPr="00492303">
        <w:t xml:space="preserve"> </w:t>
      </w:r>
      <w:r w:rsidR="007D76A8">
        <w:t>The a</w:t>
      </w:r>
      <w:r w:rsidR="005A0A19" w:rsidRPr="00492303">
        <w:t>nalysis section discusses the results</w:t>
      </w:r>
      <w:r w:rsidR="001268F3" w:rsidRPr="00492303">
        <w:t xml:space="preserve"> of statistical analysis</w:t>
      </w:r>
      <w:r w:rsidR="005A0A19" w:rsidRPr="00492303">
        <w:t xml:space="preserve">. </w:t>
      </w:r>
      <w:r w:rsidR="007D76A8">
        <w:t>The</w:t>
      </w:r>
      <w:r w:rsidR="001659B2" w:rsidRPr="00492303">
        <w:t xml:space="preserve"> final section </w:t>
      </w:r>
      <w:r w:rsidRPr="00492303">
        <w:t>concludes</w:t>
      </w:r>
      <w:r w:rsidR="00DA11EC" w:rsidRPr="00492303">
        <w:t xml:space="preserve"> the paper</w:t>
      </w:r>
      <w:r w:rsidRPr="00492303">
        <w:t>.</w:t>
      </w:r>
    </w:p>
    <w:p w14:paraId="71CBFD64" w14:textId="39C4EB3A" w:rsidR="009D2605" w:rsidRDefault="009D2605" w:rsidP="007F0607">
      <w:pPr>
        <w:spacing w:line="360" w:lineRule="auto"/>
        <w:jc w:val="both"/>
      </w:pPr>
    </w:p>
    <w:p w14:paraId="5280DA53" w14:textId="4C5D2E11" w:rsidR="009D2605" w:rsidRDefault="009D2605" w:rsidP="007F0607">
      <w:pPr>
        <w:spacing w:line="360" w:lineRule="auto"/>
        <w:jc w:val="both"/>
      </w:pPr>
    </w:p>
    <w:p w14:paraId="2DBD1CD7" w14:textId="77777777" w:rsidR="00B45B38" w:rsidRPr="00896DA5" w:rsidRDefault="00B45B38" w:rsidP="007F0607">
      <w:pPr>
        <w:spacing w:line="360" w:lineRule="auto"/>
        <w:jc w:val="both"/>
      </w:pPr>
    </w:p>
    <w:p w14:paraId="70475280" w14:textId="77777777" w:rsidR="00E155A2" w:rsidRPr="00F931E1" w:rsidRDefault="00E155A2" w:rsidP="007F0607">
      <w:pPr>
        <w:spacing w:line="360" w:lineRule="auto"/>
        <w:jc w:val="both"/>
        <w:rPr>
          <w:i/>
          <w:iCs/>
        </w:rPr>
      </w:pPr>
    </w:p>
    <w:p w14:paraId="7B34F973" w14:textId="7AA3370D" w:rsidR="008F5B8B" w:rsidRDefault="008F5B8B" w:rsidP="007F0607">
      <w:pPr>
        <w:jc w:val="both"/>
        <w:rPr>
          <w:b/>
          <w:sz w:val="32"/>
          <w:szCs w:val="32"/>
        </w:rPr>
      </w:pPr>
      <w:r w:rsidRPr="00492303">
        <w:rPr>
          <w:b/>
          <w:sz w:val="32"/>
          <w:szCs w:val="32"/>
        </w:rPr>
        <w:lastRenderedPageBreak/>
        <w:t>Literature review</w:t>
      </w:r>
    </w:p>
    <w:p w14:paraId="6283D50C" w14:textId="77777777" w:rsidR="00676A2C" w:rsidRPr="00492303" w:rsidRDefault="00676A2C" w:rsidP="007F0607">
      <w:pPr>
        <w:jc w:val="both"/>
        <w:rPr>
          <w:b/>
          <w:sz w:val="32"/>
          <w:szCs w:val="32"/>
        </w:rPr>
      </w:pPr>
    </w:p>
    <w:p w14:paraId="3A52A1D8" w14:textId="2DD65840" w:rsidR="008F5B8B" w:rsidRDefault="008F5B8B" w:rsidP="007F0607">
      <w:pPr>
        <w:spacing w:line="360" w:lineRule="auto"/>
        <w:jc w:val="both"/>
      </w:pPr>
      <w:r w:rsidRPr="00492303">
        <w:t>The pandemic of C</w:t>
      </w:r>
      <w:r w:rsidR="00F9380A" w:rsidRPr="00492303">
        <w:t>OVID</w:t>
      </w:r>
      <w:r w:rsidRPr="00492303">
        <w:t xml:space="preserve">-19 forced many countries </w:t>
      </w:r>
      <w:r w:rsidR="001948A3" w:rsidRPr="00492303">
        <w:t xml:space="preserve">into </w:t>
      </w:r>
      <w:r w:rsidR="00697535" w:rsidRPr="00492303">
        <w:t>lockdown</w:t>
      </w:r>
      <w:r w:rsidR="007E6F96">
        <w:t>s</w:t>
      </w:r>
      <w:r w:rsidR="00697535" w:rsidRPr="00492303">
        <w:t xml:space="preserve"> which</w:t>
      </w:r>
      <w:r w:rsidRPr="00492303">
        <w:t xml:space="preserve"> resulted in </w:t>
      </w:r>
      <w:r w:rsidR="00496E29">
        <w:t xml:space="preserve">a </w:t>
      </w:r>
      <w:r w:rsidRPr="00492303">
        <w:t>sudden stop of economic activities.</w:t>
      </w:r>
      <w:r w:rsidR="00470167" w:rsidRPr="00492303">
        <w:t xml:space="preserve"> </w:t>
      </w:r>
      <w:r w:rsidR="00697535" w:rsidRPr="002929A1">
        <w:t xml:space="preserve">There </w:t>
      </w:r>
      <w:r w:rsidR="00D05A1F" w:rsidRPr="002929A1">
        <w:t>were</w:t>
      </w:r>
      <w:r w:rsidR="00697535" w:rsidRPr="002929A1">
        <w:t xml:space="preserve"> fears that </w:t>
      </w:r>
      <w:r w:rsidR="00B80739">
        <w:t xml:space="preserve">the </w:t>
      </w:r>
      <w:r w:rsidRPr="002929A1">
        <w:t>C</w:t>
      </w:r>
      <w:r w:rsidR="00E52BF9" w:rsidRPr="002929A1">
        <w:t>OVID</w:t>
      </w:r>
      <w:r w:rsidRPr="002929A1">
        <w:t>-19 pandemic c</w:t>
      </w:r>
      <w:r w:rsidR="000221CB">
        <w:t>ould</w:t>
      </w:r>
      <w:r w:rsidRPr="002929A1">
        <w:t xml:space="preserve"> cause a recession </w:t>
      </w:r>
      <w:proofErr w:type="gramStart"/>
      <w:r w:rsidRPr="002929A1">
        <w:t>similar to</w:t>
      </w:r>
      <w:proofErr w:type="gramEnd"/>
      <w:r w:rsidRPr="002929A1">
        <w:t xml:space="preserve"> the Great Influenza Pandemic</w:t>
      </w:r>
      <w:r w:rsidR="002929A1">
        <w:t xml:space="preserve"> </w:t>
      </w:r>
      <w:r w:rsidR="006925B9">
        <w:t xml:space="preserve">which </w:t>
      </w:r>
      <w:r w:rsidRPr="00492303">
        <w:t>led to</w:t>
      </w:r>
      <w:r w:rsidR="005D44BE">
        <w:t xml:space="preserve"> a</w:t>
      </w:r>
      <w:r w:rsidRPr="00492303">
        <w:t xml:space="preserve"> 6% decrease in GDP and</w:t>
      </w:r>
      <w:r w:rsidR="005D44BE">
        <w:t xml:space="preserve"> an</w:t>
      </w:r>
      <w:r w:rsidRPr="00492303">
        <w:t xml:space="preserve"> 8% decrease in consumption</w:t>
      </w:r>
      <w:r w:rsidR="002929A1">
        <w:t xml:space="preserve"> (</w:t>
      </w:r>
      <w:r w:rsidR="002929A1" w:rsidRPr="002929A1">
        <w:t xml:space="preserve">Barro </w:t>
      </w:r>
      <w:r w:rsidR="002929A1" w:rsidRPr="00237B6B">
        <w:rPr>
          <w:i/>
          <w:iCs/>
        </w:rPr>
        <w:t>et al.,</w:t>
      </w:r>
      <w:r w:rsidR="002929A1">
        <w:t xml:space="preserve"> </w:t>
      </w:r>
      <w:r w:rsidR="002929A1" w:rsidRPr="002929A1">
        <w:t>2020)</w:t>
      </w:r>
      <w:r w:rsidR="006925B9">
        <w:t xml:space="preserve">. </w:t>
      </w:r>
    </w:p>
    <w:p w14:paraId="1AF91F97" w14:textId="3726D5E1" w:rsidR="00FF3638" w:rsidRPr="00492303" w:rsidRDefault="00FF3638" w:rsidP="007F0607">
      <w:pPr>
        <w:spacing w:line="360" w:lineRule="auto"/>
        <w:jc w:val="both"/>
      </w:pPr>
      <w:r w:rsidRPr="00492303">
        <w:t>The COVID-19 pandemic</w:t>
      </w:r>
      <w:r w:rsidR="00A81508">
        <w:t xml:space="preserve"> </w:t>
      </w:r>
      <w:r w:rsidR="001579C4">
        <w:t xml:space="preserve">also </w:t>
      </w:r>
      <w:r w:rsidR="002929A1">
        <w:t>had</w:t>
      </w:r>
      <w:r w:rsidR="00BD715A">
        <w:t xml:space="preserve"> </w:t>
      </w:r>
      <w:r w:rsidR="00354695">
        <w:t xml:space="preserve">a </w:t>
      </w:r>
      <w:r w:rsidR="00BD715A">
        <w:t>negative</w:t>
      </w:r>
      <w:r w:rsidR="00171EFE">
        <w:t xml:space="preserve"> </w:t>
      </w:r>
      <w:r w:rsidR="00ED06EF">
        <w:t>effect on</w:t>
      </w:r>
      <w:r w:rsidR="00171EFE">
        <w:t xml:space="preserve"> the</w:t>
      </w:r>
      <w:r w:rsidRPr="00492303">
        <w:t xml:space="preserve"> financial markets. Zhang </w:t>
      </w:r>
      <w:r w:rsidRPr="00591E70">
        <w:rPr>
          <w:i/>
          <w:iCs/>
        </w:rPr>
        <w:t xml:space="preserve">et </w:t>
      </w:r>
      <w:r w:rsidR="00071188" w:rsidRPr="00591E70">
        <w:rPr>
          <w:i/>
          <w:iCs/>
        </w:rPr>
        <w:t>a</w:t>
      </w:r>
      <w:r w:rsidRPr="00591E70">
        <w:rPr>
          <w:i/>
          <w:iCs/>
        </w:rPr>
        <w:t>l.</w:t>
      </w:r>
      <w:r w:rsidR="00071188" w:rsidRPr="00591E70">
        <w:rPr>
          <w:i/>
          <w:iCs/>
        </w:rPr>
        <w:t>,</w:t>
      </w:r>
      <w:r w:rsidRPr="00492303">
        <w:t xml:space="preserve"> (2020) analysed financial markets’ reaction to COVID-19 and concluded that risk and volatility increased substantially. Similarly, Ashraf (2020) confirmed that stock market returns declined as the number of conﬁrmed cases increased. According to Baker </w:t>
      </w:r>
      <w:r w:rsidRPr="00591E70">
        <w:rPr>
          <w:i/>
          <w:iCs/>
        </w:rPr>
        <w:t>et al.</w:t>
      </w:r>
      <w:r w:rsidR="00071188" w:rsidRPr="00591E70">
        <w:rPr>
          <w:i/>
          <w:iCs/>
        </w:rPr>
        <w:t>,</w:t>
      </w:r>
      <w:r w:rsidRPr="00591E70">
        <w:rPr>
          <w:i/>
          <w:iCs/>
        </w:rPr>
        <w:t xml:space="preserve"> </w:t>
      </w:r>
      <w:r w:rsidRPr="00492303">
        <w:t xml:space="preserve">(2020) government intervention </w:t>
      </w:r>
      <w:r w:rsidR="00AC3041">
        <w:t xml:space="preserve">and </w:t>
      </w:r>
      <w:r w:rsidR="00E343B1">
        <w:t>especially</w:t>
      </w:r>
      <w:r w:rsidRPr="00492303">
        <w:t xml:space="preserve"> restriction on economic activity was </w:t>
      </w:r>
      <w:r w:rsidR="00795D4B">
        <w:t xml:space="preserve">the </w:t>
      </w:r>
      <w:r w:rsidRPr="00492303">
        <w:t>main reason for</w:t>
      </w:r>
      <w:r w:rsidR="00A9017C">
        <w:t xml:space="preserve"> the</w:t>
      </w:r>
      <w:r w:rsidRPr="00492303">
        <w:t xml:space="preserve"> strong financial market </w:t>
      </w:r>
      <w:r w:rsidR="00912BC8" w:rsidRPr="00492303">
        <w:t>response</w:t>
      </w:r>
      <w:r w:rsidRPr="00492303">
        <w:t xml:space="preserve"> to </w:t>
      </w:r>
      <w:r w:rsidR="0054233B">
        <w:t xml:space="preserve">the COVID-19 </w:t>
      </w:r>
      <w:r w:rsidRPr="00492303">
        <w:t xml:space="preserve">pandemic. </w:t>
      </w:r>
    </w:p>
    <w:p w14:paraId="3FD7D75C" w14:textId="77777777" w:rsidR="00CB7E32" w:rsidRDefault="008F5B8B" w:rsidP="007F0607">
      <w:pPr>
        <w:spacing w:line="360" w:lineRule="auto"/>
        <w:jc w:val="both"/>
      </w:pPr>
      <w:r w:rsidRPr="00492303">
        <w:t xml:space="preserve">Many economists predict that the </w:t>
      </w:r>
      <w:r w:rsidR="00E37C76" w:rsidRPr="00492303">
        <w:t xml:space="preserve">current </w:t>
      </w:r>
      <w:r w:rsidRPr="00492303">
        <w:t>pandemic crisis might be the most severe since</w:t>
      </w:r>
      <w:r w:rsidR="005914FE" w:rsidRPr="00492303">
        <w:t xml:space="preserve"> the</w:t>
      </w:r>
      <w:r w:rsidRPr="00492303">
        <w:t xml:space="preserve"> Great Depression</w:t>
      </w:r>
      <w:r w:rsidR="00E37C76" w:rsidRPr="00492303">
        <w:t>.</w:t>
      </w:r>
      <w:r w:rsidRPr="00492303">
        <w:t xml:space="preserve"> </w:t>
      </w:r>
      <w:r w:rsidR="00E37C76" w:rsidRPr="00492303">
        <w:t>T</w:t>
      </w:r>
      <w:r w:rsidR="00C14BA8" w:rsidRPr="00492303">
        <w:t xml:space="preserve">he question remains if the pandemic </w:t>
      </w:r>
      <w:r w:rsidR="00056947" w:rsidRPr="00492303">
        <w:t xml:space="preserve">can trigger the </w:t>
      </w:r>
      <w:r w:rsidRPr="00492303">
        <w:t>financial crisis and banking crisis</w:t>
      </w:r>
      <w:r w:rsidR="00C14BA8" w:rsidRPr="00492303">
        <w:t xml:space="preserve"> as well</w:t>
      </w:r>
      <w:r w:rsidR="00056947" w:rsidRPr="00492303">
        <w:t>.</w:t>
      </w:r>
      <w:r w:rsidRPr="00492303">
        <w:t xml:space="preserve"> </w:t>
      </w:r>
    </w:p>
    <w:p w14:paraId="3D7DC84D" w14:textId="076FC151" w:rsidR="00CB7E32" w:rsidRPr="00111C23" w:rsidRDefault="00CB7E32" w:rsidP="00CB7E32">
      <w:pPr>
        <w:spacing w:line="360" w:lineRule="auto"/>
        <w:jc w:val="both"/>
        <w:rPr>
          <w:color w:val="000000" w:themeColor="text1"/>
        </w:rPr>
      </w:pPr>
      <w:r w:rsidRPr="00492303">
        <w:t xml:space="preserve">A banking crisis </w:t>
      </w:r>
      <w:r w:rsidR="00111C23">
        <w:t>is</w:t>
      </w:r>
      <w:r w:rsidRPr="00492303">
        <w:t xml:space="preserve"> deﬁned as </w:t>
      </w:r>
      <w:r w:rsidR="001D26E3">
        <w:t xml:space="preserve">the </w:t>
      </w:r>
      <w:r w:rsidRPr="00492303">
        <w:t xml:space="preserve">occurrence of severely impaired ability of banks to perform their intermediary role. A banking crisis </w:t>
      </w:r>
      <w:r w:rsidR="00424E97">
        <w:t>is</w:t>
      </w:r>
      <w:r w:rsidRPr="00492303">
        <w:t xml:space="preserve"> characterised by a decline in the ratio of non-performing assets to total assets </w:t>
      </w:r>
      <w:sdt>
        <w:sdtPr>
          <w:id w:val="1999774945"/>
          <w:citation/>
        </w:sdtPr>
        <w:sdtContent>
          <w:r w:rsidRPr="00492303">
            <w:fldChar w:fldCharType="begin"/>
          </w:r>
          <w:r w:rsidRPr="00492303">
            <w:instrText xml:space="preserve"> CITATION Per03 \l 2057 </w:instrText>
          </w:r>
          <w:r w:rsidRPr="00492303">
            <w:fldChar w:fldCharType="separate"/>
          </w:r>
          <w:r w:rsidRPr="00492303">
            <w:t>(Pericoli &amp; Sbracia, 2003)</w:t>
          </w:r>
          <w:r w:rsidRPr="00492303">
            <w:fldChar w:fldCharType="end"/>
          </w:r>
        </w:sdtContent>
      </w:sdt>
      <w:r w:rsidRPr="00492303">
        <w:t xml:space="preserve"> or when there is a signiﬁcant decrease in banking capital </w:t>
      </w:r>
      <w:sdt>
        <w:sdtPr>
          <w:id w:val="-992953529"/>
          <w:citation/>
        </w:sdtPr>
        <w:sdtContent>
          <w:r w:rsidRPr="00492303">
            <w:fldChar w:fldCharType="begin"/>
          </w:r>
          <w:r w:rsidRPr="00492303">
            <w:instrText xml:space="preserve"> CITATION Cap96 \l 2057 </w:instrText>
          </w:r>
          <w:r w:rsidRPr="00492303">
            <w:fldChar w:fldCharType="separate"/>
          </w:r>
          <w:r w:rsidRPr="00492303">
            <w:t>(Caprio &amp; Klingebiel, 1996)</w:t>
          </w:r>
          <w:r w:rsidRPr="00492303">
            <w:fldChar w:fldCharType="end"/>
          </w:r>
        </w:sdtContent>
      </w:sdt>
      <w:r w:rsidRPr="00492303">
        <w:t xml:space="preserve">. Kaminsky and Reinhart (1999) perceived a banking crisis as a closure merger, takeover by the public sector of one or more ﬁnancial institutions, or a </w:t>
      </w:r>
      <w:r w:rsidR="006B1319" w:rsidRPr="00492303">
        <w:t>large-scale</w:t>
      </w:r>
      <w:r w:rsidRPr="00492303">
        <w:t xml:space="preserve"> government bail-out of a ﬁnancial institution.</w:t>
      </w:r>
    </w:p>
    <w:p w14:paraId="06605E88" w14:textId="2A805D6B" w:rsidR="0049435E" w:rsidRPr="00FB6CEA" w:rsidRDefault="00CB7E32" w:rsidP="007F0607">
      <w:pPr>
        <w:spacing w:line="360" w:lineRule="auto"/>
        <w:jc w:val="both"/>
      </w:pPr>
      <w:r w:rsidRPr="00492303">
        <w:t>The banking crisis can be caused by</w:t>
      </w:r>
      <w:r w:rsidR="004453FE">
        <w:t xml:space="preserve"> a</w:t>
      </w:r>
      <w:r w:rsidRPr="00492303">
        <w:t xml:space="preserve"> macroeconomic crisis or </w:t>
      </w:r>
      <w:r w:rsidR="005224D6">
        <w:t>by</w:t>
      </w:r>
      <w:r w:rsidR="002227D2">
        <w:t xml:space="preserve"> a</w:t>
      </w:r>
      <w:r w:rsidRPr="00492303">
        <w:t xml:space="preserve"> domestic bust and boom cycle. In times of boom, banks are optimistic about the future and tend to increase</w:t>
      </w:r>
      <w:r w:rsidR="00982224">
        <w:t xml:space="preserve"> the</w:t>
      </w:r>
      <w:r w:rsidRPr="00492303">
        <w:t xml:space="preserve"> ﬁnancing of </w:t>
      </w:r>
      <w:r w:rsidRPr="00FB6CEA">
        <w:t xml:space="preserve">projects with doubtful returns. </w:t>
      </w:r>
      <w:r w:rsidR="00206EBE">
        <w:t>The r</w:t>
      </w:r>
      <w:r w:rsidRPr="00FB6CEA">
        <w:t>esults of credit boom can be seen in</w:t>
      </w:r>
      <w:r w:rsidR="00390082">
        <w:t xml:space="preserve"> the</w:t>
      </w:r>
      <w:r w:rsidRPr="00FB6CEA">
        <w:t xml:space="preserve"> downturn phase of </w:t>
      </w:r>
      <w:r w:rsidR="002E2259">
        <w:t xml:space="preserve">an </w:t>
      </w:r>
      <w:r w:rsidRPr="00FB6CEA">
        <w:t>economic cycle when</w:t>
      </w:r>
      <w:r w:rsidR="00E96BCE">
        <w:t xml:space="preserve"> an</w:t>
      </w:r>
      <w:r w:rsidRPr="00FB6CEA">
        <w:t xml:space="preserve"> accumulation of arrears increases and banks’ liquidity is threatened </w:t>
      </w:r>
      <w:sdt>
        <w:sdtPr>
          <w:id w:val="-1562475752"/>
          <w:citation/>
        </w:sdtPr>
        <w:sdtContent>
          <w:r w:rsidRPr="00FB6CEA">
            <w:fldChar w:fldCharType="begin"/>
          </w:r>
          <w:r w:rsidRPr="00FB6CEA">
            <w:instrText xml:space="preserve"> CITATION Gor98 \l 2057 </w:instrText>
          </w:r>
          <w:r w:rsidRPr="00FB6CEA">
            <w:fldChar w:fldCharType="separate"/>
          </w:r>
          <w:r w:rsidRPr="00FB6CEA">
            <w:t>(Gorton, 1998)</w:t>
          </w:r>
          <w:r w:rsidRPr="00FB6CEA">
            <w:fldChar w:fldCharType="end"/>
          </w:r>
        </w:sdtContent>
      </w:sdt>
      <w:r w:rsidRPr="00FB6CEA">
        <w:t xml:space="preserve">. </w:t>
      </w:r>
    </w:p>
    <w:p w14:paraId="2AD31CD8" w14:textId="441FE94D" w:rsidR="002C5C10" w:rsidRDefault="00864868" w:rsidP="00156115">
      <w:pPr>
        <w:spacing w:line="360" w:lineRule="auto"/>
        <w:jc w:val="both"/>
        <w:rPr>
          <w:noProof/>
        </w:rPr>
      </w:pPr>
      <w:r w:rsidRPr="00FB6CEA">
        <w:t xml:space="preserve">The first signs of </w:t>
      </w:r>
      <w:r w:rsidR="00CB4664">
        <w:t xml:space="preserve">the </w:t>
      </w:r>
      <w:r w:rsidRPr="00FB6CEA">
        <w:t xml:space="preserve">banking crisis </w:t>
      </w:r>
      <w:r w:rsidR="006370F2">
        <w:t>were</w:t>
      </w:r>
      <w:r w:rsidR="000168D1" w:rsidRPr="00FB6CEA">
        <w:t xml:space="preserve"> visible</w:t>
      </w:r>
      <w:r w:rsidR="000168D1">
        <w:t xml:space="preserve"> in the global banking sector as </w:t>
      </w:r>
      <w:r w:rsidR="000168D1">
        <w:rPr>
          <w:rFonts w:cstheme="minorHAnsi"/>
        </w:rPr>
        <w:t>t</w:t>
      </w:r>
      <w:r w:rsidR="000168D1" w:rsidRPr="00FE0C34">
        <w:rPr>
          <w:rFonts w:cstheme="minorHAnsi"/>
        </w:rPr>
        <w:t xml:space="preserve">he recession caused by </w:t>
      </w:r>
      <w:r w:rsidR="00CD6373">
        <w:rPr>
          <w:rFonts w:cstheme="minorHAnsi"/>
        </w:rPr>
        <w:t xml:space="preserve">the </w:t>
      </w:r>
      <w:r w:rsidR="000168D1" w:rsidRPr="00FE0C34">
        <w:rPr>
          <w:rFonts w:cstheme="minorHAnsi"/>
        </w:rPr>
        <w:t xml:space="preserve">COVID-19 pandemic </w:t>
      </w:r>
      <w:r w:rsidR="007B7DEC">
        <w:rPr>
          <w:rFonts w:cstheme="minorHAnsi"/>
        </w:rPr>
        <w:t>and</w:t>
      </w:r>
      <w:r w:rsidR="000168D1" w:rsidRPr="00FE0C34">
        <w:rPr>
          <w:rFonts w:cstheme="minorHAnsi"/>
        </w:rPr>
        <w:t xml:space="preserve"> high levels</w:t>
      </w:r>
      <w:r w:rsidR="001F2964">
        <w:rPr>
          <w:rFonts w:cstheme="minorHAnsi"/>
        </w:rPr>
        <w:t xml:space="preserve"> of debt</w:t>
      </w:r>
      <w:r w:rsidR="000168D1" w:rsidRPr="00FE0C34">
        <w:rPr>
          <w:rFonts w:cstheme="minorHAnsi"/>
        </w:rPr>
        <w:t xml:space="preserve"> led to</w:t>
      </w:r>
      <w:r w:rsidR="00CD6373">
        <w:rPr>
          <w:rFonts w:cstheme="minorHAnsi"/>
        </w:rPr>
        <w:t xml:space="preserve"> an</w:t>
      </w:r>
      <w:r w:rsidR="000168D1" w:rsidRPr="00FE0C34">
        <w:rPr>
          <w:rFonts w:cstheme="minorHAnsi"/>
        </w:rPr>
        <w:t xml:space="preserve"> increase </w:t>
      </w:r>
      <w:r w:rsidR="000168D1">
        <w:rPr>
          <w:rFonts w:cstheme="minorHAnsi"/>
        </w:rPr>
        <w:t xml:space="preserve">in </w:t>
      </w:r>
      <w:r w:rsidR="000168D1" w:rsidRPr="00FE0C34">
        <w:rPr>
          <w:rFonts w:cstheme="minorHAnsi"/>
        </w:rPr>
        <w:t xml:space="preserve">the </w:t>
      </w:r>
      <w:r w:rsidR="005C0AB9">
        <w:rPr>
          <w:rFonts w:cstheme="minorHAnsi"/>
        </w:rPr>
        <w:t>number</w:t>
      </w:r>
      <w:r w:rsidR="000168D1" w:rsidRPr="00FE0C34">
        <w:rPr>
          <w:rFonts w:cstheme="minorHAnsi"/>
        </w:rPr>
        <w:t xml:space="preserve"> </w:t>
      </w:r>
      <w:r w:rsidR="000168D1">
        <w:rPr>
          <w:rFonts w:cstheme="minorHAnsi"/>
        </w:rPr>
        <w:t xml:space="preserve">of </w:t>
      </w:r>
      <w:r w:rsidR="000168D1" w:rsidRPr="00FE0C34">
        <w:rPr>
          <w:rFonts w:cstheme="minorHAnsi"/>
        </w:rPr>
        <w:t>non</w:t>
      </w:r>
      <w:r w:rsidR="00111C23">
        <w:rPr>
          <w:rFonts w:cstheme="minorHAnsi"/>
        </w:rPr>
        <w:t>-</w:t>
      </w:r>
      <w:r w:rsidR="000168D1" w:rsidRPr="00FE0C34">
        <w:rPr>
          <w:rFonts w:cstheme="minorHAnsi"/>
        </w:rPr>
        <w:t xml:space="preserve">performing loans </w:t>
      </w:r>
      <w:r w:rsidR="000168D1">
        <w:rPr>
          <w:rFonts w:cstheme="minorHAnsi"/>
        </w:rPr>
        <w:t>(</w:t>
      </w:r>
      <w:r w:rsidRPr="00FE0C34">
        <w:rPr>
          <w:rFonts w:cstheme="minorHAnsi"/>
        </w:rPr>
        <w:t xml:space="preserve">Park </w:t>
      </w:r>
      <w:r w:rsidR="003C5664">
        <w:rPr>
          <w:rFonts w:cstheme="minorHAnsi"/>
        </w:rPr>
        <w:t>and</w:t>
      </w:r>
      <w:r w:rsidRPr="00FE0C34">
        <w:rPr>
          <w:rFonts w:cstheme="minorHAnsi"/>
        </w:rPr>
        <w:t xml:space="preserve"> Shin</w:t>
      </w:r>
      <w:r w:rsidR="000168D1">
        <w:rPr>
          <w:rFonts w:cstheme="minorHAnsi"/>
        </w:rPr>
        <w:t>,</w:t>
      </w:r>
      <w:r w:rsidR="003C5664">
        <w:rPr>
          <w:rFonts w:cstheme="minorHAnsi"/>
        </w:rPr>
        <w:t xml:space="preserve"> </w:t>
      </w:r>
      <w:r w:rsidRPr="00FE0C34">
        <w:rPr>
          <w:rFonts w:cstheme="minorHAnsi"/>
        </w:rPr>
        <w:t>2021)</w:t>
      </w:r>
      <w:r w:rsidR="00156115" w:rsidRPr="00FB6CEA">
        <w:t>.</w:t>
      </w:r>
      <w:r w:rsidR="00D44291">
        <w:t xml:space="preserve"> </w:t>
      </w:r>
      <w:r w:rsidR="00D712E1">
        <w:t>Similarly</w:t>
      </w:r>
      <w:r w:rsidR="00D44291">
        <w:t>,</w:t>
      </w:r>
      <w:r w:rsidR="00156115" w:rsidRPr="00FB6CEA">
        <w:t xml:space="preserve"> </w:t>
      </w:r>
      <w:r w:rsidR="00330D62">
        <w:rPr>
          <w:noProof/>
        </w:rPr>
        <w:t>Beck (2021) show</w:t>
      </w:r>
      <w:r w:rsidR="00D027CD">
        <w:rPr>
          <w:noProof/>
        </w:rPr>
        <w:t>ed</w:t>
      </w:r>
      <w:r w:rsidR="00330D62">
        <w:rPr>
          <w:noProof/>
        </w:rPr>
        <w:t xml:space="preserve"> that </w:t>
      </w:r>
      <w:r w:rsidR="00A61077">
        <w:rPr>
          <w:noProof/>
        </w:rPr>
        <w:t xml:space="preserve">the </w:t>
      </w:r>
      <w:r w:rsidR="00330D62">
        <w:rPr>
          <w:noProof/>
        </w:rPr>
        <w:t xml:space="preserve">lockdown and </w:t>
      </w:r>
      <w:r w:rsidR="00111C23">
        <w:rPr>
          <w:noProof/>
        </w:rPr>
        <w:t xml:space="preserve">the </w:t>
      </w:r>
      <w:r w:rsidR="00330D62">
        <w:rPr>
          <w:noProof/>
        </w:rPr>
        <w:t>COVID-19 pandemic increased loss provisions and non-performing loans together with</w:t>
      </w:r>
      <w:r w:rsidR="00267B88">
        <w:rPr>
          <w:noProof/>
        </w:rPr>
        <w:t xml:space="preserve"> an</w:t>
      </w:r>
      <w:r w:rsidR="00330D62">
        <w:rPr>
          <w:noProof/>
        </w:rPr>
        <w:t xml:space="preserve"> increase in interest spreads and </w:t>
      </w:r>
      <w:r w:rsidR="00267B88">
        <w:rPr>
          <w:noProof/>
        </w:rPr>
        <w:t xml:space="preserve">a </w:t>
      </w:r>
      <w:r w:rsidR="00330D62">
        <w:rPr>
          <w:noProof/>
        </w:rPr>
        <w:t>decrease in maturit</w:t>
      </w:r>
      <w:r w:rsidR="00136A3C">
        <w:rPr>
          <w:noProof/>
        </w:rPr>
        <w:t>ies</w:t>
      </w:r>
      <w:r w:rsidR="00330D62">
        <w:rPr>
          <w:noProof/>
        </w:rPr>
        <w:t xml:space="preserve"> in the US banks.</w:t>
      </w:r>
      <w:r w:rsidR="001205F8">
        <w:rPr>
          <w:noProof/>
        </w:rPr>
        <w:t xml:space="preserve"> </w:t>
      </w:r>
      <w:r w:rsidR="007B7DEC">
        <w:rPr>
          <w:noProof/>
        </w:rPr>
        <w:t>In turn, i</w:t>
      </w:r>
      <w:r w:rsidR="00311AEF">
        <w:rPr>
          <w:noProof/>
        </w:rPr>
        <w:t xml:space="preserve">n </w:t>
      </w:r>
      <w:r w:rsidR="00311AEF" w:rsidRPr="00FB6CEA">
        <w:t>Eurozone bank</w:t>
      </w:r>
      <w:r w:rsidR="00111C23">
        <w:t>s, the</w:t>
      </w:r>
      <w:r w:rsidR="005C0AB9">
        <w:rPr>
          <w:noProof/>
        </w:rPr>
        <w:t xml:space="preserve"> </w:t>
      </w:r>
      <w:r w:rsidR="001205F8" w:rsidRPr="00FB6CEA">
        <w:t>COVID-19 pandemic increased volatility connectedness</w:t>
      </w:r>
      <w:r w:rsidR="00311AEF">
        <w:t xml:space="preserve"> (</w:t>
      </w:r>
      <w:proofErr w:type="spellStart"/>
      <w:r w:rsidR="00311AEF" w:rsidRPr="00FB6CEA">
        <w:t>Foglia</w:t>
      </w:r>
      <w:proofErr w:type="spellEnd"/>
      <w:r w:rsidR="00311AEF" w:rsidRPr="00FB6CEA">
        <w:t xml:space="preserve"> </w:t>
      </w:r>
      <w:r w:rsidR="00311AEF" w:rsidRPr="00E50BCC">
        <w:rPr>
          <w:i/>
          <w:iCs/>
        </w:rPr>
        <w:t>et al</w:t>
      </w:r>
      <w:r w:rsidR="00311AEF" w:rsidRPr="00FB6CEA">
        <w:t>.</w:t>
      </w:r>
      <w:r w:rsidR="00311AEF">
        <w:t>,</w:t>
      </w:r>
      <w:r w:rsidR="00071188">
        <w:t xml:space="preserve"> </w:t>
      </w:r>
      <w:r w:rsidR="00311AEF" w:rsidRPr="00FB6CEA">
        <w:t>2022)</w:t>
      </w:r>
      <w:r w:rsidR="00311AEF">
        <w:t>.</w:t>
      </w:r>
    </w:p>
    <w:p w14:paraId="0C09B893" w14:textId="651EA1D2" w:rsidR="00156115" w:rsidRPr="00FB6CEA" w:rsidRDefault="00856667" w:rsidP="00156115">
      <w:p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Furthermore, i</w:t>
      </w:r>
      <w:r w:rsidR="00D712E1">
        <w:rPr>
          <w:rFonts w:cstheme="minorHAnsi"/>
        </w:rPr>
        <w:t xml:space="preserve">t was documented that the </w:t>
      </w:r>
      <w:r w:rsidR="001D67F6" w:rsidRPr="00A96DC2">
        <w:rPr>
          <w:rFonts w:cstheme="minorHAnsi"/>
          <w:color w:val="000000" w:themeColor="text1"/>
        </w:rPr>
        <w:t>COVID-19 pandemic had a negative</w:t>
      </w:r>
      <w:r w:rsidR="001D67F6" w:rsidRPr="00A96DC2">
        <w:rPr>
          <w:rFonts w:cstheme="minorHAnsi"/>
          <w:noProof/>
          <w:color w:val="000000" w:themeColor="text1"/>
        </w:rPr>
        <w:t xml:space="preserve"> effect on banks’ financial performance</w:t>
      </w:r>
      <w:r w:rsidR="005C43D2">
        <w:rPr>
          <w:rFonts w:cstheme="minorHAnsi"/>
          <w:noProof/>
          <w:color w:val="000000" w:themeColor="text1"/>
        </w:rPr>
        <w:t xml:space="preserve"> indicators</w:t>
      </w:r>
      <w:r w:rsidR="001D67F6" w:rsidRPr="00A96DC2">
        <w:rPr>
          <w:rFonts w:cstheme="minorHAnsi"/>
          <w:noProof/>
          <w:color w:val="000000" w:themeColor="text1"/>
        </w:rPr>
        <w:t xml:space="preserve"> and </w:t>
      </w:r>
      <w:r w:rsidR="001D67F6" w:rsidRPr="00C31FEE">
        <w:rPr>
          <w:rFonts w:cstheme="minorHAnsi"/>
          <w:color w:val="000000" w:themeColor="text1"/>
        </w:rPr>
        <w:t xml:space="preserve">financial stability i.e., high-risk indicators </w:t>
      </w:r>
      <w:r w:rsidR="00EF1E62">
        <w:rPr>
          <w:rFonts w:cstheme="minorHAnsi"/>
          <w:color w:val="000000" w:themeColor="text1"/>
        </w:rPr>
        <w:t>such as</w:t>
      </w:r>
      <w:r w:rsidR="001D67F6" w:rsidRPr="00C31FEE">
        <w:rPr>
          <w:rFonts w:cstheme="minorHAnsi"/>
          <w:color w:val="000000" w:themeColor="text1"/>
        </w:rPr>
        <w:t xml:space="preserve"> default </w:t>
      </w:r>
      <w:r w:rsidR="001D67F6" w:rsidRPr="00C31FEE">
        <w:rPr>
          <w:rFonts w:cstheme="minorHAnsi"/>
          <w:color w:val="000000" w:themeColor="text1"/>
        </w:rPr>
        <w:lastRenderedPageBreak/>
        <w:t>risk, liquidity risk and asset risk</w:t>
      </w:r>
      <w:r w:rsidR="001D67F6" w:rsidRPr="00A96DC2">
        <w:rPr>
          <w:rFonts w:cstheme="minorHAnsi"/>
          <w:noProof/>
          <w:color w:val="000000" w:themeColor="text1"/>
        </w:rPr>
        <w:t xml:space="preserve"> (Elnahass </w:t>
      </w:r>
      <w:r w:rsidR="00FA06AA" w:rsidRPr="00535962">
        <w:rPr>
          <w:rFonts w:cstheme="minorHAnsi"/>
          <w:i/>
          <w:iCs/>
          <w:noProof/>
          <w:color w:val="000000" w:themeColor="text1"/>
        </w:rPr>
        <w:t>et al.</w:t>
      </w:r>
      <w:r w:rsidR="001D67F6" w:rsidRPr="00535962">
        <w:rPr>
          <w:rFonts w:cstheme="minorHAnsi"/>
          <w:i/>
          <w:iCs/>
          <w:noProof/>
          <w:color w:val="000000" w:themeColor="text1"/>
        </w:rPr>
        <w:t>,</w:t>
      </w:r>
      <w:r w:rsidR="001D67F6" w:rsidRPr="00A96DC2">
        <w:rPr>
          <w:rFonts w:cstheme="minorHAnsi"/>
          <w:noProof/>
          <w:color w:val="000000" w:themeColor="text1"/>
        </w:rPr>
        <w:t xml:space="preserve"> 2021)</w:t>
      </w:r>
      <w:r w:rsidR="007F3FEE">
        <w:rPr>
          <w:rFonts w:cstheme="minorHAnsi"/>
          <w:noProof/>
          <w:color w:val="000000" w:themeColor="text1"/>
        </w:rPr>
        <w:t xml:space="preserve">. </w:t>
      </w:r>
      <w:r w:rsidR="0084197D">
        <w:rPr>
          <w:rFonts w:cstheme="minorHAnsi"/>
          <w:noProof/>
          <w:color w:val="000000" w:themeColor="text1"/>
        </w:rPr>
        <w:t>Likewise</w:t>
      </w:r>
      <w:r w:rsidR="007F3FEE">
        <w:rPr>
          <w:rFonts w:cstheme="minorHAnsi"/>
          <w:noProof/>
          <w:color w:val="000000" w:themeColor="text1"/>
        </w:rPr>
        <w:t xml:space="preserve">, </w:t>
      </w:r>
      <w:r w:rsidR="005819D6">
        <w:rPr>
          <w:noProof/>
        </w:rPr>
        <w:t xml:space="preserve">Duan </w:t>
      </w:r>
      <w:r w:rsidR="005819D6" w:rsidRPr="00535962">
        <w:rPr>
          <w:i/>
          <w:iCs/>
          <w:noProof/>
        </w:rPr>
        <w:t>et al.</w:t>
      </w:r>
      <w:r w:rsidR="00304443">
        <w:rPr>
          <w:noProof/>
        </w:rPr>
        <w:t xml:space="preserve"> </w:t>
      </w:r>
      <w:r w:rsidR="005819D6">
        <w:rPr>
          <w:noProof/>
        </w:rPr>
        <w:t>(2021) found that</w:t>
      </w:r>
      <w:r w:rsidR="00B2399A">
        <w:rPr>
          <w:noProof/>
        </w:rPr>
        <w:t xml:space="preserve"> the</w:t>
      </w:r>
      <w:r w:rsidR="005819D6">
        <w:rPr>
          <w:noProof/>
        </w:rPr>
        <w:t xml:space="preserve"> COVID-19 pandemic increased systematic risk in banks across 64 </w:t>
      </w:r>
      <w:r w:rsidR="00CE034D">
        <w:t>countries</w:t>
      </w:r>
      <w:r w:rsidR="005819D6">
        <w:t xml:space="preserve"> </w:t>
      </w:r>
      <w:r w:rsidR="00EF1E62">
        <w:t>mainly</w:t>
      </w:r>
      <w:r w:rsidR="005819D6">
        <w:t xml:space="preserve"> in banks highly leveraged, </w:t>
      </w:r>
      <w:r w:rsidR="002D2B09">
        <w:t>undercapitalised and w</w:t>
      </w:r>
      <w:r w:rsidR="005819D6">
        <w:t xml:space="preserve">ith high loan to assets ratio. </w:t>
      </w:r>
      <w:r w:rsidR="003E00B1" w:rsidRPr="00492303">
        <w:t>Likewise</w:t>
      </w:r>
      <w:r w:rsidR="007D2487" w:rsidRPr="00492303">
        <w:t>, Acharya</w:t>
      </w:r>
      <w:r w:rsidR="007D2487">
        <w:t xml:space="preserve"> </w:t>
      </w:r>
      <w:r w:rsidR="007D2487" w:rsidRPr="00535962">
        <w:rPr>
          <w:i/>
          <w:iCs/>
        </w:rPr>
        <w:t>et al.</w:t>
      </w:r>
      <w:r w:rsidR="007D2487" w:rsidRPr="00492303">
        <w:t xml:space="preserve"> (2021) confirmed that liquidity risk </w:t>
      </w:r>
      <w:r w:rsidR="00F508A3" w:rsidRPr="00492303">
        <w:t>was</w:t>
      </w:r>
      <w:r w:rsidR="007D2487" w:rsidRPr="00492303">
        <w:t xml:space="preserve"> responsible for </w:t>
      </w:r>
      <w:r w:rsidR="002752AC">
        <w:t xml:space="preserve">the </w:t>
      </w:r>
      <w:r w:rsidR="007D2487" w:rsidRPr="00492303">
        <w:t>poor performance of banks</w:t>
      </w:r>
      <w:r w:rsidR="00381252">
        <w:t>’</w:t>
      </w:r>
      <w:r w:rsidR="007D2487" w:rsidRPr="00492303">
        <w:t xml:space="preserve"> stock relativ</w:t>
      </w:r>
      <w:r w:rsidR="002731F2">
        <w:t>e</w:t>
      </w:r>
      <w:r w:rsidR="007D2487" w:rsidRPr="00492303">
        <w:t xml:space="preserve"> to other finan</w:t>
      </w:r>
      <w:r w:rsidR="007D2487">
        <w:t>ci</w:t>
      </w:r>
      <w:r w:rsidR="007D2487" w:rsidRPr="00492303">
        <w:t>al and non-financial firms</w:t>
      </w:r>
      <w:r w:rsidR="00106D58">
        <w:t xml:space="preserve">. </w:t>
      </w:r>
      <w:r w:rsidR="00CB2B0A">
        <w:t xml:space="preserve">However, </w:t>
      </w:r>
      <w:proofErr w:type="spellStart"/>
      <w:r w:rsidR="00CB2B0A">
        <w:t>Abboud</w:t>
      </w:r>
      <w:proofErr w:type="spellEnd"/>
      <w:r w:rsidR="00C94BD4" w:rsidRPr="00492303">
        <w:t xml:space="preserve"> </w:t>
      </w:r>
      <w:r w:rsidR="00C94BD4" w:rsidRPr="00535962">
        <w:rPr>
          <w:i/>
          <w:iCs/>
        </w:rPr>
        <w:t>et al.</w:t>
      </w:r>
      <w:r w:rsidR="00C94BD4" w:rsidRPr="00492303">
        <w:t xml:space="preserve"> (2021) </w:t>
      </w:r>
      <w:r w:rsidR="00747D23">
        <w:t>noticed that</w:t>
      </w:r>
      <w:r w:rsidR="00C94BD4" w:rsidRPr="00492303">
        <w:t xml:space="preserve"> banks enter the COVID</w:t>
      </w:r>
      <w:r w:rsidR="00E45F95">
        <w:t>-</w:t>
      </w:r>
      <w:r w:rsidR="00C94BD4" w:rsidRPr="00492303">
        <w:t xml:space="preserve">19 pandemic with much robust capitalisation and liquidity which helped </w:t>
      </w:r>
      <w:r w:rsidR="00C16EE1">
        <w:t>them</w:t>
      </w:r>
      <w:r w:rsidR="00C94BD4" w:rsidRPr="00492303">
        <w:t xml:space="preserve"> withstand the initial stage of</w:t>
      </w:r>
      <w:r w:rsidR="00520A21">
        <w:t xml:space="preserve"> the</w:t>
      </w:r>
      <w:r w:rsidR="00C94BD4" w:rsidRPr="00492303">
        <w:t xml:space="preserve"> pandemic crisis. </w:t>
      </w:r>
      <w:r w:rsidR="00A67431" w:rsidRPr="00492303">
        <w:t xml:space="preserve">There </w:t>
      </w:r>
      <w:r w:rsidR="00A67431">
        <w:t>is</w:t>
      </w:r>
      <w:r w:rsidR="00A67431" w:rsidRPr="00492303">
        <w:t xml:space="preserve"> evidence that banks with higher capitalisation and deposit</w:t>
      </w:r>
      <w:r w:rsidR="00780AE5">
        <w:t>s</w:t>
      </w:r>
      <w:r w:rsidR="00A67431" w:rsidRPr="00492303">
        <w:t xml:space="preserve">, more diversification, lower non-performing loans and larger size were more resilient to </w:t>
      </w:r>
      <w:r w:rsidR="00E06770">
        <w:t xml:space="preserve">the </w:t>
      </w:r>
      <w:r w:rsidR="00A67431" w:rsidRPr="00492303">
        <w:t xml:space="preserve">COVID-19 pandemic (Demir </w:t>
      </w:r>
      <w:r w:rsidR="00BA3AF1">
        <w:t>and</w:t>
      </w:r>
      <w:r w:rsidR="00A67431" w:rsidRPr="00492303">
        <w:t xml:space="preserve"> </w:t>
      </w:r>
      <w:proofErr w:type="spellStart"/>
      <w:r w:rsidR="00A67431" w:rsidRPr="00492303">
        <w:t>Danisman</w:t>
      </w:r>
      <w:proofErr w:type="spellEnd"/>
      <w:r w:rsidR="00A67431" w:rsidRPr="00492303">
        <w:t>,</w:t>
      </w:r>
      <w:r w:rsidR="00A67431">
        <w:t xml:space="preserve"> </w:t>
      </w:r>
      <w:r w:rsidR="00A67431" w:rsidRPr="00492303">
        <w:t xml:space="preserve">2021). </w:t>
      </w:r>
    </w:p>
    <w:p w14:paraId="0A9CFB38" w14:textId="3E9F4F51" w:rsidR="00B9484A" w:rsidRDefault="00CD5F8C" w:rsidP="00BE3E45">
      <w:pPr>
        <w:spacing w:line="360" w:lineRule="auto"/>
        <w:jc w:val="both"/>
      </w:pPr>
      <w:r>
        <w:t>In</w:t>
      </w:r>
      <w:r w:rsidR="00055EFB">
        <w:t xml:space="preserve"> a</w:t>
      </w:r>
      <w:r>
        <w:t xml:space="preserve"> cross-countries analysis of</w:t>
      </w:r>
      <w:r w:rsidR="001541C5">
        <w:t xml:space="preserve"> the</w:t>
      </w:r>
      <w:r>
        <w:t xml:space="preserve"> banking sector</w:t>
      </w:r>
      <w:r w:rsidR="00902D83">
        <w:t>,</w:t>
      </w:r>
      <w:r>
        <w:t xml:space="preserve"> </w:t>
      </w:r>
      <w:r w:rsidR="00B9484A">
        <w:t xml:space="preserve">Tabak </w:t>
      </w:r>
      <w:r w:rsidR="00D7390C" w:rsidRPr="00535962">
        <w:rPr>
          <w:i/>
          <w:iCs/>
        </w:rPr>
        <w:t>et al</w:t>
      </w:r>
      <w:r w:rsidR="00535962">
        <w:rPr>
          <w:i/>
          <w:iCs/>
        </w:rPr>
        <w:t>.</w:t>
      </w:r>
      <w:r w:rsidR="00D7390C">
        <w:t xml:space="preserve"> (</w:t>
      </w:r>
      <w:r w:rsidR="00B9484A">
        <w:t>2022)</w:t>
      </w:r>
      <w:r>
        <w:t xml:space="preserve"> </w:t>
      </w:r>
      <w:r w:rsidR="00865547">
        <w:t xml:space="preserve">showed that </w:t>
      </w:r>
      <w:r w:rsidR="00C41D9D">
        <w:t xml:space="preserve">there was an increase in </w:t>
      </w:r>
      <w:proofErr w:type="spellStart"/>
      <w:r w:rsidR="00C41D9D">
        <w:t>spillover</w:t>
      </w:r>
      <w:proofErr w:type="spellEnd"/>
      <w:r w:rsidR="00C41D9D">
        <w:t xml:space="preserve"> </w:t>
      </w:r>
      <w:r w:rsidR="00C82E90">
        <w:t>in</w:t>
      </w:r>
      <w:r w:rsidR="00C41D9D">
        <w:t xml:space="preserve"> banking </w:t>
      </w:r>
      <w:r w:rsidR="00636EAE">
        <w:t>markets</w:t>
      </w:r>
      <w:r w:rsidR="00FF0BE7">
        <w:t>,</w:t>
      </w:r>
      <w:r w:rsidR="00C41D9D">
        <w:t xml:space="preserve"> especially in 2020. </w:t>
      </w:r>
      <w:proofErr w:type="spellStart"/>
      <w:r w:rsidR="0053046A">
        <w:t>Laborda</w:t>
      </w:r>
      <w:proofErr w:type="spellEnd"/>
      <w:r w:rsidR="0053046A">
        <w:t xml:space="preserve"> and </w:t>
      </w:r>
      <w:proofErr w:type="spellStart"/>
      <w:r w:rsidR="0053046A">
        <w:t>Olmo</w:t>
      </w:r>
      <w:proofErr w:type="spellEnd"/>
      <w:r w:rsidR="0053046A">
        <w:t xml:space="preserve"> (2021</w:t>
      </w:r>
      <w:r w:rsidR="007A3307">
        <w:t>) demonstrated</w:t>
      </w:r>
      <w:r w:rsidR="004D1B67">
        <w:t xml:space="preserve"> that </w:t>
      </w:r>
      <w:r w:rsidR="00FF0BE7">
        <w:t xml:space="preserve">an </w:t>
      </w:r>
      <w:r w:rsidR="004027C9">
        <w:t xml:space="preserve">increase in volatility </w:t>
      </w:r>
      <w:proofErr w:type="spellStart"/>
      <w:r w:rsidR="004027C9">
        <w:t>spillovers</w:t>
      </w:r>
      <w:proofErr w:type="spellEnd"/>
      <w:r w:rsidR="004027C9">
        <w:t xml:space="preserve"> c</w:t>
      </w:r>
      <w:r w:rsidR="008F1CE0">
        <w:t>ould</w:t>
      </w:r>
      <w:r w:rsidR="004027C9">
        <w:t xml:space="preserve"> be used as an early sign of</w:t>
      </w:r>
      <w:r w:rsidR="00533987">
        <w:t xml:space="preserve"> a</w:t>
      </w:r>
      <w:r w:rsidR="004027C9">
        <w:t xml:space="preserve"> financial crisis and </w:t>
      </w:r>
      <w:r w:rsidR="002F0357">
        <w:t xml:space="preserve">the </w:t>
      </w:r>
      <w:r w:rsidR="004027C9">
        <w:t>banking sector can play a significant r</w:t>
      </w:r>
      <w:r w:rsidR="006C16B7">
        <w:t>o</w:t>
      </w:r>
      <w:r w:rsidR="004027C9">
        <w:t xml:space="preserve">le in crisis transmission. </w:t>
      </w:r>
    </w:p>
    <w:p w14:paraId="2C201D96" w14:textId="56372ED7" w:rsidR="006C47B0" w:rsidRPr="00A913C1" w:rsidRDefault="0027638A" w:rsidP="00BE3E45">
      <w:pPr>
        <w:spacing w:line="360" w:lineRule="auto"/>
        <w:jc w:val="both"/>
      </w:pPr>
      <w:r>
        <w:rPr>
          <w:rFonts w:cstheme="minorHAnsi"/>
        </w:rPr>
        <w:t xml:space="preserve">Another sign of the banking crisis </w:t>
      </w:r>
      <w:r w:rsidR="006E23BA">
        <w:rPr>
          <w:rFonts w:cstheme="minorHAnsi"/>
        </w:rPr>
        <w:t>is significant</w:t>
      </w:r>
      <w:r w:rsidR="00C16EE1">
        <w:rPr>
          <w:rFonts w:cstheme="minorHAnsi"/>
        </w:rPr>
        <w:t xml:space="preserve"> government </w:t>
      </w:r>
      <w:r w:rsidR="003164FB">
        <w:rPr>
          <w:rFonts w:cstheme="minorHAnsi"/>
        </w:rPr>
        <w:t>intervention</w:t>
      </w:r>
      <w:r w:rsidR="0068051D">
        <w:rPr>
          <w:rFonts w:cstheme="minorHAnsi"/>
        </w:rPr>
        <w:t xml:space="preserve">. </w:t>
      </w:r>
      <w:r w:rsidR="00634B48">
        <w:t xml:space="preserve">There </w:t>
      </w:r>
      <w:r w:rsidR="00A9069C">
        <w:t>are</w:t>
      </w:r>
      <w:r w:rsidR="00634B48">
        <w:t xml:space="preserve"> </w:t>
      </w:r>
      <w:r w:rsidR="00A9069C">
        <w:t>several</w:t>
      </w:r>
      <w:r w:rsidR="00634B48">
        <w:t xml:space="preserve"> </w:t>
      </w:r>
      <w:r w:rsidR="00324893">
        <w:t>studies</w:t>
      </w:r>
      <w:r w:rsidR="00634B48">
        <w:t xml:space="preserve"> that focus</w:t>
      </w:r>
      <w:r w:rsidR="008F1CE0">
        <w:t>ed</w:t>
      </w:r>
      <w:r w:rsidR="00634B48">
        <w:t xml:space="preserve"> </w:t>
      </w:r>
      <w:r w:rsidR="00A9069C">
        <w:t xml:space="preserve">on </w:t>
      </w:r>
      <w:r w:rsidR="00C94BD4">
        <w:t>the impact of government policy on banks</w:t>
      </w:r>
      <w:r w:rsidR="003A0CFF">
        <w:t>’</w:t>
      </w:r>
      <w:r w:rsidR="00C94BD4">
        <w:t xml:space="preserve"> performance</w:t>
      </w:r>
      <w:r w:rsidR="0068051D">
        <w:t xml:space="preserve"> during </w:t>
      </w:r>
      <w:r w:rsidR="003A0CFF">
        <w:t xml:space="preserve">the </w:t>
      </w:r>
      <w:r w:rsidR="0068051D">
        <w:t>pandemic.</w:t>
      </w:r>
      <w:r w:rsidR="00F57F3D">
        <w:t xml:space="preserve"> </w:t>
      </w:r>
      <w:proofErr w:type="spellStart"/>
      <w:r w:rsidR="002D77AE" w:rsidRPr="00492303">
        <w:rPr>
          <w:rFonts w:cstheme="minorHAnsi"/>
        </w:rPr>
        <w:t>Demirgüç-Kunt</w:t>
      </w:r>
      <w:proofErr w:type="spellEnd"/>
      <w:r w:rsidR="002D77AE" w:rsidRPr="00492303">
        <w:rPr>
          <w:rFonts w:cstheme="minorHAnsi"/>
        </w:rPr>
        <w:t xml:space="preserve">, </w:t>
      </w:r>
      <w:r w:rsidR="002D77AE" w:rsidRPr="00591E70">
        <w:rPr>
          <w:rFonts w:cstheme="minorHAnsi"/>
          <w:i/>
          <w:iCs/>
        </w:rPr>
        <w:t>et al</w:t>
      </w:r>
      <w:r w:rsidR="002D77AE" w:rsidRPr="008F1CE0">
        <w:rPr>
          <w:rFonts w:cstheme="minorHAnsi"/>
        </w:rPr>
        <w:t>.</w:t>
      </w:r>
      <w:r w:rsidR="002D77AE" w:rsidRPr="00492303">
        <w:rPr>
          <w:rFonts w:cstheme="minorHAnsi"/>
        </w:rPr>
        <w:t xml:space="preserve"> (2021) </w:t>
      </w:r>
      <w:r w:rsidR="008F18B7" w:rsidRPr="00492303">
        <w:rPr>
          <w:rFonts w:cstheme="minorHAnsi"/>
        </w:rPr>
        <w:t>focused on the impact of the financial sector policy announcements on the bank</w:t>
      </w:r>
      <w:r w:rsidR="009652EA">
        <w:rPr>
          <w:rFonts w:cstheme="minorHAnsi"/>
        </w:rPr>
        <w:t>s’</w:t>
      </w:r>
      <w:r w:rsidR="008F18B7" w:rsidRPr="00492303">
        <w:rPr>
          <w:rFonts w:cstheme="minorHAnsi"/>
        </w:rPr>
        <w:t xml:space="preserve"> </w:t>
      </w:r>
      <w:r w:rsidR="002B40B1" w:rsidRPr="00492303">
        <w:rPr>
          <w:rFonts w:cstheme="minorHAnsi"/>
        </w:rPr>
        <w:t xml:space="preserve">stock </w:t>
      </w:r>
      <w:r w:rsidR="002B40B1">
        <w:rPr>
          <w:rFonts w:cstheme="minorHAnsi"/>
        </w:rPr>
        <w:t>at</w:t>
      </w:r>
      <w:r w:rsidR="00100C72">
        <w:rPr>
          <w:rFonts w:cstheme="minorHAnsi"/>
        </w:rPr>
        <w:t xml:space="preserve"> </w:t>
      </w:r>
      <w:r w:rsidR="008F18B7" w:rsidRPr="00492303">
        <w:rPr>
          <w:rFonts w:cstheme="minorHAnsi"/>
        </w:rPr>
        <w:t>the beginning of</w:t>
      </w:r>
      <w:r w:rsidR="00100C72">
        <w:rPr>
          <w:rFonts w:cstheme="minorHAnsi"/>
        </w:rPr>
        <w:t xml:space="preserve"> the pandemic</w:t>
      </w:r>
      <w:r w:rsidR="000F54FA" w:rsidRPr="00492303">
        <w:rPr>
          <w:rFonts w:cstheme="minorHAnsi"/>
        </w:rPr>
        <w:t>. Their findings suggest</w:t>
      </w:r>
      <w:r w:rsidR="00FA74E9">
        <w:rPr>
          <w:rFonts w:cstheme="minorHAnsi"/>
        </w:rPr>
        <w:t>ed</w:t>
      </w:r>
      <w:r w:rsidR="000F54FA" w:rsidRPr="00492303">
        <w:rPr>
          <w:rFonts w:cstheme="minorHAnsi"/>
        </w:rPr>
        <w:t xml:space="preserve"> that banks’ stocks were more affected by the C</w:t>
      </w:r>
      <w:r w:rsidR="003074CE">
        <w:rPr>
          <w:rFonts w:cstheme="minorHAnsi"/>
        </w:rPr>
        <w:t>OVID</w:t>
      </w:r>
      <w:r w:rsidR="005335F8">
        <w:rPr>
          <w:rFonts w:cstheme="minorHAnsi"/>
        </w:rPr>
        <w:t>-19</w:t>
      </w:r>
      <w:r w:rsidR="000F54FA" w:rsidRPr="00492303">
        <w:rPr>
          <w:rFonts w:cstheme="minorHAnsi"/>
        </w:rPr>
        <w:t xml:space="preserve"> crisis th</w:t>
      </w:r>
      <w:r w:rsidR="00106904">
        <w:rPr>
          <w:rFonts w:cstheme="minorHAnsi"/>
        </w:rPr>
        <w:t>a</w:t>
      </w:r>
      <w:r w:rsidR="000F54FA" w:rsidRPr="00492303">
        <w:rPr>
          <w:rFonts w:cstheme="minorHAnsi"/>
        </w:rPr>
        <w:t xml:space="preserve">n other </w:t>
      </w:r>
      <w:r w:rsidR="006E23BA" w:rsidRPr="00492303">
        <w:rPr>
          <w:rFonts w:cstheme="minorHAnsi"/>
        </w:rPr>
        <w:t>corporations</w:t>
      </w:r>
      <w:r w:rsidR="000F54FA" w:rsidRPr="00492303">
        <w:rPr>
          <w:rFonts w:cstheme="minorHAnsi"/>
        </w:rPr>
        <w:t xml:space="preserve"> and </w:t>
      </w:r>
      <w:r w:rsidR="000F54FA" w:rsidRPr="003074CE">
        <w:rPr>
          <w:rFonts w:cstheme="minorHAnsi"/>
          <w:color w:val="000000" w:themeColor="text1"/>
        </w:rPr>
        <w:t>that</w:t>
      </w:r>
      <w:r w:rsidR="00D35342" w:rsidRPr="003074CE">
        <w:rPr>
          <w:rFonts w:cstheme="minorHAnsi"/>
          <w:color w:val="000000" w:themeColor="text1"/>
        </w:rPr>
        <w:t xml:space="preserve"> the policy announcement</w:t>
      </w:r>
      <w:r w:rsidR="006A0E41" w:rsidRPr="003074CE">
        <w:rPr>
          <w:rFonts w:cstheme="minorHAnsi"/>
          <w:color w:val="000000" w:themeColor="text1"/>
        </w:rPr>
        <w:t xml:space="preserve"> such</w:t>
      </w:r>
      <w:r w:rsidR="00D35342" w:rsidRPr="003074CE">
        <w:rPr>
          <w:rFonts w:cstheme="minorHAnsi"/>
          <w:color w:val="000000" w:themeColor="text1"/>
        </w:rPr>
        <w:t xml:space="preserve"> as liquidity support, borrower assistance and monetary easing</w:t>
      </w:r>
      <w:r w:rsidR="00EF45F5" w:rsidRPr="003074CE">
        <w:rPr>
          <w:rFonts w:cstheme="minorHAnsi"/>
          <w:color w:val="000000" w:themeColor="text1"/>
        </w:rPr>
        <w:t xml:space="preserve"> had some positive effects on banks</w:t>
      </w:r>
      <w:r w:rsidR="00502524">
        <w:rPr>
          <w:rFonts w:cstheme="minorHAnsi"/>
          <w:color w:val="000000" w:themeColor="text1"/>
        </w:rPr>
        <w:t xml:space="preserve">. </w:t>
      </w:r>
      <w:r w:rsidR="00833759">
        <w:rPr>
          <w:rFonts w:cstheme="minorHAnsi"/>
          <w:color w:val="000000" w:themeColor="text1"/>
        </w:rPr>
        <w:t>However</w:t>
      </w:r>
      <w:r w:rsidR="00502524">
        <w:rPr>
          <w:rFonts w:cstheme="minorHAnsi"/>
          <w:color w:val="000000" w:themeColor="text1"/>
        </w:rPr>
        <w:t xml:space="preserve">, </w:t>
      </w:r>
      <w:r w:rsidR="00C01623">
        <w:rPr>
          <w:rFonts w:cstheme="minorHAnsi"/>
          <w:color w:val="000000" w:themeColor="text1"/>
        </w:rPr>
        <w:t>banks’ stock movement</w:t>
      </w:r>
      <w:r w:rsidR="00EF45F5" w:rsidRPr="003074CE">
        <w:rPr>
          <w:rFonts w:cstheme="minorHAnsi"/>
          <w:color w:val="000000" w:themeColor="text1"/>
        </w:rPr>
        <w:t xml:space="preserve"> </w:t>
      </w:r>
      <w:r w:rsidR="008D2207" w:rsidRPr="003074CE">
        <w:rPr>
          <w:rFonts w:cstheme="minorHAnsi"/>
          <w:color w:val="000000" w:themeColor="text1"/>
        </w:rPr>
        <w:t>depend</w:t>
      </w:r>
      <w:r w:rsidR="00C01623">
        <w:rPr>
          <w:rFonts w:cstheme="minorHAnsi"/>
          <w:color w:val="000000" w:themeColor="text1"/>
        </w:rPr>
        <w:t>ed</w:t>
      </w:r>
      <w:r w:rsidR="00EF45F5" w:rsidRPr="003074CE">
        <w:rPr>
          <w:rFonts w:cstheme="minorHAnsi"/>
          <w:color w:val="000000" w:themeColor="text1"/>
        </w:rPr>
        <w:t xml:space="preserve"> on pre-crisis vulnerabilities. </w:t>
      </w:r>
      <w:r w:rsidR="004B4019" w:rsidRPr="003074CE">
        <w:rPr>
          <w:rFonts w:cstheme="minorHAnsi"/>
          <w:color w:val="000000" w:themeColor="text1"/>
        </w:rPr>
        <w:t xml:space="preserve">Additionally, </w:t>
      </w:r>
      <w:r w:rsidR="00C33BD5">
        <w:rPr>
          <w:rFonts w:cstheme="minorHAnsi"/>
          <w:color w:val="000000" w:themeColor="text1"/>
        </w:rPr>
        <w:t xml:space="preserve">a </w:t>
      </w:r>
      <w:r w:rsidR="004B4019" w:rsidRPr="003074CE">
        <w:rPr>
          <w:color w:val="000000" w:themeColor="text1"/>
        </w:rPr>
        <w:t>d</w:t>
      </w:r>
      <w:r w:rsidR="00CC7205" w:rsidRPr="003074CE">
        <w:rPr>
          <w:color w:val="000000" w:themeColor="text1"/>
        </w:rPr>
        <w:t>ecrease in bank</w:t>
      </w:r>
      <w:r w:rsidR="008D2207">
        <w:rPr>
          <w:color w:val="000000" w:themeColor="text1"/>
        </w:rPr>
        <w:t>s’</w:t>
      </w:r>
      <w:r w:rsidR="00CC7205" w:rsidRPr="003074CE">
        <w:rPr>
          <w:color w:val="000000" w:themeColor="text1"/>
        </w:rPr>
        <w:t xml:space="preserve"> stock prices was </w:t>
      </w:r>
      <w:r w:rsidR="006E23BA" w:rsidRPr="003074CE">
        <w:rPr>
          <w:color w:val="000000" w:themeColor="text1"/>
        </w:rPr>
        <w:t xml:space="preserve">also </w:t>
      </w:r>
      <w:r w:rsidR="00CC7205" w:rsidRPr="003074CE">
        <w:rPr>
          <w:color w:val="000000" w:themeColor="text1"/>
        </w:rPr>
        <w:t xml:space="preserve">mitigated by government policy </w:t>
      </w:r>
      <w:r w:rsidR="008A0E6A" w:rsidRPr="003074CE">
        <w:rPr>
          <w:color w:val="000000" w:themeColor="text1"/>
        </w:rPr>
        <w:t>such as</w:t>
      </w:r>
      <w:r w:rsidR="00CC7205" w:rsidRPr="003074CE">
        <w:rPr>
          <w:color w:val="000000" w:themeColor="text1"/>
        </w:rPr>
        <w:t xml:space="preserve"> income support, debt and contract relief and fiscal policy measures (Demir</w:t>
      </w:r>
      <w:r w:rsidR="00ED261D" w:rsidRPr="003074CE">
        <w:rPr>
          <w:color w:val="000000" w:themeColor="text1"/>
        </w:rPr>
        <w:t xml:space="preserve"> and</w:t>
      </w:r>
      <w:r w:rsidR="00CC7205" w:rsidRPr="003074CE">
        <w:rPr>
          <w:color w:val="000000" w:themeColor="text1"/>
        </w:rPr>
        <w:t xml:space="preserve"> </w:t>
      </w:r>
      <w:proofErr w:type="spellStart"/>
      <w:r w:rsidR="00CC7205" w:rsidRPr="003074CE">
        <w:rPr>
          <w:color w:val="000000" w:themeColor="text1"/>
        </w:rPr>
        <w:t>Danisman</w:t>
      </w:r>
      <w:proofErr w:type="spellEnd"/>
      <w:r w:rsidR="00CC7205" w:rsidRPr="003074CE">
        <w:rPr>
          <w:color w:val="000000" w:themeColor="text1"/>
        </w:rPr>
        <w:t>,</w:t>
      </w:r>
      <w:r w:rsidR="00EA3A36" w:rsidRPr="003074CE">
        <w:rPr>
          <w:color w:val="000000" w:themeColor="text1"/>
        </w:rPr>
        <w:t xml:space="preserve"> </w:t>
      </w:r>
      <w:r w:rsidR="00CC7205" w:rsidRPr="003074CE">
        <w:rPr>
          <w:color w:val="000000" w:themeColor="text1"/>
        </w:rPr>
        <w:t xml:space="preserve">2021).  </w:t>
      </w:r>
    </w:p>
    <w:p w14:paraId="38774712" w14:textId="3763C4B5" w:rsidR="00042D95" w:rsidRPr="001E15AA" w:rsidRDefault="00A529C4" w:rsidP="00590288">
      <w:pPr>
        <w:spacing w:line="360" w:lineRule="auto"/>
        <w:jc w:val="both"/>
      </w:pPr>
      <w:r w:rsidRPr="001E15AA">
        <w:t xml:space="preserve">The </w:t>
      </w:r>
      <w:r w:rsidR="00D71970" w:rsidRPr="001E15AA">
        <w:t>literature on</w:t>
      </w:r>
      <w:r w:rsidR="00083910" w:rsidRPr="001E15AA">
        <w:t xml:space="preserve"> the impact of</w:t>
      </w:r>
      <w:r w:rsidR="00D71970" w:rsidRPr="001E15AA">
        <w:t xml:space="preserve"> </w:t>
      </w:r>
      <w:r w:rsidR="003A424C">
        <w:t xml:space="preserve">the </w:t>
      </w:r>
      <w:r w:rsidR="00D71970" w:rsidRPr="001E15AA">
        <w:t>COVID</w:t>
      </w:r>
      <w:r w:rsidR="00CF7179">
        <w:t>-</w:t>
      </w:r>
      <w:r w:rsidR="00D71970" w:rsidRPr="001E15AA">
        <w:t xml:space="preserve">19 pandemic on </w:t>
      </w:r>
      <w:r w:rsidR="007141A3">
        <w:t xml:space="preserve">the </w:t>
      </w:r>
      <w:r w:rsidR="00D71970" w:rsidRPr="001E15AA">
        <w:t>banking sector</w:t>
      </w:r>
      <w:r w:rsidRPr="001E15AA">
        <w:t xml:space="preserve"> is </w:t>
      </w:r>
      <w:r w:rsidR="00D17D41" w:rsidRPr="001E15AA">
        <w:t>fast developing</w:t>
      </w:r>
      <w:r w:rsidR="003359F4" w:rsidRPr="001E15AA">
        <w:t xml:space="preserve">. However, </w:t>
      </w:r>
      <w:r w:rsidR="00590288" w:rsidRPr="001E15AA">
        <w:t xml:space="preserve">research on </w:t>
      </w:r>
      <w:r w:rsidR="007141A3">
        <w:t xml:space="preserve">the </w:t>
      </w:r>
      <w:r w:rsidR="00590288" w:rsidRPr="001E15AA">
        <w:t>effect</w:t>
      </w:r>
      <w:r w:rsidR="007141A3">
        <w:t>s</w:t>
      </w:r>
      <w:r w:rsidR="00590288" w:rsidRPr="001E15AA">
        <w:t xml:space="preserve"> of </w:t>
      </w:r>
      <w:r w:rsidR="008E5CDE">
        <w:t xml:space="preserve">the </w:t>
      </w:r>
      <w:r w:rsidR="00590288" w:rsidRPr="001E15AA">
        <w:t xml:space="preserve">current pandemic on </w:t>
      </w:r>
      <w:r w:rsidR="007141A3">
        <w:t xml:space="preserve">the </w:t>
      </w:r>
      <w:r w:rsidR="00590288" w:rsidRPr="001E15AA">
        <w:t>banking sector</w:t>
      </w:r>
      <w:r w:rsidR="001B37D3" w:rsidRPr="001E15AA">
        <w:t xml:space="preserve"> is</w:t>
      </w:r>
      <w:r w:rsidR="0053509B" w:rsidRPr="001E15AA">
        <w:t xml:space="preserve"> still</w:t>
      </w:r>
      <w:r w:rsidR="001B37D3" w:rsidRPr="001E15AA">
        <w:t xml:space="preserve"> scarce</w:t>
      </w:r>
      <w:r w:rsidR="00590288" w:rsidRPr="001E15AA">
        <w:t>.</w:t>
      </w:r>
      <w:r w:rsidR="001B37D3" w:rsidRPr="001E15AA">
        <w:t xml:space="preserve"> </w:t>
      </w:r>
      <w:r w:rsidR="00BE67E4" w:rsidRPr="001E15AA">
        <w:t xml:space="preserve">We contribute to the literature by </w:t>
      </w:r>
      <w:r w:rsidR="00935863" w:rsidRPr="001E15AA">
        <w:t>analysing</w:t>
      </w:r>
      <w:r w:rsidR="007141A3">
        <w:t xml:space="preserve"> the</w:t>
      </w:r>
      <w:r w:rsidR="00935863" w:rsidRPr="001E15AA">
        <w:t xml:space="preserve"> COVID</w:t>
      </w:r>
      <w:r w:rsidR="00CF7179">
        <w:t>-</w:t>
      </w:r>
      <w:r w:rsidR="00935863" w:rsidRPr="001E15AA">
        <w:t xml:space="preserve">19 pandemic as a potential trigger </w:t>
      </w:r>
      <w:r w:rsidR="007F1072">
        <w:t>for</w:t>
      </w:r>
      <w:r w:rsidR="00935863" w:rsidRPr="001E15AA">
        <w:t xml:space="preserve"> </w:t>
      </w:r>
      <w:r w:rsidR="009C0818">
        <w:t xml:space="preserve">a </w:t>
      </w:r>
      <w:r w:rsidR="00935863" w:rsidRPr="001E15AA">
        <w:t xml:space="preserve">banking crisis. </w:t>
      </w:r>
      <w:r w:rsidR="001E15AA" w:rsidRPr="001E15AA">
        <w:rPr>
          <w:color w:val="212121"/>
          <w:shd w:val="clear" w:color="auto" w:fill="FFFFFF"/>
        </w:rPr>
        <w:t>We also contribut</w:t>
      </w:r>
      <w:r w:rsidR="003E5D12">
        <w:rPr>
          <w:color w:val="212121"/>
          <w:shd w:val="clear" w:color="auto" w:fill="FFFFFF"/>
        </w:rPr>
        <w:t>ed</w:t>
      </w:r>
      <w:r w:rsidR="001E15AA" w:rsidRPr="001E15AA">
        <w:rPr>
          <w:color w:val="212121"/>
          <w:shd w:val="clear" w:color="auto" w:fill="FFFFFF"/>
        </w:rPr>
        <w:t xml:space="preserve"> by studying the </w:t>
      </w:r>
      <w:r w:rsidR="00F34308" w:rsidRPr="001E15AA">
        <w:rPr>
          <w:color w:val="212121"/>
          <w:shd w:val="clear" w:color="auto" w:fill="FFFFFF"/>
        </w:rPr>
        <w:t>effects of</w:t>
      </w:r>
      <w:r w:rsidR="001E15AA" w:rsidRPr="001E15AA">
        <w:rPr>
          <w:color w:val="212121"/>
          <w:shd w:val="clear" w:color="auto" w:fill="FFFFFF"/>
        </w:rPr>
        <w:t xml:space="preserve"> COVID</w:t>
      </w:r>
      <w:r w:rsidR="001C3D82">
        <w:rPr>
          <w:color w:val="212121"/>
          <w:shd w:val="clear" w:color="auto" w:fill="FFFFFF"/>
        </w:rPr>
        <w:t>-</w:t>
      </w:r>
      <w:r w:rsidR="001E15AA" w:rsidRPr="001E15AA">
        <w:rPr>
          <w:color w:val="212121"/>
          <w:shd w:val="clear" w:color="auto" w:fill="FFFFFF"/>
        </w:rPr>
        <w:t>19 on the banking sector</w:t>
      </w:r>
      <w:r w:rsidR="00805DDB">
        <w:rPr>
          <w:color w:val="212121"/>
          <w:shd w:val="clear" w:color="auto" w:fill="FFFFFF"/>
        </w:rPr>
        <w:t>,</w:t>
      </w:r>
      <w:r w:rsidR="00C559E8">
        <w:rPr>
          <w:color w:val="212121"/>
          <w:shd w:val="clear" w:color="auto" w:fill="FFFFFF"/>
        </w:rPr>
        <w:t xml:space="preserve"> especially on the risk in the banking sector. </w:t>
      </w:r>
    </w:p>
    <w:p w14:paraId="3E6D9D3C" w14:textId="77777777" w:rsidR="003C2780" w:rsidRDefault="003C2780" w:rsidP="002B43A0"/>
    <w:p w14:paraId="666BEA93" w14:textId="6E7EE864" w:rsidR="002B43A0" w:rsidRDefault="002B43A0" w:rsidP="007F0607">
      <w:pPr>
        <w:spacing w:line="360" w:lineRule="auto"/>
        <w:jc w:val="both"/>
      </w:pPr>
    </w:p>
    <w:p w14:paraId="15A6254A" w14:textId="25C81086" w:rsidR="0082590F" w:rsidRDefault="0082590F" w:rsidP="007F0607">
      <w:pPr>
        <w:spacing w:line="360" w:lineRule="auto"/>
        <w:jc w:val="both"/>
      </w:pPr>
    </w:p>
    <w:p w14:paraId="072EA07A" w14:textId="22CF19DA" w:rsidR="00A71458" w:rsidRDefault="00A71458" w:rsidP="007F0607">
      <w:pPr>
        <w:spacing w:line="360" w:lineRule="auto"/>
        <w:jc w:val="both"/>
      </w:pPr>
    </w:p>
    <w:p w14:paraId="7E1F7624" w14:textId="77777777" w:rsidR="00A71458" w:rsidRDefault="00A71458" w:rsidP="007F0607">
      <w:pPr>
        <w:spacing w:line="360" w:lineRule="auto"/>
        <w:jc w:val="both"/>
      </w:pPr>
    </w:p>
    <w:p w14:paraId="6F65CA6D" w14:textId="77777777" w:rsidR="0082590F" w:rsidRDefault="0082590F" w:rsidP="007F0607">
      <w:pPr>
        <w:jc w:val="both"/>
        <w:rPr>
          <w:b/>
          <w:sz w:val="32"/>
          <w:szCs w:val="32"/>
        </w:rPr>
      </w:pPr>
    </w:p>
    <w:p w14:paraId="188F548F" w14:textId="2CC003A4" w:rsidR="004D23A6" w:rsidRDefault="004D23A6" w:rsidP="007F0607">
      <w:pPr>
        <w:jc w:val="both"/>
        <w:rPr>
          <w:b/>
          <w:sz w:val="32"/>
          <w:szCs w:val="32"/>
        </w:rPr>
      </w:pPr>
      <w:r w:rsidRPr="00492303">
        <w:rPr>
          <w:b/>
          <w:sz w:val="32"/>
          <w:szCs w:val="32"/>
        </w:rPr>
        <w:lastRenderedPageBreak/>
        <w:t>Methodology</w:t>
      </w:r>
    </w:p>
    <w:p w14:paraId="6D369A29" w14:textId="62C50A48" w:rsidR="003B4BAD" w:rsidRDefault="003B4BAD" w:rsidP="007F0607">
      <w:pPr>
        <w:jc w:val="both"/>
        <w:rPr>
          <w:b/>
          <w:sz w:val="32"/>
          <w:szCs w:val="32"/>
        </w:rPr>
      </w:pPr>
    </w:p>
    <w:p w14:paraId="3B1B91AE" w14:textId="544C885E" w:rsidR="00F1316E" w:rsidRDefault="004561AB" w:rsidP="003B4BAD">
      <w:p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Ou</w:t>
      </w:r>
      <w:r w:rsidR="00F312AD">
        <w:rPr>
          <w:rFonts w:cstheme="minorHAnsi"/>
        </w:rPr>
        <w:t>r</w:t>
      </w:r>
      <w:r>
        <w:rPr>
          <w:rFonts w:cstheme="minorHAnsi"/>
        </w:rPr>
        <w:t xml:space="preserve"> data contains both cross-sectional and a time series dimension</w:t>
      </w:r>
      <w:r w:rsidR="00F54734">
        <w:rPr>
          <w:rFonts w:cstheme="minorHAnsi"/>
        </w:rPr>
        <w:t>,</w:t>
      </w:r>
      <w:r>
        <w:rPr>
          <w:rFonts w:cstheme="minorHAnsi"/>
        </w:rPr>
        <w:t xml:space="preserve"> </w:t>
      </w:r>
      <w:r w:rsidR="00FB2D72">
        <w:rPr>
          <w:rFonts w:cstheme="minorHAnsi"/>
        </w:rPr>
        <w:t>so</w:t>
      </w:r>
      <w:r>
        <w:rPr>
          <w:rFonts w:cstheme="minorHAnsi"/>
        </w:rPr>
        <w:t xml:space="preserve"> t</w:t>
      </w:r>
      <w:r w:rsidR="003B4BAD" w:rsidRPr="00F96967">
        <w:rPr>
          <w:rFonts w:cstheme="minorHAnsi"/>
        </w:rPr>
        <w:t xml:space="preserve">o examine the impact of COVID-19, </w:t>
      </w:r>
      <w:r w:rsidR="00757416">
        <w:rPr>
          <w:rFonts w:cstheme="minorHAnsi"/>
        </w:rPr>
        <w:t xml:space="preserve">the </w:t>
      </w:r>
      <w:r w:rsidR="003B4BAD" w:rsidRPr="00F96967">
        <w:rPr>
          <w:rFonts w:cstheme="minorHAnsi"/>
        </w:rPr>
        <w:t xml:space="preserve">panel </w:t>
      </w:r>
      <w:r w:rsidR="003B4BAD">
        <w:rPr>
          <w:rFonts w:cstheme="minorHAnsi"/>
        </w:rPr>
        <w:t>random</w:t>
      </w:r>
      <w:r w:rsidR="003B4BAD" w:rsidRPr="00F96967">
        <w:rPr>
          <w:rFonts w:cstheme="minorHAnsi"/>
        </w:rPr>
        <w:t xml:space="preserve"> effect model was estimated using weekly data from</w:t>
      </w:r>
      <w:r w:rsidR="003C2AA9">
        <w:rPr>
          <w:rFonts w:cstheme="minorHAnsi"/>
        </w:rPr>
        <w:t xml:space="preserve"> the</w:t>
      </w:r>
      <w:r w:rsidR="003B4BAD" w:rsidRPr="00F96967">
        <w:rPr>
          <w:rFonts w:cstheme="minorHAnsi"/>
        </w:rPr>
        <w:t xml:space="preserve"> 30th of December 2019 until</w:t>
      </w:r>
      <w:r w:rsidR="003C2AA9">
        <w:rPr>
          <w:rFonts w:cstheme="minorHAnsi"/>
        </w:rPr>
        <w:t xml:space="preserve"> the</w:t>
      </w:r>
      <w:r w:rsidR="003B4BAD" w:rsidRPr="00492303">
        <w:rPr>
          <w:rFonts w:cstheme="minorHAnsi"/>
        </w:rPr>
        <w:t xml:space="preserve"> 24th of September 2021</w:t>
      </w:r>
      <w:r w:rsidR="003B4BAD" w:rsidRPr="00F96967">
        <w:rPr>
          <w:rFonts w:cstheme="minorHAnsi"/>
        </w:rPr>
        <w:t xml:space="preserve">. </w:t>
      </w:r>
    </w:p>
    <w:p w14:paraId="670275FD" w14:textId="5521EEBE" w:rsidR="001720ED" w:rsidRDefault="009B4B13" w:rsidP="003B4BAD">
      <w:p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The r</w:t>
      </w:r>
      <w:r w:rsidR="003B4BAD">
        <w:rPr>
          <w:rFonts w:cstheme="minorHAnsi"/>
        </w:rPr>
        <w:t xml:space="preserve">andom effect model </w:t>
      </w:r>
      <w:r w:rsidR="000D646F">
        <w:rPr>
          <w:rFonts w:cstheme="minorHAnsi"/>
        </w:rPr>
        <w:t xml:space="preserve">(Equation 1) </w:t>
      </w:r>
      <w:r w:rsidR="003B4BAD">
        <w:rPr>
          <w:rFonts w:cstheme="minorHAnsi"/>
        </w:rPr>
        <w:t>was selected based on</w:t>
      </w:r>
      <w:r>
        <w:rPr>
          <w:rFonts w:cstheme="minorHAnsi"/>
        </w:rPr>
        <w:t xml:space="preserve"> </w:t>
      </w:r>
      <w:r w:rsidR="00F54734">
        <w:rPr>
          <w:rFonts w:cstheme="minorHAnsi"/>
        </w:rPr>
        <w:t>t</w:t>
      </w:r>
      <w:r>
        <w:rPr>
          <w:rFonts w:cstheme="minorHAnsi"/>
        </w:rPr>
        <w:t>he</w:t>
      </w:r>
      <w:r w:rsidR="003B4BAD">
        <w:rPr>
          <w:rFonts w:cstheme="minorHAnsi"/>
        </w:rPr>
        <w:t xml:space="preserve"> Hausman test </w:t>
      </w:r>
      <w:r w:rsidR="00280258">
        <w:rPr>
          <w:rFonts w:cstheme="minorHAnsi"/>
        </w:rPr>
        <w:t xml:space="preserve">presented in Table 1. </w:t>
      </w:r>
      <w:r w:rsidR="00C00604">
        <w:rPr>
          <w:rFonts w:cstheme="minorHAnsi"/>
        </w:rPr>
        <w:t>The null hypothesis</w:t>
      </w:r>
      <w:r w:rsidR="00463500">
        <w:rPr>
          <w:rFonts w:cstheme="minorHAnsi"/>
        </w:rPr>
        <w:t xml:space="preserve"> </w:t>
      </w:r>
      <w:r w:rsidR="00F34B65">
        <w:rPr>
          <w:rFonts w:cstheme="minorHAnsi"/>
        </w:rPr>
        <w:t xml:space="preserve">of </w:t>
      </w:r>
      <w:r w:rsidR="00F54734">
        <w:rPr>
          <w:rFonts w:cstheme="minorHAnsi"/>
        </w:rPr>
        <w:t>t</w:t>
      </w:r>
      <w:r>
        <w:rPr>
          <w:rFonts w:cstheme="minorHAnsi"/>
        </w:rPr>
        <w:t xml:space="preserve">he </w:t>
      </w:r>
      <w:r w:rsidR="00F34B65">
        <w:rPr>
          <w:rFonts w:cstheme="minorHAnsi"/>
        </w:rPr>
        <w:t>Hausman</w:t>
      </w:r>
      <w:r w:rsidR="00097A2B">
        <w:rPr>
          <w:rFonts w:cstheme="minorHAnsi"/>
        </w:rPr>
        <w:t xml:space="preserve"> test </w:t>
      </w:r>
      <w:r w:rsidR="00C00604">
        <w:rPr>
          <w:rFonts w:cstheme="minorHAnsi"/>
        </w:rPr>
        <w:t xml:space="preserve">states that </w:t>
      </w:r>
      <w:r w:rsidR="00097A2B">
        <w:rPr>
          <w:rFonts w:cstheme="minorHAnsi"/>
        </w:rPr>
        <w:t xml:space="preserve">random effect </w:t>
      </w:r>
      <w:r w:rsidR="00C00604">
        <w:rPr>
          <w:rFonts w:cstheme="minorHAnsi"/>
        </w:rPr>
        <w:t>is a preferred model and a</w:t>
      </w:r>
      <w:r w:rsidR="001720ED">
        <w:rPr>
          <w:rFonts w:cstheme="minorHAnsi"/>
        </w:rPr>
        <w:t xml:space="preserve">s the </w:t>
      </w:r>
      <w:r w:rsidR="00321B3C">
        <w:rPr>
          <w:rFonts w:cstheme="minorHAnsi"/>
        </w:rPr>
        <w:t>p</w:t>
      </w:r>
      <w:r w:rsidR="001720ED">
        <w:rPr>
          <w:rFonts w:cstheme="minorHAnsi"/>
        </w:rPr>
        <w:t>-value is greater than the critical value</w:t>
      </w:r>
      <w:r w:rsidR="0060742C">
        <w:rPr>
          <w:rFonts w:cstheme="minorHAnsi"/>
        </w:rPr>
        <w:t>,</w:t>
      </w:r>
      <w:r w:rsidR="001720ED">
        <w:rPr>
          <w:rFonts w:cstheme="minorHAnsi"/>
        </w:rPr>
        <w:t xml:space="preserve"> </w:t>
      </w:r>
      <w:r w:rsidR="00C00604">
        <w:rPr>
          <w:rFonts w:cstheme="minorHAnsi"/>
        </w:rPr>
        <w:t>the ran</w:t>
      </w:r>
      <w:r w:rsidR="00D31F6C">
        <w:rPr>
          <w:rFonts w:cstheme="minorHAnsi"/>
        </w:rPr>
        <w:t>d</w:t>
      </w:r>
      <w:r w:rsidR="00C00604">
        <w:rPr>
          <w:rFonts w:cstheme="minorHAnsi"/>
        </w:rPr>
        <w:t>om effect model was selected.</w:t>
      </w:r>
    </w:p>
    <w:p w14:paraId="05F19C5A" w14:textId="77777777" w:rsidR="001720ED" w:rsidRPr="00F96967" w:rsidRDefault="001720ED" w:rsidP="003B4BAD">
      <w:pPr>
        <w:spacing w:line="360" w:lineRule="auto"/>
        <w:jc w:val="both"/>
        <w:rPr>
          <w:rFonts w:cstheme="minorHAnsi"/>
        </w:rPr>
      </w:pPr>
    </w:p>
    <w:p w14:paraId="39C44D5C" w14:textId="3AD89717" w:rsidR="00F54734" w:rsidRPr="000D646F" w:rsidRDefault="00280258" w:rsidP="00F54734">
      <w:pPr>
        <w:spacing w:line="360" w:lineRule="auto"/>
        <w:jc w:val="both"/>
        <w:rPr>
          <w:b/>
          <w:sz w:val="22"/>
          <w:szCs w:val="22"/>
        </w:rPr>
      </w:pPr>
      <w:r w:rsidRPr="000D646F">
        <w:rPr>
          <w:b/>
          <w:sz w:val="22"/>
          <w:szCs w:val="22"/>
        </w:rPr>
        <w:t>Table 1.</w:t>
      </w:r>
      <w:r w:rsidR="001720ED" w:rsidRPr="000D646F">
        <w:rPr>
          <w:b/>
          <w:sz w:val="22"/>
          <w:szCs w:val="22"/>
        </w:rPr>
        <w:t xml:space="preserve"> </w:t>
      </w:r>
      <w:r w:rsidR="009B4B13" w:rsidRPr="000D646F">
        <w:rPr>
          <w:b/>
          <w:sz w:val="22"/>
          <w:szCs w:val="22"/>
        </w:rPr>
        <w:t xml:space="preserve">The </w:t>
      </w:r>
      <w:r w:rsidR="001720ED" w:rsidRPr="000D646F">
        <w:rPr>
          <w:b/>
          <w:sz w:val="22"/>
          <w:szCs w:val="22"/>
        </w:rPr>
        <w:t xml:space="preserve">Hausman test </w:t>
      </w:r>
      <w:r w:rsidR="0060742C" w:rsidRPr="000D646F">
        <w:rPr>
          <w:b/>
          <w:sz w:val="22"/>
          <w:szCs w:val="22"/>
        </w:rPr>
        <w:t>results</w:t>
      </w:r>
    </w:p>
    <w:tbl>
      <w:tblPr>
        <w:tblW w:w="3160" w:type="dxa"/>
        <w:tblInd w:w="607" w:type="dxa"/>
        <w:tblLook w:val="04A0" w:firstRow="1" w:lastRow="0" w:firstColumn="1" w:lastColumn="0" w:noHBand="0" w:noVBand="1"/>
      </w:tblPr>
      <w:tblGrid>
        <w:gridCol w:w="1951"/>
        <w:gridCol w:w="1209"/>
      </w:tblGrid>
      <w:tr w:rsidR="00280258" w:rsidRPr="00F54734" w14:paraId="16EDDC34" w14:textId="77777777" w:rsidTr="00F54734">
        <w:trPr>
          <w:trHeight w:val="21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0A778" w14:textId="39097EF8" w:rsidR="00280258" w:rsidRPr="00F54734" w:rsidRDefault="00F54734" w:rsidP="00F54734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F54734">
              <w:rPr>
                <w:color w:val="000000"/>
                <w:sz w:val="22"/>
                <w:szCs w:val="22"/>
              </w:rPr>
              <w:t>C</w:t>
            </w:r>
            <w:r w:rsidR="00280258" w:rsidRPr="00F54734">
              <w:rPr>
                <w:color w:val="000000"/>
                <w:sz w:val="22"/>
                <w:szCs w:val="22"/>
              </w:rPr>
              <w:t>hi squared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58E38" w14:textId="77777777" w:rsidR="00280258" w:rsidRPr="00F54734" w:rsidRDefault="00280258" w:rsidP="00F54734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 w:rsidRPr="00F54734">
              <w:rPr>
                <w:color w:val="000000"/>
                <w:sz w:val="22"/>
                <w:szCs w:val="22"/>
              </w:rPr>
              <w:t>6.8029</w:t>
            </w:r>
          </w:p>
        </w:tc>
      </w:tr>
      <w:tr w:rsidR="00280258" w:rsidRPr="00F54734" w14:paraId="0E399E38" w14:textId="77777777" w:rsidTr="00F54734">
        <w:trPr>
          <w:trHeight w:val="262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572E9" w14:textId="356A25F2" w:rsidR="00280258" w:rsidRPr="00F54734" w:rsidRDefault="00F54734" w:rsidP="00F54734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F54734">
              <w:rPr>
                <w:color w:val="000000"/>
                <w:sz w:val="22"/>
                <w:szCs w:val="22"/>
              </w:rPr>
              <w:t>D</w:t>
            </w:r>
            <w:r w:rsidR="00280258" w:rsidRPr="00F54734">
              <w:rPr>
                <w:color w:val="000000"/>
                <w:sz w:val="22"/>
                <w:szCs w:val="22"/>
              </w:rPr>
              <w:t>egree of freedom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61B14" w14:textId="77777777" w:rsidR="00280258" w:rsidRPr="00F54734" w:rsidRDefault="00280258" w:rsidP="00F54734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 w:rsidRPr="00F54734">
              <w:rPr>
                <w:color w:val="000000"/>
                <w:sz w:val="22"/>
                <w:szCs w:val="22"/>
              </w:rPr>
              <w:t>4</w:t>
            </w:r>
          </w:p>
        </w:tc>
      </w:tr>
      <w:tr w:rsidR="00280258" w:rsidRPr="00F54734" w14:paraId="478A415D" w14:textId="77777777" w:rsidTr="00F54734">
        <w:trPr>
          <w:trHeight w:val="139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7768D" w14:textId="15B5314F" w:rsidR="00280258" w:rsidRPr="00F54734" w:rsidRDefault="00F54734" w:rsidP="00F54734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F54734">
              <w:rPr>
                <w:color w:val="000000"/>
                <w:sz w:val="22"/>
                <w:szCs w:val="22"/>
              </w:rPr>
              <w:t>P-</w:t>
            </w:r>
            <w:r w:rsidR="00280258" w:rsidRPr="00F54734">
              <w:rPr>
                <w:color w:val="000000"/>
                <w:sz w:val="22"/>
                <w:szCs w:val="22"/>
              </w:rPr>
              <w:t>value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BDF82" w14:textId="77777777" w:rsidR="00280258" w:rsidRPr="00F54734" w:rsidRDefault="00280258" w:rsidP="00F54734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 w:rsidRPr="00F54734">
              <w:rPr>
                <w:color w:val="000000"/>
                <w:sz w:val="22"/>
                <w:szCs w:val="22"/>
              </w:rPr>
              <w:t>0.1467</w:t>
            </w:r>
          </w:p>
        </w:tc>
      </w:tr>
    </w:tbl>
    <w:p w14:paraId="15A87E1C" w14:textId="786DF6DC" w:rsidR="00654350" w:rsidRDefault="00654350" w:rsidP="00F54734">
      <w:pPr>
        <w:spacing w:line="360" w:lineRule="auto"/>
        <w:jc w:val="both"/>
        <w:rPr>
          <w:b/>
          <w:sz w:val="22"/>
          <w:szCs w:val="22"/>
        </w:rPr>
      </w:pPr>
    </w:p>
    <w:p w14:paraId="2DA45B72" w14:textId="77777777" w:rsidR="000D646F" w:rsidRPr="00F54734" w:rsidRDefault="000D646F" w:rsidP="00F54734">
      <w:pPr>
        <w:spacing w:line="360" w:lineRule="auto"/>
        <w:jc w:val="both"/>
        <w:rPr>
          <w:b/>
          <w:sz w:val="22"/>
          <w:szCs w:val="22"/>
        </w:rPr>
      </w:pPr>
    </w:p>
    <w:p w14:paraId="4A13D27B" w14:textId="11D0C292" w:rsidR="006935B1" w:rsidRPr="000D646F" w:rsidRDefault="006935B1" w:rsidP="002D609D">
      <w:pPr>
        <w:spacing w:line="360" w:lineRule="auto"/>
        <w:jc w:val="both"/>
        <w:rPr>
          <w:rFonts w:cstheme="minorHAnsi"/>
          <w:b/>
          <w:sz w:val="22"/>
          <w:szCs w:val="22"/>
        </w:rPr>
      </w:pPr>
      <w:r w:rsidRPr="000D646F">
        <w:rPr>
          <w:rFonts w:cstheme="minorHAnsi"/>
          <w:b/>
          <w:sz w:val="22"/>
          <w:szCs w:val="22"/>
        </w:rPr>
        <w:t xml:space="preserve">Equation 1. </w:t>
      </w:r>
      <w:r w:rsidR="008475E5" w:rsidRPr="000D646F">
        <w:rPr>
          <w:rFonts w:cstheme="minorHAnsi"/>
          <w:b/>
          <w:sz w:val="22"/>
          <w:szCs w:val="22"/>
        </w:rPr>
        <w:t>Random</w:t>
      </w:r>
      <w:r w:rsidRPr="000D646F">
        <w:rPr>
          <w:rFonts w:cstheme="minorHAnsi"/>
          <w:b/>
          <w:sz w:val="22"/>
          <w:szCs w:val="22"/>
        </w:rPr>
        <w:t xml:space="preserve"> effect panel model </w:t>
      </w:r>
    </w:p>
    <w:p w14:paraId="757E8675" w14:textId="14766FA2" w:rsidR="006935B1" w:rsidRPr="00492303" w:rsidRDefault="00AB7182" w:rsidP="002D609D">
      <w:pPr>
        <w:spacing w:line="360" w:lineRule="auto"/>
        <w:jc w:val="both"/>
        <w:rPr>
          <w:rFonts w:cstheme="minorHAnsi"/>
        </w:rPr>
      </w:pPr>
      <m:oMathPara>
        <m:oMath>
          <m:r>
            <w:rPr>
              <w:rFonts w:ascii="Cambria Math" w:hAnsi="Cambria Math" w:cstheme="minorHAnsi"/>
            </w:rPr>
            <m:t>Y=</m:t>
          </m:r>
          <m:sSub>
            <m:sSubPr>
              <m:ctrlPr>
                <w:rPr>
                  <w:rFonts w:ascii="Cambria Math" w:hAnsi="Cambria Math" w:cstheme="minorHAnsi"/>
                  <w:i/>
                </w:rPr>
              </m:ctrlPr>
            </m:sSubPr>
            <m:e>
              <m:r>
                <w:rPr>
                  <w:rFonts w:ascii="Cambria Math" w:hAnsi="Cambria Math" w:cstheme="minorHAnsi"/>
                </w:rPr>
                <m:t>β</m:t>
              </m:r>
            </m:e>
            <m:sub>
              <m:r>
                <w:rPr>
                  <w:rFonts w:ascii="Cambria Math" w:hAnsi="Cambria Math" w:cstheme="minorHAnsi"/>
                </w:rPr>
                <m:t>0</m:t>
              </m:r>
            </m:sub>
          </m:sSub>
          <m:r>
            <w:rPr>
              <w:rFonts w:ascii="Cambria Math" w:hAnsi="Cambria Math" w:cstheme="minorHAnsi"/>
            </w:rPr>
            <m:t>+</m:t>
          </m:r>
          <m:sSub>
            <m:sSubPr>
              <m:ctrlPr>
                <w:rPr>
                  <w:rFonts w:ascii="Cambria Math" w:hAnsi="Cambria Math" w:cstheme="minorHAnsi"/>
                  <w:i/>
                </w:rPr>
              </m:ctrlPr>
            </m:sSubPr>
            <m:e>
              <m:r>
                <w:rPr>
                  <w:rFonts w:ascii="Cambria Math" w:hAnsi="Cambria Math" w:cstheme="minorHAnsi"/>
                </w:rPr>
                <m:t>β</m:t>
              </m:r>
            </m:e>
            <m:sub>
              <m:r>
                <w:rPr>
                  <w:rFonts w:ascii="Cambria Math" w:hAnsi="Cambria Math" w:cstheme="minorHAnsi"/>
                </w:rPr>
                <m:t xml:space="preserve"> 1 </m:t>
              </m:r>
            </m:sub>
          </m:sSub>
          <m:r>
            <w:rPr>
              <w:rFonts w:ascii="Cambria Math" w:hAnsi="Cambria Math" w:cstheme="minorHAnsi"/>
            </w:rPr>
            <m:t>COVID19 +</m:t>
          </m:r>
          <m:sSub>
            <m:sSubPr>
              <m:ctrlPr>
                <w:rPr>
                  <w:rFonts w:ascii="Cambria Math" w:hAnsi="Cambria Math" w:cstheme="minorHAnsi"/>
                  <w:i/>
                </w:rPr>
              </m:ctrlPr>
            </m:sSubPr>
            <m:e>
              <m:r>
                <w:rPr>
                  <w:rFonts w:ascii="Cambria Math" w:hAnsi="Cambria Math" w:cstheme="minorHAnsi"/>
                </w:rPr>
                <m:t>β</m:t>
              </m:r>
            </m:e>
            <m:sub>
              <m:r>
                <w:rPr>
                  <w:rFonts w:ascii="Cambria Math" w:hAnsi="Cambria Math" w:cstheme="minorHAnsi"/>
                </w:rPr>
                <m:t>2</m:t>
              </m:r>
            </m:sub>
          </m:sSub>
          <m:r>
            <w:rPr>
              <w:rFonts w:ascii="Cambria Math" w:hAnsi="Cambria Math" w:cstheme="minorHAnsi"/>
            </w:rPr>
            <m:t>yield+</m:t>
          </m:r>
          <m:sSub>
            <m:sSubPr>
              <m:ctrlPr>
                <w:rPr>
                  <w:rFonts w:ascii="Cambria Math" w:hAnsi="Cambria Math" w:cstheme="minorHAnsi"/>
                  <w:i/>
                </w:rPr>
              </m:ctrlPr>
            </m:sSubPr>
            <m:e>
              <m:r>
                <w:rPr>
                  <w:rFonts w:ascii="Cambria Math" w:hAnsi="Cambria Math" w:cstheme="minorHAnsi"/>
                </w:rPr>
                <m:t>β</m:t>
              </m:r>
            </m:e>
            <m:sub>
              <m:r>
                <w:rPr>
                  <w:rFonts w:ascii="Cambria Math" w:hAnsi="Cambria Math" w:cstheme="minorHAnsi"/>
                </w:rPr>
                <m:t>3</m:t>
              </m:r>
            </m:sub>
          </m:sSub>
          <m:r>
            <w:rPr>
              <w:rFonts w:ascii="Cambria Math" w:hAnsi="Cambria Math" w:cstheme="minorHAnsi"/>
            </w:rPr>
            <m:t>govern+</m:t>
          </m:r>
          <m:sSub>
            <m:sSubPr>
              <m:ctrlPr>
                <w:rPr>
                  <w:rFonts w:ascii="Cambria Math" w:hAnsi="Cambria Math" w:cstheme="minorHAnsi"/>
                  <w:i/>
                </w:rPr>
              </m:ctrlPr>
            </m:sSubPr>
            <m:e>
              <m:r>
                <w:rPr>
                  <w:rFonts w:ascii="Cambria Math" w:hAnsi="Cambria Math" w:cstheme="minorHAnsi"/>
                </w:rPr>
                <m:t>β</m:t>
              </m:r>
            </m:e>
            <m:sub>
              <m:r>
                <w:rPr>
                  <w:rFonts w:ascii="Cambria Math" w:hAnsi="Cambria Math" w:cstheme="minorHAnsi"/>
                </w:rPr>
                <m:t>4</m:t>
              </m:r>
            </m:sub>
          </m:sSub>
          <m:r>
            <w:rPr>
              <w:rFonts w:ascii="Cambria Math" w:hAnsi="Cambria Math" w:cstheme="minorHAnsi"/>
            </w:rPr>
            <m:t>liquidity+e</m:t>
          </m:r>
        </m:oMath>
      </m:oMathPara>
    </w:p>
    <w:p w14:paraId="11F9252D" w14:textId="77777777" w:rsidR="006935B1" w:rsidRPr="00492303" w:rsidRDefault="006935B1" w:rsidP="006935B1">
      <w:pPr>
        <w:jc w:val="both"/>
        <w:rPr>
          <w:rFonts w:cstheme="minorHAnsi"/>
        </w:rPr>
      </w:pPr>
    </w:p>
    <w:p w14:paraId="1E13EDC4" w14:textId="75D5AC93" w:rsidR="006935B1" w:rsidRPr="00904AB8" w:rsidRDefault="006935B1" w:rsidP="006935B1">
      <w:pPr>
        <w:spacing w:line="360" w:lineRule="auto"/>
        <w:jc w:val="both"/>
      </w:pPr>
      <w:r w:rsidRPr="00904AB8">
        <w:t xml:space="preserve">Y </w:t>
      </w:r>
      <w:r w:rsidR="000D646F">
        <w:t>-</w:t>
      </w:r>
      <w:r w:rsidRPr="00904AB8">
        <w:t xml:space="preserve"> beta of banking sector </w:t>
      </w:r>
    </w:p>
    <w:p w14:paraId="7D953770" w14:textId="77777777" w:rsidR="006935B1" w:rsidRPr="00904AB8" w:rsidRDefault="00000000" w:rsidP="006935B1">
      <w:pPr>
        <w:spacing w:line="360" w:lineRule="auto"/>
        <w:jc w:val="both"/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β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 w:rsidR="006935B1" w:rsidRPr="00904AB8">
        <w:t xml:space="preserve"> - intercept </w:t>
      </w:r>
    </w:p>
    <w:p w14:paraId="607CCF94" w14:textId="607029AB" w:rsidR="006935B1" w:rsidRPr="00904AB8" w:rsidRDefault="00000000" w:rsidP="006935B1">
      <w:pPr>
        <w:spacing w:line="360" w:lineRule="auto"/>
        <w:jc w:val="both"/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β</m:t>
            </m:r>
          </m:e>
          <m:sub>
            <m:r>
              <w:rPr>
                <w:rFonts w:ascii="Cambria Math" w:hAnsi="Cambria Math"/>
              </w:rPr>
              <m:t xml:space="preserve">1 </m:t>
            </m:r>
          </m:sub>
        </m:sSub>
        <m:r>
          <w:rPr>
            <w:rFonts w:ascii="Cambria Math" w:hAnsi="Cambria Math"/>
          </w:rPr>
          <m:t>COVID19</m:t>
        </m:r>
        <m:r>
          <w:rPr>
            <w:rFonts w:ascii="Cambria Math" w:hAnsi="Cambria Math"/>
          </w:rPr>
          <m:t xml:space="preserve">- </m:t>
        </m:r>
      </m:oMath>
      <w:r w:rsidR="006935B1" w:rsidRPr="00904AB8">
        <w:t>COVID-19 confirmed cases</w:t>
      </w:r>
    </w:p>
    <w:p w14:paraId="027115B5" w14:textId="06269C41" w:rsidR="006935B1" w:rsidRPr="00904AB8" w:rsidRDefault="00000000" w:rsidP="006935B1">
      <w:pPr>
        <w:spacing w:line="360" w:lineRule="auto"/>
        <w:jc w:val="both"/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β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 xml:space="preserve"> yield</m:t>
        </m:r>
      </m:oMath>
      <w:r w:rsidR="0075071E" w:rsidRPr="00904AB8">
        <w:t xml:space="preserve"> </w:t>
      </w:r>
      <w:r w:rsidR="006935B1" w:rsidRPr="00904AB8">
        <w:t xml:space="preserve">- </w:t>
      </w:r>
      <w:r w:rsidR="00114897" w:rsidRPr="00904AB8">
        <w:t>the slope of the yield curve for government bonds</w:t>
      </w:r>
    </w:p>
    <w:p w14:paraId="475A7893" w14:textId="3316EC15" w:rsidR="006935B1" w:rsidRPr="00904AB8" w:rsidRDefault="00000000" w:rsidP="006935B1">
      <w:pPr>
        <w:spacing w:line="360" w:lineRule="auto"/>
        <w:jc w:val="both"/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β</m:t>
            </m:r>
          </m:e>
          <m:sub>
            <m:r>
              <w:rPr>
                <w:rFonts w:ascii="Cambria Math" w:hAnsi="Cambria Math"/>
              </w:rPr>
              <m:t>3</m:t>
            </m:r>
          </m:sub>
        </m:sSub>
        <m:r>
          <w:rPr>
            <w:rFonts w:ascii="Cambria Math" w:hAnsi="Cambria Math"/>
          </w:rPr>
          <m:t xml:space="preserve"> govern</m:t>
        </m:r>
      </m:oMath>
      <w:r w:rsidR="003F1808" w:rsidRPr="00904AB8">
        <w:t xml:space="preserve"> </w:t>
      </w:r>
      <w:r w:rsidR="006935B1" w:rsidRPr="00904AB8">
        <w:t>- government policy</w:t>
      </w:r>
      <w:r w:rsidR="008F084A" w:rsidRPr="00904AB8">
        <w:t xml:space="preserve"> based on </w:t>
      </w:r>
      <w:r w:rsidR="003E45B9" w:rsidRPr="00904AB8">
        <w:t>University of Oxford policy tracker</w:t>
      </w:r>
    </w:p>
    <w:p w14:paraId="74D0859B" w14:textId="1EA54ED4" w:rsidR="006935B1" w:rsidRPr="00904AB8" w:rsidRDefault="00000000" w:rsidP="006935B1">
      <w:pPr>
        <w:spacing w:line="360" w:lineRule="auto"/>
        <w:jc w:val="both"/>
        <w:rPr>
          <w:rFonts w:eastAsiaTheme="minorEastAsia"/>
        </w:rPr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β</m:t>
            </m:r>
          </m:e>
          <m:sub>
            <m:r>
              <w:rPr>
                <w:rFonts w:ascii="Cambria Math" w:hAnsi="Cambria Math"/>
              </w:rPr>
              <m:t>4</m:t>
            </m:r>
          </m:sub>
        </m:sSub>
        <m:r>
          <w:rPr>
            <w:rFonts w:ascii="Cambria Math" w:hAnsi="Cambria Math"/>
          </w:rPr>
          <m:t xml:space="preserve"> liquidity</m:t>
        </m:r>
      </m:oMath>
      <w:r w:rsidR="007F79D9" w:rsidRPr="00904AB8">
        <w:rPr>
          <w:rFonts w:eastAsiaTheme="minorEastAsia"/>
        </w:rPr>
        <w:t xml:space="preserve"> </w:t>
      </w:r>
      <w:r w:rsidR="000F7026" w:rsidRPr="00904AB8">
        <w:rPr>
          <w:rFonts w:eastAsiaTheme="minorEastAsia"/>
        </w:rPr>
        <w:t>- liquidity ratio</w:t>
      </w:r>
      <w:r w:rsidR="00265A6D" w:rsidRPr="00904AB8">
        <w:rPr>
          <w:rFonts w:eastAsiaTheme="minorEastAsia"/>
        </w:rPr>
        <w:t xml:space="preserve"> (liquidity assets to short term </w:t>
      </w:r>
      <w:r w:rsidR="00097967" w:rsidRPr="00904AB8">
        <w:rPr>
          <w:rFonts w:eastAsiaTheme="minorEastAsia"/>
        </w:rPr>
        <w:t>liabilities</w:t>
      </w:r>
      <w:r w:rsidR="00265A6D" w:rsidRPr="00904AB8">
        <w:rPr>
          <w:rFonts w:eastAsiaTheme="minorEastAsia"/>
        </w:rPr>
        <w:t>)</w:t>
      </w:r>
    </w:p>
    <w:p w14:paraId="46CDDE9A" w14:textId="3ECD36F6" w:rsidR="00531F51" w:rsidRDefault="00276CAC" w:rsidP="006935B1">
      <w:pPr>
        <w:spacing w:line="360" w:lineRule="auto"/>
        <w:jc w:val="both"/>
        <w:rPr>
          <w:rFonts w:eastAsiaTheme="minorEastAsia"/>
        </w:rPr>
      </w:pPr>
      <w:r w:rsidRPr="00904AB8">
        <w:rPr>
          <w:rFonts w:eastAsiaTheme="minorEastAsia"/>
        </w:rPr>
        <w:t xml:space="preserve">e- error </w:t>
      </w:r>
    </w:p>
    <w:p w14:paraId="61C25CC6" w14:textId="77777777" w:rsidR="000D646F" w:rsidRPr="00904AB8" w:rsidRDefault="000D646F" w:rsidP="006935B1">
      <w:pPr>
        <w:spacing w:line="360" w:lineRule="auto"/>
        <w:jc w:val="both"/>
        <w:rPr>
          <w:rFonts w:eastAsiaTheme="minorEastAsia"/>
        </w:rPr>
      </w:pPr>
    </w:p>
    <w:p w14:paraId="187D42C4" w14:textId="13B6ACCF" w:rsidR="0021333F" w:rsidRDefault="005D7217" w:rsidP="007F0607">
      <w:pPr>
        <w:spacing w:line="360" w:lineRule="auto"/>
        <w:jc w:val="both"/>
        <w:rPr>
          <w:rFonts w:cstheme="minorHAnsi"/>
        </w:rPr>
      </w:pPr>
      <w:r w:rsidRPr="005D7217">
        <w:rPr>
          <w:rFonts w:cstheme="minorHAnsi"/>
        </w:rPr>
        <w:t>Beta</w:t>
      </w:r>
      <w:r w:rsidR="002C653C">
        <w:rPr>
          <w:rFonts w:cstheme="minorHAnsi"/>
        </w:rPr>
        <w:t xml:space="preserve"> </w:t>
      </w:r>
      <w:r w:rsidR="002C653C" w:rsidRPr="005D7217">
        <w:rPr>
          <w:rFonts w:cstheme="minorHAnsi"/>
        </w:rPr>
        <w:t>was selected as a dependent variable</w:t>
      </w:r>
      <w:r w:rsidRPr="005D7217">
        <w:rPr>
          <w:rFonts w:cstheme="minorHAnsi"/>
        </w:rPr>
        <w:t xml:space="preserve"> </w:t>
      </w:r>
      <w:r w:rsidR="0017126D">
        <w:rPr>
          <w:rFonts w:cstheme="minorHAnsi"/>
        </w:rPr>
        <w:t>because</w:t>
      </w:r>
      <w:r w:rsidRPr="005D7217">
        <w:rPr>
          <w:rFonts w:cstheme="minorHAnsi"/>
        </w:rPr>
        <w:t xml:space="preserve"> </w:t>
      </w:r>
      <w:r w:rsidR="002C653C">
        <w:rPr>
          <w:rFonts w:cstheme="minorHAnsi"/>
        </w:rPr>
        <w:t xml:space="preserve">it is </w:t>
      </w:r>
      <w:r w:rsidRPr="005D7217">
        <w:rPr>
          <w:rFonts w:cstheme="minorHAnsi"/>
        </w:rPr>
        <w:t xml:space="preserve">an indicator of </w:t>
      </w:r>
      <w:r w:rsidR="00F240B3">
        <w:rPr>
          <w:rFonts w:cstheme="minorHAnsi"/>
        </w:rPr>
        <w:t xml:space="preserve">a </w:t>
      </w:r>
      <w:r w:rsidRPr="005D7217">
        <w:rPr>
          <w:rFonts w:cstheme="minorHAnsi"/>
        </w:rPr>
        <w:t>bank’s risk and banking sector condition</w:t>
      </w:r>
      <w:r w:rsidR="00C51A53">
        <w:rPr>
          <w:rFonts w:cstheme="minorHAnsi"/>
        </w:rPr>
        <w:t>.</w:t>
      </w:r>
      <w:r>
        <w:rPr>
          <w:b/>
        </w:rPr>
        <w:t xml:space="preserve"> </w:t>
      </w:r>
      <w:r>
        <w:rPr>
          <w:rFonts w:cstheme="minorHAnsi"/>
        </w:rPr>
        <w:t>T</w:t>
      </w:r>
      <w:r w:rsidR="004D23A6" w:rsidRPr="005D7217">
        <w:rPr>
          <w:rFonts w:cstheme="minorHAnsi"/>
        </w:rPr>
        <w:t xml:space="preserve">he beta of </w:t>
      </w:r>
      <w:r w:rsidR="00704D50" w:rsidRPr="005D7217">
        <w:rPr>
          <w:rFonts w:cstheme="minorHAnsi"/>
        </w:rPr>
        <w:t xml:space="preserve">a </w:t>
      </w:r>
      <w:r w:rsidR="004D23A6" w:rsidRPr="005D7217">
        <w:rPr>
          <w:rFonts w:cstheme="minorHAnsi"/>
        </w:rPr>
        <w:t>banking sector was calculated in line with Capital Assets Pricing Mode</w:t>
      </w:r>
      <w:r w:rsidR="006B6FC5">
        <w:rPr>
          <w:rFonts w:cstheme="minorHAnsi"/>
        </w:rPr>
        <w:t>l</w:t>
      </w:r>
      <w:r w:rsidR="0021333F">
        <w:rPr>
          <w:rFonts w:cstheme="minorHAnsi"/>
        </w:rPr>
        <w:t xml:space="preserve"> (Equation 2)</w:t>
      </w:r>
      <w:r w:rsidR="00094140" w:rsidRPr="005D7217">
        <w:rPr>
          <w:rFonts w:cstheme="minorHAnsi"/>
        </w:rPr>
        <w:t xml:space="preserve">. </w:t>
      </w:r>
      <w:r w:rsidR="00222B86" w:rsidRPr="005D7217">
        <w:rPr>
          <w:rFonts w:cstheme="minorHAnsi"/>
        </w:rPr>
        <w:t>Beta measures the sensitivity of banking stock to market movements and it is an indicator of market risk.</w:t>
      </w:r>
      <w:r w:rsidR="00854C6E" w:rsidRPr="005D7217">
        <w:rPr>
          <w:rFonts w:cstheme="minorHAnsi"/>
        </w:rPr>
        <w:t xml:space="preserve"> </w:t>
      </w:r>
      <w:proofErr w:type="spellStart"/>
      <w:r w:rsidR="00854C6E" w:rsidRPr="005D7217">
        <w:rPr>
          <w:rFonts w:cstheme="minorHAnsi"/>
        </w:rPr>
        <w:t>Illing</w:t>
      </w:r>
      <w:proofErr w:type="spellEnd"/>
      <w:r w:rsidR="00854C6E" w:rsidRPr="005D7217">
        <w:rPr>
          <w:rFonts w:cstheme="minorHAnsi"/>
        </w:rPr>
        <w:t xml:space="preserve"> &amp; Liu </w:t>
      </w:r>
      <w:r w:rsidR="00B7152A" w:rsidRPr="005D7217">
        <w:rPr>
          <w:rFonts w:cstheme="minorHAnsi"/>
        </w:rPr>
        <w:t>(</w:t>
      </w:r>
      <w:r w:rsidR="00854C6E" w:rsidRPr="005D7217">
        <w:rPr>
          <w:rFonts w:cstheme="minorHAnsi"/>
        </w:rPr>
        <w:t>2006)</w:t>
      </w:r>
      <w:r w:rsidR="00222B86" w:rsidRPr="005D7217">
        <w:rPr>
          <w:rFonts w:cstheme="minorHAnsi"/>
        </w:rPr>
        <w:t xml:space="preserve"> </w:t>
      </w:r>
      <w:r w:rsidR="004D23A6" w:rsidRPr="005D7217">
        <w:rPr>
          <w:rFonts w:cstheme="minorHAnsi"/>
        </w:rPr>
        <w:t>used the beta of</w:t>
      </w:r>
      <w:r w:rsidR="00F240B3">
        <w:rPr>
          <w:rFonts w:cstheme="minorHAnsi"/>
        </w:rPr>
        <w:t xml:space="preserve"> the</w:t>
      </w:r>
      <w:r w:rsidR="004D23A6" w:rsidRPr="005D7217">
        <w:rPr>
          <w:rFonts w:cstheme="minorHAnsi"/>
        </w:rPr>
        <w:t xml:space="preserve"> banking sector to assess the volatility of banks’ shares.</w:t>
      </w:r>
      <w:r w:rsidR="00E61927" w:rsidRPr="005D7217">
        <w:rPr>
          <w:rFonts w:cstheme="minorHAnsi"/>
        </w:rPr>
        <w:t xml:space="preserve"> Tomczak (2017)</w:t>
      </w:r>
      <w:r w:rsidR="002F6C42" w:rsidRPr="005D7217">
        <w:rPr>
          <w:rFonts w:cstheme="minorHAnsi"/>
        </w:rPr>
        <w:t xml:space="preserve"> used beta to </w:t>
      </w:r>
      <w:r w:rsidR="00FB2D72">
        <w:rPr>
          <w:rFonts w:cstheme="minorHAnsi"/>
        </w:rPr>
        <w:t>measure</w:t>
      </w:r>
      <w:r w:rsidR="002F6C42" w:rsidRPr="005D7217">
        <w:rPr>
          <w:rFonts w:cstheme="minorHAnsi"/>
        </w:rPr>
        <w:t xml:space="preserve"> the impact of the 2007-2009 financial crisis on</w:t>
      </w:r>
      <w:r w:rsidR="001D20DF" w:rsidRPr="005D7217">
        <w:rPr>
          <w:rFonts w:cstheme="minorHAnsi"/>
        </w:rPr>
        <w:t xml:space="preserve"> the </w:t>
      </w:r>
      <w:r w:rsidR="002F6C42" w:rsidRPr="005D7217">
        <w:rPr>
          <w:rFonts w:cstheme="minorHAnsi"/>
        </w:rPr>
        <w:t>banking sector.</w:t>
      </w:r>
      <w:r w:rsidR="004D23A6" w:rsidRPr="005D7217">
        <w:rPr>
          <w:rFonts w:cstheme="minorHAnsi"/>
        </w:rPr>
        <w:t xml:space="preserve"> Similarly,</w:t>
      </w:r>
      <w:r w:rsidR="0060475B" w:rsidRPr="005D7217">
        <w:rPr>
          <w:rFonts w:cstheme="minorHAnsi"/>
        </w:rPr>
        <w:t xml:space="preserve"> Cardarelli </w:t>
      </w:r>
      <w:r w:rsidR="0060475B" w:rsidRPr="00A902AB">
        <w:rPr>
          <w:rFonts w:cstheme="minorHAnsi"/>
          <w:i/>
          <w:iCs/>
        </w:rPr>
        <w:t>et al.</w:t>
      </w:r>
      <w:r w:rsidR="0060475B" w:rsidRPr="005D7217">
        <w:rPr>
          <w:rFonts w:cstheme="minorHAnsi"/>
        </w:rPr>
        <w:t xml:space="preserve"> (2009)</w:t>
      </w:r>
      <w:r w:rsidR="00C51A53">
        <w:rPr>
          <w:rFonts w:cstheme="minorHAnsi"/>
        </w:rPr>
        <w:t>, Tomczak (2022)</w:t>
      </w:r>
      <w:r w:rsidR="0060475B" w:rsidRPr="005D7217">
        <w:rPr>
          <w:rFonts w:cstheme="minorHAnsi"/>
        </w:rPr>
        <w:t xml:space="preserve"> and</w:t>
      </w:r>
      <w:r w:rsidR="0093312C" w:rsidRPr="005D7217">
        <w:rPr>
          <w:rFonts w:cstheme="minorHAnsi"/>
        </w:rPr>
        <w:t xml:space="preserve"> </w:t>
      </w:r>
      <w:r w:rsidR="0060475B" w:rsidRPr="005D7217">
        <w:rPr>
          <w:rFonts w:cstheme="minorHAnsi"/>
        </w:rPr>
        <w:t>IMF (</w:t>
      </w:r>
      <w:r w:rsidR="00D63BA6" w:rsidRPr="005D7217">
        <w:rPr>
          <w:rFonts w:cstheme="minorHAnsi"/>
        </w:rPr>
        <w:t>2009</w:t>
      </w:r>
      <w:r w:rsidR="0060475B" w:rsidRPr="005D7217">
        <w:rPr>
          <w:rFonts w:cstheme="minorHAnsi"/>
        </w:rPr>
        <w:t>)</w:t>
      </w:r>
      <w:r w:rsidR="006B618F" w:rsidRPr="005D7217">
        <w:rPr>
          <w:rFonts w:cstheme="minorHAnsi"/>
        </w:rPr>
        <w:t xml:space="preserve"> </w:t>
      </w:r>
      <w:r w:rsidR="001C1ED0" w:rsidRPr="005D7217">
        <w:rPr>
          <w:rFonts w:cstheme="minorHAnsi"/>
        </w:rPr>
        <w:t>used beta of</w:t>
      </w:r>
      <w:r w:rsidR="00FB2D72">
        <w:rPr>
          <w:rFonts w:cstheme="minorHAnsi"/>
        </w:rPr>
        <w:t xml:space="preserve"> the</w:t>
      </w:r>
      <w:r w:rsidR="001C1ED0" w:rsidRPr="005D7217">
        <w:rPr>
          <w:rFonts w:cstheme="minorHAnsi"/>
        </w:rPr>
        <w:t xml:space="preserve"> banking sector as </w:t>
      </w:r>
      <w:r w:rsidR="00501AA1" w:rsidRPr="005D7217">
        <w:rPr>
          <w:rFonts w:cstheme="minorHAnsi"/>
        </w:rPr>
        <w:t xml:space="preserve">one of the </w:t>
      </w:r>
      <w:r w:rsidR="001C1ED0" w:rsidRPr="005D7217">
        <w:rPr>
          <w:rFonts w:cstheme="minorHAnsi"/>
        </w:rPr>
        <w:t xml:space="preserve">variables related to the banking crisis </w:t>
      </w:r>
      <w:r w:rsidR="006B618F" w:rsidRPr="005D7217">
        <w:rPr>
          <w:rFonts w:cstheme="minorHAnsi"/>
        </w:rPr>
        <w:t xml:space="preserve">in their </w:t>
      </w:r>
      <w:r w:rsidR="004D23A6" w:rsidRPr="005D7217">
        <w:rPr>
          <w:rFonts w:cstheme="minorHAnsi"/>
        </w:rPr>
        <w:t>Financial Stress Index</w:t>
      </w:r>
      <w:r w:rsidR="001C1ED0" w:rsidRPr="005D7217">
        <w:rPr>
          <w:rFonts w:cstheme="minorHAnsi"/>
        </w:rPr>
        <w:t>.</w:t>
      </w:r>
      <w:r w:rsidR="004D23A6" w:rsidRPr="005D7217">
        <w:rPr>
          <w:rFonts w:cstheme="minorHAnsi"/>
        </w:rPr>
        <w:t xml:space="preserve"> </w:t>
      </w:r>
    </w:p>
    <w:p w14:paraId="407FB2E1" w14:textId="438D8C29" w:rsidR="0021333F" w:rsidRDefault="0021333F" w:rsidP="007F0607">
      <w:pPr>
        <w:spacing w:line="360" w:lineRule="auto"/>
        <w:jc w:val="both"/>
        <w:rPr>
          <w:rFonts w:cstheme="minorHAnsi"/>
        </w:rPr>
      </w:pPr>
    </w:p>
    <w:p w14:paraId="2846C71B" w14:textId="77777777" w:rsidR="0095291C" w:rsidRPr="00492303" w:rsidRDefault="0095291C" w:rsidP="007F0607">
      <w:pPr>
        <w:spacing w:line="360" w:lineRule="auto"/>
        <w:jc w:val="both"/>
        <w:rPr>
          <w:rFonts w:cstheme="minorHAnsi"/>
        </w:rPr>
      </w:pPr>
    </w:p>
    <w:p w14:paraId="01408150" w14:textId="7DFE4B75" w:rsidR="00090823" w:rsidRPr="0021333F" w:rsidRDefault="00090823" w:rsidP="007F0607">
      <w:pPr>
        <w:spacing w:line="360" w:lineRule="auto"/>
        <w:jc w:val="both"/>
        <w:rPr>
          <w:rFonts w:cstheme="minorHAnsi"/>
          <w:b/>
          <w:sz w:val="22"/>
          <w:szCs w:val="22"/>
        </w:rPr>
      </w:pPr>
      <w:r w:rsidRPr="0021333F">
        <w:rPr>
          <w:rFonts w:cstheme="minorHAnsi"/>
          <w:b/>
          <w:sz w:val="22"/>
          <w:szCs w:val="22"/>
        </w:rPr>
        <w:t xml:space="preserve">Equation </w:t>
      </w:r>
      <w:r w:rsidR="00183387" w:rsidRPr="0021333F">
        <w:rPr>
          <w:rFonts w:cstheme="minorHAnsi"/>
          <w:b/>
          <w:sz w:val="22"/>
          <w:szCs w:val="22"/>
        </w:rPr>
        <w:t>2</w:t>
      </w:r>
      <w:r w:rsidRPr="0021333F">
        <w:rPr>
          <w:rFonts w:cstheme="minorHAnsi"/>
          <w:b/>
          <w:sz w:val="22"/>
          <w:szCs w:val="22"/>
        </w:rPr>
        <w:t>. Beta</w:t>
      </w:r>
      <w:r w:rsidR="0071569E" w:rsidRPr="0021333F">
        <w:rPr>
          <w:rFonts w:cstheme="minorHAnsi"/>
          <w:b/>
          <w:sz w:val="22"/>
          <w:szCs w:val="22"/>
        </w:rPr>
        <w:t xml:space="preserve"> of the banking sector</w:t>
      </w:r>
      <w:r w:rsidRPr="0021333F">
        <w:rPr>
          <w:rFonts w:cstheme="minorHAnsi"/>
          <w:b/>
          <w:sz w:val="22"/>
          <w:szCs w:val="22"/>
        </w:rPr>
        <w:t xml:space="preserve">  </w:t>
      </w:r>
    </w:p>
    <w:p w14:paraId="22AD9781" w14:textId="77777777" w:rsidR="004D23A6" w:rsidRPr="00492303" w:rsidRDefault="004D23A6" w:rsidP="007F0607">
      <w:pPr>
        <w:spacing w:line="360" w:lineRule="auto"/>
        <w:jc w:val="both"/>
        <w:rPr>
          <w:b/>
        </w:rPr>
      </w:pPr>
    </w:p>
    <w:p w14:paraId="789A079A" w14:textId="77777777" w:rsidR="004D23A6" w:rsidRPr="00492303" w:rsidRDefault="00000000" w:rsidP="007F0607">
      <w:pPr>
        <w:spacing w:line="360" w:lineRule="auto"/>
        <w:jc w:val="both"/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β</m:t>
              </m:r>
            </m:e>
            <m:sub>
              <m:r>
                <w:rPr>
                  <w:rFonts w:ascii="Cambria Math" w:hAnsi="Cambria Math"/>
                </w:rPr>
                <m:t>i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σ</m:t>
                  </m:r>
                </m:e>
                <m:sub>
                  <m:r>
                    <w:rPr>
                      <w:rFonts w:ascii="Cambria Math" w:hAnsi="Cambria Math"/>
                    </w:rPr>
                    <m:t>bm</m:t>
                  </m:r>
                </m:sub>
              </m:sSub>
            </m:num>
            <m:den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σ</m:t>
                  </m:r>
                </m:e>
                <m:sub>
                  <m:r>
                    <w:rPr>
                      <w:rFonts w:ascii="Cambria Math" w:hAnsi="Cambria Math"/>
                    </w:rPr>
                    <m:t>m</m:t>
                  </m:r>
                </m:sub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bSup>
            </m:den>
          </m:f>
        </m:oMath>
      </m:oMathPara>
    </w:p>
    <w:p w14:paraId="48229F2F" w14:textId="07110E02" w:rsidR="004D23A6" w:rsidRPr="00492303" w:rsidRDefault="00000000" w:rsidP="007F0607">
      <w:pPr>
        <w:spacing w:line="360" w:lineRule="auto"/>
        <w:jc w:val="both"/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σ</m:t>
            </m:r>
          </m:e>
          <m:sub>
            <m:r>
              <w:rPr>
                <w:rFonts w:ascii="Cambria Math" w:hAnsi="Cambria Math"/>
              </w:rPr>
              <m:t>bm</m:t>
            </m:r>
          </m:sub>
        </m:sSub>
      </m:oMath>
      <w:r w:rsidR="004D23A6" w:rsidRPr="00492303">
        <w:t xml:space="preserve"> is the is the covariance between banking stock</w:t>
      </w:r>
      <w:r w:rsidR="00E44AF7" w:rsidRPr="00492303">
        <w:t>s’</w:t>
      </w:r>
      <w:r w:rsidR="004D23A6" w:rsidRPr="00492303">
        <w:t xml:space="preserve"> return and the market return </w:t>
      </w:r>
    </w:p>
    <w:p w14:paraId="7341B672" w14:textId="77777777" w:rsidR="004D23A6" w:rsidRPr="00492303" w:rsidRDefault="00000000" w:rsidP="007F0607">
      <w:pPr>
        <w:jc w:val="both"/>
      </w:pP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σ</m:t>
            </m:r>
          </m:e>
          <m:sub>
            <m:r>
              <w:rPr>
                <w:rFonts w:ascii="Cambria Math" w:hAnsi="Cambria Math"/>
              </w:rPr>
              <m:t>m</m:t>
            </m:r>
          </m:sub>
          <m:sup>
            <m:r>
              <w:rPr>
                <w:rFonts w:ascii="Cambria Math" w:hAnsi="Cambria Math"/>
              </w:rPr>
              <m:t>2</m:t>
            </m:r>
          </m:sup>
        </m:sSubSup>
      </m:oMath>
      <w:r w:rsidR="004D23A6" w:rsidRPr="00492303">
        <w:t xml:space="preserve"> the variance of the market return</w:t>
      </w:r>
    </w:p>
    <w:p w14:paraId="3B013497" w14:textId="77777777" w:rsidR="004D23A6" w:rsidRPr="00492303" w:rsidRDefault="004D23A6" w:rsidP="007F0607">
      <w:pPr>
        <w:jc w:val="both"/>
      </w:pPr>
    </w:p>
    <w:p w14:paraId="23328112" w14:textId="58973453" w:rsidR="00E05592" w:rsidRDefault="002124F0" w:rsidP="007F0607">
      <w:pPr>
        <w:spacing w:line="360" w:lineRule="auto"/>
        <w:jc w:val="both"/>
        <w:rPr>
          <w:rFonts w:cstheme="minorHAnsi"/>
          <w:color w:val="ED7D31" w:themeColor="accent2"/>
        </w:rPr>
      </w:pPr>
      <w:r w:rsidRPr="00492303">
        <w:rPr>
          <w:rFonts w:cstheme="minorHAnsi"/>
        </w:rPr>
        <w:t>Beta greater than 1 indicates</w:t>
      </w:r>
      <w:r w:rsidRPr="00492303">
        <w:rPr>
          <w:rFonts w:cstheme="minorHAnsi"/>
          <w:color w:val="ED7D31" w:themeColor="accent2"/>
        </w:rPr>
        <w:t xml:space="preserve"> </w:t>
      </w:r>
      <w:r w:rsidRPr="00492303">
        <w:rPr>
          <w:rFonts w:cstheme="minorHAnsi"/>
        </w:rPr>
        <w:t>that the</w:t>
      </w:r>
      <w:r w:rsidR="00E05592">
        <w:rPr>
          <w:rFonts w:cstheme="minorHAnsi"/>
        </w:rPr>
        <w:t xml:space="preserve"> </w:t>
      </w:r>
      <w:r w:rsidR="004D23A6" w:rsidRPr="00492303">
        <w:rPr>
          <w:rFonts w:cstheme="minorHAnsi"/>
        </w:rPr>
        <w:t>banking stock amplifies the overall movement of</w:t>
      </w:r>
      <w:r w:rsidR="00CB7E1F">
        <w:rPr>
          <w:rFonts w:cstheme="minorHAnsi"/>
        </w:rPr>
        <w:t xml:space="preserve"> </w:t>
      </w:r>
      <w:r w:rsidR="00BA1F35">
        <w:rPr>
          <w:rFonts w:cstheme="minorHAnsi"/>
        </w:rPr>
        <w:t xml:space="preserve">the </w:t>
      </w:r>
      <w:r w:rsidR="00CB7E1F">
        <w:rPr>
          <w:rFonts w:cstheme="minorHAnsi"/>
        </w:rPr>
        <w:t>financial</w:t>
      </w:r>
      <w:r w:rsidR="004D23A6" w:rsidRPr="00492303">
        <w:rPr>
          <w:rFonts w:cstheme="minorHAnsi"/>
        </w:rPr>
        <w:t xml:space="preserve"> market, suggesting that the banking sector is relatively risky</w:t>
      </w:r>
      <w:r w:rsidR="00746DF9" w:rsidRPr="00492303">
        <w:rPr>
          <w:rFonts w:cstheme="minorHAnsi"/>
        </w:rPr>
        <w:t>.</w:t>
      </w:r>
      <w:r w:rsidR="00746DF9" w:rsidRPr="00492303">
        <w:rPr>
          <w:rFonts w:cstheme="minorHAnsi"/>
          <w:color w:val="ED7D31" w:themeColor="accent2"/>
        </w:rPr>
        <w:t xml:space="preserve"> </w:t>
      </w:r>
    </w:p>
    <w:p w14:paraId="3F571A82" w14:textId="1455D9B8" w:rsidR="004D23A6" w:rsidRPr="001E5972" w:rsidRDefault="004D23A6" w:rsidP="007F0607">
      <w:pPr>
        <w:spacing w:line="360" w:lineRule="auto"/>
        <w:jc w:val="both"/>
        <w:rPr>
          <w:rFonts w:cstheme="minorHAnsi"/>
        </w:rPr>
      </w:pPr>
      <w:r w:rsidRPr="00492303">
        <w:rPr>
          <w:rFonts w:cstheme="minorHAnsi"/>
        </w:rPr>
        <w:t>Beta was calculated</w:t>
      </w:r>
      <w:r w:rsidR="003453EE">
        <w:rPr>
          <w:rFonts w:cstheme="minorHAnsi"/>
        </w:rPr>
        <w:t xml:space="preserve"> for each country</w:t>
      </w:r>
      <w:r w:rsidRPr="00492303">
        <w:rPr>
          <w:rFonts w:cstheme="minorHAnsi"/>
        </w:rPr>
        <w:t xml:space="preserve"> weekly from </w:t>
      </w:r>
      <w:r w:rsidR="006D0818">
        <w:rPr>
          <w:rFonts w:cstheme="minorHAnsi"/>
        </w:rPr>
        <w:t xml:space="preserve">the </w:t>
      </w:r>
      <w:r w:rsidRPr="00492303">
        <w:rPr>
          <w:rFonts w:cstheme="minorHAnsi"/>
        </w:rPr>
        <w:t xml:space="preserve">30th of December 2019 until </w:t>
      </w:r>
      <w:r w:rsidR="006D0818">
        <w:rPr>
          <w:rFonts w:cstheme="minorHAnsi"/>
        </w:rPr>
        <w:t xml:space="preserve">the </w:t>
      </w:r>
      <w:r w:rsidRPr="00492303">
        <w:rPr>
          <w:rFonts w:cstheme="minorHAnsi"/>
        </w:rPr>
        <w:t xml:space="preserve">24th of </w:t>
      </w:r>
      <w:r w:rsidR="003A50A2">
        <w:rPr>
          <w:rFonts w:cstheme="minorHAnsi"/>
        </w:rPr>
        <w:t>September</w:t>
      </w:r>
      <w:r w:rsidR="00D37680" w:rsidRPr="00492303">
        <w:rPr>
          <w:rFonts w:cstheme="minorHAnsi"/>
        </w:rPr>
        <w:t xml:space="preserve"> </w:t>
      </w:r>
      <w:r w:rsidRPr="00492303">
        <w:rPr>
          <w:rFonts w:cstheme="minorHAnsi"/>
        </w:rPr>
        <w:t>202</w:t>
      </w:r>
      <w:r w:rsidR="003A50A2">
        <w:rPr>
          <w:rFonts w:cstheme="minorHAnsi"/>
        </w:rPr>
        <w:t>1</w:t>
      </w:r>
      <w:r w:rsidR="006D0818">
        <w:rPr>
          <w:rFonts w:cstheme="minorHAnsi"/>
        </w:rPr>
        <w:t xml:space="preserve"> (</w:t>
      </w:r>
      <w:r w:rsidR="003D71D3" w:rsidRPr="00492303">
        <w:rPr>
          <w:rFonts w:cstheme="minorHAnsi"/>
        </w:rPr>
        <w:t>Figures 1 to 1</w:t>
      </w:r>
      <w:r w:rsidR="006D402E">
        <w:rPr>
          <w:rFonts w:cstheme="minorHAnsi"/>
        </w:rPr>
        <w:t>2</w:t>
      </w:r>
      <w:r w:rsidR="006D0818">
        <w:rPr>
          <w:rFonts w:cstheme="minorHAnsi"/>
        </w:rPr>
        <w:t>)</w:t>
      </w:r>
      <w:r w:rsidR="0004304A">
        <w:rPr>
          <w:rFonts w:cstheme="minorHAnsi"/>
        </w:rPr>
        <w:t>.</w:t>
      </w:r>
      <w:r w:rsidR="00E25430">
        <w:rPr>
          <w:rFonts w:cstheme="minorHAnsi"/>
        </w:rPr>
        <w:t xml:space="preserve"> The results vary across countries. Beta was</w:t>
      </w:r>
      <w:r w:rsidR="003036C7">
        <w:rPr>
          <w:rFonts w:cstheme="minorHAnsi"/>
        </w:rPr>
        <w:t xml:space="preserve"> negative</w:t>
      </w:r>
      <w:r w:rsidR="00E25430">
        <w:rPr>
          <w:rFonts w:cstheme="minorHAnsi"/>
        </w:rPr>
        <w:t xml:space="preserve"> at the beginning of </w:t>
      </w:r>
      <w:r w:rsidR="00B769EF">
        <w:rPr>
          <w:rFonts w:cstheme="minorHAnsi"/>
        </w:rPr>
        <w:t xml:space="preserve">the </w:t>
      </w:r>
      <w:r w:rsidR="00E25430">
        <w:rPr>
          <w:rFonts w:cstheme="minorHAnsi"/>
        </w:rPr>
        <w:t>pandemic</w:t>
      </w:r>
      <w:r w:rsidR="00A75C39">
        <w:rPr>
          <w:rFonts w:cstheme="minorHAnsi"/>
        </w:rPr>
        <w:t xml:space="preserve"> (March/April 2020)</w:t>
      </w:r>
      <w:r w:rsidR="003036C7">
        <w:rPr>
          <w:rFonts w:cstheme="minorHAnsi"/>
        </w:rPr>
        <w:t xml:space="preserve"> in all </w:t>
      </w:r>
      <w:r w:rsidR="00A75C39">
        <w:rPr>
          <w:rFonts w:cstheme="minorHAnsi"/>
        </w:rPr>
        <w:t>countries</w:t>
      </w:r>
      <w:r w:rsidR="003036C7">
        <w:rPr>
          <w:rFonts w:cstheme="minorHAnsi"/>
        </w:rPr>
        <w:t xml:space="preserve"> apart from</w:t>
      </w:r>
      <w:r w:rsidR="00896C15">
        <w:rPr>
          <w:rFonts w:cstheme="minorHAnsi"/>
        </w:rPr>
        <w:t xml:space="preserve"> the</w:t>
      </w:r>
      <w:r w:rsidR="003036C7">
        <w:rPr>
          <w:rFonts w:cstheme="minorHAnsi"/>
        </w:rPr>
        <w:t xml:space="preserve"> US</w:t>
      </w:r>
      <w:r w:rsidR="001E5972">
        <w:rPr>
          <w:rFonts w:cstheme="minorHAnsi"/>
        </w:rPr>
        <w:t xml:space="preserve"> and Russia</w:t>
      </w:r>
      <w:r w:rsidR="00076762">
        <w:rPr>
          <w:rFonts w:cstheme="minorHAnsi"/>
        </w:rPr>
        <w:t xml:space="preserve">, which means that banking </w:t>
      </w:r>
      <w:r w:rsidR="00D95A1A">
        <w:rPr>
          <w:rFonts w:cstheme="minorHAnsi"/>
        </w:rPr>
        <w:t>stocks</w:t>
      </w:r>
      <w:r w:rsidR="00076762">
        <w:rPr>
          <w:rFonts w:cstheme="minorHAnsi"/>
        </w:rPr>
        <w:t xml:space="preserve"> were moving in the opposite direction to market movement.</w:t>
      </w:r>
      <w:r w:rsidR="001E5972">
        <w:rPr>
          <w:rFonts w:cstheme="minorHAnsi"/>
        </w:rPr>
        <w:t xml:space="preserve"> </w:t>
      </w:r>
      <w:r w:rsidR="00B66AAA">
        <w:rPr>
          <w:rFonts w:cstheme="minorHAnsi"/>
        </w:rPr>
        <w:t xml:space="preserve">During </w:t>
      </w:r>
      <w:r w:rsidR="00A744F7">
        <w:rPr>
          <w:rFonts w:cstheme="minorHAnsi"/>
        </w:rPr>
        <w:t xml:space="preserve">the </w:t>
      </w:r>
      <w:r w:rsidR="00B66AAA">
        <w:rPr>
          <w:rFonts w:cstheme="minorHAnsi"/>
        </w:rPr>
        <w:t>pandemic i</w:t>
      </w:r>
      <w:r w:rsidR="001E5972">
        <w:rPr>
          <w:rFonts w:cstheme="minorHAnsi"/>
        </w:rPr>
        <w:t>n all countries</w:t>
      </w:r>
      <w:r w:rsidR="002F629C">
        <w:rPr>
          <w:rFonts w:cstheme="minorHAnsi"/>
        </w:rPr>
        <w:t xml:space="preserve"> </w:t>
      </w:r>
      <w:r w:rsidR="001E5972">
        <w:rPr>
          <w:rFonts w:cstheme="minorHAnsi"/>
        </w:rPr>
        <w:t xml:space="preserve">a </w:t>
      </w:r>
      <w:r w:rsidR="00151F35">
        <w:rPr>
          <w:rFonts w:cstheme="minorHAnsi"/>
        </w:rPr>
        <w:t xml:space="preserve">short </w:t>
      </w:r>
      <w:r w:rsidR="001E5972">
        <w:rPr>
          <w:rFonts w:cstheme="minorHAnsi"/>
        </w:rPr>
        <w:t xml:space="preserve">period of </w:t>
      </w:r>
      <w:r w:rsidR="002F629C">
        <w:rPr>
          <w:rFonts w:cstheme="minorHAnsi"/>
        </w:rPr>
        <w:t xml:space="preserve">high </w:t>
      </w:r>
      <w:r w:rsidR="001E5972">
        <w:rPr>
          <w:rFonts w:cstheme="minorHAnsi"/>
        </w:rPr>
        <w:t xml:space="preserve">beta </w:t>
      </w:r>
      <w:r w:rsidR="002F629C">
        <w:rPr>
          <w:rFonts w:cstheme="minorHAnsi"/>
        </w:rPr>
        <w:t>(</w:t>
      </w:r>
      <w:r w:rsidR="001E5972">
        <w:rPr>
          <w:rFonts w:cstheme="minorHAnsi"/>
        </w:rPr>
        <w:t>greater than 1</w:t>
      </w:r>
      <w:r w:rsidR="002F629C">
        <w:rPr>
          <w:rFonts w:cstheme="minorHAnsi"/>
        </w:rPr>
        <w:t>)</w:t>
      </w:r>
      <w:r w:rsidR="001E5972">
        <w:rPr>
          <w:rFonts w:cstheme="minorHAnsi"/>
        </w:rPr>
        <w:t xml:space="preserve"> </w:t>
      </w:r>
      <w:r w:rsidR="005D316E">
        <w:rPr>
          <w:rFonts w:cstheme="minorHAnsi"/>
        </w:rPr>
        <w:t xml:space="preserve">was observed, </w:t>
      </w:r>
      <w:r w:rsidR="001E5972">
        <w:rPr>
          <w:rFonts w:cstheme="minorHAnsi"/>
        </w:rPr>
        <w:t>indicating higher risk in</w:t>
      </w:r>
      <w:r w:rsidR="00A51CB6">
        <w:rPr>
          <w:rFonts w:cstheme="minorHAnsi"/>
        </w:rPr>
        <w:t xml:space="preserve"> the</w:t>
      </w:r>
      <w:r w:rsidR="001E5972">
        <w:rPr>
          <w:rFonts w:cstheme="minorHAnsi"/>
        </w:rPr>
        <w:t xml:space="preserve"> banking sector</w:t>
      </w:r>
      <w:r w:rsidR="00D95A1A">
        <w:rPr>
          <w:rFonts w:cstheme="minorHAnsi"/>
        </w:rPr>
        <w:t xml:space="preserve">. </w:t>
      </w:r>
      <w:r w:rsidR="00C865DE">
        <w:rPr>
          <w:rFonts w:cstheme="minorHAnsi"/>
        </w:rPr>
        <w:t>Nevertheless</w:t>
      </w:r>
      <w:r w:rsidR="00AA0F11">
        <w:rPr>
          <w:rFonts w:cstheme="minorHAnsi"/>
        </w:rPr>
        <w:t xml:space="preserve">, </w:t>
      </w:r>
      <w:r w:rsidR="009252C3">
        <w:rPr>
          <w:rFonts w:cstheme="minorHAnsi"/>
        </w:rPr>
        <w:t xml:space="preserve">the short period </w:t>
      </w:r>
      <w:r w:rsidR="00923207">
        <w:rPr>
          <w:rFonts w:cstheme="minorHAnsi"/>
        </w:rPr>
        <w:t>of</w:t>
      </w:r>
      <w:r w:rsidR="00151F35">
        <w:rPr>
          <w:rFonts w:cstheme="minorHAnsi"/>
        </w:rPr>
        <w:t xml:space="preserve"> volatility did</w:t>
      </w:r>
      <w:r w:rsidR="00CD293B">
        <w:rPr>
          <w:rFonts w:cstheme="minorHAnsi"/>
        </w:rPr>
        <w:t xml:space="preserve"> not confirm</w:t>
      </w:r>
      <w:r w:rsidR="00151F35">
        <w:rPr>
          <w:rFonts w:cstheme="minorHAnsi"/>
        </w:rPr>
        <w:t xml:space="preserve"> the</w:t>
      </w:r>
      <w:r w:rsidR="00CD293B">
        <w:rPr>
          <w:rFonts w:cstheme="minorHAnsi"/>
        </w:rPr>
        <w:t xml:space="preserve"> presence of systematic risk </w:t>
      </w:r>
      <w:r w:rsidR="00151F35">
        <w:rPr>
          <w:rFonts w:cstheme="minorHAnsi"/>
        </w:rPr>
        <w:t>in</w:t>
      </w:r>
      <w:r w:rsidR="003C522B">
        <w:rPr>
          <w:rFonts w:cstheme="minorHAnsi"/>
        </w:rPr>
        <w:t xml:space="preserve"> </w:t>
      </w:r>
      <w:r w:rsidR="00A744F7">
        <w:rPr>
          <w:rFonts w:cstheme="minorHAnsi"/>
        </w:rPr>
        <w:t>the</w:t>
      </w:r>
      <w:r w:rsidR="00151F35">
        <w:rPr>
          <w:rFonts w:cstheme="minorHAnsi"/>
        </w:rPr>
        <w:t xml:space="preserve"> banking sector </w:t>
      </w:r>
      <w:r w:rsidR="00C85516">
        <w:rPr>
          <w:rFonts w:cstheme="minorHAnsi"/>
        </w:rPr>
        <w:t xml:space="preserve">that would signal </w:t>
      </w:r>
      <w:r w:rsidR="00EE5BA1">
        <w:rPr>
          <w:rFonts w:cstheme="minorHAnsi"/>
        </w:rPr>
        <w:t xml:space="preserve">the </w:t>
      </w:r>
      <w:r w:rsidR="00CD293B">
        <w:rPr>
          <w:rFonts w:cstheme="minorHAnsi"/>
        </w:rPr>
        <w:t xml:space="preserve">banking crisis. </w:t>
      </w:r>
    </w:p>
    <w:p w14:paraId="533B6EBA" w14:textId="6960E373" w:rsidR="00743376" w:rsidRPr="00492303" w:rsidRDefault="00743376" w:rsidP="007F0607">
      <w:pPr>
        <w:jc w:val="both"/>
      </w:pPr>
    </w:p>
    <w:p w14:paraId="30FEF47D" w14:textId="50420989" w:rsidR="004D23A6" w:rsidRPr="00492303" w:rsidRDefault="00323196" w:rsidP="007F0607">
      <w:pPr>
        <w:jc w:val="both"/>
      </w:pPr>
      <w:r w:rsidRPr="00492303">
        <w:rPr>
          <w:noProof/>
        </w:rPr>
        <w:drawing>
          <wp:inline distT="0" distB="0" distL="0" distR="0" wp14:anchorId="0226C5E4" wp14:editId="53E25FD4">
            <wp:extent cx="5731510" cy="215074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150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74B6CC" w14:textId="68956468" w:rsidR="00F7776B" w:rsidRPr="00492303" w:rsidRDefault="00F7776B" w:rsidP="007F0607">
      <w:pPr>
        <w:jc w:val="both"/>
      </w:pPr>
    </w:p>
    <w:p w14:paraId="4639E1BE" w14:textId="250E9F95" w:rsidR="00F7776B" w:rsidRPr="00492303" w:rsidRDefault="00F7776B" w:rsidP="007F0607">
      <w:pPr>
        <w:jc w:val="both"/>
      </w:pPr>
      <w:r w:rsidRPr="00492303">
        <w:rPr>
          <w:noProof/>
        </w:rPr>
        <w:lastRenderedPageBreak/>
        <w:drawing>
          <wp:inline distT="0" distB="0" distL="0" distR="0" wp14:anchorId="1C70CEB2" wp14:editId="76DDC31F">
            <wp:extent cx="5731510" cy="2103755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10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0CDF49" w14:textId="55BDC097" w:rsidR="00930F96" w:rsidRPr="00492303" w:rsidRDefault="00930F96" w:rsidP="007F0607">
      <w:pPr>
        <w:jc w:val="both"/>
      </w:pPr>
    </w:p>
    <w:p w14:paraId="6B924615" w14:textId="65977CAD" w:rsidR="00930F96" w:rsidRPr="00492303" w:rsidRDefault="00930F96" w:rsidP="007F0607">
      <w:pPr>
        <w:jc w:val="both"/>
      </w:pPr>
    </w:p>
    <w:p w14:paraId="7F96EC29" w14:textId="4D250ECB" w:rsidR="00930F96" w:rsidRPr="00492303" w:rsidRDefault="00E73096" w:rsidP="007F0607">
      <w:pPr>
        <w:jc w:val="both"/>
      </w:pPr>
      <w:r w:rsidRPr="00492303">
        <w:rPr>
          <w:noProof/>
        </w:rPr>
        <w:drawing>
          <wp:inline distT="0" distB="0" distL="0" distR="0" wp14:anchorId="1011963E" wp14:editId="58651DAD">
            <wp:extent cx="5731510" cy="2153285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153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B56CE5" w14:textId="481F5D4A" w:rsidR="00763108" w:rsidRPr="00492303" w:rsidRDefault="00763108" w:rsidP="007F0607">
      <w:pPr>
        <w:jc w:val="both"/>
      </w:pPr>
    </w:p>
    <w:p w14:paraId="764AC063" w14:textId="1E4555CF" w:rsidR="00763108" w:rsidRPr="00492303" w:rsidRDefault="00763108" w:rsidP="007F0607">
      <w:pPr>
        <w:jc w:val="both"/>
      </w:pPr>
      <w:r w:rsidRPr="00492303">
        <w:rPr>
          <w:noProof/>
        </w:rPr>
        <w:drawing>
          <wp:inline distT="0" distB="0" distL="0" distR="0" wp14:anchorId="4A60A3AF" wp14:editId="665021E9">
            <wp:extent cx="5731510" cy="2078355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078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F9AA28" w14:textId="6A485096" w:rsidR="00891210" w:rsidRPr="00492303" w:rsidRDefault="00891210" w:rsidP="007F0607">
      <w:pPr>
        <w:jc w:val="both"/>
      </w:pPr>
    </w:p>
    <w:p w14:paraId="7348751D" w14:textId="43C50AA2" w:rsidR="00891210" w:rsidRPr="00492303" w:rsidRDefault="00891210" w:rsidP="007F0607">
      <w:pPr>
        <w:jc w:val="both"/>
      </w:pPr>
      <w:r w:rsidRPr="00492303">
        <w:rPr>
          <w:noProof/>
        </w:rPr>
        <w:lastRenderedPageBreak/>
        <w:drawing>
          <wp:inline distT="0" distB="0" distL="0" distR="0" wp14:anchorId="1FE2B02D" wp14:editId="1EADE3E5">
            <wp:extent cx="5731510" cy="2059940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05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35BFFD" w14:textId="0181C981" w:rsidR="00CD6E71" w:rsidRPr="00492303" w:rsidRDefault="00CD6E71" w:rsidP="007F0607">
      <w:pPr>
        <w:jc w:val="both"/>
      </w:pPr>
    </w:p>
    <w:p w14:paraId="6B1C02B2" w14:textId="4469286F" w:rsidR="00CD6E71" w:rsidRPr="00492303" w:rsidRDefault="00CD6E71" w:rsidP="007F0607">
      <w:pPr>
        <w:jc w:val="both"/>
      </w:pPr>
      <w:r w:rsidRPr="00492303">
        <w:rPr>
          <w:noProof/>
        </w:rPr>
        <w:drawing>
          <wp:inline distT="0" distB="0" distL="0" distR="0" wp14:anchorId="11410CA2" wp14:editId="12CFCBB2">
            <wp:extent cx="5731510" cy="2044700"/>
            <wp:effectExtent l="0" t="0" r="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04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7DBD3F" w14:textId="178376C0" w:rsidR="00891210" w:rsidRPr="00492303" w:rsidRDefault="00891210" w:rsidP="007F0607">
      <w:pPr>
        <w:jc w:val="both"/>
      </w:pPr>
    </w:p>
    <w:p w14:paraId="296F750D" w14:textId="4C840C2F" w:rsidR="00891210" w:rsidRPr="00492303" w:rsidRDefault="00891210" w:rsidP="007F0607">
      <w:pPr>
        <w:jc w:val="both"/>
      </w:pPr>
    </w:p>
    <w:p w14:paraId="08008B26" w14:textId="3809A53C" w:rsidR="007E7D28" w:rsidRDefault="004D23A6" w:rsidP="007E7D28">
      <w:pPr>
        <w:spacing w:line="360" w:lineRule="auto"/>
        <w:jc w:val="both"/>
        <w:rPr>
          <w:rFonts w:cstheme="minorHAnsi"/>
        </w:rPr>
      </w:pPr>
      <w:r w:rsidRPr="00492303">
        <w:rPr>
          <w:rFonts w:cstheme="minorHAnsi"/>
        </w:rPr>
        <w:t>To measure the effect of COVID-19 on</w:t>
      </w:r>
      <w:r w:rsidR="00FA4603">
        <w:rPr>
          <w:rFonts w:cstheme="minorHAnsi"/>
        </w:rPr>
        <w:t xml:space="preserve"> the</w:t>
      </w:r>
      <w:r w:rsidRPr="00492303">
        <w:rPr>
          <w:rFonts w:cstheme="minorHAnsi"/>
        </w:rPr>
        <w:t xml:space="preserve"> banking sector</w:t>
      </w:r>
      <w:r w:rsidR="000173D2">
        <w:rPr>
          <w:rFonts w:cstheme="minorHAnsi"/>
        </w:rPr>
        <w:t>,</w:t>
      </w:r>
      <w:r w:rsidRPr="00492303">
        <w:rPr>
          <w:rFonts w:cstheme="minorHAnsi"/>
        </w:rPr>
        <w:t xml:space="preserve"> the number of COVID-19 cases reported by</w:t>
      </w:r>
      <w:r w:rsidR="006E1CCF">
        <w:rPr>
          <w:rFonts w:cstheme="minorHAnsi"/>
        </w:rPr>
        <w:t xml:space="preserve"> each</w:t>
      </w:r>
      <w:r w:rsidRPr="00492303">
        <w:rPr>
          <w:rFonts w:cstheme="minorHAnsi"/>
        </w:rPr>
        <w:t xml:space="preserve"> </w:t>
      </w:r>
      <w:r w:rsidR="00F600FA" w:rsidRPr="00492303">
        <w:rPr>
          <w:rFonts w:cstheme="minorHAnsi"/>
        </w:rPr>
        <w:t>country</w:t>
      </w:r>
      <w:r w:rsidRPr="00492303">
        <w:rPr>
          <w:rFonts w:cstheme="minorHAnsi"/>
        </w:rPr>
        <w:t xml:space="preserve"> w</w:t>
      </w:r>
      <w:r w:rsidR="003B1889">
        <w:rPr>
          <w:rFonts w:cstheme="minorHAnsi"/>
        </w:rPr>
        <w:t>as</w:t>
      </w:r>
      <w:r w:rsidRPr="00492303">
        <w:rPr>
          <w:rFonts w:cstheme="minorHAnsi"/>
        </w:rPr>
        <w:t xml:space="preserve"> used</w:t>
      </w:r>
      <w:r w:rsidR="007D59CC" w:rsidRPr="00492303">
        <w:rPr>
          <w:rFonts w:cstheme="minorHAnsi"/>
        </w:rPr>
        <w:t xml:space="preserve">. </w:t>
      </w:r>
      <w:r w:rsidRPr="00492303">
        <w:rPr>
          <w:rFonts w:cstheme="minorHAnsi"/>
        </w:rPr>
        <w:t>Another independent variable in this study is the slope of the yield curve which is calculated as the difference between long</w:t>
      </w:r>
      <w:r w:rsidR="0029497E" w:rsidRPr="00492303">
        <w:rPr>
          <w:rFonts w:cstheme="minorHAnsi"/>
        </w:rPr>
        <w:t>-</w:t>
      </w:r>
      <w:r w:rsidRPr="00492303">
        <w:rPr>
          <w:rFonts w:cstheme="minorHAnsi"/>
        </w:rPr>
        <w:t xml:space="preserve">term government bonds and </w:t>
      </w:r>
      <w:r w:rsidR="0029497E" w:rsidRPr="00492303">
        <w:rPr>
          <w:rFonts w:cstheme="minorHAnsi"/>
        </w:rPr>
        <w:t>short-term</w:t>
      </w:r>
      <w:r w:rsidRPr="00492303">
        <w:rPr>
          <w:rFonts w:cstheme="minorHAnsi"/>
        </w:rPr>
        <w:t xml:space="preserve"> government bonds</w:t>
      </w:r>
      <w:r w:rsidR="004A2AEF">
        <w:rPr>
          <w:rFonts w:cstheme="minorHAnsi"/>
        </w:rPr>
        <w:t xml:space="preserve"> (</w:t>
      </w:r>
      <w:r w:rsidR="00F92BC2">
        <w:rPr>
          <w:rFonts w:cstheme="minorHAnsi"/>
        </w:rPr>
        <w:t>Appendix</w:t>
      </w:r>
      <w:r w:rsidR="00D43352">
        <w:rPr>
          <w:rFonts w:cstheme="minorHAnsi"/>
        </w:rPr>
        <w:t xml:space="preserve"> 2</w:t>
      </w:r>
      <w:r w:rsidR="00F92BC2">
        <w:rPr>
          <w:rFonts w:cstheme="minorHAnsi"/>
        </w:rPr>
        <w:t xml:space="preserve">, </w:t>
      </w:r>
      <w:r w:rsidR="00267C66">
        <w:rPr>
          <w:rFonts w:cstheme="minorHAnsi"/>
        </w:rPr>
        <w:t>F</w:t>
      </w:r>
      <w:r w:rsidR="004A2AEF">
        <w:rPr>
          <w:rFonts w:cstheme="minorHAnsi"/>
        </w:rPr>
        <w:t>igures</w:t>
      </w:r>
      <w:r w:rsidR="00267C66">
        <w:rPr>
          <w:rFonts w:cstheme="minorHAnsi"/>
        </w:rPr>
        <w:t xml:space="preserve"> 13-24)</w:t>
      </w:r>
      <w:r w:rsidRPr="00492303">
        <w:rPr>
          <w:rFonts w:cstheme="minorHAnsi"/>
        </w:rPr>
        <w:t>. The</w:t>
      </w:r>
      <w:r w:rsidR="00C57706" w:rsidRPr="00492303">
        <w:rPr>
          <w:rFonts w:cstheme="minorHAnsi"/>
        </w:rPr>
        <w:t xml:space="preserve"> slope of the</w:t>
      </w:r>
      <w:r w:rsidRPr="00492303">
        <w:rPr>
          <w:rFonts w:cstheme="minorHAnsi"/>
        </w:rPr>
        <w:t xml:space="preserve"> yield</w:t>
      </w:r>
      <w:r w:rsidR="00D97266" w:rsidRPr="00492303">
        <w:rPr>
          <w:rFonts w:cstheme="minorHAnsi"/>
        </w:rPr>
        <w:t xml:space="preserve"> curve</w:t>
      </w:r>
      <w:r w:rsidRPr="00492303">
        <w:rPr>
          <w:rFonts w:cstheme="minorHAnsi"/>
        </w:rPr>
        <w:t xml:space="preserve"> is linked to </w:t>
      </w:r>
      <w:r w:rsidR="003C282C">
        <w:rPr>
          <w:rFonts w:cstheme="minorHAnsi"/>
        </w:rPr>
        <w:t xml:space="preserve">the </w:t>
      </w:r>
      <w:r w:rsidRPr="00492303">
        <w:rPr>
          <w:rFonts w:cstheme="minorHAnsi"/>
        </w:rPr>
        <w:t xml:space="preserve">business cycle as </w:t>
      </w:r>
      <w:r w:rsidR="00333E17">
        <w:rPr>
          <w:rFonts w:cstheme="minorHAnsi"/>
        </w:rPr>
        <w:t xml:space="preserve">a </w:t>
      </w:r>
      <w:r w:rsidRPr="00492303">
        <w:rPr>
          <w:rFonts w:cstheme="minorHAnsi"/>
        </w:rPr>
        <w:t>negative yield spread (inverted yield spread) often precede</w:t>
      </w:r>
      <w:r w:rsidR="00333E17">
        <w:rPr>
          <w:rFonts w:cstheme="minorHAnsi"/>
        </w:rPr>
        <w:t>s</w:t>
      </w:r>
      <w:r w:rsidRPr="00492303">
        <w:rPr>
          <w:rFonts w:cstheme="minorHAnsi"/>
        </w:rPr>
        <w:t xml:space="preserve"> a recession </w:t>
      </w:r>
      <w:sdt>
        <w:sdtPr>
          <w:rPr>
            <w:rFonts w:cstheme="minorHAnsi"/>
          </w:rPr>
          <w:id w:val="89120563"/>
          <w:citation/>
        </w:sdtPr>
        <w:sdtContent>
          <w:r w:rsidRPr="00492303">
            <w:rPr>
              <w:rFonts w:cstheme="minorHAnsi"/>
            </w:rPr>
            <w:fldChar w:fldCharType="begin"/>
          </w:r>
          <w:r w:rsidRPr="00492303">
            <w:rPr>
              <w:rFonts w:cstheme="minorHAnsi"/>
            </w:rPr>
            <w:instrText xml:space="preserve"> CITATION Cwi05 \l 2057 </w:instrText>
          </w:r>
          <w:r w:rsidRPr="00492303">
            <w:rPr>
              <w:rFonts w:cstheme="minorHAnsi"/>
            </w:rPr>
            <w:fldChar w:fldCharType="separate"/>
          </w:r>
          <w:r w:rsidR="00FF0714" w:rsidRPr="00492303">
            <w:rPr>
              <w:rFonts w:cstheme="minorHAnsi"/>
            </w:rPr>
            <w:t>(Cwik, 2005)</w:t>
          </w:r>
          <w:r w:rsidRPr="00492303">
            <w:rPr>
              <w:rFonts w:cstheme="minorHAnsi"/>
            </w:rPr>
            <w:fldChar w:fldCharType="end"/>
          </w:r>
        </w:sdtContent>
      </w:sdt>
      <w:r w:rsidR="00833EDC" w:rsidRPr="00492303">
        <w:rPr>
          <w:rFonts w:cstheme="minorHAnsi"/>
        </w:rPr>
        <w:t xml:space="preserve"> </w:t>
      </w:r>
      <w:r w:rsidR="006F70E4">
        <w:rPr>
          <w:rFonts w:cstheme="minorHAnsi"/>
        </w:rPr>
        <w:t>which</w:t>
      </w:r>
      <w:r w:rsidR="00053542" w:rsidRPr="00492303">
        <w:rPr>
          <w:rFonts w:cstheme="minorHAnsi"/>
        </w:rPr>
        <w:t xml:space="preserve"> </w:t>
      </w:r>
      <w:r w:rsidR="00784C36" w:rsidRPr="00492303">
        <w:rPr>
          <w:rFonts w:cstheme="minorHAnsi"/>
        </w:rPr>
        <w:t xml:space="preserve">can </w:t>
      </w:r>
      <w:r w:rsidR="00233B04" w:rsidRPr="00492303">
        <w:rPr>
          <w:rFonts w:cstheme="minorHAnsi"/>
        </w:rPr>
        <w:t>worsen</w:t>
      </w:r>
      <w:r w:rsidR="00784C36" w:rsidRPr="00492303">
        <w:rPr>
          <w:rFonts w:cstheme="minorHAnsi"/>
        </w:rPr>
        <w:t xml:space="preserve"> </w:t>
      </w:r>
      <w:r w:rsidRPr="00492303">
        <w:rPr>
          <w:rFonts w:cstheme="minorHAnsi"/>
        </w:rPr>
        <w:t>banks’ profits.</w:t>
      </w:r>
      <w:r w:rsidR="00E36BF8">
        <w:rPr>
          <w:rFonts w:cstheme="minorHAnsi"/>
        </w:rPr>
        <w:t xml:space="preserve"> </w:t>
      </w:r>
      <w:r w:rsidR="00E7161C">
        <w:rPr>
          <w:rFonts w:cstheme="minorHAnsi"/>
        </w:rPr>
        <w:t>The n</w:t>
      </w:r>
      <w:r w:rsidRPr="00492303">
        <w:rPr>
          <w:rFonts w:cstheme="minorHAnsi"/>
        </w:rPr>
        <w:t>egative</w:t>
      </w:r>
      <w:r w:rsidR="00D7064F" w:rsidRPr="00492303">
        <w:rPr>
          <w:rFonts w:cstheme="minorHAnsi"/>
        </w:rPr>
        <w:t>ly</w:t>
      </w:r>
      <w:r w:rsidRPr="00492303">
        <w:rPr>
          <w:rFonts w:cstheme="minorHAnsi"/>
        </w:rPr>
        <w:t xml:space="preserve"> slop</w:t>
      </w:r>
      <w:r w:rsidR="00D97266" w:rsidRPr="00492303">
        <w:rPr>
          <w:rFonts w:cstheme="minorHAnsi"/>
        </w:rPr>
        <w:t>e</w:t>
      </w:r>
      <w:r w:rsidR="00D7064F" w:rsidRPr="00492303">
        <w:rPr>
          <w:rFonts w:cstheme="minorHAnsi"/>
        </w:rPr>
        <w:t>d</w:t>
      </w:r>
      <w:r w:rsidRPr="00492303">
        <w:rPr>
          <w:rFonts w:cstheme="minorHAnsi"/>
        </w:rPr>
        <w:t xml:space="preserve"> yield curve was marked in several countries</w:t>
      </w:r>
      <w:r w:rsidR="001948B2" w:rsidRPr="00492303">
        <w:rPr>
          <w:rFonts w:cstheme="minorHAnsi"/>
        </w:rPr>
        <w:t>:</w:t>
      </w:r>
      <w:r w:rsidR="00A651B8">
        <w:rPr>
          <w:rFonts w:cstheme="minorHAnsi"/>
        </w:rPr>
        <w:t xml:space="preserve"> </w:t>
      </w:r>
      <w:r w:rsidRPr="00492303">
        <w:rPr>
          <w:rFonts w:cstheme="minorHAnsi"/>
        </w:rPr>
        <w:t>Germany</w:t>
      </w:r>
      <w:r w:rsidR="002B141D">
        <w:rPr>
          <w:rFonts w:cstheme="minorHAnsi"/>
        </w:rPr>
        <w:t xml:space="preserve"> (</w:t>
      </w:r>
      <w:r w:rsidR="00851669">
        <w:rPr>
          <w:rFonts w:cstheme="minorHAnsi"/>
        </w:rPr>
        <w:t>Appendix 2</w:t>
      </w:r>
      <w:r w:rsidR="00851669">
        <w:rPr>
          <w:rFonts w:cstheme="minorHAnsi"/>
        </w:rPr>
        <w:t xml:space="preserve">, </w:t>
      </w:r>
      <w:r w:rsidR="002B141D">
        <w:rPr>
          <w:rFonts w:cstheme="minorHAnsi"/>
        </w:rPr>
        <w:t>Figure 14)</w:t>
      </w:r>
      <w:r w:rsidR="000173D2">
        <w:rPr>
          <w:rFonts w:cstheme="minorHAnsi"/>
        </w:rPr>
        <w:t>,</w:t>
      </w:r>
      <w:r w:rsidR="002B141D">
        <w:rPr>
          <w:rFonts w:cstheme="minorHAnsi"/>
        </w:rPr>
        <w:t xml:space="preserve"> Japan (</w:t>
      </w:r>
      <w:r w:rsidR="00851669">
        <w:rPr>
          <w:rFonts w:cstheme="minorHAnsi"/>
        </w:rPr>
        <w:t>Appendix 2</w:t>
      </w:r>
      <w:r w:rsidR="00851669">
        <w:rPr>
          <w:rFonts w:cstheme="minorHAnsi"/>
        </w:rPr>
        <w:t xml:space="preserve">, </w:t>
      </w:r>
      <w:r w:rsidR="002B141D">
        <w:rPr>
          <w:rFonts w:cstheme="minorHAnsi"/>
        </w:rPr>
        <w:t>Figure 17)</w:t>
      </w:r>
      <w:r w:rsidR="00A450BF">
        <w:rPr>
          <w:rFonts w:cstheme="minorHAnsi"/>
        </w:rPr>
        <w:t>, Mexico (</w:t>
      </w:r>
      <w:r w:rsidR="00851669">
        <w:rPr>
          <w:rFonts w:cstheme="minorHAnsi"/>
        </w:rPr>
        <w:t>Appendix 2</w:t>
      </w:r>
      <w:r w:rsidR="00851669">
        <w:rPr>
          <w:rFonts w:cstheme="minorHAnsi"/>
        </w:rPr>
        <w:t xml:space="preserve">, </w:t>
      </w:r>
      <w:r w:rsidR="00A450BF">
        <w:rPr>
          <w:rFonts w:cstheme="minorHAnsi"/>
        </w:rPr>
        <w:t xml:space="preserve">Figure 19), </w:t>
      </w:r>
      <w:r w:rsidR="009514B8">
        <w:rPr>
          <w:rFonts w:cstheme="minorHAnsi"/>
        </w:rPr>
        <w:t xml:space="preserve">the </w:t>
      </w:r>
      <w:r w:rsidR="00A450BF">
        <w:rPr>
          <w:rFonts w:cstheme="minorHAnsi"/>
        </w:rPr>
        <w:t>UK (</w:t>
      </w:r>
      <w:r w:rsidR="00851669">
        <w:rPr>
          <w:rFonts w:cstheme="minorHAnsi"/>
        </w:rPr>
        <w:t>Appendix 2</w:t>
      </w:r>
      <w:r w:rsidR="00851669">
        <w:rPr>
          <w:rFonts w:cstheme="minorHAnsi"/>
        </w:rPr>
        <w:t xml:space="preserve">, </w:t>
      </w:r>
      <w:r w:rsidR="00A450BF">
        <w:rPr>
          <w:rFonts w:cstheme="minorHAnsi"/>
        </w:rPr>
        <w:t>Figure 20</w:t>
      </w:r>
      <w:r w:rsidR="002033FB">
        <w:rPr>
          <w:rFonts w:cstheme="minorHAnsi"/>
        </w:rPr>
        <w:t xml:space="preserve">), </w:t>
      </w:r>
      <w:r w:rsidR="009514B8">
        <w:rPr>
          <w:rFonts w:cstheme="minorHAnsi"/>
        </w:rPr>
        <w:t xml:space="preserve">the </w:t>
      </w:r>
      <w:r w:rsidR="002033FB">
        <w:rPr>
          <w:rFonts w:cstheme="minorHAnsi"/>
        </w:rPr>
        <w:t>US</w:t>
      </w:r>
      <w:r w:rsidR="00D02EA1">
        <w:rPr>
          <w:rFonts w:cstheme="minorHAnsi"/>
        </w:rPr>
        <w:t xml:space="preserve"> (</w:t>
      </w:r>
      <w:r w:rsidR="00851669">
        <w:rPr>
          <w:rFonts w:cstheme="minorHAnsi"/>
        </w:rPr>
        <w:t>Appendix 2</w:t>
      </w:r>
      <w:r w:rsidR="00851669">
        <w:rPr>
          <w:rFonts w:cstheme="minorHAnsi"/>
        </w:rPr>
        <w:t xml:space="preserve">, </w:t>
      </w:r>
      <w:r w:rsidR="00D02EA1">
        <w:rPr>
          <w:rFonts w:cstheme="minorHAnsi"/>
        </w:rPr>
        <w:t>Figure 21) and Switzerland (</w:t>
      </w:r>
      <w:r w:rsidR="00851669">
        <w:rPr>
          <w:rFonts w:cstheme="minorHAnsi"/>
        </w:rPr>
        <w:t>Appendix 2</w:t>
      </w:r>
      <w:r w:rsidR="00851669">
        <w:rPr>
          <w:rFonts w:cstheme="minorHAnsi"/>
        </w:rPr>
        <w:t xml:space="preserve">, </w:t>
      </w:r>
      <w:r w:rsidR="00D02EA1">
        <w:rPr>
          <w:rFonts w:cstheme="minorHAnsi"/>
        </w:rPr>
        <w:t>Figure 24)</w:t>
      </w:r>
      <w:r w:rsidR="00C45197">
        <w:rPr>
          <w:rFonts w:cstheme="minorHAnsi"/>
        </w:rPr>
        <w:t>.</w:t>
      </w:r>
    </w:p>
    <w:p w14:paraId="601CFED6" w14:textId="321DF9EF" w:rsidR="002D6780" w:rsidRPr="007E7D28" w:rsidRDefault="0074648D" w:rsidP="007E7D28">
      <w:pPr>
        <w:spacing w:line="360" w:lineRule="auto"/>
        <w:jc w:val="both"/>
      </w:pPr>
      <w:r>
        <w:rPr>
          <w:rFonts w:cstheme="minorHAnsi"/>
        </w:rPr>
        <w:t xml:space="preserve">Government intervention is an important sign of </w:t>
      </w:r>
      <w:r w:rsidR="00237311">
        <w:rPr>
          <w:rFonts w:cstheme="minorHAnsi"/>
        </w:rPr>
        <w:t xml:space="preserve">a </w:t>
      </w:r>
      <w:r>
        <w:rPr>
          <w:rFonts w:cstheme="minorHAnsi"/>
        </w:rPr>
        <w:t>banking crisis. During the pandemic crisis</w:t>
      </w:r>
      <w:r w:rsidR="00AD35F4">
        <w:rPr>
          <w:rFonts w:cstheme="minorHAnsi"/>
        </w:rPr>
        <w:t>,</w:t>
      </w:r>
      <w:r>
        <w:rPr>
          <w:rFonts w:cstheme="minorHAnsi"/>
        </w:rPr>
        <w:t xml:space="preserve"> government</w:t>
      </w:r>
      <w:r w:rsidR="00AF26B7">
        <w:rPr>
          <w:rFonts w:cstheme="minorHAnsi"/>
        </w:rPr>
        <w:t>s</w:t>
      </w:r>
      <w:r>
        <w:rPr>
          <w:rFonts w:cstheme="minorHAnsi"/>
        </w:rPr>
        <w:t xml:space="preserve"> around the world </w:t>
      </w:r>
      <w:r w:rsidRPr="006941B7">
        <w:rPr>
          <w:rFonts w:cstheme="minorHAnsi"/>
        </w:rPr>
        <w:t xml:space="preserve">implemented various </w:t>
      </w:r>
      <w:r w:rsidR="00E02BF2" w:rsidRPr="006941B7">
        <w:rPr>
          <w:rFonts w:cstheme="minorHAnsi"/>
        </w:rPr>
        <w:t>crisis</w:t>
      </w:r>
      <w:r w:rsidRPr="006941B7">
        <w:rPr>
          <w:rFonts w:cstheme="minorHAnsi"/>
        </w:rPr>
        <w:t xml:space="preserve"> relief packages. In this study</w:t>
      </w:r>
      <w:r w:rsidR="00AD35F4">
        <w:rPr>
          <w:rFonts w:cstheme="minorHAnsi"/>
        </w:rPr>
        <w:t>,</w:t>
      </w:r>
      <w:r w:rsidRPr="006941B7">
        <w:rPr>
          <w:rFonts w:cstheme="minorHAnsi"/>
        </w:rPr>
        <w:t xml:space="preserve"> </w:t>
      </w:r>
      <w:r w:rsidR="002D6780" w:rsidRPr="006941B7">
        <w:rPr>
          <w:rFonts w:cstheme="minorHAnsi"/>
        </w:rPr>
        <w:t xml:space="preserve">Economic </w:t>
      </w:r>
      <w:r w:rsidR="00565E3F">
        <w:rPr>
          <w:rFonts w:cstheme="minorHAnsi"/>
        </w:rPr>
        <w:t>S</w:t>
      </w:r>
      <w:r w:rsidR="002D6780" w:rsidRPr="006941B7">
        <w:rPr>
          <w:rFonts w:cstheme="minorHAnsi"/>
        </w:rPr>
        <w:t xml:space="preserve">upport </w:t>
      </w:r>
      <w:r w:rsidR="00565E3F">
        <w:rPr>
          <w:rFonts w:cstheme="minorHAnsi"/>
        </w:rPr>
        <w:t>I</w:t>
      </w:r>
      <w:r w:rsidR="002D6780" w:rsidRPr="006941B7">
        <w:rPr>
          <w:rFonts w:cstheme="minorHAnsi"/>
        </w:rPr>
        <w:t>ndex</w:t>
      </w:r>
      <w:r w:rsidR="00565E3F">
        <w:rPr>
          <w:rFonts w:cstheme="minorHAnsi"/>
        </w:rPr>
        <w:t xml:space="preserve"> (ESI)</w:t>
      </w:r>
      <w:r w:rsidR="002D6780" w:rsidRPr="006941B7">
        <w:rPr>
          <w:rFonts w:cstheme="minorHAnsi"/>
        </w:rPr>
        <w:t xml:space="preserve"> calculated by</w:t>
      </w:r>
      <w:r w:rsidR="008C32AE">
        <w:rPr>
          <w:rFonts w:cstheme="minorHAnsi"/>
        </w:rPr>
        <w:t xml:space="preserve"> the</w:t>
      </w:r>
      <w:r w:rsidR="002D6780" w:rsidRPr="006941B7">
        <w:rPr>
          <w:rFonts w:cstheme="minorHAnsi"/>
        </w:rPr>
        <w:t xml:space="preserve"> </w:t>
      </w:r>
      <w:r w:rsidR="00A476ED">
        <w:t xml:space="preserve">Oxford </w:t>
      </w:r>
      <w:r w:rsidR="00AF26B7">
        <w:t>U</w:t>
      </w:r>
      <w:r w:rsidR="00A476ED">
        <w:t>niversity</w:t>
      </w:r>
      <w:r w:rsidR="002D6780" w:rsidRPr="006941B7">
        <w:t xml:space="preserve"> </w:t>
      </w:r>
      <w:r w:rsidR="00E8502D">
        <w:t>G</w:t>
      </w:r>
      <w:r w:rsidR="002D6780" w:rsidRPr="006941B7">
        <w:t xml:space="preserve">overnment </w:t>
      </w:r>
      <w:r w:rsidR="00E8502D">
        <w:t>R</w:t>
      </w:r>
      <w:r w:rsidR="002D6780" w:rsidRPr="006941B7">
        <w:t xml:space="preserve">esponse </w:t>
      </w:r>
      <w:r w:rsidR="00E8502D">
        <w:t>T</w:t>
      </w:r>
      <w:r w:rsidR="002D6780" w:rsidRPr="006941B7">
        <w:t xml:space="preserve">racker is </w:t>
      </w:r>
      <w:r w:rsidR="00E8502D">
        <w:t>used</w:t>
      </w:r>
      <w:r w:rsidR="002D6780" w:rsidRPr="006941B7">
        <w:t xml:space="preserve">. </w:t>
      </w:r>
      <w:r w:rsidR="00565E3F">
        <w:t xml:space="preserve">ESI </w:t>
      </w:r>
      <w:r w:rsidR="002D6780" w:rsidRPr="006941B7">
        <w:t>was selected as it records income support and debt relief</w:t>
      </w:r>
      <w:r w:rsidR="00D6022B">
        <w:t>, b</w:t>
      </w:r>
      <w:r w:rsidR="002D6780" w:rsidRPr="006941B7">
        <w:t xml:space="preserve">oth variables </w:t>
      </w:r>
      <w:r w:rsidR="00D6022B">
        <w:t xml:space="preserve">can have </w:t>
      </w:r>
      <w:r w:rsidR="00C214FA">
        <w:t xml:space="preserve">a </w:t>
      </w:r>
      <w:r w:rsidR="00C214FA" w:rsidRPr="006941B7">
        <w:t>significant</w:t>
      </w:r>
      <w:r w:rsidR="00D6022B">
        <w:t xml:space="preserve"> impact</w:t>
      </w:r>
      <w:r w:rsidR="002D6780" w:rsidRPr="006941B7">
        <w:t xml:space="preserve"> </w:t>
      </w:r>
      <w:r w:rsidR="00E84D45">
        <w:t>on</w:t>
      </w:r>
      <w:r w:rsidR="002D6780" w:rsidRPr="006941B7">
        <w:t xml:space="preserve"> banking operations.</w:t>
      </w:r>
      <w:r w:rsidR="002D6780">
        <w:rPr>
          <w:sz w:val="20"/>
          <w:szCs w:val="20"/>
        </w:rPr>
        <w:t xml:space="preserve"> </w:t>
      </w:r>
    </w:p>
    <w:p w14:paraId="7AC76BEC" w14:textId="13D8B0FE" w:rsidR="006941B7" w:rsidRDefault="006F6FD4" w:rsidP="006941B7">
      <w:pPr>
        <w:spacing w:line="360" w:lineRule="auto"/>
        <w:jc w:val="both"/>
      </w:pPr>
      <w:r>
        <w:t>Additionally, deterioration</w:t>
      </w:r>
      <w:r w:rsidR="007B1B12">
        <w:t xml:space="preserve"> </w:t>
      </w:r>
      <w:r w:rsidR="00930D53">
        <w:t>of</w:t>
      </w:r>
      <w:r w:rsidR="007B1B12">
        <w:t xml:space="preserve"> </w:t>
      </w:r>
      <w:r w:rsidR="006941B7">
        <w:t xml:space="preserve">financial soundness indicators </w:t>
      </w:r>
      <w:r w:rsidR="00FE780B">
        <w:t>c</w:t>
      </w:r>
      <w:r w:rsidR="007B1B12">
        <w:t xml:space="preserve">an contribute </w:t>
      </w:r>
      <w:r w:rsidR="00735A21">
        <w:t>to</w:t>
      </w:r>
      <w:r w:rsidR="00BE136D">
        <w:t xml:space="preserve"> a</w:t>
      </w:r>
      <w:r w:rsidR="00735A21">
        <w:t xml:space="preserve"> banking</w:t>
      </w:r>
      <w:r w:rsidR="00FE780B">
        <w:t xml:space="preserve"> </w:t>
      </w:r>
      <w:r w:rsidR="007B1B12">
        <w:t>crisis development</w:t>
      </w:r>
      <w:r w:rsidR="00FE780B">
        <w:t xml:space="preserve">. </w:t>
      </w:r>
      <w:r w:rsidR="00375191">
        <w:t xml:space="preserve">For </w:t>
      </w:r>
      <w:r w:rsidR="00735A21">
        <w:t>example,</w:t>
      </w:r>
      <w:r w:rsidR="00375191">
        <w:t xml:space="preserve"> </w:t>
      </w:r>
      <w:r w:rsidR="009526D5">
        <w:t xml:space="preserve">a </w:t>
      </w:r>
      <w:r w:rsidR="00735A21">
        <w:t>b</w:t>
      </w:r>
      <w:r w:rsidR="00375191">
        <w:t xml:space="preserve">ank’s liquidity problems may arise from too high ratios of </w:t>
      </w:r>
      <w:r w:rsidR="00375191">
        <w:lastRenderedPageBreak/>
        <w:t>illiquid assets relative to liquid liabilities</w:t>
      </w:r>
      <w:r w:rsidR="00735A21">
        <w:t>. This risk can be linked to an adverse information model. An adverse information model states that if there are signals or evidence of a recession then th</w:t>
      </w:r>
      <w:r w:rsidR="00AD35F4">
        <w:t>is</w:t>
      </w:r>
      <w:r w:rsidR="00735A21">
        <w:t xml:space="preserve"> may raise a question about the solvency of a bank and lead to a bank run (</w:t>
      </w:r>
      <w:r w:rsidR="00375191">
        <w:t xml:space="preserve">Davis and Karim, 2008). </w:t>
      </w:r>
      <w:r w:rsidR="00FE780B">
        <w:t>In this study</w:t>
      </w:r>
      <w:r w:rsidR="00186D73">
        <w:t>,</w:t>
      </w:r>
      <w:r w:rsidR="00FE780B">
        <w:t xml:space="preserve"> liquidity ratio w</w:t>
      </w:r>
      <w:r w:rsidR="00CE5560">
        <w:t>as included</w:t>
      </w:r>
      <w:r w:rsidR="00F918EA">
        <w:t xml:space="preserve"> to control for</w:t>
      </w:r>
      <w:r w:rsidR="00F44AFA">
        <w:t xml:space="preserve"> the</w:t>
      </w:r>
      <w:r w:rsidR="00F918EA">
        <w:t xml:space="preserve"> bank’s internal vulnerabilities. </w:t>
      </w:r>
    </w:p>
    <w:p w14:paraId="452A405F" w14:textId="77777777" w:rsidR="0074648D" w:rsidRPr="00492303" w:rsidRDefault="0074648D" w:rsidP="0074648D">
      <w:pPr>
        <w:jc w:val="both"/>
        <w:rPr>
          <w:b/>
        </w:rPr>
      </w:pPr>
    </w:p>
    <w:p w14:paraId="58CC53FD" w14:textId="77777777" w:rsidR="00EA2F9B" w:rsidRPr="00492303" w:rsidRDefault="00EA2F9B" w:rsidP="007F0607">
      <w:pPr>
        <w:autoSpaceDE w:val="0"/>
        <w:autoSpaceDN w:val="0"/>
        <w:adjustRightInd w:val="0"/>
        <w:spacing w:line="360" w:lineRule="auto"/>
        <w:jc w:val="both"/>
      </w:pPr>
    </w:p>
    <w:p w14:paraId="772D0DA4" w14:textId="28E06EB2" w:rsidR="004D23A6" w:rsidRDefault="00602178" w:rsidP="007F0607">
      <w:pPr>
        <w:jc w:val="both"/>
        <w:rPr>
          <w:b/>
          <w:bCs/>
        </w:rPr>
      </w:pPr>
      <w:r w:rsidRPr="00492303">
        <w:rPr>
          <w:b/>
          <w:bCs/>
        </w:rPr>
        <w:t xml:space="preserve">Results </w:t>
      </w:r>
    </w:p>
    <w:p w14:paraId="450359F6" w14:textId="77777777" w:rsidR="00CB5ECD" w:rsidRDefault="00CB5ECD" w:rsidP="007F0607">
      <w:pPr>
        <w:jc w:val="both"/>
        <w:rPr>
          <w:b/>
          <w:bCs/>
        </w:rPr>
      </w:pPr>
    </w:p>
    <w:p w14:paraId="4E377ADB" w14:textId="7B0ABDC9" w:rsidR="003F157F" w:rsidRDefault="003F157F" w:rsidP="003F157F">
      <w:pPr>
        <w:spacing w:line="360" w:lineRule="auto"/>
        <w:jc w:val="both"/>
        <w:rPr>
          <w:b/>
          <w:bCs/>
        </w:rPr>
      </w:pPr>
      <w:r>
        <w:t xml:space="preserve">The results presented in Table </w:t>
      </w:r>
      <w:r w:rsidR="0053565E">
        <w:t>2</w:t>
      </w:r>
      <w:r w:rsidR="008157C4">
        <w:t xml:space="preserve"> </w:t>
      </w:r>
      <w:r>
        <w:t xml:space="preserve">indicate </w:t>
      </w:r>
      <w:r w:rsidRPr="00492303">
        <w:t xml:space="preserve">that </w:t>
      </w:r>
      <w:r w:rsidR="00A36273">
        <w:t xml:space="preserve">the </w:t>
      </w:r>
      <w:r w:rsidRPr="00492303">
        <w:t xml:space="preserve">coronavirus outbreak </w:t>
      </w:r>
      <w:r>
        <w:t xml:space="preserve">and </w:t>
      </w:r>
      <w:r w:rsidRPr="00492303">
        <w:t xml:space="preserve">the slope of the yield curve had a </w:t>
      </w:r>
      <w:r w:rsidR="001D7945">
        <w:t xml:space="preserve">statistically </w:t>
      </w:r>
      <w:r w:rsidRPr="00492303">
        <w:t>significant effect on</w:t>
      </w:r>
      <w:r w:rsidR="00A36273">
        <w:t xml:space="preserve"> a</w:t>
      </w:r>
      <w:r w:rsidRPr="00492303">
        <w:t xml:space="preserve"> beta of banking sector.</w:t>
      </w:r>
    </w:p>
    <w:p w14:paraId="330FA4CD" w14:textId="7A32093C" w:rsidR="003F157F" w:rsidRDefault="003F157F" w:rsidP="003F157F">
      <w:pPr>
        <w:spacing w:line="360" w:lineRule="auto"/>
        <w:jc w:val="both"/>
        <w:rPr>
          <w:b/>
          <w:bCs/>
        </w:rPr>
      </w:pPr>
    </w:p>
    <w:p w14:paraId="6C994EE9" w14:textId="77777777" w:rsidR="003F157F" w:rsidRDefault="003F157F" w:rsidP="007F0607">
      <w:pPr>
        <w:jc w:val="both"/>
        <w:rPr>
          <w:b/>
          <w:bCs/>
        </w:rPr>
      </w:pPr>
    </w:p>
    <w:p w14:paraId="42164B7D" w14:textId="0C90F085" w:rsidR="00700A92" w:rsidRPr="006F6FD4" w:rsidRDefault="0044281A" w:rsidP="0044281A">
      <w:pPr>
        <w:jc w:val="both"/>
        <w:rPr>
          <w:b/>
          <w:bCs/>
          <w:sz w:val="22"/>
          <w:szCs w:val="22"/>
        </w:rPr>
      </w:pPr>
      <w:r w:rsidRPr="006F6FD4">
        <w:rPr>
          <w:b/>
          <w:bCs/>
          <w:sz w:val="22"/>
          <w:szCs w:val="22"/>
        </w:rPr>
        <w:t xml:space="preserve">Table </w:t>
      </w:r>
      <w:r w:rsidR="009C544A" w:rsidRPr="006F6FD4">
        <w:rPr>
          <w:b/>
          <w:bCs/>
          <w:sz w:val="22"/>
          <w:szCs w:val="22"/>
        </w:rPr>
        <w:t xml:space="preserve">2. Random effect regression results </w:t>
      </w:r>
      <w:r w:rsidR="00D05D95" w:rsidRPr="006F6FD4">
        <w:rPr>
          <w:b/>
          <w:bCs/>
          <w:sz w:val="22"/>
          <w:szCs w:val="22"/>
        </w:rPr>
        <w:t xml:space="preserve"> </w:t>
      </w:r>
    </w:p>
    <w:p w14:paraId="73CCAA13" w14:textId="6445902A" w:rsidR="00700A92" w:rsidRDefault="009E5A06" w:rsidP="00385887">
      <w:pPr>
        <w:jc w:val="center"/>
        <w:rPr>
          <w:b/>
          <w:bCs/>
        </w:rPr>
      </w:pPr>
      <w:r w:rsidRPr="009E5A06">
        <w:rPr>
          <w:b/>
          <w:bCs/>
          <w:noProof/>
        </w:rPr>
        <w:drawing>
          <wp:inline distT="0" distB="0" distL="0" distR="0" wp14:anchorId="5BB87A6A" wp14:editId="01D0BD00">
            <wp:extent cx="5101645" cy="1860088"/>
            <wp:effectExtent l="0" t="0" r="381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4"/>
                    <a:srcRect l="5534" t="13696" r="5407"/>
                    <a:stretch/>
                  </pic:blipFill>
                  <pic:spPr bwMode="auto">
                    <a:xfrm>
                      <a:off x="0" y="0"/>
                      <a:ext cx="5104455" cy="186111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DA53CFD" w14:textId="48BB9B25" w:rsidR="00B23673" w:rsidRPr="00C87790" w:rsidRDefault="00EA1C02" w:rsidP="00B23673">
      <w:pPr>
        <w:rPr>
          <w:sz w:val="20"/>
          <w:szCs w:val="20"/>
        </w:rPr>
      </w:pPr>
      <w:r>
        <w:rPr>
          <w:b/>
          <w:bCs/>
        </w:rPr>
        <w:t xml:space="preserve">            </w:t>
      </w:r>
      <w:r w:rsidR="00B23673" w:rsidRPr="00C87790">
        <w:rPr>
          <w:sz w:val="20"/>
          <w:szCs w:val="20"/>
        </w:rPr>
        <w:t>Signif</w:t>
      </w:r>
      <w:r w:rsidRPr="00C87790">
        <w:rPr>
          <w:sz w:val="20"/>
          <w:szCs w:val="20"/>
        </w:rPr>
        <w:t>icance</w:t>
      </w:r>
      <w:r w:rsidR="00B23673" w:rsidRPr="00C87790">
        <w:rPr>
          <w:sz w:val="20"/>
          <w:szCs w:val="20"/>
        </w:rPr>
        <w:t xml:space="preserve"> codes:  0 ‘***’ 0.001 ‘**’ 0.01 ‘*’ 0.05 ‘.’ 0.1 </w:t>
      </w:r>
      <w:proofErr w:type="gramStart"/>
      <w:r w:rsidR="00B23673" w:rsidRPr="00C87790">
        <w:rPr>
          <w:sz w:val="20"/>
          <w:szCs w:val="20"/>
        </w:rPr>
        <w:t>‘ ’</w:t>
      </w:r>
      <w:proofErr w:type="gramEnd"/>
      <w:r w:rsidR="00B23673" w:rsidRPr="00C87790">
        <w:rPr>
          <w:sz w:val="20"/>
          <w:szCs w:val="20"/>
        </w:rPr>
        <w:t xml:space="preserve"> 1</w:t>
      </w:r>
    </w:p>
    <w:p w14:paraId="0FB0339E" w14:textId="77777777" w:rsidR="004D23A6" w:rsidRPr="00C87790" w:rsidRDefault="004D23A6" w:rsidP="007F0607">
      <w:pPr>
        <w:jc w:val="both"/>
        <w:rPr>
          <w:sz w:val="20"/>
          <w:szCs w:val="20"/>
        </w:rPr>
      </w:pPr>
    </w:p>
    <w:p w14:paraId="75B8E1CD" w14:textId="3D8C119B" w:rsidR="004D23A6" w:rsidRPr="00492303" w:rsidRDefault="004D23A6" w:rsidP="007F0607">
      <w:pPr>
        <w:jc w:val="both"/>
      </w:pPr>
    </w:p>
    <w:p w14:paraId="719B44E3" w14:textId="7B02B984" w:rsidR="0026613B" w:rsidRDefault="00984CDE" w:rsidP="00374820">
      <w:pPr>
        <w:spacing w:line="360" w:lineRule="auto"/>
        <w:jc w:val="both"/>
      </w:pPr>
      <w:r w:rsidRPr="00492303">
        <w:t>The results suggest that the pandemic of COVID-19 increased the risk in</w:t>
      </w:r>
      <w:r w:rsidR="006062FD">
        <w:t xml:space="preserve"> the</w:t>
      </w:r>
      <w:r w:rsidRPr="00492303">
        <w:t xml:space="preserve"> banking sector which c</w:t>
      </w:r>
      <w:r w:rsidR="00385887">
        <w:t>ould</w:t>
      </w:r>
      <w:r w:rsidRPr="00492303">
        <w:t xml:space="preserve"> be linked to uncertainty.</w:t>
      </w:r>
      <w:r w:rsidR="00160C59">
        <w:t xml:space="preserve"> </w:t>
      </w:r>
      <w:r w:rsidR="00F01416">
        <w:t>Uncertainty increase</w:t>
      </w:r>
      <w:r w:rsidR="00B64F22">
        <w:t>d</w:t>
      </w:r>
      <w:r w:rsidR="002C1ED9">
        <w:t xml:space="preserve"> significantly</w:t>
      </w:r>
      <w:r w:rsidR="00F01416">
        <w:t xml:space="preserve"> during</w:t>
      </w:r>
      <w:r w:rsidR="00D02E1E">
        <w:t xml:space="preserve"> the</w:t>
      </w:r>
      <w:r w:rsidR="00F01416">
        <w:t xml:space="preserve"> COVID</w:t>
      </w:r>
      <w:r w:rsidR="003D45B3">
        <w:t>-</w:t>
      </w:r>
      <w:r w:rsidR="00F01416">
        <w:t xml:space="preserve">19 </w:t>
      </w:r>
      <w:r w:rsidR="00900130">
        <w:t xml:space="preserve">pandemic </w:t>
      </w:r>
      <w:r w:rsidR="00900130" w:rsidRPr="007C5625">
        <w:t>because</w:t>
      </w:r>
      <w:r w:rsidR="00160C59" w:rsidRPr="007C5625">
        <w:t xml:space="preserve"> of supply and demand shock</w:t>
      </w:r>
      <w:r w:rsidR="003D45B3">
        <w:t>s</w:t>
      </w:r>
      <w:r w:rsidR="00160C59" w:rsidRPr="007C5625">
        <w:t xml:space="preserve"> as well the government imposition of lockdowns</w:t>
      </w:r>
      <w:r w:rsidR="00F01416">
        <w:t>.</w:t>
      </w:r>
      <w:r w:rsidR="003A0A16">
        <w:t xml:space="preserve"> </w:t>
      </w:r>
      <w:r w:rsidRPr="00492303">
        <w:t xml:space="preserve">An increase in uncertainty of economic outlook can contribute to risk aversion among investors and banks </w:t>
      </w:r>
      <w:r w:rsidR="006A1F91">
        <w:t>and</w:t>
      </w:r>
      <w:r w:rsidRPr="00492303">
        <w:t xml:space="preserve"> lead to credit </w:t>
      </w:r>
      <w:r w:rsidRPr="002045B7">
        <w:t>tightening.</w:t>
      </w:r>
      <w:r w:rsidR="007C08FA">
        <w:t xml:space="preserve"> </w:t>
      </w:r>
      <w:r w:rsidR="00824F01">
        <w:t xml:space="preserve">Moreover, </w:t>
      </w:r>
      <w:r w:rsidR="00847845">
        <w:rPr>
          <w:rFonts w:cstheme="minorHAnsi"/>
        </w:rPr>
        <w:t xml:space="preserve">the </w:t>
      </w:r>
      <w:r w:rsidR="007C08FA">
        <w:rPr>
          <w:rFonts w:cstheme="minorHAnsi"/>
        </w:rPr>
        <w:t>bank problems or banking cris</w:t>
      </w:r>
      <w:r w:rsidR="00D02E1E">
        <w:rPr>
          <w:rFonts w:cstheme="minorHAnsi"/>
        </w:rPr>
        <w:t>e</w:t>
      </w:r>
      <w:r w:rsidR="007C08FA">
        <w:rPr>
          <w:rFonts w:cstheme="minorHAnsi"/>
        </w:rPr>
        <w:t xml:space="preserve">s </w:t>
      </w:r>
      <w:r w:rsidR="00820BBB">
        <w:rPr>
          <w:rFonts w:cstheme="minorHAnsi"/>
        </w:rPr>
        <w:t>are</w:t>
      </w:r>
      <w:r w:rsidR="007C08FA" w:rsidRPr="007C08FA">
        <w:rPr>
          <w:rFonts w:cstheme="minorHAnsi"/>
        </w:rPr>
        <w:t xml:space="preserve"> usually strongly connected </w:t>
      </w:r>
      <w:r w:rsidR="00F07A8B">
        <w:rPr>
          <w:rFonts w:cstheme="minorHAnsi"/>
        </w:rPr>
        <w:t>to</w:t>
      </w:r>
      <w:r w:rsidR="00D02E1E">
        <w:rPr>
          <w:rFonts w:cstheme="minorHAnsi"/>
        </w:rPr>
        <w:t xml:space="preserve"> the</w:t>
      </w:r>
      <w:r w:rsidR="007C08FA" w:rsidRPr="007C08FA">
        <w:rPr>
          <w:rFonts w:cstheme="minorHAnsi"/>
        </w:rPr>
        <w:t xml:space="preserve"> business cycle</w:t>
      </w:r>
      <w:r w:rsidR="007C08FA">
        <w:rPr>
          <w:rFonts w:cstheme="minorHAnsi"/>
        </w:rPr>
        <w:t>.</w:t>
      </w:r>
      <w:r w:rsidRPr="002045B7">
        <w:t xml:space="preserve"> </w:t>
      </w:r>
      <w:r w:rsidRPr="002045B7">
        <w:rPr>
          <w:rFonts w:cstheme="minorHAnsi"/>
        </w:rPr>
        <w:t>In times of economic prosperity, there is an increase in optimism concerning economic outlook and credit is usually widely available</w:t>
      </w:r>
      <w:r w:rsidR="00CE02EF" w:rsidRPr="002045B7">
        <w:rPr>
          <w:rFonts w:cstheme="minorHAnsi"/>
        </w:rPr>
        <w:t xml:space="preserve"> and tend</w:t>
      </w:r>
      <w:r w:rsidR="007C77FB">
        <w:rPr>
          <w:rFonts w:cstheme="minorHAnsi"/>
        </w:rPr>
        <w:t>s</w:t>
      </w:r>
      <w:r w:rsidR="00CE02EF" w:rsidRPr="002045B7">
        <w:rPr>
          <w:rFonts w:cstheme="minorHAnsi"/>
        </w:rPr>
        <w:t xml:space="preserve"> to be </w:t>
      </w:r>
      <w:r w:rsidR="005749B8" w:rsidRPr="002045B7">
        <w:rPr>
          <w:rFonts w:cstheme="minorHAnsi"/>
        </w:rPr>
        <w:t>elevated (</w:t>
      </w:r>
      <w:proofErr w:type="spellStart"/>
      <w:r w:rsidR="00CE02EF" w:rsidRPr="002045B7">
        <w:rPr>
          <w:rFonts w:cstheme="minorHAnsi"/>
          <w:noProof/>
        </w:rPr>
        <w:t>Jordà</w:t>
      </w:r>
      <w:proofErr w:type="spellEnd"/>
      <w:r w:rsidR="00CE02EF" w:rsidRPr="002045B7">
        <w:rPr>
          <w:rFonts w:cstheme="minorHAnsi"/>
          <w:noProof/>
        </w:rPr>
        <w:t xml:space="preserve"> </w:t>
      </w:r>
      <w:r w:rsidR="00CE02EF" w:rsidRPr="00437C9B">
        <w:rPr>
          <w:rFonts w:cstheme="minorHAnsi"/>
          <w:i/>
          <w:iCs/>
          <w:noProof/>
        </w:rPr>
        <w:t>et al.,</w:t>
      </w:r>
      <w:r w:rsidR="00CE02EF" w:rsidRPr="002045B7">
        <w:rPr>
          <w:rFonts w:cstheme="minorHAnsi"/>
          <w:noProof/>
        </w:rPr>
        <w:t xml:space="preserve"> 2011)</w:t>
      </w:r>
      <w:r w:rsidRPr="002045B7">
        <w:rPr>
          <w:rFonts w:cstheme="minorHAnsi"/>
        </w:rPr>
        <w:t xml:space="preserve">. Banks, </w:t>
      </w:r>
      <w:r w:rsidR="006F6FD4" w:rsidRPr="002045B7">
        <w:rPr>
          <w:rFonts w:cstheme="minorHAnsi"/>
        </w:rPr>
        <w:t>investors,</w:t>
      </w:r>
      <w:r w:rsidRPr="002045B7">
        <w:rPr>
          <w:rFonts w:cstheme="minorHAnsi"/>
        </w:rPr>
        <w:t xml:space="preserve"> and households are more likely to take a risk, which includes investing in more risky assets usually ﬁnanced by credit. When the economy slows down, investors become pessimistic and th</w:t>
      </w:r>
      <w:r w:rsidR="00847845">
        <w:rPr>
          <w:rFonts w:cstheme="minorHAnsi"/>
        </w:rPr>
        <w:t>is</w:t>
      </w:r>
      <w:r w:rsidRPr="002045B7">
        <w:rPr>
          <w:rFonts w:cstheme="minorHAnsi"/>
        </w:rPr>
        <w:t xml:space="preserve"> leads to a decline in the supply of credit, </w:t>
      </w:r>
      <w:r w:rsidRPr="002045B7">
        <w:t>which aﬀects ﬁnancial arrangements and can fuel further volatility in financial markets</w:t>
      </w:r>
      <w:r w:rsidR="009F1DC8" w:rsidRPr="002045B7">
        <w:t xml:space="preserve"> </w:t>
      </w:r>
      <w:r w:rsidR="00C06FA9" w:rsidRPr="002045B7">
        <w:rPr>
          <w:noProof/>
        </w:rPr>
        <w:t>(</w:t>
      </w:r>
      <w:r w:rsidR="00437C9B" w:rsidRPr="002045B7">
        <w:rPr>
          <w:noProof/>
        </w:rPr>
        <w:t>Gorton, 1998</w:t>
      </w:r>
      <w:r w:rsidR="00437C9B">
        <w:rPr>
          <w:noProof/>
        </w:rPr>
        <w:t xml:space="preserve">; </w:t>
      </w:r>
      <w:r w:rsidR="00C06FA9" w:rsidRPr="002045B7">
        <w:rPr>
          <w:noProof/>
        </w:rPr>
        <w:t>Borio and  Lowe, 2002)</w:t>
      </w:r>
      <w:r w:rsidRPr="002045B7">
        <w:t>.</w:t>
      </w:r>
      <w:r w:rsidRPr="007C5625">
        <w:t xml:space="preserve"> </w:t>
      </w:r>
    </w:p>
    <w:p w14:paraId="47CCDFD5" w14:textId="419F63F2" w:rsidR="00E26F95" w:rsidRDefault="00DC7E62" w:rsidP="00374820">
      <w:pPr>
        <w:spacing w:line="360" w:lineRule="auto"/>
        <w:jc w:val="both"/>
      </w:pPr>
      <w:r>
        <w:lastRenderedPageBreak/>
        <w:t>The results presented in Table 2 suggest that the effect of COVID</w:t>
      </w:r>
      <w:r w:rsidR="00C03E87">
        <w:t>-</w:t>
      </w:r>
      <w:r>
        <w:t>19 is significant but small. This is in line with findings in</w:t>
      </w:r>
      <w:r w:rsidR="00783874">
        <w:t xml:space="preserve"> the</w:t>
      </w:r>
      <w:r>
        <w:t xml:space="preserve"> literature. For example,</w:t>
      </w:r>
      <w:r w:rsidR="00044063">
        <w:t xml:space="preserve"> </w:t>
      </w:r>
      <w:proofErr w:type="spellStart"/>
      <w:r>
        <w:t>Carriero</w:t>
      </w:r>
      <w:proofErr w:type="spellEnd"/>
      <w:r>
        <w:t xml:space="preserve"> </w:t>
      </w:r>
      <w:r w:rsidRPr="00025CD1">
        <w:rPr>
          <w:i/>
          <w:iCs/>
        </w:rPr>
        <w:t>et al.</w:t>
      </w:r>
      <w:r>
        <w:t xml:space="preserve"> (2022) estimated that there was an increase in macroeconomic and financial uncertainty following</w:t>
      </w:r>
      <w:r w:rsidR="00722294">
        <w:t xml:space="preserve"> the</w:t>
      </w:r>
      <w:r>
        <w:t xml:space="preserve"> COVID</w:t>
      </w:r>
      <w:r w:rsidR="006918DE">
        <w:t>-</w:t>
      </w:r>
      <w:r>
        <w:t>19 pandemic which led to</w:t>
      </w:r>
      <w:r w:rsidR="00301BBC">
        <w:t xml:space="preserve"> a</w:t>
      </w:r>
      <w:r>
        <w:t xml:space="preserve"> decline in financial economic conditions.</w:t>
      </w:r>
      <w:r w:rsidR="00044063">
        <w:t xml:space="preserve"> However, the effect of </w:t>
      </w:r>
      <w:r w:rsidR="000E3BC3">
        <w:t>uncertainty</w:t>
      </w:r>
      <w:r w:rsidR="00044063">
        <w:t xml:space="preserve"> was smaller than</w:t>
      </w:r>
      <w:r w:rsidR="000E3BC3">
        <w:t xml:space="preserve"> changes </w:t>
      </w:r>
      <w:r w:rsidR="007D020C">
        <w:t>i</w:t>
      </w:r>
      <w:r w:rsidR="000E3BC3">
        <w:t xml:space="preserve">n macroeconomics and financial indicators. </w:t>
      </w:r>
    </w:p>
    <w:p w14:paraId="4D9F5F78" w14:textId="07342D6D" w:rsidR="007239FE" w:rsidRDefault="007239FE" w:rsidP="00374820">
      <w:pPr>
        <w:spacing w:line="360" w:lineRule="auto"/>
        <w:jc w:val="both"/>
      </w:pPr>
      <w:proofErr w:type="spellStart"/>
      <w:r>
        <w:t>Szczygielski</w:t>
      </w:r>
      <w:proofErr w:type="spellEnd"/>
      <w:r>
        <w:t xml:space="preserve"> </w:t>
      </w:r>
      <w:r w:rsidRPr="00274004">
        <w:rPr>
          <w:i/>
          <w:iCs/>
        </w:rPr>
        <w:t>et al.</w:t>
      </w:r>
      <w:r>
        <w:t xml:space="preserve"> (2022) found evidence that COVID-19 impacted not only</w:t>
      </w:r>
      <w:r w:rsidR="0092592E">
        <w:t xml:space="preserve"> the</w:t>
      </w:r>
      <w:r>
        <w:t xml:space="preserve"> financial sector but many global industries. Similarly, </w:t>
      </w:r>
      <w:r>
        <w:rPr>
          <w:noProof/>
        </w:rPr>
        <w:t>Xu (2021) confirmed that COV</w:t>
      </w:r>
      <w:r w:rsidR="003E3D77">
        <w:rPr>
          <w:noProof/>
        </w:rPr>
        <w:t>ID-</w:t>
      </w:r>
      <w:r>
        <w:rPr>
          <w:noProof/>
        </w:rPr>
        <w:t>19 had a negative impact on the financial market in Canada.</w:t>
      </w:r>
    </w:p>
    <w:p w14:paraId="75441E9A" w14:textId="37B5A600" w:rsidR="00197988" w:rsidRDefault="00846876" w:rsidP="00905E32">
      <w:pPr>
        <w:spacing w:line="360" w:lineRule="auto"/>
        <w:jc w:val="both"/>
        <w:rPr>
          <w:noProof/>
        </w:rPr>
      </w:pPr>
      <w:r w:rsidRPr="00EE0D94">
        <w:rPr>
          <w:color w:val="000000" w:themeColor="text1"/>
        </w:rPr>
        <w:t xml:space="preserve">Positive government bond </w:t>
      </w:r>
      <w:r w:rsidR="00CE02EF" w:rsidRPr="00EE0D94">
        <w:rPr>
          <w:color w:val="000000" w:themeColor="text1"/>
        </w:rPr>
        <w:t xml:space="preserve">yield </w:t>
      </w:r>
      <w:r w:rsidR="00320551" w:rsidRPr="00EE0D94">
        <w:rPr>
          <w:color w:val="000000" w:themeColor="text1"/>
        </w:rPr>
        <w:t>also</w:t>
      </w:r>
      <w:r w:rsidR="005607B2" w:rsidRPr="00EE0D94">
        <w:rPr>
          <w:color w:val="000000" w:themeColor="text1"/>
        </w:rPr>
        <w:t xml:space="preserve"> increase</w:t>
      </w:r>
      <w:r w:rsidR="00CA60C6">
        <w:rPr>
          <w:color w:val="000000" w:themeColor="text1"/>
        </w:rPr>
        <w:t>d</w:t>
      </w:r>
      <w:r w:rsidR="005607B2" w:rsidRPr="00EE0D94">
        <w:rPr>
          <w:color w:val="000000" w:themeColor="text1"/>
        </w:rPr>
        <w:t xml:space="preserve"> the risk in the banking sector. </w:t>
      </w:r>
      <w:r w:rsidR="00A141E2" w:rsidRPr="00EE0D94">
        <w:rPr>
          <w:color w:val="000000" w:themeColor="text1"/>
        </w:rPr>
        <w:t>The result</w:t>
      </w:r>
      <w:r w:rsidR="003C047D">
        <w:rPr>
          <w:color w:val="000000" w:themeColor="text1"/>
        </w:rPr>
        <w:t>s</w:t>
      </w:r>
      <w:r w:rsidR="00A141E2" w:rsidRPr="00EE0D94">
        <w:rPr>
          <w:color w:val="000000" w:themeColor="text1"/>
        </w:rPr>
        <w:t xml:space="preserve"> </w:t>
      </w:r>
      <w:r w:rsidR="003C047D">
        <w:rPr>
          <w:color w:val="000000" w:themeColor="text1"/>
        </w:rPr>
        <w:t>are</w:t>
      </w:r>
      <w:r w:rsidR="00A141E2" w:rsidRPr="00EE0D94">
        <w:rPr>
          <w:color w:val="000000" w:themeColor="text1"/>
        </w:rPr>
        <w:t xml:space="preserve"> in line with </w:t>
      </w:r>
      <w:r w:rsidR="00E93835">
        <w:rPr>
          <w:color w:val="000000" w:themeColor="text1"/>
        </w:rPr>
        <w:t>empirical findings in the literature</w:t>
      </w:r>
      <w:r w:rsidR="00D9351D">
        <w:rPr>
          <w:color w:val="000000" w:themeColor="text1"/>
        </w:rPr>
        <w:t>,</w:t>
      </w:r>
      <w:r w:rsidR="00A141E2" w:rsidRPr="00EE0D94">
        <w:rPr>
          <w:color w:val="000000" w:themeColor="text1"/>
        </w:rPr>
        <w:t xml:space="preserve"> for example</w:t>
      </w:r>
      <w:r w:rsidR="00912015">
        <w:rPr>
          <w:color w:val="000000" w:themeColor="text1"/>
        </w:rPr>
        <w:t>,</w:t>
      </w:r>
      <w:r w:rsidR="00CD22C4" w:rsidRPr="00EE0D94">
        <w:rPr>
          <w:color w:val="000000" w:themeColor="text1"/>
        </w:rPr>
        <w:t xml:space="preserve"> </w:t>
      </w:r>
      <w:r w:rsidR="00771BD4" w:rsidRPr="00EE0D94">
        <w:rPr>
          <w:noProof/>
          <w:color w:val="000000" w:themeColor="text1"/>
        </w:rPr>
        <w:t>OECD (2017)</w:t>
      </w:r>
      <w:r w:rsidR="003A3C25" w:rsidRPr="00EE0D94">
        <w:rPr>
          <w:color w:val="000000" w:themeColor="text1"/>
        </w:rPr>
        <w:t xml:space="preserve"> report </w:t>
      </w:r>
      <w:r w:rsidR="00A141E2" w:rsidRPr="00EE0D94">
        <w:rPr>
          <w:color w:val="000000" w:themeColor="text1"/>
        </w:rPr>
        <w:t>suggests that positive government bond yield can have a negative impact on the banks’ balance sheet.</w:t>
      </w:r>
      <w:r w:rsidR="00753FF7">
        <w:rPr>
          <w:color w:val="000000" w:themeColor="text1"/>
        </w:rPr>
        <w:t xml:space="preserve"> </w:t>
      </w:r>
      <w:r w:rsidR="005415D0" w:rsidRPr="00EE0D94">
        <w:rPr>
          <w:noProof/>
          <w:color w:val="000000" w:themeColor="text1"/>
        </w:rPr>
        <w:t xml:space="preserve">Aydemir </w:t>
      </w:r>
      <w:r w:rsidR="005E1CD1">
        <w:rPr>
          <w:noProof/>
          <w:color w:val="000000" w:themeColor="text1"/>
        </w:rPr>
        <w:t>and</w:t>
      </w:r>
      <w:r w:rsidR="005415D0" w:rsidRPr="00EE0D94">
        <w:rPr>
          <w:noProof/>
          <w:color w:val="000000" w:themeColor="text1"/>
        </w:rPr>
        <w:t xml:space="preserve"> Ovenc (2016)</w:t>
      </w:r>
      <w:r w:rsidR="00814EDF" w:rsidRPr="00EE0D94">
        <w:rPr>
          <w:noProof/>
          <w:color w:val="000000" w:themeColor="text1"/>
        </w:rPr>
        <w:t xml:space="preserve"> </w:t>
      </w:r>
      <w:r w:rsidR="00912015">
        <w:rPr>
          <w:noProof/>
          <w:color w:val="000000" w:themeColor="text1"/>
        </w:rPr>
        <w:t>confirmed</w:t>
      </w:r>
      <w:r w:rsidR="00EE0D94" w:rsidRPr="00EE0D94">
        <w:rPr>
          <w:noProof/>
          <w:color w:val="000000" w:themeColor="text1"/>
        </w:rPr>
        <w:t xml:space="preserve"> that in the short run </w:t>
      </w:r>
      <w:r w:rsidR="00EE0D94">
        <w:rPr>
          <w:noProof/>
          <w:color w:val="000000" w:themeColor="text1"/>
        </w:rPr>
        <w:t>t</w:t>
      </w:r>
      <w:r w:rsidR="00EE0D94" w:rsidRPr="00EE0D94">
        <w:rPr>
          <w:color w:val="000000" w:themeColor="text1"/>
        </w:rPr>
        <w:t>he slope of the yield curve</w:t>
      </w:r>
      <w:r w:rsidR="00EE0D94">
        <w:rPr>
          <w:color w:val="000000" w:themeColor="text1"/>
        </w:rPr>
        <w:t xml:space="preserve"> </w:t>
      </w:r>
      <w:r w:rsidR="00E21588">
        <w:rPr>
          <w:color w:val="000000" w:themeColor="text1"/>
        </w:rPr>
        <w:t>ha</w:t>
      </w:r>
      <w:r w:rsidR="00B66EBB">
        <w:rPr>
          <w:color w:val="000000" w:themeColor="text1"/>
        </w:rPr>
        <w:t>d</w:t>
      </w:r>
      <w:r w:rsidR="00EE0D94">
        <w:rPr>
          <w:color w:val="000000" w:themeColor="text1"/>
        </w:rPr>
        <w:t xml:space="preserve"> a negative effect on banks’ profit in emerging </w:t>
      </w:r>
      <w:r w:rsidR="00F46F3F">
        <w:rPr>
          <w:color w:val="000000" w:themeColor="text1"/>
        </w:rPr>
        <w:t>market economies but positive in the long run.</w:t>
      </w:r>
      <w:r w:rsidR="003A6ADB" w:rsidRPr="003A6ADB">
        <w:t xml:space="preserve"> </w:t>
      </w:r>
      <w:r w:rsidR="003A6ADB">
        <w:t xml:space="preserve">However, </w:t>
      </w:r>
      <w:r w:rsidR="003A6ADB">
        <w:rPr>
          <w:noProof/>
        </w:rPr>
        <w:t xml:space="preserve">Killins </w:t>
      </w:r>
      <w:r w:rsidR="003A6ADB" w:rsidRPr="00274004">
        <w:rPr>
          <w:i/>
          <w:iCs/>
          <w:noProof/>
        </w:rPr>
        <w:t>et al.</w:t>
      </w:r>
      <w:r w:rsidR="003A6ADB">
        <w:rPr>
          <w:noProof/>
        </w:rPr>
        <w:t xml:space="preserve"> (2021) found </w:t>
      </w:r>
      <w:r w:rsidR="003A6ADB">
        <w:t xml:space="preserve">evidence </w:t>
      </w:r>
      <w:r w:rsidR="004B122C">
        <w:t>of</w:t>
      </w:r>
      <w:r w:rsidR="00905E32">
        <w:t xml:space="preserve"> a</w:t>
      </w:r>
      <w:r w:rsidR="003A6ADB">
        <w:t xml:space="preserve"> positive impact of</w:t>
      </w:r>
      <w:r w:rsidR="00905E32">
        <w:t xml:space="preserve"> the</w:t>
      </w:r>
      <w:r w:rsidR="003A6ADB">
        <w:t xml:space="preserve"> yield curve on bank profit.</w:t>
      </w:r>
      <w:r w:rsidR="003A6ADB">
        <w:rPr>
          <w:noProof/>
        </w:rPr>
        <w:t xml:space="preserve"> </w:t>
      </w:r>
      <w:r w:rsidR="00C865B2">
        <w:rPr>
          <w:noProof/>
        </w:rPr>
        <w:t>Moreover, d</w:t>
      </w:r>
      <w:r w:rsidR="003C047D">
        <w:rPr>
          <w:noProof/>
        </w:rPr>
        <w:t xml:space="preserve">uring </w:t>
      </w:r>
      <w:r w:rsidR="00C865B2">
        <w:rPr>
          <w:noProof/>
        </w:rPr>
        <w:t xml:space="preserve">the </w:t>
      </w:r>
      <w:r w:rsidR="003C047D">
        <w:rPr>
          <w:noProof/>
        </w:rPr>
        <w:t>COVID-19 pandemic</w:t>
      </w:r>
      <w:r w:rsidR="009506F9">
        <w:rPr>
          <w:noProof/>
        </w:rPr>
        <w:t>,</w:t>
      </w:r>
      <w:r w:rsidR="003C047D">
        <w:rPr>
          <w:noProof/>
        </w:rPr>
        <w:t xml:space="preserve"> </w:t>
      </w:r>
      <w:r w:rsidR="00BA55D6">
        <w:rPr>
          <w:noProof/>
        </w:rPr>
        <w:t xml:space="preserve">sovereign risk was transmitted to </w:t>
      </w:r>
      <w:r w:rsidR="00905E32">
        <w:rPr>
          <w:noProof/>
        </w:rPr>
        <w:t xml:space="preserve">the </w:t>
      </w:r>
      <w:r w:rsidR="00BA55D6">
        <w:rPr>
          <w:noProof/>
        </w:rPr>
        <w:t>banking sector in Eurozone</w:t>
      </w:r>
      <w:r w:rsidR="003C047D">
        <w:rPr>
          <w:noProof/>
        </w:rPr>
        <w:t xml:space="preserve"> (González-Velasco </w:t>
      </w:r>
      <w:r w:rsidR="003C047D" w:rsidRPr="00896BAB">
        <w:rPr>
          <w:i/>
          <w:iCs/>
          <w:noProof/>
        </w:rPr>
        <w:t>et al.</w:t>
      </w:r>
      <w:r w:rsidR="00D9351D" w:rsidRPr="00896BAB">
        <w:rPr>
          <w:i/>
          <w:iCs/>
          <w:noProof/>
        </w:rPr>
        <w:t>,</w:t>
      </w:r>
      <w:r w:rsidR="003C047D">
        <w:rPr>
          <w:noProof/>
        </w:rPr>
        <w:t xml:space="preserve"> 2022)</w:t>
      </w:r>
      <w:r w:rsidR="00666C90">
        <w:rPr>
          <w:noProof/>
        </w:rPr>
        <w:t xml:space="preserve">. Similarly, </w:t>
      </w:r>
      <w:r w:rsidR="00197988">
        <w:rPr>
          <w:noProof/>
        </w:rPr>
        <w:t xml:space="preserve">Borri and diGiorgio (2022) proved that sovereign default risk affected risk in </w:t>
      </w:r>
      <w:r w:rsidR="003A6ADB">
        <w:rPr>
          <w:noProof/>
        </w:rPr>
        <w:t xml:space="preserve">the </w:t>
      </w:r>
      <w:r w:rsidR="00197988">
        <w:rPr>
          <w:noProof/>
        </w:rPr>
        <w:t>European ban</w:t>
      </w:r>
      <w:r w:rsidR="00180699">
        <w:rPr>
          <w:noProof/>
        </w:rPr>
        <w:t>ki</w:t>
      </w:r>
      <w:r w:rsidR="00197988">
        <w:rPr>
          <w:noProof/>
        </w:rPr>
        <w:t xml:space="preserve">ng sector. </w:t>
      </w:r>
    </w:p>
    <w:p w14:paraId="3D890688" w14:textId="1F595219" w:rsidR="00A17F29" w:rsidRPr="004E723E" w:rsidRDefault="00EB7FE5" w:rsidP="00A17F29">
      <w:pPr>
        <w:spacing w:line="360" w:lineRule="auto"/>
        <w:jc w:val="both"/>
        <w:rPr>
          <w:bCs/>
          <w:color w:val="000000" w:themeColor="text1"/>
        </w:rPr>
      </w:pPr>
      <w:r w:rsidRPr="001B3FDC">
        <w:rPr>
          <w:bCs/>
          <w:color w:val="000000" w:themeColor="text1"/>
        </w:rPr>
        <w:t xml:space="preserve">Overall, </w:t>
      </w:r>
      <w:r w:rsidR="00AF5C3A" w:rsidRPr="001B3FDC">
        <w:rPr>
          <w:bCs/>
          <w:color w:val="000000" w:themeColor="text1"/>
        </w:rPr>
        <w:t>the presented result</w:t>
      </w:r>
      <w:r w:rsidR="004F4AD0" w:rsidRPr="001B3FDC">
        <w:rPr>
          <w:bCs/>
          <w:color w:val="000000" w:themeColor="text1"/>
        </w:rPr>
        <w:t>s</w:t>
      </w:r>
      <w:r w:rsidR="00AF5C3A" w:rsidRPr="001B3FDC">
        <w:rPr>
          <w:bCs/>
          <w:color w:val="000000" w:themeColor="text1"/>
        </w:rPr>
        <w:t xml:space="preserve"> showed that </w:t>
      </w:r>
      <w:r w:rsidR="008F25A6">
        <w:rPr>
          <w:bCs/>
          <w:color w:val="000000" w:themeColor="text1"/>
        </w:rPr>
        <w:t xml:space="preserve">the </w:t>
      </w:r>
      <w:r w:rsidR="00AF5C3A" w:rsidRPr="001B3FDC">
        <w:rPr>
          <w:bCs/>
          <w:color w:val="000000" w:themeColor="text1"/>
        </w:rPr>
        <w:t>COVID</w:t>
      </w:r>
      <w:r w:rsidR="00D64F89">
        <w:rPr>
          <w:bCs/>
          <w:color w:val="000000" w:themeColor="text1"/>
        </w:rPr>
        <w:t>-</w:t>
      </w:r>
      <w:r w:rsidR="00AF5C3A" w:rsidRPr="001B3FDC">
        <w:rPr>
          <w:bCs/>
          <w:color w:val="000000" w:themeColor="text1"/>
        </w:rPr>
        <w:t xml:space="preserve">19 pandemic elevated uncertainty but did not lead to </w:t>
      </w:r>
      <w:r w:rsidR="00CF333A" w:rsidRPr="001B3FDC">
        <w:rPr>
          <w:bCs/>
          <w:color w:val="000000" w:themeColor="text1"/>
        </w:rPr>
        <w:t>a</w:t>
      </w:r>
      <w:r w:rsidR="00EE42B9">
        <w:rPr>
          <w:bCs/>
          <w:color w:val="000000" w:themeColor="text1"/>
        </w:rPr>
        <w:t xml:space="preserve"> systematic</w:t>
      </w:r>
      <w:r w:rsidR="00CF333A" w:rsidRPr="001B3FDC">
        <w:rPr>
          <w:bCs/>
          <w:color w:val="000000" w:themeColor="text1"/>
        </w:rPr>
        <w:t xml:space="preserve"> </w:t>
      </w:r>
      <w:r w:rsidR="00AF5C3A" w:rsidRPr="001B3FDC">
        <w:rPr>
          <w:bCs/>
          <w:color w:val="000000" w:themeColor="text1"/>
        </w:rPr>
        <w:t xml:space="preserve">banking crisis. </w:t>
      </w:r>
      <w:r w:rsidR="00CF333A" w:rsidRPr="001B3FDC">
        <w:rPr>
          <w:bCs/>
          <w:color w:val="000000" w:themeColor="text1"/>
        </w:rPr>
        <w:t>Since</w:t>
      </w:r>
      <w:r w:rsidR="002E168C">
        <w:rPr>
          <w:bCs/>
          <w:color w:val="000000" w:themeColor="text1"/>
        </w:rPr>
        <w:t xml:space="preserve"> the</w:t>
      </w:r>
      <w:r w:rsidR="00CF333A" w:rsidRPr="001B3FDC">
        <w:rPr>
          <w:bCs/>
          <w:color w:val="000000" w:themeColor="text1"/>
        </w:rPr>
        <w:t xml:space="preserve"> g</w:t>
      </w:r>
      <w:r w:rsidR="00907D8A">
        <w:rPr>
          <w:bCs/>
          <w:color w:val="000000" w:themeColor="text1"/>
        </w:rPr>
        <w:t>lobal</w:t>
      </w:r>
      <w:r w:rsidR="00CF333A" w:rsidRPr="001B3FDC">
        <w:rPr>
          <w:bCs/>
          <w:color w:val="000000" w:themeColor="text1"/>
        </w:rPr>
        <w:t xml:space="preserve"> financial crisis</w:t>
      </w:r>
      <w:r w:rsidR="00907D8A">
        <w:rPr>
          <w:bCs/>
          <w:color w:val="000000" w:themeColor="text1"/>
        </w:rPr>
        <w:t xml:space="preserve"> </w:t>
      </w:r>
      <w:r w:rsidR="002E168C">
        <w:rPr>
          <w:bCs/>
          <w:color w:val="000000" w:themeColor="text1"/>
        </w:rPr>
        <w:t xml:space="preserve">of </w:t>
      </w:r>
      <w:r w:rsidR="00907D8A">
        <w:rPr>
          <w:bCs/>
          <w:color w:val="000000" w:themeColor="text1"/>
        </w:rPr>
        <w:t>2007-2009</w:t>
      </w:r>
      <w:r w:rsidR="002E6009">
        <w:rPr>
          <w:bCs/>
          <w:color w:val="000000" w:themeColor="text1"/>
        </w:rPr>
        <w:t xml:space="preserve"> (</w:t>
      </w:r>
      <w:r w:rsidR="002E6009" w:rsidRPr="001B3FDC">
        <w:rPr>
          <w:bCs/>
          <w:color w:val="000000" w:themeColor="text1"/>
        </w:rPr>
        <w:t>GFC</w:t>
      </w:r>
      <w:r w:rsidR="00CF333A" w:rsidRPr="001B3FDC">
        <w:rPr>
          <w:bCs/>
          <w:color w:val="000000" w:themeColor="text1"/>
        </w:rPr>
        <w:t>) banks were well prepared</w:t>
      </w:r>
      <w:r w:rsidR="005A6EE1" w:rsidRPr="001B3FDC">
        <w:rPr>
          <w:bCs/>
          <w:color w:val="000000" w:themeColor="text1"/>
        </w:rPr>
        <w:t xml:space="preserve"> to</w:t>
      </w:r>
      <w:r w:rsidR="00CF333A" w:rsidRPr="001B3FDC">
        <w:rPr>
          <w:bCs/>
          <w:color w:val="000000" w:themeColor="text1"/>
        </w:rPr>
        <w:t xml:space="preserve"> withstand a crisis ma</w:t>
      </w:r>
      <w:r w:rsidR="000B00B9">
        <w:rPr>
          <w:bCs/>
          <w:color w:val="000000" w:themeColor="text1"/>
        </w:rPr>
        <w:t>i</w:t>
      </w:r>
      <w:r w:rsidR="00CF333A" w:rsidRPr="001B3FDC">
        <w:rPr>
          <w:bCs/>
          <w:color w:val="000000" w:themeColor="text1"/>
        </w:rPr>
        <w:t>nly due t</w:t>
      </w:r>
      <w:r w:rsidR="005A6EE1" w:rsidRPr="001B3FDC">
        <w:rPr>
          <w:bCs/>
          <w:color w:val="000000" w:themeColor="text1"/>
        </w:rPr>
        <w:t>o</w:t>
      </w:r>
      <w:r w:rsidR="00D67D9A">
        <w:rPr>
          <w:bCs/>
          <w:color w:val="000000" w:themeColor="text1"/>
        </w:rPr>
        <w:t xml:space="preserve"> the</w:t>
      </w:r>
      <w:r w:rsidR="005A6EE1" w:rsidRPr="001B3FDC">
        <w:rPr>
          <w:bCs/>
          <w:color w:val="000000" w:themeColor="text1"/>
        </w:rPr>
        <w:t xml:space="preserve"> new regulations introduce</w:t>
      </w:r>
      <w:r w:rsidR="008F25A6">
        <w:rPr>
          <w:bCs/>
          <w:color w:val="000000" w:themeColor="text1"/>
        </w:rPr>
        <w:t>d</w:t>
      </w:r>
      <w:r w:rsidR="005A6EE1" w:rsidRPr="001B3FDC">
        <w:rPr>
          <w:bCs/>
          <w:color w:val="000000" w:themeColor="text1"/>
        </w:rPr>
        <w:t xml:space="preserve"> after</w:t>
      </w:r>
      <w:r w:rsidR="005E19EA">
        <w:rPr>
          <w:bCs/>
          <w:color w:val="000000" w:themeColor="text1"/>
        </w:rPr>
        <w:t xml:space="preserve"> the </w:t>
      </w:r>
      <w:r w:rsidR="00D67D9A">
        <w:rPr>
          <w:bCs/>
          <w:color w:val="000000" w:themeColor="text1"/>
        </w:rPr>
        <w:t>GFC</w:t>
      </w:r>
      <w:r w:rsidR="005A6EE1" w:rsidRPr="001B3FDC">
        <w:rPr>
          <w:bCs/>
          <w:color w:val="000000" w:themeColor="text1"/>
        </w:rPr>
        <w:t xml:space="preserve">. </w:t>
      </w:r>
      <w:proofErr w:type="spellStart"/>
      <w:r w:rsidR="005A6EE1" w:rsidRPr="001B3FDC">
        <w:rPr>
          <w:color w:val="000000" w:themeColor="text1"/>
        </w:rPr>
        <w:t>Lewrick</w:t>
      </w:r>
      <w:proofErr w:type="spellEnd"/>
      <w:r w:rsidR="005A6EE1" w:rsidRPr="001B3FDC">
        <w:rPr>
          <w:color w:val="000000" w:themeColor="text1"/>
        </w:rPr>
        <w:t xml:space="preserve"> </w:t>
      </w:r>
      <w:r w:rsidR="005A6EE1" w:rsidRPr="0024667F">
        <w:rPr>
          <w:i/>
          <w:iCs/>
          <w:color w:val="000000" w:themeColor="text1"/>
        </w:rPr>
        <w:t>et al.</w:t>
      </w:r>
      <w:r w:rsidR="005A6EE1" w:rsidRPr="001B3FDC">
        <w:rPr>
          <w:color w:val="000000" w:themeColor="text1"/>
        </w:rPr>
        <w:t xml:space="preserve"> (2020)</w:t>
      </w:r>
      <w:r w:rsidR="005274F6" w:rsidRPr="001B3FDC">
        <w:rPr>
          <w:color w:val="000000" w:themeColor="text1"/>
        </w:rPr>
        <w:t xml:space="preserve"> showed that </w:t>
      </w:r>
      <w:r w:rsidR="00B12F28" w:rsidRPr="001B3FDC">
        <w:rPr>
          <w:color w:val="000000" w:themeColor="text1"/>
        </w:rPr>
        <w:t>globally</w:t>
      </w:r>
      <w:r w:rsidR="00D9351D">
        <w:rPr>
          <w:color w:val="000000" w:themeColor="text1"/>
        </w:rPr>
        <w:t>,</w:t>
      </w:r>
      <w:r w:rsidR="005274F6" w:rsidRPr="001B3FDC">
        <w:rPr>
          <w:color w:val="000000" w:themeColor="text1"/>
        </w:rPr>
        <w:t xml:space="preserve"> banks were </w:t>
      </w:r>
      <w:r w:rsidR="00B12F28" w:rsidRPr="001B3FDC">
        <w:rPr>
          <w:color w:val="000000" w:themeColor="text1"/>
        </w:rPr>
        <w:t>well</w:t>
      </w:r>
      <w:r w:rsidR="005274F6" w:rsidRPr="001B3FDC">
        <w:rPr>
          <w:color w:val="000000" w:themeColor="text1"/>
        </w:rPr>
        <w:t xml:space="preserve"> capitalised before</w:t>
      </w:r>
      <w:r w:rsidR="00A64124">
        <w:rPr>
          <w:color w:val="000000" w:themeColor="text1"/>
        </w:rPr>
        <w:t xml:space="preserve"> the</w:t>
      </w:r>
      <w:r w:rsidR="005274F6" w:rsidRPr="001B3FDC">
        <w:rPr>
          <w:color w:val="000000" w:themeColor="text1"/>
        </w:rPr>
        <w:t xml:space="preserve"> COVID</w:t>
      </w:r>
      <w:r w:rsidR="00F520F2">
        <w:rPr>
          <w:color w:val="000000" w:themeColor="text1"/>
        </w:rPr>
        <w:t>-</w:t>
      </w:r>
      <w:r w:rsidR="005274F6" w:rsidRPr="001B3FDC">
        <w:rPr>
          <w:color w:val="000000" w:themeColor="text1"/>
        </w:rPr>
        <w:t xml:space="preserve">19 pandemic with around </w:t>
      </w:r>
      <w:r w:rsidR="005274F6" w:rsidRPr="001B3FDC">
        <w:rPr>
          <w:color w:val="000000" w:themeColor="text1"/>
          <w:shd w:val="clear" w:color="auto" w:fill="FFFFFF"/>
        </w:rPr>
        <w:t xml:space="preserve">US$ 5 trillion of capital above their Pillar 1 regulatory requirements. </w:t>
      </w:r>
      <w:r w:rsidR="00947F0B" w:rsidRPr="001B3FDC">
        <w:rPr>
          <w:color w:val="000000" w:themeColor="text1"/>
          <w:shd w:val="clear" w:color="auto" w:fill="FFFFFF"/>
        </w:rPr>
        <w:t>Similar</w:t>
      </w:r>
      <w:r w:rsidR="00D55C1E" w:rsidRPr="001B3FDC">
        <w:rPr>
          <w:color w:val="000000" w:themeColor="text1"/>
          <w:shd w:val="clear" w:color="auto" w:fill="FFFFFF"/>
        </w:rPr>
        <w:t xml:space="preserve"> findings</w:t>
      </w:r>
      <w:r w:rsidR="005E19EA">
        <w:rPr>
          <w:color w:val="000000" w:themeColor="text1"/>
          <w:shd w:val="clear" w:color="auto" w:fill="FFFFFF"/>
        </w:rPr>
        <w:t xml:space="preserve"> </w:t>
      </w:r>
      <w:r w:rsidR="006F6FD4">
        <w:rPr>
          <w:color w:val="000000" w:themeColor="text1"/>
          <w:shd w:val="clear" w:color="auto" w:fill="FFFFFF"/>
        </w:rPr>
        <w:t>were</w:t>
      </w:r>
      <w:r w:rsidR="00D55C1E" w:rsidRPr="001B3FDC">
        <w:rPr>
          <w:color w:val="000000" w:themeColor="text1"/>
          <w:shd w:val="clear" w:color="auto" w:fill="FFFFFF"/>
        </w:rPr>
        <w:t xml:space="preserve"> reported by</w:t>
      </w:r>
      <w:r w:rsidR="005274F6" w:rsidRPr="001B3FDC">
        <w:rPr>
          <w:color w:val="000000" w:themeColor="text1"/>
          <w:shd w:val="clear" w:color="auto" w:fill="FFFFFF"/>
        </w:rPr>
        <w:t xml:space="preserve"> Acharya and Steffen (2020)</w:t>
      </w:r>
      <w:r w:rsidR="00D9351D">
        <w:rPr>
          <w:color w:val="000000" w:themeColor="text1"/>
          <w:shd w:val="clear" w:color="auto" w:fill="FFFFFF"/>
        </w:rPr>
        <w:t>;</w:t>
      </w:r>
      <w:r w:rsidR="00D55C1E" w:rsidRPr="001B3FDC">
        <w:rPr>
          <w:color w:val="000000" w:themeColor="text1"/>
          <w:shd w:val="clear" w:color="auto" w:fill="FFFFFF"/>
        </w:rPr>
        <w:t xml:space="preserve"> </w:t>
      </w:r>
      <w:r w:rsidR="00FB2511" w:rsidRPr="001B3FDC">
        <w:rPr>
          <w:color w:val="000000" w:themeColor="text1"/>
          <w:shd w:val="clear" w:color="auto" w:fill="FFFFFF"/>
        </w:rPr>
        <w:t xml:space="preserve">Li </w:t>
      </w:r>
      <w:r w:rsidR="00FB2511" w:rsidRPr="0024667F">
        <w:rPr>
          <w:i/>
          <w:iCs/>
          <w:color w:val="000000" w:themeColor="text1"/>
          <w:shd w:val="clear" w:color="auto" w:fill="FFFFFF"/>
        </w:rPr>
        <w:t>et al.</w:t>
      </w:r>
      <w:r w:rsidR="00FB2511" w:rsidRPr="001B3FDC">
        <w:rPr>
          <w:color w:val="000000" w:themeColor="text1"/>
          <w:shd w:val="clear" w:color="auto" w:fill="FFFFFF"/>
        </w:rPr>
        <w:t xml:space="preserve"> (2020)</w:t>
      </w:r>
      <w:r w:rsidR="00B71504">
        <w:rPr>
          <w:color w:val="000000" w:themeColor="text1"/>
          <w:shd w:val="clear" w:color="auto" w:fill="FFFFFF"/>
        </w:rPr>
        <w:t>,</w:t>
      </w:r>
      <w:r w:rsidR="00BE0510">
        <w:rPr>
          <w:color w:val="000000" w:themeColor="text1"/>
          <w:shd w:val="clear" w:color="auto" w:fill="FFFFFF"/>
        </w:rPr>
        <w:t xml:space="preserve"> </w:t>
      </w:r>
      <w:r w:rsidR="00BE0510" w:rsidRPr="00BE0510">
        <w:rPr>
          <w:color w:val="000000" w:themeColor="text1"/>
          <w:shd w:val="clear" w:color="auto" w:fill="FFFFFF"/>
        </w:rPr>
        <w:t xml:space="preserve">Cao </w:t>
      </w:r>
      <w:r w:rsidR="00B71504">
        <w:rPr>
          <w:color w:val="000000" w:themeColor="text1"/>
          <w:shd w:val="clear" w:color="auto" w:fill="FFFFFF"/>
        </w:rPr>
        <w:t>and</w:t>
      </w:r>
      <w:r w:rsidR="00BE0510" w:rsidRPr="00BE0510">
        <w:rPr>
          <w:color w:val="000000" w:themeColor="text1"/>
          <w:shd w:val="clear" w:color="auto" w:fill="FFFFFF"/>
        </w:rPr>
        <w:t xml:space="preserve"> Chou, </w:t>
      </w:r>
      <w:r w:rsidR="00A64124">
        <w:rPr>
          <w:color w:val="000000" w:themeColor="text1"/>
          <w:shd w:val="clear" w:color="auto" w:fill="FFFFFF"/>
        </w:rPr>
        <w:t>(</w:t>
      </w:r>
      <w:r w:rsidR="00BE0510" w:rsidRPr="00BE0510">
        <w:rPr>
          <w:color w:val="000000" w:themeColor="text1"/>
          <w:shd w:val="clear" w:color="auto" w:fill="FFFFFF"/>
        </w:rPr>
        <w:t>2022)</w:t>
      </w:r>
      <w:r w:rsidR="00B71504">
        <w:rPr>
          <w:color w:val="000000" w:themeColor="text1"/>
          <w:shd w:val="clear" w:color="auto" w:fill="FFFFFF"/>
        </w:rPr>
        <w:t xml:space="preserve"> and </w:t>
      </w:r>
      <w:proofErr w:type="spellStart"/>
      <w:r w:rsidR="00B71504" w:rsidRPr="00B71504">
        <w:rPr>
          <w:color w:val="000000" w:themeColor="text1"/>
          <w:shd w:val="clear" w:color="auto" w:fill="FFFFFF"/>
        </w:rPr>
        <w:t>Dursun</w:t>
      </w:r>
      <w:proofErr w:type="spellEnd"/>
      <w:r w:rsidR="00B71504" w:rsidRPr="00B71504">
        <w:rPr>
          <w:color w:val="000000" w:themeColor="text1"/>
          <w:shd w:val="clear" w:color="auto" w:fill="FFFFFF"/>
        </w:rPr>
        <w:t xml:space="preserve">-de </w:t>
      </w:r>
      <w:proofErr w:type="spellStart"/>
      <w:r w:rsidR="00B71504" w:rsidRPr="00B71504">
        <w:rPr>
          <w:color w:val="000000" w:themeColor="text1"/>
          <w:shd w:val="clear" w:color="auto" w:fill="FFFFFF"/>
        </w:rPr>
        <w:t>Neefa</w:t>
      </w:r>
      <w:proofErr w:type="spellEnd"/>
      <w:r w:rsidR="00B71504" w:rsidRPr="00B71504">
        <w:rPr>
          <w:color w:val="000000" w:themeColor="text1"/>
          <w:shd w:val="clear" w:color="auto" w:fill="FFFFFF"/>
        </w:rPr>
        <w:t xml:space="preserve"> </w:t>
      </w:r>
      <w:r w:rsidR="00B71504">
        <w:rPr>
          <w:color w:val="000000" w:themeColor="text1"/>
          <w:shd w:val="clear" w:color="auto" w:fill="FFFFFF"/>
        </w:rPr>
        <w:t xml:space="preserve">and </w:t>
      </w:r>
      <w:proofErr w:type="spellStart"/>
      <w:r w:rsidR="00B71504" w:rsidRPr="00B71504">
        <w:rPr>
          <w:color w:val="000000" w:themeColor="text1"/>
          <w:shd w:val="clear" w:color="auto" w:fill="FFFFFF"/>
        </w:rPr>
        <w:t>Schandlbauer</w:t>
      </w:r>
      <w:proofErr w:type="spellEnd"/>
      <w:r w:rsidR="00B71504" w:rsidRPr="00B71504">
        <w:rPr>
          <w:color w:val="000000" w:themeColor="text1"/>
          <w:shd w:val="clear" w:color="auto" w:fill="FFFFFF"/>
        </w:rPr>
        <w:t xml:space="preserve"> </w:t>
      </w:r>
      <w:r w:rsidR="006647DB">
        <w:rPr>
          <w:color w:val="000000" w:themeColor="text1"/>
          <w:shd w:val="clear" w:color="auto" w:fill="FFFFFF"/>
        </w:rPr>
        <w:t>(</w:t>
      </w:r>
      <w:r w:rsidR="00B71504" w:rsidRPr="00B71504">
        <w:rPr>
          <w:color w:val="000000" w:themeColor="text1"/>
          <w:shd w:val="clear" w:color="auto" w:fill="FFFFFF"/>
        </w:rPr>
        <w:t>2021)</w:t>
      </w:r>
      <w:r w:rsidR="006647DB">
        <w:rPr>
          <w:color w:val="000000" w:themeColor="text1"/>
          <w:shd w:val="clear" w:color="auto" w:fill="FFFFFF"/>
        </w:rPr>
        <w:t xml:space="preserve">. </w:t>
      </w:r>
      <w:r w:rsidR="001B3FDC" w:rsidRPr="001B3FDC">
        <w:rPr>
          <w:color w:val="000000" w:themeColor="text1"/>
          <w:shd w:val="clear" w:color="auto" w:fill="FFFFFF"/>
        </w:rPr>
        <w:t xml:space="preserve"> Additionally, after GFC new liquidity require</w:t>
      </w:r>
      <w:r w:rsidR="00060403">
        <w:rPr>
          <w:color w:val="000000" w:themeColor="text1"/>
          <w:shd w:val="clear" w:color="auto" w:fill="FFFFFF"/>
        </w:rPr>
        <w:t>men</w:t>
      </w:r>
      <w:r w:rsidR="001B3FDC" w:rsidRPr="001B3FDC">
        <w:rPr>
          <w:color w:val="000000" w:themeColor="text1"/>
          <w:shd w:val="clear" w:color="auto" w:fill="FFFFFF"/>
        </w:rPr>
        <w:t>t</w:t>
      </w:r>
      <w:r w:rsidR="00060403">
        <w:rPr>
          <w:color w:val="000000" w:themeColor="text1"/>
          <w:shd w:val="clear" w:color="auto" w:fill="FFFFFF"/>
        </w:rPr>
        <w:t>s</w:t>
      </w:r>
      <w:r w:rsidR="001B3FDC" w:rsidRPr="001B3FDC">
        <w:rPr>
          <w:color w:val="000000" w:themeColor="text1"/>
          <w:shd w:val="clear" w:color="auto" w:fill="FFFFFF"/>
        </w:rPr>
        <w:t xml:space="preserve"> for banks were introduced through </w:t>
      </w:r>
      <w:r w:rsidR="00212B94">
        <w:rPr>
          <w:color w:val="000000" w:themeColor="text1"/>
          <w:shd w:val="clear" w:color="auto" w:fill="FFFFFF"/>
        </w:rPr>
        <w:t xml:space="preserve">the </w:t>
      </w:r>
      <w:r w:rsidR="001B3FDC" w:rsidRPr="001B3FDC">
        <w:rPr>
          <w:color w:val="000000" w:themeColor="text1"/>
          <w:shd w:val="clear" w:color="auto" w:fill="FFFFFF"/>
        </w:rPr>
        <w:t xml:space="preserve">Basel III </w:t>
      </w:r>
      <w:r w:rsidR="00B12F28" w:rsidRPr="001B3FDC">
        <w:rPr>
          <w:color w:val="000000" w:themeColor="text1"/>
          <w:shd w:val="clear" w:color="auto" w:fill="FFFFFF"/>
        </w:rPr>
        <w:t>framework</w:t>
      </w:r>
      <w:r w:rsidR="006A7BBC" w:rsidRPr="004E723E">
        <w:rPr>
          <w:color w:val="000000" w:themeColor="text1"/>
          <w:shd w:val="clear" w:color="auto" w:fill="FFFFFF"/>
        </w:rPr>
        <w:t>:</w:t>
      </w:r>
      <w:r w:rsidR="001B3FDC" w:rsidRPr="004E723E">
        <w:rPr>
          <w:color w:val="000000" w:themeColor="text1"/>
          <w:shd w:val="clear" w:color="auto" w:fill="FFFFFF"/>
        </w:rPr>
        <w:t xml:space="preserve"> </w:t>
      </w:r>
      <w:r w:rsidR="001B3FDC" w:rsidRPr="004E723E">
        <w:rPr>
          <w:color w:val="000000" w:themeColor="text1"/>
        </w:rPr>
        <w:t>the LCR and the Net Stable Funding Ratio (NSFR)</w:t>
      </w:r>
      <w:r w:rsidR="006A7BBC" w:rsidRPr="004E723E">
        <w:rPr>
          <w:color w:val="000000" w:themeColor="text1"/>
        </w:rPr>
        <w:t xml:space="preserve">. </w:t>
      </w:r>
      <w:r w:rsidR="00174CD5" w:rsidRPr="004E723E">
        <w:rPr>
          <w:color w:val="000000" w:themeColor="text1"/>
        </w:rPr>
        <w:t>These</w:t>
      </w:r>
      <w:r w:rsidR="006A7BBC" w:rsidRPr="004E723E">
        <w:rPr>
          <w:color w:val="000000" w:themeColor="text1"/>
        </w:rPr>
        <w:t xml:space="preserve"> liquidity measures r</w:t>
      </w:r>
      <w:r w:rsidR="00174CD5" w:rsidRPr="004E723E">
        <w:rPr>
          <w:color w:val="000000" w:themeColor="text1"/>
        </w:rPr>
        <w:t>equire</w:t>
      </w:r>
      <w:r w:rsidR="003850D3">
        <w:rPr>
          <w:color w:val="000000" w:themeColor="text1"/>
        </w:rPr>
        <w:t>d</w:t>
      </w:r>
      <w:r w:rsidR="00174CD5" w:rsidRPr="004E723E">
        <w:rPr>
          <w:color w:val="000000" w:themeColor="text1"/>
        </w:rPr>
        <w:t xml:space="preserve"> banks to have an adequate number of high liquidity assets (LCR) and to maintain</w:t>
      </w:r>
      <w:r w:rsidR="003850D3">
        <w:rPr>
          <w:color w:val="000000" w:themeColor="text1"/>
        </w:rPr>
        <w:t xml:space="preserve"> a</w:t>
      </w:r>
      <w:r w:rsidR="00174CD5" w:rsidRPr="004E723E">
        <w:rPr>
          <w:color w:val="000000" w:themeColor="text1"/>
        </w:rPr>
        <w:t xml:space="preserve"> stable funding profile </w:t>
      </w:r>
      <w:r w:rsidR="00635622" w:rsidRPr="004E723E">
        <w:rPr>
          <w:color w:val="000000" w:themeColor="text1"/>
        </w:rPr>
        <w:t>regarding</w:t>
      </w:r>
      <w:r w:rsidR="00AB79C8" w:rsidRPr="004E723E">
        <w:rPr>
          <w:color w:val="000000" w:themeColor="text1"/>
        </w:rPr>
        <w:t xml:space="preserve"> off</w:t>
      </w:r>
      <w:r w:rsidR="001016F3">
        <w:rPr>
          <w:color w:val="000000" w:themeColor="text1"/>
        </w:rPr>
        <w:t>-</w:t>
      </w:r>
      <w:r w:rsidR="00AB79C8" w:rsidRPr="004E723E">
        <w:rPr>
          <w:color w:val="000000" w:themeColor="text1"/>
        </w:rPr>
        <w:t>balance sheet (NSFR)</w:t>
      </w:r>
      <w:r w:rsidR="00A17F29" w:rsidRPr="004E723E">
        <w:rPr>
          <w:color w:val="000000" w:themeColor="text1"/>
        </w:rPr>
        <w:t xml:space="preserve"> (Duncan </w:t>
      </w:r>
      <w:r w:rsidR="00A17F29" w:rsidRPr="0024667F">
        <w:rPr>
          <w:i/>
          <w:iCs/>
          <w:color w:val="000000" w:themeColor="text1"/>
        </w:rPr>
        <w:t>et al.,</w:t>
      </w:r>
      <w:r w:rsidR="00A17F29" w:rsidRPr="004E723E">
        <w:rPr>
          <w:color w:val="000000" w:themeColor="text1"/>
        </w:rPr>
        <w:t xml:space="preserve"> 2022). </w:t>
      </w:r>
    </w:p>
    <w:p w14:paraId="42542B46" w14:textId="3346E763" w:rsidR="0021446C" w:rsidRPr="006A11D7" w:rsidRDefault="00E43CE1" w:rsidP="006A11D7">
      <w:pPr>
        <w:spacing w:line="360" w:lineRule="auto"/>
        <w:jc w:val="both"/>
        <w:rPr>
          <w:bCs/>
        </w:rPr>
      </w:pPr>
      <w:r>
        <w:t xml:space="preserve">Although banks </w:t>
      </w:r>
      <w:r w:rsidR="00277C6B">
        <w:t>were</w:t>
      </w:r>
      <w:r>
        <w:t xml:space="preserve"> well prepared for</w:t>
      </w:r>
      <w:r w:rsidR="00B25623">
        <w:t xml:space="preserve"> the COVID</w:t>
      </w:r>
      <w:r w:rsidR="007C229C">
        <w:t>-</w:t>
      </w:r>
      <w:r w:rsidR="00B25623">
        <w:t>19</w:t>
      </w:r>
      <w:r>
        <w:t xml:space="preserve"> crisis</w:t>
      </w:r>
      <w:r w:rsidR="00D9351D">
        <w:t>,</w:t>
      </w:r>
      <w:r>
        <w:t xml:space="preserve"> </w:t>
      </w:r>
      <w:r w:rsidR="001B4796">
        <w:rPr>
          <w:bCs/>
        </w:rPr>
        <w:t xml:space="preserve">the results presented </w:t>
      </w:r>
      <w:r w:rsidR="00280721">
        <w:rPr>
          <w:bCs/>
        </w:rPr>
        <w:t>in this study</w:t>
      </w:r>
      <w:r w:rsidR="001B4796">
        <w:rPr>
          <w:bCs/>
        </w:rPr>
        <w:t xml:space="preserve"> can be also used by </w:t>
      </w:r>
      <w:r w:rsidR="00277C6B">
        <w:rPr>
          <w:bCs/>
        </w:rPr>
        <w:t xml:space="preserve">the </w:t>
      </w:r>
      <w:r w:rsidR="001B4796">
        <w:rPr>
          <w:bCs/>
        </w:rPr>
        <w:t>authorities to implement and design</w:t>
      </w:r>
      <w:r w:rsidR="0024191F">
        <w:rPr>
          <w:bCs/>
        </w:rPr>
        <w:t xml:space="preserve"> </w:t>
      </w:r>
      <w:r w:rsidR="001B4796">
        <w:rPr>
          <w:bCs/>
        </w:rPr>
        <w:t xml:space="preserve">policies and regulations to prevent </w:t>
      </w:r>
      <w:r w:rsidR="009D0134">
        <w:rPr>
          <w:bCs/>
        </w:rPr>
        <w:t>potential</w:t>
      </w:r>
      <w:r w:rsidR="001B4796">
        <w:rPr>
          <w:bCs/>
        </w:rPr>
        <w:t xml:space="preserve"> banking stress. </w:t>
      </w:r>
      <w:r w:rsidR="00C179BD">
        <w:t xml:space="preserve">Additionally, </w:t>
      </w:r>
      <w:r w:rsidR="00277C6B">
        <w:t xml:space="preserve">the </w:t>
      </w:r>
      <w:r w:rsidR="00C179BD">
        <w:t>COVID</w:t>
      </w:r>
      <w:r w:rsidR="007C229C">
        <w:t>-1</w:t>
      </w:r>
      <w:r w:rsidR="00C179BD">
        <w:t>9 pandemic</w:t>
      </w:r>
      <w:r w:rsidR="00F749BD">
        <w:t>’s</w:t>
      </w:r>
      <w:r w:rsidR="00C179BD">
        <w:t xml:space="preserve"> effect on the banking sector help</w:t>
      </w:r>
      <w:r w:rsidR="00277C6B">
        <w:t>s</w:t>
      </w:r>
      <w:r w:rsidR="00C179BD">
        <w:t xml:space="preserve"> to </w:t>
      </w:r>
      <w:r w:rsidR="00C7558E">
        <w:t>enhance knowledge o</w:t>
      </w:r>
      <w:r w:rsidR="00277C6B">
        <w:t>f</w:t>
      </w:r>
      <w:r w:rsidR="00C7558E">
        <w:t xml:space="preserve"> </w:t>
      </w:r>
      <w:r w:rsidR="00E02859">
        <w:t>the banking</w:t>
      </w:r>
      <w:r w:rsidR="00C7558E">
        <w:t xml:space="preserve"> sector</w:t>
      </w:r>
      <w:r w:rsidR="003A791A">
        <w:t xml:space="preserve"> stability</w:t>
      </w:r>
      <w:r w:rsidR="009021B7">
        <w:t>.</w:t>
      </w:r>
    </w:p>
    <w:p w14:paraId="3869932D" w14:textId="77777777" w:rsidR="00FE274E" w:rsidRPr="00492303" w:rsidRDefault="00FE274E" w:rsidP="00F458C6">
      <w:pPr>
        <w:jc w:val="both"/>
        <w:rPr>
          <w:b/>
        </w:rPr>
      </w:pPr>
    </w:p>
    <w:p w14:paraId="627260A7" w14:textId="77777777" w:rsidR="00B90933" w:rsidRDefault="00B90933" w:rsidP="00F458C6">
      <w:pPr>
        <w:jc w:val="both"/>
        <w:rPr>
          <w:b/>
        </w:rPr>
      </w:pPr>
    </w:p>
    <w:p w14:paraId="32789F8B" w14:textId="15A1276E" w:rsidR="00F458C6" w:rsidRDefault="00F458C6" w:rsidP="00F458C6">
      <w:pPr>
        <w:jc w:val="both"/>
        <w:rPr>
          <w:b/>
        </w:rPr>
      </w:pPr>
      <w:r w:rsidRPr="00492303">
        <w:rPr>
          <w:b/>
        </w:rPr>
        <w:lastRenderedPageBreak/>
        <w:t>Conclusions</w:t>
      </w:r>
    </w:p>
    <w:p w14:paraId="4A9312A7" w14:textId="77777777" w:rsidR="00B257A3" w:rsidRPr="00492303" w:rsidRDefault="00B257A3" w:rsidP="00F458C6">
      <w:pPr>
        <w:jc w:val="both"/>
        <w:rPr>
          <w:b/>
        </w:rPr>
      </w:pPr>
    </w:p>
    <w:p w14:paraId="5147CF89" w14:textId="77777777" w:rsidR="00BA4097" w:rsidRDefault="009D0B7E" w:rsidP="0046239D">
      <w:pPr>
        <w:spacing w:line="360" w:lineRule="auto"/>
        <w:jc w:val="both"/>
      </w:pPr>
      <w:r>
        <w:t xml:space="preserve">This study documented </w:t>
      </w:r>
      <w:r w:rsidR="00B9282D">
        <w:t>the impact of COVID</w:t>
      </w:r>
      <w:r w:rsidR="003E17E7">
        <w:t>-</w:t>
      </w:r>
      <w:r w:rsidR="00B9282D">
        <w:t>19 on the banking sectors in selected countries</w:t>
      </w:r>
      <w:r w:rsidR="00EF4F55">
        <w:t>.</w:t>
      </w:r>
      <w:r w:rsidR="003D42D8">
        <w:t xml:space="preserve"> </w:t>
      </w:r>
    </w:p>
    <w:p w14:paraId="3140B1F3" w14:textId="755F071A" w:rsidR="00BA4097" w:rsidRDefault="00BA4097" w:rsidP="0046239D">
      <w:pPr>
        <w:spacing w:line="360" w:lineRule="auto"/>
        <w:jc w:val="both"/>
      </w:pPr>
      <w:r>
        <w:t>The Covid</w:t>
      </w:r>
      <w:r w:rsidR="00D872DB">
        <w:t>-</w:t>
      </w:r>
      <w:r>
        <w:t xml:space="preserve">19 pandemic had </w:t>
      </w:r>
      <w:r w:rsidR="00534B32">
        <w:t xml:space="preserve">a </w:t>
      </w:r>
      <w:r>
        <w:t>negative impact on ma</w:t>
      </w:r>
      <w:r w:rsidR="003D1C1F">
        <w:t>n</w:t>
      </w:r>
      <w:r>
        <w:t>y sectors of</w:t>
      </w:r>
      <w:r w:rsidR="00C05612">
        <w:t xml:space="preserve"> the</w:t>
      </w:r>
      <w:r>
        <w:t xml:space="preserve"> </w:t>
      </w:r>
      <w:r w:rsidR="002B3DDF">
        <w:t>economy,</w:t>
      </w:r>
      <w:r>
        <w:t xml:space="preserve"> </w:t>
      </w:r>
      <w:r w:rsidR="00D84D29">
        <w:t>but</w:t>
      </w:r>
      <w:r w:rsidR="007C4120">
        <w:t xml:space="preserve"> it</w:t>
      </w:r>
      <w:r w:rsidR="00F25E38">
        <w:t xml:space="preserve"> is especially important to </w:t>
      </w:r>
      <w:r w:rsidR="00570290">
        <w:t>analyse</w:t>
      </w:r>
      <w:r w:rsidR="002B3DDF">
        <w:t xml:space="preserve"> the</w:t>
      </w:r>
      <w:r w:rsidR="00570290">
        <w:t xml:space="preserve"> banking</w:t>
      </w:r>
      <w:r w:rsidR="003D1C1F">
        <w:t xml:space="preserve"> sector </w:t>
      </w:r>
      <w:r w:rsidR="00F90FDA">
        <w:t xml:space="preserve">as it </w:t>
      </w:r>
      <w:r w:rsidR="00276D52">
        <w:t>plays</w:t>
      </w:r>
      <w:r w:rsidR="00F90FDA">
        <w:t xml:space="preserve"> a crucial role</w:t>
      </w:r>
      <w:r w:rsidR="00074CEC">
        <w:t xml:space="preserve"> in the economy</w:t>
      </w:r>
      <w:r w:rsidR="003D1C1F">
        <w:t xml:space="preserve"> as </w:t>
      </w:r>
      <w:r w:rsidR="00534B32">
        <w:t xml:space="preserve">the </w:t>
      </w:r>
      <w:r w:rsidR="003D1C1F">
        <w:t>financial intermediator</w:t>
      </w:r>
      <w:r w:rsidR="007C4120">
        <w:t>.</w:t>
      </w:r>
    </w:p>
    <w:p w14:paraId="24A056BD" w14:textId="40423E2F" w:rsidR="0046239D" w:rsidRPr="00EB7FE5" w:rsidRDefault="002B3DDF" w:rsidP="0046239D">
      <w:pPr>
        <w:spacing w:line="360" w:lineRule="auto"/>
        <w:jc w:val="both"/>
        <w:rPr>
          <w:bCs/>
        </w:rPr>
      </w:pPr>
      <w:r>
        <w:t>A b</w:t>
      </w:r>
      <w:r w:rsidR="00CB4369">
        <w:t xml:space="preserve">eta of banking sector was used to assess the </w:t>
      </w:r>
      <w:r w:rsidR="00734884">
        <w:t>extent</w:t>
      </w:r>
      <w:r w:rsidR="00CB4369">
        <w:t xml:space="preserve"> of</w:t>
      </w:r>
      <w:r w:rsidR="00734884">
        <w:t xml:space="preserve"> </w:t>
      </w:r>
      <w:r w:rsidR="00CB4369">
        <w:t>stress</w:t>
      </w:r>
      <w:r w:rsidR="00734884">
        <w:t xml:space="preserve"> in</w:t>
      </w:r>
      <w:r>
        <w:t xml:space="preserve"> the</w:t>
      </w:r>
      <w:r w:rsidR="00734884">
        <w:t xml:space="preserve"> banking sector. </w:t>
      </w:r>
      <w:r w:rsidR="0046239D">
        <w:t xml:space="preserve">Beta indicated </w:t>
      </w:r>
      <w:r w:rsidR="00CC5EA2">
        <w:t>an</w:t>
      </w:r>
      <w:r w:rsidR="0046239D">
        <w:t xml:space="preserve"> increase</w:t>
      </w:r>
      <w:r w:rsidR="00534B32">
        <w:t xml:space="preserve"> in</w:t>
      </w:r>
      <w:r w:rsidR="0046239D">
        <w:t xml:space="preserve"> banking </w:t>
      </w:r>
      <w:r>
        <w:t>stress</w:t>
      </w:r>
      <w:r w:rsidR="0046239D">
        <w:t xml:space="preserve"> but did not confirm a systematic banking crisis.</w:t>
      </w:r>
      <w:r w:rsidR="00AA7E72">
        <w:t xml:space="preserve"> </w:t>
      </w:r>
      <w:r w:rsidR="00D6073C">
        <w:t>However, the</w:t>
      </w:r>
      <w:r w:rsidR="00CF373B">
        <w:t xml:space="preserve"> </w:t>
      </w:r>
      <w:r w:rsidR="00093F97">
        <w:t>results of</w:t>
      </w:r>
      <w:r>
        <w:t xml:space="preserve"> the</w:t>
      </w:r>
      <w:r w:rsidR="00093F97">
        <w:t xml:space="preserve"> </w:t>
      </w:r>
      <w:r w:rsidR="000858A2">
        <w:t>panel</w:t>
      </w:r>
      <w:r w:rsidR="00CF373B">
        <w:t xml:space="preserve"> data model </w:t>
      </w:r>
      <w:r w:rsidR="00FF27CE">
        <w:t>showed</w:t>
      </w:r>
      <w:r w:rsidR="00CF373B">
        <w:t xml:space="preserve"> that </w:t>
      </w:r>
      <w:r w:rsidR="00AA7E72">
        <w:t>COVID</w:t>
      </w:r>
      <w:r w:rsidR="00426566">
        <w:t>-</w:t>
      </w:r>
      <w:r w:rsidR="00AA7E72">
        <w:t xml:space="preserve">19 and </w:t>
      </w:r>
      <w:r w:rsidR="00A37FBA" w:rsidRPr="00EE0D94">
        <w:rPr>
          <w:color w:val="000000" w:themeColor="text1"/>
        </w:rPr>
        <w:t>government bond yield</w:t>
      </w:r>
      <w:r w:rsidR="00AA7E72">
        <w:t xml:space="preserve"> </w:t>
      </w:r>
      <w:r>
        <w:t>increased the</w:t>
      </w:r>
      <w:r w:rsidR="00AA7E72">
        <w:t xml:space="preserve"> </w:t>
      </w:r>
      <w:r w:rsidR="001A3BAF">
        <w:t>risk</w:t>
      </w:r>
      <w:r w:rsidR="003D6989">
        <w:t xml:space="preserve"> in</w:t>
      </w:r>
      <w:r w:rsidR="001A3BAF">
        <w:t xml:space="preserve"> the</w:t>
      </w:r>
      <w:r w:rsidR="00AA7E72">
        <w:t xml:space="preserve"> banking sector</w:t>
      </w:r>
      <w:r w:rsidR="00C747FC">
        <w:t xml:space="preserve">. </w:t>
      </w:r>
      <w:r w:rsidR="001A3BAF">
        <w:t>The higher risk in the banking sector can be linked to</w:t>
      </w:r>
      <w:r w:rsidR="005D3AA6">
        <w:t xml:space="preserve"> higher</w:t>
      </w:r>
      <w:r>
        <w:t xml:space="preserve"> </w:t>
      </w:r>
      <w:r w:rsidR="003D6989">
        <w:t xml:space="preserve">uncertainty during </w:t>
      </w:r>
      <w:r w:rsidR="00FF27CE">
        <w:t xml:space="preserve">the </w:t>
      </w:r>
      <w:r w:rsidR="003D6989">
        <w:t>pandemic</w:t>
      </w:r>
      <w:r w:rsidR="00047335">
        <w:t xml:space="preserve"> </w:t>
      </w:r>
      <w:r w:rsidR="006C48D7">
        <w:t>and</w:t>
      </w:r>
      <w:r w:rsidR="00047335">
        <w:t xml:space="preserve"> </w:t>
      </w:r>
      <w:r>
        <w:t>a</w:t>
      </w:r>
      <w:r w:rsidR="006E52F1">
        <w:t xml:space="preserve"> </w:t>
      </w:r>
      <w:r w:rsidR="00047335">
        <w:t>decrease</w:t>
      </w:r>
      <w:r w:rsidR="00CD3D1F">
        <w:t xml:space="preserve"> </w:t>
      </w:r>
      <w:r w:rsidR="002D1321">
        <w:t>in economic</w:t>
      </w:r>
      <w:r w:rsidR="00047335">
        <w:t xml:space="preserve"> growth.</w:t>
      </w:r>
      <w:r w:rsidR="0064344F">
        <w:t xml:space="preserve"> </w:t>
      </w:r>
      <w:r w:rsidR="00927664">
        <w:t>Further research</w:t>
      </w:r>
      <w:r w:rsidR="0064344F">
        <w:t xml:space="preserve"> would benefit from investigating if </w:t>
      </w:r>
      <w:r w:rsidR="0064344F">
        <w:rPr>
          <w:rFonts w:cstheme="minorHAnsi"/>
        </w:rPr>
        <w:t>d</w:t>
      </w:r>
      <w:r w:rsidR="0064344F" w:rsidRPr="00492303">
        <w:rPr>
          <w:rFonts w:cstheme="minorHAnsi"/>
        </w:rPr>
        <w:t xml:space="preserve">eteriorating economic </w:t>
      </w:r>
      <w:r w:rsidR="00D01F5F" w:rsidRPr="00492303">
        <w:rPr>
          <w:rFonts w:cstheme="minorHAnsi"/>
        </w:rPr>
        <w:t>conditions</w:t>
      </w:r>
      <w:r w:rsidR="00D01F5F">
        <w:rPr>
          <w:rFonts w:cstheme="minorHAnsi"/>
        </w:rPr>
        <w:t xml:space="preserve"> </w:t>
      </w:r>
      <w:r w:rsidR="00E96ADE" w:rsidRPr="00492303">
        <w:rPr>
          <w:rFonts w:cstheme="minorHAnsi"/>
        </w:rPr>
        <w:t>decrease</w:t>
      </w:r>
      <w:r w:rsidR="00E96ADE">
        <w:rPr>
          <w:rFonts w:cstheme="minorHAnsi"/>
        </w:rPr>
        <w:t>d</w:t>
      </w:r>
      <w:r w:rsidR="0064344F" w:rsidRPr="00492303">
        <w:rPr>
          <w:rFonts w:cstheme="minorHAnsi"/>
        </w:rPr>
        <w:t xml:space="preserve"> banking sector profit and </w:t>
      </w:r>
      <w:r w:rsidR="00695366" w:rsidRPr="00492303">
        <w:rPr>
          <w:rFonts w:cstheme="minorHAnsi"/>
        </w:rPr>
        <w:t>increase</w:t>
      </w:r>
      <w:r w:rsidR="00695366">
        <w:rPr>
          <w:rFonts w:cstheme="minorHAnsi"/>
        </w:rPr>
        <w:t>d</w:t>
      </w:r>
      <w:r w:rsidR="0064344F" w:rsidRPr="00492303">
        <w:rPr>
          <w:rFonts w:cstheme="minorHAnsi"/>
        </w:rPr>
        <w:t xml:space="preserve"> the ratio of non-performing loans.</w:t>
      </w:r>
    </w:p>
    <w:p w14:paraId="4A097A82" w14:textId="6895217F" w:rsidR="00EF4F55" w:rsidRDefault="00F749BD" w:rsidP="00316611">
      <w:pPr>
        <w:spacing w:line="360" w:lineRule="auto"/>
        <w:jc w:val="both"/>
      </w:pPr>
      <w:r>
        <w:t>The f</w:t>
      </w:r>
      <w:r w:rsidR="00040F8E">
        <w:t>indings in this research can also be valuable to policymakers. Th</w:t>
      </w:r>
      <w:r w:rsidR="002F0B92">
        <w:t xml:space="preserve">e results </w:t>
      </w:r>
      <w:r w:rsidR="00C47AB5">
        <w:t>presented in this paper</w:t>
      </w:r>
      <w:r w:rsidR="002F0B92">
        <w:t xml:space="preserve"> show</w:t>
      </w:r>
      <w:r w:rsidR="00167C9B">
        <w:t>ed</w:t>
      </w:r>
      <w:r w:rsidR="002F0B92">
        <w:t xml:space="preserve"> </w:t>
      </w:r>
      <w:r w:rsidR="00040F8E">
        <w:t xml:space="preserve">that </w:t>
      </w:r>
      <w:r w:rsidR="00453FAC">
        <w:t xml:space="preserve">the </w:t>
      </w:r>
      <w:r w:rsidR="00040F8E">
        <w:t xml:space="preserve">pandemic type of crisis is likely to increase risks in the banking sector </w:t>
      </w:r>
      <w:r w:rsidR="00825F51">
        <w:t>which should</w:t>
      </w:r>
      <w:r w:rsidR="00AF5E3F">
        <w:t xml:space="preserve"> be </w:t>
      </w:r>
      <w:r w:rsidR="00040F8E">
        <w:t>consider</w:t>
      </w:r>
      <w:r w:rsidR="00AF5E3F">
        <w:t xml:space="preserve">ed when designing new </w:t>
      </w:r>
      <w:r w:rsidR="00040F8E">
        <w:t>polic</w:t>
      </w:r>
      <w:r w:rsidR="00453FAC">
        <w:t>ies</w:t>
      </w:r>
      <w:r w:rsidR="00040F8E">
        <w:t xml:space="preserve"> </w:t>
      </w:r>
      <w:r w:rsidR="00AF5E3F">
        <w:t xml:space="preserve">or regulations. </w:t>
      </w:r>
    </w:p>
    <w:p w14:paraId="14FEB78B" w14:textId="764FCBA8" w:rsidR="00EF4F55" w:rsidRDefault="00EF4F55" w:rsidP="00316611">
      <w:pPr>
        <w:spacing w:line="360" w:lineRule="auto"/>
        <w:jc w:val="both"/>
      </w:pPr>
    </w:p>
    <w:p w14:paraId="06B90767" w14:textId="43D72DA0" w:rsidR="00F458C6" w:rsidRPr="00492303" w:rsidRDefault="00F458C6" w:rsidP="00F458C6">
      <w:pPr>
        <w:jc w:val="both"/>
        <w:rPr>
          <w:b/>
        </w:rPr>
      </w:pPr>
    </w:p>
    <w:p w14:paraId="035DA249" w14:textId="77777777" w:rsidR="00F458C6" w:rsidRPr="00492303" w:rsidRDefault="00F458C6" w:rsidP="00F458C6">
      <w:pPr>
        <w:jc w:val="both"/>
        <w:rPr>
          <w:b/>
        </w:rPr>
      </w:pPr>
    </w:p>
    <w:p w14:paraId="56080F42" w14:textId="40AF3F08" w:rsidR="0011354F" w:rsidRPr="006F6FD4" w:rsidRDefault="009D304A" w:rsidP="0011354F">
      <w:pPr>
        <w:jc w:val="both"/>
        <w:rPr>
          <w:b/>
        </w:rPr>
      </w:pPr>
      <w:r w:rsidRPr="00492303">
        <w:rPr>
          <w:b/>
        </w:rPr>
        <w:t>Refe</w:t>
      </w:r>
      <w:r w:rsidR="006B2F53" w:rsidRPr="00492303">
        <w:rPr>
          <w:b/>
        </w:rPr>
        <w:t>re</w:t>
      </w:r>
      <w:r w:rsidRPr="00492303">
        <w:rPr>
          <w:b/>
        </w:rPr>
        <w:t>nces</w:t>
      </w:r>
    </w:p>
    <w:sdt>
      <w:sdtPr>
        <w:rPr>
          <w:rFonts w:ascii="Times New Roman" w:eastAsia="Times New Roman" w:hAnsi="Times New Roman" w:cs="Times New Roman"/>
          <w:color w:val="auto"/>
          <w:sz w:val="24"/>
          <w:szCs w:val="24"/>
          <w:lang w:val="en-GB" w:eastAsia="en-GB"/>
        </w:rPr>
        <w:id w:val="1576316243"/>
        <w:docPartObj>
          <w:docPartGallery w:val="Bibliographies"/>
          <w:docPartUnique/>
        </w:docPartObj>
      </w:sdtPr>
      <w:sdtContent>
        <w:p w14:paraId="44A8B094" w14:textId="479B8A58" w:rsidR="0011354F" w:rsidRDefault="0011354F">
          <w:pPr>
            <w:pStyle w:val="Heading1"/>
          </w:pPr>
        </w:p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eastAsia="en-GB"/>
            </w:rPr>
            <w:id w:val="111145805"/>
            <w:bibliography/>
          </w:sdtPr>
          <w:sdtContent>
            <w:p w14:paraId="42B2AB9A" w14:textId="7EFDB10A" w:rsidR="0011354F" w:rsidRDefault="0011354F" w:rsidP="0011354F">
              <w:pPr>
                <w:pStyle w:val="Bibliography"/>
                <w:rPr>
                  <w:noProof/>
                  <w:sz w:val="24"/>
                  <w:szCs w:val="24"/>
                  <w:lang w:val="en-US"/>
                </w:rPr>
              </w:pPr>
              <w:r>
                <w:fldChar w:fldCharType="begin"/>
              </w:r>
              <w:r>
                <w:instrText xml:space="preserve"> BIBLIOGRAPHY </w:instrText>
              </w:r>
              <w:r>
                <w:fldChar w:fldCharType="separate"/>
              </w:r>
            </w:p>
            <w:p w14:paraId="5B6E18D9" w14:textId="77777777" w:rsidR="0011354F" w:rsidRDefault="0011354F" w:rsidP="0011354F">
              <w:pPr>
                <w:pStyle w:val="Bibliography"/>
                <w:ind w:left="720" w:hanging="720"/>
                <w:rPr>
                  <w:noProof/>
                  <w:lang w:val="en-US"/>
                </w:rPr>
              </w:pPr>
              <w:r>
                <w:rPr>
                  <w:noProof/>
                  <w:lang w:val="en-US"/>
                </w:rPr>
                <w:t xml:space="preserve">Abboud, A., Duncan, E., Horvath, A., Iercosan, D., Loudis, B., Martinez, F., . . . Wix, C. (2021). COVID-19 as a stress test: assessing the bank regulatory framework. </w:t>
              </w:r>
              <w:r>
                <w:rPr>
                  <w:i/>
                  <w:iCs/>
                  <w:noProof/>
                  <w:lang w:val="en-US"/>
                </w:rPr>
                <w:t>Working Paper</w:t>
              </w:r>
              <w:r>
                <w:rPr>
                  <w:noProof/>
                  <w:lang w:val="en-US"/>
                </w:rPr>
                <w:t>.</w:t>
              </w:r>
            </w:p>
            <w:p w14:paraId="29BC17DF" w14:textId="77777777" w:rsidR="0011354F" w:rsidRDefault="0011354F" w:rsidP="0011354F">
              <w:pPr>
                <w:pStyle w:val="Bibliography"/>
                <w:ind w:left="720" w:hanging="720"/>
                <w:rPr>
                  <w:noProof/>
                  <w:lang w:val="en-US"/>
                </w:rPr>
              </w:pPr>
              <w:r>
                <w:rPr>
                  <w:noProof/>
                  <w:lang w:val="en-US"/>
                </w:rPr>
                <w:t xml:space="preserve">Acharya , V., Engle III , R., &amp; Steffe, S. (2021). Why did bank stocks crash during COVID-19? </w:t>
              </w:r>
              <w:r>
                <w:rPr>
                  <w:i/>
                  <w:iCs/>
                  <w:noProof/>
                  <w:lang w:val="en-US"/>
                </w:rPr>
                <w:t>NBER Working Paper, Working Paper 28559</w:t>
              </w:r>
              <w:r>
                <w:rPr>
                  <w:noProof/>
                  <w:lang w:val="en-US"/>
                </w:rPr>
                <w:t>.</w:t>
              </w:r>
            </w:p>
            <w:p w14:paraId="2FEC9417" w14:textId="77777777" w:rsidR="0011354F" w:rsidRDefault="0011354F" w:rsidP="0011354F">
              <w:pPr>
                <w:pStyle w:val="Bibliography"/>
                <w:ind w:left="720" w:hanging="720"/>
                <w:rPr>
                  <w:noProof/>
                  <w:lang w:val="en-US"/>
                </w:rPr>
              </w:pPr>
              <w:r>
                <w:rPr>
                  <w:noProof/>
                  <w:lang w:val="en-US"/>
                </w:rPr>
                <w:t xml:space="preserve">Acharya, V., &amp; Steffen , S. (2020). The risk of being a fallen angel and the corporate dash for cash in the midst of COVID. </w:t>
              </w:r>
              <w:r>
                <w:rPr>
                  <w:i/>
                  <w:iCs/>
                  <w:noProof/>
                  <w:lang w:val="en-US"/>
                </w:rPr>
                <w:t>Review of Corporate Finance Studies</w:t>
              </w:r>
              <w:r>
                <w:rPr>
                  <w:noProof/>
                  <w:lang w:val="en-US"/>
                </w:rPr>
                <w:t>.</w:t>
              </w:r>
            </w:p>
            <w:p w14:paraId="21F9F42C" w14:textId="77777777" w:rsidR="0011354F" w:rsidRDefault="0011354F" w:rsidP="0011354F">
              <w:pPr>
                <w:pStyle w:val="Bibliography"/>
                <w:ind w:left="720" w:hanging="720"/>
                <w:rPr>
                  <w:noProof/>
                  <w:lang w:val="en-US"/>
                </w:rPr>
              </w:pPr>
              <w:r>
                <w:rPr>
                  <w:noProof/>
                  <w:lang w:val="en-US"/>
                </w:rPr>
                <w:t xml:space="preserve">Aydemir, R., &amp; Ovenc, G. (2016). Interest rates, the yield curve and bank profitability in an emerging market economy. </w:t>
              </w:r>
              <w:r>
                <w:rPr>
                  <w:i/>
                  <w:iCs/>
                  <w:noProof/>
                  <w:lang w:val="en-US"/>
                </w:rPr>
                <w:t>Economic Systems, 40</w:t>
              </w:r>
              <w:r>
                <w:rPr>
                  <w:noProof/>
                  <w:lang w:val="en-US"/>
                </w:rPr>
                <w:t>(4), 670-682.</w:t>
              </w:r>
            </w:p>
            <w:p w14:paraId="0D191035" w14:textId="657DD321" w:rsidR="0011354F" w:rsidRDefault="0011354F" w:rsidP="0011354F">
              <w:pPr>
                <w:pStyle w:val="Bibliography"/>
                <w:ind w:left="720" w:hanging="720"/>
                <w:rPr>
                  <w:noProof/>
                  <w:lang w:val="en-US"/>
                </w:rPr>
              </w:pPr>
              <w:r>
                <w:rPr>
                  <w:noProof/>
                  <w:lang w:val="en-US"/>
                </w:rPr>
                <w:t xml:space="preserve">Baker, S., Bloom, N., Davis, S., Kost, K., Sammon, M., &amp; Viratyosin, T. (2020). The Unprecedented Stock Market Reaction to COVID-19 . </w:t>
              </w:r>
              <w:r>
                <w:rPr>
                  <w:i/>
                  <w:iCs/>
                  <w:noProof/>
                  <w:lang w:val="en-US"/>
                </w:rPr>
                <w:t>The Review of Asset Pricing Studies</w:t>
              </w:r>
              <w:r>
                <w:rPr>
                  <w:noProof/>
                  <w:lang w:val="en-US"/>
                </w:rPr>
                <w:t>, 742-758.</w:t>
              </w:r>
            </w:p>
            <w:p w14:paraId="169BFD96" w14:textId="77777777" w:rsidR="00D71CF3" w:rsidRDefault="00D71CF3" w:rsidP="00D71CF3">
              <w:pPr>
                <w:pStyle w:val="Bibliography"/>
                <w:jc w:val="center"/>
                <w:rPr>
                  <w:noProof/>
                  <w:sz w:val="24"/>
                  <w:szCs w:val="24"/>
                  <w:lang w:val="en-US"/>
                </w:rPr>
              </w:pPr>
              <w:r>
                <w:rPr>
                  <w:noProof/>
                  <w:lang w:val="en-US"/>
                </w:rPr>
                <w:t>B</w:t>
              </w:r>
              <w:r w:rsidRPr="00F37D12">
                <w:rPr>
                  <w:noProof/>
                  <w:lang w:val="en-US"/>
                </w:rPr>
                <w:t>arro, R.,</w:t>
              </w:r>
              <w:r>
                <w:rPr>
                  <w:noProof/>
                  <w:lang w:val="en-US"/>
                </w:rPr>
                <w:t xml:space="preserve"> Ursúa, J., &amp; Weng, J. (2020). The coronavirus and the great influenza pandemic: lessons from the “Spanish flu” for the coronavirus’s potential effects on mortality and economic activity. </w:t>
              </w:r>
              <w:r>
                <w:rPr>
                  <w:i/>
                  <w:iCs/>
                  <w:noProof/>
                  <w:lang w:val="en-US"/>
                </w:rPr>
                <w:t>NBER WORKING PAPER SERIES Working Paper 26866</w:t>
              </w:r>
              <w:r>
                <w:rPr>
                  <w:noProof/>
                  <w:lang w:val="en-US"/>
                </w:rPr>
                <w:t>.</w:t>
              </w:r>
            </w:p>
            <w:p w14:paraId="271974A1" w14:textId="77777777" w:rsidR="00D71CF3" w:rsidRPr="00D71CF3" w:rsidRDefault="00D71CF3" w:rsidP="00D71CF3">
              <w:pPr>
                <w:rPr>
                  <w:lang w:val="en-US" w:eastAsia="en-US"/>
                </w:rPr>
              </w:pPr>
            </w:p>
            <w:p w14:paraId="158F7B07" w14:textId="77777777" w:rsidR="0011354F" w:rsidRDefault="0011354F" w:rsidP="0011354F">
              <w:pPr>
                <w:pStyle w:val="Bibliography"/>
                <w:ind w:left="720" w:hanging="720"/>
                <w:rPr>
                  <w:noProof/>
                  <w:lang w:val="en-US"/>
                </w:rPr>
              </w:pPr>
              <w:r>
                <w:rPr>
                  <w:noProof/>
                  <w:lang w:val="en-US"/>
                </w:rPr>
                <w:lastRenderedPageBreak/>
                <w:t xml:space="preserve">Beck, T. (2021). Are Banks Catching Corona? Effects of Covid on Lending in the U.S. </w:t>
              </w:r>
              <w:r>
                <w:rPr>
                  <w:i/>
                  <w:iCs/>
                  <w:noProof/>
                  <w:lang w:val="en-US"/>
                </w:rPr>
                <w:t>CEPR Discussion Paper</w:t>
              </w:r>
              <w:r>
                <w:rPr>
                  <w:noProof/>
                  <w:lang w:val="en-US"/>
                </w:rPr>
                <w:t>.</w:t>
              </w:r>
            </w:p>
            <w:p w14:paraId="3C6F70BE" w14:textId="77777777" w:rsidR="0011354F" w:rsidRDefault="0011354F" w:rsidP="0011354F">
              <w:pPr>
                <w:pStyle w:val="Bibliography"/>
                <w:ind w:left="720" w:hanging="720"/>
                <w:rPr>
                  <w:noProof/>
                  <w:lang w:val="en-US"/>
                </w:rPr>
              </w:pPr>
              <w:r>
                <w:rPr>
                  <w:noProof/>
                  <w:lang w:val="en-US"/>
                </w:rPr>
                <w:t xml:space="preserve">Borio, C., &amp; Lowe, P. (2002). Assessing the risk of banking crisis. </w:t>
              </w:r>
              <w:r>
                <w:rPr>
                  <w:i/>
                  <w:iCs/>
                  <w:noProof/>
                  <w:lang w:val="en-US"/>
                </w:rPr>
                <w:t>BIS Quarter Review</w:t>
              </w:r>
              <w:r>
                <w:rPr>
                  <w:noProof/>
                  <w:lang w:val="en-US"/>
                </w:rPr>
                <w:t>.</w:t>
              </w:r>
            </w:p>
            <w:p w14:paraId="1A450184" w14:textId="77777777" w:rsidR="0011354F" w:rsidRDefault="0011354F" w:rsidP="0011354F">
              <w:pPr>
                <w:pStyle w:val="Bibliography"/>
                <w:ind w:left="720" w:hanging="720"/>
                <w:rPr>
                  <w:noProof/>
                  <w:lang w:val="en-US"/>
                </w:rPr>
              </w:pPr>
              <w:r>
                <w:rPr>
                  <w:noProof/>
                  <w:lang w:val="en-US"/>
                </w:rPr>
                <w:t xml:space="preserve">Borri, N., &amp; diGiorgio, G. (2022). Systemic risk and the COVID challenge in the european banking sector. </w:t>
              </w:r>
              <w:r>
                <w:rPr>
                  <w:i/>
                  <w:iCs/>
                  <w:noProof/>
                  <w:lang w:val="en-US"/>
                </w:rPr>
                <w:t>Journal of Banking &amp; Finance</w:t>
              </w:r>
              <w:r>
                <w:rPr>
                  <w:noProof/>
                  <w:lang w:val="en-US"/>
                </w:rPr>
                <w:t>.</w:t>
              </w:r>
            </w:p>
            <w:p w14:paraId="6457EC48" w14:textId="77777777" w:rsidR="0011354F" w:rsidRDefault="0011354F" w:rsidP="0011354F">
              <w:pPr>
                <w:pStyle w:val="Bibliography"/>
                <w:ind w:left="720" w:hanging="720"/>
                <w:rPr>
                  <w:noProof/>
                  <w:lang w:val="en-US"/>
                </w:rPr>
              </w:pPr>
              <w:r>
                <w:rPr>
                  <w:noProof/>
                  <w:lang w:val="en-US"/>
                </w:rPr>
                <w:t xml:space="preserve">Cao, Y., &amp; Chou, J.-Y. (2022). Bank resilience over the COVID-19 crisis: The role of regulatory capital. </w:t>
              </w:r>
              <w:r>
                <w:rPr>
                  <w:i/>
                  <w:iCs/>
                  <w:noProof/>
                  <w:lang w:val="en-US"/>
                </w:rPr>
                <w:t>Finance Research Letters</w:t>
              </w:r>
              <w:r>
                <w:rPr>
                  <w:noProof/>
                  <w:lang w:val="en-US"/>
                </w:rPr>
                <w:t>.</w:t>
              </w:r>
            </w:p>
            <w:p w14:paraId="1C10835D" w14:textId="77777777" w:rsidR="0011354F" w:rsidRDefault="0011354F" w:rsidP="0011354F">
              <w:pPr>
                <w:pStyle w:val="Bibliography"/>
                <w:ind w:left="720" w:hanging="720"/>
                <w:rPr>
                  <w:noProof/>
                  <w:lang w:val="en-US"/>
                </w:rPr>
              </w:pPr>
              <w:r>
                <w:rPr>
                  <w:noProof/>
                  <w:lang w:val="en-US"/>
                </w:rPr>
                <w:t xml:space="preserve">Caprio, G., &amp; Klingebiel, D. (1996). Bank insolvencies: cross-country experience. </w:t>
              </w:r>
              <w:r>
                <w:rPr>
                  <w:i/>
                  <w:iCs/>
                  <w:noProof/>
                  <w:lang w:val="en-US"/>
                </w:rPr>
                <w:t>Policy ResearchWorking Paper, No. 1620.</w:t>
              </w:r>
              <w:r>
                <w:rPr>
                  <w:noProof/>
                  <w:lang w:val="en-US"/>
                </w:rPr>
                <w:t xml:space="preserve"> </w:t>
              </w:r>
            </w:p>
            <w:p w14:paraId="408C4E44" w14:textId="77777777" w:rsidR="0011354F" w:rsidRDefault="0011354F" w:rsidP="0011354F">
              <w:pPr>
                <w:pStyle w:val="Bibliography"/>
                <w:ind w:left="720" w:hanging="720"/>
                <w:rPr>
                  <w:noProof/>
                  <w:lang w:val="en-US"/>
                </w:rPr>
              </w:pPr>
              <w:r>
                <w:rPr>
                  <w:noProof/>
                  <w:lang w:val="en-US"/>
                </w:rPr>
                <w:t xml:space="preserve">Cardarelli, R., Elekdag, S., &amp; Lall, S. (2009). Financial stress, downturns, and recoveries. </w:t>
              </w:r>
              <w:r>
                <w:rPr>
                  <w:i/>
                  <w:iCs/>
                  <w:noProof/>
                  <w:lang w:val="en-US"/>
                </w:rPr>
                <w:t>IMF Working Paper, 09/100</w:t>
              </w:r>
              <w:r>
                <w:rPr>
                  <w:noProof/>
                  <w:lang w:val="en-US"/>
                </w:rPr>
                <w:t>.</w:t>
              </w:r>
            </w:p>
            <w:p w14:paraId="61A36B7B" w14:textId="77777777" w:rsidR="0011354F" w:rsidRDefault="0011354F" w:rsidP="0011354F">
              <w:pPr>
                <w:pStyle w:val="Bibliography"/>
                <w:ind w:left="720" w:hanging="720"/>
                <w:rPr>
                  <w:noProof/>
                  <w:lang w:val="en-US"/>
                </w:rPr>
              </w:pPr>
              <w:r>
                <w:rPr>
                  <w:noProof/>
                  <w:lang w:val="en-US"/>
                </w:rPr>
                <w:t xml:space="preserve">Carriero, A., Clark, T., Marcellino, M., &amp; Mertens, E. (2022). Measuring Uncertainty and Its Effects in the COVID-19 Era. </w:t>
              </w:r>
              <w:r>
                <w:rPr>
                  <w:i/>
                  <w:iCs/>
                  <w:noProof/>
                  <w:lang w:val="en-US"/>
                </w:rPr>
                <w:t xml:space="preserve">FRB of Cleveland Working Paper </w:t>
              </w:r>
              <w:r>
                <w:rPr>
                  <w:noProof/>
                  <w:lang w:val="en-US"/>
                </w:rPr>
                <w:t>.</w:t>
              </w:r>
            </w:p>
            <w:p w14:paraId="555F3349" w14:textId="77777777" w:rsidR="0011354F" w:rsidRDefault="0011354F" w:rsidP="0011354F">
              <w:pPr>
                <w:pStyle w:val="Bibliography"/>
                <w:ind w:left="720" w:hanging="720"/>
                <w:rPr>
                  <w:noProof/>
                  <w:lang w:val="en-US"/>
                </w:rPr>
              </w:pPr>
              <w:r>
                <w:rPr>
                  <w:noProof/>
                  <w:lang w:val="en-US"/>
                </w:rPr>
                <w:t xml:space="preserve">Cwik, P. (2005). The Inverted Yield Curve and the Economic Downturn. </w:t>
              </w:r>
              <w:r>
                <w:rPr>
                  <w:i/>
                  <w:iCs/>
                  <w:noProof/>
                  <w:lang w:val="en-US"/>
                </w:rPr>
                <w:t>New Perspectives on Political Economy, 1</w:t>
              </w:r>
              <w:r>
                <w:rPr>
                  <w:noProof/>
                  <w:lang w:val="en-US"/>
                </w:rPr>
                <w:t>(1), 1-37.</w:t>
              </w:r>
            </w:p>
            <w:p w14:paraId="403F5D0C" w14:textId="77777777" w:rsidR="0011354F" w:rsidRDefault="0011354F" w:rsidP="0011354F">
              <w:pPr>
                <w:pStyle w:val="Bibliography"/>
                <w:ind w:left="720" w:hanging="720"/>
                <w:rPr>
                  <w:noProof/>
                  <w:lang w:val="en-US"/>
                </w:rPr>
              </w:pPr>
              <w:r>
                <w:rPr>
                  <w:noProof/>
                  <w:lang w:val="en-US"/>
                </w:rPr>
                <w:t xml:space="preserve">Davis, E., &amp; Karim, D. (2008). </w:t>
              </w:r>
              <w:r>
                <w:rPr>
                  <w:i/>
                  <w:iCs/>
                  <w:noProof/>
                  <w:lang w:val="en-US"/>
                </w:rPr>
                <w:t>Comparing early warning systems for banking crises.</w:t>
              </w:r>
              <w:r>
                <w:rPr>
                  <w:noProof/>
                  <w:lang w:val="en-US"/>
                </w:rPr>
                <w:t xml:space="preserve"> Retrieved from http://core.ac.uk/download/pdf/333748.pdf</w:t>
              </w:r>
            </w:p>
            <w:p w14:paraId="59E173EB" w14:textId="77777777" w:rsidR="0011354F" w:rsidRDefault="0011354F" w:rsidP="0011354F">
              <w:pPr>
                <w:pStyle w:val="Bibliography"/>
                <w:ind w:left="720" w:hanging="720"/>
                <w:rPr>
                  <w:noProof/>
                  <w:lang w:val="en-US"/>
                </w:rPr>
              </w:pPr>
              <w:r>
                <w:rPr>
                  <w:noProof/>
                  <w:lang w:val="en-US"/>
                </w:rPr>
                <w:t xml:space="preserve">Demir, E., &amp; Danisman, G. (2021). Banking sector reactions to COVID-19: The role of bank-specific factors and government policy responses. </w:t>
              </w:r>
              <w:r>
                <w:rPr>
                  <w:i/>
                  <w:iCs/>
                  <w:noProof/>
                  <w:lang w:val="en-US"/>
                </w:rPr>
                <w:t>Research in International Business and Finance, 58</w:t>
              </w:r>
              <w:r>
                <w:rPr>
                  <w:noProof/>
                  <w:lang w:val="en-US"/>
                </w:rPr>
                <w:t>.</w:t>
              </w:r>
            </w:p>
            <w:p w14:paraId="3928E10D" w14:textId="77777777" w:rsidR="0011354F" w:rsidRDefault="0011354F" w:rsidP="0011354F">
              <w:pPr>
                <w:pStyle w:val="Bibliography"/>
                <w:ind w:left="720" w:hanging="720"/>
                <w:rPr>
                  <w:noProof/>
                  <w:lang w:val="en-US"/>
                </w:rPr>
              </w:pPr>
              <w:r>
                <w:rPr>
                  <w:noProof/>
                  <w:lang w:val="en-US"/>
                </w:rPr>
                <w:t xml:space="preserve">Demirgüç-Kunt, A., Pedraza, A., &amp; Ruiz-Ortega , C. (2021). Banking sector performance during the COVID-19 crisis. </w:t>
              </w:r>
              <w:r>
                <w:rPr>
                  <w:i/>
                  <w:iCs/>
                  <w:noProof/>
                  <w:lang w:val="en-US"/>
                </w:rPr>
                <w:t>Journal of Banking &amp; Finance, 133</w:t>
              </w:r>
              <w:r>
                <w:rPr>
                  <w:noProof/>
                  <w:lang w:val="en-US"/>
                </w:rPr>
                <w:t>.</w:t>
              </w:r>
            </w:p>
            <w:p w14:paraId="704E9207" w14:textId="77777777" w:rsidR="0011354F" w:rsidRDefault="0011354F" w:rsidP="0011354F">
              <w:pPr>
                <w:pStyle w:val="Bibliography"/>
                <w:ind w:left="720" w:hanging="720"/>
                <w:rPr>
                  <w:noProof/>
                  <w:lang w:val="en-US"/>
                </w:rPr>
              </w:pPr>
              <w:r>
                <w:rPr>
                  <w:noProof/>
                  <w:lang w:val="en-US"/>
                </w:rPr>
                <w:t xml:space="preserve">Duan, , Y., El Ghoul, S., Guedhami, O., Li, H., &amp; Li, X. (2021). Bank systemic risk around COVID-19: A cross-country analysis. </w:t>
              </w:r>
              <w:r>
                <w:rPr>
                  <w:i/>
                  <w:iCs/>
                  <w:noProof/>
                  <w:lang w:val="en-US"/>
                </w:rPr>
                <w:t>Journal of Banking &amp; Finance, 133</w:t>
              </w:r>
              <w:r>
                <w:rPr>
                  <w:noProof/>
                  <w:lang w:val="en-US"/>
                </w:rPr>
                <w:t>.</w:t>
              </w:r>
            </w:p>
            <w:p w14:paraId="1144FC60" w14:textId="77777777" w:rsidR="0011354F" w:rsidRDefault="0011354F" w:rsidP="0011354F">
              <w:pPr>
                <w:pStyle w:val="Bibliography"/>
                <w:ind w:left="720" w:hanging="720"/>
                <w:rPr>
                  <w:noProof/>
                  <w:lang w:val="en-US"/>
                </w:rPr>
              </w:pPr>
              <w:r>
                <w:rPr>
                  <w:noProof/>
                  <w:lang w:val="en-US"/>
                </w:rPr>
                <w:t xml:space="preserve">Duncan, E., Horvath, A., Iercosan, D., Loudis, B., Maddrey, A., Martinez, F., . . . Warusawitharana, M. (2022). COVID-19 as a stress test: Assessing the bank regulatory framework. </w:t>
              </w:r>
              <w:r>
                <w:rPr>
                  <w:i/>
                  <w:iCs/>
                  <w:noProof/>
                  <w:lang w:val="en-US"/>
                </w:rPr>
                <w:t>Journal of Financial Stability</w:t>
              </w:r>
              <w:r>
                <w:rPr>
                  <w:noProof/>
                  <w:lang w:val="en-US"/>
                </w:rPr>
                <w:t>.</w:t>
              </w:r>
            </w:p>
            <w:p w14:paraId="1E929CA9" w14:textId="77777777" w:rsidR="0011354F" w:rsidRDefault="0011354F" w:rsidP="0011354F">
              <w:pPr>
                <w:pStyle w:val="Bibliography"/>
                <w:ind w:left="720" w:hanging="720"/>
                <w:rPr>
                  <w:noProof/>
                  <w:lang w:val="en-US"/>
                </w:rPr>
              </w:pPr>
              <w:r>
                <w:rPr>
                  <w:noProof/>
                  <w:lang w:val="en-US"/>
                </w:rPr>
                <w:t xml:space="preserve">Dursun-de Neef, Ö., &amp; Schandlbauer, A. (2021). COVID-19, Bank Deposits, and Lending. </w:t>
              </w:r>
              <w:r>
                <w:rPr>
                  <w:i/>
                  <w:iCs/>
                  <w:noProof/>
                  <w:lang w:val="en-US"/>
                </w:rPr>
                <w:t xml:space="preserve">SSRN Working Paper </w:t>
              </w:r>
              <w:r>
                <w:rPr>
                  <w:noProof/>
                  <w:lang w:val="en-US"/>
                </w:rPr>
                <w:t>.</w:t>
              </w:r>
            </w:p>
            <w:p w14:paraId="7990B231" w14:textId="77777777" w:rsidR="0011354F" w:rsidRDefault="0011354F" w:rsidP="0011354F">
              <w:pPr>
                <w:pStyle w:val="Bibliography"/>
                <w:ind w:left="720" w:hanging="720"/>
                <w:rPr>
                  <w:noProof/>
                  <w:lang w:val="en-US"/>
                </w:rPr>
              </w:pPr>
              <w:r>
                <w:rPr>
                  <w:noProof/>
                  <w:lang w:val="en-US"/>
                </w:rPr>
                <w:t xml:space="preserve">Dursun-de NeefaA, H., &amp; Schandlbauer, A. (2021). COVID-19 and lending responses of European banks. </w:t>
              </w:r>
              <w:r>
                <w:rPr>
                  <w:i/>
                  <w:iCs/>
                  <w:noProof/>
                  <w:lang w:val="en-US"/>
                </w:rPr>
                <w:t>Journal of Banking &amp; Finance</w:t>
              </w:r>
              <w:r>
                <w:rPr>
                  <w:noProof/>
                  <w:lang w:val="en-US"/>
                </w:rPr>
                <w:t>.</w:t>
              </w:r>
            </w:p>
            <w:p w14:paraId="3F1107D9" w14:textId="77777777" w:rsidR="0011354F" w:rsidRDefault="0011354F" w:rsidP="0011354F">
              <w:pPr>
                <w:pStyle w:val="Bibliography"/>
                <w:ind w:left="720" w:hanging="720"/>
                <w:rPr>
                  <w:noProof/>
                  <w:lang w:val="en-US"/>
                </w:rPr>
              </w:pPr>
              <w:r>
                <w:rPr>
                  <w:noProof/>
                  <w:lang w:val="en-US"/>
                </w:rPr>
                <w:t xml:space="preserve">Elnahass, M., Trinh, V., &amp; Li, T. (2021). Global banking stability in the shadow of Covid-19 outbreak. </w:t>
              </w:r>
              <w:r>
                <w:rPr>
                  <w:i/>
                  <w:iCs/>
                  <w:noProof/>
                  <w:lang w:val="en-US"/>
                </w:rPr>
                <w:t>Journal of International Financial Markets, Institutions and Money, 72</w:t>
              </w:r>
              <w:r>
                <w:rPr>
                  <w:noProof/>
                  <w:lang w:val="en-US"/>
                </w:rPr>
                <w:t>.</w:t>
              </w:r>
            </w:p>
            <w:p w14:paraId="0B66E807" w14:textId="77777777" w:rsidR="0011354F" w:rsidRDefault="0011354F" w:rsidP="0011354F">
              <w:pPr>
                <w:pStyle w:val="Bibliography"/>
                <w:ind w:left="720" w:hanging="720"/>
                <w:rPr>
                  <w:noProof/>
                  <w:lang w:val="en-US"/>
                </w:rPr>
              </w:pPr>
              <w:r>
                <w:rPr>
                  <w:noProof/>
                  <w:lang w:val="en-US"/>
                </w:rPr>
                <w:t xml:space="preserve">Elnahass, M., Trinh, V., &amp; Li, T. (2021). Global banking stability in the shadow of Covid-19 outbreak. </w:t>
              </w:r>
              <w:r>
                <w:rPr>
                  <w:i/>
                  <w:iCs/>
                  <w:noProof/>
                  <w:lang w:val="en-US"/>
                </w:rPr>
                <w:t>Journal of International Financial Markets, Institutions and Money</w:t>
              </w:r>
              <w:r>
                <w:rPr>
                  <w:noProof/>
                  <w:lang w:val="en-US"/>
                </w:rPr>
                <w:t>.</w:t>
              </w:r>
            </w:p>
            <w:p w14:paraId="05E00001" w14:textId="77777777" w:rsidR="0011354F" w:rsidRDefault="0011354F" w:rsidP="0011354F">
              <w:pPr>
                <w:pStyle w:val="Bibliography"/>
                <w:ind w:left="720" w:hanging="720"/>
                <w:rPr>
                  <w:noProof/>
                  <w:lang w:val="en-US"/>
                </w:rPr>
              </w:pPr>
              <w:r>
                <w:rPr>
                  <w:noProof/>
                  <w:lang w:val="en-US"/>
                </w:rPr>
                <w:t xml:space="preserve">Foglia, M., Addi, A., &amp; Angelini, E. (2022). The Eurozone banking sector in the time of COVID-19: Measuring volatility connectedness Author links open overlay panel. </w:t>
              </w:r>
              <w:r>
                <w:rPr>
                  <w:i/>
                  <w:iCs/>
                  <w:noProof/>
                  <w:lang w:val="en-US"/>
                </w:rPr>
                <w:t>Global Finance Journal, 51</w:t>
              </w:r>
              <w:r>
                <w:rPr>
                  <w:noProof/>
                  <w:lang w:val="en-US"/>
                </w:rPr>
                <w:t>.</w:t>
              </w:r>
            </w:p>
            <w:p w14:paraId="7D6CE753" w14:textId="77777777" w:rsidR="0011354F" w:rsidRDefault="0011354F" w:rsidP="0011354F">
              <w:pPr>
                <w:pStyle w:val="Bibliography"/>
                <w:ind w:left="720" w:hanging="720"/>
                <w:rPr>
                  <w:noProof/>
                  <w:lang w:val="en-US"/>
                </w:rPr>
              </w:pPr>
              <w:r>
                <w:rPr>
                  <w:noProof/>
                  <w:lang w:val="en-US"/>
                </w:rPr>
                <w:lastRenderedPageBreak/>
                <w:t xml:space="preserve">González-Velasco, C., García-López, M., &amp; González-Fernández, M. (2022). Does sovereign risk impact banking risk in the Eurozone? Evidence from the COVID-19 pandemic. </w:t>
              </w:r>
              <w:r>
                <w:rPr>
                  <w:i/>
                  <w:iCs/>
                  <w:noProof/>
                  <w:lang w:val="en-US"/>
                </w:rPr>
                <w:t xml:space="preserve">Finance Research Letter </w:t>
              </w:r>
              <w:r>
                <w:rPr>
                  <w:noProof/>
                  <w:lang w:val="en-US"/>
                </w:rPr>
                <w:t>.</w:t>
              </w:r>
            </w:p>
            <w:p w14:paraId="55F3477F" w14:textId="77777777" w:rsidR="0011354F" w:rsidRDefault="0011354F" w:rsidP="0011354F">
              <w:pPr>
                <w:pStyle w:val="Bibliography"/>
                <w:ind w:left="720" w:hanging="720"/>
                <w:rPr>
                  <w:noProof/>
                  <w:lang w:val="en-US"/>
                </w:rPr>
              </w:pPr>
              <w:r>
                <w:rPr>
                  <w:noProof/>
                  <w:lang w:val="en-US"/>
                </w:rPr>
                <w:t xml:space="preserve">Gorton, G. (1998). Banking panics and business cycles. </w:t>
              </w:r>
              <w:r>
                <w:rPr>
                  <w:i/>
                  <w:iCs/>
                  <w:noProof/>
                  <w:lang w:val="en-US"/>
                </w:rPr>
                <w:t>Oxford Economic Papers, 40</w:t>
              </w:r>
              <w:r>
                <w:rPr>
                  <w:noProof/>
                  <w:lang w:val="en-US"/>
                </w:rPr>
                <w:t>(4), 751–781.</w:t>
              </w:r>
            </w:p>
            <w:p w14:paraId="710AC626" w14:textId="77777777" w:rsidR="0011354F" w:rsidRDefault="0011354F" w:rsidP="0011354F">
              <w:pPr>
                <w:pStyle w:val="Bibliography"/>
                <w:ind w:left="720" w:hanging="720"/>
                <w:rPr>
                  <w:noProof/>
                  <w:lang w:val="en-US"/>
                </w:rPr>
              </w:pPr>
              <w:r>
                <w:rPr>
                  <w:noProof/>
                  <w:lang w:val="en-US"/>
                </w:rPr>
                <w:t xml:space="preserve">Illing, M., &amp; Liu, Y. (2006). Measuring financial stress in a developed country: an application to Canada. </w:t>
              </w:r>
              <w:r>
                <w:rPr>
                  <w:i/>
                  <w:iCs/>
                  <w:noProof/>
                  <w:lang w:val="en-US"/>
                </w:rPr>
                <w:t>Journal of Fincial Stability, 2</w:t>
              </w:r>
              <w:r>
                <w:rPr>
                  <w:noProof/>
                  <w:lang w:val="en-US"/>
                </w:rPr>
                <w:t>(6), 243-265.</w:t>
              </w:r>
            </w:p>
            <w:p w14:paraId="4560990A" w14:textId="77777777" w:rsidR="0011354F" w:rsidRDefault="0011354F" w:rsidP="0011354F">
              <w:pPr>
                <w:pStyle w:val="Bibliography"/>
                <w:ind w:left="720" w:hanging="720"/>
                <w:rPr>
                  <w:noProof/>
                  <w:lang w:val="en-US"/>
                </w:rPr>
              </w:pPr>
              <w:r>
                <w:rPr>
                  <w:noProof/>
                  <w:lang w:val="en-US"/>
                </w:rPr>
                <w:t xml:space="preserve">IMF. (2009). </w:t>
              </w:r>
              <w:r>
                <w:rPr>
                  <w:i/>
                  <w:iCs/>
                  <w:noProof/>
                  <w:lang w:val="en-US"/>
                </w:rPr>
                <w:t>World economic outlook: sustaining recovery.</w:t>
              </w:r>
              <w:r>
                <w:rPr>
                  <w:noProof/>
                  <w:lang w:val="en-US"/>
                </w:rPr>
                <w:t xml:space="preserve"> Retrieved from https://www.imf.org/external/pubs/ft/weo/2009/02/pdf/text.pdf</w:t>
              </w:r>
            </w:p>
            <w:p w14:paraId="25DBEA94" w14:textId="77777777" w:rsidR="0011354F" w:rsidRDefault="0011354F" w:rsidP="0011354F">
              <w:pPr>
                <w:pStyle w:val="Bibliography"/>
                <w:ind w:left="720" w:hanging="720"/>
                <w:rPr>
                  <w:noProof/>
                  <w:lang w:val="en-US"/>
                </w:rPr>
              </w:pPr>
              <w:r>
                <w:rPr>
                  <w:noProof/>
                  <w:lang w:val="en-US"/>
                </w:rPr>
                <w:t xml:space="preserve">IMF. (2020). </w:t>
              </w:r>
              <w:r>
                <w:rPr>
                  <w:i/>
                  <w:iCs/>
                  <w:noProof/>
                  <w:lang w:val="en-US"/>
                </w:rPr>
                <w:t>Global Financial Stability Report: Markets in the Time of COVID-19.</w:t>
              </w:r>
              <w:r>
                <w:rPr>
                  <w:noProof/>
                  <w:lang w:val="en-US"/>
                </w:rPr>
                <w:t xml:space="preserve"> Washington: IMF.</w:t>
              </w:r>
            </w:p>
            <w:p w14:paraId="00C2F05C" w14:textId="77777777" w:rsidR="0011354F" w:rsidRDefault="0011354F" w:rsidP="0011354F">
              <w:pPr>
                <w:pStyle w:val="Bibliography"/>
                <w:ind w:left="720" w:hanging="720"/>
                <w:rPr>
                  <w:noProof/>
                  <w:lang w:val="en-US"/>
                </w:rPr>
              </w:pPr>
              <w:r>
                <w:rPr>
                  <w:noProof/>
                  <w:lang w:val="en-US"/>
                </w:rPr>
                <w:t xml:space="preserve">IMF. (2020). </w:t>
              </w:r>
              <w:r>
                <w:rPr>
                  <w:i/>
                  <w:iCs/>
                  <w:noProof/>
                  <w:lang w:val="en-US"/>
                </w:rPr>
                <w:t>World Economic Outlook, April 2020: The Great Lockdown.</w:t>
              </w:r>
              <w:r>
                <w:rPr>
                  <w:noProof/>
                  <w:lang w:val="en-US"/>
                </w:rPr>
                <w:t xml:space="preserve"> Washington: IMF.</w:t>
              </w:r>
            </w:p>
            <w:p w14:paraId="518B9C90" w14:textId="77777777" w:rsidR="0011354F" w:rsidRDefault="0011354F" w:rsidP="0011354F">
              <w:pPr>
                <w:pStyle w:val="Bibliography"/>
                <w:ind w:left="720" w:hanging="720"/>
                <w:rPr>
                  <w:noProof/>
                  <w:lang w:val="en-US"/>
                </w:rPr>
              </w:pPr>
              <w:r>
                <w:rPr>
                  <w:noProof/>
                  <w:lang w:val="en-US"/>
                </w:rPr>
                <w:t xml:space="preserve">IMF. (2021). </w:t>
              </w:r>
              <w:r>
                <w:rPr>
                  <w:i/>
                  <w:iCs/>
                  <w:noProof/>
                  <w:lang w:val="en-US"/>
                </w:rPr>
                <w:t>Chapter 2 After-effects of the Covid-19 Pandemic: Prospects for Medium-term Economic Damage.</w:t>
              </w:r>
              <w:r>
                <w:rPr>
                  <w:noProof/>
                  <w:lang w:val="en-US"/>
                </w:rPr>
                <w:t xml:space="preserve"> Retrieved from World Economic Outlook, April 2021: https://doi.org/10.5089/9781513575025.081.ch002</w:t>
              </w:r>
            </w:p>
            <w:p w14:paraId="7402216B" w14:textId="77777777" w:rsidR="0011354F" w:rsidRDefault="0011354F" w:rsidP="0011354F">
              <w:pPr>
                <w:pStyle w:val="Bibliography"/>
                <w:ind w:left="720" w:hanging="720"/>
                <w:rPr>
                  <w:noProof/>
                  <w:lang w:val="en-US"/>
                </w:rPr>
              </w:pPr>
              <w:r>
                <w:rPr>
                  <w:noProof/>
                  <w:lang w:val="en-US"/>
                </w:rPr>
                <w:t xml:space="preserve">Jordà, Ò., Schularick , M., &amp; Taylor , A. (2011). Financial Crises, Credit Booms, and External Imbalances: 140 Years of Lessons. </w:t>
              </w:r>
              <w:r>
                <w:rPr>
                  <w:i/>
                  <w:iCs/>
                  <w:noProof/>
                  <w:lang w:val="en-US"/>
                </w:rPr>
                <w:t>MF Economic Review</w:t>
              </w:r>
              <w:r>
                <w:rPr>
                  <w:noProof/>
                  <w:lang w:val="en-US"/>
                </w:rPr>
                <w:t>, 340–378.</w:t>
              </w:r>
            </w:p>
            <w:p w14:paraId="10C8FAC3" w14:textId="77777777" w:rsidR="0011354F" w:rsidRDefault="0011354F" w:rsidP="0011354F">
              <w:pPr>
                <w:pStyle w:val="Bibliography"/>
                <w:ind w:left="720" w:hanging="720"/>
                <w:rPr>
                  <w:noProof/>
                  <w:lang w:val="en-US"/>
                </w:rPr>
              </w:pPr>
              <w:r>
                <w:rPr>
                  <w:noProof/>
                  <w:lang w:val="en-US"/>
                </w:rPr>
                <w:t xml:space="preserve">Kaminsky, L., &amp; Reinhart, C. (1999). The twin crises: the causes of banking and balance of payments. </w:t>
              </w:r>
              <w:r>
                <w:rPr>
                  <w:i/>
                  <w:iCs/>
                  <w:noProof/>
                  <w:lang w:val="en-US"/>
                </w:rPr>
                <w:t>The American Economic Review, 89</w:t>
              </w:r>
              <w:r>
                <w:rPr>
                  <w:noProof/>
                  <w:lang w:val="en-US"/>
                </w:rPr>
                <w:t>(3).</w:t>
              </w:r>
            </w:p>
            <w:p w14:paraId="0948CC1B" w14:textId="77777777" w:rsidR="0011354F" w:rsidRDefault="0011354F" w:rsidP="0011354F">
              <w:pPr>
                <w:pStyle w:val="Bibliography"/>
                <w:ind w:left="720" w:hanging="720"/>
                <w:rPr>
                  <w:noProof/>
                  <w:lang w:val="en-US"/>
                </w:rPr>
              </w:pPr>
              <w:r>
                <w:rPr>
                  <w:noProof/>
                  <w:lang w:val="en-US"/>
                </w:rPr>
                <w:t xml:space="preserve">Killins, R., Egly, P., &amp; Batabyal, S. (2021). The impact of the yield curve on bank equity returns: Evidence from Canada. </w:t>
              </w:r>
              <w:r>
                <w:rPr>
                  <w:i/>
                  <w:iCs/>
                  <w:noProof/>
                  <w:lang w:val="en-US"/>
                </w:rPr>
                <w:t>The Quarterly Review of Economics and Finance, 81</w:t>
              </w:r>
              <w:r>
                <w:rPr>
                  <w:noProof/>
                  <w:lang w:val="en-US"/>
                </w:rPr>
                <w:t>, 319-329.</w:t>
              </w:r>
            </w:p>
            <w:p w14:paraId="48CAE34D" w14:textId="77777777" w:rsidR="0011354F" w:rsidRDefault="0011354F" w:rsidP="0011354F">
              <w:pPr>
                <w:pStyle w:val="Bibliography"/>
                <w:ind w:left="720" w:hanging="720"/>
                <w:rPr>
                  <w:noProof/>
                  <w:lang w:val="en-US"/>
                </w:rPr>
              </w:pPr>
              <w:r>
                <w:rPr>
                  <w:noProof/>
                  <w:lang w:val="en-US"/>
                </w:rPr>
                <w:t xml:space="preserve">Laborda, R., &amp; Olmo, J. (2021). Volatility spillover between economic sectors in financial crisis prediction: Evidence spanning the great financial crisis and Covid-19 pandemic. </w:t>
              </w:r>
              <w:r>
                <w:rPr>
                  <w:i/>
                  <w:iCs/>
                  <w:noProof/>
                  <w:lang w:val="en-US"/>
                </w:rPr>
                <w:t>Research in International Business and Finance</w:t>
              </w:r>
              <w:r>
                <w:rPr>
                  <w:noProof/>
                  <w:lang w:val="en-US"/>
                </w:rPr>
                <w:t>.</w:t>
              </w:r>
            </w:p>
            <w:p w14:paraId="2A7EE35B" w14:textId="77777777" w:rsidR="0011354F" w:rsidRDefault="0011354F" w:rsidP="0011354F">
              <w:pPr>
                <w:pStyle w:val="Bibliography"/>
                <w:ind w:left="720" w:hanging="720"/>
                <w:rPr>
                  <w:noProof/>
                  <w:lang w:val="en-US"/>
                </w:rPr>
              </w:pPr>
              <w:r>
                <w:rPr>
                  <w:noProof/>
                  <w:lang w:val="en-US"/>
                </w:rPr>
                <w:t xml:space="preserve">Laeven, L., &amp; Valencia, F. (2008). Systematic banking crises. A new database. </w:t>
              </w:r>
              <w:r>
                <w:rPr>
                  <w:i/>
                  <w:iCs/>
                  <w:noProof/>
                  <w:lang w:val="en-US"/>
                </w:rPr>
                <w:t>IMF Working Paper, (08/224)</w:t>
              </w:r>
              <w:r>
                <w:rPr>
                  <w:noProof/>
                  <w:lang w:val="en-US"/>
                </w:rPr>
                <w:t>.</w:t>
              </w:r>
            </w:p>
            <w:p w14:paraId="60E4E07D" w14:textId="77777777" w:rsidR="0011354F" w:rsidRDefault="0011354F" w:rsidP="0011354F">
              <w:pPr>
                <w:pStyle w:val="Bibliography"/>
                <w:ind w:left="720" w:hanging="720"/>
                <w:rPr>
                  <w:noProof/>
                  <w:lang w:val="en-US"/>
                </w:rPr>
              </w:pPr>
              <w:r>
                <w:rPr>
                  <w:noProof/>
                  <w:lang w:val="en-US"/>
                </w:rPr>
                <w:t xml:space="preserve">Laeven, L., &amp; Valencia, F. (2013). Systemic banking crises database. </w:t>
              </w:r>
              <w:r>
                <w:rPr>
                  <w:i/>
                  <w:iCs/>
                  <w:noProof/>
                  <w:lang w:val="en-US"/>
                </w:rPr>
                <w:t>IMF Economic Review, 61</w:t>
              </w:r>
              <w:r>
                <w:rPr>
                  <w:noProof/>
                  <w:lang w:val="en-US"/>
                </w:rPr>
                <w:t>, 225–270.</w:t>
              </w:r>
            </w:p>
            <w:p w14:paraId="478511B9" w14:textId="77777777" w:rsidR="0011354F" w:rsidRDefault="0011354F" w:rsidP="0011354F">
              <w:pPr>
                <w:pStyle w:val="Bibliography"/>
                <w:ind w:left="720" w:hanging="720"/>
                <w:rPr>
                  <w:noProof/>
                  <w:lang w:val="en-US"/>
                </w:rPr>
              </w:pPr>
              <w:r>
                <w:rPr>
                  <w:noProof/>
                  <w:lang w:val="en-US"/>
                </w:rPr>
                <w:t xml:space="preserve">Lewrick, U., Schmieder, C., Sobrun, J., &amp; Takats, E. (2020). Releasing bank buffers to cushion the crisis - a quantitative assessment. </w:t>
              </w:r>
              <w:r>
                <w:rPr>
                  <w:i/>
                  <w:iCs/>
                  <w:noProof/>
                  <w:lang w:val="en-US"/>
                </w:rPr>
                <w:t xml:space="preserve">BIS Bulletins </w:t>
              </w:r>
              <w:r>
                <w:rPr>
                  <w:noProof/>
                  <w:lang w:val="en-US"/>
                </w:rPr>
                <w:t>.</w:t>
              </w:r>
            </w:p>
            <w:p w14:paraId="5705B8C7" w14:textId="77777777" w:rsidR="0011354F" w:rsidRDefault="0011354F" w:rsidP="0011354F">
              <w:pPr>
                <w:pStyle w:val="Bibliography"/>
                <w:ind w:left="720" w:hanging="720"/>
                <w:rPr>
                  <w:noProof/>
                  <w:lang w:val="en-US"/>
                </w:rPr>
              </w:pPr>
              <w:r>
                <w:rPr>
                  <w:noProof/>
                  <w:lang w:val="en-US"/>
                </w:rPr>
                <w:t xml:space="preserve">Li, L., Strahan , P., &amp; Zhang , S. (2020). Banks as lenders of first resort: Evidence from the COVID-19 crisis. </w:t>
              </w:r>
              <w:r>
                <w:rPr>
                  <w:i/>
                  <w:iCs/>
                  <w:noProof/>
                  <w:lang w:val="en-US"/>
                </w:rPr>
                <w:t>Review of Corporate Finance Studies</w:t>
              </w:r>
              <w:r>
                <w:rPr>
                  <w:noProof/>
                  <w:lang w:val="en-US"/>
                </w:rPr>
                <w:t>, 472-500.</w:t>
              </w:r>
            </w:p>
            <w:p w14:paraId="118E8A94" w14:textId="77777777" w:rsidR="0011354F" w:rsidRDefault="0011354F" w:rsidP="0011354F">
              <w:pPr>
                <w:pStyle w:val="Bibliography"/>
                <w:ind w:left="720" w:hanging="720"/>
                <w:rPr>
                  <w:noProof/>
                  <w:lang w:val="en-US"/>
                </w:rPr>
              </w:pPr>
              <w:r>
                <w:rPr>
                  <w:noProof/>
                  <w:lang w:val="en-US"/>
                </w:rPr>
                <w:t xml:space="preserve">OECD. (2017). </w:t>
              </w:r>
              <w:r>
                <w:rPr>
                  <w:i/>
                  <w:iCs/>
                  <w:noProof/>
                  <w:lang w:val="en-US"/>
                </w:rPr>
                <w:t>The impact of government bond yield increases on banks.</w:t>
              </w:r>
              <w:r>
                <w:rPr>
                  <w:noProof/>
                  <w:lang w:val="en-US"/>
                </w:rPr>
                <w:t xml:space="preserve"> Retrieved from OECD: https://www.oecd.org/economy/outlook/theimpactofgovernmentbondyieldincreasesonbanks.htm</w:t>
              </w:r>
            </w:p>
            <w:p w14:paraId="246712E7" w14:textId="77777777" w:rsidR="0011354F" w:rsidRDefault="0011354F" w:rsidP="0011354F">
              <w:pPr>
                <w:pStyle w:val="Bibliography"/>
                <w:ind w:left="720" w:hanging="720"/>
                <w:rPr>
                  <w:noProof/>
                  <w:lang w:val="en-US"/>
                </w:rPr>
              </w:pPr>
              <w:r>
                <w:rPr>
                  <w:noProof/>
                  <w:lang w:val="en-US"/>
                </w:rPr>
                <w:t xml:space="preserve">Park, C.-Y., &amp; Shin, K. (2021). COVID-19, nonperforming loans, and cross-border bank lending. </w:t>
              </w:r>
              <w:r>
                <w:rPr>
                  <w:i/>
                  <w:iCs/>
                  <w:noProof/>
                  <w:lang w:val="en-US"/>
                </w:rPr>
                <w:t>Journal of Banking &amp; Finance, 133</w:t>
              </w:r>
              <w:r>
                <w:rPr>
                  <w:noProof/>
                  <w:lang w:val="en-US"/>
                </w:rPr>
                <w:t>.</w:t>
              </w:r>
            </w:p>
            <w:p w14:paraId="214CF82B" w14:textId="77777777" w:rsidR="0011354F" w:rsidRDefault="0011354F" w:rsidP="0011354F">
              <w:pPr>
                <w:pStyle w:val="Bibliography"/>
                <w:ind w:left="720" w:hanging="720"/>
                <w:rPr>
                  <w:noProof/>
                  <w:lang w:val="en-US"/>
                </w:rPr>
              </w:pPr>
              <w:r>
                <w:rPr>
                  <w:noProof/>
                  <w:lang w:val="en-US"/>
                </w:rPr>
                <w:t xml:space="preserve">Pericoli, M., &amp; Sbracia, M. (2003). A primer on financial contagion. </w:t>
              </w:r>
              <w:r>
                <w:rPr>
                  <w:i/>
                  <w:iCs/>
                  <w:noProof/>
                  <w:lang w:val="en-US"/>
                </w:rPr>
                <w:t>Journal of Economic Survey, 17</w:t>
              </w:r>
              <w:r>
                <w:rPr>
                  <w:noProof/>
                  <w:lang w:val="en-US"/>
                </w:rPr>
                <w:t>(4), 571–608.</w:t>
              </w:r>
            </w:p>
            <w:p w14:paraId="20D951B4" w14:textId="77777777" w:rsidR="0011354F" w:rsidRDefault="0011354F" w:rsidP="0011354F">
              <w:pPr>
                <w:pStyle w:val="Bibliography"/>
                <w:ind w:left="720" w:hanging="720"/>
                <w:rPr>
                  <w:noProof/>
                  <w:lang w:val="en-US"/>
                </w:rPr>
              </w:pPr>
              <w:r>
                <w:rPr>
                  <w:noProof/>
                  <w:lang w:val="en-US"/>
                </w:rPr>
                <w:lastRenderedPageBreak/>
                <w:t xml:space="preserve">Szczygielski, J., Charteris, A., Bwanya, P., &amp; Brzeszczyński, J. (2022). The impact and role of COVID-19 uncertainty: A global industry analysis. </w:t>
              </w:r>
              <w:r>
                <w:rPr>
                  <w:i/>
                  <w:iCs/>
                  <w:noProof/>
                  <w:lang w:val="en-US"/>
                </w:rPr>
                <w:t>International Review of Financial Analysis, 80</w:t>
              </w:r>
              <w:r>
                <w:rPr>
                  <w:noProof/>
                  <w:lang w:val="en-US"/>
                </w:rPr>
                <w:t>.</w:t>
              </w:r>
            </w:p>
            <w:p w14:paraId="4C203630" w14:textId="77777777" w:rsidR="0011354F" w:rsidRDefault="0011354F" w:rsidP="0011354F">
              <w:pPr>
                <w:pStyle w:val="Bibliography"/>
                <w:ind w:left="720" w:hanging="720"/>
                <w:rPr>
                  <w:noProof/>
                  <w:lang w:val="en-US"/>
                </w:rPr>
              </w:pPr>
              <w:r>
                <w:rPr>
                  <w:noProof/>
                  <w:lang w:val="en-US"/>
                </w:rPr>
                <w:t xml:space="preserve">Tabak , B., Dalla Riva e Silva, I., &amp; Silva, T. (2022). Analysis of connectivity between the world’s banking markets: The COVID-19 global pandemic shock. </w:t>
              </w:r>
              <w:r>
                <w:rPr>
                  <w:i/>
                  <w:iCs/>
                  <w:noProof/>
                  <w:lang w:val="en-US"/>
                </w:rPr>
                <w:t>The Quarterly Review of Economics and Finance</w:t>
              </w:r>
              <w:r>
                <w:rPr>
                  <w:noProof/>
                  <w:lang w:val="en-US"/>
                </w:rPr>
                <w:t>, 324-336.</w:t>
              </w:r>
            </w:p>
            <w:p w14:paraId="02929D1A" w14:textId="4B2FBF08" w:rsidR="00CF2D13" w:rsidRDefault="0011354F" w:rsidP="00CF2D13">
              <w:pPr>
                <w:pStyle w:val="Bibliography"/>
                <w:ind w:left="720" w:hanging="720"/>
                <w:rPr>
                  <w:noProof/>
                  <w:lang w:val="en-US"/>
                </w:rPr>
              </w:pPr>
              <w:r>
                <w:rPr>
                  <w:noProof/>
                  <w:lang w:val="en-US"/>
                </w:rPr>
                <w:t xml:space="preserve">Tomczak, K. (2017). The Impact of the 2007 –2008 Financial Crisis on the Banking Systems in Advanced European Countries. </w:t>
              </w:r>
              <w:r>
                <w:rPr>
                  <w:i/>
                  <w:iCs/>
                  <w:noProof/>
                  <w:lang w:val="en-US"/>
                </w:rPr>
                <w:t>Applied Economics Quarterly, 63</w:t>
              </w:r>
              <w:r>
                <w:rPr>
                  <w:noProof/>
                  <w:lang w:val="en-US"/>
                </w:rPr>
                <w:t>(2).</w:t>
              </w:r>
            </w:p>
            <w:p w14:paraId="01C071EC" w14:textId="41388D21" w:rsidR="00CF2D13" w:rsidRPr="00BA2B88" w:rsidRDefault="00CF2D13" w:rsidP="00CF2D13">
              <w:pPr>
                <w:rPr>
                  <w:rFonts w:asciiTheme="minorHAnsi" w:hAnsiTheme="minorHAnsi" w:cstheme="minorHAnsi"/>
                  <w:sz w:val="22"/>
                  <w:szCs w:val="22"/>
                </w:rPr>
              </w:pPr>
              <w:r w:rsidRPr="00BA2B88">
                <w:rPr>
                  <w:rFonts w:asciiTheme="minorHAnsi" w:hAnsiTheme="minorHAnsi" w:cstheme="minorHAnsi"/>
                  <w:sz w:val="22"/>
                  <w:szCs w:val="22"/>
                </w:rPr>
                <w:t xml:space="preserve">Tomczak K. (2022) Transmission of the 2007-2008 financial crisis in advanced countries of the </w:t>
              </w:r>
              <w:r w:rsidRPr="00BA2B88">
                <w:rPr>
                  <w:rFonts w:asciiTheme="minorHAnsi" w:hAnsiTheme="minorHAnsi" w:cstheme="minorHAnsi"/>
                  <w:sz w:val="22"/>
                  <w:szCs w:val="22"/>
                </w:rPr>
                <w:t xml:space="preserve">     </w:t>
              </w:r>
            </w:p>
            <w:p w14:paraId="5123FA31" w14:textId="60C937DA" w:rsidR="00CF2D13" w:rsidRDefault="00CF2D13" w:rsidP="00CF2D13">
              <w:pPr>
                <w:rPr>
                  <w:i/>
                  <w:sz w:val="22"/>
                  <w:szCs w:val="22"/>
                </w:rPr>
              </w:pPr>
              <w:r w:rsidRPr="00BA2B88">
                <w:rPr>
                  <w:rFonts w:asciiTheme="minorHAnsi" w:hAnsiTheme="minorHAnsi" w:cstheme="minorHAnsi"/>
                  <w:sz w:val="22"/>
                  <w:szCs w:val="22"/>
                </w:rPr>
                <w:t xml:space="preserve">              </w:t>
              </w:r>
              <w:r w:rsidRPr="00BA2B88">
                <w:rPr>
                  <w:rFonts w:asciiTheme="minorHAnsi" w:hAnsiTheme="minorHAnsi" w:cstheme="minorHAnsi"/>
                  <w:sz w:val="22"/>
                  <w:szCs w:val="22"/>
                </w:rPr>
                <w:t>European Union</w:t>
              </w:r>
              <w:r w:rsidRPr="00BA2B88">
                <w:rPr>
                  <w:rFonts w:asciiTheme="minorHAnsi" w:hAnsiTheme="minorHAnsi" w:cstheme="minorHAnsi"/>
                  <w:i/>
                  <w:sz w:val="22"/>
                  <w:szCs w:val="22"/>
                </w:rPr>
                <w:t>. Bulletin of Economic Research, vol.74 (1)</w:t>
              </w:r>
              <w:r w:rsidRPr="00421469">
                <w:rPr>
                  <w:i/>
                  <w:sz w:val="22"/>
                  <w:szCs w:val="22"/>
                </w:rPr>
                <w:t>.</w:t>
              </w:r>
            </w:p>
            <w:p w14:paraId="1E60CB9D" w14:textId="77777777" w:rsidR="00CF2D13" w:rsidRPr="00CF2D13" w:rsidRDefault="00CF2D13" w:rsidP="00CF2D13">
              <w:pPr>
                <w:rPr>
                  <w:lang w:val="en-US" w:eastAsia="en-US"/>
                </w:rPr>
              </w:pPr>
            </w:p>
            <w:p w14:paraId="44BC1CD9" w14:textId="77777777" w:rsidR="0011354F" w:rsidRDefault="0011354F" w:rsidP="0011354F">
              <w:pPr>
                <w:pStyle w:val="Bibliography"/>
                <w:ind w:left="720" w:hanging="720"/>
                <w:rPr>
                  <w:noProof/>
                  <w:lang w:val="en-US"/>
                </w:rPr>
              </w:pPr>
              <w:r>
                <w:rPr>
                  <w:noProof/>
                  <w:lang w:val="en-US"/>
                </w:rPr>
                <w:t xml:space="preserve">Xu, L. (2021). Stock Return and the COVID-19 pandemic: Evidence from Canada and the US. </w:t>
              </w:r>
              <w:r>
                <w:rPr>
                  <w:i/>
                  <w:iCs/>
                  <w:noProof/>
                  <w:lang w:val="en-US"/>
                </w:rPr>
                <w:t>Finance Research Letters, 38</w:t>
              </w:r>
              <w:r>
                <w:rPr>
                  <w:noProof/>
                  <w:lang w:val="en-US"/>
                </w:rPr>
                <w:t>.</w:t>
              </w:r>
            </w:p>
            <w:p w14:paraId="7FAB9994" w14:textId="77777777" w:rsidR="0011354F" w:rsidRDefault="0011354F" w:rsidP="0011354F">
              <w:pPr>
                <w:pStyle w:val="Bibliography"/>
                <w:ind w:left="720" w:hanging="720"/>
                <w:rPr>
                  <w:noProof/>
                  <w:lang w:val="en-US"/>
                </w:rPr>
              </w:pPr>
              <w:r>
                <w:rPr>
                  <w:noProof/>
                  <w:lang w:val="en-US"/>
                </w:rPr>
                <w:t xml:space="preserve">Zhang, D., Hu, M., &amp; Ji, Q. (2020). Financia lmarkets under the global pandemic of COVID-19. </w:t>
              </w:r>
              <w:r>
                <w:rPr>
                  <w:i/>
                  <w:iCs/>
                  <w:noProof/>
                  <w:lang w:val="en-US"/>
                </w:rPr>
                <w:t>Finance Research Letters</w:t>
              </w:r>
              <w:r>
                <w:rPr>
                  <w:noProof/>
                  <w:lang w:val="en-US"/>
                </w:rPr>
                <w:t>, in press.</w:t>
              </w:r>
            </w:p>
            <w:p w14:paraId="168AFC67" w14:textId="44F68941" w:rsidR="0011354F" w:rsidRDefault="0011354F" w:rsidP="0011354F">
              <w:r>
                <w:rPr>
                  <w:b/>
                  <w:bCs/>
                  <w:noProof/>
                </w:rPr>
                <w:fldChar w:fldCharType="end"/>
              </w:r>
            </w:p>
          </w:sdtContent>
        </w:sdt>
      </w:sdtContent>
    </w:sdt>
    <w:p w14:paraId="03F6E301" w14:textId="4CAB20B7" w:rsidR="00E97396" w:rsidRPr="00492303" w:rsidRDefault="00E97396" w:rsidP="00E97396"/>
    <w:p w14:paraId="316F41B4" w14:textId="77777777" w:rsidR="004D23A6" w:rsidRPr="00492303" w:rsidRDefault="004D23A6" w:rsidP="0002208C"/>
    <w:p w14:paraId="143873E7" w14:textId="42DE74AC" w:rsidR="004D23A6" w:rsidRDefault="00D03F8C" w:rsidP="007F0607">
      <w:pPr>
        <w:jc w:val="both"/>
        <w:rPr>
          <w:b/>
          <w:sz w:val="32"/>
          <w:szCs w:val="32"/>
        </w:rPr>
      </w:pPr>
      <w:r w:rsidRPr="00492303">
        <w:rPr>
          <w:b/>
          <w:sz w:val="32"/>
          <w:szCs w:val="32"/>
        </w:rPr>
        <w:t>Appendix</w:t>
      </w:r>
      <w:r w:rsidR="0096102E">
        <w:rPr>
          <w:b/>
          <w:sz w:val="32"/>
          <w:szCs w:val="32"/>
        </w:rPr>
        <w:t xml:space="preserve"> 1</w:t>
      </w:r>
    </w:p>
    <w:p w14:paraId="6B2EB76F" w14:textId="77777777" w:rsidR="00790B25" w:rsidRPr="00492303" w:rsidRDefault="00790B25" w:rsidP="007F0607">
      <w:pPr>
        <w:jc w:val="both"/>
        <w:rPr>
          <w:b/>
          <w:sz w:val="32"/>
          <w:szCs w:val="32"/>
        </w:rPr>
      </w:pPr>
    </w:p>
    <w:p w14:paraId="54C332C4" w14:textId="4C37FFD8" w:rsidR="00D03F8C" w:rsidRDefault="005738BF" w:rsidP="007F0607">
      <w:pPr>
        <w:jc w:val="both"/>
        <w:rPr>
          <w:b/>
          <w:sz w:val="22"/>
          <w:szCs w:val="22"/>
        </w:rPr>
      </w:pPr>
      <w:r w:rsidRPr="00D71CF3">
        <w:rPr>
          <w:b/>
          <w:sz w:val="22"/>
          <w:szCs w:val="22"/>
        </w:rPr>
        <w:t xml:space="preserve">Table </w:t>
      </w:r>
      <w:r w:rsidR="00CF76DD" w:rsidRPr="00D71CF3">
        <w:rPr>
          <w:b/>
          <w:sz w:val="22"/>
          <w:szCs w:val="22"/>
        </w:rPr>
        <w:t>3</w:t>
      </w:r>
      <w:r w:rsidRPr="00D71CF3">
        <w:rPr>
          <w:b/>
          <w:sz w:val="22"/>
          <w:szCs w:val="22"/>
        </w:rPr>
        <w:t xml:space="preserve">.  </w:t>
      </w:r>
      <w:r w:rsidR="0017126E" w:rsidRPr="00D71CF3">
        <w:rPr>
          <w:b/>
          <w:sz w:val="22"/>
          <w:szCs w:val="22"/>
        </w:rPr>
        <w:t>D</w:t>
      </w:r>
      <w:r w:rsidRPr="00D71CF3">
        <w:rPr>
          <w:b/>
          <w:sz w:val="22"/>
          <w:szCs w:val="22"/>
        </w:rPr>
        <w:t xml:space="preserve">escription </w:t>
      </w:r>
      <w:r w:rsidR="0017126E" w:rsidRPr="00D71CF3">
        <w:rPr>
          <w:b/>
          <w:sz w:val="22"/>
          <w:szCs w:val="22"/>
        </w:rPr>
        <w:t xml:space="preserve">of variables </w:t>
      </w:r>
    </w:p>
    <w:p w14:paraId="1B5EDCBC" w14:textId="77777777" w:rsidR="00D71CF3" w:rsidRPr="00D71CF3" w:rsidRDefault="00D71CF3" w:rsidP="007F0607">
      <w:pPr>
        <w:jc w:val="both"/>
        <w:rPr>
          <w:b/>
          <w:sz w:val="22"/>
          <w:szCs w:val="22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413"/>
        <w:gridCol w:w="3827"/>
        <w:gridCol w:w="1276"/>
        <w:gridCol w:w="1417"/>
      </w:tblGrid>
      <w:tr w:rsidR="005738BF" w:rsidRPr="00492303" w14:paraId="6225B593" w14:textId="77777777" w:rsidTr="00C73C7B">
        <w:tc>
          <w:tcPr>
            <w:tcW w:w="1413" w:type="dxa"/>
          </w:tcPr>
          <w:p w14:paraId="5F7F7ED7" w14:textId="77777777" w:rsidR="005738BF" w:rsidRPr="00492303" w:rsidRDefault="00C62845" w:rsidP="00423F4C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492303">
              <w:rPr>
                <w:b/>
                <w:sz w:val="20"/>
                <w:szCs w:val="20"/>
              </w:rPr>
              <w:t>V</w:t>
            </w:r>
            <w:r w:rsidR="005738BF" w:rsidRPr="00492303">
              <w:rPr>
                <w:b/>
                <w:sz w:val="20"/>
                <w:szCs w:val="20"/>
              </w:rPr>
              <w:t>ariable</w:t>
            </w:r>
          </w:p>
        </w:tc>
        <w:tc>
          <w:tcPr>
            <w:tcW w:w="3827" w:type="dxa"/>
          </w:tcPr>
          <w:p w14:paraId="3931DEB0" w14:textId="77777777" w:rsidR="005738BF" w:rsidRPr="00492303" w:rsidRDefault="00C62845" w:rsidP="00423F4C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492303">
              <w:rPr>
                <w:b/>
                <w:sz w:val="20"/>
                <w:szCs w:val="20"/>
              </w:rPr>
              <w:t>D</w:t>
            </w:r>
            <w:r w:rsidR="005738BF" w:rsidRPr="00492303">
              <w:rPr>
                <w:b/>
                <w:sz w:val="20"/>
                <w:szCs w:val="20"/>
              </w:rPr>
              <w:t>escription</w:t>
            </w:r>
          </w:p>
        </w:tc>
        <w:tc>
          <w:tcPr>
            <w:tcW w:w="1276" w:type="dxa"/>
          </w:tcPr>
          <w:p w14:paraId="4938E4F2" w14:textId="77777777" w:rsidR="005738BF" w:rsidRPr="00492303" w:rsidRDefault="005738BF" w:rsidP="00423F4C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492303">
              <w:rPr>
                <w:b/>
                <w:sz w:val="20"/>
                <w:szCs w:val="20"/>
              </w:rPr>
              <w:t xml:space="preserve">Frequency </w:t>
            </w:r>
          </w:p>
        </w:tc>
        <w:tc>
          <w:tcPr>
            <w:tcW w:w="1417" w:type="dxa"/>
          </w:tcPr>
          <w:p w14:paraId="26B3FE0B" w14:textId="77777777" w:rsidR="005738BF" w:rsidRPr="00492303" w:rsidRDefault="00C62845" w:rsidP="00423F4C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492303">
              <w:rPr>
                <w:b/>
                <w:sz w:val="20"/>
                <w:szCs w:val="20"/>
              </w:rPr>
              <w:t>S</w:t>
            </w:r>
            <w:r w:rsidR="005738BF" w:rsidRPr="00492303">
              <w:rPr>
                <w:b/>
                <w:sz w:val="20"/>
                <w:szCs w:val="20"/>
              </w:rPr>
              <w:t>ource</w:t>
            </w:r>
          </w:p>
        </w:tc>
      </w:tr>
      <w:tr w:rsidR="005F3879" w:rsidRPr="00492303" w14:paraId="0B2D5D57" w14:textId="77777777" w:rsidTr="000D09DC">
        <w:tc>
          <w:tcPr>
            <w:tcW w:w="7933" w:type="dxa"/>
            <w:gridSpan w:val="4"/>
          </w:tcPr>
          <w:p w14:paraId="5BB3B07A" w14:textId="77777777" w:rsidR="00692AA3" w:rsidRPr="00492303" w:rsidRDefault="00692AA3" w:rsidP="00423F4C">
            <w:pPr>
              <w:spacing w:line="276" w:lineRule="auto"/>
              <w:jc w:val="both"/>
              <w:rPr>
                <w:sz w:val="20"/>
                <w:szCs w:val="20"/>
              </w:rPr>
            </w:pPr>
          </w:p>
          <w:p w14:paraId="17861DA0" w14:textId="77777777" w:rsidR="005F3879" w:rsidRPr="00492303" w:rsidRDefault="005F3879" w:rsidP="00423F4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92303">
              <w:rPr>
                <w:sz w:val="20"/>
                <w:szCs w:val="20"/>
              </w:rPr>
              <w:t xml:space="preserve">Dependent variable Beta of banking sector </w:t>
            </w:r>
          </w:p>
          <w:p w14:paraId="0F2B4CC8" w14:textId="77777777" w:rsidR="005F3879" w:rsidRPr="00492303" w:rsidRDefault="005F3879" w:rsidP="00423F4C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  <w:tr w:rsidR="005738BF" w:rsidRPr="00492303" w14:paraId="296B8AE0" w14:textId="77777777" w:rsidTr="00C73C7B">
        <w:tc>
          <w:tcPr>
            <w:tcW w:w="1413" w:type="dxa"/>
          </w:tcPr>
          <w:p w14:paraId="66628D6C" w14:textId="77777777" w:rsidR="005738BF" w:rsidRPr="00492303" w:rsidRDefault="002C71A2" w:rsidP="00423F4C">
            <w:pPr>
              <w:spacing w:line="276" w:lineRule="auto"/>
              <w:rPr>
                <w:sz w:val="20"/>
                <w:szCs w:val="20"/>
              </w:rPr>
            </w:pPr>
            <w:r w:rsidRPr="00492303">
              <w:rPr>
                <w:sz w:val="20"/>
                <w:szCs w:val="20"/>
              </w:rPr>
              <w:t>Banking stock return</w:t>
            </w:r>
          </w:p>
        </w:tc>
        <w:tc>
          <w:tcPr>
            <w:tcW w:w="3827" w:type="dxa"/>
          </w:tcPr>
          <w:p w14:paraId="6DD858A0" w14:textId="63F3A20E" w:rsidR="005738BF" w:rsidRPr="00492303" w:rsidRDefault="00A009EE" w:rsidP="00423F4C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492303">
              <w:rPr>
                <w:sz w:val="20"/>
                <w:szCs w:val="20"/>
              </w:rPr>
              <w:t>Country series, Banking service total</w:t>
            </w:r>
            <w:r w:rsidR="000836F1">
              <w:rPr>
                <w:sz w:val="20"/>
                <w:szCs w:val="20"/>
              </w:rPr>
              <w:t xml:space="preserve"> market</w:t>
            </w:r>
            <w:r w:rsidRPr="00492303">
              <w:rPr>
                <w:sz w:val="20"/>
                <w:szCs w:val="20"/>
              </w:rPr>
              <w:t xml:space="preserve"> return index</w:t>
            </w:r>
            <w:r w:rsidR="00722771">
              <w:rPr>
                <w:sz w:val="20"/>
                <w:szCs w:val="20"/>
              </w:rPr>
              <w:t xml:space="preserve">. The observation for Japan for </w:t>
            </w:r>
            <w:r w:rsidR="000836F1">
              <w:rPr>
                <w:sz w:val="20"/>
                <w:szCs w:val="20"/>
              </w:rPr>
              <w:t>beta for the week 3</w:t>
            </w:r>
            <w:r w:rsidR="000836F1" w:rsidRPr="000836F1">
              <w:rPr>
                <w:sz w:val="20"/>
                <w:szCs w:val="20"/>
                <w:vertAlign w:val="superscript"/>
              </w:rPr>
              <w:t>rd</w:t>
            </w:r>
            <w:r w:rsidR="000836F1">
              <w:rPr>
                <w:sz w:val="20"/>
                <w:szCs w:val="20"/>
              </w:rPr>
              <w:t xml:space="preserve"> of January 2019 because the variance of total market return was 0 as the closing stock reported in Thomas Reuters database was 210.18 for the whole week.</w:t>
            </w:r>
          </w:p>
        </w:tc>
        <w:tc>
          <w:tcPr>
            <w:tcW w:w="1276" w:type="dxa"/>
          </w:tcPr>
          <w:p w14:paraId="1FCCDDA6" w14:textId="77777777" w:rsidR="005738BF" w:rsidRPr="00492303" w:rsidRDefault="009F4462" w:rsidP="00423F4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92303">
              <w:rPr>
                <w:sz w:val="20"/>
                <w:szCs w:val="20"/>
              </w:rPr>
              <w:t>weekly</w:t>
            </w:r>
          </w:p>
        </w:tc>
        <w:tc>
          <w:tcPr>
            <w:tcW w:w="1417" w:type="dxa"/>
          </w:tcPr>
          <w:p w14:paraId="115FF5F6" w14:textId="1AC5D1A6" w:rsidR="005738BF" w:rsidRPr="00492303" w:rsidRDefault="00B04BEF" w:rsidP="00423F4C">
            <w:pPr>
              <w:spacing w:line="276" w:lineRule="auto"/>
              <w:rPr>
                <w:sz w:val="20"/>
                <w:szCs w:val="20"/>
              </w:rPr>
            </w:pPr>
            <w:r w:rsidRPr="00492303">
              <w:rPr>
                <w:sz w:val="20"/>
                <w:szCs w:val="20"/>
              </w:rPr>
              <w:t xml:space="preserve">Thomson Reuters </w:t>
            </w:r>
          </w:p>
        </w:tc>
      </w:tr>
      <w:tr w:rsidR="005738BF" w:rsidRPr="00492303" w14:paraId="4C81F7F9" w14:textId="77777777" w:rsidTr="00C73C7B">
        <w:tc>
          <w:tcPr>
            <w:tcW w:w="1413" w:type="dxa"/>
          </w:tcPr>
          <w:p w14:paraId="1DBB892C" w14:textId="77777777" w:rsidR="005738BF" w:rsidRPr="00492303" w:rsidRDefault="002C71A2" w:rsidP="00423F4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92303">
              <w:rPr>
                <w:sz w:val="20"/>
                <w:szCs w:val="20"/>
              </w:rPr>
              <w:t xml:space="preserve">Market return </w:t>
            </w:r>
          </w:p>
        </w:tc>
        <w:tc>
          <w:tcPr>
            <w:tcW w:w="3827" w:type="dxa"/>
          </w:tcPr>
          <w:p w14:paraId="3E8A0FA3" w14:textId="77777777" w:rsidR="005738BF" w:rsidRPr="00492303" w:rsidRDefault="00A009EE" w:rsidP="00423F4C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492303">
              <w:rPr>
                <w:sz w:val="20"/>
                <w:szCs w:val="20"/>
              </w:rPr>
              <w:t>Country series, Banking service total return index</w:t>
            </w:r>
          </w:p>
        </w:tc>
        <w:tc>
          <w:tcPr>
            <w:tcW w:w="1276" w:type="dxa"/>
          </w:tcPr>
          <w:p w14:paraId="5186B1F6" w14:textId="77777777" w:rsidR="005738BF" w:rsidRPr="00492303" w:rsidRDefault="008E01F0" w:rsidP="00423F4C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492303">
              <w:rPr>
                <w:sz w:val="20"/>
                <w:szCs w:val="20"/>
              </w:rPr>
              <w:t>weekly</w:t>
            </w:r>
          </w:p>
        </w:tc>
        <w:tc>
          <w:tcPr>
            <w:tcW w:w="1417" w:type="dxa"/>
          </w:tcPr>
          <w:p w14:paraId="37660ABA" w14:textId="77777777" w:rsidR="005738BF" w:rsidRPr="00492303" w:rsidRDefault="00B41019" w:rsidP="00423F4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92303">
              <w:rPr>
                <w:sz w:val="20"/>
                <w:szCs w:val="20"/>
              </w:rPr>
              <w:t>Thomson Reuters</w:t>
            </w:r>
          </w:p>
          <w:p w14:paraId="60B64BAC" w14:textId="77777777" w:rsidR="00DC5485" w:rsidRPr="00492303" w:rsidRDefault="00DC5485" w:rsidP="00423F4C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</w:p>
        </w:tc>
      </w:tr>
      <w:tr w:rsidR="005F3879" w:rsidRPr="00492303" w14:paraId="37CACEDC" w14:textId="77777777" w:rsidTr="000D09DC">
        <w:tc>
          <w:tcPr>
            <w:tcW w:w="7933" w:type="dxa"/>
            <w:gridSpan w:val="4"/>
          </w:tcPr>
          <w:p w14:paraId="3112FA47" w14:textId="77777777" w:rsidR="00692AA3" w:rsidRPr="00492303" w:rsidRDefault="00692AA3" w:rsidP="00423F4C">
            <w:pPr>
              <w:spacing w:line="276" w:lineRule="auto"/>
              <w:jc w:val="both"/>
              <w:rPr>
                <w:sz w:val="20"/>
                <w:szCs w:val="20"/>
              </w:rPr>
            </w:pPr>
          </w:p>
          <w:p w14:paraId="40184212" w14:textId="77777777" w:rsidR="005F3879" w:rsidRPr="00492303" w:rsidRDefault="005F3879" w:rsidP="00423F4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92303">
              <w:rPr>
                <w:sz w:val="20"/>
                <w:szCs w:val="20"/>
              </w:rPr>
              <w:t xml:space="preserve">Independent variables </w:t>
            </w:r>
          </w:p>
          <w:p w14:paraId="7DAB82EE" w14:textId="77777777" w:rsidR="00B41019" w:rsidRPr="00492303" w:rsidRDefault="00B41019" w:rsidP="00423F4C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  <w:tr w:rsidR="005738BF" w:rsidRPr="00492303" w14:paraId="5E34289A" w14:textId="77777777" w:rsidTr="00C73C7B">
        <w:tc>
          <w:tcPr>
            <w:tcW w:w="1413" w:type="dxa"/>
          </w:tcPr>
          <w:p w14:paraId="7A6EA50F" w14:textId="2146D4EB" w:rsidR="005738BF" w:rsidRPr="00492303" w:rsidRDefault="005F3879" w:rsidP="00423F4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92303">
              <w:rPr>
                <w:sz w:val="20"/>
                <w:szCs w:val="20"/>
              </w:rPr>
              <w:t>C</w:t>
            </w:r>
            <w:r w:rsidR="000550A9" w:rsidRPr="00492303">
              <w:rPr>
                <w:sz w:val="20"/>
                <w:szCs w:val="20"/>
              </w:rPr>
              <w:t>OVID</w:t>
            </w:r>
            <w:r w:rsidRPr="00492303">
              <w:rPr>
                <w:sz w:val="20"/>
                <w:szCs w:val="20"/>
              </w:rPr>
              <w:t xml:space="preserve">-19 </w:t>
            </w:r>
          </w:p>
        </w:tc>
        <w:tc>
          <w:tcPr>
            <w:tcW w:w="3827" w:type="dxa"/>
          </w:tcPr>
          <w:p w14:paraId="01BF3A2C" w14:textId="77777777" w:rsidR="005738BF" w:rsidRPr="00492303" w:rsidRDefault="00B41019" w:rsidP="00423F4C">
            <w:pPr>
              <w:spacing w:line="276" w:lineRule="auto"/>
              <w:rPr>
                <w:sz w:val="20"/>
                <w:szCs w:val="20"/>
              </w:rPr>
            </w:pPr>
            <w:r w:rsidRPr="00492303">
              <w:rPr>
                <w:sz w:val="20"/>
                <w:szCs w:val="20"/>
              </w:rPr>
              <w:t>Confirmed number of cases of Covid- 19</w:t>
            </w:r>
          </w:p>
        </w:tc>
        <w:tc>
          <w:tcPr>
            <w:tcW w:w="1276" w:type="dxa"/>
          </w:tcPr>
          <w:p w14:paraId="20275811" w14:textId="77777777" w:rsidR="005738BF" w:rsidRPr="00492303" w:rsidRDefault="008E01F0" w:rsidP="00423F4C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492303">
              <w:rPr>
                <w:sz w:val="20"/>
                <w:szCs w:val="20"/>
              </w:rPr>
              <w:t>weekly</w:t>
            </w:r>
          </w:p>
        </w:tc>
        <w:tc>
          <w:tcPr>
            <w:tcW w:w="1417" w:type="dxa"/>
          </w:tcPr>
          <w:p w14:paraId="206A52DB" w14:textId="77777777" w:rsidR="005738BF" w:rsidRPr="00492303" w:rsidRDefault="007F4001" w:rsidP="00423F4C">
            <w:pPr>
              <w:spacing w:line="276" w:lineRule="auto"/>
              <w:rPr>
                <w:sz w:val="20"/>
                <w:szCs w:val="20"/>
              </w:rPr>
            </w:pPr>
            <w:r w:rsidRPr="00492303">
              <w:rPr>
                <w:sz w:val="20"/>
                <w:szCs w:val="20"/>
              </w:rPr>
              <w:t xml:space="preserve">EU open data portal </w:t>
            </w:r>
          </w:p>
          <w:p w14:paraId="29F95B66" w14:textId="77777777" w:rsidR="00DC5485" w:rsidRPr="00492303" w:rsidRDefault="00DC5485" w:rsidP="00423F4C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  <w:tr w:rsidR="005F3879" w:rsidRPr="00492303" w14:paraId="656FE99C" w14:textId="77777777" w:rsidTr="00C73C7B">
        <w:tc>
          <w:tcPr>
            <w:tcW w:w="1413" w:type="dxa"/>
          </w:tcPr>
          <w:p w14:paraId="12067FE7" w14:textId="77777777" w:rsidR="005F3879" w:rsidRPr="00492303" w:rsidRDefault="005F3879" w:rsidP="00423F4C">
            <w:pPr>
              <w:spacing w:line="276" w:lineRule="auto"/>
              <w:rPr>
                <w:b/>
                <w:sz w:val="20"/>
                <w:szCs w:val="20"/>
              </w:rPr>
            </w:pPr>
            <w:r w:rsidRPr="00492303">
              <w:rPr>
                <w:rFonts w:cstheme="minorHAnsi"/>
                <w:sz w:val="20"/>
                <w:szCs w:val="20"/>
              </w:rPr>
              <w:t>The slope</w:t>
            </w:r>
            <w:r w:rsidR="0057349D" w:rsidRPr="00492303">
              <w:rPr>
                <w:rFonts w:cstheme="minorHAnsi"/>
                <w:sz w:val="20"/>
                <w:szCs w:val="20"/>
              </w:rPr>
              <w:t xml:space="preserve"> of</w:t>
            </w:r>
            <w:r w:rsidR="00D97266" w:rsidRPr="00492303">
              <w:rPr>
                <w:rFonts w:cstheme="minorHAnsi"/>
                <w:sz w:val="20"/>
                <w:szCs w:val="20"/>
              </w:rPr>
              <w:t xml:space="preserve"> the</w:t>
            </w:r>
            <w:r w:rsidR="0057349D" w:rsidRPr="00492303">
              <w:rPr>
                <w:rFonts w:cstheme="minorHAnsi"/>
                <w:sz w:val="20"/>
                <w:szCs w:val="20"/>
              </w:rPr>
              <w:t xml:space="preserve"> yield</w:t>
            </w:r>
            <w:r w:rsidRPr="00492303">
              <w:rPr>
                <w:rFonts w:cstheme="minorHAnsi"/>
                <w:sz w:val="20"/>
                <w:szCs w:val="20"/>
              </w:rPr>
              <w:t xml:space="preserve"> </w:t>
            </w:r>
            <w:r w:rsidR="00DA0E83" w:rsidRPr="00492303">
              <w:rPr>
                <w:rFonts w:cstheme="minorHAnsi"/>
                <w:sz w:val="20"/>
                <w:szCs w:val="20"/>
              </w:rPr>
              <w:t>curve</w:t>
            </w:r>
          </w:p>
        </w:tc>
        <w:tc>
          <w:tcPr>
            <w:tcW w:w="3827" w:type="dxa"/>
          </w:tcPr>
          <w:p w14:paraId="1E65803C" w14:textId="2F242FFF" w:rsidR="005F3879" w:rsidRPr="00492303" w:rsidRDefault="00B56518" w:rsidP="00423F4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92303">
              <w:rPr>
                <w:sz w:val="20"/>
                <w:szCs w:val="20"/>
              </w:rPr>
              <w:t xml:space="preserve">The difference between 10 years government bonds and 3 months government bonds.   For Russia the slope of the yield curve was calculated as the difference between 10 years bond yield and 1 year bonds yield </w:t>
            </w:r>
            <w:r w:rsidR="00921CEA" w:rsidRPr="00492303">
              <w:rPr>
                <w:sz w:val="20"/>
                <w:szCs w:val="20"/>
              </w:rPr>
              <w:t>and for</w:t>
            </w:r>
            <w:r w:rsidRPr="00492303">
              <w:rPr>
                <w:sz w:val="20"/>
                <w:szCs w:val="20"/>
              </w:rPr>
              <w:t xml:space="preserve"> Switzerland as the difference between 10 years bond yields and </w:t>
            </w:r>
            <w:r w:rsidR="00D71CF3" w:rsidRPr="00492303">
              <w:rPr>
                <w:sz w:val="20"/>
                <w:szCs w:val="20"/>
              </w:rPr>
              <w:t>3-year</w:t>
            </w:r>
            <w:r w:rsidRPr="00492303">
              <w:rPr>
                <w:sz w:val="20"/>
                <w:szCs w:val="20"/>
              </w:rPr>
              <w:t xml:space="preserve"> bond yield</w:t>
            </w:r>
          </w:p>
        </w:tc>
        <w:tc>
          <w:tcPr>
            <w:tcW w:w="1276" w:type="dxa"/>
          </w:tcPr>
          <w:p w14:paraId="36F543EE" w14:textId="77777777" w:rsidR="005F3879" w:rsidRPr="00492303" w:rsidRDefault="008E01F0" w:rsidP="00423F4C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492303">
              <w:rPr>
                <w:sz w:val="20"/>
                <w:szCs w:val="20"/>
              </w:rPr>
              <w:t>weekly</w:t>
            </w:r>
          </w:p>
        </w:tc>
        <w:tc>
          <w:tcPr>
            <w:tcW w:w="1417" w:type="dxa"/>
          </w:tcPr>
          <w:p w14:paraId="7A3BDBE5" w14:textId="77777777" w:rsidR="005F3879" w:rsidRPr="00492303" w:rsidRDefault="00B56518" w:rsidP="00423F4C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492303">
              <w:rPr>
                <w:sz w:val="20"/>
                <w:szCs w:val="20"/>
              </w:rPr>
              <w:t>Thomson Reuters</w:t>
            </w:r>
          </w:p>
        </w:tc>
      </w:tr>
      <w:tr w:rsidR="00025720" w:rsidRPr="00492303" w14:paraId="2A1B654C" w14:textId="77777777" w:rsidTr="00C73C7B">
        <w:tc>
          <w:tcPr>
            <w:tcW w:w="1413" w:type="dxa"/>
          </w:tcPr>
          <w:p w14:paraId="3CC6D767" w14:textId="4613E05C" w:rsidR="00025720" w:rsidRPr="00492303" w:rsidRDefault="00F25414" w:rsidP="00423F4C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492303">
              <w:rPr>
                <w:rFonts w:cstheme="minorHAnsi"/>
                <w:sz w:val="20"/>
                <w:szCs w:val="20"/>
              </w:rPr>
              <w:lastRenderedPageBreak/>
              <w:t>Government policy</w:t>
            </w:r>
          </w:p>
        </w:tc>
        <w:tc>
          <w:tcPr>
            <w:tcW w:w="3827" w:type="dxa"/>
          </w:tcPr>
          <w:p w14:paraId="33425426" w14:textId="0D8137AA" w:rsidR="00025720" w:rsidRPr="00492303" w:rsidRDefault="006661A7" w:rsidP="00423F4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92303">
              <w:rPr>
                <w:sz w:val="20"/>
                <w:szCs w:val="20"/>
              </w:rPr>
              <w:t xml:space="preserve">Economic support index, </w:t>
            </w:r>
            <w:r w:rsidR="00CE79CF" w:rsidRPr="00492303">
              <w:rPr>
                <w:sz w:val="20"/>
                <w:szCs w:val="20"/>
              </w:rPr>
              <w:t>daily data. Average o</w:t>
            </w:r>
            <w:r w:rsidR="00731D66">
              <w:rPr>
                <w:sz w:val="20"/>
                <w:szCs w:val="20"/>
              </w:rPr>
              <w:t>f</w:t>
            </w:r>
            <w:r w:rsidR="00CE79CF" w:rsidRPr="00492303">
              <w:rPr>
                <w:sz w:val="20"/>
                <w:szCs w:val="20"/>
              </w:rPr>
              <w:t xml:space="preserve"> daily data to calculate weekly </w:t>
            </w:r>
          </w:p>
        </w:tc>
        <w:tc>
          <w:tcPr>
            <w:tcW w:w="1276" w:type="dxa"/>
          </w:tcPr>
          <w:p w14:paraId="12A30575" w14:textId="0FF5B425" w:rsidR="00025720" w:rsidRPr="00492303" w:rsidRDefault="00D813AF" w:rsidP="00423F4C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  <w:r w:rsidR="006661A7" w:rsidRPr="00492303">
              <w:rPr>
                <w:sz w:val="20"/>
                <w:szCs w:val="20"/>
              </w:rPr>
              <w:t xml:space="preserve">aily </w:t>
            </w:r>
          </w:p>
        </w:tc>
        <w:tc>
          <w:tcPr>
            <w:tcW w:w="1417" w:type="dxa"/>
          </w:tcPr>
          <w:p w14:paraId="13151034" w14:textId="059E5F28" w:rsidR="00025720" w:rsidRPr="00492303" w:rsidRDefault="00567F9A" w:rsidP="00423F4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92303">
              <w:rPr>
                <w:sz w:val="20"/>
                <w:szCs w:val="20"/>
              </w:rPr>
              <w:t>Covid</w:t>
            </w:r>
            <w:r w:rsidR="00DB17F2" w:rsidRPr="00492303">
              <w:rPr>
                <w:sz w:val="20"/>
                <w:szCs w:val="20"/>
              </w:rPr>
              <w:t>-</w:t>
            </w:r>
            <w:r w:rsidRPr="00492303">
              <w:rPr>
                <w:sz w:val="20"/>
                <w:szCs w:val="20"/>
              </w:rPr>
              <w:t xml:space="preserve">19 </w:t>
            </w:r>
            <w:r w:rsidR="00D71CF3">
              <w:rPr>
                <w:sz w:val="20"/>
                <w:szCs w:val="20"/>
              </w:rPr>
              <w:t>G</w:t>
            </w:r>
            <w:r w:rsidRPr="00492303">
              <w:rPr>
                <w:sz w:val="20"/>
                <w:szCs w:val="20"/>
              </w:rPr>
              <w:t xml:space="preserve">overnment </w:t>
            </w:r>
            <w:r w:rsidR="00D71CF3">
              <w:rPr>
                <w:sz w:val="20"/>
                <w:szCs w:val="20"/>
              </w:rPr>
              <w:t>R</w:t>
            </w:r>
            <w:r w:rsidRPr="00492303">
              <w:rPr>
                <w:sz w:val="20"/>
                <w:szCs w:val="20"/>
              </w:rPr>
              <w:t>esponse</w:t>
            </w:r>
            <w:r w:rsidR="00DB17F2" w:rsidRPr="00492303">
              <w:rPr>
                <w:sz w:val="20"/>
                <w:szCs w:val="20"/>
              </w:rPr>
              <w:t xml:space="preserve"> </w:t>
            </w:r>
            <w:r w:rsidR="00D71CF3">
              <w:rPr>
                <w:sz w:val="20"/>
                <w:szCs w:val="20"/>
              </w:rPr>
              <w:t>T</w:t>
            </w:r>
            <w:r w:rsidRPr="00492303">
              <w:rPr>
                <w:sz w:val="20"/>
                <w:szCs w:val="20"/>
              </w:rPr>
              <w:t xml:space="preserve">racker. </w:t>
            </w:r>
            <w:r w:rsidR="00DB17F2" w:rsidRPr="00492303">
              <w:rPr>
                <w:sz w:val="20"/>
                <w:szCs w:val="20"/>
              </w:rPr>
              <w:t xml:space="preserve">University of </w:t>
            </w:r>
            <w:r w:rsidRPr="00492303">
              <w:rPr>
                <w:sz w:val="20"/>
                <w:szCs w:val="20"/>
              </w:rPr>
              <w:t>Oxford</w:t>
            </w:r>
          </w:p>
        </w:tc>
      </w:tr>
      <w:tr w:rsidR="00025720" w:rsidRPr="00492303" w14:paraId="6D4E0D27" w14:textId="77777777" w:rsidTr="00C73C7B">
        <w:tc>
          <w:tcPr>
            <w:tcW w:w="1413" w:type="dxa"/>
          </w:tcPr>
          <w:p w14:paraId="0096ED72" w14:textId="0E0EEEF1" w:rsidR="00025720" w:rsidRPr="00492303" w:rsidRDefault="00D145B7" w:rsidP="00423F4C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492303">
              <w:rPr>
                <w:rFonts w:cstheme="minorHAnsi"/>
                <w:sz w:val="20"/>
                <w:szCs w:val="20"/>
              </w:rPr>
              <w:t>Liquidity ratio</w:t>
            </w:r>
          </w:p>
        </w:tc>
        <w:tc>
          <w:tcPr>
            <w:tcW w:w="3827" w:type="dxa"/>
          </w:tcPr>
          <w:p w14:paraId="391FCEA2" w14:textId="2D324EE2" w:rsidR="00025720" w:rsidRPr="00492303" w:rsidRDefault="00EA6AC1" w:rsidP="00423F4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92303">
              <w:rPr>
                <w:sz w:val="20"/>
                <w:szCs w:val="20"/>
              </w:rPr>
              <w:t xml:space="preserve">Liquid assets to short term </w:t>
            </w:r>
            <w:r w:rsidR="006800CD" w:rsidRPr="00492303">
              <w:rPr>
                <w:sz w:val="20"/>
                <w:szCs w:val="20"/>
              </w:rPr>
              <w:t xml:space="preserve">liabilities </w:t>
            </w:r>
          </w:p>
        </w:tc>
        <w:tc>
          <w:tcPr>
            <w:tcW w:w="1276" w:type="dxa"/>
          </w:tcPr>
          <w:p w14:paraId="1446FABE" w14:textId="72038F13" w:rsidR="00025720" w:rsidRPr="00492303" w:rsidRDefault="00DB17F2" w:rsidP="00423F4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92303">
              <w:rPr>
                <w:sz w:val="20"/>
                <w:szCs w:val="20"/>
              </w:rPr>
              <w:t>quarterly</w:t>
            </w:r>
          </w:p>
        </w:tc>
        <w:tc>
          <w:tcPr>
            <w:tcW w:w="1417" w:type="dxa"/>
          </w:tcPr>
          <w:p w14:paraId="020DFA75" w14:textId="4212E0AC" w:rsidR="00025720" w:rsidRPr="00492303" w:rsidRDefault="008E1F0E" w:rsidP="00423F4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92303">
              <w:rPr>
                <w:sz w:val="20"/>
                <w:szCs w:val="20"/>
              </w:rPr>
              <w:t xml:space="preserve">IMF: </w:t>
            </w:r>
            <w:r w:rsidR="003B091C" w:rsidRPr="00492303">
              <w:rPr>
                <w:sz w:val="20"/>
                <w:szCs w:val="20"/>
              </w:rPr>
              <w:t>Financial Soundness Indicators</w:t>
            </w:r>
          </w:p>
        </w:tc>
      </w:tr>
    </w:tbl>
    <w:p w14:paraId="1161E49C" w14:textId="77777777" w:rsidR="004D23A6" w:rsidRPr="00492303" w:rsidRDefault="004D23A6" w:rsidP="007F0607">
      <w:pPr>
        <w:jc w:val="both"/>
        <w:rPr>
          <w:b/>
          <w:sz w:val="20"/>
          <w:szCs w:val="20"/>
        </w:rPr>
      </w:pPr>
    </w:p>
    <w:p w14:paraId="738BED77" w14:textId="77777777" w:rsidR="004D23A6" w:rsidRPr="00790B25" w:rsidRDefault="004D23A6" w:rsidP="007F0607">
      <w:pPr>
        <w:jc w:val="both"/>
        <w:rPr>
          <w:b/>
          <w:sz w:val="32"/>
          <w:szCs w:val="32"/>
        </w:rPr>
      </w:pPr>
    </w:p>
    <w:p w14:paraId="5A21E24B" w14:textId="7A400C11" w:rsidR="004D23A6" w:rsidRPr="00790B25" w:rsidRDefault="0077648C" w:rsidP="007F0607">
      <w:pPr>
        <w:jc w:val="both"/>
        <w:rPr>
          <w:b/>
          <w:sz w:val="32"/>
          <w:szCs w:val="32"/>
        </w:rPr>
      </w:pPr>
      <w:r w:rsidRPr="00790B25">
        <w:rPr>
          <w:b/>
          <w:sz w:val="32"/>
          <w:szCs w:val="32"/>
        </w:rPr>
        <w:t xml:space="preserve">Appendix 2 </w:t>
      </w:r>
    </w:p>
    <w:p w14:paraId="061BD400" w14:textId="77777777" w:rsidR="00790B25" w:rsidRPr="00492303" w:rsidRDefault="00790B25" w:rsidP="007F0607">
      <w:pPr>
        <w:jc w:val="both"/>
        <w:rPr>
          <w:b/>
          <w:sz w:val="20"/>
          <w:szCs w:val="20"/>
        </w:rPr>
      </w:pPr>
    </w:p>
    <w:p w14:paraId="7C5CE8E7" w14:textId="144C7DED" w:rsidR="0077648C" w:rsidRPr="00492303" w:rsidRDefault="00DF1A57" w:rsidP="007F0607">
      <w:pPr>
        <w:jc w:val="both"/>
        <w:rPr>
          <w:b/>
          <w:sz w:val="20"/>
          <w:szCs w:val="20"/>
        </w:rPr>
      </w:pPr>
      <w:r w:rsidRPr="00492303">
        <w:rPr>
          <w:b/>
          <w:noProof/>
          <w:sz w:val="20"/>
          <w:szCs w:val="20"/>
        </w:rPr>
        <w:drawing>
          <wp:inline distT="0" distB="0" distL="0" distR="0" wp14:anchorId="3512E48A" wp14:editId="31A3BF7A">
            <wp:extent cx="5731510" cy="252603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526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87AC30" w14:textId="33A3C5E7" w:rsidR="00AC4343" w:rsidRPr="00492303" w:rsidRDefault="00AC4343" w:rsidP="007F0607">
      <w:pPr>
        <w:jc w:val="both"/>
        <w:rPr>
          <w:b/>
          <w:sz w:val="20"/>
          <w:szCs w:val="20"/>
        </w:rPr>
      </w:pPr>
    </w:p>
    <w:p w14:paraId="2CEBF1E8" w14:textId="643E0ACD" w:rsidR="00AC4343" w:rsidRPr="00492303" w:rsidRDefault="00AC4343" w:rsidP="007F0607">
      <w:pPr>
        <w:jc w:val="both"/>
        <w:rPr>
          <w:b/>
          <w:sz w:val="20"/>
          <w:szCs w:val="20"/>
        </w:rPr>
      </w:pPr>
      <w:r w:rsidRPr="00492303">
        <w:rPr>
          <w:b/>
          <w:noProof/>
          <w:sz w:val="20"/>
          <w:szCs w:val="20"/>
        </w:rPr>
        <w:drawing>
          <wp:inline distT="0" distB="0" distL="0" distR="0" wp14:anchorId="7CF0A433" wp14:editId="6057C2AD">
            <wp:extent cx="5731510" cy="2402205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402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314399" w14:textId="39BAB328" w:rsidR="00AC4343" w:rsidRPr="00492303" w:rsidRDefault="00AC4343" w:rsidP="007F0607">
      <w:pPr>
        <w:jc w:val="both"/>
        <w:rPr>
          <w:b/>
          <w:sz w:val="20"/>
          <w:szCs w:val="20"/>
        </w:rPr>
      </w:pPr>
    </w:p>
    <w:p w14:paraId="4A77DDDF" w14:textId="738793C4" w:rsidR="00AC4343" w:rsidRPr="00492303" w:rsidRDefault="00AC4343" w:rsidP="007F0607">
      <w:pPr>
        <w:jc w:val="both"/>
        <w:rPr>
          <w:b/>
          <w:sz w:val="20"/>
          <w:szCs w:val="20"/>
        </w:rPr>
      </w:pPr>
    </w:p>
    <w:p w14:paraId="333CCBA7" w14:textId="77777777" w:rsidR="00AC4343" w:rsidRPr="00492303" w:rsidRDefault="00AC4343" w:rsidP="007F0607">
      <w:pPr>
        <w:jc w:val="both"/>
        <w:rPr>
          <w:b/>
          <w:sz w:val="20"/>
          <w:szCs w:val="20"/>
        </w:rPr>
      </w:pPr>
    </w:p>
    <w:p w14:paraId="61A17E48" w14:textId="3CF12704" w:rsidR="0077648C" w:rsidRPr="00492303" w:rsidRDefault="00FE5353" w:rsidP="007F0607">
      <w:pPr>
        <w:jc w:val="both"/>
        <w:rPr>
          <w:b/>
          <w:sz w:val="20"/>
          <w:szCs w:val="20"/>
        </w:rPr>
      </w:pPr>
      <w:r w:rsidRPr="00492303">
        <w:rPr>
          <w:b/>
          <w:noProof/>
          <w:sz w:val="20"/>
          <w:szCs w:val="20"/>
        </w:rPr>
        <w:lastRenderedPageBreak/>
        <w:drawing>
          <wp:inline distT="0" distB="0" distL="0" distR="0" wp14:anchorId="6E21514E" wp14:editId="2E8C9269">
            <wp:extent cx="5731510" cy="242316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423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728E30" w14:textId="4CCE8F78" w:rsidR="00F0624C" w:rsidRPr="00492303" w:rsidRDefault="00F0624C" w:rsidP="007F0607">
      <w:pPr>
        <w:jc w:val="both"/>
        <w:rPr>
          <w:b/>
          <w:sz w:val="20"/>
          <w:szCs w:val="20"/>
        </w:rPr>
      </w:pPr>
    </w:p>
    <w:p w14:paraId="2B62D699" w14:textId="7E39DB87" w:rsidR="00F0624C" w:rsidRPr="00492303" w:rsidRDefault="00F0624C" w:rsidP="007F0607">
      <w:pPr>
        <w:jc w:val="both"/>
        <w:rPr>
          <w:b/>
          <w:sz w:val="20"/>
          <w:szCs w:val="20"/>
        </w:rPr>
      </w:pPr>
      <w:r w:rsidRPr="00492303">
        <w:rPr>
          <w:b/>
          <w:noProof/>
          <w:sz w:val="20"/>
          <w:szCs w:val="20"/>
        </w:rPr>
        <w:drawing>
          <wp:inline distT="0" distB="0" distL="0" distR="0" wp14:anchorId="3D333100" wp14:editId="4D638E2E">
            <wp:extent cx="5731510" cy="2394585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394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A7B545" w14:textId="37D80062" w:rsidR="00D82715" w:rsidRPr="00492303" w:rsidRDefault="00D82715" w:rsidP="007F0607">
      <w:pPr>
        <w:jc w:val="both"/>
        <w:rPr>
          <w:b/>
          <w:sz w:val="20"/>
          <w:szCs w:val="20"/>
        </w:rPr>
      </w:pPr>
      <w:r w:rsidRPr="00492303">
        <w:rPr>
          <w:b/>
          <w:noProof/>
          <w:sz w:val="20"/>
          <w:szCs w:val="20"/>
        </w:rPr>
        <w:drawing>
          <wp:inline distT="0" distB="0" distL="0" distR="0" wp14:anchorId="749385C4" wp14:editId="59445415">
            <wp:extent cx="5731510" cy="242316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423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708605" w14:textId="77777777" w:rsidR="00D82715" w:rsidRPr="00492303" w:rsidRDefault="00D82715" w:rsidP="007F0607">
      <w:pPr>
        <w:jc w:val="both"/>
        <w:rPr>
          <w:b/>
          <w:sz w:val="20"/>
          <w:szCs w:val="20"/>
        </w:rPr>
      </w:pPr>
    </w:p>
    <w:p w14:paraId="60F33F05" w14:textId="77777777" w:rsidR="004D23A6" w:rsidRPr="00492303" w:rsidRDefault="004D23A6" w:rsidP="007F0607">
      <w:pPr>
        <w:jc w:val="both"/>
        <w:rPr>
          <w:b/>
          <w:sz w:val="20"/>
          <w:szCs w:val="20"/>
        </w:rPr>
      </w:pPr>
    </w:p>
    <w:p w14:paraId="6EC5929B" w14:textId="77777777" w:rsidR="004D23A6" w:rsidRPr="00492303" w:rsidRDefault="004D23A6" w:rsidP="007F0607">
      <w:pPr>
        <w:jc w:val="both"/>
        <w:rPr>
          <w:b/>
          <w:sz w:val="20"/>
          <w:szCs w:val="20"/>
        </w:rPr>
      </w:pPr>
    </w:p>
    <w:p w14:paraId="2C9644D0" w14:textId="7B926F78" w:rsidR="004D23A6" w:rsidRPr="00492303" w:rsidRDefault="005D19EF" w:rsidP="007F0607">
      <w:pPr>
        <w:jc w:val="both"/>
        <w:rPr>
          <w:b/>
          <w:sz w:val="20"/>
          <w:szCs w:val="20"/>
        </w:rPr>
      </w:pPr>
      <w:r w:rsidRPr="00492303">
        <w:rPr>
          <w:b/>
          <w:noProof/>
          <w:sz w:val="20"/>
          <w:szCs w:val="20"/>
        </w:rPr>
        <w:lastRenderedPageBreak/>
        <w:drawing>
          <wp:inline distT="0" distB="0" distL="0" distR="0" wp14:anchorId="3BCB5192" wp14:editId="3B203C51">
            <wp:extent cx="5731510" cy="2361565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361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DAA6D2" w14:textId="77777777" w:rsidR="004D23A6" w:rsidRPr="00492303" w:rsidRDefault="004D23A6" w:rsidP="007F0607">
      <w:pPr>
        <w:jc w:val="both"/>
        <w:rPr>
          <w:b/>
          <w:sz w:val="20"/>
          <w:szCs w:val="20"/>
        </w:rPr>
      </w:pPr>
    </w:p>
    <w:p w14:paraId="2E3E962A" w14:textId="77777777" w:rsidR="004D23A6" w:rsidRPr="00492303" w:rsidRDefault="004D23A6" w:rsidP="007F0607">
      <w:pPr>
        <w:jc w:val="both"/>
        <w:rPr>
          <w:b/>
          <w:sz w:val="20"/>
          <w:szCs w:val="20"/>
        </w:rPr>
      </w:pPr>
    </w:p>
    <w:p w14:paraId="7B4FEECF" w14:textId="77777777" w:rsidR="004D5C80" w:rsidRDefault="004D5C80" w:rsidP="00C4722A">
      <w:pPr>
        <w:spacing w:line="360" w:lineRule="auto"/>
        <w:jc w:val="both"/>
        <w:rPr>
          <w:b/>
        </w:rPr>
      </w:pPr>
    </w:p>
    <w:p w14:paraId="67252933" w14:textId="77777777" w:rsidR="004D5C80" w:rsidRDefault="004D5C80" w:rsidP="00C4722A">
      <w:pPr>
        <w:spacing w:line="360" w:lineRule="auto"/>
        <w:jc w:val="both"/>
        <w:rPr>
          <w:b/>
        </w:rPr>
      </w:pPr>
    </w:p>
    <w:p w14:paraId="7F2E7941" w14:textId="77777777" w:rsidR="004D5C80" w:rsidRDefault="004D5C80" w:rsidP="00C4722A">
      <w:pPr>
        <w:spacing w:line="360" w:lineRule="auto"/>
        <w:jc w:val="both"/>
        <w:rPr>
          <w:b/>
        </w:rPr>
      </w:pPr>
    </w:p>
    <w:p w14:paraId="466E1528" w14:textId="77777777" w:rsidR="004D5C80" w:rsidRDefault="004D5C80" w:rsidP="00C4722A">
      <w:pPr>
        <w:spacing w:line="360" w:lineRule="auto"/>
        <w:jc w:val="both"/>
        <w:rPr>
          <w:b/>
        </w:rPr>
      </w:pPr>
    </w:p>
    <w:p w14:paraId="78243800" w14:textId="77777777" w:rsidR="004D5C80" w:rsidRDefault="004D5C80" w:rsidP="00C4722A">
      <w:pPr>
        <w:spacing w:line="360" w:lineRule="auto"/>
        <w:jc w:val="both"/>
        <w:rPr>
          <w:b/>
        </w:rPr>
      </w:pPr>
    </w:p>
    <w:p w14:paraId="383661D0" w14:textId="77777777" w:rsidR="004D5C80" w:rsidRDefault="004D5C80" w:rsidP="00C4722A">
      <w:pPr>
        <w:spacing w:line="360" w:lineRule="auto"/>
        <w:jc w:val="both"/>
        <w:rPr>
          <w:b/>
        </w:rPr>
      </w:pPr>
    </w:p>
    <w:p w14:paraId="26C60205" w14:textId="77777777" w:rsidR="004D5C80" w:rsidRDefault="004D5C80" w:rsidP="00C4722A">
      <w:pPr>
        <w:spacing w:line="360" w:lineRule="auto"/>
        <w:jc w:val="both"/>
        <w:rPr>
          <w:b/>
        </w:rPr>
      </w:pPr>
    </w:p>
    <w:p w14:paraId="0ED8B295" w14:textId="77777777" w:rsidR="004D5C80" w:rsidRDefault="004D5C80" w:rsidP="00C4722A">
      <w:pPr>
        <w:spacing w:line="360" w:lineRule="auto"/>
        <w:jc w:val="both"/>
        <w:rPr>
          <w:b/>
        </w:rPr>
      </w:pPr>
    </w:p>
    <w:p w14:paraId="1CF96786" w14:textId="77777777" w:rsidR="004D5C80" w:rsidRDefault="004D5C80" w:rsidP="00C4722A">
      <w:pPr>
        <w:spacing w:line="360" w:lineRule="auto"/>
        <w:jc w:val="both"/>
        <w:rPr>
          <w:b/>
        </w:rPr>
      </w:pPr>
    </w:p>
    <w:p w14:paraId="1A18F4ED" w14:textId="08D9FD20" w:rsidR="003835F8" w:rsidRDefault="003835F8" w:rsidP="00220C1E">
      <w:pPr>
        <w:rPr>
          <w:rFonts w:ascii="Georgia" w:hAnsi="Georgia"/>
          <w:color w:val="2E2E2E"/>
          <w:sz w:val="27"/>
          <w:szCs w:val="27"/>
        </w:rPr>
      </w:pPr>
    </w:p>
    <w:p w14:paraId="474EC7C7" w14:textId="3452EBE5" w:rsidR="00063F16" w:rsidRDefault="00063F16" w:rsidP="00220C1E">
      <w:pPr>
        <w:rPr>
          <w:rFonts w:ascii="Georgia" w:hAnsi="Georgia"/>
          <w:color w:val="2E2E2E"/>
          <w:sz w:val="27"/>
          <w:szCs w:val="27"/>
        </w:rPr>
      </w:pPr>
    </w:p>
    <w:p w14:paraId="57579DC7" w14:textId="574CB25C" w:rsidR="00063F16" w:rsidRDefault="00063F16" w:rsidP="00220C1E">
      <w:pPr>
        <w:rPr>
          <w:color w:val="2E2E2E"/>
          <w:sz w:val="27"/>
          <w:szCs w:val="27"/>
        </w:rPr>
      </w:pPr>
    </w:p>
    <w:p w14:paraId="34634FCF" w14:textId="77777777" w:rsidR="00063F16" w:rsidRPr="00063F16" w:rsidRDefault="00063F16" w:rsidP="00220C1E">
      <w:pPr>
        <w:rPr>
          <w:color w:val="2E2E2E"/>
          <w:sz w:val="27"/>
          <w:szCs w:val="27"/>
        </w:rPr>
      </w:pPr>
    </w:p>
    <w:p w14:paraId="4F2E6C4C" w14:textId="2DD067A7" w:rsidR="00063F16" w:rsidRDefault="00063F16" w:rsidP="00220C1E">
      <w:pPr>
        <w:rPr>
          <w:rFonts w:ascii="Georgia" w:hAnsi="Georgia"/>
          <w:color w:val="2E2E2E"/>
          <w:sz w:val="27"/>
          <w:szCs w:val="27"/>
        </w:rPr>
      </w:pPr>
    </w:p>
    <w:p w14:paraId="44DB6366" w14:textId="10163508" w:rsidR="001B1F15" w:rsidRDefault="001B1F15" w:rsidP="00220C1E">
      <w:pPr>
        <w:rPr>
          <w:rFonts w:ascii="Georgia" w:hAnsi="Georgia"/>
          <w:color w:val="2E2E2E"/>
          <w:sz w:val="27"/>
          <w:szCs w:val="27"/>
        </w:rPr>
      </w:pPr>
    </w:p>
    <w:p w14:paraId="3EFD3E29" w14:textId="77777777" w:rsidR="001B1F15" w:rsidRDefault="001B1F15" w:rsidP="00220C1E">
      <w:pPr>
        <w:rPr>
          <w:rFonts w:ascii="Georgia" w:hAnsi="Georgia"/>
          <w:color w:val="2E2E2E"/>
          <w:sz w:val="27"/>
          <w:szCs w:val="27"/>
        </w:rPr>
      </w:pPr>
    </w:p>
    <w:p w14:paraId="10E125AF" w14:textId="2F253FE5" w:rsidR="00063F16" w:rsidRDefault="00063F16" w:rsidP="00220C1E">
      <w:pPr>
        <w:rPr>
          <w:rFonts w:ascii="Georgia" w:hAnsi="Georgia"/>
          <w:color w:val="2E2E2E"/>
          <w:sz w:val="27"/>
          <w:szCs w:val="27"/>
        </w:rPr>
      </w:pPr>
    </w:p>
    <w:p w14:paraId="7993DE13" w14:textId="38BB810E" w:rsidR="00ED654E" w:rsidRDefault="00ED654E" w:rsidP="00220C1E">
      <w:pPr>
        <w:rPr>
          <w:rFonts w:ascii="Georgia" w:hAnsi="Georgia"/>
          <w:color w:val="2E2E2E"/>
          <w:sz w:val="27"/>
          <w:szCs w:val="27"/>
        </w:rPr>
      </w:pPr>
    </w:p>
    <w:p w14:paraId="0C52BD32" w14:textId="4310FFF2" w:rsidR="00ED654E" w:rsidRDefault="00ED654E" w:rsidP="00220C1E">
      <w:pPr>
        <w:rPr>
          <w:rFonts w:ascii="Georgia" w:hAnsi="Georgia"/>
          <w:color w:val="2E2E2E"/>
          <w:sz w:val="27"/>
          <w:szCs w:val="27"/>
        </w:rPr>
      </w:pPr>
    </w:p>
    <w:p w14:paraId="605DADD0" w14:textId="4078B6B8" w:rsidR="00ED654E" w:rsidRDefault="00ED654E" w:rsidP="00220C1E">
      <w:pPr>
        <w:rPr>
          <w:rFonts w:ascii="Georgia" w:hAnsi="Georgia"/>
          <w:color w:val="2E2E2E"/>
          <w:sz w:val="27"/>
          <w:szCs w:val="27"/>
        </w:rPr>
      </w:pPr>
    </w:p>
    <w:p w14:paraId="720681EA" w14:textId="7E37B2E3" w:rsidR="00ED654E" w:rsidRDefault="00ED654E" w:rsidP="00220C1E">
      <w:pPr>
        <w:rPr>
          <w:rFonts w:ascii="Georgia" w:hAnsi="Georgia"/>
          <w:color w:val="2E2E2E"/>
          <w:sz w:val="27"/>
          <w:szCs w:val="27"/>
        </w:rPr>
      </w:pPr>
    </w:p>
    <w:p w14:paraId="1FF23FD9" w14:textId="39D6B5B6" w:rsidR="008055C2" w:rsidRDefault="008055C2" w:rsidP="00220C1E">
      <w:pPr>
        <w:rPr>
          <w:rFonts w:ascii="Georgia" w:hAnsi="Georgia"/>
          <w:color w:val="2E2E2E"/>
          <w:sz w:val="27"/>
          <w:szCs w:val="27"/>
        </w:rPr>
      </w:pPr>
    </w:p>
    <w:p w14:paraId="16ABE458" w14:textId="7D05DBB5" w:rsidR="00BB337F" w:rsidRDefault="00BB337F" w:rsidP="00220C1E">
      <w:pPr>
        <w:rPr>
          <w:rFonts w:ascii="Georgia" w:hAnsi="Georgia"/>
          <w:color w:val="2E2E2E"/>
          <w:sz w:val="27"/>
          <w:szCs w:val="27"/>
        </w:rPr>
      </w:pPr>
    </w:p>
    <w:p w14:paraId="44EB2E99" w14:textId="3BD1C4F5" w:rsidR="00BB337F" w:rsidRDefault="00BB337F" w:rsidP="00220C1E">
      <w:pPr>
        <w:rPr>
          <w:rFonts w:ascii="Georgia" w:hAnsi="Georgia"/>
          <w:color w:val="2E2E2E"/>
          <w:sz w:val="27"/>
          <w:szCs w:val="27"/>
        </w:rPr>
      </w:pPr>
    </w:p>
    <w:p w14:paraId="797DCF8E" w14:textId="77777777" w:rsidR="00BB337F" w:rsidRDefault="00BB337F" w:rsidP="00220C1E">
      <w:pPr>
        <w:rPr>
          <w:rFonts w:ascii="Georgia" w:hAnsi="Georgia"/>
          <w:color w:val="2E2E2E"/>
          <w:sz w:val="27"/>
          <w:szCs w:val="27"/>
        </w:rPr>
      </w:pPr>
    </w:p>
    <w:p w14:paraId="1F39DCFD" w14:textId="77777777" w:rsidR="003B73DC" w:rsidRPr="00BD5CB2" w:rsidRDefault="003B73DC" w:rsidP="00BD5CB2">
      <w:pPr>
        <w:tabs>
          <w:tab w:val="left" w:pos="2543"/>
        </w:tabs>
      </w:pPr>
    </w:p>
    <w:sectPr w:rsidR="003B73DC" w:rsidRPr="00BD5CB2">
      <w:footerReference w:type="default" r:id="rId2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F80161" w14:textId="77777777" w:rsidR="00E41104" w:rsidRDefault="00E41104" w:rsidP="004D23A6">
      <w:r>
        <w:separator/>
      </w:r>
    </w:p>
  </w:endnote>
  <w:endnote w:type="continuationSeparator" w:id="0">
    <w:p w14:paraId="70ABEB1D" w14:textId="77777777" w:rsidR="00E41104" w:rsidRDefault="00E41104" w:rsidP="004D23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5760614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EA4FBD8" w14:textId="77777777" w:rsidR="0029497E" w:rsidRDefault="0029497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D5DE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A5E78B1" w14:textId="77777777" w:rsidR="0029497E" w:rsidRDefault="002949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5CBEC8" w14:textId="77777777" w:rsidR="00E41104" w:rsidRDefault="00E41104" w:rsidP="004D23A6">
      <w:r>
        <w:separator/>
      </w:r>
    </w:p>
  </w:footnote>
  <w:footnote w:type="continuationSeparator" w:id="0">
    <w:p w14:paraId="3E098158" w14:textId="77777777" w:rsidR="00E41104" w:rsidRDefault="00E41104" w:rsidP="004D23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66CA2"/>
    <w:multiLevelType w:val="hybridMultilevel"/>
    <w:tmpl w:val="EA569366"/>
    <w:lvl w:ilvl="0" w:tplc="E5C0BAA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10C55"/>
    <w:multiLevelType w:val="multilevel"/>
    <w:tmpl w:val="9A38BD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780198"/>
    <w:multiLevelType w:val="multilevel"/>
    <w:tmpl w:val="99889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E0163D1"/>
    <w:multiLevelType w:val="hybridMultilevel"/>
    <w:tmpl w:val="29E0FDCA"/>
    <w:lvl w:ilvl="0" w:tplc="02AAA4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8D475A"/>
    <w:multiLevelType w:val="hybridMultilevel"/>
    <w:tmpl w:val="282EC5FE"/>
    <w:lvl w:ilvl="0" w:tplc="4E2C69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1E8195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51A1CE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DF8CD7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E1494D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46E943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6EA3A9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396D01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4AC80B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5FF21773"/>
    <w:multiLevelType w:val="hybridMultilevel"/>
    <w:tmpl w:val="B12A1638"/>
    <w:lvl w:ilvl="0" w:tplc="84BE0DB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DC793A"/>
    <w:multiLevelType w:val="multilevel"/>
    <w:tmpl w:val="E7D69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7519050">
    <w:abstractNumId w:val="5"/>
  </w:num>
  <w:num w:numId="2" w16cid:durableId="644352946">
    <w:abstractNumId w:val="6"/>
  </w:num>
  <w:num w:numId="3" w16cid:durableId="127212991">
    <w:abstractNumId w:val="0"/>
  </w:num>
  <w:num w:numId="4" w16cid:durableId="834418132">
    <w:abstractNumId w:val="4"/>
  </w:num>
  <w:num w:numId="5" w16cid:durableId="77405121">
    <w:abstractNumId w:val="1"/>
  </w:num>
  <w:num w:numId="6" w16cid:durableId="1589269582">
    <w:abstractNumId w:val="2"/>
  </w:num>
  <w:num w:numId="7" w16cid:durableId="2693632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B8B"/>
    <w:rsid w:val="00010623"/>
    <w:rsid w:val="00012B15"/>
    <w:rsid w:val="00014239"/>
    <w:rsid w:val="0001590B"/>
    <w:rsid w:val="00015EB3"/>
    <w:rsid w:val="000168D1"/>
    <w:rsid w:val="00016E4D"/>
    <w:rsid w:val="000173D2"/>
    <w:rsid w:val="00020C54"/>
    <w:rsid w:val="00021795"/>
    <w:rsid w:val="0002208C"/>
    <w:rsid w:val="000221CB"/>
    <w:rsid w:val="00025720"/>
    <w:rsid w:val="00025CD1"/>
    <w:rsid w:val="00032FE7"/>
    <w:rsid w:val="00034B85"/>
    <w:rsid w:val="00036F1B"/>
    <w:rsid w:val="00037C15"/>
    <w:rsid w:val="00040F8E"/>
    <w:rsid w:val="0004175B"/>
    <w:rsid w:val="00042D95"/>
    <w:rsid w:val="0004304A"/>
    <w:rsid w:val="00044063"/>
    <w:rsid w:val="00045900"/>
    <w:rsid w:val="00046705"/>
    <w:rsid w:val="00046D80"/>
    <w:rsid w:val="00047335"/>
    <w:rsid w:val="00050D8E"/>
    <w:rsid w:val="00051FE0"/>
    <w:rsid w:val="00051FF8"/>
    <w:rsid w:val="0005256F"/>
    <w:rsid w:val="00053489"/>
    <w:rsid w:val="00053542"/>
    <w:rsid w:val="000550A9"/>
    <w:rsid w:val="00055EFB"/>
    <w:rsid w:val="00056947"/>
    <w:rsid w:val="00060403"/>
    <w:rsid w:val="00061DF5"/>
    <w:rsid w:val="000622B5"/>
    <w:rsid w:val="00062791"/>
    <w:rsid w:val="0006303F"/>
    <w:rsid w:val="00063D73"/>
    <w:rsid w:val="00063F16"/>
    <w:rsid w:val="00066459"/>
    <w:rsid w:val="00071188"/>
    <w:rsid w:val="00071FB7"/>
    <w:rsid w:val="00073213"/>
    <w:rsid w:val="00073488"/>
    <w:rsid w:val="00074CEC"/>
    <w:rsid w:val="00074D5D"/>
    <w:rsid w:val="00076762"/>
    <w:rsid w:val="000775FA"/>
    <w:rsid w:val="00080DA5"/>
    <w:rsid w:val="000836F1"/>
    <w:rsid w:val="00083910"/>
    <w:rsid w:val="00083D69"/>
    <w:rsid w:val="0008426A"/>
    <w:rsid w:val="000858A2"/>
    <w:rsid w:val="00090823"/>
    <w:rsid w:val="00090F81"/>
    <w:rsid w:val="00093F06"/>
    <w:rsid w:val="00093F97"/>
    <w:rsid w:val="00094140"/>
    <w:rsid w:val="00097967"/>
    <w:rsid w:val="00097A2B"/>
    <w:rsid w:val="000A1B48"/>
    <w:rsid w:val="000A2408"/>
    <w:rsid w:val="000A4A40"/>
    <w:rsid w:val="000A679C"/>
    <w:rsid w:val="000A6A10"/>
    <w:rsid w:val="000A7294"/>
    <w:rsid w:val="000A7C8C"/>
    <w:rsid w:val="000B00B9"/>
    <w:rsid w:val="000B02D9"/>
    <w:rsid w:val="000B08D9"/>
    <w:rsid w:val="000C29B6"/>
    <w:rsid w:val="000C5122"/>
    <w:rsid w:val="000C5262"/>
    <w:rsid w:val="000D09DC"/>
    <w:rsid w:val="000D3D78"/>
    <w:rsid w:val="000D646F"/>
    <w:rsid w:val="000D6777"/>
    <w:rsid w:val="000E0C07"/>
    <w:rsid w:val="000E12CB"/>
    <w:rsid w:val="000E185A"/>
    <w:rsid w:val="000E3BC3"/>
    <w:rsid w:val="000E55E7"/>
    <w:rsid w:val="000E5CBF"/>
    <w:rsid w:val="000F1200"/>
    <w:rsid w:val="000F2845"/>
    <w:rsid w:val="000F54FA"/>
    <w:rsid w:val="000F5626"/>
    <w:rsid w:val="000F7026"/>
    <w:rsid w:val="00100C72"/>
    <w:rsid w:val="001016F3"/>
    <w:rsid w:val="00102D4C"/>
    <w:rsid w:val="00105287"/>
    <w:rsid w:val="00106904"/>
    <w:rsid w:val="00106D58"/>
    <w:rsid w:val="00111699"/>
    <w:rsid w:val="00111C23"/>
    <w:rsid w:val="0011290E"/>
    <w:rsid w:val="00112A69"/>
    <w:rsid w:val="0011354F"/>
    <w:rsid w:val="00114897"/>
    <w:rsid w:val="001205F8"/>
    <w:rsid w:val="0012096A"/>
    <w:rsid w:val="00120DF2"/>
    <w:rsid w:val="001216D6"/>
    <w:rsid w:val="001243E9"/>
    <w:rsid w:val="001268F3"/>
    <w:rsid w:val="00130373"/>
    <w:rsid w:val="00131358"/>
    <w:rsid w:val="001316A1"/>
    <w:rsid w:val="0013367A"/>
    <w:rsid w:val="00133B6D"/>
    <w:rsid w:val="001350A9"/>
    <w:rsid w:val="00136A3C"/>
    <w:rsid w:val="0013702E"/>
    <w:rsid w:val="001410CF"/>
    <w:rsid w:val="00142848"/>
    <w:rsid w:val="00143617"/>
    <w:rsid w:val="001439D6"/>
    <w:rsid w:val="00144B25"/>
    <w:rsid w:val="00145A40"/>
    <w:rsid w:val="00147B8E"/>
    <w:rsid w:val="00150C1F"/>
    <w:rsid w:val="00151F35"/>
    <w:rsid w:val="001541C5"/>
    <w:rsid w:val="00156115"/>
    <w:rsid w:val="001579C4"/>
    <w:rsid w:val="00160C59"/>
    <w:rsid w:val="00161259"/>
    <w:rsid w:val="00163D5A"/>
    <w:rsid w:val="00164444"/>
    <w:rsid w:val="00164E81"/>
    <w:rsid w:val="001653CA"/>
    <w:rsid w:val="001653E6"/>
    <w:rsid w:val="001659B2"/>
    <w:rsid w:val="00167C9B"/>
    <w:rsid w:val="00170C88"/>
    <w:rsid w:val="0017126D"/>
    <w:rsid w:val="0017126E"/>
    <w:rsid w:val="00171EFE"/>
    <w:rsid w:val="001720ED"/>
    <w:rsid w:val="00172556"/>
    <w:rsid w:val="00172B7C"/>
    <w:rsid w:val="00173819"/>
    <w:rsid w:val="00173B28"/>
    <w:rsid w:val="00174CD5"/>
    <w:rsid w:val="00175700"/>
    <w:rsid w:val="001759E8"/>
    <w:rsid w:val="00180699"/>
    <w:rsid w:val="00182FEE"/>
    <w:rsid w:val="00183387"/>
    <w:rsid w:val="00183C78"/>
    <w:rsid w:val="00184741"/>
    <w:rsid w:val="00184D88"/>
    <w:rsid w:val="00184DAA"/>
    <w:rsid w:val="00186D73"/>
    <w:rsid w:val="00187631"/>
    <w:rsid w:val="0019021C"/>
    <w:rsid w:val="001912BE"/>
    <w:rsid w:val="001930A6"/>
    <w:rsid w:val="00193A76"/>
    <w:rsid w:val="001948A3"/>
    <w:rsid w:val="001948B2"/>
    <w:rsid w:val="00195853"/>
    <w:rsid w:val="00195A36"/>
    <w:rsid w:val="00196F20"/>
    <w:rsid w:val="00197988"/>
    <w:rsid w:val="001A1125"/>
    <w:rsid w:val="001A3BAF"/>
    <w:rsid w:val="001A4822"/>
    <w:rsid w:val="001A4A37"/>
    <w:rsid w:val="001A5317"/>
    <w:rsid w:val="001B1F15"/>
    <w:rsid w:val="001B37D3"/>
    <w:rsid w:val="001B3FDC"/>
    <w:rsid w:val="001B4796"/>
    <w:rsid w:val="001B6895"/>
    <w:rsid w:val="001B75BC"/>
    <w:rsid w:val="001C1ED0"/>
    <w:rsid w:val="001C3975"/>
    <w:rsid w:val="001C39AD"/>
    <w:rsid w:val="001C3D82"/>
    <w:rsid w:val="001C616B"/>
    <w:rsid w:val="001C629F"/>
    <w:rsid w:val="001C6D7B"/>
    <w:rsid w:val="001D1E55"/>
    <w:rsid w:val="001D20DF"/>
    <w:rsid w:val="001D26E3"/>
    <w:rsid w:val="001D2C9A"/>
    <w:rsid w:val="001D2FE0"/>
    <w:rsid w:val="001D3465"/>
    <w:rsid w:val="001D43EC"/>
    <w:rsid w:val="001D67F6"/>
    <w:rsid w:val="001D68D4"/>
    <w:rsid w:val="001D7945"/>
    <w:rsid w:val="001E15AA"/>
    <w:rsid w:val="001E3C98"/>
    <w:rsid w:val="001E3E43"/>
    <w:rsid w:val="001E4AC8"/>
    <w:rsid w:val="001E5972"/>
    <w:rsid w:val="001E619A"/>
    <w:rsid w:val="001E6437"/>
    <w:rsid w:val="001F274A"/>
    <w:rsid w:val="001F2964"/>
    <w:rsid w:val="001F3622"/>
    <w:rsid w:val="0020180B"/>
    <w:rsid w:val="002033FB"/>
    <w:rsid w:val="002045B7"/>
    <w:rsid w:val="00206DC1"/>
    <w:rsid w:val="00206EBE"/>
    <w:rsid w:val="00210F02"/>
    <w:rsid w:val="002124F0"/>
    <w:rsid w:val="00212B94"/>
    <w:rsid w:val="0021333F"/>
    <w:rsid w:val="0021446C"/>
    <w:rsid w:val="002161ED"/>
    <w:rsid w:val="00217D37"/>
    <w:rsid w:val="0022015F"/>
    <w:rsid w:val="00220C1E"/>
    <w:rsid w:val="00220CD4"/>
    <w:rsid w:val="00222179"/>
    <w:rsid w:val="00222211"/>
    <w:rsid w:val="002227D2"/>
    <w:rsid w:val="00222B86"/>
    <w:rsid w:val="002246DA"/>
    <w:rsid w:val="00227D10"/>
    <w:rsid w:val="0023059A"/>
    <w:rsid w:val="00230766"/>
    <w:rsid w:val="0023139E"/>
    <w:rsid w:val="00233B04"/>
    <w:rsid w:val="00234A69"/>
    <w:rsid w:val="002359B2"/>
    <w:rsid w:val="00235C4C"/>
    <w:rsid w:val="00236EF4"/>
    <w:rsid w:val="00237311"/>
    <w:rsid w:val="00237B6B"/>
    <w:rsid w:val="0024191F"/>
    <w:rsid w:val="0024667F"/>
    <w:rsid w:val="002478A3"/>
    <w:rsid w:val="00251777"/>
    <w:rsid w:val="0025305E"/>
    <w:rsid w:val="00255A5E"/>
    <w:rsid w:val="00255B53"/>
    <w:rsid w:val="00257AEE"/>
    <w:rsid w:val="002651EA"/>
    <w:rsid w:val="00265A6D"/>
    <w:rsid w:val="0026613B"/>
    <w:rsid w:val="00267B88"/>
    <w:rsid w:val="00267C66"/>
    <w:rsid w:val="002726EC"/>
    <w:rsid w:val="002731F2"/>
    <w:rsid w:val="00274004"/>
    <w:rsid w:val="002752AC"/>
    <w:rsid w:val="0027638A"/>
    <w:rsid w:val="00276CAC"/>
    <w:rsid w:val="00276D52"/>
    <w:rsid w:val="00277C6B"/>
    <w:rsid w:val="00280258"/>
    <w:rsid w:val="00280721"/>
    <w:rsid w:val="002822DC"/>
    <w:rsid w:val="00285098"/>
    <w:rsid w:val="00286D59"/>
    <w:rsid w:val="00287375"/>
    <w:rsid w:val="00290477"/>
    <w:rsid w:val="00290C71"/>
    <w:rsid w:val="002913A5"/>
    <w:rsid w:val="00292594"/>
    <w:rsid w:val="002929A1"/>
    <w:rsid w:val="002932FB"/>
    <w:rsid w:val="0029497E"/>
    <w:rsid w:val="00294A40"/>
    <w:rsid w:val="00295026"/>
    <w:rsid w:val="00296125"/>
    <w:rsid w:val="00296345"/>
    <w:rsid w:val="002A19C1"/>
    <w:rsid w:val="002A2AFE"/>
    <w:rsid w:val="002A4253"/>
    <w:rsid w:val="002A4BD0"/>
    <w:rsid w:val="002A75FB"/>
    <w:rsid w:val="002B141D"/>
    <w:rsid w:val="002B3658"/>
    <w:rsid w:val="002B3DDF"/>
    <w:rsid w:val="002B40B1"/>
    <w:rsid w:val="002B43A0"/>
    <w:rsid w:val="002B7B40"/>
    <w:rsid w:val="002C0AAB"/>
    <w:rsid w:val="002C1DFF"/>
    <w:rsid w:val="002C1ED9"/>
    <w:rsid w:val="002C4EC7"/>
    <w:rsid w:val="002C5C10"/>
    <w:rsid w:val="002C641D"/>
    <w:rsid w:val="002C653C"/>
    <w:rsid w:val="002C71A2"/>
    <w:rsid w:val="002C7CB0"/>
    <w:rsid w:val="002D1321"/>
    <w:rsid w:val="002D1961"/>
    <w:rsid w:val="002D2B09"/>
    <w:rsid w:val="002D3F07"/>
    <w:rsid w:val="002D47F2"/>
    <w:rsid w:val="002D4B96"/>
    <w:rsid w:val="002D609D"/>
    <w:rsid w:val="002D6780"/>
    <w:rsid w:val="002D76D7"/>
    <w:rsid w:val="002D77AE"/>
    <w:rsid w:val="002E067C"/>
    <w:rsid w:val="002E102F"/>
    <w:rsid w:val="002E168C"/>
    <w:rsid w:val="002E2259"/>
    <w:rsid w:val="002E6009"/>
    <w:rsid w:val="002F0357"/>
    <w:rsid w:val="002F0B92"/>
    <w:rsid w:val="002F1EFD"/>
    <w:rsid w:val="002F3595"/>
    <w:rsid w:val="002F3D56"/>
    <w:rsid w:val="002F629C"/>
    <w:rsid w:val="002F6C42"/>
    <w:rsid w:val="002F7E4D"/>
    <w:rsid w:val="002F7F20"/>
    <w:rsid w:val="00301BBC"/>
    <w:rsid w:val="00302509"/>
    <w:rsid w:val="003036C7"/>
    <w:rsid w:val="00304443"/>
    <w:rsid w:val="003074CE"/>
    <w:rsid w:val="00311A8C"/>
    <w:rsid w:val="00311AEF"/>
    <w:rsid w:val="00313F1C"/>
    <w:rsid w:val="003164FB"/>
    <w:rsid w:val="00316611"/>
    <w:rsid w:val="00320551"/>
    <w:rsid w:val="00321B3C"/>
    <w:rsid w:val="00321D13"/>
    <w:rsid w:val="00321D6D"/>
    <w:rsid w:val="00322B9C"/>
    <w:rsid w:val="00323196"/>
    <w:rsid w:val="003231A7"/>
    <w:rsid w:val="003245BB"/>
    <w:rsid w:val="003245F7"/>
    <w:rsid w:val="00324893"/>
    <w:rsid w:val="003265DF"/>
    <w:rsid w:val="00326CFC"/>
    <w:rsid w:val="0032729E"/>
    <w:rsid w:val="00330017"/>
    <w:rsid w:val="00330D62"/>
    <w:rsid w:val="00331004"/>
    <w:rsid w:val="003314C5"/>
    <w:rsid w:val="00333E17"/>
    <w:rsid w:val="00334078"/>
    <w:rsid w:val="003343AF"/>
    <w:rsid w:val="003359F4"/>
    <w:rsid w:val="00335C98"/>
    <w:rsid w:val="00335F77"/>
    <w:rsid w:val="0033709B"/>
    <w:rsid w:val="003417C5"/>
    <w:rsid w:val="00341A9F"/>
    <w:rsid w:val="003453EE"/>
    <w:rsid w:val="0034545C"/>
    <w:rsid w:val="00350246"/>
    <w:rsid w:val="0035382A"/>
    <w:rsid w:val="00354695"/>
    <w:rsid w:val="0035565B"/>
    <w:rsid w:val="00355AC9"/>
    <w:rsid w:val="0035614D"/>
    <w:rsid w:val="00357B40"/>
    <w:rsid w:val="00361E25"/>
    <w:rsid w:val="00361FAC"/>
    <w:rsid w:val="003624D3"/>
    <w:rsid w:val="0036632A"/>
    <w:rsid w:val="003704F3"/>
    <w:rsid w:val="003727DF"/>
    <w:rsid w:val="003741D6"/>
    <w:rsid w:val="00374820"/>
    <w:rsid w:val="00375191"/>
    <w:rsid w:val="00376745"/>
    <w:rsid w:val="0038089E"/>
    <w:rsid w:val="00381252"/>
    <w:rsid w:val="003816FF"/>
    <w:rsid w:val="00381708"/>
    <w:rsid w:val="003835F8"/>
    <w:rsid w:val="00383706"/>
    <w:rsid w:val="003847BD"/>
    <w:rsid w:val="0038504F"/>
    <w:rsid w:val="003850D3"/>
    <w:rsid w:val="00385887"/>
    <w:rsid w:val="00390082"/>
    <w:rsid w:val="003957EB"/>
    <w:rsid w:val="003962E8"/>
    <w:rsid w:val="003A0A16"/>
    <w:rsid w:val="003A0CFF"/>
    <w:rsid w:val="003A3C25"/>
    <w:rsid w:val="003A424C"/>
    <w:rsid w:val="003A50A2"/>
    <w:rsid w:val="003A6ADB"/>
    <w:rsid w:val="003A6D48"/>
    <w:rsid w:val="003A7063"/>
    <w:rsid w:val="003A791A"/>
    <w:rsid w:val="003B091C"/>
    <w:rsid w:val="003B1889"/>
    <w:rsid w:val="003B4BAD"/>
    <w:rsid w:val="003B522B"/>
    <w:rsid w:val="003B67E4"/>
    <w:rsid w:val="003B73DC"/>
    <w:rsid w:val="003C047D"/>
    <w:rsid w:val="003C2780"/>
    <w:rsid w:val="003C282C"/>
    <w:rsid w:val="003C2AA9"/>
    <w:rsid w:val="003C2BA2"/>
    <w:rsid w:val="003C522B"/>
    <w:rsid w:val="003C52D8"/>
    <w:rsid w:val="003C5664"/>
    <w:rsid w:val="003C5E7F"/>
    <w:rsid w:val="003C7BC2"/>
    <w:rsid w:val="003D1C1F"/>
    <w:rsid w:val="003D2A03"/>
    <w:rsid w:val="003D42D8"/>
    <w:rsid w:val="003D45B3"/>
    <w:rsid w:val="003D6989"/>
    <w:rsid w:val="003D71D3"/>
    <w:rsid w:val="003E00B1"/>
    <w:rsid w:val="003E0708"/>
    <w:rsid w:val="003E140E"/>
    <w:rsid w:val="003E17E7"/>
    <w:rsid w:val="003E1BDA"/>
    <w:rsid w:val="003E2620"/>
    <w:rsid w:val="003E3B1E"/>
    <w:rsid w:val="003E3C37"/>
    <w:rsid w:val="003E3D77"/>
    <w:rsid w:val="003E3EB1"/>
    <w:rsid w:val="003E45B9"/>
    <w:rsid w:val="003E5D12"/>
    <w:rsid w:val="003F157F"/>
    <w:rsid w:val="003F1808"/>
    <w:rsid w:val="003F78F4"/>
    <w:rsid w:val="00401572"/>
    <w:rsid w:val="004027C9"/>
    <w:rsid w:val="00402BB1"/>
    <w:rsid w:val="00410B47"/>
    <w:rsid w:val="00411881"/>
    <w:rsid w:val="004123DC"/>
    <w:rsid w:val="00413D76"/>
    <w:rsid w:val="00415D2D"/>
    <w:rsid w:val="00416B0F"/>
    <w:rsid w:val="004235DD"/>
    <w:rsid w:val="00423639"/>
    <w:rsid w:val="00423F4C"/>
    <w:rsid w:val="00424E97"/>
    <w:rsid w:val="004258E0"/>
    <w:rsid w:val="0042635B"/>
    <w:rsid w:val="00426566"/>
    <w:rsid w:val="004337E4"/>
    <w:rsid w:val="00437C9B"/>
    <w:rsid w:val="004408EC"/>
    <w:rsid w:val="00441D13"/>
    <w:rsid w:val="00441FBC"/>
    <w:rsid w:val="0044233E"/>
    <w:rsid w:val="0044281A"/>
    <w:rsid w:val="00442D6E"/>
    <w:rsid w:val="00443F84"/>
    <w:rsid w:val="004453FE"/>
    <w:rsid w:val="00445550"/>
    <w:rsid w:val="0044567C"/>
    <w:rsid w:val="004505E1"/>
    <w:rsid w:val="00453884"/>
    <w:rsid w:val="00453FAC"/>
    <w:rsid w:val="00454798"/>
    <w:rsid w:val="004552D6"/>
    <w:rsid w:val="004561AB"/>
    <w:rsid w:val="0046239D"/>
    <w:rsid w:val="004630EE"/>
    <w:rsid w:val="00463500"/>
    <w:rsid w:val="00464903"/>
    <w:rsid w:val="00467665"/>
    <w:rsid w:val="00467B1E"/>
    <w:rsid w:val="00470167"/>
    <w:rsid w:val="00473A62"/>
    <w:rsid w:val="00473C94"/>
    <w:rsid w:val="00476952"/>
    <w:rsid w:val="004833B2"/>
    <w:rsid w:val="004842E3"/>
    <w:rsid w:val="00487D37"/>
    <w:rsid w:val="00491DC4"/>
    <w:rsid w:val="004922A5"/>
    <w:rsid w:val="00492303"/>
    <w:rsid w:val="0049435E"/>
    <w:rsid w:val="00494886"/>
    <w:rsid w:val="00496E29"/>
    <w:rsid w:val="004A2612"/>
    <w:rsid w:val="004A2AEF"/>
    <w:rsid w:val="004A3355"/>
    <w:rsid w:val="004A5411"/>
    <w:rsid w:val="004B122C"/>
    <w:rsid w:val="004B2F5A"/>
    <w:rsid w:val="004B4019"/>
    <w:rsid w:val="004B63BE"/>
    <w:rsid w:val="004B7E47"/>
    <w:rsid w:val="004C0E54"/>
    <w:rsid w:val="004C490F"/>
    <w:rsid w:val="004C4C68"/>
    <w:rsid w:val="004C58B2"/>
    <w:rsid w:val="004C5B78"/>
    <w:rsid w:val="004C7BBF"/>
    <w:rsid w:val="004D1B67"/>
    <w:rsid w:val="004D237D"/>
    <w:rsid w:val="004D23A6"/>
    <w:rsid w:val="004D45EF"/>
    <w:rsid w:val="004D4B2C"/>
    <w:rsid w:val="004D5C80"/>
    <w:rsid w:val="004D70E4"/>
    <w:rsid w:val="004D7644"/>
    <w:rsid w:val="004E0C89"/>
    <w:rsid w:val="004E177F"/>
    <w:rsid w:val="004E2F03"/>
    <w:rsid w:val="004E4360"/>
    <w:rsid w:val="004E723E"/>
    <w:rsid w:val="004F0EC0"/>
    <w:rsid w:val="004F13B9"/>
    <w:rsid w:val="004F3143"/>
    <w:rsid w:val="004F4AD0"/>
    <w:rsid w:val="004F4F30"/>
    <w:rsid w:val="00501AA1"/>
    <w:rsid w:val="00502524"/>
    <w:rsid w:val="005026F4"/>
    <w:rsid w:val="005044C5"/>
    <w:rsid w:val="0050488F"/>
    <w:rsid w:val="0050497B"/>
    <w:rsid w:val="00505B62"/>
    <w:rsid w:val="00505BA0"/>
    <w:rsid w:val="00505F3D"/>
    <w:rsid w:val="005060AC"/>
    <w:rsid w:val="00506A7A"/>
    <w:rsid w:val="005077CF"/>
    <w:rsid w:val="005107B0"/>
    <w:rsid w:val="00510F4B"/>
    <w:rsid w:val="00512DB9"/>
    <w:rsid w:val="00513016"/>
    <w:rsid w:val="00520A21"/>
    <w:rsid w:val="00521429"/>
    <w:rsid w:val="005224D6"/>
    <w:rsid w:val="00524771"/>
    <w:rsid w:val="00526A20"/>
    <w:rsid w:val="00526DD2"/>
    <w:rsid w:val="00527312"/>
    <w:rsid w:val="005274F6"/>
    <w:rsid w:val="0053046A"/>
    <w:rsid w:val="00531F51"/>
    <w:rsid w:val="005335F8"/>
    <w:rsid w:val="00533987"/>
    <w:rsid w:val="00534B32"/>
    <w:rsid w:val="0053509B"/>
    <w:rsid w:val="0053565E"/>
    <w:rsid w:val="00535962"/>
    <w:rsid w:val="005415D0"/>
    <w:rsid w:val="0054233B"/>
    <w:rsid w:val="005449F7"/>
    <w:rsid w:val="00546FFD"/>
    <w:rsid w:val="00547960"/>
    <w:rsid w:val="005552F3"/>
    <w:rsid w:val="0055660D"/>
    <w:rsid w:val="0055671F"/>
    <w:rsid w:val="0055721E"/>
    <w:rsid w:val="005607B2"/>
    <w:rsid w:val="00560F4D"/>
    <w:rsid w:val="005651BA"/>
    <w:rsid w:val="00565534"/>
    <w:rsid w:val="00565E3F"/>
    <w:rsid w:val="00567F9A"/>
    <w:rsid w:val="00570290"/>
    <w:rsid w:val="00571992"/>
    <w:rsid w:val="00572958"/>
    <w:rsid w:val="00573496"/>
    <w:rsid w:val="0057349D"/>
    <w:rsid w:val="005738BF"/>
    <w:rsid w:val="005749B8"/>
    <w:rsid w:val="0057718F"/>
    <w:rsid w:val="005808AC"/>
    <w:rsid w:val="005819D6"/>
    <w:rsid w:val="00583698"/>
    <w:rsid w:val="00584182"/>
    <w:rsid w:val="00584A37"/>
    <w:rsid w:val="00584CC1"/>
    <w:rsid w:val="00586C32"/>
    <w:rsid w:val="00590288"/>
    <w:rsid w:val="00590E6E"/>
    <w:rsid w:val="005913AA"/>
    <w:rsid w:val="005914FE"/>
    <w:rsid w:val="005916FB"/>
    <w:rsid w:val="00591E70"/>
    <w:rsid w:val="005920A1"/>
    <w:rsid w:val="00596829"/>
    <w:rsid w:val="00596837"/>
    <w:rsid w:val="005A0397"/>
    <w:rsid w:val="005A0A19"/>
    <w:rsid w:val="005A0F76"/>
    <w:rsid w:val="005A1940"/>
    <w:rsid w:val="005A1A73"/>
    <w:rsid w:val="005A30C9"/>
    <w:rsid w:val="005A43FD"/>
    <w:rsid w:val="005A6EE1"/>
    <w:rsid w:val="005B01AA"/>
    <w:rsid w:val="005B0A27"/>
    <w:rsid w:val="005B6109"/>
    <w:rsid w:val="005B6272"/>
    <w:rsid w:val="005B6DD2"/>
    <w:rsid w:val="005B6E21"/>
    <w:rsid w:val="005C0AB9"/>
    <w:rsid w:val="005C12F1"/>
    <w:rsid w:val="005C43D2"/>
    <w:rsid w:val="005C66FB"/>
    <w:rsid w:val="005C6B09"/>
    <w:rsid w:val="005D1219"/>
    <w:rsid w:val="005D19EF"/>
    <w:rsid w:val="005D225C"/>
    <w:rsid w:val="005D316E"/>
    <w:rsid w:val="005D379D"/>
    <w:rsid w:val="005D3AA6"/>
    <w:rsid w:val="005D3CFB"/>
    <w:rsid w:val="005D44BE"/>
    <w:rsid w:val="005D517C"/>
    <w:rsid w:val="005D5AD5"/>
    <w:rsid w:val="005D7217"/>
    <w:rsid w:val="005E19EA"/>
    <w:rsid w:val="005E1CD1"/>
    <w:rsid w:val="005E2188"/>
    <w:rsid w:val="005E4916"/>
    <w:rsid w:val="005E4C9D"/>
    <w:rsid w:val="005E558D"/>
    <w:rsid w:val="005E7B79"/>
    <w:rsid w:val="005F1DC3"/>
    <w:rsid w:val="005F3879"/>
    <w:rsid w:val="0060086E"/>
    <w:rsid w:val="00600BFB"/>
    <w:rsid w:val="00602178"/>
    <w:rsid w:val="0060475B"/>
    <w:rsid w:val="006048DE"/>
    <w:rsid w:val="00604CCD"/>
    <w:rsid w:val="006050DB"/>
    <w:rsid w:val="0060618B"/>
    <w:rsid w:val="006062FD"/>
    <w:rsid w:val="0060742C"/>
    <w:rsid w:val="00622ABA"/>
    <w:rsid w:val="00626DC5"/>
    <w:rsid w:val="00627512"/>
    <w:rsid w:val="0063342E"/>
    <w:rsid w:val="00634B48"/>
    <w:rsid w:val="00635622"/>
    <w:rsid w:val="00635BB9"/>
    <w:rsid w:val="006361BD"/>
    <w:rsid w:val="00636EAE"/>
    <w:rsid w:val="006370F2"/>
    <w:rsid w:val="006373AC"/>
    <w:rsid w:val="00641D99"/>
    <w:rsid w:val="0064344F"/>
    <w:rsid w:val="0064662D"/>
    <w:rsid w:val="00647FDB"/>
    <w:rsid w:val="00653573"/>
    <w:rsid w:val="00654350"/>
    <w:rsid w:val="006647DB"/>
    <w:rsid w:val="00665FDF"/>
    <w:rsid w:val="006661A7"/>
    <w:rsid w:val="00666C90"/>
    <w:rsid w:val="00667D63"/>
    <w:rsid w:val="006702DC"/>
    <w:rsid w:val="006741AF"/>
    <w:rsid w:val="006753B2"/>
    <w:rsid w:val="00676A2C"/>
    <w:rsid w:val="006800CD"/>
    <w:rsid w:val="0068051D"/>
    <w:rsid w:val="00682EBB"/>
    <w:rsid w:val="00683CB1"/>
    <w:rsid w:val="00686870"/>
    <w:rsid w:val="006913E2"/>
    <w:rsid w:val="00691853"/>
    <w:rsid w:val="006918DE"/>
    <w:rsid w:val="006925B9"/>
    <w:rsid w:val="00692AA3"/>
    <w:rsid w:val="006935B1"/>
    <w:rsid w:val="006941B7"/>
    <w:rsid w:val="006943A2"/>
    <w:rsid w:val="00694B80"/>
    <w:rsid w:val="00695366"/>
    <w:rsid w:val="00696F08"/>
    <w:rsid w:val="00697535"/>
    <w:rsid w:val="006A0E41"/>
    <w:rsid w:val="006A11D7"/>
    <w:rsid w:val="006A1F91"/>
    <w:rsid w:val="006A493B"/>
    <w:rsid w:val="006A7293"/>
    <w:rsid w:val="006A7BBC"/>
    <w:rsid w:val="006B02E7"/>
    <w:rsid w:val="006B1319"/>
    <w:rsid w:val="006B2F53"/>
    <w:rsid w:val="006B618F"/>
    <w:rsid w:val="006B6FC5"/>
    <w:rsid w:val="006B7EFF"/>
    <w:rsid w:val="006C0F25"/>
    <w:rsid w:val="006C16B7"/>
    <w:rsid w:val="006C3183"/>
    <w:rsid w:val="006C47B0"/>
    <w:rsid w:val="006C48D7"/>
    <w:rsid w:val="006C6BFB"/>
    <w:rsid w:val="006D0818"/>
    <w:rsid w:val="006D1C1F"/>
    <w:rsid w:val="006D3A46"/>
    <w:rsid w:val="006D402E"/>
    <w:rsid w:val="006D5624"/>
    <w:rsid w:val="006D5BD4"/>
    <w:rsid w:val="006E1097"/>
    <w:rsid w:val="006E1CCF"/>
    <w:rsid w:val="006E2106"/>
    <w:rsid w:val="006E23BA"/>
    <w:rsid w:val="006E4509"/>
    <w:rsid w:val="006E4685"/>
    <w:rsid w:val="006E52F1"/>
    <w:rsid w:val="006E5F2F"/>
    <w:rsid w:val="006E73DB"/>
    <w:rsid w:val="006E75E6"/>
    <w:rsid w:val="006F29FA"/>
    <w:rsid w:val="006F6FD4"/>
    <w:rsid w:val="006F70E4"/>
    <w:rsid w:val="00700A92"/>
    <w:rsid w:val="00700C24"/>
    <w:rsid w:val="00702814"/>
    <w:rsid w:val="0070406E"/>
    <w:rsid w:val="00704D50"/>
    <w:rsid w:val="007071C1"/>
    <w:rsid w:val="00710F78"/>
    <w:rsid w:val="007115FF"/>
    <w:rsid w:val="00712005"/>
    <w:rsid w:val="007141A3"/>
    <w:rsid w:val="0071449C"/>
    <w:rsid w:val="00714680"/>
    <w:rsid w:val="00714981"/>
    <w:rsid w:val="0071569E"/>
    <w:rsid w:val="00721569"/>
    <w:rsid w:val="00722294"/>
    <w:rsid w:val="00722771"/>
    <w:rsid w:val="007235B5"/>
    <w:rsid w:val="007239FE"/>
    <w:rsid w:val="00727C23"/>
    <w:rsid w:val="007303AD"/>
    <w:rsid w:val="00731D66"/>
    <w:rsid w:val="00734884"/>
    <w:rsid w:val="00735A21"/>
    <w:rsid w:val="00737469"/>
    <w:rsid w:val="007400AE"/>
    <w:rsid w:val="00741EB2"/>
    <w:rsid w:val="0074305A"/>
    <w:rsid w:val="00743376"/>
    <w:rsid w:val="00745B26"/>
    <w:rsid w:val="0074648D"/>
    <w:rsid w:val="00746DF9"/>
    <w:rsid w:val="007476FD"/>
    <w:rsid w:val="00747D23"/>
    <w:rsid w:val="0075071E"/>
    <w:rsid w:val="00750A23"/>
    <w:rsid w:val="0075161F"/>
    <w:rsid w:val="00753513"/>
    <w:rsid w:val="00753FF7"/>
    <w:rsid w:val="0075673A"/>
    <w:rsid w:val="00757416"/>
    <w:rsid w:val="00762914"/>
    <w:rsid w:val="00763108"/>
    <w:rsid w:val="00763503"/>
    <w:rsid w:val="00763BC3"/>
    <w:rsid w:val="00766FF1"/>
    <w:rsid w:val="00767AFA"/>
    <w:rsid w:val="007706E8"/>
    <w:rsid w:val="00771BD4"/>
    <w:rsid w:val="00776312"/>
    <w:rsid w:val="0077648C"/>
    <w:rsid w:val="00780AE5"/>
    <w:rsid w:val="00781A81"/>
    <w:rsid w:val="00781C73"/>
    <w:rsid w:val="00781D77"/>
    <w:rsid w:val="00782629"/>
    <w:rsid w:val="00783874"/>
    <w:rsid w:val="00783B24"/>
    <w:rsid w:val="00784065"/>
    <w:rsid w:val="00784C36"/>
    <w:rsid w:val="00790B25"/>
    <w:rsid w:val="00792472"/>
    <w:rsid w:val="00793C1F"/>
    <w:rsid w:val="00795D4B"/>
    <w:rsid w:val="00797423"/>
    <w:rsid w:val="00797A14"/>
    <w:rsid w:val="00797C08"/>
    <w:rsid w:val="007A1699"/>
    <w:rsid w:val="007A171A"/>
    <w:rsid w:val="007A3307"/>
    <w:rsid w:val="007A4236"/>
    <w:rsid w:val="007A6C35"/>
    <w:rsid w:val="007B1B12"/>
    <w:rsid w:val="007B23E0"/>
    <w:rsid w:val="007B287D"/>
    <w:rsid w:val="007B3368"/>
    <w:rsid w:val="007B5446"/>
    <w:rsid w:val="007B5CAD"/>
    <w:rsid w:val="007B7DEC"/>
    <w:rsid w:val="007B7FB9"/>
    <w:rsid w:val="007C08FA"/>
    <w:rsid w:val="007C14E8"/>
    <w:rsid w:val="007C229C"/>
    <w:rsid w:val="007C3EF7"/>
    <w:rsid w:val="007C4120"/>
    <w:rsid w:val="007C5625"/>
    <w:rsid w:val="007C5775"/>
    <w:rsid w:val="007C77FB"/>
    <w:rsid w:val="007C7CBE"/>
    <w:rsid w:val="007D020C"/>
    <w:rsid w:val="007D2487"/>
    <w:rsid w:val="007D59CC"/>
    <w:rsid w:val="007D6350"/>
    <w:rsid w:val="007D76A8"/>
    <w:rsid w:val="007E0FBD"/>
    <w:rsid w:val="007E38D3"/>
    <w:rsid w:val="007E61AC"/>
    <w:rsid w:val="007E6F96"/>
    <w:rsid w:val="007E7D28"/>
    <w:rsid w:val="007F0607"/>
    <w:rsid w:val="007F1072"/>
    <w:rsid w:val="007F3FEE"/>
    <w:rsid w:val="007F4001"/>
    <w:rsid w:val="007F79D9"/>
    <w:rsid w:val="00800BA2"/>
    <w:rsid w:val="0080197E"/>
    <w:rsid w:val="00802615"/>
    <w:rsid w:val="008055C2"/>
    <w:rsid w:val="00805DDB"/>
    <w:rsid w:val="0080780E"/>
    <w:rsid w:val="008112BB"/>
    <w:rsid w:val="0081276B"/>
    <w:rsid w:val="00814EDF"/>
    <w:rsid w:val="008157C4"/>
    <w:rsid w:val="008161E3"/>
    <w:rsid w:val="0081632E"/>
    <w:rsid w:val="00820BBB"/>
    <w:rsid w:val="008212A6"/>
    <w:rsid w:val="00821BD4"/>
    <w:rsid w:val="008228AE"/>
    <w:rsid w:val="0082446D"/>
    <w:rsid w:val="00824F01"/>
    <w:rsid w:val="00825258"/>
    <w:rsid w:val="0082590F"/>
    <w:rsid w:val="00825F51"/>
    <w:rsid w:val="00833759"/>
    <w:rsid w:val="00833EDC"/>
    <w:rsid w:val="00835AF0"/>
    <w:rsid w:val="00836B84"/>
    <w:rsid w:val="0084107B"/>
    <w:rsid w:val="0084197D"/>
    <w:rsid w:val="00841F55"/>
    <w:rsid w:val="00843D78"/>
    <w:rsid w:val="00844A7B"/>
    <w:rsid w:val="00845937"/>
    <w:rsid w:val="00846543"/>
    <w:rsid w:val="00846876"/>
    <w:rsid w:val="00846C17"/>
    <w:rsid w:val="008475E5"/>
    <w:rsid w:val="00847795"/>
    <w:rsid w:val="00847845"/>
    <w:rsid w:val="00847B99"/>
    <w:rsid w:val="00851669"/>
    <w:rsid w:val="00853254"/>
    <w:rsid w:val="0085486E"/>
    <w:rsid w:val="00854C6E"/>
    <w:rsid w:val="00856667"/>
    <w:rsid w:val="00857905"/>
    <w:rsid w:val="00857FDD"/>
    <w:rsid w:val="00864868"/>
    <w:rsid w:val="00864E8A"/>
    <w:rsid w:val="00865547"/>
    <w:rsid w:val="00874567"/>
    <w:rsid w:val="00875B1D"/>
    <w:rsid w:val="00877CF3"/>
    <w:rsid w:val="00881F9B"/>
    <w:rsid w:val="008823BB"/>
    <w:rsid w:val="008826F6"/>
    <w:rsid w:val="00887A8D"/>
    <w:rsid w:val="00891210"/>
    <w:rsid w:val="008936DC"/>
    <w:rsid w:val="00893A66"/>
    <w:rsid w:val="00894A72"/>
    <w:rsid w:val="00896BAB"/>
    <w:rsid w:val="00896C15"/>
    <w:rsid w:val="00896DA5"/>
    <w:rsid w:val="008A0D8D"/>
    <w:rsid w:val="008A0DE9"/>
    <w:rsid w:val="008A0E6A"/>
    <w:rsid w:val="008A2973"/>
    <w:rsid w:val="008A36BA"/>
    <w:rsid w:val="008A3E0C"/>
    <w:rsid w:val="008A486E"/>
    <w:rsid w:val="008A75D3"/>
    <w:rsid w:val="008A7C99"/>
    <w:rsid w:val="008B28B1"/>
    <w:rsid w:val="008B2B51"/>
    <w:rsid w:val="008B44EB"/>
    <w:rsid w:val="008B6CD1"/>
    <w:rsid w:val="008B7CB8"/>
    <w:rsid w:val="008C1A53"/>
    <w:rsid w:val="008C32AE"/>
    <w:rsid w:val="008C3657"/>
    <w:rsid w:val="008C5832"/>
    <w:rsid w:val="008C64E8"/>
    <w:rsid w:val="008C72A3"/>
    <w:rsid w:val="008D19EA"/>
    <w:rsid w:val="008D2207"/>
    <w:rsid w:val="008D44D5"/>
    <w:rsid w:val="008E01F0"/>
    <w:rsid w:val="008E08CF"/>
    <w:rsid w:val="008E09EC"/>
    <w:rsid w:val="008E1F0E"/>
    <w:rsid w:val="008E4E30"/>
    <w:rsid w:val="008E5CDE"/>
    <w:rsid w:val="008E6757"/>
    <w:rsid w:val="008E7F6F"/>
    <w:rsid w:val="008F084A"/>
    <w:rsid w:val="008F18B7"/>
    <w:rsid w:val="008F1CE0"/>
    <w:rsid w:val="008F25A6"/>
    <w:rsid w:val="008F5B8B"/>
    <w:rsid w:val="008F719E"/>
    <w:rsid w:val="008F7FB6"/>
    <w:rsid w:val="00900130"/>
    <w:rsid w:val="00900B4B"/>
    <w:rsid w:val="00901A85"/>
    <w:rsid w:val="009021B7"/>
    <w:rsid w:val="00902D83"/>
    <w:rsid w:val="00904AB8"/>
    <w:rsid w:val="00904E85"/>
    <w:rsid w:val="00905E32"/>
    <w:rsid w:val="009075EC"/>
    <w:rsid w:val="00907BDB"/>
    <w:rsid w:val="00907D8A"/>
    <w:rsid w:val="009102DA"/>
    <w:rsid w:val="00912015"/>
    <w:rsid w:val="00912BC8"/>
    <w:rsid w:val="00916749"/>
    <w:rsid w:val="009209F8"/>
    <w:rsid w:val="00921CEA"/>
    <w:rsid w:val="009223A0"/>
    <w:rsid w:val="00922CAD"/>
    <w:rsid w:val="00923207"/>
    <w:rsid w:val="0092340A"/>
    <w:rsid w:val="00924E3A"/>
    <w:rsid w:val="009252C3"/>
    <w:rsid w:val="0092592E"/>
    <w:rsid w:val="00927664"/>
    <w:rsid w:val="00930D53"/>
    <w:rsid w:val="00930F96"/>
    <w:rsid w:val="00931087"/>
    <w:rsid w:val="0093312C"/>
    <w:rsid w:val="00933AD3"/>
    <w:rsid w:val="009343D8"/>
    <w:rsid w:val="009347AB"/>
    <w:rsid w:val="0093544F"/>
    <w:rsid w:val="00935863"/>
    <w:rsid w:val="00935C40"/>
    <w:rsid w:val="00936B34"/>
    <w:rsid w:val="00940C5B"/>
    <w:rsid w:val="00941263"/>
    <w:rsid w:val="009445FF"/>
    <w:rsid w:val="0094557C"/>
    <w:rsid w:val="00946A8A"/>
    <w:rsid w:val="00947F0B"/>
    <w:rsid w:val="009506F9"/>
    <w:rsid w:val="009514B8"/>
    <w:rsid w:val="009515C4"/>
    <w:rsid w:val="0095183A"/>
    <w:rsid w:val="00951A16"/>
    <w:rsid w:val="009526D5"/>
    <w:rsid w:val="0095291C"/>
    <w:rsid w:val="00953451"/>
    <w:rsid w:val="00953DCD"/>
    <w:rsid w:val="00955FCF"/>
    <w:rsid w:val="009569AC"/>
    <w:rsid w:val="00956F44"/>
    <w:rsid w:val="00957AF5"/>
    <w:rsid w:val="0096102E"/>
    <w:rsid w:val="0096291B"/>
    <w:rsid w:val="009652EA"/>
    <w:rsid w:val="00970109"/>
    <w:rsid w:val="009722AD"/>
    <w:rsid w:val="009725C4"/>
    <w:rsid w:val="00972F9A"/>
    <w:rsid w:val="0097477C"/>
    <w:rsid w:val="00975704"/>
    <w:rsid w:val="009767E6"/>
    <w:rsid w:val="00982224"/>
    <w:rsid w:val="00983D11"/>
    <w:rsid w:val="00984CDE"/>
    <w:rsid w:val="00990F34"/>
    <w:rsid w:val="009913B7"/>
    <w:rsid w:val="00991C58"/>
    <w:rsid w:val="0099308F"/>
    <w:rsid w:val="009938FD"/>
    <w:rsid w:val="00994CE5"/>
    <w:rsid w:val="009A042E"/>
    <w:rsid w:val="009A1B61"/>
    <w:rsid w:val="009A33BF"/>
    <w:rsid w:val="009A41C1"/>
    <w:rsid w:val="009B1526"/>
    <w:rsid w:val="009B3D4A"/>
    <w:rsid w:val="009B4B13"/>
    <w:rsid w:val="009B5A69"/>
    <w:rsid w:val="009C0818"/>
    <w:rsid w:val="009C3513"/>
    <w:rsid w:val="009C4A41"/>
    <w:rsid w:val="009C4F62"/>
    <w:rsid w:val="009C544A"/>
    <w:rsid w:val="009C6911"/>
    <w:rsid w:val="009D0134"/>
    <w:rsid w:val="009D0B7E"/>
    <w:rsid w:val="009D2605"/>
    <w:rsid w:val="009D304A"/>
    <w:rsid w:val="009D4288"/>
    <w:rsid w:val="009D65A1"/>
    <w:rsid w:val="009E152D"/>
    <w:rsid w:val="009E53BA"/>
    <w:rsid w:val="009E5A06"/>
    <w:rsid w:val="009E7872"/>
    <w:rsid w:val="009F1474"/>
    <w:rsid w:val="009F1D2B"/>
    <w:rsid w:val="009F1DC8"/>
    <w:rsid w:val="009F22E0"/>
    <w:rsid w:val="009F4462"/>
    <w:rsid w:val="009F7111"/>
    <w:rsid w:val="00A009EE"/>
    <w:rsid w:val="00A02E11"/>
    <w:rsid w:val="00A03046"/>
    <w:rsid w:val="00A03506"/>
    <w:rsid w:val="00A04785"/>
    <w:rsid w:val="00A1345C"/>
    <w:rsid w:val="00A141E2"/>
    <w:rsid w:val="00A14B51"/>
    <w:rsid w:val="00A16B6F"/>
    <w:rsid w:val="00A17F29"/>
    <w:rsid w:val="00A21272"/>
    <w:rsid w:val="00A2362F"/>
    <w:rsid w:val="00A304B5"/>
    <w:rsid w:val="00A305A9"/>
    <w:rsid w:val="00A33278"/>
    <w:rsid w:val="00A355BF"/>
    <w:rsid w:val="00A36273"/>
    <w:rsid w:val="00A37FBA"/>
    <w:rsid w:val="00A41764"/>
    <w:rsid w:val="00A450BF"/>
    <w:rsid w:val="00A454DC"/>
    <w:rsid w:val="00A45D9C"/>
    <w:rsid w:val="00A476ED"/>
    <w:rsid w:val="00A51CB6"/>
    <w:rsid w:val="00A529C4"/>
    <w:rsid w:val="00A61077"/>
    <w:rsid w:val="00A6176F"/>
    <w:rsid w:val="00A61F03"/>
    <w:rsid w:val="00A63595"/>
    <w:rsid w:val="00A64124"/>
    <w:rsid w:val="00A651B8"/>
    <w:rsid w:val="00A65646"/>
    <w:rsid w:val="00A67431"/>
    <w:rsid w:val="00A70ED2"/>
    <w:rsid w:val="00A71458"/>
    <w:rsid w:val="00A727A2"/>
    <w:rsid w:val="00A744F7"/>
    <w:rsid w:val="00A74D30"/>
    <w:rsid w:val="00A75C39"/>
    <w:rsid w:val="00A81508"/>
    <w:rsid w:val="00A82132"/>
    <w:rsid w:val="00A82F31"/>
    <w:rsid w:val="00A9017C"/>
    <w:rsid w:val="00A902AB"/>
    <w:rsid w:val="00A9069C"/>
    <w:rsid w:val="00A9117F"/>
    <w:rsid w:val="00A913C1"/>
    <w:rsid w:val="00A9254C"/>
    <w:rsid w:val="00A92B7A"/>
    <w:rsid w:val="00A95F5C"/>
    <w:rsid w:val="00A96DC2"/>
    <w:rsid w:val="00AA0E07"/>
    <w:rsid w:val="00AA0F11"/>
    <w:rsid w:val="00AA10F0"/>
    <w:rsid w:val="00AA19A6"/>
    <w:rsid w:val="00AA1D0D"/>
    <w:rsid w:val="00AA3872"/>
    <w:rsid w:val="00AA4CB3"/>
    <w:rsid w:val="00AA7D8F"/>
    <w:rsid w:val="00AA7E72"/>
    <w:rsid w:val="00AB0AAC"/>
    <w:rsid w:val="00AB13C5"/>
    <w:rsid w:val="00AB5D6C"/>
    <w:rsid w:val="00AB7182"/>
    <w:rsid w:val="00AB79C8"/>
    <w:rsid w:val="00AC1B4D"/>
    <w:rsid w:val="00AC3041"/>
    <w:rsid w:val="00AC4343"/>
    <w:rsid w:val="00AD0C0C"/>
    <w:rsid w:val="00AD35F4"/>
    <w:rsid w:val="00AE40EE"/>
    <w:rsid w:val="00AE6C94"/>
    <w:rsid w:val="00AF1BD0"/>
    <w:rsid w:val="00AF1F5F"/>
    <w:rsid w:val="00AF244B"/>
    <w:rsid w:val="00AF26B7"/>
    <w:rsid w:val="00AF38D1"/>
    <w:rsid w:val="00AF5644"/>
    <w:rsid w:val="00AF5C3A"/>
    <w:rsid w:val="00AF5E3F"/>
    <w:rsid w:val="00AF62D1"/>
    <w:rsid w:val="00AF63D8"/>
    <w:rsid w:val="00AF691F"/>
    <w:rsid w:val="00AF7DC9"/>
    <w:rsid w:val="00B002B2"/>
    <w:rsid w:val="00B00328"/>
    <w:rsid w:val="00B02C80"/>
    <w:rsid w:val="00B03BB5"/>
    <w:rsid w:val="00B04BEF"/>
    <w:rsid w:val="00B04C04"/>
    <w:rsid w:val="00B072E7"/>
    <w:rsid w:val="00B07954"/>
    <w:rsid w:val="00B1056E"/>
    <w:rsid w:val="00B12B8D"/>
    <w:rsid w:val="00B12F28"/>
    <w:rsid w:val="00B17268"/>
    <w:rsid w:val="00B17D46"/>
    <w:rsid w:val="00B206B7"/>
    <w:rsid w:val="00B207B9"/>
    <w:rsid w:val="00B2116F"/>
    <w:rsid w:val="00B219B2"/>
    <w:rsid w:val="00B21D7A"/>
    <w:rsid w:val="00B2261E"/>
    <w:rsid w:val="00B23673"/>
    <w:rsid w:val="00B2399A"/>
    <w:rsid w:val="00B24618"/>
    <w:rsid w:val="00B25623"/>
    <w:rsid w:val="00B257A3"/>
    <w:rsid w:val="00B25C5B"/>
    <w:rsid w:val="00B27584"/>
    <w:rsid w:val="00B30804"/>
    <w:rsid w:val="00B30C67"/>
    <w:rsid w:val="00B3199D"/>
    <w:rsid w:val="00B32BB9"/>
    <w:rsid w:val="00B34113"/>
    <w:rsid w:val="00B3490C"/>
    <w:rsid w:val="00B35869"/>
    <w:rsid w:val="00B406A7"/>
    <w:rsid w:val="00B41019"/>
    <w:rsid w:val="00B45B38"/>
    <w:rsid w:val="00B46210"/>
    <w:rsid w:val="00B467AB"/>
    <w:rsid w:val="00B54D1E"/>
    <w:rsid w:val="00B56455"/>
    <w:rsid w:val="00B56518"/>
    <w:rsid w:val="00B57B71"/>
    <w:rsid w:val="00B63822"/>
    <w:rsid w:val="00B64F22"/>
    <w:rsid w:val="00B66AAA"/>
    <w:rsid w:val="00B66EBB"/>
    <w:rsid w:val="00B67A06"/>
    <w:rsid w:val="00B71504"/>
    <w:rsid w:val="00B7152A"/>
    <w:rsid w:val="00B71FF8"/>
    <w:rsid w:val="00B75288"/>
    <w:rsid w:val="00B759B0"/>
    <w:rsid w:val="00B769EF"/>
    <w:rsid w:val="00B80739"/>
    <w:rsid w:val="00B815B9"/>
    <w:rsid w:val="00B83097"/>
    <w:rsid w:val="00B85357"/>
    <w:rsid w:val="00B86C70"/>
    <w:rsid w:val="00B90933"/>
    <w:rsid w:val="00B919EE"/>
    <w:rsid w:val="00B9282D"/>
    <w:rsid w:val="00B9484A"/>
    <w:rsid w:val="00B97296"/>
    <w:rsid w:val="00B979A8"/>
    <w:rsid w:val="00BA145E"/>
    <w:rsid w:val="00BA1F35"/>
    <w:rsid w:val="00BA2B88"/>
    <w:rsid w:val="00BA30FA"/>
    <w:rsid w:val="00BA32BE"/>
    <w:rsid w:val="00BA3AF1"/>
    <w:rsid w:val="00BA4097"/>
    <w:rsid w:val="00BA555F"/>
    <w:rsid w:val="00BA55D6"/>
    <w:rsid w:val="00BA75FD"/>
    <w:rsid w:val="00BB23EA"/>
    <w:rsid w:val="00BB337F"/>
    <w:rsid w:val="00BB3EDC"/>
    <w:rsid w:val="00BC2A92"/>
    <w:rsid w:val="00BC325F"/>
    <w:rsid w:val="00BC32B0"/>
    <w:rsid w:val="00BC78B5"/>
    <w:rsid w:val="00BD2729"/>
    <w:rsid w:val="00BD5CB2"/>
    <w:rsid w:val="00BD715A"/>
    <w:rsid w:val="00BE0510"/>
    <w:rsid w:val="00BE136D"/>
    <w:rsid w:val="00BE3E45"/>
    <w:rsid w:val="00BE40A4"/>
    <w:rsid w:val="00BE41E9"/>
    <w:rsid w:val="00BE4818"/>
    <w:rsid w:val="00BE5043"/>
    <w:rsid w:val="00BE67E4"/>
    <w:rsid w:val="00BF01FC"/>
    <w:rsid w:val="00BF469B"/>
    <w:rsid w:val="00BF6035"/>
    <w:rsid w:val="00BF6C09"/>
    <w:rsid w:val="00BF700D"/>
    <w:rsid w:val="00C00604"/>
    <w:rsid w:val="00C01623"/>
    <w:rsid w:val="00C03E87"/>
    <w:rsid w:val="00C04182"/>
    <w:rsid w:val="00C0424D"/>
    <w:rsid w:val="00C05612"/>
    <w:rsid w:val="00C06FA9"/>
    <w:rsid w:val="00C14BA8"/>
    <w:rsid w:val="00C14C79"/>
    <w:rsid w:val="00C16EE1"/>
    <w:rsid w:val="00C170CB"/>
    <w:rsid w:val="00C179BD"/>
    <w:rsid w:val="00C214FA"/>
    <w:rsid w:val="00C21783"/>
    <w:rsid w:val="00C2211A"/>
    <w:rsid w:val="00C23171"/>
    <w:rsid w:val="00C30C93"/>
    <w:rsid w:val="00C31FEE"/>
    <w:rsid w:val="00C3237C"/>
    <w:rsid w:val="00C33769"/>
    <w:rsid w:val="00C33BD5"/>
    <w:rsid w:val="00C34AE1"/>
    <w:rsid w:val="00C36A55"/>
    <w:rsid w:val="00C40C0C"/>
    <w:rsid w:val="00C41D9D"/>
    <w:rsid w:val="00C43052"/>
    <w:rsid w:val="00C4337E"/>
    <w:rsid w:val="00C448ED"/>
    <w:rsid w:val="00C45197"/>
    <w:rsid w:val="00C4722A"/>
    <w:rsid w:val="00C47AB5"/>
    <w:rsid w:val="00C51A53"/>
    <w:rsid w:val="00C52774"/>
    <w:rsid w:val="00C559E8"/>
    <w:rsid w:val="00C56A83"/>
    <w:rsid w:val="00C57706"/>
    <w:rsid w:val="00C578F7"/>
    <w:rsid w:val="00C60430"/>
    <w:rsid w:val="00C62845"/>
    <w:rsid w:val="00C65E35"/>
    <w:rsid w:val="00C676FA"/>
    <w:rsid w:val="00C70720"/>
    <w:rsid w:val="00C7295F"/>
    <w:rsid w:val="00C739D5"/>
    <w:rsid w:val="00C73C7B"/>
    <w:rsid w:val="00C747FC"/>
    <w:rsid w:val="00C7558E"/>
    <w:rsid w:val="00C77AEA"/>
    <w:rsid w:val="00C80E48"/>
    <w:rsid w:val="00C82E90"/>
    <w:rsid w:val="00C84BA7"/>
    <w:rsid w:val="00C85516"/>
    <w:rsid w:val="00C865B2"/>
    <w:rsid w:val="00C865DE"/>
    <w:rsid w:val="00C87790"/>
    <w:rsid w:val="00C94BD4"/>
    <w:rsid w:val="00C97358"/>
    <w:rsid w:val="00CA60C6"/>
    <w:rsid w:val="00CB0407"/>
    <w:rsid w:val="00CB2B0A"/>
    <w:rsid w:val="00CB4369"/>
    <w:rsid w:val="00CB4664"/>
    <w:rsid w:val="00CB52D6"/>
    <w:rsid w:val="00CB5ECD"/>
    <w:rsid w:val="00CB7D10"/>
    <w:rsid w:val="00CB7E1F"/>
    <w:rsid w:val="00CB7E32"/>
    <w:rsid w:val="00CC044F"/>
    <w:rsid w:val="00CC1F95"/>
    <w:rsid w:val="00CC2A44"/>
    <w:rsid w:val="00CC3966"/>
    <w:rsid w:val="00CC40E2"/>
    <w:rsid w:val="00CC569E"/>
    <w:rsid w:val="00CC5EA2"/>
    <w:rsid w:val="00CC7205"/>
    <w:rsid w:val="00CD22C4"/>
    <w:rsid w:val="00CD26EB"/>
    <w:rsid w:val="00CD293B"/>
    <w:rsid w:val="00CD3321"/>
    <w:rsid w:val="00CD3965"/>
    <w:rsid w:val="00CD3D1F"/>
    <w:rsid w:val="00CD5F8C"/>
    <w:rsid w:val="00CD6373"/>
    <w:rsid w:val="00CD6E71"/>
    <w:rsid w:val="00CE02EF"/>
    <w:rsid w:val="00CE034D"/>
    <w:rsid w:val="00CE2970"/>
    <w:rsid w:val="00CE3F76"/>
    <w:rsid w:val="00CE48C6"/>
    <w:rsid w:val="00CE54EB"/>
    <w:rsid w:val="00CE5560"/>
    <w:rsid w:val="00CE569B"/>
    <w:rsid w:val="00CE5DFF"/>
    <w:rsid w:val="00CE79CF"/>
    <w:rsid w:val="00CF24D4"/>
    <w:rsid w:val="00CF2D13"/>
    <w:rsid w:val="00CF333A"/>
    <w:rsid w:val="00CF373B"/>
    <w:rsid w:val="00CF5D33"/>
    <w:rsid w:val="00CF7179"/>
    <w:rsid w:val="00CF76DD"/>
    <w:rsid w:val="00D01F5F"/>
    <w:rsid w:val="00D027CD"/>
    <w:rsid w:val="00D02E1E"/>
    <w:rsid w:val="00D02EA1"/>
    <w:rsid w:val="00D03F8C"/>
    <w:rsid w:val="00D052DC"/>
    <w:rsid w:val="00D05985"/>
    <w:rsid w:val="00D05A1F"/>
    <w:rsid w:val="00D05D95"/>
    <w:rsid w:val="00D10A86"/>
    <w:rsid w:val="00D10D19"/>
    <w:rsid w:val="00D1432C"/>
    <w:rsid w:val="00D145B7"/>
    <w:rsid w:val="00D15E70"/>
    <w:rsid w:val="00D17D41"/>
    <w:rsid w:val="00D21825"/>
    <w:rsid w:val="00D22B9C"/>
    <w:rsid w:val="00D319D2"/>
    <w:rsid w:val="00D31F6C"/>
    <w:rsid w:val="00D32B90"/>
    <w:rsid w:val="00D335E8"/>
    <w:rsid w:val="00D33C60"/>
    <w:rsid w:val="00D35342"/>
    <w:rsid w:val="00D3562D"/>
    <w:rsid w:val="00D37680"/>
    <w:rsid w:val="00D376AF"/>
    <w:rsid w:val="00D41D3B"/>
    <w:rsid w:val="00D43352"/>
    <w:rsid w:val="00D44291"/>
    <w:rsid w:val="00D44CF6"/>
    <w:rsid w:val="00D45E68"/>
    <w:rsid w:val="00D55C1E"/>
    <w:rsid w:val="00D56B47"/>
    <w:rsid w:val="00D56F36"/>
    <w:rsid w:val="00D6022B"/>
    <w:rsid w:val="00D6073C"/>
    <w:rsid w:val="00D63296"/>
    <w:rsid w:val="00D63BA6"/>
    <w:rsid w:val="00D64CE7"/>
    <w:rsid w:val="00D64F89"/>
    <w:rsid w:val="00D66677"/>
    <w:rsid w:val="00D67D9A"/>
    <w:rsid w:val="00D67F81"/>
    <w:rsid w:val="00D7064F"/>
    <w:rsid w:val="00D712E1"/>
    <w:rsid w:val="00D71970"/>
    <w:rsid w:val="00D719DE"/>
    <w:rsid w:val="00D71CF3"/>
    <w:rsid w:val="00D72EFC"/>
    <w:rsid w:val="00D7390C"/>
    <w:rsid w:val="00D74F12"/>
    <w:rsid w:val="00D75936"/>
    <w:rsid w:val="00D76B5D"/>
    <w:rsid w:val="00D80000"/>
    <w:rsid w:val="00D813AF"/>
    <w:rsid w:val="00D81743"/>
    <w:rsid w:val="00D82715"/>
    <w:rsid w:val="00D837D0"/>
    <w:rsid w:val="00D84C43"/>
    <w:rsid w:val="00D84D29"/>
    <w:rsid w:val="00D872DB"/>
    <w:rsid w:val="00D87483"/>
    <w:rsid w:val="00D91A1B"/>
    <w:rsid w:val="00D93125"/>
    <w:rsid w:val="00D934DF"/>
    <w:rsid w:val="00D9351D"/>
    <w:rsid w:val="00D93A92"/>
    <w:rsid w:val="00D94F55"/>
    <w:rsid w:val="00D95852"/>
    <w:rsid w:val="00D95A1A"/>
    <w:rsid w:val="00D97266"/>
    <w:rsid w:val="00DA0E83"/>
    <w:rsid w:val="00DA11EC"/>
    <w:rsid w:val="00DA4917"/>
    <w:rsid w:val="00DA520C"/>
    <w:rsid w:val="00DA7881"/>
    <w:rsid w:val="00DB0E03"/>
    <w:rsid w:val="00DB17F2"/>
    <w:rsid w:val="00DB205C"/>
    <w:rsid w:val="00DB3719"/>
    <w:rsid w:val="00DB3930"/>
    <w:rsid w:val="00DB687C"/>
    <w:rsid w:val="00DC0554"/>
    <w:rsid w:val="00DC3C0E"/>
    <w:rsid w:val="00DC5485"/>
    <w:rsid w:val="00DC7A67"/>
    <w:rsid w:val="00DC7E62"/>
    <w:rsid w:val="00DD018F"/>
    <w:rsid w:val="00DD089A"/>
    <w:rsid w:val="00DD0F06"/>
    <w:rsid w:val="00DD4DC6"/>
    <w:rsid w:val="00DD5DE7"/>
    <w:rsid w:val="00DD7778"/>
    <w:rsid w:val="00DE0BA9"/>
    <w:rsid w:val="00DE239A"/>
    <w:rsid w:val="00DE2991"/>
    <w:rsid w:val="00DE2D19"/>
    <w:rsid w:val="00DE37C6"/>
    <w:rsid w:val="00DE7CEE"/>
    <w:rsid w:val="00DE7ECA"/>
    <w:rsid w:val="00DF11E1"/>
    <w:rsid w:val="00DF16F6"/>
    <w:rsid w:val="00DF1A57"/>
    <w:rsid w:val="00DF2E97"/>
    <w:rsid w:val="00DF3C0E"/>
    <w:rsid w:val="00DF7160"/>
    <w:rsid w:val="00E02590"/>
    <w:rsid w:val="00E02859"/>
    <w:rsid w:val="00E02BF2"/>
    <w:rsid w:val="00E04C84"/>
    <w:rsid w:val="00E05592"/>
    <w:rsid w:val="00E06770"/>
    <w:rsid w:val="00E07EBA"/>
    <w:rsid w:val="00E1494F"/>
    <w:rsid w:val="00E155A2"/>
    <w:rsid w:val="00E21588"/>
    <w:rsid w:val="00E2287D"/>
    <w:rsid w:val="00E25430"/>
    <w:rsid w:val="00E26F95"/>
    <w:rsid w:val="00E275B4"/>
    <w:rsid w:val="00E27EF2"/>
    <w:rsid w:val="00E343B1"/>
    <w:rsid w:val="00E36BF8"/>
    <w:rsid w:val="00E37C76"/>
    <w:rsid w:val="00E407D5"/>
    <w:rsid w:val="00E40B56"/>
    <w:rsid w:val="00E41104"/>
    <w:rsid w:val="00E41303"/>
    <w:rsid w:val="00E430D2"/>
    <w:rsid w:val="00E43CE1"/>
    <w:rsid w:val="00E44AF7"/>
    <w:rsid w:val="00E45F95"/>
    <w:rsid w:val="00E50BCC"/>
    <w:rsid w:val="00E52BF9"/>
    <w:rsid w:val="00E536D8"/>
    <w:rsid w:val="00E55BDF"/>
    <w:rsid w:val="00E61927"/>
    <w:rsid w:val="00E62493"/>
    <w:rsid w:val="00E62F41"/>
    <w:rsid w:val="00E63CD2"/>
    <w:rsid w:val="00E64549"/>
    <w:rsid w:val="00E66D5F"/>
    <w:rsid w:val="00E67D59"/>
    <w:rsid w:val="00E7161C"/>
    <w:rsid w:val="00E73096"/>
    <w:rsid w:val="00E8230E"/>
    <w:rsid w:val="00E823D3"/>
    <w:rsid w:val="00E84D45"/>
    <w:rsid w:val="00E8502D"/>
    <w:rsid w:val="00E86ED5"/>
    <w:rsid w:val="00E93835"/>
    <w:rsid w:val="00E96ADE"/>
    <w:rsid w:val="00E96BCE"/>
    <w:rsid w:val="00E97396"/>
    <w:rsid w:val="00EA1C02"/>
    <w:rsid w:val="00EA2F9B"/>
    <w:rsid w:val="00EA3254"/>
    <w:rsid w:val="00EA3A36"/>
    <w:rsid w:val="00EA5B8E"/>
    <w:rsid w:val="00EA6AC1"/>
    <w:rsid w:val="00EB5F96"/>
    <w:rsid w:val="00EB6B2A"/>
    <w:rsid w:val="00EB6C52"/>
    <w:rsid w:val="00EB6C55"/>
    <w:rsid w:val="00EB7FE5"/>
    <w:rsid w:val="00EC0896"/>
    <w:rsid w:val="00EC3631"/>
    <w:rsid w:val="00EC423B"/>
    <w:rsid w:val="00EC4A8C"/>
    <w:rsid w:val="00ED06EF"/>
    <w:rsid w:val="00ED261D"/>
    <w:rsid w:val="00ED5FE9"/>
    <w:rsid w:val="00ED654E"/>
    <w:rsid w:val="00EE0D94"/>
    <w:rsid w:val="00EE0E7F"/>
    <w:rsid w:val="00EE42B9"/>
    <w:rsid w:val="00EE4505"/>
    <w:rsid w:val="00EE5A0B"/>
    <w:rsid w:val="00EE5BA1"/>
    <w:rsid w:val="00EF066A"/>
    <w:rsid w:val="00EF0E2D"/>
    <w:rsid w:val="00EF1A12"/>
    <w:rsid w:val="00EF1E62"/>
    <w:rsid w:val="00EF2C6F"/>
    <w:rsid w:val="00EF45F5"/>
    <w:rsid w:val="00EF4F55"/>
    <w:rsid w:val="00EF6CAC"/>
    <w:rsid w:val="00F01416"/>
    <w:rsid w:val="00F0413C"/>
    <w:rsid w:val="00F0437F"/>
    <w:rsid w:val="00F046A9"/>
    <w:rsid w:val="00F0624C"/>
    <w:rsid w:val="00F0796B"/>
    <w:rsid w:val="00F07A8B"/>
    <w:rsid w:val="00F11929"/>
    <w:rsid w:val="00F11C81"/>
    <w:rsid w:val="00F124A3"/>
    <w:rsid w:val="00F1316E"/>
    <w:rsid w:val="00F13B70"/>
    <w:rsid w:val="00F14035"/>
    <w:rsid w:val="00F23599"/>
    <w:rsid w:val="00F240B3"/>
    <w:rsid w:val="00F25414"/>
    <w:rsid w:val="00F25C9D"/>
    <w:rsid w:val="00F25E38"/>
    <w:rsid w:val="00F2725C"/>
    <w:rsid w:val="00F312AD"/>
    <w:rsid w:val="00F31ED9"/>
    <w:rsid w:val="00F34308"/>
    <w:rsid w:val="00F34B65"/>
    <w:rsid w:val="00F352AD"/>
    <w:rsid w:val="00F363AA"/>
    <w:rsid w:val="00F36B74"/>
    <w:rsid w:val="00F37D12"/>
    <w:rsid w:val="00F44AFA"/>
    <w:rsid w:val="00F455CA"/>
    <w:rsid w:val="00F458C6"/>
    <w:rsid w:val="00F46868"/>
    <w:rsid w:val="00F46F3F"/>
    <w:rsid w:val="00F47778"/>
    <w:rsid w:val="00F508A3"/>
    <w:rsid w:val="00F520F2"/>
    <w:rsid w:val="00F54734"/>
    <w:rsid w:val="00F54744"/>
    <w:rsid w:val="00F56B2D"/>
    <w:rsid w:val="00F57F3D"/>
    <w:rsid w:val="00F600FA"/>
    <w:rsid w:val="00F61350"/>
    <w:rsid w:val="00F6213E"/>
    <w:rsid w:val="00F629D7"/>
    <w:rsid w:val="00F65FA5"/>
    <w:rsid w:val="00F66982"/>
    <w:rsid w:val="00F67474"/>
    <w:rsid w:val="00F71919"/>
    <w:rsid w:val="00F71F3E"/>
    <w:rsid w:val="00F7242B"/>
    <w:rsid w:val="00F7335E"/>
    <w:rsid w:val="00F742F8"/>
    <w:rsid w:val="00F749BD"/>
    <w:rsid w:val="00F750AD"/>
    <w:rsid w:val="00F7776B"/>
    <w:rsid w:val="00F8141F"/>
    <w:rsid w:val="00F82E4C"/>
    <w:rsid w:val="00F83D4F"/>
    <w:rsid w:val="00F90FDA"/>
    <w:rsid w:val="00F918EA"/>
    <w:rsid w:val="00F92BC2"/>
    <w:rsid w:val="00F931E1"/>
    <w:rsid w:val="00F93478"/>
    <w:rsid w:val="00F9380A"/>
    <w:rsid w:val="00F940E4"/>
    <w:rsid w:val="00F96967"/>
    <w:rsid w:val="00FA06AA"/>
    <w:rsid w:val="00FA2C5C"/>
    <w:rsid w:val="00FA4603"/>
    <w:rsid w:val="00FA4CC6"/>
    <w:rsid w:val="00FA7214"/>
    <w:rsid w:val="00FA74E9"/>
    <w:rsid w:val="00FB19C5"/>
    <w:rsid w:val="00FB2511"/>
    <w:rsid w:val="00FB2D72"/>
    <w:rsid w:val="00FB6CEA"/>
    <w:rsid w:val="00FB774D"/>
    <w:rsid w:val="00FC05F9"/>
    <w:rsid w:val="00FC247B"/>
    <w:rsid w:val="00FC306F"/>
    <w:rsid w:val="00FC6A82"/>
    <w:rsid w:val="00FC7E44"/>
    <w:rsid w:val="00FD0031"/>
    <w:rsid w:val="00FD0177"/>
    <w:rsid w:val="00FD29AE"/>
    <w:rsid w:val="00FD5AEA"/>
    <w:rsid w:val="00FE0C34"/>
    <w:rsid w:val="00FE0D4D"/>
    <w:rsid w:val="00FE19FC"/>
    <w:rsid w:val="00FE274E"/>
    <w:rsid w:val="00FE47BD"/>
    <w:rsid w:val="00FE5353"/>
    <w:rsid w:val="00FE780B"/>
    <w:rsid w:val="00FF005D"/>
    <w:rsid w:val="00FF0714"/>
    <w:rsid w:val="00FF0BE7"/>
    <w:rsid w:val="00FF2703"/>
    <w:rsid w:val="00FF27CE"/>
    <w:rsid w:val="00FF3638"/>
    <w:rsid w:val="00FF6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E1A9CCD"/>
  <w15:docId w15:val="{2EC50BF0-361B-C441-9A50-5C932FAB5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4D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D319D2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23A6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4D23A6"/>
  </w:style>
  <w:style w:type="paragraph" w:styleId="Footer">
    <w:name w:val="footer"/>
    <w:basedOn w:val="Normal"/>
    <w:link w:val="FooterChar"/>
    <w:uiPriority w:val="99"/>
    <w:unhideWhenUsed/>
    <w:rsid w:val="004D23A6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4D23A6"/>
  </w:style>
  <w:style w:type="character" w:customStyle="1" w:styleId="Heading1Char">
    <w:name w:val="Heading 1 Char"/>
    <w:basedOn w:val="DefaultParagraphFont"/>
    <w:link w:val="Heading1"/>
    <w:uiPriority w:val="9"/>
    <w:rsid w:val="00D319D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paragraph" w:styleId="Bibliography">
    <w:name w:val="Bibliography"/>
    <w:basedOn w:val="Normal"/>
    <w:next w:val="Normal"/>
    <w:uiPriority w:val="37"/>
    <w:unhideWhenUsed/>
    <w:rsid w:val="00D319D2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eGrid">
    <w:name w:val="Table Grid"/>
    <w:basedOn w:val="TableNormal"/>
    <w:uiPriority w:val="39"/>
    <w:rsid w:val="005738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4101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41019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7B8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7B8E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665FD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7F20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2D6780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AA19A6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3343AF"/>
  </w:style>
  <w:style w:type="character" w:customStyle="1" w:styleId="title-text">
    <w:name w:val="title-text"/>
    <w:basedOn w:val="DefaultParagraphFont"/>
    <w:rsid w:val="000B02D9"/>
  </w:style>
  <w:style w:type="character" w:customStyle="1" w:styleId="sr-only">
    <w:name w:val="sr-only"/>
    <w:basedOn w:val="DefaultParagraphFont"/>
    <w:rsid w:val="000B02D9"/>
  </w:style>
  <w:style w:type="character" w:customStyle="1" w:styleId="text">
    <w:name w:val="text"/>
    <w:basedOn w:val="DefaultParagraphFont"/>
    <w:rsid w:val="000B02D9"/>
  </w:style>
  <w:style w:type="character" w:customStyle="1" w:styleId="author-ref">
    <w:name w:val="author-ref"/>
    <w:basedOn w:val="DefaultParagraphFont"/>
    <w:rsid w:val="000B02D9"/>
  </w:style>
  <w:style w:type="character" w:styleId="Emphasis">
    <w:name w:val="Emphasis"/>
    <w:basedOn w:val="DefaultParagraphFont"/>
    <w:uiPriority w:val="20"/>
    <w:qFormat/>
    <w:rsid w:val="00D052DC"/>
    <w:rPr>
      <w:i/>
      <w:iCs/>
    </w:rPr>
  </w:style>
  <w:style w:type="paragraph" w:styleId="Revision">
    <w:name w:val="Revision"/>
    <w:hidden/>
    <w:uiPriority w:val="99"/>
    <w:semiHidden/>
    <w:rsid w:val="008A0D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8A0D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0D8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0D8D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0D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0D8D"/>
    <w:rPr>
      <w:rFonts w:ascii="Times New Roman" w:eastAsia="Times New Roman" w:hAnsi="Times New Roman" w:cs="Times New Roman"/>
      <w:b/>
      <w:bCs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55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7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43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285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779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29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67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620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86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756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2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6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1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1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52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65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756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1718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28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93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082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20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2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1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9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9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6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1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5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7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8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76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04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81769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19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7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0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8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99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78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4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1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2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8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1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9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4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57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23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18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4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5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45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377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emf"/><Relationship Id="rId18" Type="http://schemas.openxmlformats.org/officeDocument/2006/relationships/image" Target="media/image11.emf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image" Target="media/image10.emf"/><Relationship Id="rId2" Type="http://schemas.openxmlformats.org/officeDocument/2006/relationships/numbering" Target="numbering.xml"/><Relationship Id="rId16" Type="http://schemas.openxmlformats.org/officeDocument/2006/relationships/image" Target="media/image9.emf"/><Relationship Id="rId20" Type="http://schemas.openxmlformats.org/officeDocument/2006/relationships/image" Target="media/image13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23" Type="http://schemas.openxmlformats.org/officeDocument/2006/relationships/theme" Target="theme/theme1.xml"/><Relationship Id="rId10" Type="http://schemas.openxmlformats.org/officeDocument/2006/relationships/image" Target="media/image3.emf"/><Relationship Id="rId19" Type="http://schemas.openxmlformats.org/officeDocument/2006/relationships/image" Target="media/image12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>
  <b:Source>
    <b:Tag>Cwi05</b:Tag>
    <b:SourceType>JournalArticle</b:SourceType>
    <b:Guid>{872F5924-140B-46F2-9DBA-796EFA909FE1}</b:Guid>
    <b:Title>The Inverted Yield Curve and the Economic Downturn</b:Title>
    <b:Year>2005</b:Year>
    <b:JournalName>New Perspectives on Political Economy</b:JournalName>
    <b:Pages>1-37</b:Pages>
    <b:Author>
      <b:Author>
        <b:NameList>
          <b:Person>
            <b:Last>Cwik</b:Last>
            <b:First>P., F</b:First>
          </b:Person>
        </b:NameList>
      </b:Author>
    </b:Author>
    <b:Volume>1</b:Volume>
    <b:Issue>1</b:Issue>
    <b:RefOrder>4</b:RefOrder>
  </b:Source>
  <b:Source>
    <b:Tag>Bar</b:Tag>
    <b:SourceType>JournalArticle</b:SourceType>
    <b:Guid>{BB786628-7524-43E3-AEBD-0695C38461E6}</b:Guid>
    <b:Author>
      <b:Author>
        <b:NameList>
          <b:Person>
            <b:Last> Barro</b:Last>
            <b:First>R., J.</b:First>
          </b:Person>
          <b:Person>
            <b:Last>Ursúa</b:Last>
            <b:First>J., F.</b:First>
          </b:Person>
          <b:Person>
            <b:Last>Weng</b:Last>
            <b:First>J.</b:First>
          </b:Person>
        </b:NameList>
      </b:Author>
    </b:Author>
    <b:Title>The coronavirus and the great influenza pandemic: lessons from the “Spanish flu” for the coronavirus’s potential effects on mortality and economic activity</b:Title>
    <b:JournalName>NBER WORKING PAPER SERIES Working Paper 26866</b:JournalName>
    <b:Year>2020</b:Year>
    <b:RefOrder>7</b:RefOrder>
  </b:Source>
  <b:Source>
    <b:Tag>IMF201</b:Tag>
    <b:SourceType>Report</b:SourceType>
    <b:Guid>{20B3F122-1D3C-4D55-BCB4-DF992F6E1C26}</b:Guid>
    <b:Author>
      <b:Author>
        <b:NameList>
          <b:Person>
            <b:Last>IMF</b:Last>
          </b:Person>
        </b:NameList>
      </b:Author>
    </b:Author>
    <b:Title>Global Financial Stability Report: Markets in the Time of COVID-19</b:Title>
    <b:Year>2020</b:Year>
    <b:Publisher>IMF</b:Publisher>
    <b:City>Washington</b:City>
    <b:RefOrder>8</b:RefOrder>
  </b:Source>
  <b:Source>
    <b:Tag>IMF20</b:Tag>
    <b:SourceType>Report</b:SourceType>
    <b:Guid>{76C0AA1D-E46B-429E-BA13-CEF5CC0761AB}</b:Guid>
    <b:Title>World Economic Outlook, April 2020: The Great Lockdown</b:Title>
    <b:Year>2020</b:Year>
    <b:City>Washington</b:City>
    <b:Publisher>IMF</b:Publisher>
    <b:Author>
      <b:Author>
        <b:NameList>
          <b:Person>
            <b:Last>IMF</b:Last>
          </b:Person>
        </b:NameList>
      </b:Author>
    </b:Author>
    <b:RefOrder>9</b:RefOrder>
  </b:Source>
  <b:Source>
    <b:Tag>Per03</b:Tag>
    <b:SourceType>JournalArticle</b:SourceType>
    <b:Guid>{36788C68-5C7F-45F3-8E48-D80FB1F5A7CE}</b:Guid>
    <b:Title>A primer on financial contagion</b:Title>
    <b:Year>2003</b:Year>
    <b:JournalName>Journal of Economic Survey</b:JournalName>
    <b:Pages>571–608</b:Pages>
    <b:Author>
      <b:Author>
        <b:NameList>
          <b:Person>
            <b:Last>Pericoli</b:Last>
            <b:First>M.</b:First>
          </b:Person>
          <b:Person>
            <b:Last>Sbracia</b:Last>
            <b:First>M.</b:First>
          </b:Person>
        </b:NameList>
      </b:Author>
    </b:Author>
    <b:Volume>17</b:Volume>
    <b:Issue>4</b:Issue>
    <b:RefOrder>1</b:RefOrder>
  </b:Source>
  <b:Source>
    <b:Tag>Cap96</b:Tag>
    <b:SourceType>JournalArticle</b:SourceType>
    <b:Guid>{1447DB8B-CB01-47C4-B8D5-EE7CF9933D01}</b:Guid>
    <b:Title>Bank insolvencies: cross-country experience</b:Title>
    <b:JournalName>Policy ResearchWorking Paper</b:JournalName>
    <b:Year>1996</b:Year>
    <b:Author>
      <b:Author>
        <b:NameList>
          <b:Person>
            <b:Last>Caprio</b:Last>
            <b:First>G.</b:First>
          </b:Person>
          <b:Person>
            <b:Last>Klingebiel</b:Last>
            <b:First>D.</b:First>
          </b:Person>
        </b:NameList>
      </b:Author>
    </b:Author>
    <b:Volume>No. 1620.</b:Volume>
    <b:RefOrder>2</b:RefOrder>
  </b:Source>
  <b:Source>
    <b:Tag>Placeholder1</b:Tag>
    <b:SourceType>JournalArticle</b:SourceType>
    <b:Guid>{105F4CEA-8BCF-4D10-A4B7-569617B7ADF4}</b:Guid>
    <b:Title>The twin crises: the causes of banking and balance of payments</b:Title>
    <b:JournalName>The American Economic Review</b:JournalName>
    <b:Year>1999</b:Year>
    <b:Author>
      <b:Author>
        <b:NameList>
          <b:Person>
            <b:Last>Kaminsky</b:Last>
            <b:First>L., G.</b:First>
          </b:Person>
          <b:Person>
            <b:Last>Reinhart</b:Last>
            <b:First>C., M.</b:First>
          </b:Person>
        </b:NameList>
      </b:Author>
    </b:Author>
    <b:Volume>89</b:Volume>
    <b:Issue>3</b:Issue>
    <b:RefOrder>10</b:RefOrder>
  </b:Source>
  <b:Source>
    <b:Tag>Lae08</b:Tag>
    <b:SourceType>JournalArticle</b:SourceType>
    <b:Guid>{932608F9-DF38-4416-8EDC-D4A0C631A99F}</b:Guid>
    <b:Title>Systematic banking crises. A new database.</b:Title>
    <b:JournalName>IMF Working Paper</b:JournalName>
    <b:Year>2008</b:Year>
    <b:Author>
      <b:Author>
        <b:NameList>
          <b:Person>
            <b:Last>Laeven</b:Last>
            <b:First>L.</b:First>
          </b:Person>
          <b:Person>
            <b:Last>Valencia</b:Last>
            <b:First>F.</b:First>
          </b:Person>
        </b:NameList>
      </b:Author>
    </b:Author>
    <b:Volume>(08/224)</b:Volume>
    <b:RefOrder>11</b:RefOrder>
  </b:Source>
  <b:Source>
    <b:Tag>Lae13</b:Tag>
    <b:SourceType>JournalArticle</b:SourceType>
    <b:Guid>{69B3A72B-AE8A-4B09-B0F0-C27BF4C9713F}</b:Guid>
    <b:Title>Systemic banking crises database</b:Title>
    <b:JournalName>IMF Economic Review</b:JournalName>
    <b:Year>2013</b:Year>
    <b:Pages>225–270</b:Pages>
    <b:Author>
      <b:Author>
        <b:NameList>
          <b:Person>
            <b:Last>Laeven</b:Last>
            <b:First>L.</b:First>
          </b:Person>
          <b:Person>
            <b:Last>Valencia</b:Last>
            <b:First>F.</b:First>
          </b:Person>
        </b:NameList>
      </b:Author>
    </b:Author>
    <b:Volume>61</b:Volume>
    <b:RefOrder>12</b:RefOrder>
  </b:Source>
  <b:Source>
    <b:Tag>Gor98</b:Tag>
    <b:SourceType>JournalArticle</b:SourceType>
    <b:Guid>{417974A2-35B4-4F3F-9752-7C5753044432}</b:Guid>
    <b:Title>Banking panics and business cycles</b:Title>
    <b:JournalName>Oxford Economic Papers</b:JournalName>
    <b:Year>1998</b:Year>
    <b:Pages>751–781</b:Pages>
    <b:Author>
      <b:Author>
        <b:NameList>
          <b:Person>
            <b:Last>Gorton</b:Last>
            <b:First>G.</b:First>
          </b:Person>
        </b:NameList>
      </b:Author>
    </b:Author>
    <b:Volume>40</b:Volume>
    <b:Issue>4</b:Issue>
    <b:RefOrder>3</b:RefOrder>
  </b:Source>
  <b:Source>
    <b:Tag>Ill</b:Tag>
    <b:SourceType>JournalArticle</b:SourceType>
    <b:Guid>{967FECD5-B284-4D5B-AC44-2BF29B0F7478}</b:Guid>
    <b:Title>Measuring financial stress in a developed country: an application to Canada</b:Title>
    <b:Author>
      <b:Author>
        <b:NameList>
          <b:Person>
            <b:Last>Illing</b:Last>
            <b:First>M.</b:First>
          </b:Person>
          <b:Person>
            <b:Last>Liu</b:Last>
            <b:First>Y.</b:First>
          </b:Person>
        </b:NameList>
      </b:Author>
    </b:Author>
    <b:JournalName>Journal of Fincial Stability</b:JournalName>
    <b:Year>2006</b:Year>
    <b:Pages>243-265</b:Pages>
    <b:Volume>2</b:Volume>
    <b:Issue>6</b:Issue>
    <b:RefOrder>13</b:RefOrder>
  </b:Source>
  <b:Source>
    <b:Tag>Car09</b:Tag>
    <b:SourceType>JournalArticle</b:SourceType>
    <b:Guid>{78898152-7AD5-4694-8C40-82DC7E7A35B9}</b:Guid>
    <b:Title>Financial stress, downturns, and recoveries</b:Title>
    <b:JournalName>IMF Working Paper</b:JournalName>
    <b:Year>2009</b:Year>
    <b:Author>
      <b:Author>
        <b:NameList>
          <b:Person>
            <b:Last>Cardarelli</b:Last>
            <b:First>R.</b:First>
          </b:Person>
          <b:Person>
            <b:Last>Elekdag</b:Last>
            <b:First>S.</b:First>
          </b:Person>
          <b:Person>
            <b:Last>Lall</b:Last>
            <b:First>S.</b:First>
          </b:Person>
        </b:NameList>
      </b:Author>
    </b:Author>
    <b:Volume>09/100</b:Volume>
    <b:RefOrder>14</b:RefOrder>
  </b:Source>
  <b:Source>
    <b:Tag>Bor02</b:Tag>
    <b:SourceType>JournalArticle</b:SourceType>
    <b:Guid>{7EFF9683-5C42-4AE8-BC54-1014A620672A}</b:Guid>
    <b:Title>Assessing the risk of banking crisis</b:Title>
    <b:JournalName>BIS Quarter Review</b:JournalName>
    <b:Year>2002</b:Year>
    <b:Author>
      <b:Author>
        <b:NameList>
          <b:Person>
            <b:Last>Borio</b:Last>
            <b:First>C.</b:First>
          </b:Person>
          <b:Person>
            <b:Last>Lowe</b:Last>
            <b:First>P.</b:First>
          </b:Person>
        </b:NameList>
      </b:Author>
    </b:Author>
    <b:RefOrder>15</b:RefOrder>
  </b:Source>
  <b:Source>
    <b:Tag>Dav08</b:Tag>
    <b:SourceType>DocumentFromInternetSite</b:SourceType>
    <b:Guid>{9E170CF3-3878-49B9-8012-466EFF1A0205}</b:Guid>
    <b:Title>Comparing early warning systems for banking crises</b:Title>
    <b:Year>2008</b:Year>
    <b:Author>
      <b:Author>
        <b:NameList>
          <b:Person>
            <b:Last>Davis</b:Last>
            <b:First>E., P.</b:First>
          </b:Person>
          <b:Person>
            <b:Last>Karim</b:Last>
            <b:First>D.</b:First>
          </b:Person>
        </b:NameList>
      </b:Author>
    </b:Author>
    <b:URL>http://core.ac.uk/download/pdf/333748.pdf</b:URL>
    <b:RefOrder>16</b:RefOrder>
  </b:Source>
  <b:Source>
    <b:Tag>IMF09</b:Tag>
    <b:SourceType>DocumentFromInternetSite</b:SourceType>
    <b:Guid>{EFC781C3-C771-45A5-892E-665C683AA965}</b:Guid>
    <b:Title>World economic outlook: sustaining recovery</b:Title>
    <b:Year>2009</b:Year>
    <b:URL>https://www.imf.org/external/pubs/ft/weo/2009/02/pdf/text.pdf</b:URL>
    <b:Author>
      <b:Author>
        <b:NameList>
          <b:Person>
            <b:Last>IMF</b:Last>
          </b:Person>
        </b:NameList>
      </b:Author>
    </b:Author>
    <b:RefOrder>17</b:RefOrder>
  </b:Source>
  <b:Source>
    <b:Tag>Tom17</b:Tag>
    <b:SourceType>JournalArticle</b:SourceType>
    <b:Guid>{DB83332F-5C91-4847-A4E2-BC794A7AE94F}</b:Guid>
    <b:Title>The Impact of the 2007 –2008 Financial Crisis on the Banking Systems in Advanced European Countries</b:Title>
    <b:Year>2017</b:Year>
    <b:JournalName>Applied Economics Quarterly</b:JournalName>
    <b:Author>
      <b:Author>
        <b:NameList>
          <b:Person>
            <b:Last>Tomczak</b:Last>
            <b:First>K.</b:First>
          </b:Person>
        </b:NameList>
      </b:Author>
    </b:Author>
    <b:Volume>63</b:Volume>
    <b:Issue>2</b:Issue>
    <b:RefOrder>18</b:RefOrder>
  </b:Source>
  <b:Source>
    <b:Tag>IMF21</b:Tag>
    <b:SourceType>DocumentFromInternetSite</b:SourceType>
    <b:Guid>{13B66C69-99A1-CD46-93D5-98E274B02892}</b:Guid>
    <b:Author>
      <b:Author>
        <b:NameList>
          <b:Person>
            <b:Last>IMF</b:Last>
          </b:Person>
        </b:NameList>
      </b:Author>
    </b:Author>
    <b:Title>Chapter 2 After-effects of the Covid-19 Pandemic: Prospects for Medium-term Economic Damage.</b:Title>
    <b:Year>2021</b:Year>
    <b:InternetSiteTitle>World Economic Outlook, April 2021</b:InternetSiteTitle>
    <b:URL>https://doi.org/10.5089/9781513575025.081.ch002</b:URL>
    <b:RefOrder>19</b:RefOrder>
  </b:Source>
  <b:Source>
    <b:Tag>Zha20</b:Tag>
    <b:SourceType>JournalArticle</b:SourceType>
    <b:Guid>{0CB96E6B-76BE-F44C-9358-099F9EBA74DE}</b:Guid>
    <b:Title>Financia lmarkets under the global pandemic of COVID-19</b:Title>
    <b:JournalName>Finance Research Letters</b:JournalName>
    <b:Year>2020</b:Year>
    <b:Pages>in press</b:Pages>
    <b:Author>
      <b:Author>
        <b:NameList>
          <b:Person>
            <b:Last>Zhang</b:Last>
            <b:First>D.</b:First>
          </b:Person>
          <b:Person>
            <b:Last>Hu</b:Last>
            <b:First>M.</b:First>
          </b:Person>
          <b:Person>
            <b:Last>Ji</b:Last>
            <b:First>Q.</b:First>
          </b:Person>
        </b:NameList>
      </b:Author>
    </b:Author>
    <b:RefOrder>20</b:RefOrder>
  </b:Source>
  <b:Source>
    <b:Tag>Bak20</b:Tag>
    <b:SourceType>JournalArticle</b:SourceType>
    <b:Guid>{0BD26004-276D-224F-A462-D5BEC1D25B49}</b:Guid>
    <b:Title>The Unprecedented Stock Market Reaction to COVID-19 </b:Title>
    <b:Year>2020</b:Year>
    <b:JournalName>The Review of Asset Pricing Studies</b:JournalName>
    <b:Pages>742-758</b:Pages>
    <b:Author>
      <b:Author>
        <b:NameList>
          <b:Person>
            <b:Last>Baker</b:Last>
            <b:First>S., R.</b:First>
          </b:Person>
          <b:Person>
            <b:Last>Bloom</b:Last>
            <b:First>N.</b:First>
          </b:Person>
          <b:Person>
            <b:Last>Davis</b:Last>
            <b:First>S., J,</b:First>
          </b:Person>
          <b:Person>
            <b:Last>Kost</b:Last>
            <b:First>K.</b:First>
          </b:Person>
          <b:Person>
            <b:Last>Sammon</b:Last>
            <b:First>M.</b:First>
          </b:Person>
          <b:Person>
            <b:Last>Viratyosin</b:Last>
            <b:First>T.</b:First>
          </b:Person>
        </b:NameList>
      </b:Author>
    </b:Author>
    <b:RefOrder>21</b:RefOrder>
  </b:Source>
  <b:Source>
    <b:Tag>Dem21</b:Tag>
    <b:SourceType>JournalArticle</b:SourceType>
    <b:Guid>{CBA3A303-0EA1-DF45-8425-DCA5071A3FFC}</b:Guid>
    <b:Title>Banking sector performance during the COVID-19 crisis</b:Title>
    <b:JournalName>Journal of Banking &amp; Finance</b:JournalName>
    <b:Year>2021</b:Year>
    <b:Author>
      <b:Author>
        <b:NameList>
          <b:Person>
            <b:Last>Demirgüç-Kunt</b:Last>
            <b:First>A.</b:First>
          </b:Person>
          <b:Person>
            <b:Last>Pedraza</b:Last>
            <b:First>A</b:First>
          </b:Person>
          <b:Person>
            <b:Last>Ruiz-Ortega </b:Last>
            <b:First>C.</b:First>
          </b:Person>
        </b:NameList>
      </b:Author>
    </b:Author>
    <b:Volume>133</b:Volume>
    <b:RefOrder>22</b:RefOrder>
  </b:Source>
  <b:Source>
    <b:Tag>Fog22</b:Tag>
    <b:SourceType>JournalArticle</b:SourceType>
    <b:Guid>{A0213402-D5B4-8D47-9EF3-FD7DC9C828FB}</b:Guid>
    <b:Title>The Eurozone banking sector in the time of COVID-19: Measuring volatility connectedness Author links open overlay panel</b:Title>
    <b:JournalName>Global Finance Journal</b:JournalName>
    <b:Year>2022</b:Year>
    <b:Author>
      <b:Author>
        <b:NameList>
          <b:Person>
            <b:Last>Foglia</b:Last>
            <b:First>M.</b:First>
          </b:Person>
          <b:Person>
            <b:Last>Addi</b:Last>
            <b:First>A.</b:First>
          </b:Person>
          <b:Person>
            <b:Last>Angelini</b:Last>
            <b:First>E.</b:First>
          </b:Person>
        </b:NameList>
      </b:Author>
    </b:Author>
    <b:Volume>51</b:Volume>
    <b:RefOrder>23</b:RefOrder>
  </b:Source>
  <b:Source>
    <b:Tag>Dem211</b:Tag>
    <b:SourceType>JournalArticle</b:SourceType>
    <b:Guid>{B1351AA1-F515-F347-B172-AF50B4D28209}</b:Guid>
    <b:Title>Banking sector reactions to COVID-19: The role of bank-specific factors and government policy responses</b:Title>
    <b:JournalName>Research in International Business and Finance</b:JournalName>
    <b:Year>2021</b:Year>
    <b:Author>
      <b:Author>
        <b:NameList>
          <b:Person>
            <b:Last>Demir</b:Last>
            <b:First>E.</b:First>
          </b:Person>
          <b:Person>
            <b:Last>Danisman</b:Last>
            <b:First>G., O.</b:First>
          </b:Person>
        </b:NameList>
      </b:Author>
    </b:Author>
    <b:Volume>58</b:Volume>
    <b:RefOrder>24</b:RefOrder>
  </b:Source>
  <b:Source>
    <b:Tag>Abb21</b:Tag>
    <b:SourceType>JournalArticle</b:SourceType>
    <b:Guid>{6B049B9E-CF14-584F-ACB3-D892AD9D4036}</b:Guid>
    <b:Title>COVID-19 as a stress test: assessing the bank regulatory framework.</b:Title>
    <b:JournalName>Working Paper</b:JournalName>
    <b:Year>2021</b:Year>
    <b:Author>
      <b:Author>
        <b:NameList>
          <b:Person>
            <b:Last>Abboud</b:Last>
            <b:First>A.</b:First>
          </b:Person>
          <b:Person>
            <b:Last>Duncan</b:Last>
            <b:First>E.</b:First>
          </b:Person>
          <b:Person>
            <b:Last>Horvath</b:Last>
            <b:First>A.</b:First>
          </b:Person>
          <b:Person>
            <b:Last>Iercosan</b:Last>
            <b:First>D.</b:First>
          </b:Person>
          <b:Person>
            <b:Last>Loudis</b:Last>
            <b:First>B.</b:First>
          </b:Person>
          <b:Person>
            <b:Last>Martinez</b:Last>
            <b:First>F.</b:First>
          </b:Person>
          <b:Person>
            <b:Last>Mooney</b:Last>
            <b:First>T.</b:First>
          </b:Person>
          <b:Person>
            <b:Last>Ranish</b:Last>
            <b:First>B.</b:First>
          </b:Person>
          <b:Person>
            <b:Last>Wang</b:Last>
            <b:First>K.</b:First>
          </b:Person>
          <b:Person>
            <b:Last>Warusawitharana</b:Last>
            <b:First>M.</b:First>
          </b:Person>
          <b:Person>
            <b:Last>Wix</b:Last>
            <b:First>C.</b:First>
          </b:Person>
        </b:NameList>
      </b:Author>
    </b:Author>
    <b:RefOrder>25</b:RefOrder>
  </b:Source>
  <b:Source>
    <b:Tag>Ach21</b:Tag>
    <b:SourceType>JournalArticle</b:SourceType>
    <b:Guid>{1788C72D-BB8D-4942-B6F8-455B731FA5AE}</b:Guid>
    <b:Title>Why did bank stocks crash during COVID-19?</b:Title>
    <b:JournalName>NBER Working Paper</b:JournalName>
    <b:Year>2021</b:Year>
    <b:Author>
      <b:Author>
        <b:NameList>
          <b:Person>
            <b:Last>Acharya </b:Last>
            <b:First>V.</b:First>
          </b:Person>
          <b:Person>
            <b:Last>Engle III </b:Last>
            <b:First>R., F.</b:First>
          </b:Person>
          <b:Person>
            <b:Last>Steffe</b:Last>
            <b:First>S.</b:First>
          </b:Person>
        </b:NameList>
      </b:Author>
    </b:Author>
    <b:Volume>Working Paper 28559</b:Volume>
    <b:RefOrder>26</b:RefOrder>
  </b:Source>
  <b:Source>
    <b:Tag>Bec21</b:Tag>
    <b:SourceType>JournalArticle</b:SourceType>
    <b:Guid>{94545540-CBE5-7B4B-B7C9-92D984F09D99}</b:Guid>
    <b:Title>Are Banks Catching Corona? Effects of Covid on Lending in the U.S</b:Title>
    <b:JournalName>CEPR Discussion Paper</b:JournalName>
    <b:Year>2021</b:Year>
    <b:Author>
      <b:Author>
        <b:NameList>
          <b:Person>
            <b:Last>Beck</b:Last>
            <b:First>T.</b:First>
          </b:Person>
        </b:NameList>
      </b:Author>
    </b:Author>
    <b:RefOrder>27</b:RefOrder>
  </b:Source>
  <b:Source>
    <b:Tag>Dua21</b:Tag>
    <b:SourceType>JournalArticle</b:SourceType>
    <b:Guid>{5D79CE4F-2C58-6246-A9CF-D344015FD0F1}</b:Guid>
    <b:Title>Bank systemic risk around COVID-19: A cross-country analysis</b:Title>
    <b:JournalName>Journal of Banking &amp; Finance</b:JournalName>
    <b:Year>2021</b:Year>
    <b:Author>
      <b:Author>
        <b:NameList>
          <b:Person>
            <b:Last>Duan, </b:Last>
            <b:First>Y.</b:First>
          </b:Person>
          <b:Person>
            <b:Last>El Ghoul</b:Last>
            <b:First>S,</b:First>
          </b:Person>
          <b:Person>
            <b:Last>Guedhami</b:Last>
            <b:First>O.</b:First>
          </b:Person>
          <b:Person>
            <b:Last>Li</b:Last>
            <b:First>H.</b:First>
          </b:Person>
          <b:Person>
            <b:Last>Li</b:Last>
            <b:First>X.</b:First>
          </b:Person>
        </b:NameList>
      </b:Author>
    </b:Author>
    <b:Volume>133</b:Volume>
    <b:RefOrder>28</b:RefOrder>
  </b:Source>
  <b:Source>
    <b:Tag>Dur21</b:Tag>
    <b:SourceType>JournalArticle</b:SourceType>
    <b:Guid>{F8F39CCE-09B5-4443-B2C0-7186AD1B89F9}</b:Guid>
    <b:Title>COVID-19, Bank Deposits, and Lending</b:Title>
    <b:JournalName>SSRN Working Paper </b:JournalName>
    <b:Year>2021</b:Year>
    <b:Author>
      <b:Author>
        <b:NameList>
          <b:Person>
            <b:Last>Dursun-de Neef</b:Last>
            <b:First>Ö</b:First>
          </b:Person>
          <b:Person>
            <b:Last>Schandlbauer</b:Last>
            <b:First>A.</b:First>
          </b:Person>
        </b:NameList>
      </b:Author>
    </b:Author>
    <b:RefOrder>29</b:RefOrder>
  </b:Source>
  <b:Source>
    <b:Tag>Par21</b:Tag>
    <b:SourceType>JournalArticle</b:SourceType>
    <b:Guid>{6787ADED-59B9-754A-866D-660F4192B553}</b:Guid>
    <b:Title>COVID-19, nonperforming loans, and cross-border bank lending</b:Title>
    <b:JournalName>Journal of Banking &amp; Finance</b:JournalName>
    <b:Year>2021</b:Year>
    <b:Author>
      <b:Author>
        <b:NameList>
          <b:Person>
            <b:Last>Park</b:Last>
            <b:First>C.-Y.</b:First>
          </b:Person>
          <b:Person>
            <b:Last>Shin</b:Last>
            <b:First>K.</b:First>
          </b:Person>
        </b:NameList>
      </b:Author>
    </b:Author>
    <b:Volume>133</b:Volume>
    <b:RefOrder>30</b:RefOrder>
  </b:Source>
  <b:Source>
    <b:Tag>Eln21</b:Tag>
    <b:SourceType>JournalArticle</b:SourceType>
    <b:Guid>{5A43D497-846C-5648-A30A-55AFABF92B26}</b:Guid>
    <b:Title>Global banking stability in the shadow of Covid-19 outbreak</b:Title>
    <b:JournalName>Journal of International Financial Markets, Institutions and Money</b:JournalName>
    <b:Year>2021</b:Year>
    <b:Author>
      <b:Author>
        <b:NameList>
          <b:Person>
            <b:Last>Elnahass</b:Last>
            <b:First>M.</b:First>
          </b:Person>
          <b:Person>
            <b:Last>Trinh</b:Last>
            <b:First>V., Q.</b:First>
          </b:Person>
          <b:Person>
            <b:Last>Li</b:Last>
            <b:First>T.</b:First>
          </b:Person>
        </b:NameList>
      </b:Author>
    </b:Author>
    <b:Volume>72</b:Volume>
    <b:RefOrder>31</b:RefOrder>
  </b:Source>
  <b:Source>
    <b:Tag>OEC</b:Tag>
    <b:SourceType>DocumentFromInternetSite</b:SourceType>
    <b:Guid>{BAB9BE7D-9AFA-7A4D-BC6D-17F5F7DD4D14}</b:Guid>
    <b:Author>
      <b:Author>
        <b:NameList>
          <b:Person>
            <b:Last>OECD</b:Last>
          </b:Person>
        </b:NameList>
      </b:Author>
    </b:Author>
    <b:Title>The impact of government bond yield increases on banks</b:Title>
    <b:Year>2017</b:Year>
    <b:InternetSiteTitle>OECD</b:InternetSiteTitle>
    <b:URL>https://www.oecd.org/economy/outlook/theimpactofgovernmentbondyieldincreasesonbanks.htm</b:URL>
    <b:RefOrder>32</b:RefOrder>
  </b:Source>
  <b:Source>
    <b:Tag>Kil21</b:Tag>
    <b:SourceType>JournalArticle</b:SourceType>
    <b:Guid>{3D0F3A11-993F-4D4A-8F4C-A519DD41646E}</b:Guid>
    <b:Title>The impact of the yield curve on bank equity returns: Evidence from Canada</b:Title>
    <b:Year>2021</b:Year>
    <b:JournalName>The Quarterly Review of Economics and Finance</b:JournalName>
    <b:Pages>319-329</b:Pages>
    <b:Author>
      <b:Author>
        <b:NameList>
          <b:Person>
            <b:Last>Killins</b:Last>
            <b:First>R., N.</b:First>
          </b:Person>
          <b:Person>
            <b:Last>Egly</b:Last>
            <b:First>P., V. </b:First>
          </b:Person>
          <b:Person>
            <b:Last>Batabyal</b:Last>
            <b:First>S.</b:First>
          </b:Person>
        </b:NameList>
      </b:Author>
    </b:Author>
    <b:Volume>81</b:Volume>
    <b:RefOrder>33</b:RefOrder>
  </b:Source>
  <b:Source>
    <b:Tag>Ayd16</b:Tag>
    <b:SourceType>JournalArticle</b:SourceType>
    <b:Guid>{4698DC69-BB8C-5F4B-8316-8A635EC85BB5}</b:Guid>
    <b:Title>Interest rates, the yield curve and bank profitability in an emerging market economy</b:Title>
    <b:JournalName>Economic Systems</b:JournalName>
    <b:Year>2016</b:Year>
    <b:Pages>670-682</b:Pages>
    <b:Author>
      <b:Author>
        <b:NameList>
          <b:Person>
            <b:Last>Aydemir</b:Last>
            <b:First>R.</b:First>
          </b:Person>
          <b:Person>
            <b:Last>Ovenc</b:Last>
            <b:First>G.</b:First>
          </b:Person>
        </b:NameList>
      </b:Author>
    </b:Author>
    <b:Volume>40</b:Volume>
    <b:Issue>4</b:Issue>
    <b:RefOrder>34</b:RefOrder>
  </b:Source>
  <b:Source>
    <b:Tag>Tab22</b:Tag>
    <b:SourceType>JournalArticle</b:SourceType>
    <b:Guid>{4C8B3DD5-F4E6-4346-B8F8-7B4A2C168DE6}</b:Guid>
    <b:Title>Analysis of connectivity between the world’s banking markets: The COVID-19 global pandemic shock</b:Title>
    <b:JournalName>The Quarterly Review of Economics and Finance</b:JournalName>
    <b:Year>2022</b:Year>
    <b:Pages>324-336</b:Pages>
    <b:Author>
      <b:Author>
        <b:NameList>
          <b:Person>
            <b:Last>Tabak </b:Last>
            <b:First>B.</b:First>
          </b:Person>
          <b:Person>
            <b:Last>Dalla Riva e Silva</b:Last>
            <b:First>I.</b:First>
          </b:Person>
          <b:Person>
            <b:Last>Silva</b:Last>
            <b:First>T.</b:First>
          </b:Person>
        </b:NameList>
      </b:Author>
    </b:Author>
    <b:RefOrder>6</b:RefOrder>
  </b:Source>
  <b:Source>
    <b:Tag>Lab21</b:Tag>
    <b:SourceType>JournalArticle</b:SourceType>
    <b:Guid>{3BCB775B-682F-F64A-9DEE-505516A2AA78}</b:Guid>
    <b:Title>Volatility spillover between economic sectors in financial crisis prediction: Evidence spanning the great financial crisis and Covid-19 pandemic</b:Title>
    <b:JournalName>Research in International Business and Finance</b:JournalName>
    <b:Year>2021</b:Year>
    <b:Author>
      <b:Author>
        <b:NameList>
          <b:Person>
            <b:Last>Laborda</b:Last>
            <b:First>R.</b:First>
          </b:Person>
          <b:Person>
            <b:Last>Olmo</b:Last>
            <b:First>J.</b:First>
          </b:Person>
        </b:NameList>
      </b:Author>
    </b:Author>
    <b:RefOrder>35</b:RefOrder>
  </b:Source>
  <b:Source>
    <b:Tag>Gon22</b:Tag>
    <b:SourceType>JournalArticle</b:SourceType>
    <b:Guid>{4845BCFE-6A12-4240-98EA-CAB6BC53BF20}</b:Guid>
    <b:Title>Does sovereign risk impact banking risk in the Eurozone? Evidence from the COVID-19 pandemic</b:Title>
    <b:JournalName>Finance Research Letter </b:JournalName>
    <b:Year>2022</b:Year>
    <b:Author>
      <b:Author>
        <b:NameList>
          <b:Person>
            <b:Last>González-Velasco</b:Last>
            <b:First>C.</b:First>
          </b:Person>
          <b:Person>
            <b:Last>García-López</b:Last>
            <b:First>M. </b:First>
          </b:Person>
          <b:Person>
            <b:Last>González-Fernández</b:Last>
            <b:First>M. </b:First>
          </b:Person>
        </b:NameList>
      </b:Author>
    </b:Author>
    <b:RefOrder>36</b:RefOrder>
  </b:Source>
  <b:Source>
    <b:Tag>Bor22</b:Tag>
    <b:SourceType>JournalArticle</b:SourceType>
    <b:Guid>{50A6E37E-C2CD-624E-B579-1280B90FA276}</b:Guid>
    <b:Title>Systemic risk and the COVID challenge in the european banking sector</b:Title>
    <b:JournalName>Journal of Banking &amp; Finance</b:JournalName>
    <b:Year>2022</b:Year>
    <b:Author>
      <b:Author>
        <b:NameList>
          <b:Person>
            <b:Last>Borri</b:Last>
            <b:First>N.</b:First>
          </b:Person>
          <b:Person>
            <b:Last>diGiorgio</b:Last>
            <b:First>G.</b:First>
          </b:Person>
        </b:NameList>
      </b:Author>
    </b:Author>
    <b:RefOrder>37</b:RefOrder>
  </b:Source>
  <b:Source>
    <b:Tag>Eln211</b:Tag>
    <b:SourceType>JournalArticle</b:SourceType>
    <b:Guid>{9CACB8A8-52EC-184D-BA30-35D676E28C81}</b:Guid>
    <b:Title>Global banking stability in the shadow of Covid-19 outbreak</b:Title>
    <b:JournalName>Journal of International Financial Markets, Institutions and Money</b:JournalName>
    <b:Year>2021</b:Year>
    <b:Author>
      <b:Author>
        <b:NameList>
          <b:Person>
            <b:Last>Elnahass</b:Last>
            <b:First>M. </b:First>
          </b:Person>
          <b:Person>
            <b:Last>Trinh</b:Last>
            <b:First>V. Q.</b:First>
          </b:Person>
          <b:Person>
            <b:Last>Li</b:Last>
            <b:First>T.</b:First>
          </b:Person>
        </b:NameList>
      </b:Author>
    </b:Author>
    <b:RefOrder>5</b:RefOrder>
  </b:Source>
  <b:Source>
    <b:Tag>Jor11</b:Tag>
    <b:SourceType>JournalArticle</b:SourceType>
    <b:Guid>{8A2B21B2-41D4-4C40-A4B3-A8EAAEE56B88}</b:Guid>
    <b:Title>Financial Crises, Credit Booms, and External Imbalances: 140 Years of Lessons</b:Title>
    <b:JournalName>MF Economic Review</b:JournalName>
    <b:Year>2011</b:Year>
    <b:Pages>340–378</b:Pages>
    <b:Author>
      <b:Author>
        <b:NameList>
          <b:Person>
            <b:Last>Jordà</b:Last>
            <b:First>Ò</b:First>
          </b:Person>
          <b:Person>
            <b:Last>Schularick </b:Last>
            <b:First>M.</b:First>
          </b:Person>
          <b:Person>
            <b:Last>Taylor </b:Last>
            <b:First>A., M.</b:First>
          </b:Person>
        </b:NameList>
      </b:Author>
    </b:Author>
    <b:RefOrder>38</b:RefOrder>
  </b:Source>
  <b:Source>
    <b:Tag>Car22</b:Tag>
    <b:SourceType>JournalArticle</b:SourceType>
    <b:Guid>{18F743FA-B342-9B4C-9887-60ADF6BAF9B9}</b:Guid>
    <b:Title>Measuring Uncertainty and Its Effects in the COVID-19 Era</b:Title>
    <b:JournalName>FRB of Cleveland Working Paper </b:JournalName>
    <b:Year>2022</b:Year>
    <b:Author>
      <b:Author>
        <b:NameList>
          <b:Person>
            <b:Last>Carriero</b:Last>
            <b:First>A.</b:First>
          </b:Person>
          <b:Person>
            <b:Last>Clark</b:Last>
            <b:First>T. E</b:First>
          </b:Person>
          <b:Person>
            <b:Last>Marcellino</b:Last>
            <b:First>M., G.</b:First>
          </b:Person>
          <b:Person>
            <b:Last>Mertens</b:Last>
            <b:First>E.</b:First>
          </b:Person>
        </b:NameList>
      </b:Author>
    </b:Author>
    <b:RefOrder>39</b:RefOrder>
  </b:Source>
  <b:Source>
    <b:Tag>Szc22</b:Tag>
    <b:SourceType>JournalArticle</b:SourceType>
    <b:Guid>{684CEDAB-B3C4-8F49-A7B2-2F6A6C6E2C55}</b:Guid>
    <b:Title>The impact and role of COVID-19 uncertainty: A global industry analysis</b:Title>
    <b:JournalName>International Review of Financial Analysis</b:JournalName>
    <b:Year>2022</b:Year>
    <b:Author>
      <b:Author>
        <b:NameList>
          <b:Person>
            <b:Last>Szczygielski</b:Last>
            <b:First>J. J.</b:First>
          </b:Person>
          <b:Person>
            <b:Last>Charteris</b:Last>
            <b:First>A.</b:First>
          </b:Person>
          <b:Person>
            <b:Last>Bwanya</b:Last>
            <b:First>P.</b:First>
          </b:Person>
          <b:Person>
            <b:Last>Brzeszczyński</b:Last>
            <b:First>J.</b:First>
          </b:Person>
        </b:NameList>
      </b:Author>
    </b:Author>
    <b:Volume>80</b:Volume>
    <b:RefOrder>40</b:RefOrder>
  </b:Source>
  <b:Source>
    <b:Tag>XuL21</b:Tag>
    <b:SourceType>JournalArticle</b:SourceType>
    <b:Guid>{3B6544DD-9994-0B4A-97EF-673EAE75BF5B}</b:Guid>
    <b:Title>Stock Return and the COVID-19 pandemic: Evidence from Canada and the US</b:Title>
    <b:JournalName>Finance Research Letters</b:JournalName>
    <b:Year>2021</b:Year>
    <b:Author>
      <b:Author>
        <b:NameList>
          <b:Person>
            <b:Last>Xu</b:Last>
            <b:First>L.</b:First>
          </b:Person>
        </b:NameList>
      </b:Author>
    </b:Author>
    <b:Volume>38</b:Volume>
    <b:RefOrder>41</b:RefOrder>
  </b:Source>
  <b:Source>
    <b:Tag>Dun22</b:Tag>
    <b:SourceType>JournalArticle</b:SourceType>
    <b:Guid>{22A45B63-90C4-5447-93FD-B24550A175A3}</b:Guid>
    <b:Title>COVID-19 as a stress test: Assessing the bank regulatory framework</b:Title>
    <b:JournalName>Journal of Financial Stability</b:JournalName>
    <b:Year>2022</b:Year>
    <b:Author>
      <b:Author>
        <b:NameList>
          <b:Person>
            <b:Last>Duncan</b:Last>
            <b:First>E. </b:First>
          </b:Person>
          <b:Person>
            <b:Last>Horvath</b:Last>
            <b:First>A.</b:First>
          </b:Person>
          <b:Person>
            <b:Last>Iercosan</b:Last>
            <b:First>D.</b:First>
          </b:Person>
          <b:Person>
            <b:Last>Loudis</b:Last>
            <b:First>B. </b:First>
          </b:Person>
          <b:Person>
            <b:Last>Maddrey</b:Last>
            <b:First>A.</b:First>
          </b:Person>
          <b:Person>
            <b:Last>Martinez</b:Last>
            <b:First>F.</b:First>
          </b:Person>
          <b:Person>
            <b:Last>Mooney</b:Last>
            <b:First>T.</b:First>
          </b:Person>
          <b:Person>
            <b:Last>Ranish</b:Last>
            <b:First>B.</b:First>
          </b:Person>
          <b:Person>
            <b:Last>Wang</b:Last>
            <b:First>K.</b:First>
          </b:Person>
          <b:Person>
            <b:Last>Warusawitharana</b:Last>
            <b:First>M.</b:First>
          </b:Person>
        </b:NameList>
      </b:Author>
    </b:Author>
    <b:RefOrder>42</b:RefOrder>
  </b:Source>
  <b:Source>
    <b:Tag>Lew20</b:Tag>
    <b:SourceType>JournalArticle</b:SourceType>
    <b:Guid>{3347ED20-8359-ED44-B268-86123575E8A4}</b:Guid>
    <b:Title>Releasing bank buffers to cushion the crisis - a quantitative assessment</b:Title>
    <b:JournalName>BIS Bulletins </b:JournalName>
    <b:Year>2020</b:Year>
    <b:Author>
      <b:Author>
        <b:NameList>
          <b:Person>
            <b:Last>Lewrick</b:Last>
            <b:First>U.</b:First>
          </b:Person>
          <b:Person>
            <b:Last>Schmieder</b:Last>
            <b:First>C.</b:First>
          </b:Person>
          <b:Person>
            <b:Last>Sobrun</b:Last>
            <b:First>J.</b:First>
          </b:Person>
          <b:Person>
            <b:Last>Takats</b:Last>
            <b:First>E.</b:First>
          </b:Person>
        </b:NameList>
      </b:Author>
    </b:Author>
    <b:RefOrder>43</b:RefOrder>
  </b:Source>
  <b:Source>
    <b:Tag>Ach20</b:Tag>
    <b:SourceType>JournalArticle</b:SourceType>
    <b:Guid>{A8958DA1-3434-A645-ACCF-2B8FB10D7B07}</b:Guid>
    <b:Title>The risk of being a fallen angel and the corporate dash for cash in the midst of COVID</b:Title>
    <b:JournalName>Review of Corporate Finance Studies</b:JournalName>
    <b:Year>2020</b:Year>
    <b:Author>
      <b:Author>
        <b:NameList>
          <b:Person>
            <b:Last>Acharya</b:Last>
            <b:First>V. V.</b:First>
          </b:Person>
          <b:Person>
            <b:Last>Steffen </b:Last>
            <b:First>S.</b:First>
          </b:Person>
        </b:NameList>
      </b:Author>
    </b:Author>
    <b:RefOrder>44</b:RefOrder>
  </b:Source>
  <b:Source>
    <b:Tag>LiL20</b:Tag>
    <b:SourceType>JournalArticle</b:SourceType>
    <b:Guid>{C4BEC73A-D748-C640-A75D-22129AB514D2}</b:Guid>
    <b:Title>Banks as lenders of first resort: Evidence from the COVID-19 crisis</b:Title>
    <b:JournalName>Review of Corporate Finance Studies</b:JournalName>
    <b:Year>2020</b:Year>
    <b:Author>
      <b:Author>
        <b:NameList>
          <b:Person>
            <b:Last>Li</b:Last>
            <b:First>L.</b:First>
          </b:Person>
          <b:Person>
            <b:Last>Strahan </b:Last>
            <b:First>P. E.</b:First>
          </b:Person>
          <b:Person>
            <b:Last>Zhang </b:Last>
            <b:First>S.</b:First>
          </b:Person>
        </b:NameList>
      </b:Author>
    </b:Author>
    <b:Pages>472-500</b:Pages>
    <b:RefOrder>45</b:RefOrder>
  </b:Source>
  <b:Source>
    <b:Tag>Cao22</b:Tag>
    <b:SourceType>JournalArticle</b:SourceType>
    <b:Guid>{17692B80-7C98-2245-BD11-F218AC507FEA}</b:Guid>
    <b:Title>Bank resilience over the COVID-19 crisis: The role of regulatory capital</b:Title>
    <b:JournalName>Finance Research Letters</b:JournalName>
    <b:Year>2022</b:Year>
    <b:Author>
      <b:Author>
        <b:NameList>
          <b:Person>
            <b:Last>Cao</b:Last>
            <b:First>Y.</b:First>
          </b:Person>
          <b:Person>
            <b:Last>Chou</b:Last>
            <b:First>J.-Y.</b:First>
          </b:Person>
        </b:NameList>
      </b:Author>
    </b:Author>
    <b:RefOrder>46</b:RefOrder>
  </b:Source>
  <b:Source>
    <b:Tag>Dur211</b:Tag>
    <b:SourceType>JournalArticle</b:SourceType>
    <b:Guid>{91D80B25-1876-3C43-B9A6-737E9C360C0C}</b:Guid>
    <b:Title>COVID-19 and lending responses of European banks</b:Title>
    <b:JournalName>Journal of Banking &amp; Finance</b:JournalName>
    <b:Year>2021</b:Year>
    <b:Author>
      <b:Author>
        <b:NameList>
          <b:Person>
            <b:Last>Dursun-de NeefaA</b:Last>
            <b:First>H. Ö</b:First>
          </b:Person>
          <b:Person>
            <b:Last>Schandlbauer</b:Last>
            <b:First>A.</b:First>
          </b:Person>
        </b:NameList>
      </b:Author>
    </b:Author>
    <b:RefOrder>47</b:RefOrder>
  </b:Source>
</b:Sources>
</file>

<file path=customXml/itemProps1.xml><?xml version="1.0" encoding="utf-8"?>
<ds:datastoreItem xmlns:ds="http://schemas.openxmlformats.org/officeDocument/2006/customXml" ds:itemID="{2FA7897B-EEB4-C74E-B930-A5FDB33B9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17</Pages>
  <Words>4097</Words>
  <Characters>23231</Characters>
  <Application>Microsoft Office Word</Application>
  <DocSecurity>0</DocSecurity>
  <Lines>494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Liverpool Hope University</Company>
  <LinksUpToDate>false</LinksUpToDate>
  <CharactersWithSpaces>27266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Tomczak</dc:creator>
  <cp:keywords/>
  <dc:description/>
  <cp:lastModifiedBy>tomczak</cp:lastModifiedBy>
  <cp:revision>69</cp:revision>
  <dcterms:created xsi:type="dcterms:W3CDTF">2023-01-10T10:12:00Z</dcterms:created>
  <dcterms:modified xsi:type="dcterms:W3CDTF">2023-01-11T18:54:00Z</dcterms:modified>
</cp:coreProperties>
</file>